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B26E45">
      <w:pPr>
        <w:spacing w:line="360" w:lineRule="auto"/>
        <w:jc w:val="center"/>
        <w:outlineLvl w:val="0"/>
        <w:rPr>
          <w:rFonts w:hint="eastAsia" w:ascii="宋体" w:hAnsi="宋体" w:eastAsia="宋体" w:cs="@仿宋_GB2312"/>
          <w:b/>
          <w:color w:val="auto"/>
          <w:sz w:val="28"/>
          <w:szCs w:val="20"/>
          <w:highlight w:val="none"/>
        </w:rPr>
      </w:pPr>
      <w:bookmarkStart w:id="0" w:name="_Toc10891"/>
      <w:r>
        <w:rPr>
          <w:rFonts w:hint="eastAsia" w:ascii="宋体" w:hAnsi="宋体" w:eastAsia="宋体" w:cs="@仿宋_GB2312"/>
          <w:b/>
          <w:color w:val="auto"/>
          <w:sz w:val="28"/>
          <w:szCs w:val="20"/>
          <w:highlight w:val="none"/>
        </w:rPr>
        <w:t>第三章  采购需求</w:t>
      </w:r>
      <w:bookmarkEnd w:id="0"/>
    </w:p>
    <w:p w14:paraId="653D446D">
      <w:pPr>
        <w:spacing w:line="360" w:lineRule="auto"/>
        <w:rPr>
          <w:rFonts w:hint="eastAsia" w:ascii="宋体" w:hAnsi="宋体" w:eastAsia="宋体" w:cs="@仿宋_GB2312"/>
          <w:b/>
          <w:color w:val="auto"/>
          <w:sz w:val="24"/>
          <w:szCs w:val="20"/>
          <w:highlight w:val="none"/>
        </w:rPr>
      </w:pPr>
      <w:r>
        <w:rPr>
          <w:rFonts w:hint="eastAsia" w:ascii="宋体" w:hAnsi="宋体" w:eastAsia="宋体" w:cs="@仿宋_GB2312"/>
          <w:b/>
          <w:color w:val="auto"/>
          <w:sz w:val="24"/>
          <w:szCs w:val="20"/>
          <w:highlight w:val="none"/>
        </w:rPr>
        <w:t>前注：</w:t>
      </w:r>
    </w:p>
    <w:p w14:paraId="7A76F112">
      <w:pPr>
        <w:spacing w:line="360" w:lineRule="auto"/>
        <w:ind w:firstLine="435"/>
        <w:rPr>
          <w:rFonts w:hint="eastAsia" w:ascii="宋体" w:hAnsi="宋体" w:eastAsia="宋体" w:cs="@仿宋_GB2312"/>
          <w:color w:val="auto"/>
          <w:sz w:val="24"/>
          <w:szCs w:val="18"/>
          <w:highlight w:val="none"/>
        </w:rPr>
      </w:pPr>
      <w:r>
        <w:rPr>
          <w:rFonts w:hint="eastAsia" w:ascii="宋体" w:hAnsi="宋体" w:eastAsia="宋体" w:cs="@仿宋_GB2312"/>
          <w:color w:val="auto"/>
          <w:sz w:val="24"/>
          <w:szCs w:val="20"/>
          <w:highlight w:val="none"/>
        </w:rPr>
        <w:t>1.</w:t>
      </w:r>
      <w:r>
        <w:rPr>
          <w:rFonts w:ascii="宋体" w:hAnsi="宋体" w:eastAsia="宋体" w:cs="@仿宋_GB2312"/>
          <w:color w:val="auto"/>
          <w:sz w:val="24"/>
          <w:szCs w:val="18"/>
          <w:highlight w:val="none"/>
        </w:rPr>
        <w:t>根据《</w:t>
      </w:r>
      <w:r>
        <w:rPr>
          <w:rFonts w:hint="eastAsia" w:ascii="宋体" w:hAnsi="宋体" w:eastAsia="宋体" w:cs="@仿宋_GB2312"/>
          <w:color w:val="auto"/>
          <w:sz w:val="24"/>
          <w:szCs w:val="18"/>
          <w:highlight w:val="none"/>
        </w:rPr>
        <w:t>政府采购进口产品管理办法</w:t>
      </w:r>
      <w:r>
        <w:rPr>
          <w:rFonts w:ascii="宋体" w:hAnsi="宋体" w:eastAsia="宋体" w:cs="@仿宋_GB2312"/>
          <w:color w:val="auto"/>
          <w:sz w:val="24"/>
          <w:szCs w:val="18"/>
          <w:highlight w:val="none"/>
        </w:rPr>
        <w:t>》及政府采购管理部门的相关规定，下列采购需求中</w:t>
      </w:r>
      <w:r>
        <w:rPr>
          <w:rFonts w:hint="eastAsia" w:ascii="宋体" w:hAnsi="宋体" w:eastAsia="宋体" w:cs="@仿宋_GB2312"/>
          <w:color w:val="auto"/>
          <w:sz w:val="24"/>
          <w:szCs w:val="18"/>
          <w:highlight w:val="none"/>
        </w:rPr>
        <w:t>标注进口产品的货物均</w:t>
      </w:r>
      <w:r>
        <w:rPr>
          <w:rFonts w:ascii="宋体" w:hAnsi="宋体" w:eastAsia="宋体" w:cs="@仿宋_GB2312"/>
          <w:color w:val="auto"/>
          <w:sz w:val="24"/>
          <w:szCs w:val="18"/>
          <w:highlight w:val="none"/>
        </w:rPr>
        <w:t>已履行相关论证手续，经核准采购进口</w:t>
      </w:r>
      <w:r>
        <w:rPr>
          <w:rFonts w:hint="eastAsia" w:ascii="宋体" w:hAnsi="宋体" w:eastAsia="宋体" w:cs="@仿宋_GB2312"/>
          <w:color w:val="auto"/>
          <w:sz w:val="24"/>
          <w:szCs w:val="18"/>
          <w:highlight w:val="none"/>
        </w:rPr>
        <w:t>产品</w:t>
      </w:r>
      <w:r>
        <w:rPr>
          <w:rFonts w:ascii="宋体" w:hAnsi="宋体" w:eastAsia="宋体" w:cs="@仿宋_GB2312"/>
          <w:color w:val="auto"/>
          <w:sz w:val="24"/>
          <w:szCs w:val="18"/>
          <w:highlight w:val="none"/>
        </w:rPr>
        <w:t>，但不限制满足招标文件要求的国内产品参与竞争</w:t>
      </w:r>
      <w:r>
        <w:rPr>
          <w:rFonts w:hint="eastAsia" w:ascii="宋体" w:hAnsi="宋体" w:eastAsia="宋体" w:cs="@仿宋_GB2312"/>
          <w:color w:val="auto"/>
          <w:sz w:val="24"/>
          <w:szCs w:val="18"/>
          <w:highlight w:val="none"/>
        </w:rPr>
        <w:t>。未标注进口产品的货物均</w:t>
      </w:r>
      <w:r>
        <w:rPr>
          <w:rFonts w:ascii="宋体" w:hAnsi="宋体" w:eastAsia="宋体" w:cs="@仿宋_GB2312"/>
          <w:color w:val="auto"/>
          <w:sz w:val="24"/>
          <w:szCs w:val="18"/>
          <w:highlight w:val="none"/>
        </w:rPr>
        <w:t>为拒绝采购进口产品</w:t>
      </w:r>
      <w:r>
        <w:rPr>
          <w:rFonts w:hint="eastAsia" w:ascii="宋体" w:hAnsi="宋体" w:eastAsia="宋体" w:cs="@仿宋_GB2312"/>
          <w:color w:val="auto"/>
          <w:sz w:val="24"/>
          <w:szCs w:val="18"/>
          <w:highlight w:val="none"/>
        </w:rPr>
        <w:t>。</w:t>
      </w:r>
    </w:p>
    <w:p w14:paraId="400B39D3">
      <w:pPr>
        <w:spacing w:line="360" w:lineRule="auto"/>
        <w:ind w:firstLine="435"/>
        <w:rPr>
          <w:rFonts w:hint="eastAsia" w:ascii="宋体" w:hAnsi="宋体" w:eastAsia="宋体" w:cs="@仿宋_GB2312"/>
          <w:color w:val="auto"/>
          <w:sz w:val="24"/>
          <w:szCs w:val="18"/>
          <w:highlight w:val="none"/>
        </w:rPr>
      </w:pPr>
      <w:r>
        <w:rPr>
          <w:rFonts w:hint="eastAsia" w:ascii="宋体" w:hAnsi="宋体" w:eastAsia="宋体" w:cs="@仿宋_GB2312"/>
          <w:color w:val="auto"/>
          <w:sz w:val="24"/>
          <w:szCs w:val="18"/>
          <w:highlight w:val="none"/>
        </w:rPr>
        <w:t>2.</w:t>
      </w:r>
      <w:r>
        <w:rPr>
          <w:rFonts w:ascii="宋体" w:hAnsi="宋体" w:eastAsia="宋体" w:cs="宋体"/>
          <w:color w:val="auto"/>
          <w:sz w:val="24"/>
          <w:szCs w:val="24"/>
          <w:highlight w:val="none"/>
        </w:rPr>
        <w:t>政府采购政策（包括但不限于下列具体政策要求</w:t>
      </w:r>
      <w:r>
        <w:rPr>
          <w:rFonts w:hint="eastAsia" w:ascii="宋体" w:hAnsi="宋体" w:eastAsia="宋体" w:cs="宋体"/>
          <w:color w:val="auto"/>
          <w:sz w:val="24"/>
          <w:szCs w:val="24"/>
          <w:highlight w:val="none"/>
        </w:rPr>
        <w:t>）</w:t>
      </w:r>
      <w:r>
        <w:rPr>
          <w:rFonts w:hint="eastAsia" w:ascii="宋体" w:hAnsi="宋体" w:eastAsia="宋体" w:cs="@仿宋_GB2312"/>
          <w:color w:val="auto"/>
          <w:sz w:val="24"/>
          <w:szCs w:val="18"/>
          <w:highlight w:val="none"/>
        </w:rPr>
        <w:t>：</w:t>
      </w:r>
    </w:p>
    <w:p w14:paraId="09B617EA">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29C031B1">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4D3F2A4B">
      <w:pPr>
        <w:spacing w:line="360" w:lineRule="auto"/>
        <w:ind w:firstLine="435"/>
        <w:rPr>
          <w:rFonts w:hint="eastAsia" w:ascii="@仿宋_GB2312" w:hAnsi="@仿宋_GB2312" w:eastAsia="@仿宋_GB2312" w:cs="@仿宋_GB2312"/>
          <w:color w:val="auto"/>
          <w:szCs w:val="20"/>
          <w:highlight w:val="none"/>
        </w:rPr>
      </w:pPr>
      <w:r>
        <w:rPr>
          <w:rFonts w:hint="eastAsia" w:ascii="宋体" w:hAnsi="宋体" w:eastAsia="宋体" w:cs="宋体"/>
          <w:color w:val="auto"/>
          <w:sz w:val="24"/>
          <w:szCs w:val="24"/>
          <w:highlight w:val="none"/>
        </w:rPr>
        <w:t>3.</w:t>
      </w:r>
      <w:r>
        <w:rPr>
          <w:rFonts w:hint="eastAsia" w:ascii="宋体" w:hAnsi="宋体" w:eastAsia="宋体" w:cs="@仿宋_GB2312"/>
          <w:color w:val="auto"/>
          <w:sz w:val="24"/>
          <w:szCs w:val="18"/>
          <w:highlight w:val="none"/>
        </w:rPr>
        <w:t>如采购人允许采用分包方式履行合同的，应当明确可以分包履行的相关内容。</w:t>
      </w:r>
    </w:p>
    <w:p w14:paraId="382DC193">
      <w:pPr>
        <w:spacing w:line="360" w:lineRule="auto"/>
        <w:jc w:val="center"/>
        <w:outlineLvl w:val="1"/>
        <w:rPr>
          <w:rFonts w:hint="default" w:ascii="宋体" w:hAnsi="宋体" w:eastAsia="宋体" w:cs="@仿宋_GB2312"/>
          <w:b/>
          <w:color w:val="auto"/>
          <w:sz w:val="24"/>
          <w:szCs w:val="18"/>
          <w:highlight w:val="none"/>
          <w:lang w:val="en-US" w:eastAsia="zh-CN"/>
        </w:rPr>
      </w:pPr>
      <w:bookmarkStart w:id="1" w:name="_Toc2554"/>
      <w:bookmarkStart w:id="2" w:name="_Toc32151"/>
      <w:r>
        <w:rPr>
          <w:rFonts w:hint="eastAsia" w:ascii="宋体" w:hAnsi="宋体" w:eastAsia="宋体" w:cs="@仿宋_GB2312"/>
          <w:b/>
          <w:color w:val="auto"/>
          <w:sz w:val="24"/>
          <w:szCs w:val="18"/>
          <w:highlight w:val="none"/>
        </w:rPr>
        <w:t>第1 包：教学模型</w:t>
      </w:r>
      <w:r>
        <w:rPr>
          <w:rFonts w:hint="eastAsia" w:ascii="宋体" w:hAnsi="宋体" w:eastAsia="宋体" w:cs="@仿宋_GB2312"/>
          <w:b/>
          <w:color w:val="auto"/>
          <w:sz w:val="24"/>
          <w:szCs w:val="18"/>
          <w:highlight w:val="none"/>
          <w:lang w:val="en-US" w:eastAsia="zh-CN"/>
        </w:rPr>
        <w:t>包采购需求</w:t>
      </w:r>
    </w:p>
    <w:p w14:paraId="0B4654AB">
      <w:pPr>
        <w:spacing w:line="360" w:lineRule="auto"/>
        <w:outlineLvl w:val="1"/>
        <w:rPr>
          <w:rFonts w:hint="eastAsia" w:ascii="宋体" w:hAnsi="宋体" w:eastAsia="宋体" w:cs="@仿宋_GB2312"/>
          <w:b/>
          <w:color w:val="auto"/>
          <w:sz w:val="24"/>
          <w:szCs w:val="18"/>
          <w:highlight w:val="none"/>
        </w:rPr>
      </w:pPr>
      <w:r>
        <w:rPr>
          <w:rFonts w:hint="eastAsia" w:ascii="宋体" w:hAnsi="宋体" w:eastAsia="宋体" w:cs="@仿宋_GB2312"/>
          <w:b/>
          <w:color w:val="auto"/>
          <w:sz w:val="24"/>
          <w:szCs w:val="18"/>
          <w:highlight w:val="none"/>
        </w:rPr>
        <w:t>一、采购需求前附表</w:t>
      </w:r>
      <w:bookmarkEnd w:id="1"/>
      <w:bookmarkEnd w:id="2"/>
    </w:p>
    <w:tbl>
      <w:tblPr>
        <w:tblStyle w:val="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59494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242ADA4C">
            <w:pPr>
              <w:widowControl w:val="0"/>
              <w:pBdr>
                <w:bottom w:val="none" w:color="auto" w:sz="0" w:space="0"/>
              </w:pBdr>
              <w:adjustRightInd/>
              <w:snapToGrid/>
              <w:spacing w:line="240" w:lineRule="auto"/>
              <w:jc w:val="center"/>
              <w:textAlignment w:val="auto"/>
              <w:rPr>
                <w:rFonts w:hint="eastAsia" w:ascii="宋体" w:hAnsi="宋体" w:eastAsia="宋体" w:cs="@仿宋_GB2312"/>
                <w:b/>
                <w:color w:val="auto"/>
                <w:kern w:val="2"/>
                <w:sz w:val="24"/>
                <w:szCs w:val="20"/>
                <w:highlight w:val="none"/>
                <w:lang w:val="en-US" w:eastAsia="zh-CN" w:bidi="ar-SA"/>
              </w:rPr>
            </w:pPr>
            <w:r>
              <w:rPr>
                <w:rFonts w:hint="eastAsia" w:ascii="宋体" w:hAnsi="宋体" w:eastAsia="宋体" w:cs="@仿宋_GB2312"/>
                <w:b/>
                <w:color w:val="auto"/>
                <w:kern w:val="2"/>
                <w:sz w:val="24"/>
                <w:szCs w:val="20"/>
                <w:highlight w:val="none"/>
                <w:lang w:val="en-US" w:eastAsia="zh-CN" w:bidi="ar-SA"/>
              </w:rPr>
              <w:t>序号</w:t>
            </w:r>
          </w:p>
        </w:tc>
        <w:tc>
          <w:tcPr>
            <w:tcW w:w="1192" w:type="pct"/>
            <w:vAlign w:val="center"/>
          </w:tcPr>
          <w:p w14:paraId="1B05559A">
            <w:pPr>
              <w:widowControl w:val="0"/>
              <w:spacing w:before="0" w:beforeAutospacing="0" w:after="0" w:afterAutospacing="0" w:line="360" w:lineRule="auto"/>
              <w:jc w:val="center"/>
              <w:rPr>
                <w:rFonts w:hint="eastAsia" w:ascii="宋体" w:hAnsi="宋体" w:eastAsia="宋体" w:cs="@仿宋_GB2312"/>
                <w:b/>
                <w:bCs w:val="0"/>
                <w:color w:val="auto"/>
                <w:kern w:val="0"/>
                <w:sz w:val="24"/>
                <w:szCs w:val="28"/>
                <w:highlight w:val="none"/>
                <w:lang w:val="en-US" w:eastAsia="zh-CN" w:bidi="ar-SA"/>
              </w:rPr>
            </w:pPr>
            <w:r>
              <w:rPr>
                <w:rFonts w:hint="eastAsia" w:ascii="宋体" w:hAnsi="宋体" w:eastAsia="宋体" w:cs="@仿宋_GB2312"/>
                <w:b/>
                <w:bCs w:val="0"/>
                <w:color w:val="auto"/>
                <w:kern w:val="0"/>
                <w:sz w:val="24"/>
                <w:szCs w:val="28"/>
                <w:highlight w:val="none"/>
                <w:lang w:val="en-US" w:eastAsia="zh-CN" w:bidi="ar-SA"/>
              </w:rPr>
              <w:t>条款名称</w:t>
            </w:r>
          </w:p>
        </w:tc>
        <w:tc>
          <w:tcPr>
            <w:tcW w:w="3217" w:type="pct"/>
            <w:vAlign w:val="center"/>
          </w:tcPr>
          <w:p w14:paraId="36B1AD11">
            <w:pPr>
              <w:widowControl w:val="0"/>
              <w:spacing w:before="0" w:beforeAutospacing="0" w:after="0" w:afterAutospacing="0" w:line="360" w:lineRule="auto"/>
              <w:jc w:val="center"/>
              <w:rPr>
                <w:rFonts w:hint="eastAsia" w:ascii="宋体" w:hAnsi="宋体" w:eastAsia="宋体" w:cs="@仿宋_GB2312"/>
                <w:b/>
                <w:bCs w:val="0"/>
                <w:color w:val="auto"/>
                <w:kern w:val="0"/>
                <w:sz w:val="24"/>
                <w:szCs w:val="28"/>
                <w:highlight w:val="none"/>
                <w:lang w:val="en-US" w:eastAsia="zh-CN" w:bidi="ar-SA"/>
              </w:rPr>
            </w:pPr>
            <w:r>
              <w:rPr>
                <w:rFonts w:hint="eastAsia" w:ascii="宋体" w:hAnsi="宋体" w:eastAsia="宋体" w:cs="@仿宋_GB2312"/>
                <w:b/>
                <w:bCs w:val="0"/>
                <w:color w:val="auto"/>
                <w:kern w:val="0"/>
                <w:sz w:val="24"/>
                <w:szCs w:val="28"/>
                <w:highlight w:val="none"/>
                <w:lang w:val="en-US" w:eastAsia="zh-CN" w:bidi="ar-SA"/>
              </w:rPr>
              <w:t>内容、说明与要求</w:t>
            </w:r>
          </w:p>
        </w:tc>
      </w:tr>
      <w:tr w14:paraId="65B06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6A4B2AE4">
            <w:pPr>
              <w:widowControl w:val="0"/>
              <w:pBdr>
                <w:bottom w:val="none" w:color="auto" w:sz="0" w:space="0"/>
              </w:pBdr>
              <w:adjustRightInd/>
              <w:snapToGrid/>
              <w:spacing w:line="240" w:lineRule="auto"/>
              <w:jc w:val="center"/>
              <w:textAlignment w:val="auto"/>
              <w:rPr>
                <w:rFonts w:hint="eastAsia" w:ascii="宋体" w:hAnsi="宋体" w:eastAsia="宋体" w:cs="@仿宋_GB2312"/>
                <w:bCs/>
                <w:color w:val="auto"/>
                <w:kern w:val="2"/>
                <w:sz w:val="24"/>
                <w:szCs w:val="20"/>
                <w:highlight w:val="none"/>
                <w:lang w:val="en-US" w:eastAsia="zh-CN" w:bidi="ar-SA"/>
              </w:rPr>
            </w:pPr>
            <w:r>
              <w:rPr>
                <w:rFonts w:hint="eastAsia" w:ascii="宋体" w:hAnsi="宋体" w:eastAsia="宋体" w:cs="@仿宋_GB2312"/>
                <w:bCs/>
                <w:color w:val="auto"/>
                <w:kern w:val="2"/>
                <w:sz w:val="24"/>
                <w:szCs w:val="20"/>
                <w:highlight w:val="none"/>
                <w:lang w:val="en-US" w:eastAsia="zh-CN" w:bidi="ar-SA"/>
              </w:rPr>
              <w:t>1</w:t>
            </w:r>
          </w:p>
        </w:tc>
        <w:tc>
          <w:tcPr>
            <w:tcW w:w="1192" w:type="pct"/>
            <w:vAlign w:val="center"/>
          </w:tcPr>
          <w:p w14:paraId="60B95248">
            <w:pPr>
              <w:widowControl w:val="0"/>
              <w:spacing w:before="0" w:beforeAutospacing="0" w:after="0" w:afterAutospacing="0" w:line="360" w:lineRule="auto"/>
              <w:jc w:val="center"/>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付款方式</w:t>
            </w:r>
          </w:p>
        </w:tc>
        <w:tc>
          <w:tcPr>
            <w:tcW w:w="3217" w:type="pct"/>
            <w:vAlign w:val="center"/>
          </w:tcPr>
          <w:p w14:paraId="40966BBF">
            <w:pPr>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u w:val="single"/>
                <w:lang w:val="en-US" w:eastAsia="zh-CN" w:bidi="ar-SA"/>
              </w:rPr>
            </w:pPr>
            <w:r>
              <w:rPr>
                <w:rFonts w:hint="eastAsia" w:ascii="宋体" w:hAnsi="宋体" w:eastAsia="宋体" w:cs="@仿宋_GB2312"/>
                <w:b w:val="0"/>
                <w:bCs/>
                <w:color w:val="auto"/>
                <w:kern w:val="0"/>
                <w:sz w:val="24"/>
                <w:szCs w:val="28"/>
                <w:highlight w:val="none"/>
                <w:u w:val="single"/>
                <w:lang w:val="en-US" w:eastAsia="zh-CN" w:bidi="ar-SA"/>
              </w:rPr>
              <w:t>验收合格后一次性付清。</w:t>
            </w:r>
          </w:p>
        </w:tc>
      </w:tr>
      <w:tr w14:paraId="27BD3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3B26C45F">
            <w:pPr>
              <w:widowControl w:val="0"/>
              <w:pBdr>
                <w:bottom w:val="none" w:color="auto" w:sz="0" w:space="0"/>
              </w:pBdr>
              <w:adjustRightInd/>
              <w:snapToGrid/>
              <w:spacing w:line="240" w:lineRule="auto"/>
              <w:jc w:val="center"/>
              <w:textAlignment w:val="auto"/>
              <w:rPr>
                <w:rFonts w:hint="eastAsia" w:ascii="宋体" w:hAnsi="宋体" w:eastAsia="宋体" w:cs="@仿宋_GB2312"/>
                <w:bCs/>
                <w:color w:val="auto"/>
                <w:kern w:val="2"/>
                <w:sz w:val="24"/>
                <w:szCs w:val="20"/>
                <w:highlight w:val="none"/>
                <w:lang w:val="en-US" w:eastAsia="zh-CN" w:bidi="ar-SA"/>
              </w:rPr>
            </w:pPr>
            <w:r>
              <w:rPr>
                <w:rFonts w:hint="eastAsia" w:ascii="宋体" w:hAnsi="宋体" w:eastAsia="宋体" w:cs="@仿宋_GB2312"/>
                <w:bCs/>
                <w:color w:val="auto"/>
                <w:kern w:val="2"/>
                <w:sz w:val="24"/>
                <w:szCs w:val="20"/>
                <w:highlight w:val="none"/>
                <w:lang w:val="en-US" w:eastAsia="zh-CN" w:bidi="ar-SA"/>
              </w:rPr>
              <w:t>2</w:t>
            </w:r>
          </w:p>
        </w:tc>
        <w:tc>
          <w:tcPr>
            <w:tcW w:w="1192" w:type="pct"/>
            <w:vAlign w:val="center"/>
          </w:tcPr>
          <w:p w14:paraId="5948337F">
            <w:pPr>
              <w:widowControl w:val="0"/>
              <w:spacing w:before="0" w:beforeAutospacing="0" w:after="0" w:afterAutospacing="0" w:line="360" w:lineRule="auto"/>
              <w:jc w:val="center"/>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供货及安装地点</w:t>
            </w:r>
          </w:p>
        </w:tc>
        <w:tc>
          <w:tcPr>
            <w:tcW w:w="3217" w:type="pct"/>
            <w:vAlign w:val="center"/>
          </w:tcPr>
          <w:p w14:paraId="41EC77D0">
            <w:pPr>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安徽医科大学新医科中心 护理学院</w:t>
            </w:r>
          </w:p>
        </w:tc>
      </w:tr>
      <w:tr w14:paraId="55547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20EF7184">
            <w:pPr>
              <w:widowControl w:val="0"/>
              <w:pBdr>
                <w:bottom w:val="none" w:color="auto" w:sz="0" w:space="0"/>
              </w:pBdr>
              <w:adjustRightInd/>
              <w:snapToGrid/>
              <w:spacing w:line="240" w:lineRule="auto"/>
              <w:jc w:val="center"/>
              <w:textAlignment w:val="auto"/>
              <w:rPr>
                <w:rFonts w:hint="eastAsia" w:ascii="宋体" w:hAnsi="宋体" w:eastAsia="宋体" w:cs="@仿宋_GB2312"/>
                <w:bCs/>
                <w:color w:val="auto"/>
                <w:kern w:val="2"/>
                <w:sz w:val="24"/>
                <w:szCs w:val="20"/>
                <w:highlight w:val="none"/>
                <w:lang w:val="en-US" w:eastAsia="zh-CN" w:bidi="ar-SA"/>
              </w:rPr>
            </w:pPr>
            <w:r>
              <w:rPr>
                <w:rFonts w:hint="eastAsia" w:ascii="宋体" w:hAnsi="宋体" w:eastAsia="宋体" w:cs="@仿宋_GB2312"/>
                <w:bCs/>
                <w:color w:val="auto"/>
                <w:kern w:val="2"/>
                <w:sz w:val="24"/>
                <w:szCs w:val="20"/>
                <w:highlight w:val="none"/>
                <w:lang w:val="en-US" w:eastAsia="zh-CN" w:bidi="ar-SA"/>
              </w:rPr>
              <w:t>3</w:t>
            </w:r>
          </w:p>
        </w:tc>
        <w:tc>
          <w:tcPr>
            <w:tcW w:w="1192" w:type="pct"/>
            <w:vAlign w:val="center"/>
          </w:tcPr>
          <w:p w14:paraId="1CE2A0A2">
            <w:pPr>
              <w:widowControl w:val="0"/>
              <w:spacing w:before="0" w:beforeAutospacing="0" w:after="0" w:afterAutospacing="0" w:line="360" w:lineRule="auto"/>
              <w:jc w:val="center"/>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供货及安装期限</w:t>
            </w:r>
          </w:p>
        </w:tc>
        <w:tc>
          <w:tcPr>
            <w:tcW w:w="3217" w:type="pct"/>
            <w:vAlign w:val="center"/>
          </w:tcPr>
          <w:p w14:paraId="3D392BDC">
            <w:pPr>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u w:val="single"/>
                <w:lang w:val="en-US" w:eastAsia="zh-CN" w:bidi="ar-SA"/>
              </w:rPr>
              <w:t>合同签订后45日内完成供货安装及调试。</w:t>
            </w:r>
          </w:p>
        </w:tc>
      </w:tr>
      <w:tr w14:paraId="61202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90" w:type="pct"/>
            <w:vAlign w:val="center"/>
          </w:tcPr>
          <w:p w14:paraId="2523073E">
            <w:pPr>
              <w:widowControl w:val="0"/>
              <w:pBdr>
                <w:bottom w:val="none" w:color="auto" w:sz="0" w:space="0"/>
              </w:pBdr>
              <w:adjustRightInd/>
              <w:snapToGrid/>
              <w:spacing w:line="240" w:lineRule="auto"/>
              <w:jc w:val="center"/>
              <w:textAlignment w:val="auto"/>
              <w:rPr>
                <w:rFonts w:hint="eastAsia" w:ascii="宋体" w:hAnsi="宋体" w:eastAsia="宋体" w:cs="@仿宋_GB2312"/>
                <w:bCs/>
                <w:color w:val="auto"/>
                <w:kern w:val="2"/>
                <w:sz w:val="24"/>
                <w:szCs w:val="20"/>
                <w:highlight w:val="none"/>
                <w:lang w:val="en-US" w:eastAsia="zh-CN" w:bidi="ar-SA"/>
              </w:rPr>
            </w:pPr>
            <w:r>
              <w:rPr>
                <w:rFonts w:hint="eastAsia" w:ascii="宋体" w:hAnsi="宋体" w:eastAsia="宋体" w:cs="@仿宋_GB2312"/>
                <w:bCs/>
                <w:color w:val="auto"/>
                <w:kern w:val="2"/>
                <w:sz w:val="24"/>
                <w:szCs w:val="20"/>
                <w:highlight w:val="none"/>
                <w:lang w:val="en-US" w:eastAsia="zh-CN" w:bidi="ar-SA"/>
              </w:rPr>
              <w:t>4</w:t>
            </w:r>
          </w:p>
        </w:tc>
        <w:tc>
          <w:tcPr>
            <w:tcW w:w="1192" w:type="pct"/>
            <w:vAlign w:val="center"/>
          </w:tcPr>
          <w:p w14:paraId="4BD9AEB0">
            <w:pPr>
              <w:widowControl w:val="0"/>
              <w:spacing w:before="0" w:beforeAutospacing="0" w:after="0" w:afterAutospacing="0" w:line="360" w:lineRule="auto"/>
              <w:jc w:val="center"/>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免费质保期</w:t>
            </w:r>
          </w:p>
        </w:tc>
        <w:tc>
          <w:tcPr>
            <w:tcW w:w="3217" w:type="pct"/>
            <w:vAlign w:val="center"/>
          </w:tcPr>
          <w:p w14:paraId="790F759E">
            <w:pPr>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自验收合格之日起开始计算3年，质保期内提供硬件设备免费更换，软件免费升级服务。</w:t>
            </w:r>
          </w:p>
        </w:tc>
      </w:tr>
      <w:tr w14:paraId="5626F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2A667E98">
            <w:pPr>
              <w:widowControl w:val="0"/>
              <w:pBdr>
                <w:bottom w:val="none" w:color="auto" w:sz="0" w:space="0"/>
              </w:pBdr>
              <w:adjustRightInd/>
              <w:snapToGrid/>
              <w:spacing w:line="240" w:lineRule="auto"/>
              <w:jc w:val="center"/>
              <w:textAlignment w:val="auto"/>
              <w:rPr>
                <w:rFonts w:hint="eastAsia" w:ascii="宋体" w:hAnsi="宋体" w:eastAsia="宋体" w:cs="@仿宋_GB2312"/>
                <w:bCs/>
                <w:color w:val="auto"/>
                <w:kern w:val="2"/>
                <w:sz w:val="24"/>
                <w:szCs w:val="20"/>
                <w:highlight w:val="none"/>
                <w:lang w:val="en-US" w:eastAsia="zh-CN" w:bidi="ar-SA"/>
              </w:rPr>
            </w:pPr>
            <w:bookmarkStart w:id="3" w:name="_Toc7671"/>
            <w:bookmarkStart w:id="4" w:name="_Toc5944"/>
            <w:r>
              <w:rPr>
                <w:rFonts w:hint="eastAsia" w:ascii="宋体" w:hAnsi="宋体" w:eastAsia="宋体" w:cs="@仿宋_GB2312"/>
                <w:bCs/>
                <w:color w:val="auto"/>
                <w:kern w:val="2"/>
                <w:sz w:val="24"/>
                <w:szCs w:val="20"/>
                <w:highlight w:val="none"/>
                <w:lang w:val="en-US" w:eastAsia="zh-CN" w:bidi="ar-SA"/>
              </w:rPr>
              <w:t>5</w:t>
            </w:r>
          </w:p>
        </w:tc>
        <w:tc>
          <w:tcPr>
            <w:tcW w:w="1192" w:type="pct"/>
            <w:vAlign w:val="center"/>
          </w:tcPr>
          <w:p w14:paraId="3913524E">
            <w:pPr>
              <w:widowControl w:val="0"/>
              <w:spacing w:before="0" w:beforeAutospacing="0" w:after="0" w:afterAutospacing="0" w:line="360" w:lineRule="auto"/>
              <w:jc w:val="center"/>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本包次核心产品</w:t>
            </w:r>
          </w:p>
        </w:tc>
        <w:tc>
          <w:tcPr>
            <w:tcW w:w="3217" w:type="pct"/>
            <w:vAlign w:val="center"/>
          </w:tcPr>
          <w:p w14:paraId="35493FF2">
            <w:pPr>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u w:val="single"/>
                <w:lang w:val="en-US" w:eastAsia="zh-CN" w:bidi="ar-SA"/>
              </w:rPr>
            </w:pPr>
            <w:r>
              <w:rPr>
                <w:rFonts w:hint="eastAsia" w:ascii="宋体" w:hAnsi="宋体" w:eastAsia="宋体" w:cs="@仿宋_GB2312"/>
                <w:b w:val="0"/>
                <w:bCs/>
                <w:color w:val="auto"/>
                <w:kern w:val="0"/>
                <w:sz w:val="24"/>
                <w:szCs w:val="28"/>
                <w:highlight w:val="none"/>
                <w:u w:val="single"/>
                <w:lang w:val="en-US" w:eastAsia="zh-CN" w:bidi="ar-SA"/>
              </w:rPr>
              <w:t>下肢康复训练系统</w:t>
            </w:r>
          </w:p>
        </w:tc>
      </w:tr>
    </w:tbl>
    <w:p w14:paraId="3BDF26F0">
      <w:pPr>
        <w:rPr>
          <w:rFonts w:hint="eastAsia" w:ascii="宋体" w:hAnsi="宋体" w:eastAsia="宋体" w:cs="@仿宋_GB2312"/>
          <w:b/>
          <w:bCs/>
          <w:color w:val="auto"/>
          <w:sz w:val="24"/>
          <w:szCs w:val="18"/>
          <w:highlight w:val="none"/>
        </w:rPr>
      </w:pPr>
      <w:r>
        <w:rPr>
          <w:rFonts w:hint="eastAsia" w:ascii="宋体" w:hAnsi="宋体" w:eastAsia="宋体" w:cs="@仿宋_GB2312"/>
          <w:b/>
          <w:bCs/>
          <w:color w:val="auto"/>
          <w:sz w:val="24"/>
          <w:szCs w:val="18"/>
          <w:highlight w:val="none"/>
        </w:rPr>
        <w:br w:type="page"/>
      </w:r>
    </w:p>
    <w:bookmarkEnd w:id="3"/>
    <w:bookmarkEnd w:id="4"/>
    <w:p w14:paraId="58A0243E">
      <w:pPr>
        <w:spacing w:line="360" w:lineRule="auto"/>
        <w:outlineLvl w:val="1"/>
        <w:rPr>
          <w:rFonts w:hint="eastAsia" w:ascii="宋体" w:hAnsi="宋体" w:eastAsia="宋体" w:cs="@仿宋_GB2312"/>
          <w:b/>
          <w:bCs/>
          <w:color w:val="auto"/>
          <w:sz w:val="24"/>
          <w:szCs w:val="18"/>
          <w:highlight w:val="none"/>
          <w:lang w:val="en-US" w:eastAsia="zh-CN"/>
        </w:rPr>
      </w:pPr>
      <w:bookmarkStart w:id="5" w:name="_Toc4843"/>
      <w:bookmarkStart w:id="6" w:name="_Toc7421"/>
      <w:r>
        <w:rPr>
          <w:rFonts w:hint="eastAsia" w:ascii="宋体" w:hAnsi="宋体" w:eastAsia="宋体" w:cs="@仿宋_GB2312"/>
          <w:b/>
          <w:bCs/>
          <w:color w:val="auto"/>
          <w:sz w:val="24"/>
          <w:szCs w:val="18"/>
          <w:highlight w:val="none"/>
          <w:lang w:val="en-US" w:eastAsia="zh-CN"/>
        </w:rPr>
        <w:t>二、技术指标重要性表述</w:t>
      </w:r>
    </w:p>
    <w:tbl>
      <w:tblPr>
        <w:tblStyle w:val="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5"/>
        <w:gridCol w:w="1326"/>
        <w:gridCol w:w="5338"/>
      </w:tblGrid>
      <w:tr w14:paraId="288DE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089" w:type="pct"/>
            <w:noWrap w:val="0"/>
            <w:vAlign w:val="center"/>
          </w:tcPr>
          <w:p w14:paraId="4B661C5E">
            <w:pPr>
              <w:spacing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标识重要性</w:t>
            </w:r>
          </w:p>
        </w:tc>
        <w:tc>
          <w:tcPr>
            <w:tcW w:w="778" w:type="pct"/>
            <w:noWrap w:val="0"/>
            <w:vAlign w:val="center"/>
          </w:tcPr>
          <w:p w14:paraId="5DB60769">
            <w:pPr>
              <w:spacing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标识符号</w:t>
            </w:r>
          </w:p>
        </w:tc>
        <w:tc>
          <w:tcPr>
            <w:tcW w:w="3132" w:type="pct"/>
            <w:noWrap w:val="0"/>
            <w:vAlign w:val="center"/>
          </w:tcPr>
          <w:p w14:paraId="773AF58B">
            <w:pPr>
              <w:spacing w:line="360" w:lineRule="auto"/>
              <w:jc w:val="center"/>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符号说明</w:t>
            </w:r>
          </w:p>
        </w:tc>
      </w:tr>
      <w:tr w14:paraId="4663C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1089" w:type="pct"/>
            <w:noWrap w:val="0"/>
            <w:vAlign w:val="center"/>
          </w:tcPr>
          <w:p w14:paraId="3442146C">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关键性指标项</w:t>
            </w:r>
          </w:p>
        </w:tc>
        <w:tc>
          <w:tcPr>
            <w:tcW w:w="778" w:type="pct"/>
            <w:noWrap w:val="0"/>
            <w:vAlign w:val="center"/>
          </w:tcPr>
          <w:p w14:paraId="0496F011">
            <w:pPr>
              <w:spacing w:line="360" w:lineRule="auto"/>
              <w:jc w:val="center"/>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w:t>
            </w:r>
          </w:p>
        </w:tc>
        <w:tc>
          <w:tcPr>
            <w:tcW w:w="3132" w:type="pct"/>
            <w:noWrap w:val="0"/>
            <w:vAlign w:val="center"/>
          </w:tcPr>
          <w:p w14:paraId="65C32AF0">
            <w:pPr>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rPr>
              <w:t>不满足该指标项将导致投标无效</w:t>
            </w:r>
            <w:r>
              <w:rPr>
                <w:rFonts w:hint="eastAsia" w:ascii="宋体" w:hAnsi="宋体" w:eastAsia="宋体" w:cs="宋体"/>
                <w:b/>
                <w:bCs/>
                <w:color w:val="auto"/>
                <w:sz w:val="24"/>
                <w:szCs w:val="24"/>
                <w:highlight w:val="none"/>
                <w:lang w:eastAsia="zh-CN"/>
              </w:rPr>
              <w:t>，</w:t>
            </w:r>
            <w:r>
              <w:rPr>
                <w:rFonts w:hint="eastAsia" w:ascii="宋体" w:hAnsi="宋体" w:eastAsia="宋体" w:cs="宋体"/>
                <w:color w:val="auto"/>
                <w:sz w:val="24"/>
                <w:szCs w:val="24"/>
                <w:highlight w:val="none"/>
                <w:lang w:val="en-US" w:eastAsia="zh-CN"/>
              </w:rPr>
              <w:t>未标注证明材料要求的可不提供证明材料。</w:t>
            </w:r>
          </w:p>
        </w:tc>
      </w:tr>
      <w:tr w14:paraId="1821C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9" w:type="pct"/>
            <w:noWrap w:val="0"/>
            <w:vAlign w:val="center"/>
          </w:tcPr>
          <w:p w14:paraId="7275B8E2">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重要指标项</w:t>
            </w:r>
          </w:p>
        </w:tc>
        <w:tc>
          <w:tcPr>
            <w:tcW w:w="778" w:type="pct"/>
            <w:noWrap w:val="0"/>
            <w:vAlign w:val="center"/>
          </w:tcPr>
          <w:p w14:paraId="0E7343DD">
            <w:pPr>
              <w:spacing w:line="360" w:lineRule="auto"/>
              <w:jc w:val="center"/>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w:t>
            </w:r>
          </w:p>
        </w:tc>
        <w:tc>
          <w:tcPr>
            <w:tcW w:w="3132" w:type="pct"/>
            <w:noWrap w:val="0"/>
            <w:vAlign w:val="center"/>
          </w:tcPr>
          <w:p w14:paraId="287F1E7F">
            <w:pPr>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评分项，每满足一项得</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未标注证明材料要求的可不提供证明材料。</w:t>
            </w:r>
          </w:p>
        </w:tc>
      </w:tr>
      <w:tr w14:paraId="4A7E3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089" w:type="pct"/>
            <w:noWrap w:val="0"/>
            <w:vAlign w:val="center"/>
          </w:tcPr>
          <w:p w14:paraId="25B43755">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一般指标项</w:t>
            </w:r>
          </w:p>
        </w:tc>
        <w:tc>
          <w:tcPr>
            <w:tcW w:w="778" w:type="pct"/>
            <w:noWrap w:val="0"/>
            <w:vAlign w:val="center"/>
          </w:tcPr>
          <w:p w14:paraId="18A1DAA0">
            <w:pPr>
              <w:spacing w:line="360" w:lineRule="auto"/>
              <w:jc w:val="center"/>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w:t>
            </w:r>
          </w:p>
        </w:tc>
        <w:tc>
          <w:tcPr>
            <w:tcW w:w="3132" w:type="pct"/>
            <w:noWrap w:val="0"/>
            <w:vAlign w:val="center"/>
          </w:tcPr>
          <w:p w14:paraId="05219A30">
            <w:pPr>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评分项，每满足一项得</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未标注证明材料要求的可不提供证明材料。</w:t>
            </w:r>
          </w:p>
        </w:tc>
      </w:tr>
      <w:tr w14:paraId="3342E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089" w:type="pct"/>
            <w:noWrap w:val="0"/>
            <w:vAlign w:val="center"/>
          </w:tcPr>
          <w:p w14:paraId="44A18F2F">
            <w:pPr>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无标识项</w:t>
            </w:r>
          </w:p>
        </w:tc>
        <w:tc>
          <w:tcPr>
            <w:tcW w:w="778" w:type="pct"/>
            <w:noWrap w:val="0"/>
            <w:vAlign w:val="center"/>
          </w:tcPr>
          <w:p w14:paraId="7931D7D0">
            <w:pPr>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color w:val="auto"/>
                <w:sz w:val="24"/>
                <w:szCs w:val="24"/>
                <w:highlight w:val="none"/>
              </w:rPr>
            </w:pPr>
          </w:p>
        </w:tc>
        <w:tc>
          <w:tcPr>
            <w:tcW w:w="3132" w:type="pct"/>
            <w:noWrap w:val="0"/>
            <w:vAlign w:val="center"/>
          </w:tcPr>
          <w:p w14:paraId="4D7DB428">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18"/>
                <w:highlight w:val="none"/>
                <w:lang w:val="en-US" w:eastAsia="zh-CN"/>
              </w:rPr>
              <w:t>无标识项无须逐条响应,投标人</w:t>
            </w:r>
            <w:r>
              <w:rPr>
                <w:rFonts w:hint="eastAsia" w:ascii="宋体" w:hAnsi="宋体" w:eastAsia="宋体" w:cs="宋体"/>
                <w:b/>
                <w:bCs/>
                <w:color w:val="auto"/>
                <w:sz w:val="24"/>
                <w:szCs w:val="18"/>
                <w:highlight w:val="none"/>
              </w:rPr>
              <w:t>须在</w:t>
            </w:r>
            <w:r>
              <w:rPr>
                <w:rFonts w:hint="eastAsia" w:ascii="宋体" w:hAnsi="宋体" w:eastAsia="宋体" w:cs="宋体"/>
                <w:b/>
                <w:bCs/>
                <w:color w:val="auto"/>
                <w:sz w:val="24"/>
                <w:szCs w:val="18"/>
                <w:highlight w:val="none"/>
                <w:lang w:val="en-US" w:eastAsia="zh-CN"/>
              </w:rPr>
              <w:t>投标文件</w:t>
            </w:r>
            <w:r>
              <w:rPr>
                <w:rFonts w:hint="eastAsia" w:ascii="宋体" w:hAnsi="宋体" w:eastAsia="宋体" w:cs="宋体"/>
                <w:b/>
                <w:bCs/>
                <w:color w:val="auto"/>
                <w:sz w:val="24"/>
                <w:szCs w:val="18"/>
                <w:highlight w:val="none"/>
              </w:rPr>
              <w:t>中提供承诺</w:t>
            </w:r>
            <w:r>
              <w:rPr>
                <w:rFonts w:hint="eastAsia" w:ascii="宋体" w:hAnsi="宋体" w:eastAsia="宋体" w:cs="宋体"/>
                <w:b/>
                <w:bCs/>
                <w:color w:val="auto"/>
                <w:sz w:val="24"/>
                <w:szCs w:val="18"/>
                <w:highlight w:val="none"/>
                <w:lang w:eastAsia="zh-CN"/>
              </w:rPr>
              <w:t>，</w:t>
            </w:r>
            <w:r>
              <w:rPr>
                <w:rFonts w:hint="eastAsia" w:ascii="宋体" w:hAnsi="宋体" w:eastAsia="宋体" w:cs="宋体"/>
                <w:b/>
                <w:bCs/>
                <w:color w:val="auto"/>
                <w:sz w:val="24"/>
                <w:szCs w:val="18"/>
                <w:highlight w:val="none"/>
              </w:rPr>
              <w:t>承诺</w:t>
            </w:r>
            <w:r>
              <w:rPr>
                <w:rFonts w:hint="eastAsia" w:ascii="宋体" w:hAnsi="宋体" w:eastAsia="宋体" w:cs="宋体"/>
                <w:b/>
                <w:bCs/>
                <w:color w:val="auto"/>
                <w:sz w:val="24"/>
                <w:szCs w:val="18"/>
                <w:highlight w:val="none"/>
                <w:lang w:eastAsia="zh-CN"/>
              </w:rPr>
              <w:t>无标识项完全满足</w:t>
            </w:r>
            <w:r>
              <w:rPr>
                <w:rFonts w:hint="eastAsia" w:ascii="宋体" w:hAnsi="宋体" w:eastAsia="宋体" w:cs="宋体"/>
                <w:b/>
                <w:bCs/>
                <w:color w:val="auto"/>
                <w:sz w:val="24"/>
                <w:szCs w:val="18"/>
                <w:highlight w:val="none"/>
                <w:lang w:val="en-US" w:eastAsia="zh-CN"/>
              </w:rPr>
              <w:t>招标文件</w:t>
            </w:r>
            <w:r>
              <w:rPr>
                <w:rFonts w:hint="eastAsia" w:ascii="宋体" w:hAnsi="宋体" w:eastAsia="宋体" w:cs="宋体"/>
                <w:b/>
                <w:bCs/>
                <w:color w:val="auto"/>
                <w:sz w:val="24"/>
                <w:szCs w:val="18"/>
                <w:highlight w:val="none"/>
              </w:rPr>
              <w:t>要求，如</w:t>
            </w:r>
            <w:r>
              <w:rPr>
                <w:rFonts w:hint="eastAsia" w:ascii="宋体" w:hAnsi="宋体" w:eastAsia="宋体" w:cs="宋体"/>
                <w:b/>
                <w:bCs/>
                <w:color w:val="auto"/>
                <w:sz w:val="24"/>
                <w:szCs w:val="18"/>
                <w:highlight w:val="none"/>
                <w:lang w:eastAsia="zh-CN"/>
              </w:rPr>
              <w:t>履约验收期间所投产品</w:t>
            </w:r>
            <w:r>
              <w:rPr>
                <w:rFonts w:hint="eastAsia" w:ascii="宋体" w:hAnsi="宋体" w:eastAsia="宋体" w:cs="宋体"/>
                <w:b/>
                <w:bCs/>
                <w:color w:val="auto"/>
                <w:sz w:val="24"/>
                <w:szCs w:val="18"/>
                <w:highlight w:val="none"/>
              </w:rPr>
              <w:t>不满足</w:t>
            </w:r>
            <w:r>
              <w:rPr>
                <w:rFonts w:hint="eastAsia" w:ascii="宋体" w:hAnsi="宋体" w:eastAsia="宋体" w:cs="宋体"/>
                <w:b/>
                <w:bCs/>
                <w:color w:val="auto"/>
                <w:sz w:val="24"/>
                <w:szCs w:val="18"/>
                <w:highlight w:val="none"/>
                <w:lang w:val="en-US" w:eastAsia="zh-CN"/>
              </w:rPr>
              <w:t>招标文件</w:t>
            </w:r>
            <w:r>
              <w:rPr>
                <w:rFonts w:hint="eastAsia" w:ascii="宋体" w:hAnsi="宋体" w:eastAsia="宋体" w:cs="宋体"/>
                <w:b/>
                <w:bCs/>
                <w:color w:val="auto"/>
                <w:sz w:val="24"/>
                <w:szCs w:val="18"/>
                <w:highlight w:val="none"/>
                <w:lang w:eastAsia="zh-CN"/>
              </w:rPr>
              <w:t>要求</w:t>
            </w:r>
            <w:r>
              <w:rPr>
                <w:rFonts w:hint="eastAsia" w:ascii="宋体" w:hAnsi="宋体" w:eastAsia="宋体" w:cs="宋体"/>
                <w:b/>
                <w:bCs/>
                <w:color w:val="auto"/>
                <w:sz w:val="24"/>
                <w:szCs w:val="18"/>
                <w:highlight w:val="none"/>
              </w:rPr>
              <w:t>，</w:t>
            </w:r>
            <w:r>
              <w:rPr>
                <w:rFonts w:hint="eastAsia" w:ascii="宋体" w:hAnsi="宋体" w:eastAsia="宋体" w:cs="宋体"/>
                <w:b/>
                <w:bCs/>
                <w:color w:val="auto"/>
                <w:sz w:val="24"/>
                <w:szCs w:val="18"/>
                <w:highlight w:val="none"/>
                <w:lang w:val="en-US" w:eastAsia="zh-CN"/>
              </w:rPr>
              <w:t>中标人</w:t>
            </w:r>
            <w:r>
              <w:rPr>
                <w:rFonts w:hint="eastAsia" w:ascii="宋体" w:hAnsi="宋体" w:eastAsia="宋体" w:cs="宋体"/>
                <w:b/>
                <w:bCs/>
                <w:color w:val="auto"/>
                <w:sz w:val="24"/>
                <w:szCs w:val="18"/>
                <w:highlight w:val="none"/>
              </w:rPr>
              <w:t>承担由此产生的一切后果及责任</w:t>
            </w:r>
            <w:r>
              <w:rPr>
                <w:rFonts w:hint="eastAsia" w:ascii="宋体" w:hAnsi="宋体" w:eastAsia="宋体" w:cs="宋体"/>
                <w:b/>
                <w:bCs/>
                <w:color w:val="auto"/>
                <w:sz w:val="24"/>
                <w:szCs w:val="18"/>
                <w:highlight w:val="none"/>
                <w:u w:val="single"/>
              </w:rPr>
              <w:t>（承诺函格式</w:t>
            </w:r>
            <w:r>
              <w:rPr>
                <w:rFonts w:hint="eastAsia" w:ascii="宋体" w:hAnsi="宋体" w:eastAsia="宋体" w:cs="宋体"/>
                <w:b/>
                <w:bCs/>
                <w:color w:val="auto"/>
                <w:sz w:val="24"/>
                <w:szCs w:val="18"/>
                <w:highlight w:val="none"/>
                <w:u w:val="single"/>
                <w:lang w:eastAsia="zh-CN"/>
              </w:rPr>
              <w:t>详见投标文件</w:t>
            </w:r>
            <w:r>
              <w:rPr>
                <w:rFonts w:hint="eastAsia" w:ascii="宋体" w:hAnsi="宋体" w:eastAsia="宋体" w:cs="宋体"/>
                <w:b/>
                <w:bCs/>
                <w:color w:val="auto"/>
                <w:sz w:val="24"/>
                <w:szCs w:val="18"/>
                <w:highlight w:val="none"/>
                <w:u w:val="single"/>
                <w:lang w:val="en-US" w:eastAsia="zh-CN"/>
              </w:rPr>
              <w:t>格式</w:t>
            </w:r>
            <w:r>
              <w:rPr>
                <w:rFonts w:hint="eastAsia" w:ascii="宋体" w:hAnsi="宋体" w:eastAsia="宋体" w:cs="宋体"/>
                <w:b/>
                <w:bCs/>
                <w:color w:val="auto"/>
                <w:sz w:val="24"/>
                <w:szCs w:val="18"/>
                <w:highlight w:val="none"/>
                <w:u w:val="single"/>
              </w:rPr>
              <w:t>）</w:t>
            </w:r>
            <w:r>
              <w:rPr>
                <w:rFonts w:hint="eastAsia" w:ascii="宋体" w:hAnsi="宋体" w:eastAsia="宋体" w:cs="宋体"/>
                <w:b/>
                <w:bCs/>
                <w:color w:val="auto"/>
                <w:sz w:val="24"/>
                <w:szCs w:val="18"/>
                <w:highlight w:val="none"/>
              </w:rPr>
              <w:t>。</w:t>
            </w:r>
            <w:r>
              <w:rPr>
                <w:rFonts w:hint="eastAsia" w:ascii="宋体" w:hAnsi="宋体" w:eastAsia="宋体" w:cs="宋体"/>
                <w:b/>
                <w:bCs/>
                <w:color w:val="auto"/>
                <w:sz w:val="24"/>
                <w:szCs w:val="18"/>
                <w:highlight w:val="none"/>
                <w:lang w:val="en-US" w:eastAsia="zh-CN"/>
              </w:rPr>
              <w:t>投标文件中</w:t>
            </w:r>
            <w:r>
              <w:rPr>
                <w:rFonts w:hint="eastAsia" w:ascii="宋体" w:hAnsi="宋体" w:eastAsia="宋体" w:cs="宋体"/>
                <w:b/>
                <w:bCs/>
                <w:color w:val="auto"/>
                <w:sz w:val="24"/>
                <w:szCs w:val="18"/>
                <w:highlight w:val="none"/>
              </w:rPr>
              <w:t>未提供相应承诺或承诺的内容不满足要求的，</w:t>
            </w:r>
            <w:r>
              <w:rPr>
                <w:rFonts w:hint="eastAsia" w:ascii="宋体" w:hAnsi="宋体" w:eastAsia="宋体" w:cs="宋体"/>
                <w:b/>
                <w:bCs/>
                <w:color w:val="auto"/>
                <w:sz w:val="24"/>
                <w:szCs w:val="18"/>
                <w:highlight w:val="none"/>
                <w:lang w:val="en-US" w:eastAsia="zh-CN"/>
              </w:rPr>
              <w:t>投标无效。</w:t>
            </w:r>
          </w:p>
        </w:tc>
      </w:tr>
      <w:tr w14:paraId="47021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5000" w:type="pct"/>
            <w:gridSpan w:val="3"/>
            <w:noWrap w:val="0"/>
            <w:vAlign w:val="center"/>
          </w:tcPr>
          <w:p w14:paraId="63103441">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b/>
                <w:bCs/>
                <w:color w:val="auto"/>
                <w:sz w:val="24"/>
                <w:szCs w:val="18"/>
                <w:highlight w:val="none"/>
                <w:lang w:val="en-US" w:eastAsia="zh-CN"/>
              </w:rPr>
            </w:pPr>
            <w:r>
              <w:rPr>
                <w:rFonts w:hint="eastAsia" w:ascii="宋体" w:hAnsi="宋体" w:eastAsia="宋体" w:cs="宋体"/>
                <w:b/>
                <w:bCs/>
                <w:color w:val="auto"/>
                <w:sz w:val="24"/>
                <w:szCs w:val="18"/>
                <w:highlight w:val="none"/>
                <w:lang w:val="en-US" w:eastAsia="zh-CN"/>
              </w:rPr>
              <w:t>“所属行业”栏标注为“/”的项为所投产品配套的工程或服务，无需在《中小企业声明函》中列明。</w:t>
            </w:r>
          </w:p>
        </w:tc>
      </w:tr>
    </w:tbl>
    <w:p w14:paraId="29AD69B4">
      <w:pPr>
        <w:spacing w:line="360" w:lineRule="auto"/>
        <w:outlineLvl w:val="1"/>
        <w:rPr>
          <w:rFonts w:hint="eastAsia" w:ascii="宋体" w:hAnsi="宋体" w:eastAsia="宋体" w:cs="@仿宋_GB2312"/>
          <w:b/>
          <w:bCs/>
          <w:color w:val="auto"/>
          <w:sz w:val="24"/>
          <w:szCs w:val="18"/>
          <w:highlight w:val="none"/>
          <w:lang w:val="en-US" w:eastAsia="zh-CN"/>
        </w:rPr>
      </w:pPr>
      <w:r>
        <w:rPr>
          <w:rFonts w:hint="eastAsia" w:ascii="宋体" w:hAnsi="宋体" w:eastAsia="宋体" w:cs="@仿宋_GB2312"/>
          <w:b/>
          <w:bCs/>
          <w:color w:val="auto"/>
          <w:sz w:val="24"/>
          <w:szCs w:val="18"/>
          <w:highlight w:val="none"/>
          <w:lang w:val="en-US" w:eastAsia="zh-CN"/>
        </w:rPr>
        <w:t>三</w:t>
      </w:r>
      <w:r>
        <w:rPr>
          <w:rFonts w:hint="eastAsia" w:ascii="宋体" w:hAnsi="宋体" w:eastAsia="宋体" w:cs="@仿宋_GB2312"/>
          <w:b/>
          <w:bCs/>
          <w:color w:val="auto"/>
          <w:sz w:val="24"/>
          <w:szCs w:val="18"/>
          <w:highlight w:val="none"/>
        </w:rPr>
        <w:t>、</w:t>
      </w:r>
      <w:r>
        <w:rPr>
          <w:rFonts w:hint="eastAsia" w:ascii="宋体" w:hAnsi="宋体" w:eastAsia="宋体" w:cs="@仿宋_GB2312"/>
          <w:b/>
          <w:bCs/>
          <w:color w:val="auto"/>
          <w:sz w:val="24"/>
          <w:szCs w:val="18"/>
          <w:highlight w:val="none"/>
          <w:lang w:val="en-US" w:eastAsia="zh-CN"/>
        </w:rPr>
        <w:t>采购标的及技术要求（下述技术参数所涉及的具体物理尺寸：货物指标要求中明确允许偏离范围的，按货物指标要求执行；货物指标要求中未明确允许偏离范围的，允许±5%偏离。）</w:t>
      </w:r>
    </w:p>
    <w:tbl>
      <w:tblPr>
        <w:tblStyle w:val="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9"/>
        <w:gridCol w:w="839"/>
        <w:gridCol w:w="5991"/>
        <w:gridCol w:w="535"/>
        <w:gridCol w:w="535"/>
      </w:tblGrid>
      <w:tr w14:paraId="45F21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363" w:type="pct"/>
            <w:vAlign w:val="center"/>
          </w:tcPr>
          <w:p w14:paraId="42976834">
            <w:pPr>
              <w:snapToGrid w:val="0"/>
              <w:spacing w:line="360" w:lineRule="auto"/>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序号</w:t>
            </w:r>
          </w:p>
        </w:tc>
        <w:tc>
          <w:tcPr>
            <w:tcW w:w="492" w:type="pct"/>
            <w:vAlign w:val="center"/>
          </w:tcPr>
          <w:p w14:paraId="43F6DC17">
            <w:pPr>
              <w:snapToGrid w:val="0"/>
              <w:spacing w:line="360" w:lineRule="auto"/>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lang w:val="en-US" w:eastAsia="zh-CN"/>
              </w:rPr>
              <w:t>标的</w:t>
            </w:r>
            <w:r>
              <w:rPr>
                <w:rFonts w:hint="eastAsia" w:ascii="宋体" w:hAnsi="宋体" w:eastAsia="宋体" w:cs="宋体"/>
                <w:b/>
                <w:color w:val="auto"/>
                <w:sz w:val="22"/>
                <w:szCs w:val="22"/>
                <w:highlight w:val="none"/>
              </w:rPr>
              <w:t>名称</w:t>
            </w:r>
          </w:p>
        </w:tc>
        <w:tc>
          <w:tcPr>
            <w:tcW w:w="3514" w:type="pct"/>
            <w:vAlign w:val="center"/>
          </w:tcPr>
          <w:p w14:paraId="2F7195E2">
            <w:pPr>
              <w:snapToGrid w:val="0"/>
              <w:spacing w:line="360" w:lineRule="auto"/>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lang w:val="en-US" w:eastAsia="zh-CN"/>
              </w:rPr>
              <w:t>产品参数</w:t>
            </w:r>
          </w:p>
        </w:tc>
        <w:tc>
          <w:tcPr>
            <w:tcW w:w="314" w:type="pct"/>
            <w:vAlign w:val="center"/>
          </w:tcPr>
          <w:p w14:paraId="0A376D45">
            <w:pPr>
              <w:snapToGrid w:val="0"/>
              <w:spacing w:line="360" w:lineRule="auto"/>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lang w:val="en-US" w:eastAsia="zh-CN"/>
              </w:rPr>
              <w:t>数量</w:t>
            </w:r>
          </w:p>
        </w:tc>
        <w:tc>
          <w:tcPr>
            <w:tcW w:w="314" w:type="pct"/>
            <w:vAlign w:val="center"/>
          </w:tcPr>
          <w:p w14:paraId="33B9448F">
            <w:pPr>
              <w:snapToGrid w:val="0"/>
              <w:spacing w:line="360" w:lineRule="auto"/>
              <w:jc w:val="center"/>
              <w:rPr>
                <w:rFonts w:hint="default" w:ascii="宋体" w:hAnsi="宋体" w:eastAsia="宋体" w:cs="宋体"/>
                <w:b/>
                <w:color w:val="auto"/>
                <w:sz w:val="22"/>
                <w:szCs w:val="22"/>
                <w:highlight w:val="none"/>
                <w:lang w:val="en-US" w:eastAsia="zh-CN"/>
              </w:rPr>
            </w:pPr>
            <w:r>
              <w:rPr>
                <w:rFonts w:hint="eastAsia" w:ascii="宋体" w:hAnsi="宋体" w:eastAsia="宋体" w:cs="宋体"/>
                <w:b/>
                <w:color w:val="auto"/>
                <w:sz w:val="22"/>
                <w:szCs w:val="22"/>
                <w:highlight w:val="none"/>
                <w:lang w:val="en-US" w:eastAsia="zh-CN"/>
              </w:rPr>
              <w:t>所属行业</w:t>
            </w:r>
          </w:p>
        </w:tc>
      </w:tr>
      <w:tr w14:paraId="05AFA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63" w:type="pct"/>
            <w:vAlign w:val="center"/>
          </w:tcPr>
          <w:p w14:paraId="3922797C">
            <w:pPr>
              <w:keepNext w:val="0"/>
              <w:keepLines w:val="0"/>
              <w:widowControl/>
              <w:suppressLineNumbers w:val="0"/>
              <w:spacing w:line="360" w:lineRule="auto"/>
              <w:jc w:val="center"/>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492" w:type="pct"/>
            <w:vAlign w:val="center"/>
          </w:tcPr>
          <w:p w14:paraId="54C84D62">
            <w:pPr>
              <w:keepNext w:val="0"/>
              <w:keepLines w:val="0"/>
              <w:widowControl/>
              <w:suppressLineNumbers w:val="0"/>
              <w:spacing w:line="360" w:lineRule="auto"/>
              <w:jc w:val="left"/>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外科手术模拟人</w:t>
            </w:r>
          </w:p>
        </w:tc>
        <w:tc>
          <w:tcPr>
            <w:tcW w:w="3514" w:type="pct"/>
            <w:vAlign w:val="center"/>
          </w:tcPr>
          <w:p w14:paraId="4269A172">
            <w:pPr>
              <w:keepNext w:val="0"/>
              <w:keepLines w:val="0"/>
              <w:widowControl/>
              <w:suppressLineNumbers w:val="0"/>
              <w:spacing w:line="360" w:lineRule="auto"/>
              <w:jc w:val="left"/>
              <w:textAlignment w:val="center"/>
              <w:rPr>
                <w:rFonts w:hint="eastAsia" w:ascii="宋体" w:hAnsi="宋体" w:eastAsia="宋体" w:cs="宋体"/>
                <w:color w:val="auto"/>
                <w:sz w:val="22"/>
                <w:szCs w:val="22"/>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 xml:space="preserve">1.手术区消毒、辅巾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1.1.模拟人体表解剖标志明显，全身皮肤柔软，模型内部具有完整的骨骼仿生结构，触感真实，可进行腹部切口及腹股沟部位消毒操作训练。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1.2.模拟人头部可后仰，可进行甲状腺消毒操作训练。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2、清创术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2.1.模拟人设计有多处开放性伤口，以LED灯模拟出血，可定制伤口位置及类型。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左前臂割伤（伤口长3cm，深达皮下组织，污染严重）；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右前臂砍伤（伤口长5cm，深达肌肉组织，伴活动性出血）；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右小腿割伤（伤口长5cm，深达肌肉组织，伴活动性出血）；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2.2.可进行伤口初步处理及清创（包括消毒、麻醉，视情况决定是否止血、清除异物、吻合、缝合）操作训练。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3.开放性伤口的止血包扎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3.1.模拟人右小腿及右前臂设计有开放性伤口，可通过无线遥控器控制，以LED灯模拟血液流出，进行指压（上、下肢出血分别压迫上臂内侧的肱动脉、腹股沟中点稍下方的股动脉进行止血）、止血带（上、下肢出血分别于上臂上三分之一、大腿中上三分之一交界处结扎止血带）止血训练，操作正确可达到止血效果。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3.2.模拟人四肢关节灵活，可进行绷带（包括四肢的环形、8字包扎以及头部帽式包扎）、 三角巾包扎操作训练。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4.三腔二囊管止血法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4.1模拟人双侧鼻腔通畅，可插入三腔二囊管，插管深度约50—65cm。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4.2.正确操作插管进入胃部，回抽有胃液。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4.3.三腔二囊管进入胃部，可进行胃气囊充气压迫止血及牵引操作，视情况可进行食管气囊充气。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5.搭配模块：高级皮肤切开缝合模块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5.1.皮肤模块具有清晰的皮肤及皮下组织结构，具有接近皮肤真实的组织张力。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5.2.可进行皮肤切开、缝合练习。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5.3、皮肤切开间断缝合后，搭配纱布、医用胶带，可进行换药与拆线练习。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6.搭配模块：脓肿切开术训练模块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6.1.模块模拟脓肿病变，可通过触摸波动感进行定位，诊断性穿刺可抽出脓液。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6.2可进行消毒、麻醉、诊断性穿刺、脓肿切开、探查、引流、包扎练习。</w:t>
            </w:r>
          </w:p>
        </w:tc>
        <w:tc>
          <w:tcPr>
            <w:tcW w:w="314" w:type="pct"/>
            <w:vAlign w:val="center"/>
          </w:tcPr>
          <w:p w14:paraId="5F5BD31D">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1套</w:t>
            </w:r>
          </w:p>
        </w:tc>
        <w:tc>
          <w:tcPr>
            <w:tcW w:w="314" w:type="pct"/>
            <w:vAlign w:val="center"/>
          </w:tcPr>
          <w:p w14:paraId="04FC1C83">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工业</w:t>
            </w:r>
          </w:p>
        </w:tc>
      </w:tr>
      <w:tr w14:paraId="6E7C3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63" w:type="pct"/>
            <w:vAlign w:val="center"/>
          </w:tcPr>
          <w:p w14:paraId="4A75272E">
            <w:pPr>
              <w:keepNext w:val="0"/>
              <w:keepLines w:val="0"/>
              <w:widowControl/>
              <w:suppressLineNumbers w:val="0"/>
              <w:spacing w:line="360" w:lineRule="auto"/>
              <w:jc w:val="center"/>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492" w:type="pct"/>
            <w:vAlign w:val="center"/>
          </w:tcPr>
          <w:p w14:paraId="009896D8">
            <w:pPr>
              <w:keepNext w:val="0"/>
              <w:keepLines w:val="0"/>
              <w:widowControl/>
              <w:suppressLineNumbers w:val="0"/>
              <w:spacing w:line="360" w:lineRule="auto"/>
              <w:jc w:val="left"/>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动静脉穿刺手臂</w:t>
            </w:r>
          </w:p>
        </w:tc>
        <w:tc>
          <w:tcPr>
            <w:tcW w:w="3514" w:type="pct"/>
            <w:vAlign w:val="center"/>
          </w:tcPr>
          <w:p w14:paraId="56C199D4">
            <w:pPr>
              <w:keepNext w:val="0"/>
              <w:keepLines w:val="0"/>
              <w:widowControl/>
              <w:suppressLineNumbers w:val="0"/>
              <w:spacing w:line="360" w:lineRule="auto"/>
              <w:jc w:val="left"/>
              <w:textAlignment w:val="center"/>
              <w:rPr>
                <w:rFonts w:hint="eastAsia" w:ascii="宋体" w:hAnsi="宋体" w:eastAsia="宋体" w:cs="宋体"/>
                <w:color w:val="auto"/>
                <w:sz w:val="22"/>
                <w:szCs w:val="22"/>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1.模型采用高分子聚合物复合材料，生物相容性优异、低致敏、无挥发性有毒物质；按亚洲人种生物力学仿生优化设计，具备微观褶皱纹理及真实触觉感知反馈。</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2.集成多层级仿生血管网络，内置8条独立模拟静脉血管，血管采用乳胶基弹性导管配不锈钢螺旋支撑体，可真实模拟静脉壁应力松弛及蠕变特性。</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3.表皮为聚氯乙烯共聚物复合基材，可耐受数百次反复穿刺不渗漏、穿刺痕迹微小，搭载仿生透气质构耦合系统，模拟人体真实皮肤代谢特性。</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4.含人体工程学握持装置、自驱式流体动力学控制单元，自带智能水循环自清洁、气压差防虹吸及溢流抑制功能；标配≥5600mAh 锂电池、不低于IPX4级防护便携收纳结构及全套合规实训耗材配件。</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●5.配备高分辨率液晶显示单元、400ml容积式液体暂存单元及高精度压力传感阵列，采样频率≥1kHz，可实时监测血流动力学参数并自适应稳压回血。</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6.支持静脉、肌内、皮下多种穿刺注射方式，适配多类型穿刺针；穿刺回血响应时间≤0.5秒，穿刺过程有清晰可感知机械位移骤减反馈。</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7.采用模块化仿生脉管结构，血管与表皮可快速独立拆装置换，循环使用次数＞1500次，拆装后仍保持原有生物力学特性。</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●8.配置电动驱动式闭环血流动力学系统，可实现血流输运及压力、阻力分布可视化表征。</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●9.内置9级动态血管阻力模拟，静脉顺应性调节范围 0.5—4.5mL/mmHg，采用 PID 闭环控制，压力波动≤±2%，满足不同教学实训等级需求。</w:t>
            </w:r>
          </w:p>
        </w:tc>
        <w:tc>
          <w:tcPr>
            <w:tcW w:w="314" w:type="pct"/>
            <w:vAlign w:val="center"/>
          </w:tcPr>
          <w:p w14:paraId="2B27DE09">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30套</w:t>
            </w:r>
          </w:p>
        </w:tc>
        <w:tc>
          <w:tcPr>
            <w:tcW w:w="314" w:type="pct"/>
            <w:vAlign w:val="center"/>
          </w:tcPr>
          <w:p w14:paraId="2EC4D647">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工业</w:t>
            </w:r>
          </w:p>
        </w:tc>
      </w:tr>
      <w:tr w14:paraId="24F23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5" w:hRule="atLeast"/>
        </w:trPr>
        <w:tc>
          <w:tcPr>
            <w:tcW w:w="363" w:type="pct"/>
            <w:vAlign w:val="center"/>
          </w:tcPr>
          <w:p w14:paraId="25731ADA">
            <w:pPr>
              <w:keepNext w:val="0"/>
              <w:keepLines w:val="0"/>
              <w:widowControl/>
              <w:suppressLineNumbers w:val="0"/>
              <w:spacing w:line="360" w:lineRule="auto"/>
              <w:jc w:val="center"/>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492" w:type="pct"/>
            <w:vAlign w:val="center"/>
          </w:tcPr>
          <w:p w14:paraId="256084F9">
            <w:pPr>
              <w:keepNext w:val="0"/>
              <w:keepLines w:val="0"/>
              <w:widowControl/>
              <w:suppressLineNumbers w:val="0"/>
              <w:spacing w:line="360" w:lineRule="auto"/>
              <w:jc w:val="left"/>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护理模拟人</w:t>
            </w:r>
          </w:p>
        </w:tc>
        <w:tc>
          <w:tcPr>
            <w:tcW w:w="3514" w:type="pct"/>
            <w:vAlign w:val="center"/>
          </w:tcPr>
          <w:p w14:paraId="6BA9A854">
            <w:pPr>
              <w:keepNext w:val="0"/>
              <w:keepLines w:val="0"/>
              <w:widowControl/>
              <w:numPr>
                <w:ilvl w:val="0"/>
                <w:numId w:val="1"/>
              </w:numPr>
              <w:suppressLineNumbers w:val="0"/>
              <w:spacing w:line="360"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具有高度灵活的关节，头部（前倾、后仰、开举下颌）；颈部（旋前、旋后、前屈、后伸）；躯干（旋前、旋后、前屈、后伸）；四肢（旋前、旋后、展收、屈伸、旋内、旋外；髋关节的内收、外展；腕关节和踝关节的屈伸、展收），可实现各种体位的摆放。</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2.具有完全仿真的头颈部，面部材质柔软、手感真实；逼真的口腔（牙齿、舌、悬雍垂），逼真的气道（会厌、声门、喉、杓状软骨、声带、气管）和食道，连接胸腔内仿真的肺和胃。</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3.可进行经口、气管插管的操作；鼻胃管插管/洗胃、鼻饲法（满足插入鼻胃管16Fr）的操作；经口、鼻、气管造口吸痰法的操作；吸氧法的操作；气管切开术后护理。</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4.可进行脸部护理、头发护理、口腔护理、假牙清洁护理。</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5.模拟瞳孔一侧正常一侧散大的观察对比。</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6.女性模拟人可乳房检查和乳房护理。</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7.具有质感高度逼真的（男/女）会阴，材质的拉伸率和抗撕裂强度极高，可进行（男/女）导尿术的操作、留置导尿及护理、灌肠术的操作、阴道护理，可使用阴道窥器。</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8.可进行臀部肌肉注射、臀部压疮护理，配全套四个阶段压疮护理模块。</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9.可进行上臂肌肉注射。</w:t>
            </w:r>
          </w:p>
          <w:p w14:paraId="0F305147">
            <w:pPr>
              <w:keepNext w:val="0"/>
              <w:keepLines w:val="0"/>
              <w:widowControl/>
              <w:numPr>
                <w:ilvl w:val="0"/>
                <w:numId w:val="0"/>
              </w:numPr>
              <w:suppressLineNumbers w:val="0"/>
              <w:spacing w:line="360"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●10、模型配套在线学习账号，支持绑定不少于30个学生账号同时使用，支持学生和导师在任何时间、地点远程学习和教学，可使用平板电脑、手机等移动端设备。</w:t>
            </w:r>
          </w:p>
          <w:p w14:paraId="7A7E8451">
            <w:pPr>
              <w:keepNext w:val="0"/>
              <w:keepLines w:val="0"/>
              <w:widowControl/>
              <w:numPr>
                <w:ilvl w:val="0"/>
                <w:numId w:val="0"/>
              </w:numPr>
              <w:suppressLineNumbers w:val="0"/>
              <w:spacing w:line="360"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■11、系统具有一方扫描对方二维码线上结伴，方便开展同伴互学的功能，方便导师进行学员的考核和成绩的统计。</w:t>
            </w:r>
          </w:p>
          <w:p w14:paraId="615CB383">
            <w:pPr>
              <w:keepNext w:val="0"/>
              <w:keepLines w:val="0"/>
              <w:widowControl/>
              <w:numPr>
                <w:ilvl w:val="0"/>
                <w:numId w:val="0"/>
              </w:numPr>
              <w:suppressLineNumbers w:val="0"/>
              <w:spacing w:line="360" w:lineRule="auto"/>
              <w:jc w:val="left"/>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12、学员端支持开展同伴互学功能，节省人力；同伴互学需同时在线选择学习者和考察者的角色，并在线记录学习者的所有练习成绩。同伴互学结束后允许互换角色或继续练习。练习模块技能的设置需按照操作前思考、操作核查和操作后反思三部分内容进行设计，方便学员考查。</w:t>
            </w:r>
            <w:r>
              <w:rPr>
                <w:rFonts w:hint="eastAsia" w:ascii="宋体" w:hAnsi="宋体" w:eastAsia="宋体" w:cs="宋体"/>
                <w:b/>
                <w:bCs/>
                <w:i w:val="0"/>
                <w:iCs w:val="0"/>
                <w:color w:val="auto"/>
                <w:kern w:val="0"/>
                <w:sz w:val="22"/>
                <w:szCs w:val="22"/>
                <w:highlight w:val="none"/>
                <w:u w:val="none"/>
                <w:lang w:val="en-US" w:eastAsia="zh-CN" w:bidi="ar"/>
              </w:rPr>
              <w:t>（投标文件中提供系统截图或产品彩页扫描件）</w:t>
            </w:r>
          </w:p>
          <w:p w14:paraId="4AAB6354">
            <w:pPr>
              <w:keepNext w:val="0"/>
              <w:keepLines w:val="0"/>
              <w:widowControl/>
              <w:numPr>
                <w:ilvl w:val="0"/>
                <w:numId w:val="0"/>
              </w:numPr>
              <w:suppressLineNumbers w:val="0"/>
              <w:spacing w:line="360"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■13.系统支持创建自定义的技能库，技能库允许新增或删除技能，新增时可设置技能名称、学习目标，概述，上传示教视频，同时支持进行操作前思考、操作和操作后反思三个模块内容的题目设置。</w:t>
            </w:r>
            <w:r>
              <w:rPr>
                <w:rFonts w:hint="eastAsia" w:ascii="宋体" w:hAnsi="宋体" w:eastAsia="宋体" w:cs="宋体"/>
                <w:b/>
                <w:bCs/>
                <w:i w:val="0"/>
                <w:iCs w:val="0"/>
                <w:color w:val="auto"/>
                <w:kern w:val="0"/>
                <w:sz w:val="22"/>
                <w:szCs w:val="22"/>
                <w:highlight w:val="none"/>
                <w:u w:val="none"/>
                <w:lang w:val="en-US" w:eastAsia="zh-CN" w:bidi="ar"/>
              </w:rPr>
              <w:t>（投标文件中提供系统截图或产品彩页扫描件）</w:t>
            </w:r>
          </w:p>
          <w:p w14:paraId="4AAC0EDE">
            <w:pPr>
              <w:keepNext w:val="0"/>
              <w:keepLines w:val="0"/>
              <w:widowControl/>
              <w:numPr>
                <w:ilvl w:val="0"/>
                <w:numId w:val="0"/>
              </w:numPr>
              <w:suppressLineNumbers w:val="0"/>
              <w:spacing w:line="360" w:lineRule="auto"/>
              <w:jc w:val="left"/>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★14.支持对学员成绩的自动统计和分析。成绩统计的维度支持对学员个人成绩、以单项技能统计班级成绩及进行题目答题情况进行统计，以了解学生或学习的弱项并进行强化或个性化教学。</w:t>
            </w:r>
            <w:r>
              <w:rPr>
                <w:rFonts w:hint="eastAsia" w:ascii="宋体" w:hAnsi="宋体" w:eastAsia="宋体" w:cs="宋体"/>
                <w:b/>
                <w:bCs/>
                <w:i w:val="0"/>
                <w:iCs w:val="0"/>
                <w:color w:val="auto"/>
                <w:kern w:val="0"/>
                <w:sz w:val="22"/>
                <w:szCs w:val="22"/>
                <w:highlight w:val="none"/>
                <w:u w:val="none"/>
                <w:lang w:val="en-US" w:eastAsia="zh-CN" w:bidi="ar"/>
              </w:rPr>
              <w:t xml:space="preserve">（投标文件中提供系统截图或产品彩页扫描件） </w:t>
            </w:r>
          </w:p>
        </w:tc>
        <w:tc>
          <w:tcPr>
            <w:tcW w:w="314" w:type="pct"/>
            <w:vAlign w:val="center"/>
          </w:tcPr>
          <w:p w14:paraId="1E53A4AF">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20套</w:t>
            </w:r>
          </w:p>
        </w:tc>
        <w:tc>
          <w:tcPr>
            <w:tcW w:w="314" w:type="pct"/>
            <w:vAlign w:val="center"/>
          </w:tcPr>
          <w:p w14:paraId="45575F41">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工业</w:t>
            </w:r>
          </w:p>
        </w:tc>
      </w:tr>
      <w:tr w14:paraId="18366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trPr>
        <w:tc>
          <w:tcPr>
            <w:tcW w:w="363" w:type="pct"/>
            <w:vAlign w:val="center"/>
          </w:tcPr>
          <w:p w14:paraId="06DC4FB5">
            <w:pPr>
              <w:keepNext w:val="0"/>
              <w:keepLines w:val="0"/>
              <w:widowControl/>
              <w:suppressLineNumbers w:val="0"/>
              <w:spacing w:line="360" w:lineRule="auto"/>
              <w:jc w:val="center"/>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492" w:type="pct"/>
            <w:vAlign w:val="center"/>
          </w:tcPr>
          <w:p w14:paraId="71457089">
            <w:pPr>
              <w:keepNext w:val="0"/>
              <w:keepLines w:val="0"/>
              <w:widowControl/>
              <w:suppressLineNumbers w:val="0"/>
              <w:spacing w:line="360" w:lineRule="auto"/>
              <w:jc w:val="left"/>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臀部注射瓣</w:t>
            </w:r>
          </w:p>
        </w:tc>
        <w:tc>
          <w:tcPr>
            <w:tcW w:w="3514" w:type="pct"/>
            <w:vAlign w:val="center"/>
          </w:tcPr>
          <w:p w14:paraId="0139D0D9">
            <w:pPr>
              <w:keepNext w:val="0"/>
              <w:keepLines w:val="0"/>
              <w:widowControl/>
              <w:suppressLineNumbers w:val="0"/>
              <w:spacing w:line="360" w:lineRule="auto"/>
              <w:jc w:val="left"/>
              <w:textAlignment w:val="center"/>
              <w:rPr>
                <w:rFonts w:hint="eastAsia" w:ascii="宋体" w:hAnsi="宋体" w:eastAsia="宋体" w:cs="宋体"/>
                <w:color w:val="auto"/>
                <w:sz w:val="22"/>
                <w:szCs w:val="22"/>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模拟成人臀部，能够实现侧卧，俯卧，可以进行臀大肌注射，注射模块可方便取出。</w:t>
            </w:r>
          </w:p>
        </w:tc>
        <w:tc>
          <w:tcPr>
            <w:tcW w:w="314" w:type="pct"/>
            <w:vAlign w:val="center"/>
          </w:tcPr>
          <w:p w14:paraId="45C5ADBF">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20套</w:t>
            </w:r>
          </w:p>
        </w:tc>
        <w:tc>
          <w:tcPr>
            <w:tcW w:w="314" w:type="pct"/>
            <w:vAlign w:val="center"/>
          </w:tcPr>
          <w:p w14:paraId="25DAECA7">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工业</w:t>
            </w:r>
          </w:p>
        </w:tc>
      </w:tr>
      <w:tr w14:paraId="0FCBA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63" w:type="pct"/>
            <w:vAlign w:val="center"/>
          </w:tcPr>
          <w:p w14:paraId="7AD447EE">
            <w:pPr>
              <w:keepNext w:val="0"/>
              <w:keepLines w:val="0"/>
              <w:widowControl/>
              <w:suppressLineNumbers w:val="0"/>
              <w:spacing w:line="360" w:lineRule="auto"/>
              <w:jc w:val="center"/>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492" w:type="pct"/>
            <w:vAlign w:val="center"/>
          </w:tcPr>
          <w:p w14:paraId="79BC8FFC">
            <w:pPr>
              <w:keepNext w:val="0"/>
              <w:keepLines w:val="0"/>
              <w:widowControl/>
              <w:suppressLineNumbers w:val="0"/>
              <w:spacing w:line="360" w:lineRule="auto"/>
              <w:jc w:val="left"/>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电动折叠轮椅</w:t>
            </w:r>
          </w:p>
        </w:tc>
        <w:tc>
          <w:tcPr>
            <w:tcW w:w="3514" w:type="pct"/>
            <w:vAlign w:val="center"/>
          </w:tcPr>
          <w:p w14:paraId="796F8E4A">
            <w:pPr>
              <w:keepNext w:val="0"/>
              <w:keepLines w:val="0"/>
              <w:widowControl/>
              <w:suppressLineNumbers w:val="0"/>
              <w:spacing w:line="360" w:lineRule="auto"/>
              <w:jc w:val="left"/>
              <w:textAlignment w:val="center"/>
              <w:rPr>
                <w:rFonts w:hint="eastAsia" w:ascii="宋体" w:hAnsi="宋体" w:eastAsia="宋体" w:cs="宋体"/>
                <w:color w:val="auto"/>
                <w:sz w:val="22"/>
                <w:szCs w:val="22"/>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1.采用铝合金车架，支持手动折叠。</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2.配备无刷电机，储能电池，车子可电动升降40—60cm；</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3.扶手可上掀，控制器左右可互换，方便老年人或患者从侧面移位，操作灵活、使用便捷。</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4.配置防后翻轮和电磁刹车，驻坡不溜坡。</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5.承重能力≥100kg，适用于多种场景。</w:t>
            </w:r>
          </w:p>
        </w:tc>
        <w:tc>
          <w:tcPr>
            <w:tcW w:w="314" w:type="pct"/>
            <w:vAlign w:val="center"/>
          </w:tcPr>
          <w:p w14:paraId="31A707AF">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1张</w:t>
            </w:r>
          </w:p>
        </w:tc>
        <w:tc>
          <w:tcPr>
            <w:tcW w:w="314" w:type="pct"/>
            <w:vAlign w:val="center"/>
          </w:tcPr>
          <w:p w14:paraId="36648195">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工业</w:t>
            </w:r>
          </w:p>
        </w:tc>
      </w:tr>
      <w:tr w14:paraId="1E7D2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63" w:type="pct"/>
            <w:vAlign w:val="center"/>
          </w:tcPr>
          <w:p w14:paraId="27453A6A">
            <w:pPr>
              <w:keepNext w:val="0"/>
              <w:keepLines w:val="0"/>
              <w:widowControl/>
              <w:suppressLineNumbers w:val="0"/>
              <w:spacing w:line="360" w:lineRule="auto"/>
              <w:jc w:val="center"/>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6</w:t>
            </w:r>
          </w:p>
        </w:tc>
        <w:tc>
          <w:tcPr>
            <w:tcW w:w="492" w:type="pct"/>
            <w:vAlign w:val="center"/>
          </w:tcPr>
          <w:p w14:paraId="1A13B43C">
            <w:pPr>
              <w:keepNext w:val="0"/>
              <w:keepLines w:val="0"/>
              <w:widowControl/>
              <w:suppressLineNumbers w:val="0"/>
              <w:spacing w:line="360" w:lineRule="auto"/>
              <w:jc w:val="left"/>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智能照护护理床（含离床报警系统和跌倒报警系统）</w:t>
            </w:r>
          </w:p>
        </w:tc>
        <w:tc>
          <w:tcPr>
            <w:tcW w:w="3514" w:type="pct"/>
            <w:vAlign w:val="center"/>
          </w:tcPr>
          <w:p w14:paraId="0DFF6174">
            <w:pPr>
              <w:widowControl w:val="0"/>
              <w:spacing w:line="360" w:lineRule="auto"/>
              <w:jc w:val="left"/>
              <w:rPr>
                <w:rFonts w:hint="eastAsia" w:ascii="宋体" w:hAnsi="宋体" w:eastAsia="宋体" w:cs="宋体"/>
                <w:color w:val="auto"/>
                <w:sz w:val="22"/>
                <w:szCs w:val="22"/>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1.尺寸≥2020*1050*950㎝</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2.产品净重≥160kg</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3.材质：颗粒板床头床尾，配置≥8公分高弹海绵</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4.一床三用：护理床、轮椅功能、担架功能</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5.有床椅分离功能，拨动卡扣按钮，床椅轻松分离，方便移动</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6.护理床功能：满足老人日常护理、就餐、阅读、坐起功能</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7.轮椅功能：无需从床上搬到轮椅，避免造成二次伤害</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8.担架床：轮椅可变担架，方便日常护理照顾，平躺移动适应多功能需求</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9.轮椅功能：靠背角度：85-180°，腿部角度：75-180°</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●10.配尿失禁报警垫：可配合一次性护理垫，尺寸≥55*90cm，感应距离</w:t>
            </w:r>
            <w:r>
              <w:rPr>
                <w:rFonts w:hint="eastAsia" w:ascii="Calibri" w:hAnsi="Calibri" w:eastAsia="宋体" w:cs="宋体"/>
                <w:color w:val="auto"/>
                <w:kern w:val="2"/>
                <w:sz w:val="21"/>
                <w:szCs w:val="22"/>
                <w:highlight w:val="none"/>
                <w:lang w:val="en-US" w:eastAsia="zh-CN" w:bidi="ar-SA"/>
              </w:rPr>
              <w:t>≥</w:t>
            </w:r>
            <w:r>
              <w:rPr>
                <w:rFonts w:hint="eastAsia" w:ascii="宋体" w:hAnsi="宋体" w:eastAsia="宋体" w:cs="宋体"/>
                <w:i w:val="0"/>
                <w:iCs w:val="0"/>
                <w:color w:val="auto"/>
                <w:kern w:val="0"/>
                <w:sz w:val="22"/>
                <w:szCs w:val="22"/>
                <w:highlight w:val="none"/>
                <w:u w:val="none"/>
                <w:lang w:val="en-US" w:eastAsia="zh-CN" w:bidi="ar"/>
              </w:rPr>
              <w:t>30m，垫子湿了即报警。</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●11.配离床报警垫：离开床≤2秒内报警提醒，防水，抗皱，耐磨。尺寸≥55*70cm</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12.配雷达传感器：可监测固定空间内人体摔倒的物联网传感器，通过毫米雷达监测技术，探测一定范围内人员是否存在摔倒情况，检测范围，最大可达12m*6m，适用于卫生间、卧室等多种场景，具有支架，角度调节安装方便。</w:t>
            </w:r>
          </w:p>
        </w:tc>
        <w:tc>
          <w:tcPr>
            <w:tcW w:w="314" w:type="pct"/>
            <w:vAlign w:val="center"/>
          </w:tcPr>
          <w:p w14:paraId="0A23ABF7">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2张</w:t>
            </w:r>
          </w:p>
        </w:tc>
        <w:tc>
          <w:tcPr>
            <w:tcW w:w="314" w:type="pct"/>
            <w:vAlign w:val="center"/>
          </w:tcPr>
          <w:p w14:paraId="62F3191A">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工业</w:t>
            </w:r>
          </w:p>
        </w:tc>
      </w:tr>
      <w:tr w14:paraId="667CD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63" w:type="pct"/>
            <w:vAlign w:val="center"/>
          </w:tcPr>
          <w:p w14:paraId="06A61AC9">
            <w:pPr>
              <w:keepNext w:val="0"/>
              <w:keepLines w:val="0"/>
              <w:widowControl/>
              <w:suppressLineNumbers w:val="0"/>
              <w:spacing w:line="360" w:lineRule="auto"/>
              <w:jc w:val="center"/>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7</w:t>
            </w:r>
          </w:p>
        </w:tc>
        <w:tc>
          <w:tcPr>
            <w:tcW w:w="492" w:type="pct"/>
            <w:vAlign w:val="center"/>
          </w:tcPr>
          <w:p w14:paraId="7B8E7F10">
            <w:pPr>
              <w:keepNext w:val="0"/>
              <w:keepLines w:val="0"/>
              <w:widowControl/>
              <w:suppressLineNumbers w:val="0"/>
              <w:spacing w:line="360" w:lineRule="auto"/>
              <w:jc w:val="left"/>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适老化桌（配4把椅子）</w:t>
            </w:r>
          </w:p>
        </w:tc>
        <w:tc>
          <w:tcPr>
            <w:tcW w:w="3514" w:type="pct"/>
            <w:vAlign w:val="center"/>
          </w:tcPr>
          <w:p w14:paraId="216D6853">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1.1张桌子：规格：800mm*720mm</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2.中纤板桌面贴白蜡木皮，配白蜡实木腿</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3.椅子实木材质：规格：530*500*470mm</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4.符合老年人使用习惯</w:t>
            </w:r>
          </w:p>
          <w:p w14:paraId="32B055E5">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5.圆角防撞设计</w:t>
            </w:r>
          </w:p>
        </w:tc>
        <w:tc>
          <w:tcPr>
            <w:tcW w:w="314" w:type="pct"/>
            <w:vAlign w:val="center"/>
          </w:tcPr>
          <w:p w14:paraId="6EFA8470">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1套</w:t>
            </w:r>
          </w:p>
        </w:tc>
        <w:tc>
          <w:tcPr>
            <w:tcW w:w="314" w:type="pct"/>
            <w:vAlign w:val="center"/>
          </w:tcPr>
          <w:p w14:paraId="65EABDF3">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工业</w:t>
            </w:r>
          </w:p>
        </w:tc>
      </w:tr>
      <w:tr w14:paraId="71B92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63" w:type="pct"/>
            <w:vAlign w:val="center"/>
          </w:tcPr>
          <w:p w14:paraId="4311EDA6">
            <w:pPr>
              <w:keepNext w:val="0"/>
              <w:keepLines w:val="0"/>
              <w:widowControl/>
              <w:suppressLineNumbers w:val="0"/>
              <w:spacing w:line="360" w:lineRule="auto"/>
              <w:jc w:val="center"/>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8</w:t>
            </w:r>
          </w:p>
        </w:tc>
        <w:tc>
          <w:tcPr>
            <w:tcW w:w="492" w:type="pct"/>
            <w:vAlign w:val="center"/>
          </w:tcPr>
          <w:p w14:paraId="5679158D">
            <w:pPr>
              <w:keepNext w:val="0"/>
              <w:keepLines w:val="0"/>
              <w:widowControl/>
              <w:suppressLineNumbers w:val="0"/>
              <w:spacing w:line="360" w:lineRule="auto"/>
              <w:jc w:val="left"/>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婴儿床</w:t>
            </w:r>
          </w:p>
        </w:tc>
        <w:tc>
          <w:tcPr>
            <w:tcW w:w="3514" w:type="pct"/>
            <w:vAlign w:val="center"/>
          </w:tcPr>
          <w:p w14:paraId="3E94EF51">
            <w:pPr>
              <w:keepNext w:val="0"/>
              <w:keepLines w:val="0"/>
              <w:widowControl/>
              <w:suppressLineNumbers w:val="0"/>
              <w:spacing w:line="360" w:lineRule="auto"/>
              <w:jc w:val="left"/>
              <w:textAlignment w:val="center"/>
              <w:rPr>
                <w:rFonts w:hint="eastAsia" w:ascii="宋体" w:hAnsi="宋体" w:eastAsia="宋体" w:cs="宋体"/>
                <w:color w:val="auto"/>
                <w:sz w:val="22"/>
                <w:szCs w:val="22"/>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1.外形尺寸：长 860mm× 宽 460mm× 高 880mm，适用于实训室，用于培训。</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2.床盆：透明 PP 材质一体吹塑成型，透明可视，无毒无味，可浸泡擦拭消毒。</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3.倾斜功能：液压气弹簧角度调节，床头抬高 0°~30° 任意锁定，防吐奶，带手动锁紧把手。</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4.床架：加厚圆钢管整体焊接，表面抗菌静电喷涂；下部带金属储物网筐，用于存放护理杂物。</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5.脚轮：4 寸静音万向轮，对角双刹车，推行静音。</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6.安全护栏：全包围圆弧钢管护栏，无尖锐棱角，焊接牢固，杜绝夹伤、磕碰风险。</w:t>
            </w:r>
          </w:p>
        </w:tc>
        <w:tc>
          <w:tcPr>
            <w:tcW w:w="314" w:type="pct"/>
            <w:vAlign w:val="center"/>
          </w:tcPr>
          <w:p w14:paraId="7E7F2C24">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3张</w:t>
            </w:r>
          </w:p>
        </w:tc>
        <w:tc>
          <w:tcPr>
            <w:tcW w:w="314" w:type="pct"/>
            <w:vAlign w:val="center"/>
          </w:tcPr>
          <w:p w14:paraId="477B94F2">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工业</w:t>
            </w:r>
          </w:p>
        </w:tc>
      </w:tr>
      <w:tr w14:paraId="03ADF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63" w:type="pct"/>
            <w:vAlign w:val="center"/>
          </w:tcPr>
          <w:p w14:paraId="0DBE9256">
            <w:pPr>
              <w:keepNext w:val="0"/>
              <w:keepLines w:val="0"/>
              <w:widowControl/>
              <w:suppressLineNumbers w:val="0"/>
              <w:spacing w:line="360" w:lineRule="auto"/>
              <w:jc w:val="center"/>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9</w:t>
            </w:r>
          </w:p>
        </w:tc>
        <w:tc>
          <w:tcPr>
            <w:tcW w:w="492" w:type="pct"/>
            <w:vAlign w:val="center"/>
          </w:tcPr>
          <w:p w14:paraId="2D640999">
            <w:pPr>
              <w:keepNext w:val="0"/>
              <w:keepLines w:val="0"/>
              <w:widowControl/>
              <w:suppressLineNumbers w:val="0"/>
              <w:spacing w:line="360" w:lineRule="auto"/>
              <w:jc w:val="left"/>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护理病床（配床头柜，床垫）</w:t>
            </w:r>
          </w:p>
        </w:tc>
        <w:tc>
          <w:tcPr>
            <w:tcW w:w="3514" w:type="pct"/>
            <w:vAlign w:val="center"/>
          </w:tcPr>
          <w:p w14:paraId="7A0AF24B">
            <w:pPr>
              <w:keepNext w:val="0"/>
              <w:keepLines w:val="0"/>
              <w:widowControl/>
              <w:suppressLineNumbers w:val="0"/>
              <w:spacing w:line="360" w:lineRule="auto"/>
              <w:jc w:val="left"/>
              <w:textAlignment w:val="center"/>
              <w:rPr>
                <w:rFonts w:hint="eastAsia" w:ascii="宋体" w:hAnsi="宋体" w:eastAsia="宋体" w:cs="宋体"/>
                <w:color w:val="auto"/>
                <w:sz w:val="22"/>
                <w:szCs w:val="22"/>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1.主要参数：2150*960（含护栏）*500mm，床面板宽900mm；</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2.床头、床尾采用可拆卸ABS高级工程塑料板；</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3.折叠护栏：铝合金材料、ABS手柄，不使用时可轻松放下，具有防夹手功能；</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4.中控刹车，可实现一脚式刹车，采用双面静音轮；</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5.背部调节高度：0°-75°±5°，腿部调节高度：0°-45°±5°；</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6.床面板采用优质冷轧钢板一次冲压成型，具有多孔设计，便于透气，并有凹凸防滑功能，可拆卸消毒。钢板厚度≥1.5㎜，承受重量250KG；</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7.床架支架结构采用优质冷轧钢板，静电喷涂而成，床体涂覆为抗静电粉体，抗酸碱腐蚀，耐褪色。</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8.每套病床配床垫、配床头柜</w:t>
            </w:r>
          </w:p>
        </w:tc>
        <w:tc>
          <w:tcPr>
            <w:tcW w:w="314" w:type="pct"/>
            <w:vAlign w:val="center"/>
          </w:tcPr>
          <w:p w14:paraId="27244525">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1张</w:t>
            </w:r>
          </w:p>
        </w:tc>
        <w:tc>
          <w:tcPr>
            <w:tcW w:w="314" w:type="pct"/>
            <w:vAlign w:val="center"/>
          </w:tcPr>
          <w:p w14:paraId="5B5964B9">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工业</w:t>
            </w:r>
          </w:p>
        </w:tc>
      </w:tr>
      <w:tr w14:paraId="531EB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63" w:type="pct"/>
            <w:vAlign w:val="center"/>
          </w:tcPr>
          <w:p w14:paraId="4174C001">
            <w:pPr>
              <w:keepNext w:val="0"/>
              <w:keepLines w:val="0"/>
              <w:widowControl/>
              <w:suppressLineNumbers w:val="0"/>
              <w:spacing w:line="360" w:lineRule="auto"/>
              <w:jc w:val="center"/>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492" w:type="pct"/>
            <w:vAlign w:val="center"/>
          </w:tcPr>
          <w:p w14:paraId="1A2E6A9C">
            <w:pPr>
              <w:keepNext w:val="0"/>
              <w:keepLines w:val="0"/>
              <w:widowControl/>
              <w:suppressLineNumbers w:val="0"/>
              <w:spacing w:line="360" w:lineRule="auto"/>
              <w:jc w:val="left"/>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无影灯</w:t>
            </w:r>
          </w:p>
        </w:tc>
        <w:tc>
          <w:tcPr>
            <w:tcW w:w="3514" w:type="pct"/>
            <w:vAlign w:val="center"/>
          </w:tcPr>
          <w:p w14:paraId="0BF72853">
            <w:pPr>
              <w:keepNext w:val="0"/>
              <w:keepLines w:val="0"/>
              <w:widowControl/>
              <w:suppressLineNumbers w:val="0"/>
              <w:spacing w:line="360" w:lineRule="auto"/>
              <w:jc w:val="left"/>
              <w:textAlignment w:val="center"/>
              <w:rPr>
                <w:rFonts w:hint="eastAsia" w:ascii="宋体" w:hAnsi="宋体" w:eastAsia="宋体" w:cs="宋体"/>
                <w:color w:val="auto"/>
                <w:sz w:val="22"/>
                <w:szCs w:val="22"/>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 xml:space="preserve">1.双无影灯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2.照度：40000—160000LUX/30000--160000LUX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3.色温： 3700K—5000K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4.光斑直径： 160-350 mm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5.照明深度： ≥1200mm;</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6.亮度档级调光： 1—100%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7.显色指数： ≥85%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8.电源电压： 220V±22V、50Hz±1Hz;</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9.灯泡功率：3.2V/1W;</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10.最低安装高度：2400-2600mm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11.LED灯头LED灯珠数量： ≥110个</w:t>
            </w:r>
          </w:p>
        </w:tc>
        <w:tc>
          <w:tcPr>
            <w:tcW w:w="314" w:type="pct"/>
            <w:vAlign w:val="center"/>
          </w:tcPr>
          <w:p w14:paraId="4F9CC9AD">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1台</w:t>
            </w:r>
          </w:p>
        </w:tc>
        <w:tc>
          <w:tcPr>
            <w:tcW w:w="314" w:type="pct"/>
            <w:vAlign w:val="center"/>
          </w:tcPr>
          <w:p w14:paraId="25C635CB">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工业</w:t>
            </w:r>
          </w:p>
        </w:tc>
      </w:tr>
      <w:tr w14:paraId="1237B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63" w:type="pct"/>
            <w:vAlign w:val="center"/>
          </w:tcPr>
          <w:p w14:paraId="0E425984">
            <w:pPr>
              <w:keepNext w:val="0"/>
              <w:keepLines w:val="0"/>
              <w:widowControl/>
              <w:suppressLineNumbers w:val="0"/>
              <w:spacing w:line="360" w:lineRule="auto"/>
              <w:jc w:val="center"/>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11</w:t>
            </w:r>
          </w:p>
        </w:tc>
        <w:tc>
          <w:tcPr>
            <w:tcW w:w="492" w:type="pct"/>
            <w:vAlign w:val="center"/>
          </w:tcPr>
          <w:p w14:paraId="08FBCD36">
            <w:pPr>
              <w:keepNext w:val="0"/>
              <w:keepLines w:val="0"/>
              <w:widowControl/>
              <w:suppressLineNumbers w:val="0"/>
              <w:spacing w:line="360" w:lineRule="auto"/>
              <w:jc w:val="left"/>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电动手术床</w:t>
            </w:r>
          </w:p>
        </w:tc>
        <w:tc>
          <w:tcPr>
            <w:tcW w:w="3514" w:type="pct"/>
            <w:vAlign w:val="center"/>
          </w:tcPr>
          <w:p w14:paraId="27C595AD">
            <w:pPr>
              <w:keepNext w:val="0"/>
              <w:keepLines w:val="0"/>
              <w:widowControl/>
              <w:suppressLineNumbers w:val="0"/>
              <w:spacing w:line="360" w:lineRule="auto"/>
              <w:jc w:val="left"/>
              <w:textAlignment w:val="center"/>
              <w:rPr>
                <w:rFonts w:hint="eastAsia" w:ascii="宋体" w:hAnsi="宋体" w:eastAsia="宋体" w:cs="宋体"/>
                <w:color w:val="auto"/>
                <w:sz w:val="22"/>
                <w:szCs w:val="22"/>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1.产品用途：适用于医院手术室，满足人体各部位外科手术体位摆放与操作需求，配套附件可辅助完成各类体位精准调整。</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2.台面材质与透光性能：台面板采用高强度抗倍特透光板，100% 透光，可直接适配 X 光透视、射线摄像等术中影像检查，无需移除台面。</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3.床垫性能要求：采用慢回弹记忆高密度海绵一体成型，具备抗腐蚀、耐酸碱、透气、易清洗特性，可随病人体温自然塑形，均匀分压防褥疮，同时满足防油、防污、防细菌功能。</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4.台面结构与调节方式：头板、腿板可拆卸，腿板支持手动旋转外展、下折；前后倾、左右倾、上下升降、背板升降均通过电动推杆驱动，按钮式操控，安全可靠。</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5.驱动与电机配置：采用手术台专用电机，运行无噪声、稳定性优异，保障体位调节精准平稳。</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6.供电与续航能力：内置蓄电池，支持交直流两用，断电状态下可持续满足≥50 台手术的设备运行需求，确保手术连续性。</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7.床身底座材质：床身及底座全部采用优质 304 不锈钢板材制作，适配手术室洁净无菌环境，耐腐蚀、易清洁、结构稳固。</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8.移动与固定装置：配备脚轮与刹车装置，脚轮移动灵活，刹车锁止安全可靠，操作简便，满足设备移位与术中固定双重需求。</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9.核心尺寸参数：台面全长 2040±10mm，台面宽度（含边轨）560±5mm；带垫台面高度电动调节范围 710±10mm~910±10mm，不带垫台面高度电动调节范围 650±10mm~850±10mm。</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10.体位调节角度与质量认证：电动前倾 0—15°±3°、后倾 0—20°±3°、侧倾 0—20°±5°、背板上折 0—65°±3°，腰板上升 0—100mm±5mm；</w:t>
            </w:r>
          </w:p>
        </w:tc>
        <w:tc>
          <w:tcPr>
            <w:tcW w:w="314" w:type="pct"/>
            <w:vAlign w:val="center"/>
          </w:tcPr>
          <w:p w14:paraId="10197A31">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1张</w:t>
            </w:r>
          </w:p>
        </w:tc>
        <w:tc>
          <w:tcPr>
            <w:tcW w:w="314" w:type="pct"/>
            <w:vAlign w:val="center"/>
          </w:tcPr>
          <w:p w14:paraId="20749AE2">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工业</w:t>
            </w:r>
          </w:p>
        </w:tc>
      </w:tr>
      <w:tr w14:paraId="6B0D8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63" w:type="pct"/>
            <w:vAlign w:val="center"/>
          </w:tcPr>
          <w:p w14:paraId="1C67C797">
            <w:pPr>
              <w:keepNext w:val="0"/>
              <w:keepLines w:val="0"/>
              <w:widowControl/>
              <w:suppressLineNumbers w:val="0"/>
              <w:spacing w:line="360" w:lineRule="auto"/>
              <w:jc w:val="center"/>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12</w:t>
            </w:r>
          </w:p>
        </w:tc>
        <w:tc>
          <w:tcPr>
            <w:tcW w:w="492" w:type="pct"/>
            <w:vAlign w:val="center"/>
          </w:tcPr>
          <w:p w14:paraId="19A72E33">
            <w:pPr>
              <w:keepNext w:val="0"/>
              <w:keepLines w:val="0"/>
              <w:widowControl/>
              <w:suppressLineNumbers w:val="0"/>
              <w:spacing w:line="360" w:lineRule="auto"/>
              <w:jc w:val="left"/>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手术对接车</w:t>
            </w:r>
          </w:p>
        </w:tc>
        <w:tc>
          <w:tcPr>
            <w:tcW w:w="3514" w:type="pct"/>
            <w:vAlign w:val="center"/>
          </w:tcPr>
          <w:p w14:paraId="4D5EBFAF">
            <w:pPr>
              <w:keepNext w:val="0"/>
              <w:keepLines w:val="0"/>
              <w:widowControl/>
              <w:suppressLineNumbers w:val="0"/>
              <w:spacing w:line="360" w:lineRule="auto"/>
              <w:jc w:val="left"/>
              <w:textAlignment w:val="center"/>
              <w:rPr>
                <w:rFonts w:hint="eastAsia" w:ascii="宋体" w:hAnsi="宋体" w:eastAsia="宋体" w:cs="宋体"/>
                <w:color w:val="auto"/>
                <w:sz w:val="22"/>
                <w:szCs w:val="22"/>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1.材质：框架采用优质铝合金轨道车架，三角形支架采用加厚冷轧钢板一次性冲压成型；铝合金轨道车架，</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2.靠背升降系统：背部气弹簧快速调节，调节角度 0°~70°±5°。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3.对接系统：床面移动至另一单台车架上，可自动锁紧，并设有保险装置。</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4.整体升降系统：不锈钢摇手柄可折叠，丝杆采用铜螺母经久耐用，具备自润滑功能，静音耐磨，具备双向到位自保护设计，升降高度：660—935mm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5.脚轮：双片（可选单片轮）中控三档静音轮，刹车、万向、导向三档操控，采用超级聚氨酯材料，静音耐磨，配中心第五轮系统，脚轮直径100mm 定向轮装置；侧边中控脚踏刹车，全制动、全释放；侧边中控脚踏。</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6.输液架插孔：床头床尾插座，孔径20mm，输液架不锈钢双段伸缩式，输液架直径19mm。</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7.护栏：下隐藏式安全护栏，气弹簧辅助自动下降。</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8.喷涂：车架表层静电粉末喷涂，耐腐蚀。</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9.尺寸：3630×640×（660/935）mm±50mm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10.配置清单：PP塑料床面板1套，PP大护栏1副，靠背气弹簧1支，金属摇杆1套，转移床垫1张，中控轮及中间导向装置1套，不锈钢可升降输液架1根。</w:t>
            </w:r>
          </w:p>
        </w:tc>
        <w:tc>
          <w:tcPr>
            <w:tcW w:w="314" w:type="pct"/>
            <w:vAlign w:val="center"/>
          </w:tcPr>
          <w:p w14:paraId="3E186E63">
            <w:pPr>
              <w:keepNext w:val="0"/>
              <w:keepLines w:val="0"/>
              <w:widowControl/>
              <w:suppressLineNumbers w:val="0"/>
              <w:spacing w:line="360" w:lineRule="auto"/>
              <w:jc w:val="center"/>
              <w:textAlignment w:val="center"/>
              <w:rPr>
                <w:rFonts w:hint="default"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1台</w:t>
            </w:r>
          </w:p>
        </w:tc>
        <w:tc>
          <w:tcPr>
            <w:tcW w:w="314" w:type="pct"/>
            <w:vAlign w:val="center"/>
          </w:tcPr>
          <w:p w14:paraId="2FB3E4CE">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工业</w:t>
            </w:r>
          </w:p>
        </w:tc>
      </w:tr>
      <w:tr w14:paraId="4B0DB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63" w:type="pct"/>
            <w:vAlign w:val="center"/>
          </w:tcPr>
          <w:p w14:paraId="39ECE305">
            <w:pPr>
              <w:keepNext w:val="0"/>
              <w:keepLines w:val="0"/>
              <w:widowControl/>
              <w:suppressLineNumbers w:val="0"/>
              <w:spacing w:line="360" w:lineRule="auto"/>
              <w:jc w:val="center"/>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13</w:t>
            </w:r>
          </w:p>
        </w:tc>
        <w:tc>
          <w:tcPr>
            <w:tcW w:w="492" w:type="pct"/>
            <w:vAlign w:val="center"/>
          </w:tcPr>
          <w:p w14:paraId="36A60FE3">
            <w:pPr>
              <w:keepNext w:val="0"/>
              <w:keepLines w:val="0"/>
              <w:widowControl/>
              <w:suppressLineNumbers w:val="0"/>
              <w:spacing w:line="360" w:lineRule="auto"/>
              <w:jc w:val="left"/>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外科手术器械套装</w:t>
            </w:r>
          </w:p>
        </w:tc>
        <w:tc>
          <w:tcPr>
            <w:tcW w:w="3514" w:type="pct"/>
            <w:vAlign w:val="center"/>
          </w:tcPr>
          <w:p w14:paraId="5BCCFBFB">
            <w:pPr>
              <w:keepNext w:val="0"/>
              <w:keepLines w:val="0"/>
              <w:widowControl/>
              <w:suppressLineNumbers w:val="0"/>
              <w:spacing w:line="360" w:lineRule="auto"/>
              <w:jc w:val="left"/>
              <w:textAlignment w:val="center"/>
              <w:rPr>
                <w:rFonts w:hint="eastAsia" w:ascii="宋体" w:hAnsi="宋体" w:eastAsia="宋体" w:cs="宋体"/>
                <w:color w:val="auto"/>
                <w:sz w:val="22"/>
                <w:szCs w:val="22"/>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一、外科手术器械套装一套（见清单），并需将以下器械整合固定，方便学生学习识别。</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1.止血钳  12.5cm直蚊式  1把</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2.止血钳  12.5cm弯蚊式  1把</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3.止血钳  14cm直全齿  1把</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4.止血钳  14cm弯全齿  1把</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5.止血钳  16cm直全齿  1把</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6.持针钳  14cm 粗针  1把</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7.组织镊  12.5cm 1×2钩  1把</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8.敷料镊  12.5cm  1把</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9.敷料镊  14cm  1把</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10.帕巾钳  9cm  1把</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11.组织剪  18cm直（梅氏）  1把</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12.手术刀柄  3#  1把</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13.手术刀柄  4#  1把</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14.气管扩张钳  二叶  1把</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15.甲状腺拉钩  12cm直角双头 2×1  1副</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16.骨剪  肋骨 长  1把</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17.胸腔止血钳  20cm 微弯  1把</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18.胸腔止血钳  22cm 微弯  1把</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19.胸腔止血钳  22cm 角弯  1把</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20.胸腔组织钳  20cm 本色  1把</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21.分离结扎钳  22cm 90°直齿  1把</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22.三角肺叶钳  20cm 头宽12  1把</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23.三角肺叶钳  20cm 头宽18  1把</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24.三角肺叶钳  20cm 头宽27  1把</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25.血管游离钳  22cm 一式  1把</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26.血管游离钳  22cm 二式  1把</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27.肋骨咬骨钳  双关节（直方口）  1把</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28.肋骨咬骨钳  双关节 弯圆口  1把</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29.直角支气管钳  22cm  1把</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30.胸腔镊  20cm 1×2 钩  1把</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31.胸腔镊  20cm 直无钩  1把</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32.胸腔镊  20cm 弯无钩  1把</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33.肩胛骨拉钩  大  1把</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34.肋骨牵开器  34 （铝合金支架）  1把</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35.肋骨合拢器  16cm  1把</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36.肋骨膜剥离器  双头  1把</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37.胸腔吸引管  弯  1把</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38.腹壁固定牵开器  二叶（单方梗）  1把</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39.骨剪  单关节 18cm 直  1把</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40.咬骨钳  22cm 双关节侧角 弯刃口3MM 本色  1把</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41.打孔器  （手锥）弯  1把</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42.膀胱拉钩  1把</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43.输尿管剥离器  22cm  1把</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44.肋骨牵开器  52 （铝合金支架）  1把</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45.持针钳  镶片20cm 直粗  1把</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46.帕巾钳  14cm  1把</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47.海绵钳  25cm 弯有槽头宽10  1把</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48.海绵钳  25cm 直有槽头宽10  1把</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49.腔静脉钳  26cm 60°×33（二式） 1×2齿  1把</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50.肾蒂钳  肾钳 一式小弯  1把</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51.肾蒂钳  肾钳 二式中弯  1把</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52.肾蒂钳  肾钳 三式大弯  1把</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53.取石钳  （肾石 三式）  1把</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54.取石钳  （肾石 四式）  1把</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55.组织镊  14cm 1×2钩  1把</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56.敷料镊  16cm  1把</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57.敷料镊  25cm  1把</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58.组织镊   20cm直 凹凸齿头宽1.8  1把</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59.组织剪   22cm弯（综合）  1把  无镶片</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60.手术剪  16cm直圆  1把</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61.手术剪  16cm弯尖  1把</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62.组织拉钩  2×1 无孔  1副</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63.腹部拉钩  单头 95*38  1把</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64.腹部拉钩  中 双头  1把</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65.肾窦拉钩  22cm #1  1把</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66.肾窦拉钩  22cm #3  1把</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67.肾盂拉钩  10#  1把</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68.胆石匙  双头8/10  1把</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69.胆石匙  双头12/14  1把</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70.腹腔吸引管  直  1根</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71.腹腔吸引管  弯  1根</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72.压肠板  板式  1块</w:t>
            </w:r>
          </w:p>
        </w:tc>
        <w:tc>
          <w:tcPr>
            <w:tcW w:w="314" w:type="pct"/>
            <w:vAlign w:val="center"/>
          </w:tcPr>
          <w:p w14:paraId="3890818D">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1套</w:t>
            </w:r>
          </w:p>
        </w:tc>
        <w:tc>
          <w:tcPr>
            <w:tcW w:w="314" w:type="pct"/>
            <w:vAlign w:val="center"/>
          </w:tcPr>
          <w:p w14:paraId="5A8611D4">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工业</w:t>
            </w:r>
          </w:p>
        </w:tc>
      </w:tr>
      <w:tr w14:paraId="4D79F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63" w:type="pct"/>
            <w:vAlign w:val="center"/>
          </w:tcPr>
          <w:p w14:paraId="1E05E9D3">
            <w:pPr>
              <w:keepNext w:val="0"/>
              <w:keepLines w:val="0"/>
              <w:widowControl/>
              <w:suppressLineNumbers w:val="0"/>
              <w:spacing w:line="360" w:lineRule="auto"/>
              <w:jc w:val="center"/>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14</w:t>
            </w:r>
          </w:p>
        </w:tc>
        <w:tc>
          <w:tcPr>
            <w:tcW w:w="492" w:type="pct"/>
            <w:vAlign w:val="center"/>
          </w:tcPr>
          <w:p w14:paraId="5F063A22">
            <w:pPr>
              <w:keepNext w:val="0"/>
              <w:keepLines w:val="0"/>
              <w:widowControl/>
              <w:suppressLineNumbers w:val="0"/>
              <w:spacing w:line="360" w:lineRule="auto"/>
              <w:jc w:val="left"/>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模拟喉镜</w:t>
            </w:r>
          </w:p>
        </w:tc>
        <w:tc>
          <w:tcPr>
            <w:tcW w:w="3514" w:type="pct"/>
            <w:vAlign w:val="center"/>
          </w:tcPr>
          <w:p w14:paraId="2C4326D2">
            <w:pPr>
              <w:keepNext w:val="0"/>
              <w:keepLines w:val="0"/>
              <w:widowControl/>
              <w:suppressLineNumbers w:val="0"/>
              <w:spacing w:line="360" w:lineRule="auto"/>
              <w:jc w:val="left"/>
              <w:textAlignment w:val="center"/>
              <w:rPr>
                <w:rFonts w:hint="eastAsia" w:ascii="宋体" w:hAnsi="宋体" w:eastAsia="宋体" w:cs="宋体"/>
                <w:color w:val="auto"/>
                <w:sz w:val="22"/>
                <w:szCs w:val="22"/>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1.仅用于模拟教学使用尺寸与材质： 长度适宜，符合人体工程学设计，便于持握。主体应采用高强度工程塑料或金属材质，表面防滑处理。</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2、电源：采用标准通用电池供电，确保电力充足、稳定。应具有可靠的电源开关触点设计。</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3、接口：与喉镜片连接处为通用标准接口，确保连接稳固、导电良好。</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4、类型与尺寸： 应至少包含三种不同规格的弯型喉镜片，以适应不同模拟气道条件的教学需求。具体规格需包含成人常用型号。</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5、材质：喉镜片主体应采用高强度、耐腐蚀、易清洁消毒的材料（如医用不锈钢或高强度医用塑料）。尖端圆钝光滑，无毛刺，防止教学训练中对模拟用具造成损伤。</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6、光源系统： 采用前置光纤照明或集成LED灯珠照明。光照需明亮、集中、无频闪，光线应均匀投射于喉镜片前端操作区，视野清晰，无暗区。</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7、功能：与喉镜柄连接后，光源应能即时点亮，且在工作角度内保持常亮，无闪烁或接触不良现象。喉镜片形状应能有效推开模拟舌体，充分暴露声门区域。</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8、气囊测压表：用于气管插管、气管切开等人工气道气囊压力的测量、具备充气、放气、负压调节等功能，测量范围：0–120 cmH₂O，常用测量范围 0–70 cmH₂O。</w:t>
            </w:r>
          </w:p>
        </w:tc>
        <w:tc>
          <w:tcPr>
            <w:tcW w:w="314" w:type="pct"/>
            <w:vAlign w:val="center"/>
          </w:tcPr>
          <w:p w14:paraId="70332159">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4套</w:t>
            </w:r>
          </w:p>
        </w:tc>
        <w:tc>
          <w:tcPr>
            <w:tcW w:w="314" w:type="pct"/>
            <w:vAlign w:val="center"/>
          </w:tcPr>
          <w:p w14:paraId="4B021BBE">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工业</w:t>
            </w:r>
          </w:p>
        </w:tc>
      </w:tr>
      <w:tr w14:paraId="68DB0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63" w:type="pct"/>
            <w:vAlign w:val="center"/>
          </w:tcPr>
          <w:p w14:paraId="48A1BBB8">
            <w:pPr>
              <w:keepNext w:val="0"/>
              <w:keepLines w:val="0"/>
              <w:widowControl/>
              <w:suppressLineNumbers w:val="0"/>
              <w:spacing w:line="360" w:lineRule="auto"/>
              <w:jc w:val="center"/>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15</w:t>
            </w:r>
          </w:p>
        </w:tc>
        <w:tc>
          <w:tcPr>
            <w:tcW w:w="492" w:type="pct"/>
            <w:vAlign w:val="center"/>
          </w:tcPr>
          <w:p w14:paraId="371DDC9F">
            <w:pPr>
              <w:keepNext w:val="0"/>
              <w:keepLines w:val="0"/>
              <w:widowControl/>
              <w:suppressLineNumbers w:val="0"/>
              <w:spacing w:line="360" w:lineRule="auto"/>
              <w:jc w:val="left"/>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婴儿光疗暖箱</w:t>
            </w:r>
          </w:p>
        </w:tc>
        <w:tc>
          <w:tcPr>
            <w:tcW w:w="3514" w:type="pct"/>
            <w:vAlign w:val="center"/>
          </w:tcPr>
          <w:p w14:paraId="469FCE30">
            <w:pPr>
              <w:keepNext w:val="0"/>
              <w:keepLines w:val="0"/>
              <w:widowControl/>
              <w:suppressLineNumbers w:val="0"/>
              <w:spacing w:line="360" w:lineRule="auto"/>
              <w:jc w:val="left"/>
              <w:textAlignment w:val="center"/>
              <w:rPr>
                <w:rFonts w:hint="eastAsia" w:ascii="宋体" w:hAnsi="宋体" w:eastAsia="宋体" w:cs="宋体"/>
                <w:color w:val="auto"/>
                <w:sz w:val="22"/>
                <w:szCs w:val="22"/>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1.设备仅用于模拟教学使用</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2.工作电源：AC220V/ 50Hz输入功率：≤850VA</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3.控温方式：箱温控制</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4.升温时间：≤30min</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5.输液架最大承载重量为≥ 2 kg，托盘最大承载重量为≥ 3.5 kg</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6.蜗壳风道及交、直流离心式风机产生气压差，确保新鲜空气始终保持吸入，整体储热铝水槽，能大幅降低温度波动；</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7.温控仪可以单独拿出（含电路主板，控制主板，电机，风扇等等），方便维修。</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8.控温范围：25℃~37℃，箱温显示温度范围：5~56℃</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9.●黄疸治疗装置安装固定在暖箱上方，装置上面可以放简易的设备监护，泵等。</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10.光源工作时间的计时范围：0-9999小时59分。</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11.婴儿床倾斜角度：±12无级可调。</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12.婴儿舱内噪声≤45dB</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13.自然风道加湿；具有RS-232接口；具有数据储存；具有氧气输入接口；</w:t>
            </w:r>
          </w:p>
        </w:tc>
        <w:tc>
          <w:tcPr>
            <w:tcW w:w="314" w:type="pct"/>
            <w:vAlign w:val="center"/>
          </w:tcPr>
          <w:p w14:paraId="060C8BC1">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2台</w:t>
            </w:r>
          </w:p>
        </w:tc>
        <w:tc>
          <w:tcPr>
            <w:tcW w:w="314" w:type="pct"/>
            <w:vAlign w:val="center"/>
          </w:tcPr>
          <w:p w14:paraId="4C78998B">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工业</w:t>
            </w:r>
          </w:p>
        </w:tc>
      </w:tr>
      <w:tr w14:paraId="42B5C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63" w:type="pct"/>
            <w:vAlign w:val="center"/>
          </w:tcPr>
          <w:p w14:paraId="7552CEF6">
            <w:pPr>
              <w:keepNext w:val="0"/>
              <w:keepLines w:val="0"/>
              <w:widowControl/>
              <w:suppressLineNumbers w:val="0"/>
              <w:spacing w:line="360" w:lineRule="auto"/>
              <w:jc w:val="center"/>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16</w:t>
            </w:r>
          </w:p>
        </w:tc>
        <w:tc>
          <w:tcPr>
            <w:tcW w:w="492" w:type="pct"/>
            <w:vAlign w:val="center"/>
          </w:tcPr>
          <w:p w14:paraId="05F9539E">
            <w:pPr>
              <w:keepNext w:val="0"/>
              <w:keepLines w:val="0"/>
              <w:widowControl/>
              <w:suppressLineNumbers w:val="0"/>
              <w:spacing w:line="360" w:lineRule="auto"/>
              <w:jc w:val="left"/>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吸引器</w:t>
            </w:r>
          </w:p>
        </w:tc>
        <w:tc>
          <w:tcPr>
            <w:tcW w:w="3514" w:type="pct"/>
            <w:vAlign w:val="center"/>
          </w:tcPr>
          <w:p w14:paraId="18B7F31F">
            <w:pPr>
              <w:keepNext w:val="0"/>
              <w:keepLines w:val="0"/>
              <w:widowControl/>
              <w:suppressLineNumbers w:val="0"/>
              <w:spacing w:line="360" w:lineRule="auto"/>
              <w:jc w:val="left"/>
              <w:textAlignment w:val="center"/>
              <w:rPr>
                <w:rFonts w:hint="eastAsia" w:ascii="宋体" w:hAnsi="宋体" w:eastAsia="宋体" w:cs="宋体"/>
                <w:color w:val="auto"/>
                <w:sz w:val="22"/>
                <w:szCs w:val="22"/>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1. 电源要求：AC220V±10%，50Hz±1Hz，输入功率≥180VA，供电稳定，适配医疗机构标准供电环境。</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 吸引系统：采用无油活塞泵，免维护设计，避免油液污染；极限负压≥0.09MPa（90kPa），负压调节范围0.02MPa－极限负压，调节精准可控，满足高负压临床需求。</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 抽气速率：≥20L/min，确保高效吸引，可应对大量体液吸引场景。</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 储液装置：配备2个2500mL贮液瓶，总容量≥5000mL，材质耐腐易清洁，支持重复灭菌；具备防溢流设计，罐内装有医用止溢滤芯，储液量达标定量90%时启动防护，防止液体回流污染主机。</w:t>
            </w:r>
          </w:p>
        </w:tc>
        <w:tc>
          <w:tcPr>
            <w:tcW w:w="314" w:type="pct"/>
            <w:vAlign w:val="center"/>
          </w:tcPr>
          <w:p w14:paraId="5150EA78">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3台</w:t>
            </w:r>
          </w:p>
        </w:tc>
        <w:tc>
          <w:tcPr>
            <w:tcW w:w="314" w:type="pct"/>
            <w:vAlign w:val="center"/>
          </w:tcPr>
          <w:p w14:paraId="1790382A">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工业</w:t>
            </w:r>
          </w:p>
        </w:tc>
      </w:tr>
      <w:tr w14:paraId="37152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63" w:type="pct"/>
            <w:vAlign w:val="center"/>
          </w:tcPr>
          <w:p w14:paraId="19B9AF06">
            <w:pPr>
              <w:keepNext w:val="0"/>
              <w:keepLines w:val="0"/>
              <w:widowControl/>
              <w:suppressLineNumbers w:val="0"/>
              <w:spacing w:line="360" w:lineRule="auto"/>
              <w:jc w:val="center"/>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17</w:t>
            </w:r>
          </w:p>
        </w:tc>
        <w:tc>
          <w:tcPr>
            <w:tcW w:w="492" w:type="pct"/>
            <w:vAlign w:val="center"/>
          </w:tcPr>
          <w:p w14:paraId="68BA421F">
            <w:pPr>
              <w:keepNext w:val="0"/>
              <w:keepLines w:val="0"/>
              <w:widowControl/>
              <w:suppressLineNumbers w:val="0"/>
              <w:spacing w:line="360" w:lineRule="auto"/>
              <w:jc w:val="left"/>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双水平正压呼吸机</w:t>
            </w:r>
          </w:p>
        </w:tc>
        <w:tc>
          <w:tcPr>
            <w:tcW w:w="3514" w:type="pct"/>
            <w:vAlign w:val="center"/>
          </w:tcPr>
          <w:p w14:paraId="6422C9C6">
            <w:pPr>
              <w:keepNext w:val="0"/>
              <w:keepLines w:val="0"/>
              <w:widowControl/>
              <w:suppressLineNumbers w:val="0"/>
              <w:spacing w:line="360" w:lineRule="auto"/>
              <w:jc w:val="left"/>
              <w:textAlignment w:val="center"/>
              <w:rPr>
                <w:rFonts w:hint="eastAsia" w:ascii="宋体" w:hAnsi="宋体" w:eastAsia="宋体" w:cs="宋体"/>
                <w:color w:val="auto"/>
                <w:sz w:val="22"/>
                <w:szCs w:val="22"/>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1.通气模式：具备 CPAP、S、T、ST、VGPS 多模式通气，吸气 / 呼气压力调节范围 4–25cmH₂O，调节步进 0.5cmH₂O，VGPS 模式潮气量可调区间 50–1500ml。</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2.电机与气道：内置高性能驱动电机，电机响应速度≤0.2 秒；</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3.湿化系统：配置可拆卸外置加温湿化器，湿化档位 0–6 档智能可调，可根据环境湿度自动调节加湿输出，有效降低管路冷凝水产生。</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4.监测与数据：集成血氧监测模块，内置 8G 存储模块记录通气、血氧、漏气数据；配备一键启停功能与简易调节旋钮，操作直观。</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5.通气补偿与安全：自动漏气补偿算法，实时修正漏气量保障压力稳定；整机配备多参数声光报警，具备窒息、高压、低通气、漏气等报警。</w:t>
            </w:r>
          </w:p>
        </w:tc>
        <w:tc>
          <w:tcPr>
            <w:tcW w:w="314" w:type="pct"/>
            <w:vAlign w:val="center"/>
          </w:tcPr>
          <w:p w14:paraId="5F5CE297">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1台</w:t>
            </w:r>
          </w:p>
        </w:tc>
        <w:tc>
          <w:tcPr>
            <w:tcW w:w="314" w:type="pct"/>
            <w:vAlign w:val="center"/>
          </w:tcPr>
          <w:p w14:paraId="6C475BFB">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工业</w:t>
            </w:r>
          </w:p>
        </w:tc>
      </w:tr>
      <w:tr w14:paraId="26A56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63" w:type="pct"/>
            <w:vAlign w:val="center"/>
          </w:tcPr>
          <w:p w14:paraId="7099BB2A">
            <w:pPr>
              <w:keepNext w:val="0"/>
              <w:keepLines w:val="0"/>
              <w:widowControl/>
              <w:suppressLineNumbers w:val="0"/>
              <w:spacing w:line="360" w:lineRule="auto"/>
              <w:jc w:val="center"/>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18</w:t>
            </w:r>
          </w:p>
        </w:tc>
        <w:tc>
          <w:tcPr>
            <w:tcW w:w="492" w:type="pct"/>
            <w:vAlign w:val="center"/>
          </w:tcPr>
          <w:p w14:paraId="23DDDD94">
            <w:pPr>
              <w:keepNext w:val="0"/>
              <w:keepLines w:val="0"/>
              <w:widowControl/>
              <w:suppressLineNumbers w:val="0"/>
              <w:spacing w:line="360" w:lineRule="auto"/>
              <w:jc w:val="left"/>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洗胃机</w:t>
            </w:r>
          </w:p>
        </w:tc>
        <w:tc>
          <w:tcPr>
            <w:tcW w:w="3514" w:type="pct"/>
            <w:vAlign w:val="center"/>
          </w:tcPr>
          <w:p w14:paraId="58F2B94A">
            <w:pPr>
              <w:keepNext w:val="0"/>
              <w:keepLines w:val="0"/>
              <w:widowControl/>
              <w:suppressLineNumbers w:val="0"/>
              <w:spacing w:line="360" w:lineRule="auto"/>
              <w:jc w:val="left"/>
              <w:textAlignment w:val="center"/>
              <w:rPr>
                <w:rFonts w:hint="eastAsia" w:ascii="宋体" w:hAnsi="宋体" w:eastAsia="宋体" w:cs="宋体"/>
                <w:color w:val="auto"/>
                <w:sz w:val="22"/>
                <w:szCs w:val="22"/>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1.供电与功耗：交流 220V、50Hz，整机输入功率≤250VA，电气安全为 I 类 BF 型医用设备。</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2.工作流量与容量：洗胃流量≥2L/min，单次自控冲液 250～350mL、吸液 300～450mL；配备两只10L贮液桶。</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3.运行指标：采用水泵式动力结构，整机工作噪声≤65dB (A），标配过滤装置。</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4.结构规格：带移动脚轮与顶部置物盘，外形尺寸约 362×400×850mm。</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5.控制模式：半自动控制，液晶显示，可自动完成冲、吸循环，适用于培训，临床急救及术前洗胃使用。</w:t>
            </w:r>
          </w:p>
        </w:tc>
        <w:tc>
          <w:tcPr>
            <w:tcW w:w="314" w:type="pct"/>
            <w:vAlign w:val="center"/>
          </w:tcPr>
          <w:p w14:paraId="4972368A">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1台</w:t>
            </w:r>
          </w:p>
        </w:tc>
        <w:tc>
          <w:tcPr>
            <w:tcW w:w="314" w:type="pct"/>
            <w:vAlign w:val="center"/>
          </w:tcPr>
          <w:p w14:paraId="69F1C107">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工业</w:t>
            </w:r>
          </w:p>
        </w:tc>
      </w:tr>
      <w:tr w14:paraId="67ECE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63" w:type="pct"/>
            <w:vAlign w:val="center"/>
          </w:tcPr>
          <w:p w14:paraId="3C464078">
            <w:pPr>
              <w:keepNext w:val="0"/>
              <w:keepLines w:val="0"/>
              <w:widowControl/>
              <w:suppressLineNumbers w:val="0"/>
              <w:spacing w:line="360" w:lineRule="auto"/>
              <w:jc w:val="center"/>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19</w:t>
            </w:r>
          </w:p>
        </w:tc>
        <w:tc>
          <w:tcPr>
            <w:tcW w:w="492" w:type="pct"/>
            <w:vAlign w:val="center"/>
          </w:tcPr>
          <w:p w14:paraId="46844121">
            <w:pPr>
              <w:keepNext w:val="0"/>
              <w:keepLines w:val="0"/>
              <w:widowControl/>
              <w:suppressLineNumbers w:val="0"/>
              <w:spacing w:line="360" w:lineRule="auto"/>
              <w:jc w:val="left"/>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制氧机</w:t>
            </w:r>
          </w:p>
        </w:tc>
        <w:tc>
          <w:tcPr>
            <w:tcW w:w="3514" w:type="pct"/>
            <w:vAlign w:val="center"/>
          </w:tcPr>
          <w:p w14:paraId="1C7737F6">
            <w:pPr>
              <w:keepNext w:val="0"/>
              <w:keepLines w:val="0"/>
              <w:widowControl/>
              <w:suppressLineNumbers w:val="0"/>
              <w:spacing w:line="360" w:lineRule="auto"/>
              <w:jc w:val="left"/>
              <w:textAlignment w:val="center"/>
              <w:rPr>
                <w:rFonts w:hint="eastAsia" w:ascii="宋体" w:hAnsi="宋体" w:eastAsia="宋体" w:cs="宋体"/>
                <w:color w:val="auto"/>
                <w:sz w:val="22"/>
                <w:szCs w:val="22"/>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1.制氧核心与供氧性能：流量调节区间 1—5L/min，全流量区间输出氧气浓度稳定维持 90-96%，满足家庭及临床低氧患者长期氧疗需求。</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2.雾化与整机噪声指标：内置雾化功能，雾化输出率≥0.1mL/min；整机 1 米距离实测运行噪音≤52dB (A），低噪运行适配夜间持续吸氧场景。</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3.整机规格与供电参数：额定功率 500VA，设备净重≤ 16.5kg。</w:t>
            </w:r>
          </w:p>
        </w:tc>
        <w:tc>
          <w:tcPr>
            <w:tcW w:w="314" w:type="pct"/>
            <w:vAlign w:val="center"/>
          </w:tcPr>
          <w:p w14:paraId="3CE183F3">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1台</w:t>
            </w:r>
          </w:p>
        </w:tc>
        <w:tc>
          <w:tcPr>
            <w:tcW w:w="314" w:type="pct"/>
            <w:vAlign w:val="center"/>
          </w:tcPr>
          <w:p w14:paraId="71EF414B">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工业</w:t>
            </w:r>
          </w:p>
        </w:tc>
      </w:tr>
      <w:tr w14:paraId="2A413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63" w:type="pct"/>
            <w:vAlign w:val="center"/>
          </w:tcPr>
          <w:p w14:paraId="089B94F3">
            <w:pPr>
              <w:keepNext w:val="0"/>
              <w:keepLines w:val="0"/>
              <w:widowControl/>
              <w:suppressLineNumbers w:val="0"/>
              <w:spacing w:line="360" w:lineRule="auto"/>
              <w:jc w:val="center"/>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492" w:type="pct"/>
            <w:vAlign w:val="center"/>
          </w:tcPr>
          <w:p w14:paraId="6E877863">
            <w:pPr>
              <w:keepNext w:val="0"/>
              <w:keepLines w:val="0"/>
              <w:widowControl/>
              <w:suppressLineNumbers w:val="0"/>
              <w:spacing w:line="360" w:lineRule="auto"/>
              <w:jc w:val="left"/>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震动排痰仪</w:t>
            </w:r>
          </w:p>
        </w:tc>
        <w:tc>
          <w:tcPr>
            <w:tcW w:w="3514" w:type="pct"/>
            <w:vAlign w:val="center"/>
          </w:tcPr>
          <w:p w14:paraId="78BB9787">
            <w:pPr>
              <w:keepNext w:val="0"/>
              <w:keepLines w:val="0"/>
              <w:widowControl/>
              <w:suppressLineNumbers w:val="0"/>
              <w:spacing w:line="360" w:lineRule="auto"/>
              <w:jc w:val="left"/>
              <w:textAlignment w:val="center"/>
              <w:rPr>
                <w:rFonts w:hint="eastAsia" w:ascii="宋体" w:hAnsi="宋体" w:eastAsia="宋体" w:cs="宋体"/>
                <w:color w:val="auto"/>
                <w:sz w:val="22"/>
                <w:szCs w:val="22"/>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1.适用范围：用于排痰不畅的患者，可促使患者肺深部分泌物向主气管转移，辅助痰液排出。</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2.设备的组成：系统由可以充气的背心、两条导气管、空气脉冲发生器、防电磁干扰系统、无线遥控器等组成；</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3.工作原理：空气脉冲发生器可以使背心快速充气和排气，并对患者的胸壁产生每秒钟不超过 20 次的轻微压迫和释放循环，即振荡频率；</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4.操作方式：≥7寸彩色液晶触摸屏，中文显示，主菜单显示所有工作模式；</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5.设备外壳由两块一体成型的模具组成，配备一体式便携提手，非组装型提手；</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6.设备的重量轻，手提便携，标配移动台车，方便使用；</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7.配置 DC 电源开关，具备双重电源开关，双重保护；</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■8、设备配备无线遥控器，遥控器可以调节所有参数：频率、强度、时间、暂停/运行均可无线控制，可紧急暂停，遥控使用距离为10米；</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●9.工作参数：频率范围 0-20Hz 连续可调，步距 1Hz；压力范围：0-4.5kpa（0-33.75mmHg），按照1-15 个等级进行调节，步距 0.3kpa（2.25mmHg）；时间范围：0-60min 连续可调，步距 1min；</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●10.设备主界面显示≥6种模式，儿童模式、成人模式、老人模式、重症模式、自定义模式、手动模式等；</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11.所有工作模式均使用梯形工作方式，设备运行后 5s—200s 时间内达到预设参数，保持设定参数工作 200s—590s，经过 5s—200 时间降低到 0，设备停止；</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12.自定义工作模式可根据患者信息自行编辑设定治疗参数，可进行99组患者治疗信息存储，一键调用；</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13.手动模式和自定义模式下所有参数均可调节，包括频率、压力、时间等参数均可调节；</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14.设备在治疗时间到达后或点击“停止”键停止运行，有提示音并自动放气泄压；</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15.数据查看功能：设备的工作时间自动累计，不需要外接设备即可随时查询；</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自动检测漏气补偿功能：实时监测充气背心内气压，对意外情况造成的过压、欠压及时补偿；</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16.设备具有自动泄压功能，保障设备安全、提升排痰效果；</w:t>
            </w:r>
          </w:p>
        </w:tc>
        <w:tc>
          <w:tcPr>
            <w:tcW w:w="314" w:type="pct"/>
            <w:vAlign w:val="center"/>
          </w:tcPr>
          <w:p w14:paraId="7CD81071">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1台</w:t>
            </w:r>
          </w:p>
        </w:tc>
        <w:tc>
          <w:tcPr>
            <w:tcW w:w="314" w:type="pct"/>
            <w:vAlign w:val="center"/>
          </w:tcPr>
          <w:p w14:paraId="76F34215">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工业</w:t>
            </w:r>
          </w:p>
        </w:tc>
      </w:tr>
      <w:tr w14:paraId="05478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63" w:type="pct"/>
            <w:vAlign w:val="center"/>
          </w:tcPr>
          <w:p w14:paraId="0CE4330F">
            <w:pPr>
              <w:keepNext w:val="0"/>
              <w:keepLines w:val="0"/>
              <w:widowControl/>
              <w:suppressLineNumbers w:val="0"/>
              <w:spacing w:line="360" w:lineRule="auto"/>
              <w:jc w:val="center"/>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21</w:t>
            </w:r>
          </w:p>
        </w:tc>
        <w:tc>
          <w:tcPr>
            <w:tcW w:w="492" w:type="pct"/>
            <w:vAlign w:val="center"/>
          </w:tcPr>
          <w:p w14:paraId="2E3620FA">
            <w:pPr>
              <w:keepNext w:val="0"/>
              <w:keepLines w:val="0"/>
              <w:widowControl/>
              <w:suppressLineNumbers w:val="0"/>
              <w:spacing w:line="360" w:lineRule="auto"/>
              <w:jc w:val="left"/>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单通道注射泵</w:t>
            </w:r>
          </w:p>
        </w:tc>
        <w:tc>
          <w:tcPr>
            <w:tcW w:w="3514" w:type="pct"/>
            <w:vAlign w:val="center"/>
          </w:tcPr>
          <w:p w14:paraId="3B4445C2">
            <w:pPr>
              <w:keepNext w:val="0"/>
              <w:keepLines w:val="0"/>
              <w:widowControl/>
              <w:suppressLineNumbers w:val="0"/>
              <w:spacing w:line="360" w:lineRule="auto"/>
              <w:jc w:val="left"/>
              <w:textAlignment w:val="center"/>
              <w:rPr>
                <w:rFonts w:hint="eastAsia" w:ascii="宋体" w:hAnsi="宋体" w:eastAsia="宋体" w:cs="宋体"/>
                <w:color w:val="auto"/>
                <w:sz w:val="22"/>
                <w:szCs w:val="22"/>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1.电池续航时间：≥10小时</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2.适用的注射器：规格为5ml、10ml、20ml、30ml、50（60）ml所有符合标准的注射器。</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3.注射模式：速度模式、时间模式、体重模式、梯度模式、首剂量模式、序列模式、TIVA模式、微量模式</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4.注射速度设定范围：0.10—100.0ml/h（5ml注射器），0.10—300.0ml/h（10ml注射器），0.10—600.0ml/h（20ml注射器），0.10—900.0ml/h（30ml注射器），0.10—2000.0ml/h（50（60）ml注射器）</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5.预置量设定范围：0.10 - 99.99ml（最小增量0.01），100.0 - 999.9ml（最小增量0.1），100.0 – 9999ml（最小增量1）</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6.注射总量显示范围： 0-99999.99ml</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7.注射精度： 机械精度≤±1%;  注射器的精度≤：±2%</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8.快进操作：0.10—100.0ml/h（5ml注射器），0.10—300.0ml/h（10ml注射器），0.10—600.0ml/h（20ml注射器），0.10—900.0ml/h（30ml注射器），0.10—2000.0ml/h（50ml（60）注射器），根据快进量自动计算快进速度，且不得低于当前速度。</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9.阻塞级别：225mmHg~975mmHg，11级可选择</w:t>
            </w:r>
          </w:p>
        </w:tc>
        <w:tc>
          <w:tcPr>
            <w:tcW w:w="314" w:type="pct"/>
            <w:vAlign w:val="center"/>
          </w:tcPr>
          <w:p w14:paraId="3D37A692">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8台</w:t>
            </w:r>
          </w:p>
        </w:tc>
        <w:tc>
          <w:tcPr>
            <w:tcW w:w="314" w:type="pct"/>
            <w:vAlign w:val="center"/>
          </w:tcPr>
          <w:p w14:paraId="1A953B0A">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工业</w:t>
            </w:r>
          </w:p>
        </w:tc>
      </w:tr>
      <w:tr w14:paraId="3A275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63" w:type="pct"/>
            <w:vAlign w:val="center"/>
          </w:tcPr>
          <w:p w14:paraId="6CC9AD65">
            <w:pPr>
              <w:keepNext w:val="0"/>
              <w:keepLines w:val="0"/>
              <w:widowControl/>
              <w:suppressLineNumbers w:val="0"/>
              <w:spacing w:line="360" w:lineRule="auto"/>
              <w:jc w:val="center"/>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22</w:t>
            </w:r>
          </w:p>
        </w:tc>
        <w:tc>
          <w:tcPr>
            <w:tcW w:w="492" w:type="pct"/>
            <w:vAlign w:val="center"/>
          </w:tcPr>
          <w:p w14:paraId="4AC53B31">
            <w:pPr>
              <w:keepNext w:val="0"/>
              <w:keepLines w:val="0"/>
              <w:widowControl/>
              <w:suppressLineNumbers w:val="0"/>
              <w:spacing w:line="360" w:lineRule="auto"/>
              <w:jc w:val="left"/>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 xml:space="preserve">输液泵 </w:t>
            </w:r>
          </w:p>
        </w:tc>
        <w:tc>
          <w:tcPr>
            <w:tcW w:w="3514" w:type="pct"/>
            <w:vAlign w:val="center"/>
          </w:tcPr>
          <w:p w14:paraId="44D4827D">
            <w:pPr>
              <w:keepNext w:val="0"/>
              <w:keepLines w:val="0"/>
              <w:widowControl/>
              <w:suppressLineNumbers w:val="0"/>
              <w:spacing w:line="360" w:lineRule="auto"/>
              <w:jc w:val="left"/>
              <w:textAlignment w:val="center"/>
              <w:rPr>
                <w:rFonts w:hint="eastAsia" w:ascii="宋体" w:hAnsi="宋体" w:eastAsia="宋体" w:cs="宋体"/>
                <w:color w:val="auto"/>
                <w:sz w:val="22"/>
                <w:szCs w:val="22"/>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1.具备速度、时间、体重、序列、点滴、梯度、首剂量、微量等多种输液模式，满足不同临床需求。</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2.采用 LCD 触摸屏 + 数字盘输入，操作界面直观便捷。</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3.输液速率范围宽，最高可达 1200ml/h（20d/ml 输液器）或 400ml/h（60d/ml 输液器）。</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4.阻塞压力 225–975mmHg，11 档可调，并可实时显示管路压力。</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5.配备夜间照明灯、药物库功能及 7 种界面颜色警示，提高夜间操作安全性。</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6.快进速度与输液速率范围一致，可自动计算快进速度且不低于当前速度。</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7.气泡敏感度 25–800ul，7 档可调；具备在线滴定、电动安全门和电动止液夹，确保输液精度稳定。</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8.累计容量与限制量范围均为 0.1–99999.99mL，KVO 速度 0.1–5mL/h 可调，输液精度≤±5%。</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9.支持交流 100–240V、直流 12V 及内置 11.1V 锂电池供电。</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10.具备完备报警功能和双路声音报警。</w:t>
            </w:r>
          </w:p>
        </w:tc>
        <w:tc>
          <w:tcPr>
            <w:tcW w:w="314" w:type="pct"/>
            <w:vAlign w:val="center"/>
          </w:tcPr>
          <w:p w14:paraId="30BBE095">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9台</w:t>
            </w:r>
          </w:p>
        </w:tc>
        <w:tc>
          <w:tcPr>
            <w:tcW w:w="314" w:type="pct"/>
            <w:vAlign w:val="center"/>
          </w:tcPr>
          <w:p w14:paraId="62E91797">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工业</w:t>
            </w:r>
          </w:p>
        </w:tc>
      </w:tr>
      <w:tr w14:paraId="64A79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63" w:type="pct"/>
            <w:vAlign w:val="center"/>
          </w:tcPr>
          <w:p w14:paraId="7AA4270B">
            <w:pPr>
              <w:keepNext w:val="0"/>
              <w:keepLines w:val="0"/>
              <w:widowControl/>
              <w:suppressLineNumbers w:val="0"/>
              <w:spacing w:line="360" w:lineRule="auto"/>
              <w:jc w:val="center"/>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23</w:t>
            </w:r>
          </w:p>
        </w:tc>
        <w:tc>
          <w:tcPr>
            <w:tcW w:w="492" w:type="pct"/>
            <w:vAlign w:val="center"/>
          </w:tcPr>
          <w:p w14:paraId="29A48370">
            <w:pPr>
              <w:keepNext w:val="0"/>
              <w:keepLines w:val="0"/>
              <w:widowControl/>
              <w:suppressLineNumbers w:val="0"/>
              <w:spacing w:line="360" w:lineRule="auto"/>
              <w:jc w:val="left"/>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双通道注射泵</w:t>
            </w:r>
          </w:p>
        </w:tc>
        <w:tc>
          <w:tcPr>
            <w:tcW w:w="3514" w:type="pct"/>
            <w:vAlign w:val="center"/>
          </w:tcPr>
          <w:p w14:paraId="748B990B">
            <w:pPr>
              <w:widowControl w:val="0"/>
              <w:numPr>
                <w:ilvl w:val="0"/>
                <w:numId w:val="0"/>
              </w:numPr>
              <w:bidi w:val="0"/>
              <w:spacing w:after="120" w:line="360" w:lineRule="auto"/>
              <w:ind w:firstLine="210" w:firstLineChars="100"/>
              <w:jc w:val="both"/>
              <w:rPr>
                <w:rFonts w:hint="eastAsia" w:ascii="@微软简标宋" w:hAnsi="@微软简标宋" w:eastAsia="@微软简标宋" w:cs="@微软简标宋"/>
                <w:color w:val="auto"/>
                <w:kern w:val="2"/>
                <w:sz w:val="21"/>
                <w:szCs w:val="24"/>
                <w:highlight w:val="none"/>
                <w:lang w:val="en-US" w:eastAsia="zh-CN" w:bidi="ar-SA"/>
              </w:rPr>
            </w:pPr>
            <w:r>
              <w:rPr>
                <w:rFonts w:hint="eastAsia" w:ascii="宋体" w:hAnsi="宋体" w:eastAsia="宋体" w:cs="宋体"/>
                <w:i w:val="0"/>
                <w:iCs w:val="0"/>
                <w:color w:val="auto"/>
                <w:kern w:val="0"/>
                <w:sz w:val="21"/>
                <w:szCs w:val="22"/>
                <w:highlight w:val="none"/>
                <w:u w:val="none"/>
                <w:lang w:val="en-US" w:eastAsia="zh-CN" w:bidi="ar"/>
              </w:rPr>
              <w:t>1.电池续航时间：不少于10小时</w:t>
            </w:r>
            <w:r>
              <w:rPr>
                <w:rFonts w:hint="eastAsia" w:ascii="宋体" w:hAnsi="宋体" w:eastAsia="宋体" w:cs="宋体"/>
                <w:i w:val="0"/>
                <w:iCs w:val="0"/>
                <w:color w:val="auto"/>
                <w:kern w:val="0"/>
                <w:sz w:val="21"/>
                <w:szCs w:val="22"/>
                <w:highlight w:val="none"/>
                <w:u w:val="none"/>
                <w:lang w:val="en-US" w:eastAsia="zh-CN" w:bidi="ar"/>
              </w:rPr>
              <w:br w:type="textWrapping"/>
            </w:r>
            <w:r>
              <w:rPr>
                <w:rFonts w:hint="eastAsia" w:ascii="宋体" w:hAnsi="宋体" w:eastAsia="宋体" w:cs="宋体"/>
                <w:i w:val="0"/>
                <w:iCs w:val="0"/>
                <w:color w:val="auto"/>
                <w:kern w:val="0"/>
                <w:sz w:val="21"/>
                <w:szCs w:val="22"/>
                <w:highlight w:val="none"/>
                <w:u w:val="none"/>
                <w:lang w:val="en-US" w:eastAsia="zh-CN" w:bidi="ar"/>
              </w:rPr>
              <w:t>2.适用的注射器：规格为5ml、10ml、20ml、30ml、50（60）ml所有符合标准的注射器。</w:t>
            </w:r>
            <w:r>
              <w:rPr>
                <w:rFonts w:hint="eastAsia" w:ascii="宋体" w:hAnsi="宋体" w:eastAsia="宋体" w:cs="宋体"/>
                <w:i w:val="0"/>
                <w:iCs w:val="0"/>
                <w:color w:val="auto"/>
                <w:kern w:val="0"/>
                <w:sz w:val="21"/>
                <w:szCs w:val="22"/>
                <w:highlight w:val="none"/>
                <w:u w:val="none"/>
                <w:lang w:val="en-US" w:eastAsia="zh-CN" w:bidi="ar"/>
              </w:rPr>
              <w:br w:type="textWrapping"/>
            </w:r>
            <w:r>
              <w:rPr>
                <w:rFonts w:hint="eastAsia" w:ascii="宋体" w:hAnsi="宋体" w:eastAsia="宋体" w:cs="宋体"/>
                <w:i w:val="0"/>
                <w:iCs w:val="0"/>
                <w:color w:val="auto"/>
                <w:kern w:val="0"/>
                <w:sz w:val="21"/>
                <w:szCs w:val="22"/>
                <w:highlight w:val="none"/>
                <w:u w:val="none"/>
                <w:lang w:val="en-US" w:eastAsia="zh-CN" w:bidi="ar"/>
              </w:rPr>
              <w:t>3.注射模式：速度模式、时间模式、体重模式、梯度模式、首剂模式、序列模式、TIVA模式、微量模式，具备双通道</w:t>
            </w:r>
            <w:r>
              <w:rPr>
                <w:rFonts w:hint="eastAsia" w:ascii="宋体" w:hAnsi="宋体" w:eastAsia="宋体" w:cs="宋体"/>
                <w:i w:val="0"/>
                <w:iCs w:val="0"/>
                <w:color w:val="auto"/>
                <w:kern w:val="0"/>
                <w:sz w:val="21"/>
                <w:szCs w:val="22"/>
                <w:highlight w:val="none"/>
                <w:u w:val="none"/>
                <w:lang w:val="en-US" w:eastAsia="zh-CN" w:bidi="ar"/>
              </w:rPr>
              <w:br w:type="textWrapping"/>
            </w:r>
            <w:r>
              <w:rPr>
                <w:rFonts w:hint="eastAsia" w:ascii="宋体" w:hAnsi="宋体" w:eastAsia="宋体" w:cs="宋体"/>
                <w:i w:val="0"/>
                <w:iCs w:val="0"/>
                <w:color w:val="auto"/>
                <w:kern w:val="0"/>
                <w:sz w:val="21"/>
                <w:szCs w:val="22"/>
                <w:highlight w:val="none"/>
                <w:u w:val="none"/>
                <w:lang w:val="en-US" w:eastAsia="zh-CN" w:bidi="ar"/>
              </w:rPr>
              <w:t>4.注射速度设定范围：0.10—100.0ml/h（5ml注射器），0.10—300.0ml/h（10ml注射器），0.10—600.0ml/h（20ml注射器），0.10—900.0ml/h（30ml注射器），0.10—2000.0ml/h（50（60)ml注射器）</w:t>
            </w:r>
            <w:r>
              <w:rPr>
                <w:rFonts w:hint="eastAsia" w:ascii="宋体" w:hAnsi="宋体" w:eastAsia="宋体" w:cs="宋体"/>
                <w:i w:val="0"/>
                <w:iCs w:val="0"/>
                <w:color w:val="auto"/>
                <w:kern w:val="0"/>
                <w:sz w:val="21"/>
                <w:szCs w:val="22"/>
                <w:highlight w:val="none"/>
                <w:u w:val="none"/>
                <w:lang w:val="en-US" w:eastAsia="zh-CN" w:bidi="ar"/>
              </w:rPr>
              <w:br w:type="textWrapping"/>
            </w:r>
            <w:r>
              <w:rPr>
                <w:rFonts w:hint="eastAsia" w:ascii="宋体" w:hAnsi="宋体" w:eastAsia="宋体" w:cs="宋体"/>
                <w:i w:val="0"/>
                <w:iCs w:val="0"/>
                <w:color w:val="auto"/>
                <w:kern w:val="0"/>
                <w:sz w:val="21"/>
                <w:szCs w:val="22"/>
                <w:highlight w:val="none"/>
                <w:u w:val="none"/>
                <w:lang w:val="en-US" w:eastAsia="zh-CN" w:bidi="ar"/>
              </w:rPr>
              <w:t>5.预置量设定范围：0.10 - 99.99ml（最小增量0.01），100.0 - 999.9ml（最小增量0.1），100.0 – 9999ml（最小增量1）</w:t>
            </w:r>
            <w:r>
              <w:rPr>
                <w:rFonts w:hint="eastAsia" w:ascii="宋体" w:hAnsi="宋体" w:eastAsia="宋体" w:cs="宋体"/>
                <w:i w:val="0"/>
                <w:iCs w:val="0"/>
                <w:color w:val="auto"/>
                <w:kern w:val="0"/>
                <w:sz w:val="21"/>
                <w:szCs w:val="22"/>
                <w:highlight w:val="none"/>
                <w:u w:val="none"/>
                <w:lang w:val="en-US" w:eastAsia="zh-CN" w:bidi="ar"/>
              </w:rPr>
              <w:br w:type="textWrapping"/>
            </w:r>
            <w:r>
              <w:rPr>
                <w:rFonts w:hint="eastAsia" w:ascii="宋体" w:hAnsi="宋体" w:eastAsia="宋体" w:cs="宋体"/>
                <w:i w:val="0"/>
                <w:iCs w:val="0"/>
                <w:color w:val="auto"/>
                <w:kern w:val="0"/>
                <w:sz w:val="21"/>
                <w:szCs w:val="22"/>
                <w:highlight w:val="none"/>
                <w:u w:val="none"/>
                <w:lang w:val="en-US" w:eastAsia="zh-CN" w:bidi="ar"/>
              </w:rPr>
              <w:t>6.注射总量显示范围： 0-99999.99ml</w:t>
            </w:r>
            <w:r>
              <w:rPr>
                <w:rFonts w:hint="eastAsia" w:ascii="宋体" w:hAnsi="宋体" w:eastAsia="宋体" w:cs="宋体"/>
                <w:i w:val="0"/>
                <w:iCs w:val="0"/>
                <w:color w:val="auto"/>
                <w:kern w:val="0"/>
                <w:sz w:val="21"/>
                <w:szCs w:val="22"/>
                <w:highlight w:val="none"/>
                <w:u w:val="none"/>
                <w:lang w:val="en-US" w:eastAsia="zh-CN" w:bidi="ar"/>
              </w:rPr>
              <w:br w:type="textWrapping"/>
            </w:r>
            <w:r>
              <w:rPr>
                <w:rFonts w:hint="eastAsia" w:ascii="宋体" w:hAnsi="宋体" w:eastAsia="宋体" w:cs="宋体"/>
                <w:i w:val="0"/>
                <w:iCs w:val="0"/>
                <w:color w:val="auto"/>
                <w:kern w:val="0"/>
                <w:sz w:val="21"/>
                <w:szCs w:val="22"/>
                <w:highlight w:val="none"/>
                <w:u w:val="none"/>
                <w:lang w:val="en-US" w:eastAsia="zh-CN" w:bidi="ar"/>
              </w:rPr>
              <w:t>7.注射精度： 机械精度≤±1%;  注射器的精度≤：±2%</w:t>
            </w:r>
            <w:r>
              <w:rPr>
                <w:rFonts w:hint="eastAsia" w:ascii="宋体" w:hAnsi="宋体" w:eastAsia="宋体" w:cs="宋体"/>
                <w:i w:val="0"/>
                <w:iCs w:val="0"/>
                <w:color w:val="auto"/>
                <w:kern w:val="0"/>
                <w:sz w:val="21"/>
                <w:szCs w:val="22"/>
                <w:highlight w:val="none"/>
                <w:u w:val="none"/>
                <w:lang w:val="en-US" w:eastAsia="zh-CN" w:bidi="ar"/>
              </w:rPr>
              <w:br w:type="textWrapping"/>
            </w:r>
            <w:r>
              <w:rPr>
                <w:rFonts w:hint="eastAsia" w:ascii="宋体" w:hAnsi="宋体" w:eastAsia="宋体" w:cs="宋体"/>
                <w:i w:val="0"/>
                <w:iCs w:val="0"/>
                <w:color w:val="auto"/>
                <w:kern w:val="0"/>
                <w:sz w:val="21"/>
                <w:szCs w:val="22"/>
                <w:highlight w:val="none"/>
                <w:u w:val="none"/>
                <w:lang w:val="en-US" w:eastAsia="zh-CN" w:bidi="ar"/>
              </w:rPr>
              <w:t>8.快进操作：0.10—100.0ml/h（5ml注射器），0.10—300.0ml/h（10ml注射器），0.10—600.0ml/h（20ml注射器），0.10—900.0ml/h（30ml注射器），0.10—2000.0ml/h（50ml（60）注射器），根据快进量自动计算快进速度，且不得低于当前速度。</w:t>
            </w:r>
            <w:r>
              <w:rPr>
                <w:rFonts w:hint="eastAsia" w:ascii="宋体" w:hAnsi="宋体" w:eastAsia="宋体" w:cs="宋体"/>
                <w:i w:val="0"/>
                <w:iCs w:val="0"/>
                <w:color w:val="auto"/>
                <w:kern w:val="0"/>
                <w:sz w:val="21"/>
                <w:szCs w:val="22"/>
                <w:highlight w:val="none"/>
                <w:u w:val="none"/>
                <w:lang w:val="en-US" w:eastAsia="zh-CN" w:bidi="ar"/>
              </w:rPr>
              <w:br w:type="textWrapping"/>
            </w:r>
            <w:r>
              <w:rPr>
                <w:rFonts w:hint="eastAsia" w:ascii="宋体" w:hAnsi="宋体" w:eastAsia="宋体" w:cs="宋体"/>
                <w:i w:val="0"/>
                <w:iCs w:val="0"/>
                <w:color w:val="auto"/>
                <w:kern w:val="0"/>
                <w:sz w:val="21"/>
                <w:szCs w:val="22"/>
                <w:highlight w:val="none"/>
                <w:u w:val="none"/>
                <w:lang w:val="en-US" w:eastAsia="zh-CN" w:bidi="ar"/>
              </w:rPr>
              <w:t>9.KVO速度：0.1～5ml</w:t>
            </w:r>
            <w:r>
              <w:rPr>
                <w:rFonts w:hint="eastAsia" w:ascii="@微软简标宋" w:hAnsi="@微软简标宋" w:eastAsia="@微软简标宋" w:cs="@微软简标宋"/>
                <w:color w:val="auto"/>
                <w:kern w:val="2"/>
                <w:sz w:val="21"/>
                <w:szCs w:val="24"/>
                <w:highlight w:val="none"/>
                <w:lang w:val="en-US" w:eastAsia="zh-CN" w:bidi="ar-SA"/>
              </w:rPr>
              <w:t>/h可调，KVO设置为0时关闭KVO</w:t>
            </w:r>
          </w:p>
          <w:p w14:paraId="3EFA0D6D">
            <w:pPr>
              <w:widowControl w:val="0"/>
              <w:numPr>
                <w:ilvl w:val="0"/>
                <w:numId w:val="0"/>
              </w:numPr>
              <w:bidi w:val="0"/>
              <w:spacing w:after="120" w:line="360" w:lineRule="auto"/>
              <w:ind w:firstLine="210" w:firstLineChars="100"/>
              <w:jc w:val="both"/>
              <w:rPr>
                <w:rFonts w:hint="eastAsia" w:ascii="宋体" w:hAnsi="宋体" w:eastAsia="宋体" w:cs="宋体"/>
                <w:color w:val="auto"/>
                <w:kern w:val="2"/>
                <w:sz w:val="21"/>
                <w:szCs w:val="22"/>
                <w:highlight w:val="none"/>
                <w:lang w:val="en-US" w:eastAsia="zh-CN" w:bidi="ar-SA"/>
              </w:rPr>
            </w:pPr>
            <w:r>
              <w:rPr>
                <w:rFonts w:hint="eastAsia" w:ascii="@微软简标宋" w:hAnsi="@微软简标宋" w:eastAsia="@微软简标宋" w:cs="@微软简标宋"/>
                <w:color w:val="auto"/>
                <w:kern w:val="2"/>
                <w:sz w:val="21"/>
                <w:szCs w:val="24"/>
                <w:highlight w:val="none"/>
                <w:lang w:val="en-US" w:eastAsia="zh-CN" w:bidi="ar-SA"/>
              </w:rPr>
              <w:t>10.阻塞级别：225mmHg~975mmHg，11级可选择</w:t>
            </w:r>
            <w:r>
              <w:rPr>
                <w:rFonts w:hint="eastAsia" w:ascii="宋体" w:hAnsi="宋体" w:eastAsia="宋体" w:cs="宋体"/>
                <w:i w:val="0"/>
                <w:iCs w:val="0"/>
                <w:color w:val="auto"/>
                <w:kern w:val="0"/>
                <w:sz w:val="21"/>
                <w:szCs w:val="22"/>
                <w:highlight w:val="none"/>
                <w:u w:val="none"/>
                <w:lang w:val="en-US" w:eastAsia="zh-CN" w:bidi="ar"/>
              </w:rPr>
              <w:br w:type="textWrapping"/>
            </w:r>
            <w:r>
              <w:rPr>
                <w:rFonts w:hint="eastAsia" w:ascii="宋体" w:hAnsi="宋体" w:eastAsia="宋体" w:cs="宋体"/>
                <w:i w:val="0"/>
                <w:iCs w:val="0"/>
                <w:color w:val="auto"/>
                <w:kern w:val="0"/>
                <w:sz w:val="21"/>
                <w:szCs w:val="22"/>
                <w:highlight w:val="none"/>
                <w:u w:val="none"/>
                <w:lang w:val="en-US" w:eastAsia="zh-CN" w:bidi="ar"/>
              </w:rPr>
              <w:t>11.报警：输注即将完成、输注完成、注射器排空、注射器即将排空、输注阻塞、压力值过大、电池电量低、电池耗竭、无电池、无外部电源、注射器无法识别、注射器安装错误、待机结束、无法启动注射、遗忘操作</w:t>
            </w:r>
            <w:r>
              <w:rPr>
                <w:rFonts w:hint="eastAsia" w:ascii="宋体" w:hAnsi="宋体" w:eastAsia="宋体" w:cs="宋体"/>
                <w:i w:val="0"/>
                <w:iCs w:val="0"/>
                <w:color w:val="auto"/>
                <w:kern w:val="0"/>
                <w:sz w:val="21"/>
                <w:szCs w:val="22"/>
                <w:highlight w:val="none"/>
                <w:u w:val="none"/>
                <w:lang w:val="en-US" w:eastAsia="zh-CN" w:bidi="ar"/>
              </w:rPr>
              <w:br w:type="textWrapping"/>
            </w:r>
            <w:r>
              <w:rPr>
                <w:rFonts w:hint="eastAsia" w:ascii="宋体" w:hAnsi="宋体" w:eastAsia="宋体" w:cs="宋体"/>
                <w:i w:val="0"/>
                <w:iCs w:val="0"/>
                <w:color w:val="auto"/>
                <w:kern w:val="0"/>
                <w:sz w:val="21"/>
                <w:szCs w:val="22"/>
                <w:highlight w:val="none"/>
                <w:u w:val="none"/>
                <w:lang w:val="en-US" w:eastAsia="zh-CN" w:bidi="ar"/>
              </w:rPr>
              <w:t>12.特殊功能：再报警功能：静音报警声音后，若仍然存在报警，约2分钟后，将继续报警。事件记录功能：能够存储、回放最多≥2000个事件。声音音量等级：可调10级报警音量。电源切换功能：当交流/直流电源停止供电时，注射泵自动切换为内置池供电。</w:t>
            </w:r>
          </w:p>
        </w:tc>
        <w:tc>
          <w:tcPr>
            <w:tcW w:w="314" w:type="pct"/>
            <w:vAlign w:val="center"/>
          </w:tcPr>
          <w:p w14:paraId="1D7C3326">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6台</w:t>
            </w:r>
          </w:p>
        </w:tc>
        <w:tc>
          <w:tcPr>
            <w:tcW w:w="314" w:type="pct"/>
            <w:vAlign w:val="center"/>
          </w:tcPr>
          <w:p w14:paraId="5BB1B70D">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工业</w:t>
            </w:r>
          </w:p>
        </w:tc>
      </w:tr>
      <w:tr w14:paraId="78424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63" w:type="pct"/>
            <w:vAlign w:val="center"/>
          </w:tcPr>
          <w:p w14:paraId="48D514B7">
            <w:pPr>
              <w:keepNext w:val="0"/>
              <w:keepLines w:val="0"/>
              <w:widowControl/>
              <w:suppressLineNumbers w:val="0"/>
              <w:spacing w:line="360" w:lineRule="auto"/>
              <w:jc w:val="center"/>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24</w:t>
            </w:r>
          </w:p>
        </w:tc>
        <w:tc>
          <w:tcPr>
            <w:tcW w:w="492" w:type="pct"/>
            <w:vAlign w:val="center"/>
          </w:tcPr>
          <w:p w14:paraId="3B6A2A5F">
            <w:pPr>
              <w:keepNext w:val="0"/>
              <w:keepLines w:val="0"/>
              <w:widowControl/>
              <w:suppressLineNumbers w:val="0"/>
              <w:spacing w:line="360" w:lineRule="auto"/>
              <w:jc w:val="left"/>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心电监护仪</w:t>
            </w:r>
          </w:p>
        </w:tc>
        <w:tc>
          <w:tcPr>
            <w:tcW w:w="3514" w:type="pct"/>
            <w:vAlign w:val="center"/>
          </w:tcPr>
          <w:p w14:paraId="0D7BAFA4">
            <w:pPr>
              <w:keepNext w:val="0"/>
              <w:keepLines w:val="0"/>
              <w:widowControl/>
              <w:suppressLineNumbers w:val="0"/>
              <w:spacing w:line="360" w:lineRule="auto"/>
              <w:jc w:val="left"/>
              <w:textAlignment w:val="center"/>
              <w:rPr>
                <w:rFonts w:hint="eastAsia" w:ascii="宋体" w:hAnsi="宋体" w:eastAsia="宋体" w:cs="宋体"/>
                <w:color w:val="auto"/>
                <w:sz w:val="22"/>
                <w:szCs w:val="22"/>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 xml:space="preserve">1.整机要求多参数监护仪，整机无风扇设计，防水等级不低于IPX1。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●2.≥10英寸彩色液晶触摸屏，分辨率≥1280*800像素，≥8通道波形显示。屏幕采用最新电容屏，非电阻屏，显示屏支持亮度自动调节功能。</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3.监测患者类型为成人、小儿、新生儿模式。</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4.内置锂电池，插槽式设计，锂电池支持监护仪工作时间≥4小时。</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5.安全规格：ECG, TEMP, IBP, SpO2 , NIBP监测参数抗电击程度为防除颤CF型,</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6.配置3/5导心电，呼吸，无创血压，血氧饱和度，脉搏和双通道体温参数监测。</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7.心电监护支持心率，ST段测量，心律失常分析，QT/QTc连续实时测量和对应报警功能。</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8.心电波形扫描速度支持6.25mm/s、12.5 mm/s、25 mm/s和50 mm/s，提供界面截图证明材料。</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9.提供窗口支持心脏下壁，侧壁和前壁对应多个ST片段的同屏实时显示。</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10.提供SpO2,PR和灌注指数（PI）参数的实时监测，适用于小儿和新生儿。</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11.提供手动，自动，连续和序列4种测量模式，并提供24小时血压统计结果，满足临床应用。</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12.提供多种监护界面，包括常规界面、大字体、单血氧界面。大字体界面支持6个参数区的设置和显示。</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13.具有图形化技术报警指示功能，帮助医护团队快速识别报警来源。</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14.提供计时器功能，界面区提供设置≥4个计时器，每个计时器支持独立设置和计时功能，计时方向包括正计时和倒计时两种选择</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●15.动态趋势界面可支持统计1—24小时心律失常报警、参数超限报警信息，并对超限报警区间的波形进行高亮显示，帮助医护人员快速识别异常趋势信息。</w:t>
            </w:r>
          </w:p>
        </w:tc>
        <w:tc>
          <w:tcPr>
            <w:tcW w:w="314" w:type="pct"/>
            <w:vAlign w:val="center"/>
          </w:tcPr>
          <w:p w14:paraId="4E8A6EAA">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8台</w:t>
            </w:r>
          </w:p>
        </w:tc>
        <w:tc>
          <w:tcPr>
            <w:tcW w:w="314" w:type="pct"/>
            <w:vAlign w:val="center"/>
          </w:tcPr>
          <w:p w14:paraId="3DB36846">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工业</w:t>
            </w:r>
          </w:p>
        </w:tc>
      </w:tr>
      <w:tr w14:paraId="4E19A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63" w:type="pct"/>
            <w:vAlign w:val="center"/>
          </w:tcPr>
          <w:p w14:paraId="0A6DAEAB">
            <w:pPr>
              <w:keepNext w:val="0"/>
              <w:keepLines w:val="0"/>
              <w:widowControl/>
              <w:suppressLineNumbers w:val="0"/>
              <w:spacing w:line="360" w:lineRule="auto"/>
              <w:jc w:val="center"/>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25</w:t>
            </w:r>
          </w:p>
        </w:tc>
        <w:tc>
          <w:tcPr>
            <w:tcW w:w="492" w:type="pct"/>
            <w:vAlign w:val="center"/>
          </w:tcPr>
          <w:p w14:paraId="2876E47F">
            <w:pPr>
              <w:keepNext w:val="0"/>
              <w:keepLines w:val="0"/>
              <w:widowControl/>
              <w:suppressLineNumbers w:val="0"/>
              <w:spacing w:line="360" w:lineRule="auto"/>
              <w:jc w:val="left"/>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心电图机</w:t>
            </w:r>
          </w:p>
        </w:tc>
        <w:tc>
          <w:tcPr>
            <w:tcW w:w="3514" w:type="pct"/>
            <w:vAlign w:val="center"/>
          </w:tcPr>
          <w:p w14:paraId="43F9A6A8">
            <w:pPr>
              <w:keepNext w:val="0"/>
              <w:keepLines w:val="0"/>
              <w:widowControl/>
              <w:suppressLineNumbers w:val="0"/>
              <w:spacing w:line="360" w:lineRule="auto"/>
              <w:jc w:val="left"/>
              <w:textAlignment w:val="center"/>
              <w:rPr>
                <w:rFonts w:hint="eastAsia" w:ascii="宋体" w:hAnsi="宋体" w:eastAsia="宋体" w:cs="宋体"/>
                <w:color w:val="auto"/>
                <w:sz w:val="22"/>
                <w:szCs w:val="22"/>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1.采集方式：12导联同步采集，6通道同步/实时打印</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2、频率响应：0.01—410HZ；</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3、耐极化电压：±1300mV</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4、共模抑制：≥130dB（交流滤波器开启）</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■5、增益：自动增益，0.625 ，1.25，2.5，5 ， 10 ，20 ，40，10/5，20/10 mm/mV</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w:t>
            </w:r>
            <w:r>
              <w:rPr>
                <w:rFonts w:hint="eastAsia" w:ascii="Calibri" w:hAnsi="Calibri" w:eastAsia="宋体" w:cs="宋体"/>
                <w:color w:val="auto"/>
                <w:szCs w:val="22"/>
                <w:highlight w:val="none"/>
              </w:rPr>
              <w:t>≥</w:t>
            </w:r>
            <w:r>
              <w:rPr>
                <w:rFonts w:hint="eastAsia" w:ascii="宋体" w:hAnsi="宋体" w:eastAsia="宋体" w:cs="宋体"/>
                <w:i w:val="0"/>
                <w:iCs w:val="0"/>
                <w:color w:val="auto"/>
                <w:kern w:val="0"/>
                <w:sz w:val="22"/>
                <w:szCs w:val="22"/>
                <w:highlight w:val="none"/>
                <w:u w:val="none"/>
                <w:lang w:val="en-US" w:eastAsia="zh-CN" w:bidi="ar"/>
              </w:rPr>
              <w:t>8英寸彩色液晶触摸屏，支持标准PC全键盘操作设计</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●7、内部存储≥3500组ECG记录数据，并支持大容量SD卡、U盘</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8、支持HRV波形采集和起搏分析</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9、独立外置导联盒，有效避免干扰，导联线可单独拔插，维修、更换方便快捷</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10、交流电源：100—240V，50/60Hz；直流电源：内置可充电锂电池，心电图机可连续工作（不包括打印）5 小时以上</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■11、用户访问控制：心电图机启动运行分为一般模式和安全模式，在“安全模式”下，用户须输入注册的用户名和密码启动设备</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■12、为保证仪器稳定安全工作，产品需采用外置电源适配器，谨防电击/过载危险</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13、具有携带提手，方便医护人员携带下病房检查；</w:t>
            </w:r>
          </w:p>
        </w:tc>
        <w:tc>
          <w:tcPr>
            <w:tcW w:w="314" w:type="pct"/>
            <w:vAlign w:val="center"/>
          </w:tcPr>
          <w:p w14:paraId="3B1F7AB2">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8台</w:t>
            </w:r>
          </w:p>
        </w:tc>
        <w:tc>
          <w:tcPr>
            <w:tcW w:w="314" w:type="pct"/>
            <w:vAlign w:val="center"/>
          </w:tcPr>
          <w:p w14:paraId="7107E035">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工业</w:t>
            </w:r>
          </w:p>
        </w:tc>
      </w:tr>
      <w:tr w14:paraId="66FC2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63" w:type="pct"/>
            <w:vAlign w:val="center"/>
          </w:tcPr>
          <w:p w14:paraId="6223D071">
            <w:pPr>
              <w:keepNext w:val="0"/>
              <w:keepLines w:val="0"/>
              <w:widowControl/>
              <w:suppressLineNumbers w:val="0"/>
              <w:spacing w:line="360" w:lineRule="auto"/>
              <w:jc w:val="center"/>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26</w:t>
            </w:r>
          </w:p>
        </w:tc>
        <w:tc>
          <w:tcPr>
            <w:tcW w:w="492" w:type="pct"/>
            <w:vAlign w:val="center"/>
          </w:tcPr>
          <w:p w14:paraId="7ADF7A35">
            <w:pPr>
              <w:keepNext w:val="0"/>
              <w:keepLines w:val="0"/>
              <w:widowControl/>
              <w:suppressLineNumbers w:val="0"/>
              <w:spacing w:line="360" w:lineRule="auto"/>
              <w:jc w:val="left"/>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新生儿沐浴设备</w:t>
            </w:r>
          </w:p>
        </w:tc>
        <w:tc>
          <w:tcPr>
            <w:tcW w:w="3514" w:type="pct"/>
            <w:vAlign w:val="center"/>
          </w:tcPr>
          <w:p w14:paraId="4558E4C1">
            <w:pPr>
              <w:keepNext w:val="0"/>
              <w:keepLines w:val="0"/>
              <w:widowControl/>
              <w:suppressLineNumbers w:val="0"/>
              <w:spacing w:line="360" w:lineRule="auto"/>
              <w:jc w:val="left"/>
              <w:textAlignment w:val="center"/>
              <w:rPr>
                <w:rFonts w:hint="eastAsia" w:ascii="宋体" w:hAnsi="宋体" w:eastAsia="宋体" w:cs="宋体"/>
                <w:color w:val="auto"/>
                <w:sz w:val="22"/>
                <w:szCs w:val="22"/>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1.洗礼池、游泳池均采用台面全部采用PMMA-ABS高分子复合材料，用模具吸塑一次成型。洗礼池、游泳池及婴儿抚触台为一体化设计，可自由组合。</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2、洗礼池、游泳池周围带围墙式防溢水设计，并设有溢水导水沟。</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3、槽体尺寸：洗礼池外形：≤长×宽：≥1000mm×790mm 内尺寸：≥长×宽×深：670mm×460mm×215mm，游泳池外形：长×宽：≤900mm×790mm ，内尺寸：≥长×宽×深：705mm×520mm×550mm。</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4、洗礼池控制器：液晶大屏中文显示屏，全屏触摸，显示室内温度和水龙头出水温度。高温报警、自动断水，具体温度范围可自行设定，电压DC12V，电阻15Ω～17Ω</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5、恒温水控制器：</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5.1、调温精度±1℃，电源使用12V，数码显示出水温度，控温范围28℃～55℃数码显示</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5.2、控温软件能自动识别开关水状态，自动识别环境温度，在各种水压下都能快速调温到设定温度，并保持稳定状态。</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6、游泳池控制器：最新国标IMD工艺，全屏触摸，全中文显示,显示水龙头出水温度、监控显示游泳池内水的温度，电磁式排水功能，一键启动排水，启动排水8min后自动关闭排水阀。</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7、护理平台</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7.1、设计采用优质PMMA-ABS高分子材料经多层复合而成 ，表面平整光滑、无棱角、无冰冷感，四周带有围墙式全弧形设计边缘。</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7.2、配有防水功能且表面柔软的皮质软包。</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color w:val="auto"/>
                <w:sz w:val="24"/>
                <w:szCs w:val="24"/>
                <w:highlight w:val="none"/>
              </w:rPr>
              <w:t>●</w:t>
            </w:r>
            <w:r>
              <w:rPr>
                <w:rFonts w:hint="eastAsia" w:ascii="宋体" w:hAnsi="宋体" w:eastAsia="宋体" w:cs="宋体"/>
                <w:i w:val="0"/>
                <w:iCs w:val="0"/>
                <w:color w:val="auto"/>
                <w:kern w:val="0"/>
                <w:sz w:val="22"/>
                <w:szCs w:val="22"/>
                <w:highlight w:val="none"/>
                <w:u w:val="none"/>
                <w:lang w:val="en-US" w:eastAsia="zh-CN" w:bidi="ar"/>
              </w:rPr>
              <w:t>8、婴儿洗浴设备台面材质PMMA-ABS高分子材料耐酸耐碱，在1%NaOH溶液中浸泡168小时无可视变化，在5% H2SO4溶液中浸泡168小时无可视变化；符合GB/T11547-2008的测定。</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■9、提供婴儿洗浴设备板材释放化学成分正己烷、苯、甲苯、苯乙烯、正十六烷合格检验报告</w:t>
            </w:r>
            <w:r>
              <w:rPr>
                <w:rFonts w:hint="eastAsia" w:ascii="宋体" w:hAnsi="宋体" w:eastAsia="宋体" w:cs="宋体"/>
                <w:b/>
                <w:bCs/>
                <w:i w:val="0"/>
                <w:iCs w:val="0"/>
                <w:color w:val="auto"/>
                <w:kern w:val="0"/>
                <w:sz w:val="22"/>
                <w:szCs w:val="22"/>
                <w:highlight w:val="none"/>
                <w:u w:val="none"/>
                <w:lang w:val="en-US" w:eastAsia="zh-CN" w:bidi="ar"/>
              </w:rPr>
              <w:t>（提供第三方检测报告）</w:t>
            </w:r>
            <w:r>
              <w:rPr>
                <w:rFonts w:hint="eastAsia" w:ascii="宋体" w:hAnsi="宋体" w:eastAsia="宋体" w:cs="宋体"/>
                <w:i w:val="0"/>
                <w:iCs w:val="0"/>
                <w:color w:val="auto"/>
                <w:kern w:val="0"/>
                <w:sz w:val="22"/>
                <w:szCs w:val="22"/>
                <w:highlight w:val="none"/>
                <w:u w:val="none"/>
                <w:lang w:val="en-US" w:eastAsia="zh-CN" w:bidi="ar"/>
              </w:rPr>
              <w:t>。</w:t>
            </w:r>
          </w:p>
        </w:tc>
        <w:tc>
          <w:tcPr>
            <w:tcW w:w="314" w:type="pct"/>
            <w:vAlign w:val="center"/>
          </w:tcPr>
          <w:p w14:paraId="6194D335">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2套</w:t>
            </w:r>
          </w:p>
        </w:tc>
        <w:tc>
          <w:tcPr>
            <w:tcW w:w="314" w:type="pct"/>
            <w:vAlign w:val="center"/>
          </w:tcPr>
          <w:p w14:paraId="68EF9B14">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工业</w:t>
            </w:r>
          </w:p>
        </w:tc>
      </w:tr>
      <w:tr w14:paraId="49CAC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63" w:type="pct"/>
            <w:vAlign w:val="center"/>
          </w:tcPr>
          <w:p w14:paraId="4907040C">
            <w:pPr>
              <w:keepNext w:val="0"/>
              <w:keepLines w:val="0"/>
              <w:widowControl/>
              <w:suppressLineNumbers w:val="0"/>
              <w:spacing w:line="360" w:lineRule="auto"/>
              <w:jc w:val="center"/>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27</w:t>
            </w:r>
          </w:p>
        </w:tc>
        <w:tc>
          <w:tcPr>
            <w:tcW w:w="492" w:type="pct"/>
            <w:vAlign w:val="center"/>
          </w:tcPr>
          <w:p w14:paraId="37C71DD2">
            <w:pPr>
              <w:keepNext w:val="0"/>
              <w:keepLines w:val="0"/>
              <w:widowControl/>
              <w:suppressLineNumbers w:val="0"/>
              <w:spacing w:line="360" w:lineRule="auto"/>
              <w:jc w:val="left"/>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床上用品</w:t>
            </w:r>
          </w:p>
        </w:tc>
        <w:tc>
          <w:tcPr>
            <w:tcW w:w="3514" w:type="pct"/>
            <w:vAlign w:val="center"/>
          </w:tcPr>
          <w:p w14:paraId="653F3EC6">
            <w:pPr>
              <w:keepNext w:val="0"/>
              <w:keepLines w:val="0"/>
              <w:widowControl/>
              <w:suppressLineNumbers w:val="0"/>
              <w:spacing w:line="360" w:lineRule="auto"/>
              <w:jc w:val="left"/>
              <w:textAlignment w:val="center"/>
              <w:rPr>
                <w:rFonts w:hint="eastAsia" w:ascii="宋体" w:hAnsi="宋体" w:eastAsia="宋体" w:cs="宋体"/>
                <w:color w:val="auto"/>
                <w:sz w:val="22"/>
                <w:szCs w:val="22"/>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1.包含，床单*1、被套*1、枕套*1、床褥*1、枕芯*1;</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2.适用于医院通用病床，床单为床罩款床笠，可提供至少50种符合医院病房使用要求的图案、样式、颜色等供客户选择；</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3.床单、被套、枕套材质要求：纯棉，A类，面料支数≥40支。</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4.床褥、枕芯材质：新疆棉，A类，≥4斤/床，匹配床上用品中的被套；</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枕芯：全棉，A类，≥48*70*12cm，匹配床上用品中的枕套。</w:t>
            </w:r>
          </w:p>
        </w:tc>
        <w:tc>
          <w:tcPr>
            <w:tcW w:w="314" w:type="pct"/>
            <w:vAlign w:val="center"/>
          </w:tcPr>
          <w:p w14:paraId="2DF5A234">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50套</w:t>
            </w:r>
          </w:p>
        </w:tc>
        <w:tc>
          <w:tcPr>
            <w:tcW w:w="314" w:type="pct"/>
            <w:vAlign w:val="center"/>
          </w:tcPr>
          <w:p w14:paraId="27124CCF">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工业</w:t>
            </w:r>
          </w:p>
        </w:tc>
      </w:tr>
      <w:tr w14:paraId="0D96B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63" w:type="pct"/>
            <w:vAlign w:val="center"/>
          </w:tcPr>
          <w:p w14:paraId="70DE94CA">
            <w:pPr>
              <w:keepNext w:val="0"/>
              <w:keepLines w:val="0"/>
              <w:widowControl/>
              <w:suppressLineNumbers w:val="0"/>
              <w:spacing w:line="360" w:lineRule="auto"/>
              <w:jc w:val="center"/>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28</w:t>
            </w:r>
          </w:p>
        </w:tc>
        <w:tc>
          <w:tcPr>
            <w:tcW w:w="492" w:type="pct"/>
            <w:vAlign w:val="center"/>
          </w:tcPr>
          <w:p w14:paraId="4F8A7AD8">
            <w:pPr>
              <w:keepNext w:val="0"/>
              <w:keepLines w:val="0"/>
              <w:widowControl/>
              <w:suppressLineNumbers w:val="0"/>
              <w:spacing w:line="360" w:lineRule="auto"/>
              <w:jc w:val="left"/>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智能锁</w:t>
            </w:r>
          </w:p>
        </w:tc>
        <w:tc>
          <w:tcPr>
            <w:tcW w:w="3514" w:type="pct"/>
            <w:vAlign w:val="center"/>
          </w:tcPr>
          <w:p w14:paraId="384E614B">
            <w:pPr>
              <w:keepNext w:val="0"/>
              <w:keepLines w:val="0"/>
              <w:widowControl/>
              <w:suppressLineNumbers w:val="0"/>
              <w:spacing w:line="360" w:lineRule="auto"/>
              <w:jc w:val="left"/>
              <w:textAlignment w:val="center"/>
              <w:rPr>
                <w:rFonts w:hint="eastAsia" w:ascii="宋体" w:hAnsi="宋体" w:eastAsia="宋体" w:cs="宋体"/>
                <w:color w:val="auto"/>
                <w:sz w:val="22"/>
                <w:szCs w:val="22"/>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1.C级锁芯，防撬提醒，半导体指纹头，至少支持三种开锁方式，带虚位密码，配备机械钥匙，可远程设置临时密码。</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2.超长续航，具备低电量提醒功能，具有应急开锁功能，支持外接电源临时供电。</w:t>
            </w:r>
          </w:p>
        </w:tc>
        <w:tc>
          <w:tcPr>
            <w:tcW w:w="314" w:type="pct"/>
            <w:vAlign w:val="center"/>
          </w:tcPr>
          <w:p w14:paraId="1A81F13A">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2套</w:t>
            </w:r>
          </w:p>
        </w:tc>
        <w:tc>
          <w:tcPr>
            <w:tcW w:w="314" w:type="pct"/>
            <w:vAlign w:val="center"/>
          </w:tcPr>
          <w:p w14:paraId="5AA8CC7E">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工业</w:t>
            </w:r>
          </w:p>
        </w:tc>
      </w:tr>
      <w:tr w14:paraId="59FE8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63" w:type="pct"/>
            <w:vAlign w:val="center"/>
          </w:tcPr>
          <w:p w14:paraId="57DD326C">
            <w:pPr>
              <w:keepNext w:val="0"/>
              <w:keepLines w:val="0"/>
              <w:widowControl/>
              <w:suppressLineNumbers w:val="0"/>
              <w:spacing w:line="360" w:lineRule="auto"/>
              <w:jc w:val="center"/>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29</w:t>
            </w:r>
          </w:p>
        </w:tc>
        <w:tc>
          <w:tcPr>
            <w:tcW w:w="492" w:type="pct"/>
            <w:vAlign w:val="center"/>
          </w:tcPr>
          <w:p w14:paraId="6F537165">
            <w:pPr>
              <w:keepNext w:val="0"/>
              <w:keepLines w:val="0"/>
              <w:widowControl/>
              <w:suppressLineNumbers w:val="0"/>
              <w:spacing w:line="360" w:lineRule="auto"/>
              <w:jc w:val="left"/>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即热热水器</w:t>
            </w:r>
          </w:p>
        </w:tc>
        <w:tc>
          <w:tcPr>
            <w:tcW w:w="3514" w:type="pct"/>
            <w:vAlign w:val="center"/>
          </w:tcPr>
          <w:p w14:paraId="7B3C2862">
            <w:pPr>
              <w:keepNext w:val="0"/>
              <w:keepLines w:val="0"/>
              <w:widowControl/>
              <w:suppressLineNumbers w:val="0"/>
              <w:spacing w:line="360" w:lineRule="auto"/>
              <w:jc w:val="left"/>
              <w:textAlignment w:val="center"/>
              <w:rPr>
                <w:rFonts w:hint="eastAsia" w:ascii="宋体" w:hAnsi="宋体" w:eastAsia="宋体" w:cs="宋体"/>
                <w:color w:val="auto"/>
                <w:sz w:val="22"/>
                <w:szCs w:val="22"/>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1.即热热水器，有漏电保护。</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2.防水等级不低于IPX4。</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3.一体铸铝加热体</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4.功率：8500W智能变频恒温</w:t>
            </w:r>
          </w:p>
        </w:tc>
        <w:tc>
          <w:tcPr>
            <w:tcW w:w="314" w:type="pct"/>
            <w:vAlign w:val="center"/>
          </w:tcPr>
          <w:p w14:paraId="0AA96FFD">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2台</w:t>
            </w:r>
          </w:p>
        </w:tc>
        <w:tc>
          <w:tcPr>
            <w:tcW w:w="314" w:type="pct"/>
            <w:vAlign w:val="center"/>
          </w:tcPr>
          <w:p w14:paraId="2CD9AF6B">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工业</w:t>
            </w:r>
          </w:p>
        </w:tc>
      </w:tr>
      <w:tr w14:paraId="7B352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63" w:type="pct"/>
            <w:vAlign w:val="center"/>
          </w:tcPr>
          <w:p w14:paraId="273CA6DC">
            <w:pPr>
              <w:keepNext w:val="0"/>
              <w:keepLines w:val="0"/>
              <w:widowControl/>
              <w:suppressLineNumbers w:val="0"/>
              <w:spacing w:line="360" w:lineRule="auto"/>
              <w:jc w:val="center"/>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30</w:t>
            </w:r>
          </w:p>
        </w:tc>
        <w:tc>
          <w:tcPr>
            <w:tcW w:w="492" w:type="pct"/>
            <w:vAlign w:val="center"/>
          </w:tcPr>
          <w:p w14:paraId="3BDF7958">
            <w:pPr>
              <w:keepNext w:val="0"/>
              <w:keepLines w:val="0"/>
              <w:widowControl/>
              <w:suppressLineNumbers w:val="0"/>
              <w:spacing w:line="360" w:lineRule="auto"/>
              <w:jc w:val="left"/>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陶电一体化灶</w:t>
            </w:r>
          </w:p>
        </w:tc>
        <w:tc>
          <w:tcPr>
            <w:tcW w:w="3514" w:type="pct"/>
            <w:vAlign w:val="center"/>
          </w:tcPr>
          <w:p w14:paraId="1CCC6616">
            <w:pPr>
              <w:keepNext w:val="0"/>
              <w:keepLines w:val="0"/>
              <w:widowControl/>
              <w:suppressLineNumbers w:val="0"/>
              <w:spacing w:line="360" w:lineRule="auto"/>
              <w:jc w:val="left"/>
              <w:textAlignment w:val="center"/>
              <w:rPr>
                <w:rFonts w:hint="eastAsia" w:ascii="宋体" w:hAnsi="宋体" w:eastAsia="宋体" w:cs="宋体"/>
                <w:color w:val="auto"/>
                <w:sz w:val="22"/>
                <w:szCs w:val="22"/>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1.凹面双灶，无火烹调</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2.凹灶电磁加热，平面电陶炉加热。</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3.3500W功率。</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4.可触控调节火力大小</w:t>
            </w:r>
          </w:p>
        </w:tc>
        <w:tc>
          <w:tcPr>
            <w:tcW w:w="314" w:type="pct"/>
            <w:vAlign w:val="center"/>
          </w:tcPr>
          <w:p w14:paraId="5A6509C3">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1台</w:t>
            </w:r>
          </w:p>
        </w:tc>
        <w:tc>
          <w:tcPr>
            <w:tcW w:w="314" w:type="pct"/>
            <w:vAlign w:val="center"/>
          </w:tcPr>
          <w:p w14:paraId="2A319F16">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工业</w:t>
            </w:r>
          </w:p>
        </w:tc>
      </w:tr>
      <w:tr w14:paraId="32799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63" w:type="pct"/>
            <w:vAlign w:val="center"/>
          </w:tcPr>
          <w:p w14:paraId="3E820FCA">
            <w:pPr>
              <w:keepNext w:val="0"/>
              <w:keepLines w:val="0"/>
              <w:widowControl/>
              <w:suppressLineNumbers w:val="0"/>
              <w:spacing w:line="360" w:lineRule="auto"/>
              <w:jc w:val="center"/>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31</w:t>
            </w:r>
          </w:p>
        </w:tc>
        <w:tc>
          <w:tcPr>
            <w:tcW w:w="492" w:type="pct"/>
            <w:vAlign w:val="center"/>
          </w:tcPr>
          <w:p w14:paraId="59C69069">
            <w:pPr>
              <w:keepNext w:val="0"/>
              <w:keepLines w:val="0"/>
              <w:widowControl/>
              <w:suppressLineNumbers w:val="0"/>
              <w:spacing w:line="360" w:lineRule="auto"/>
              <w:jc w:val="left"/>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双开门冰箱</w:t>
            </w:r>
          </w:p>
        </w:tc>
        <w:tc>
          <w:tcPr>
            <w:tcW w:w="3514" w:type="pct"/>
            <w:vAlign w:val="center"/>
          </w:tcPr>
          <w:p w14:paraId="354856BC">
            <w:pPr>
              <w:keepNext w:val="0"/>
              <w:keepLines w:val="0"/>
              <w:widowControl/>
              <w:suppressLineNumbers w:val="0"/>
              <w:spacing w:line="360" w:lineRule="auto"/>
              <w:jc w:val="left"/>
              <w:textAlignment w:val="center"/>
              <w:rPr>
                <w:rFonts w:hint="eastAsia" w:ascii="宋体" w:hAnsi="宋体" w:eastAsia="宋体" w:cs="宋体"/>
                <w:color w:val="auto"/>
                <w:sz w:val="22"/>
                <w:szCs w:val="22"/>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1.支持底部前置散热，能满足嵌入式安装</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2.总有效容积不低于 500升。</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3.独立双温区设计，包含独立的冷藏室与冷冻室，温控精确，各室温度可独立设置与显示。</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4.运行噪声低，符合公共场所使用要求；</w:t>
            </w:r>
          </w:p>
        </w:tc>
        <w:tc>
          <w:tcPr>
            <w:tcW w:w="314" w:type="pct"/>
            <w:vAlign w:val="center"/>
          </w:tcPr>
          <w:p w14:paraId="0A87067D">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2台</w:t>
            </w:r>
          </w:p>
        </w:tc>
        <w:tc>
          <w:tcPr>
            <w:tcW w:w="314" w:type="pct"/>
            <w:vAlign w:val="center"/>
          </w:tcPr>
          <w:p w14:paraId="601DBF04">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工业</w:t>
            </w:r>
          </w:p>
        </w:tc>
      </w:tr>
      <w:tr w14:paraId="799B1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63" w:type="pct"/>
            <w:vAlign w:val="center"/>
          </w:tcPr>
          <w:p w14:paraId="45C7419B">
            <w:pPr>
              <w:keepNext w:val="0"/>
              <w:keepLines w:val="0"/>
              <w:widowControl/>
              <w:suppressLineNumbers w:val="0"/>
              <w:spacing w:line="360" w:lineRule="auto"/>
              <w:jc w:val="center"/>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32</w:t>
            </w:r>
          </w:p>
        </w:tc>
        <w:tc>
          <w:tcPr>
            <w:tcW w:w="492" w:type="pct"/>
            <w:vAlign w:val="center"/>
          </w:tcPr>
          <w:p w14:paraId="6A73AE1D">
            <w:pPr>
              <w:keepNext w:val="0"/>
              <w:keepLines w:val="0"/>
              <w:widowControl/>
              <w:suppressLineNumbers w:val="0"/>
              <w:spacing w:line="360" w:lineRule="auto"/>
              <w:jc w:val="left"/>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微蒸烤一体机</w:t>
            </w:r>
          </w:p>
        </w:tc>
        <w:tc>
          <w:tcPr>
            <w:tcW w:w="3514" w:type="pct"/>
            <w:vAlign w:val="center"/>
          </w:tcPr>
          <w:p w14:paraId="280CF02E">
            <w:pPr>
              <w:keepNext w:val="0"/>
              <w:keepLines w:val="0"/>
              <w:widowControl/>
              <w:suppressLineNumbers w:val="0"/>
              <w:spacing w:line="360" w:lineRule="auto"/>
              <w:jc w:val="left"/>
              <w:textAlignment w:val="center"/>
              <w:rPr>
                <w:rFonts w:hint="eastAsia" w:ascii="宋体" w:hAnsi="宋体" w:eastAsia="宋体" w:cs="宋体"/>
                <w:color w:val="auto"/>
                <w:sz w:val="22"/>
                <w:szCs w:val="22"/>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1.微波功能：变频微波技术，功率可调，用于快速加热、解冻。</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2.蒸汽功能：直喷式或锅炉式蒸汽发生系统，蒸汽量充足，用于健康蒸制烘烤功能：上下管独立控温，支持热风对流，加热均匀。</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3.组合烹饪：支持“蒸烤”“微蒸”等智能组合模式，优化烹饪流程与效果。</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4.有效容积50升以上，满足小型批量制备。内胆及内部配件（如烤盘、蒸盘）应采用疏水疏油材质，便于清洁。</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5.温控精度：具备精确的温控系统，烘烤及蒸汽温度范围应覆盖常用区间（如30-230℃）。</w:t>
            </w:r>
          </w:p>
        </w:tc>
        <w:tc>
          <w:tcPr>
            <w:tcW w:w="314" w:type="pct"/>
            <w:vAlign w:val="center"/>
          </w:tcPr>
          <w:p w14:paraId="1D5AB428">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1台</w:t>
            </w:r>
          </w:p>
        </w:tc>
        <w:tc>
          <w:tcPr>
            <w:tcW w:w="314" w:type="pct"/>
            <w:vAlign w:val="center"/>
          </w:tcPr>
          <w:p w14:paraId="499A7EB7">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工业</w:t>
            </w:r>
          </w:p>
        </w:tc>
      </w:tr>
      <w:tr w14:paraId="68916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63" w:type="pct"/>
            <w:vAlign w:val="center"/>
          </w:tcPr>
          <w:p w14:paraId="094644D3">
            <w:pPr>
              <w:keepNext w:val="0"/>
              <w:keepLines w:val="0"/>
              <w:widowControl/>
              <w:suppressLineNumbers w:val="0"/>
              <w:spacing w:line="360" w:lineRule="auto"/>
              <w:jc w:val="center"/>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33</w:t>
            </w:r>
          </w:p>
        </w:tc>
        <w:tc>
          <w:tcPr>
            <w:tcW w:w="492" w:type="pct"/>
            <w:vAlign w:val="center"/>
          </w:tcPr>
          <w:p w14:paraId="1E47B7F5">
            <w:pPr>
              <w:keepNext w:val="0"/>
              <w:keepLines w:val="0"/>
              <w:widowControl/>
              <w:suppressLineNumbers w:val="0"/>
              <w:spacing w:line="360" w:lineRule="auto"/>
              <w:jc w:val="left"/>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嵌入式消毒柜</w:t>
            </w:r>
          </w:p>
        </w:tc>
        <w:tc>
          <w:tcPr>
            <w:tcW w:w="3514" w:type="pct"/>
            <w:vAlign w:val="center"/>
          </w:tcPr>
          <w:p w14:paraId="2DD8DCAC">
            <w:pPr>
              <w:keepNext w:val="0"/>
              <w:keepLines w:val="0"/>
              <w:widowControl/>
              <w:suppressLineNumbers w:val="0"/>
              <w:spacing w:line="360" w:lineRule="auto"/>
              <w:jc w:val="left"/>
              <w:textAlignment w:val="center"/>
              <w:rPr>
                <w:rFonts w:hint="eastAsia" w:ascii="宋体" w:hAnsi="宋体" w:eastAsia="宋体" w:cs="宋体"/>
                <w:color w:val="auto"/>
                <w:sz w:val="22"/>
                <w:szCs w:val="22"/>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1.采用紫外线+红外线＋热风三重消毒方式。</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2.消毒效果应符合国家二星级消毒标准（或以适用的最新行业标准为准），能有效杀灭常见致病性微生物。</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3.有效容积100升以上，满足餐具批量处理需求。层架有放刀筷的小件区域、放碗盘的层架区，还有不设隔断的板架收纳层</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4.温消毒温度应稳定达到 125℃以上并持续足够时间（如15分钟以上）；</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5.如为紫外线消毒，需保证照射强度与时间。具备清晰的程序运行与完成指示。</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6.具备门体防误开安全锁（消毒过程中门锁自动锁定），以及超温保护、断电记忆、防漏电等多重安全装置。</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7.消毒程序结束后应具备自动烘干功能，或支持单独烘干。</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8.设备需具有有效的排气散热设计，防止橱柜内过热。</w:t>
            </w:r>
          </w:p>
        </w:tc>
        <w:tc>
          <w:tcPr>
            <w:tcW w:w="314" w:type="pct"/>
            <w:vAlign w:val="center"/>
          </w:tcPr>
          <w:p w14:paraId="4AC6FDAC">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1台</w:t>
            </w:r>
          </w:p>
        </w:tc>
        <w:tc>
          <w:tcPr>
            <w:tcW w:w="314" w:type="pct"/>
            <w:vAlign w:val="center"/>
          </w:tcPr>
          <w:p w14:paraId="08780AB6">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工业</w:t>
            </w:r>
          </w:p>
        </w:tc>
      </w:tr>
      <w:tr w14:paraId="073E2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63" w:type="pct"/>
            <w:vAlign w:val="center"/>
          </w:tcPr>
          <w:p w14:paraId="4B10C62A">
            <w:pPr>
              <w:keepNext w:val="0"/>
              <w:keepLines w:val="0"/>
              <w:widowControl/>
              <w:suppressLineNumbers w:val="0"/>
              <w:spacing w:line="360" w:lineRule="auto"/>
              <w:jc w:val="center"/>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34</w:t>
            </w:r>
          </w:p>
        </w:tc>
        <w:tc>
          <w:tcPr>
            <w:tcW w:w="492" w:type="pct"/>
            <w:vAlign w:val="center"/>
          </w:tcPr>
          <w:p w14:paraId="29C917C4">
            <w:pPr>
              <w:keepNext w:val="0"/>
              <w:keepLines w:val="0"/>
              <w:widowControl/>
              <w:suppressLineNumbers w:val="0"/>
              <w:spacing w:line="360" w:lineRule="auto"/>
              <w:jc w:val="left"/>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洗衣机（洗烘分体式）</w:t>
            </w:r>
          </w:p>
        </w:tc>
        <w:tc>
          <w:tcPr>
            <w:tcW w:w="3514" w:type="pct"/>
            <w:vAlign w:val="center"/>
          </w:tcPr>
          <w:p w14:paraId="16BA1A68">
            <w:pPr>
              <w:keepNext w:val="0"/>
              <w:keepLines w:val="0"/>
              <w:widowControl/>
              <w:suppressLineNumbers w:val="0"/>
              <w:spacing w:line="360" w:lineRule="auto"/>
              <w:jc w:val="left"/>
              <w:textAlignment w:val="center"/>
              <w:rPr>
                <w:rFonts w:hint="eastAsia" w:ascii="宋体" w:hAnsi="宋体" w:eastAsia="宋体" w:cs="宋体"/>
                <w:color w:val="auto"/>
                <w:sz w:val="22"/>
                <w:szCs w:val="22"/>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1.容量与能效：洗涤容量 12kg，烘干容量 10kg；整机一级能效，洗净比≥1.21；</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2.电机与动力：采用FPA直驱变频电机，脱水最高转速≥1400；</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3.烘干方式：烘干机为双擎热泵低温烘干（52℃），带毛絮净滤系统，支持羊毛蓝标认证，护衣不伤面料；</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4.除菌与健康：配备紫外线除菌，双喷淋，支持筒自洁、深度除毛；</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5.智能与功能：含活水精华洗、空气洗、中途添衣等程序。</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6.结构：极夜灰外观；前开式、不锈钢内筒，独嵌两用。</w:t>
            </w:r>
          </w:p>
        </w:tc>
        <w:tc>
          <w:tcPr>
            <w:tcW w:w="314" w:type="pct"/>
            <w:vAlign w:val="center"/>
          </w:tcPr>
          <w:p w14:paraId="3CEB5F4C">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1台</w:t>
            </w:r>
          </w:p>
        </w:tc>
        <w:tc>
          <w:tcPr>
            <w:tcW w:w="314" w:type="pct"/>
            <w:vAlign w:val="center"/>
          </w:tcPr>
          <w:p w14:paraId="77EFD347">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工业</w:t>
            </w:r>
          </w:p>
        </w:tc>
      </w:tr>
      <w:tr w14:paraId="790E1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63" w:type="pct"/>
            <w:vAlign w:val="center"/>
          </w:tcPr>
          <w:p w14:paraId="6B95EC6E">
            <w:pPr>
              <w:keepNext w:val="0"/>
              <w:keepLines w:val="0"/>
              <w:widowControl/>
              <w:suppressLineNumbers w:val="0"/>
              <w:spacing w:line="360" w:lineRule="auto"/>
              <w:jc w:val="center"/>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35</w:t>
            </w:r>
          </w:p>
        </w:tc>
        <w:tc>
          <w:tcPr>
            <w:tcW w:w="492" w:type="pct"/>
            <w:vAlign w:val="center"/>
          </w:tcPr>
          <w:p w14:paraId="1E7FE04A">
            <w:pPr>
              <w:keepNext w:val="0"/>
              <w:keepLines w:val="0"/>
              <w:widowControl/>
              <w:suppressLineNumbers w:val="0"/>
              <w:spacing w:line="360" w:lineRule="auto"/>
              <w:jc w:val="left"/>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抽油烟机</w:t>
            </w:r>
          </w:p>
        </w:tc>
        <w:tc>
          <w:tcPr>
            <w:tcW w:w="3514" w:type="pct"/>
            <w:vAlign w:val="center"/>
          </w:tcPr>
          <w:p w14:paraId="60ABA57F">
            <w:pPr>
              <w:keepNext w:val="0"/>
              <w:keepLines w:val="0"/>
              <w:widowControl/>
              <w:suppressLineNumbers w:val="0"/>
              <w:spacing w:line="360" w:lineRule="auto"/>
              <w:jc w:val="left"/>
              <w:textAlignment w:val="center"/>
              <w:rPr>
                <w:rFonts w:hint="eastAsia" w:ascii="宋体" w:hAnsi="宋体" w:eastAsia="宋体" w:cs="宋体"/>
                <w:color w:val="auto"/>
                <w:sz w:val="22"/>
                <w:szCs w:val="22"/>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1.能效等级为一级能效；核心性能方面，爆炒风量（短时升速）为27m³/min，最大静压1300Pa，工作噪声低于70dB(A），半消声室噪声60dB（A）</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2.操控方式支持触控式、挥手感应，具备烟灶联动等核心功能；烟机面板及拢烟腔均采用喷涂材质，出风口径大于180mm。</w:t>
            </w:r>
          </w:p>
        </w:tc>
        <w:tc>
          <w:tcPr>
            <w:tcW w:w="314" w:type="pct"/>
            <w:vAlign w:val="center"/>
          </w:tcPr>
          <w:p w14:paraId="7D3E7F46">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3台</w:t>
            </w:r>
          </w:p>
        </w:tc>
        <w:tc>
          <w:tcPr>
            <w:tcW w:w="314" w:type="pct"/>
            <w:vAlign w:val="center"/>
          </w:tcPr>
          <w:p w14:paraId="7D57E02F">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工业</w:t>
            </w:r>
          </w:p>
        </w:tc>
      </w:tr>
      <w:tr w14:paraId="64DF8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63" w:type="pct"/>
            <w:vAlign w:val="center"/>
          </w:tcPr>
          <w:p w14:paraId="319501FE">
            <w:pPr>
              <w:keepNext w:val="0"/>
              <w:keepLines w:val="0"/>
              <w:widowControl/>
              <w:suppressLineNumbers w:val="0"/>
              <w:spacing w:line="360" w:lineRule="auto"/>
              <w:jc w:val="center"/>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36</w:t>
            </w:r>
          </w:p>
        </w:tc>
        <w:tc>
          <w:tcPr>
            <w:tcW w:w="492" w:type="pct"/>
            <w:vAlign w:val="center"/>
          </w:tcPr>
          <w:p w14:paraId="5B620AA3">
            <w:pPr>
              <w:keepNext w:val="0"/>
              <w:keepLines w:val="0"/>
              <w:widowControl/>
              <w:suppressLineNumbers w:val="0"/>
              <w:spacing w:line="360" w:lineRule="auto"/>
              <w:jc w:val="left"/>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移动式烟雾净化器</w:t>
            </w:r>
          </w:p>
        </w:tc>
        <w:tc>
          <w:tcPr>
            <w:tcW w:w="3514" w:type="pct"/>
            <w:vAlign w:val="center"/>
          </w:tcPr>
          <w:p w14:paraId="2536CDD8">
            <w:pPr>
              <w:keepNext w:val="0"/>
              <w:keepLines w:val="0"/>
              <w:widowControl/>
              <w:suppressLineNumbers w:val="0"/>
              <w:spacing w:line="360" w:lineRule="auto"/>
              <w:jc w:val="left"/>
              <w:textAlignment w:val="center"/>
              <w:rPr>
                <w:rFonts w:hint="eastAsia" w:ascii="宋体" w:hAnsi="宋体" w:eastAsia="宋体" w:cs="宋体"/>
                <w:color w:val="auto"/>
                <w:sz w:val="22"/>
                <w:szCs w:val="22"/>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1.性能：额定功率≥330W，风量≥360m³/h，除味净化效果提升，满足灸盒、背灸、灸床等多场景使用需求。</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2.吸烟配置：标配 63 方罩，有效吸烟范围不小于 63×35cm，支撑臂采用不下垂结构，可稳定覆盖艾灸作业区域。</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3.机身材质与尺寸：机身采用防腐蚀镀锌钣筋材质，整机外形尺寸约 390×330×470mm。</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4.适用场景：艾灸馆、养生馆、中医院等设计。</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5.结构设计：管路为固定非万向调节设计，整体结构稳定，运行可靠，适配日常高频次使用需求。</w:t>
            </w:r>
          </w:p>
        </w:tc>
        <w:tc>
          <w:tcPr>
            <w:tcW w:w="314" w:type="pct"/>
            <w:vAlign w:val="center"/>
          </w:tcPr>
          <w:p w14:paraId="4F120F32">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6台</w:t>
            </w:r>
          </w:p>
        </w:tc>
        <w:tc>
          <w:tcPr>
            <w:tcW w:w="314" w:type="pct"/>
            <w:vAlign w:val="center"/>
          </w:tcPr>
          <w:p w14:paraId="10A5C246">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工业</w:t>
            </w:r>
          </w:p>
        </w:tc>
      </w:tr>
      <w:tr w14:paraId="5A95D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63" w:type="pct"/>
            <w:vAlign w:val="center"/>
          </w:tcPr>
          <w:p w14:paraId="6DA39DF3">
            <w:pPr>
              <w:keepNext w:val="0"/>
              <w:keepLines w:val="0"/>
              <w:widowControl/>
              <w:suppressLineNumbers w:val="0"/>
              <w:spacing w:line="360" w:lineRule="auto"/>
              <w:jc w:val="center"/>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37</w:t>
            </w:r>
          </w:p>
        </w:tc>
        <w:tc>
          <w:tcPr>
            <w:tcW w:w="492" w:type="pct"/>
            <w:vAlign w:val="center"/>
          </w:tcPr>
          <w:p w14:paraId="2F975306">
            <w:pPr>
              <w:keepNext w:val="0"/>
              <w:keepLines w:val="0"/>
              <w:widowControl/>
              <w:suppressLineNumbers w:val="0"/>
              <w:spacing w:line="360" w:lineRule="auto"/>
              <w:jc w:val="left"/>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移动式沐浴椅</w:t>
            </w:r>
          </w:p>
        </w:tc>
        <w:tc>
          <w:tcPr>
            <w:tcW w:w="3514" w:type="pct"/>
            <w:vAlign w:val="center"/>
          </w:tcPr>
          <w:p w14:paraId="4331BEF9">
            <w:pPr>
              <w:keepNext w:val="0"/>
              <w:keepLines w:val="0"/>
              <w:widowControl/>
              <w:suppressLineNumbers w:val="0"/>
              <w:spacing w:line="360" w:lineRule="auto"/>
              <w:jc w:val="left"/>
              <w:textAlignment w:val="center"/>
              <w:rPr>
                <w:rFonts w:hint="eastAsia" w:ascii="宋体" w:hAnsi="宋体" w:eastAsia="宋体" w:cs="宋体"/>
                <w:color w:val="auto"/>
                <w:sz w:val="22"/>
                <w:szCs w:val="22"/>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1.沐浴椅可无极调节后躺</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2.pu防水坐垫</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3.自带便携式便盆</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4.可躺洗澡洗头，可开合上抬扶手</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5.航空铝合金车架，四轮独立脚刹；</w:t>
            </w:r>
          </w:p>
        </w:tc>
        <w:tc>
          <w:tcPr>
            <w:tcW w:w="314" w:type="pct"/>
            <w:vAlign w:val="center"/>
          </w:tcPr>
          <w:p w14:paraId="2DAA8B23">
            <w:pPr>
              <w:keepNext w:val="0"/>
              <w:keepLines w:val="0"/>
              <w:widowControl/>
              <w:suppressLineNumbers w:val="0"/>
              <w:spacing w:line="360" w:lineRule="auto"/>
              <w:jc w:val="center"/>
              <w:textAlignment w:val="center"/>
              <w:rPr>
                <w:rFonts w:hint="default"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1个</w:t>
            </w:r>
          </w:p>
        </w:tc>
        <w:tc>
          <w:tcPr>
            <w:tcW w:w="314" w:type="pct"/>
            <w:vAlign w:val="center"/>
          </w:tcPr>
          <w:p w14:paraId="25ED1C58">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工业</w:t>
            </w:r>
          </w:p>
        </w:tc>
      </w:tr>
      <w:tr w14:paraId="65FFA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63" w:type="pct"/>
            <w:vAlign w:val="center"/>
          </w:tcPr>
          <w:p w14:paraId="4EB6BC05">
            <w:pPr>
              <w:keepNext w:val="0"/>
              <w:keepLines w:val="0"/>
              <w:widowControl/>
              <w:suppressLineNumbers w:val="0"/>
              <w:spacing w:line="360" w:lineRule="auto"/>
              <w:jc w:val="center"/>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38</w:t>
            </w:r>
          </w:p>
        </w:tc>
        <w:tc>
          <w:tcPr>
            <w:tcW w:w="492" w:type="pct"/>
            <w:vAlign w:val="center"/>
          </w:tcPr>
          <w:p w14:paraId="7B6A4E84">
            <w:pPr>
              <w:keepNext w:val="0"/>
              <w:keepLines w:val="0"/>
              <w:widowControl/>
              <w:suppressLineNumbers w:val="0"/>
              <w:spacing w:line="360" w:lineRule="auto"/>
              <w:jc w:val="left"/>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智慧黑板一体机</w:t>
            </w:r>
          </w:p>
        </w:tc>
        <w:tc>
          <w:tcPr>
            <w:tcW w:w="3514" w:type="pct"/>
            <w:vAlign w:val="center"/>
          </w:tcPr>
          <w:p w14:paraId="3AF45695">
            <w:pPr>
              <w:spacing w:line="360" w:lineRule="auto"/>
              <w:jc w:val="left"/>
              <w:rPr>
                <w:rFonts w:hint="eastAsia" w:ascii="Calibri" w:hAnsi="Calibri" w:eastAsia="宋体" w:cs="宋体"/>
                <w:color w:val="auto"/>
                <w:szCs w:val="22"/>
                <w:highlight w:val="none"/>
              </w:rPr>
            </w:pPr>
            <w:r>
              <w:rPr>
                <w:rFonts w:hint="eastAsia" w:ascii="Calibri" w:hAnsi="Calibri" w:eastAsia="宋体" w:cs="宋体"/>
                <w:color w:val="auto"/>
                <w:szCs w:val="22"/>
                <w:highlight w:val="none"/>
              </w:rPr>
              <w:t>●1.智能交互黑板显示尺寸≥86英寸，分辨率：3840*2160 ，采用红外触控技术，在双系统下均支持40点触控及40点书写划线。</w:t>
            </w:r>
          </w:p>
          <w:p w14:paraId="50E7BA04">
            <w:pPr>
              <w:spacing w:line="360" w:lineRule="auto"/>
              <w:jc w:val="left"/>
              <w:rPr>
                <w:rFonts w:hint="eastAsia" w:ascii="Calibri" w:hAnsi="Calibri" w:eastAsia="宋体" w:cs="宋体"/>
                <w:color w:val="auto"/>
                <w:szCs w:val="22"/>
                <w:highlight w:val="none"/>
              </w:rPr>
            </w:pPr>
            <w:r>
              <w:rPr>
                <w:rFonts w:hint="eastAsia" w:ascii="Calibri" w:hAnsi="Calibri" w:eastAsia="宋体" w:cs="宋体"/>
                <w:color w:val="auto"/>
                <w:szCs w:val="22"/>
                <w:highlight w:val="none"/>
              </w:rPr>
              <w:t>2.智能交互黑板表面玻璃采用高强度钢化玻璃，AG防眩光，厚度≤3.2mm，硬度≥莫氏7级，石墨硬度≥9H。</w:t>
            </w:r>
          </w:p>
          <w:p w14:paraId="0B71E418">
            <w:pPr>
              <w:spacing w:line="360" w:lineRule="auto"/>
              <w:jc w:val="left"/>
              <w:rPr>
                <w:rFonts w:hint="eastAsia" w:ascii="Calibri" w:hAnsi="Calibri" w:eastAsia="宋体" w:cs="宋体"/>
                <w:b/>
                <w:bCs/>
                <w:color w:val="auto"/>
                <w:szCs w:val="22"/>
                <w:highlight w:val="none"/>
              </w:rPr>
            </w:pPr>
            <w:r>
              <w:rPr>
                <w:rFonts w:hint="eastAsia" w:ascii="Calibri" w:hAnsi="Calibri" w:eastAsia="宋体" w:cs="宋体"/>
                <w:color w:val="auto"/>
                <w:szCs w:val="22"/>
                <w:highlight w:val="none"/>
              </w:rPr>
              <w:t>★3.智能交互黑板采用≥12核国产化驱动芯片，8核CPU、4核GPU。 Android 系统版本≥14.0，内存≥4G，存储≥32G。</w:t>
            </w:r>
            <w:r>
              <w:rPr>
                <w:rFonts w:hint="eastAsia" w:ascii="Calibri" w:hAnsi="Calibri" w:eastAsia="宋体" w:cs="宋体"/>
                <w:b/>
                <w:bCs/>
                <w:color w:val="auto"/>
                <w:szCs w:val="22"/>
                <w:highlight w:val="none"/>
              </w:rPr>
              <w:t>（需提供</w:t>
            </w:r>
            <w:r>
              <w:rPr>
                <w:rFonts w:hint="eastAsia" w:ascii="Calibri" w:hAnsi="Calibri" w:eastAsia="宋体" w:cs="宋体"/>
                <w:b/>
                <w:bCs/>
                <w:color w:val="auto"/>
                <w:szCs w:val="22"/>
                <w:highlight w:val="none"/>
                <w:lang w:val="en-US" w:eastAsia="zh-CN"/>
              </w:rPr>
              <w:t>第三方</w:t>
            </w:r>
            <w:r>
              <w:rPr>
                <w:rFonts w:hint="eastAsia" w:ascii="Calibri" w:hAnsi="Calibri" w:eastAsia="宋体" w:cs="宋体"/>
                <w:b/>
                <w:bCs/>
                <w:color w:val="auto"/>
                <w:szCs w:val="22"/>
                <w:highlight w:val="none"/>
              </w:rPr>
              <w:t>检测机构出具的检测报告）</w:t>
            </w:r>
          </w:p>
          <w:p w14:paraId="2F94EB5F">
            <w:pPr>
              <w:spacing w:line="360" w:lineRule="auto"/>
              <w:jc w:val="left"/>
              <w:rPr>
                <w:rFonts w:hint="eastAsia" w:ascii="Calibri" w:hAnsi="Calibri" w:eastAsia="宋体" w:cs="宋体"/>
                <w:color w:val="auto"/>
                <w:szCs w:val="22"/>
                <w:highlight w:val="none"/>
              </w:rPr>
            </w:pPr>
            <w:r>
              <w:rPr>
                <w:rFonts w:hint="eastAsia" w:ascii="Calibri" w:hAnsi="Calibri" w:eastAsia="宋体" w:cs="宋体"/>
                <w:color w:val="auto"/>
                <w:szCs w:val="22"/>
                <w:highlight w:val="none"/>
              </w:rPr>
              <w:t>■4.采用针孔阵列发声设计，2.2声道，下边框具有6个发声单元，最大功率≥80W, 扬声器在100%音量下，1米处声压级≥90dB，10米处声压级≥80dB；最低谐振频率不高于100Hz。</w:t>
            </w:r>
            <w:r>
              <w:rPr>
                <w:rFonts w:hint="eastAsia" w:ascii="Calibri" w:hAnsi="Calibri" w:eastAsia="宋体" w:cs="宋体"/>
                <w:b/>
                <w:bCs/>
                <w:color w:val="auto"/>
                <w:szCs w:val="22"/>
                <w:highlight w:val="none"/>
              </w:rPr>
              <w:t>（需提供</w:t>
            </w:r>
            <w:r>
              <w:rPr>
                <w:rFonts w:hint="eastAsia" w:ascii="Calibri" w:hAnsi="Calibri" w:eastAsia="宋体" w:cs="宋体"/>
                <w:b/>
                <w:bCs/>
                <w:color w:val="auto"/>
                <w:szCs w:val="22"/>
                <w:highlight w:val="none"/>
                <w:lang w:val="en-US" w:eastAsia="zh-CN"/>
              </w:rPr>
              <w:t>第三方</w:t>
            </w:r>
            <w:r>
              <w:rPr>
                <w:rFonts w:hint="eastAsia" w:ascii="Calibri" w:hAnsi="Calibri" w:eastAsia="宋体" w:cs="宋体"/>
                <w:b/>
                <w:bCs/>
                <w:color w:val="auto"/>
                <w:szCs w:val="22"/>
                <w:highlight w:val="none"/>
              </w:rPr>
              <w:t>检测机构出具的检测报告）</w:t>
            </w:r>
          </w:p>
          <w:p w14:paraId="79104F98">
            <w:pPr>
              <w:spacing w:line="360" w:lineRule="auto"/>
              <w:jc w:val="left"/>
              <w:rPr>
                <w:rFonts w:hint="eastAsia" w:ascii="Calibri" w:hAnsi="Calibri" w:eastAsia="宋体" w:cs="宋体"/>
                <w:color w:val="auto"/>
                <w:szCs w:val="22"/>
                <w:highlight w:val="none"/>
              </w:rPr>
            </w:pPr>
            <w:r>
              <w:rPr>
                <w:rFonts w:hint="eastAsia" w:ascii="Calibri" w:hAnsi="Calibri" w:eastAsia="宋体" w:cs="宋体"/>
                <w:color w:val="auto"/>
                <w:szCs w:val="22"/>
                <w:highlight w:val="none"/>
              </w:rPr>
              <w:t>★5.内置一体化超高清5K摄像头，单颗摄像头有效像素≥1900W，可输出最大分辨率5104*3864的图片与视频，支持搭配AI软件实现自动点名点数功能，支持远程巡课功能，具备指示灯工作状态提示。</w:t>
            </w:r>
            <w:r>
              <w:rPr>
                <w:rFonts w:hint="eastAsia" w:ascii="Calibri" w:hAnsi="Calibri" w:eastAsia="宋体" w:cs="宋体"/>
                <w:b/>
                <w:bCs/>
                <w:color w:val="auto"/>
                <w:szCs w:val="22"/>
                <w:highlight w:val="none"/>
              </w:rPr>
              <w:t>（需提供</w:t>
            </w:r>
            <w:r>
              <w:rPr>
                <w:rFonts w:hint="eastAsia" w:ascii="Calibri" w:hAnsi="Calibri" w:eastAsia="宋体" w:cs="宋体"/>
                <w:b/>
                <w:bCs/>
                <w:color w:val="auto"/>
                <w:szCs w:val="22"/>
                <w:highlight w:val="none"/>
                <w:lang w:val="en-US" w:eastAsia="zh-CN"/>
              </w:rPr>
              <w:t>第三方</w:t>
            </w:r>
            <w:r>
              <w:rPr>
                <w:rFonts w:hint="eastAsia" w:ascii="Calibri" w:hAnsi="Calibri" w:eastAsia="宋体" w:cs="宋体"/>
                <w:b/>
                <w:bCs/>
                <w:color w:val="auto"/>
                <w:szCs w:val="22"/>
                <w:highlight w:val="none"/>
              </w:rPr>
              <w:t>检测机构出具的检测报告）</w:t>
            </w:r>
          </w:p>
          <w:p w14:paraId="61D677F0">
            <w:pPr>
              <w:spacing w:line="360" w:lineRule="auto"/>
              <w:jc w:val="left"/>
              <w:rPr>
                <w:rFonts w:hint="eastAsia" w:ascii="Calibri" w:hAnsi="Calibri" w:eastAsia="宋体" w:cs="宋体"/>
                <w:color w:val="auto"/>
                <w:szCs w:val="22"/>
                <w:highlight w:val="none"/>
              </w:rPr>
            </w:pPr>
            <w:r>
              <w:rPr>
                <w:rFonts w:hint="eastAsia" w:ascii="Calibri" w:hAnsi="Calibri" w:eastAsia="宋体" w:cs="宋体"/>
                <w:color w:val="auto"/>
                <w:szCs w:val="22"/>
                <w:highlight w:val="none"/>
              </w:rPr>
              <w:t>6.侧板支持磁性材质教具吸附。</w:t>
            </w:r>
          </w:p>
          <w:p w14:paraId="6ACD492C">
            <w:pPr>
              <w:spacing w:line="360" w:lineRule="auto"/>
              <w:jc w:val="left"/>
              <w:rPr>
                <w:rFonts w:hint="eastAsia" w:ascii="Calibri" w:hAnsi="Calibri" w:eastAsia="宋体" w:cs="宋体"/>
                <w:color w:val="auto"/>
                <w:szCs w:val="22"/>
                <w:highlight w:val="none"/>
              </w:rPr>
            </w:pPr>
            <w:r>
              <w:rPr>
                <w:rFonts w:hint="eastAsia" w:ascii="Calibri" w:hAnsi="Calibri" w:eastAsia="宋体" w:cs="宋体"/>
                <w:color w:val="auto"/>
                <w:szCs w:val="22"/>
                <w:highlight w:val="none"/>
              </w:rPr>
              <w:t>●7.板面光泽度需符合 GB28231-2011 标准，不高于8光泽度以免产生眩光。</w:t>
            </w:r>
          </w:p>
          <w:p w14:paraId="7B307059">
            <w:pPr>
              <w:spacing w:line="360" w:lineRule="auto"/>
              <w:jc w:val="left"/>
              <w:rPr>
                <w:rFonts w:hint="eastAsia" w:ascii="Calibri" w:hAnsi="Calibri" w:eastAsia="宋体" w:cs="宋体"/>
                <w:color w:val="auto"/>
                <w:szCs w:val="22"/>
                <w:highlight w:val="none"/>
              </w:rPr>
            </w:pPr>
            <w:r>
              <w:rPr>
                <w:rFonts w:hint="eastAsia" w:ascii="Calibri" w:hAnsi="Calibri" w:eastAsia="宋体" w:cs="宋体"/>
                <w:color w:val="auto"/>
                <w:szCs w:val="22"/>
                <w:highlight w:val="none"/>
              </w:rPr>
              <w:t>8.内置电脑采用80 Pin 通用标准接口，模块化即插即用，易于维护；</w:t>
            </w:r>
          </w:p>
          <w:p w14:paraId="2571E693">
            <w:pPr>
              <w:spacing w:line="360" w:lineRule="auto"/>
              <w:jc w:val="left"/>
              <w:rPr>
                <w:rFonts w:hint="eastAsia" w:ascii="Calibri" w:hAnsi="Calibri" w:eastAsia="宋体" w:cs="宋体"/>
                <w:color w:val="auto"/>
                <w:szCs w:val="22"/>
                <w:highlight w:val="none"/>
              </w:rPr>
            </w:pPr>
            <w:r>
              <w:rPr>
                <w:rFonts w:hint="eastAsia" w:ascii="Calibri" w:hAnsi="Calibri" w:eastAsia="宋体" w:cs="宋体"/>
                <w:color w:val="auto"/>
                <w:szCs w:val="22"/>
                <w:highlight w:val="none"/>
              </w:rPr>
              <w:t>9.CPU采用不低于8核12线程处理器；</w:t>
            </w:r>
          </w:p>
          <w:p w14:paraId="7C54FE72">
            <w:pPr>
              <w:spacing w:line="360" w:lineRule="auto"/>
              <w:jc w:val="left"/>
              <w:rPr>
                <w:rFonts w:hint="eastAsia" w:ascii="Calibri" w:hAnsi="Calibri" w:eastAsia="宋体" w:cs="宋体"/>
                <w:color w:val="auto"/>
                <w:szCs w:val="22"/>
                <w:highlight w:val="none"/>
              </w:rPr>
            </w:pPr>
            <w:r>
              <w:rPr>
                <w:rFonts w:hint="eastAsia" w:ascii="Calibri" w:hAnsi="Calibri" w:eastAsia="宋体" w:cs="宋体"/>
                <w:color w:val="auto"/>
                <w:szCs w:val="22"/>
                <w:highlight w:val="none"/>
              </w:rPr>
              <w:t>10.内存：≥8G DDR4；</w:t>
            </w:r>
          </w:p>
          <w:p w14:paraId="7EE20B3A">
            <w:pPr>
              <w:spacing w:line="360" w:lineRule="auto"/>
              <w:jc w:val="left"/>
              <w:rPr>
                <w:rFonts w:hint="eastAsia" w:ascii="Calibri" w:hAnsi="Calibri" w:eastAsia="宋体" w:cs="宋体"/>
                <w:color w:val="auto"/>
                <w:szCs w:val="22"/>
                <w:highlight w:val="none"/>
              </w:rPr>
            </w:pPr>
            <w:r>
              <w:rPr>
                <w:rFonts w:hint="eastAsia" w:ascii="Calibri" w:hAnsi="Calibri" w:eastAsia="宋体" w:cs="宋体"/>
                <w:color w:val="auto"/>
                <w:szCs w:val="22"/>
                <w:highlight w:val="none"/>
              </w:rPr>
              <w:t>11.硬盘：≥256G SSD固态硬盘；</w:t>
            </w:r>
          </w:p>
          <w:p w14:paraId="041A242B">
            <w:pPr>
              <w:spacing w:line="360" w:lineRule="auto"/>
              <w:jc w:val="left"/>
              <w:rPr>
                <w:rFonts w:hint="eastAsia" w:ascii="Calibri" w:hAnsi="Calibri" w:eastAsia="宋体" w:cs="宋体"/>
                <w:color w:val="auto"/>
                <w:szCs w:val="22"/>
                <w:highlight w:val="none"/>
              </w:rPr>
            </w:pPr>
            <w:r>
              <w:rPr>
                <w:rFonts w:hint="eastAsia" w:ascii="Calibri" w:hAnsi="Calibri" w:eastAsia="宋体" w:cs="宋体"/>
                <w:color w:val="auto"/>
                <w:szCs w:val="22"/>
                <w:highlight w:val="none"/>
              </w:rPr>
              <w:t>12.接口：非外扩展具备6个USB接口（其中包含3路USB 3.0），具有独立非外扩展的视频输出接口：≥1路HDMI；</w:t>
            </w:r>
          </w:p>
          <w:p w14:paraId="3D43CF36">
            <w:pPr>
              <w:spacing w:line="360" w:lineRule="auto"/>
              <w:jc w:val="left"/>
              <w:rPr>
                <w:rFonts w:hint="eastAsia" w:ascii="Calibri" w:hAnsi="Calibri" w:eastAsia="宋体" w:cs="宋体"/>
                <w:color w:val="auto"/>
                <w:szCs w:val="22"/>
                <w:highlight w:val="none"/>
              </w:rPr>
            </w:pPr>
            <w:r>
              <w:rPr>
                <w:rFonts w:hint="eastAsia" w:ascii="Calibri" w:hAnsi="Calibri" w:eastAsia="宋体" w:cs="宋体"/>
                <w:color w:val="auto"/>
                <w:szCs w:val="22"/>
                <w:highlight w:val="none"/>
              </w:rPr>
              <w:t>13.万兆级接口，传输速率≥10Gbps</w:t>
            </w:r>
          </w:p>
          <w:p w14:paraId="080C1FDF">
            <w:pPr>
              <w:spacing w:line="360" w:lineRule="auto"/>
              <w:jc w:val="left"/>
              <w:rPr>
                <w:rFonts w:hint="eastAsia" w:ascii="Calibri" w:hAnsi="Calibri" w:eastAsia="宋体" w:cs="宋体"/>
                <w:color w:val="auto"/>
                <w:szCs w:val="22"/>
                <w:highlight w:val="none"/>
              </w:rPr>
            </w:pPr>
            <w:r>
              <w:rPr>
                <w:rFonts w:hint="eastAsia" w:ascii="Calibri" w:hAnsi="Calibri" w:eastAsia="宋体" w:cs="宋体"/>
                <w:color w:val="auto"/>
                <w:szCs w:val="22"/>
                <w:highlight w:val="none"/>
                <w:lang w:val="en-US" w:eastAsia="zh-CN"/>
              </w:rPr>
              <w:t>14.侧板：</w:t>
            </w:r>
            <w:r>
              <w:rPr>
                <w:rFonts w:hint="eastAsia" w:ascii="Calibri" w:hAnsi="Calibri" w:eastAsia="宋体" w:cs="宋体"/>
                <w:color w:val="auto"/>
                <w:szCs w:val="22"/>
                <w:highlight w:val="none"/>
              </w:rPr>
              <w:t>支持磁性材质教具吸附</w:t>
            </w:r>
            <w:r>
              <w:rPr>
                <w:rFonts w:hint="eastAsia" w:ascii="Calibri" w:hAnsi="Calibri" w:eastAsia="宋体" w:cs="宋体"/>
                <w:color w:val="auto"/>
                <w:szCs w:val="22"/>
                <w:highlight w:val="none"/>
                <w:lang w:eastAsia="zh-CN"/>
              </w:rPr>
              <w:t>，</w:t>
            </w:r>
            <w:r>
              <w:rPr>
                <w:rFonts w:hint="eastAsia" w:ascii="Calibri" w:hAnsi="Calibri" w:eastAsia="宋体" w:cs="宋体"/>
                <w:color w:val="auto"/>
                <w:szCs w:val="22"/>
                <w:highlight w:val="none"/>
              </w:rPr>
              <w:t>板面光泽度，不高于8光泽度以免产生眩光。</w:t>
            </w:r>
          </w:p>
          <w:p w14:paraId="1FF905A0">
            <w:pPr>
              <w:spacing w:line="360" w:lineRule="auto"/>
              <w:jc w:val="left"/>
              <w:rPr>
                <w:rFonts w:hint="eastAsia" w:ascii="Calibri" w:hAnsi="Calibri" w:eastAsia="宋体" w:cs="宋体"/>
                <w:color w:val="auto"/>
                <w:szCs w:val="22"/>
                <w:highlight w:val="none"/>
              </w:rPr>
            </w:pPr>
            <w:r>
              <w:rPr>
                <w:rFonts w:hint="eastAsia" w:ascii="Calibri" w:hAnsi="Calibri" w:eastAsia="宋体" w:cs="宋体"/>
                <w:color w:val="auto"/>
                <w:szCs w:val="22"/>
                <w:highlight w:val="none"/>
              </w:rPr>
              <w:t>支持色漆和清漆漆膜的划格试验，脱漆面积不明显大于 5%达到 0 级标准。</w:t>
            </w:r>
          </w:p>
          <w:p w14:paraId="05C0E941">
            <w:pPr>
              <w:numPr>
                <w:ilvl w:val="0"/>
                <w:numId w:val="2"/>
              </w:numPr>
              <w:spacing w:line="360" w:lineRule="auto"/>
              <w:jc w:val="left"/>
              <w:rPr>
                <w:rFonts w:hint="eastAsia" w:ascii="Calibri" w:hAnsi="Calibri" w:eastAsia="宋体" w:cs="宋体"/>
                <w:color w:val="auto"/>
                <w:szCs w:val="22"/>
                <w:highlight w:val="none"/>
                <w:lang w:val="en-US" w:eastAsia="zh-CN"/>
              </w:rPr>
            </w:pPr>
            <w:r>
              <w:rPr>
                <w:rFonts w:hint="eastAsia" w:ascii="Calibri" w:hAnsi="Calibri" w:eastAsia="宋体" w:cs="宋体"/>
                <w:color w:val="auto"/>
                <w:szCs w:val="22"/>
                <w:highlight w:val="none"/>
                <w:lang w:val="en-US" w:eastAsia="zh-CN"/>
              </w:rPr>
              <w:t>升降桌：</w:t>
            </w:r>
          </w:p>
          <w:p w14:paraId="03584A50">
            <w:pPr>
              <w:numPr>
                <w:ilvl w:val="0"/>
                <w:numId w:val="0"/>
              </w:numPr>
              <w:spacing w:line="360" w:lineRule="auto"/>
              <w:jc w:val="left"/>
              <w:rPr>
                <w:rFonts w:hint="eastAsia" w:ascii="Calibri" w:hAnsi="Calibri" w:eastAsia="宋体" w:cs="宋体"/>
                <w:color w:val="auto"/>
                <w:szCs w:val="22"/>
                <w:highlight w:val="none"/>
                <w:lang w:val="en-US" w:eastAsia="zh-CN"/>
              </w:rPr>
            </w:pPr>
            <w:r>
              <w:rPr>
                <w:rFonts w:hint="eastAsia" w:ascii="Calibri" w:hAnsi="Calibri" w:eastAsia="宋体" w:cs="宋体"/>
                <w:color w:val="auto"/>
                <w:szCs w:val="22"/>
                <w:highlight w:val="none"/>
                <w:lang w:val="en-US" w:eastAsia="zh-CN"/>
              </w:rPr>
              <w:t xml:space="preserve">（1）升降范围：700-1090mm；           </w:t>
            </w:r>
          </w:p>
          <w:p w14:paraId="1F02563D">
            <w:pPr>
              <w:numPr>
                <w:ilvl w:val="0"/>
                <w:numId w:val="0"/>
              </w:numPr>
              <w:spacing w:line="360" w:lineRule="auto"/>
              <w:jc w:val="left"/>
              <w:rPr>
                <w:rFonts w:hint="eastAsia" w:ascii="Calibri" w:hAnsi="Calibri" w:eastAsia="宋体" w:cs="宋体"/>
                <w:color w:val="auto"/>
                <w:szCs w:val="22"/>
                <w:highlight w:val="none"/>
                <w:lang w:val="en-US" w:eastAsia="zh-CN"/>
              </w:rPr>
            </w:pPr>
            <w:r>
              <w:rPr>
                <w:rFonts w:hint="eastAsia" w:ascii="Calibri" w:hAnsi="Calibri" w:eastAsia="宋体" w:cs="宋体"/>
                <w:color w:val="auto"/>
                <w:szCs w:val="22"/>
                <w:highlight w:val="none"/>
                <w:lang w:val="en-US" w:eastAsia="zh-CN"/>
              </w:rPr>
              <w:t>（2）外形尺寸：715*495*710~1100H</w:t>
            </w:r>
          </w:p>
          <w:p w14:paraId="29229998">
            <w:pPr>
              <w:numPr>
                <w:ilvl w:val="0"/>
                <w:numId w:val="0"/>
              </w:numPr>
              <w:spacing w:line="360" w:lineRule="auto"/>
              <w:jc w:val="left"/>
              <w:rPr>
                <w:rFonts w:hint="eastAsia" w:ascii="Calibri" w:hAnsi="Calibri" w:eastAsia="宋体" w:cs="宋体"/>
                <w:color w:val="auto"/>
                <w:szCs w:val="22"/>
                <w:highlight w:val="none"/>
                <w:lang w:val="en-US" w:eastAsia="zh-CN"/>
              </w:rPr>
            </w:pPr>
            <w:r>
              <w:rPr>
                <w:rFonts w:hint="eastAsia" w:ascii="Calibri" w:hAnsi="Calibri" w:eastAsia="宋体" w:cs="宋体"/>
                <w:color w:val="auto"/>
                <w:szCs w:val="22"/>
                <w:highlight w:val="none"/>
                <w:lang w:val="en-US" w:eastAsia="zh-CN"/>
              </w:rPr>
              <w:t xml:space="preserve">（3）最大承重：60kg                                                  </w:t>
            </w:r>
          </w:p>
          <w:p w14:paraId="567C23D7">
            <w:pPr>
              <w:numPr>
                <w:ilvl w:val="0"/>
                <w:numId w:val="0"/>
              </w:numPr>
              <w:spacing w:line="360" w:lineRule="auto"/>
              <w:jc w:val="left"/>
              <w:rPr>
                <w:rFonts w:hint="eastAsia" w:ascii="Calibri" w:hAnsi="Calibri" w:eastAsia="宋体" w:cs="宋体"/>
                <w:color w:val="auto"/>
                <w:szCs w:val="22"/>
                <w:highlight w:val="none"/>
                <w:lang w:val="en-US" w:eastAsia="zh-CN"/>
              </w:rPr>
            </w:pPr>
            <w:r>
              <w:rPr>
                <w:rFonts w:hint="eastAsia" w:ascii="Calibri" w:hAnsi="Calibri" w:eastAsia="宋体" w:cs="宋体"/>
                <w:color w:val="auto"/>
                <w:szCs w:val="22"/>
                <w:highlight w:val="none"/>
                <w:lang w:val="en-US" w:eastAsia="zh-CN"/>
              </w:rPr>
              <w:t xml:space="preserve">（4）桌面：MDF吸塑板，715*495*18mm加平板槽+抽屉                   </w:t>
            </w:r>
          </w:p>
          <w:p w14:paraId="746BD2E7">
            <w:pPr>
              <w:numPr>
                <w:ilvl w:val="0"/>
                <w:numId w:val="0"/>
              </w:numPr>
              <w:spacing w:line="360" w:lineRule="auto"/>
              <w:jc w:val="left"/>
              <w:rPr>
                <w:rFonts w:hint="eastAsia" w:ascii="Calibri" w:hAnsi="Calibri" w:eastAsia="宋体" w:cs="宋体"/>
                <w:color w:val="auto"/>
                <w:szCs w:val="22"/>
                <w:highlight w:val="none"/>
                <w:lang w:val="en-US" w:eastAsia="zh-CN"/>
              </w:rPr>
            </w:pPr>
            <w:r>
              <w:rPr>
                <w:rFonts w:hint="eastAsia" w:ascii="Calibri" w:hAnsi="Calibri" w:eastAsia="宋体" w:cs="宋体"/>
                <w:color w:val="auto"/>
                <w:szCs w:val="22"/>
                <w:highlight w:val="none"/>
                <w:lang w:val="en-US" w:eastAsia="zh-CN"/>
              </w:rPr>
              <w:t>（5）立柱/围板：塑料PVC材料象牙白/冷轧钢管                                                                                                                                                                    （6）桌脚：采用压铸一体成型铝形件，表面再经防锈静电喷涂处理，实用牢固，承受力大。脚轮采用PU万向刹车轮。</w:t>
            </w:r>
          </w:p>
          <w:p w14:paraId="4C78D5E5">
            <w:pPr>
              <w:numPr>
                <w:ilvl w:val="0"/>
                <w:numId w:val="0"/>
              </w:numPr>
              <w:spacing w:line="360" w:lineRule="auto"/>
              <w:jc w:val="left"/>
              <w:rPr>
                <w:rFonts w:hint="eastAsia" w:ascii="宋体" w:hAnsi="宋体" w:eastAsia="宋体" w:cs="宋体"/>
                <w:color w:val="auto"/>
                <w:sz w:val="22"/>
                <w:szCs w:val="22"/>
                <w:highlight w:val="none"/>
                <w:lang w:val="en-US" w:eastAsia="zh-CN"/>
              </w:rPr>
            </w:pPr>
            <w:r>
              <w:rPr>
                <w:rFonts w:hint="eastAsia" w:ascii="Calibri" w:hAnsi="Calibri" w:eastAsia="宋体" w:cs="宋体"/>
                <w:color w:val="auto"/>
                <w:szCs w:val="22"/>
                <w:highlight w:val="none"/>
                <w:lang w:val="en-US" w:eastAsia="zh-CN"/>
              </w:rPr>
              <w:t>16其他：鼠标及垫子1套、翻页笔1根、无线领夹麦扩音器1套.</w:t>
            </w:r>
          </w:p>
        </w:tc>
        <w:tc>
          <w:tcPr>
            <w:tcW w:w="314" w:type="pct"/>
            <w:vAlign w:val="center"/>
          </w:tcPr>
          <w:p w14:paraId="35E2BA90">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5台</w:t>
            </w:r>
          </w:p>
        </w:tc>
        <w:tc>
          <w:tcPr>
            <w:tcW w:w="314" w:type="pct"/>
            <w:vAlign w:val="center"/>
          </w:tcPr>
          <w:p w14:paraId="2A3FD854">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工业</w:t>
            </w:r>
          </w:p>
        </w:tc>
      </w:tr>
      <w:tr w14:paraId="125C1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63" w:type="pct"/>
            <w:vAlign w:val="center"/>
          </w:tcPr>
          <w:p w14:paraId="351629B7">
            <w:pPr>
              <w:keepNext w:val="0"/>
              <w:keepLines w:val="0"/>
              <w:widowControl/>
              <w:suppressLineNumbers w:val="0"/>
              <w:spacing w:line="360" w:lineRule="auto"/>
              <w:jc w:val="center"/>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39</w:t>
            </w:r>
          </w:p>
        </w:tc>
        <w:tc>
          <w:tcPr>
            <w:tcW w:w="492" w:type="pct"/>
            <w:vAlign w:val="center"/>
          </w:tcPr>
          <w:p w14:paraId="764E81DC">
            <w:pPr>
              <w:keepNext w:val="0"/>
              <w:keepLines w:val="0"/>
              <w:widowControl/>
              <w:suppressLineNumbers w:val="0"/>
              <w:spacing w:line="360" w:lineRule="auto"/>
              <w:jc w:val="left"/>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老人综合能力评估包（含评估软件）</w:t>
            </w:r>
          </w:p>
        </w:tc>
        <w:tc>
          <w:tcPr>
            <w:tcW w:w="3514" w:type="pct"/>
            <w:vAlign w:val="center"/>
          </w:tcPr>
          <w:p w14:paraId="4F0C3415">
            <w:pPr>
              <w:keepNext w:val="0"/>
              <w:keepLines w:val="0"/>
              <w:widowControl/>
              <w:suppressLineNumbers w:val="0"/>
              <w:spacing w:line="360" w:lineRule="auto"/>
              <w:jc w:val="left"/>
              <w:textAlignment w:val="center"/>
              <w:rPr>
                <w:rFonts w:hint="eastAsia" w:ascii="宋体" w:hAnsi="宋体" w:eastAsia="宋体" w:cs="宋体"/>
                <w:color w:val="auto"/>
                <w:sz w:val="22"/>
                <w:szCs w:val="22"/>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1.内含二十多种评估用品，作痴呆筛查：助食勺子、助食叉子、筷子、碗； 斜口杯，仿真食物、简易穿衣板、记忆牙刷、长柄梳子、剃须刀、一次性手套、毛巾、老人手表、国旗、画钟测验示意图、时钟模型、认知功能评估记录、数字卡片、视力测量工具卡、测量声音、三围测量尺、体温测量枪、血压测量计、数字时钟、认知识别卡片、职业识别卡片、免洗手消毒液、算定评估工具、生命体征测量工具、老花镜、评估记录工具、时间计数工具。</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i w:val="0"/>
                <w:iCs w:val="0"/>
                <w:color w:val="auto"/>
                <w:kern w:val="0"/>
                <w:sz w:val="21"/>
                <w:szCs w:val="21"/>
                <w:highlight w:val="none"/>
                <w:u w:val="none"/>
                <w:lang w:val="en-US" w:eastAsia="zh-CN" w:bidi="ar"/>
              </w:rPr>
              <w:t>老年能力评估与管理系统提供专业的认知评定和长者管理信息管理，评定内置常见长者能力评估量表。</w:t>
            </w:r>
          </w:p>
        </w:tc>
        <w:tc>
          <w:tcPr>
            <w:tcW w:w="314" w:type="pct"/>
            <w:vAlign w:val="center"/>
          </w:tcPr>
          <w:p w14:paraId="3D6529F9">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1套</w:t>
            </w:r>
          </w:p>
        </w:tc>
        <w:tc>
          <w:tcPr>
            <w:tcW w:w="314" w:type="pct"/>
            <w:vAlign w:val="center"/>
          </w:tcPr>
          <w:p w14:paraId="18E61787">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工业</w:t>
            </w:r>
          </w:p>
        </w:tc>
      </w:tr>
      <w:tr w14:paraId="71548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63" w:type="pct"/>
            <w:vAlign w:val="center"/>
          </w:tcPr>
          <w:p w14:paraId="129E66B0">
            <w:pPr>
              <w:keepNext w:val="0"/>
              <w:keepLines w:val="0"/>
              <w:widowControl/>
              <w:suppressLineNumbers w:val="0"/>
              <w:spacing w:line="360" w:lineRule="auto"/>
              <w:jc w:val="center"/>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40</w:t>
            </w:r>
          </w:p>
        </w:tc>
        <w:tc>
          <w:tcPr>
            <w:tcW w:w="492" w:type="pct"/>
            <w:vAlign w:val="center"/>
          </w:tcPr>
          <w:p w14:paraId="115647BC">
            <w:pPr>
              <w:keepNext w:val="0"/>
              <w:keepLines w:val="0"/>
              <w:widowControl/>
              <w:suppressLineNumbers w:val="0"/>
              <w:spacing w:line="360" w:lineRule="auto"/>
              <w:jc w:val="left"/>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上肢康复训练系统</w:t>
            </w:r>
          </w:p>
        </w:tc>
        <w:tc>
          <w:tcPr>
            <w:tcW w:w="3514" w:type="pct"/>
            <w:vAlign w:val="center"/>
          </w:tcPr>
          <w:p w14:paraId="088AF55B">
            <w:pPr>
              <w:keepNext w:val="0"/>
              <w:keepLines w:val="0"/>
              <w:widowControl/>
              <w:suppressLineNumbers w:val="0"/>
              <w:spacing w:line="360" w:lineRule="auto"/>
              <w:jc w:val="left"/>
              <w:textAlignment w:val="center"/>
              <w:rPr>
                <w:rFonts w:hint="eastAsia" w:ascii="宋体" w:hAnsi="宋体" w:eastAsia="宋体" w:cs="宋体"/>
                <w:color w:val="auto"/>
                <w:sz w:val="22"/>
                <w:szCs w:val="22"/>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（一）硬件配置</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1.主机处理器：≥3.3GHz；内存：≥8GB、DDR4内存；硬盘：≥256GB 固态硬盘</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2.投影机：投影技术：DLP，流明度≥3000流明，  投射比例：0.69~0.83，分辨率： 1920*1080</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3.移动升降机柜：外观材质：五金金属、烤漆、定制移动升降机柜 ，设备尺寸：约670*615*2400mm，升降行程：650mm，可升降不同高度控制画面大小，方便移动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4.感应器：有效像素：PAL：976(H)×582(V）， NTSC：976(H)494(V)</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信号系统 :PAL / NTSC，水平解析度  : 700 TVL，最低照度： 0 Lux / F1.2，红外激光器数量：2个，自动增益控制： Auto，背光补偿 :Auto，白平衡  : Auto，镜头   :Default3.6mm（可选），</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伽玛校正： &gt;0.45 ( AGC OFF )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（二）软件内容</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1.软件整体要求：</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上肢康复训练系统”通过促进用户在墙面上的多媒体内容互动，训练用户上肢及手部的活动能力。用户手握小球砸向虚拟场景中的移动目标，即可产生丰富的多媒体反馈效果，从而提高“捏力”“握力”“扭力”等上肢动作控制及协调能力，训练指关节、肘关节以及肩关节，加强手部肌肉力量和手指的抓握能力、上肢肌群的肌肉力量。以达到用户上肢保健的目标。</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2.系统内容：</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(1）系统主要针对上肢关节的“捏力”“握力”“扭力”训练；</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(2）内含运动康复、听觉感知、认知益智、情景体验、趣味互动、情绪舒缓六大训练模块；</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color w:val="auto"/>
                <w:sz w:val="22"/>
                <w:szCs w:val="22"/>
                <w:highlight w:val="none"/>
              </w:rPr>
              <w:t>■</w:t>
            </w:r>
            <w:r>
              <w:rPr>
                <w:rFonts w:hint="eastAsia" w:ascii="宋体" w:hAnsi="宋体" w:eastAsia="宋体" w:cs="宋体"/>
                <w:i w:val="0"/>
                <w:iCs w:val="0"/>
                <w:color w:val="auto"/>
                <w:kern w:val="0"/>
                <w:sz w:val="22"/>
                <w:szCs w:val="22"/>
                <w:highlight w:val="none"/>
                <w:u w:val="none"/>
                <w:lang w:val="en-US" w:eastAsia="zh-CN" w:bidi="ar"/>
              </w:rPr>
              <w:t>(3）系统包含以下训练项目：</w:t>
            </w:r>
            <w:r>
              <w:rPr>
                <w:rFonts w:hint="eastAsia" w:ascii="宋体" w:hAnsi="宋体" w:eastAsia="宋体" w:cs="宋体"/>
                <w:b/>
                <w:bCs/>
                <w:i w:val="0"/>
                <w:iCs w:val="0"/>
                <w:color w:val="auto"/>
                <w:kern w:val="0"/>
                <w:sz w:val="22"/>
                <w:szCs w:val="22"/>
                <w:highlight w:val="none"/>
                <w:u w:val="none"/>
                <w:lang w:val="en-US" w:eastAsia="zh-CN" w:bidi="ar"/>
              </w:rPr>
              <w:t>（提供软件截图，不提供不得分）</w:t>
            </w:r>
            <w:r>
              <w:rPr>
                <w:rFonts w:hint="eastAsia" w:ascii="宋体" w:hAnsi="宋体" w:eastAsia="宋体" w:cs="宋体"/>
                <w:b/>
                <w:bCs/>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①　运动康复：端午节、中秋节、圣诞节、春节、除尘、油画、水彩、色彩等</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②　听觉感知：木琴、跳格子、钢琴、中国鼓、非洲鼓、拉丁美鼓、数字等</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③　认知益智：春暖花开、足球、落叶、远航、动物、水果、道路和交通等</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④　情景体验：雪夜、拾贝、花、落叶、海洋生物、篮球、郊外、太空等</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⑤　趣味互动：沙滩排球、水上排球、美术足球、曲棍球、足球、争霸等</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⑥　情绪舒缓：天空、航行、海底、车辆、机场、玩具、蔬菜、水果等</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■(4）内置内容编辑器，康复师可自主新增图片背景和音乐背景创建训练内容，根据不同用户的训练需求进行针对性地康复训练；</w:t>
            </w:r>
            <w:r>
              <w:rPr>
                <w:rFonts w:hint="eastAsia" w:ascii="宋体" w:hAnsi="宋体" w:eastAsia="宋体" w:cs="宋体"/>
                <w:b/>
                <w:bCs/>
                <w:i w:val="0"/>
                <w:iCs w:val="0"/>
                <w:color w:val="auto"/>
                <w:kern w:val="0"/>
                <w:sz w:val="22"/>
                <w:szCs w:val="22"/>
                <w:highlight w:val="none"/>
                <w:u w:val="none"/>
                <w:lang w:val="en-US" w:eastAsia="zh-CN" w:bidi="ar"/>
              </w:rPr>
              <w:t>（提供软件截图，不提供不得分）</w:t>
            </w:r>
            <w:r>
              <w:rPr>
                <w:rFonts w:hint="eastAsia" w:ascii="宋体" w:hAnsi="宋体" w:eastAsia="宋体" w:cs="宋体"/>
                <w:b/>
                <w:bCs/>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(5）可配不同的道具进行互动训练，充气锤，沙包等不同道具；</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(6）每个训练项目在规定时间内完成训练，会显示双方的训练得分，更能提升参与者训练积极性；</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(7）虚拟场景训练：增加虚拟场景训练功能，让患者以游戏的方式主动参与到治疗中，减少患者被动接受治疗的枯燥性，提高治疗效率；</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(8）能够刺激上肢本体感觉，有助于大脑控制上肢功能的恢复；</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(9）多元娱乐性的体感互动训练项目令治疗训练变得欢乐好玩，帮助用户进行互动治疗。</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(10）利用激光和图像处理技术，捕捉人体目标，并对其进行检测、跟踪与分析；</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(11）具有视觉、听觉反馈训练功能。可以通过影像和声音，及时准确地给予患者提示，激发患者的积极性和训练热情；</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(12）无需佩戴传感器，训练简洁方便；</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(13）精神治疗：配合舒适的治疗音乐，让病人放松心情治疗；</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(14）通过科学的运动模式，促进上肢运动的主动性，让康复患者能在运动过程中逐渐恢复。</w:t>
            </w:r>
          </w:p>
        </w:tc>
        <w:tc>
          <w:tcPr>
            <w:tcW w:w="314" w:type="pct"/>
            <w:vAlign w:val="center"/>
          </w:tcPr>
          <w:p w14:paraId="1A0CC820">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1套</w:t>
            </w:r>
          </w:p>
        </w:tc>
        <w:tc>
          <w:tcPr>
            <w:tcW w:w="314" w:type="pct"/>
            <w:vAlign w:val="center"/>
          </w:tcPr>
          <w:p w14:paraId="6028BB28">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工业</w:t>
            </w:r>
          </w:p>
        </w:tc>
      </w:tr>
      <w:tr w14:paraId="2621C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63" w:type="pct"/>
            <w:vAlign w:val="center"/>
          </w:tcPr>
          <w:p w14:paraId="2B4AF09B">
            <w:pPr>
              <w:keepNext w:val="0"/>
              <w:keepLines w:val="0"/>
              <w:widowControl/>
              <w:suppressLineNumbers w:val="0"/>
              <w:spacing w:line="360" w:lineRule="auto"/>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41</w:t>
            </w:r>
          </w:p>
        </w:tc>
        <w:tc>
          <w:tcPr>
            <w:tcW w:w="492" w:type="pct"/>
            <w:vAlign w:val="center"/>
          </w:tcPr>
          <w:p w14:paraId="59B23345">
            <w:pPr>
              <w:keepNext w:val="0"/>
              <w:keepLines w:val="0"/>
              <w:widowControl/>
              <w:suppressLineNumbers w:val="0"/>
              <w:spacing w:line="360" w:lineRule="auto"/>
              <w:jc w:val="left"/>
              <w:textAlignment w:val="center"/>
              <w:rPr>
                <w:rFonts w:hint="eastAsia" w:ascii="宋体" w:hAnsi="宋体" w:eastAsia="宋体" w:cs="宋体"/>
                <w:b/>
                <w:color w:val="auto"/>
                <w:sz w:val="22"/>
                <w:szCs w:val="22"/>
                <w:highlight w:val="none"/>
              </w:rPr>
            </w:pPr>
            <w:r>
              <w:rPr>
                <w:rFonts w:hint="eastAsia" w:ascii="宋体" w:hAnsi="宋体" w:eastAsia="宋体" w:cs="宋体"/>
                <w:color w:val="auto"/>
                <w:kern w:val="0"/>
                <w:sz w:val="24"/>
                <w:szCs w:val="24"/>
                <w:highlight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下肢康复训练系统</w:t>
            </w:r>
          </w:p>
        </w:tc>
        <w:tc>
          <w:tcPr>
            <w:tcW w:w="3514" w:type="pct"/>
            <w:vAlign w:val="center"/>
          </w:tcPr>
          <w:p w14:paraId="67C51043">
            <w:pPr>
              <w:keepNext w:val="0"/>
              <w:keepLines w:val="0"/>
              <w:widowControl/>
              <w:suppressLineNumbers w:val="0"/>
              <w:spacing w:line="360" w:lineRule="auto"/>
              <w:jc w:val="left"/>
              <w:textAlignment w:val="center"/>
              <w:rPr>
                <w:rFonts w:hint="eastAsia" w:ascii="宋体" w:hAnsi="宋体" w:eastAsia="宋体" w:cs="宋体"/>
                <w:color w:val="auto"/>
                <w:sz w:val="22"/>
                <w:szCs w:val="22"/>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（一）硬件配置</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1.处理器：1.主机处理器：≥3.3GHz；内存：≥8GB、DDR4内存；硬盘：≥256GB 固态硬盘</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2.投影机：投影技术：DLP，流明度≥3000流明，投射比例：0.69~0.83，分辨率：1920*1080</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3.移动升降机柜：外观材质：五金金属、烤漆、定制移动升降机柜 ，设备尺寸：约670*615*2400mm，升降行程：650mm，可升降不同高度控制画面大小，方便移动</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4.感应器：颜色和深度感应镜头，语音麦克风阵列；可视范围：水平视角70度，垂直视角60度；数据流：深度感应镜头512*424.16bit.30fps，颜色感应镜头 1920*1080. 32bit. 30fps；传感器深度范围：0.5—4.5m 音效：16bit 16khz，追踪人数最高可达6人，每人25关节；</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5.线材辅件；</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（二）软件内容</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1.软件整体要求：</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通过投影技术打造地面界面训练系统。让患者下肢通过与互动界面多项训练游戏运动进行互动，应用巧妙的画面、悦耳的声音、刺激患者的身体运动反应，从而训练患者的运动能力，双腿的协调能力和下肢平衡控制能力。</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2.技术参数：</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(1）下肢地面运动康复训练系统软件的使用授权。</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(2）具体施展方式：通过投影，结合PC主机和运动感应器，网络模块等，组合成一套康复一体机，进行康复训练；</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(3）具有基础实体：包含投影，主机，感应器等；</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(4）三维立体空间：通过虚实结合的方式，制作写实逼真的场景，营造整个环境的真实性；提升身体训练的代入感；</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(5）模型、特效与动画：运用特效贴图、shader、高精度模型、模拟真实动态效果等制作；</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(6）软件涉及技术：基于次世代3D渲染技术、高端贴图渲染技术、unity3D、3维视频播放等术；</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3.系统内容：</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(1）系统主要针对下肢平衡控制训练、步行能力、身体平衡能力、下肢敏捷力、肌力和耐力训练、认知训练、感统运动训练、注意力、感觉、理解力、社交合作训练、情绪治疗、灵活性训练；</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color w:val="auto"/>
                <w:sz w:val="22"/>
                <w:szCs w:val="22"/>
                <w:highlight w:val="none"/>
              </w:rPr>
              <w:t>■</w:t>
            </w:r>
            <w:r>
              <w:rPr>
                <w:rFonts w:hint="eastAsia" w:ascii="宋体" w:hAnsi="宋体" w:eastAsia="宋体" w:cs="宋体"/>
                <w:i w:val="0"/>
                <w:iCs w:val="0"/>
                <w:color w:val="auto"/>
                <w:kern w:val="0"/>
                <w:sz w:val="22"/>
                <w:szCs w:val="22"/>
                <w:highlight w:val="none"/>
                <w:u w:val="none"/>
                <w:lang w:val="en-US" w:eastAsia="zh-CN" w:bidi="ar"/>
              </w:rPr>
              <w:t>(2）内含六大训练模块的训练内容：运动康复、认知益智、情景体验、趣味互动、听觉感知、情绪疏解六大训练模块；训练游戏有风火弹球、保龄球、沙滩排球、水球、乒乓球、足球、数字排序、记忆卡牌、运输机、抓娃娃、垃圾分类、找鸟、跳跳球、春暖花开、蜥蜴快跑、海洋世界、糖果消消乐、打地鼠、气球嘉年华，新年快乐、圣诞快乐、画水彩、飞碟大战、跳格子、星球大战、坦克风暴等；</w:t>
            </w:r>
            <w:r>
              <w:rPr>
                <w:rFonts w:hint="eastAsia" w:ascii="宋体" w:hAnsi="宋体" w:eastAsia="宋体" w:cs="宋体"/>
                <w:b/>
                <w:bCs/>
                <w:i w:val="0"/>
                <w:iCs w:val="0"/>
                <w:color w:val="auto"/>
                <w:kern w:val="0"/>
                <w:sz w:val="22"/>
                <w:szCs w:val="22"/>
                <w:highlight w:val="none"/>
                <w:u w:val="none"/>
                <w:lang w:val="en-US" w:eastAsia="zh-CN" w:bidi="ar"/>
              </w:rPr>
              <w:t>（提供软件截图，不提供不得分）</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★(3）内置内容编辑器，康复师可自主上传内容素材（音乐，文字或图片）可无限量生成训练内容，根据不同用户的训练需求进行针对性地康复训练；</w:t>
            </w:r>
            <w:r>
              <w:rPr>
                <w:rFonts w:hint="eastAsia" w:ascii="宋体" w:hAnsi="宋体" w:eastAsia="宋体" w:cs="宋体"/>
                <w:b/>
                <w:bCs/>
                <w:i w:val="0"/>
                <w:iCs w:val="0"/>
                <w:color w:val="auto"/>
                <w:kern w:val="0"/>
                <w:sz w:val="22"/>
                <w:szCs w:val="22"/>
                <w:highlight w:val="none"/>
                <w:u w:val="none"/>
                <w:lang w:val="en-US" w:eastAsia="zh-CN" w:bidi="ar"/>
              </w:rPr>
              <w:t>（提供软件截图或电子版本彩页）</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(4）虚拟场景训练：患者以游戏的方式主动参与到治疗中，减少患者被动接受治疗的枯燥性，提高治疗效率；</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(5）可支持多人同时互动训练，以竞技性模式进行比赛，训练趣味性更强，</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(6）能够刺激下肢本体感觉，有助于大脑控制下肢功能的恢复；</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(7）多元娱乐性的体感互动训练项目令治疗训练变得欢乐好玩，帮助用户进行互动治疗。</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(8）具有视觉、听觉反馈训练功能。可以通过影像和声音，及时准确地给予患者提示，激发患者的积极性和训练热情；</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(9）无需佩戴传感器，训练简洁方便；</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(10）患者可以轻松、专心进行活动，突破传统康复训练在操作上的诸多限制；</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(11）精神治疗：配合舒适的音乐，让病人放松心情训练；</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(12）通过科学的运动模式，促进下肢运动的主动性，让康复患者能在运动过程中逐渐恢复。</w:t>
            </w:r>
          </w:p>
        </w:tc>
        <w:tc>
          <w:tcPr>
            <w:tcW w:w="314" w:type="pct"/>
            <w:vAlign w:val="center"/>
          </w:tcPr>
          <w:p w14:paraId="37E3D39B">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1套</w:t>
            </w:r>
          </w:p>
        </w:tc>
        <w:tc>
          <w:tcPr>
            <w:tcW w:w="314" w:type="pct"/>
            <w:vAlign w:val="center"/>
          </w:tcPr>
          <w:p w14:paraId="19471131">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工业</w:t>
            </w:r>
          </w:p>
        </w:tc>
      </w:tr>
      <w:tr w14:paraId="260FD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63" w:type="pct"/>
            <w:vAlign w:val="center"/>
          </w:tcPr>
          <w:p w14:paraId="75424FFB">
            <w:pPr>
              <w:keepNext w:val="0"/>
              <w:keepLines w:val="0"/>
              <w:widowControl/>
              <w:suppressLineNumbers w:val="0"/>
              <w:spacing w:line="360" w:lineRule="auto"/>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42</w:t>
            </w:r>
          </w:p>
        </w:tc>
        <w:tc>
          <w:tcPr>
            <w:tcW w:w="492" w:type="pct"/>
            <w:vAlign w:val="center"/>
          </w:tcPr>
          <w:p w14:paraId="3D9A78F9">
            <w:pPr>
              <w:keepNext w:val="0"/>
              <w:keepLines w:val="0"/>
              <w:widowControl/>
              <w:suppressLineNumbers w:val="0"/>
              <w:spacing w:line="360" w:lineRule="auto"/>
              <w:jc w:val="left"/>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老年认知关爱工具包</w:t>
            </w:r>
          </w:p>
        </w:tc>
        <w:tc>
          <w:tcPr>
            <w:tcW w:w="3514" w:type="pct"/>
            <w:vAlign w:val="center"/>
          </w:tcPr>
          <w:p w14:paraId="261955FD">
            <w:pPr>
              <w:keepNext w:val="0"/>
              <w:keepLines w:val="0"/>
              <w:widowControl/>
              <w:suppressLineNumbers w:val="0"/>
              <w:spacing w:line="360" w:lineRule="auto"/>
              <w:jc w:val="left"/>
              <w:textAlignment w:val="center"/>
              <w:rPr>
                <w:rFonts w:hint="eastAsia" w:ascii="宋体" w:hAnsi="宋体" w:eastAsia="宋体" w:cs="宋体"/>
                <w:color w:val="auto"/>
                <w:sz w:val="22"/>
                <w:szCs w:val="22"/>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1.出版社：不限</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2.主编：不限</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3.装帧：ping装</w:t>
            </w:r>
          </w:p>
        </w:tc>
        <w:tc>
          <w:tcPr>
            <w:tcW w:w="314" w:type="pct"/>
            <w:vAlign w:val="center"/>
          </w:tcPr>
          <w:p w14:paraId="0C2D33D4">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1本</w:t>
            </w:r>
          </w:p>
        </w:tc>
        <w:tc>
          <w:tcPr>
            <w:tcW w:w="314" w:type="pct"/>
            <w:vAlign w:val="center"/>
          </w:tcPr>
          <w:p w14:paraId="2A17FC70">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工业</w:t>
            </w:r>
          </w:p>
        </w:tc>
      </w:tr>
      <w:bookmarkEnd w:id="5"/>
      <w:bookmarkEnd w:id="6"/>
    </w:tbl>
    <w:p w14:paraId="1CEF7806">
      <w:pPr>
        <w:spacing w:line="360" w:lineRule="auto"/>
        <w:outlineLvl w:val="1"/>
        <w:rPr>
          <w:rFonts w:hint="eastAsia" w:ascii="宋体" w:hAnsi="宋体" w:eastAsia="宋体" w:cs="@仿宋_GB2312"/>
          <w:b/>
          <w:bCs/>
          <w:color w:val="auto"/>
          <w:sz w:val="24"/>
          <w:szCs w:val="18"/>
          <w:highlight w:val="none"/>
        </w:rPr>
      </w:pPr>
      <w:bookmarkStart w:id="7" w:name="_Toc6897"/>
      <w:bookmarkStart w:id="8" w:name="_Toc10710"/>
      <w:r>
        <w:rPr>
          <w:rFonts w:hint="eastAsia" w:ascii="宋体" w:hAnsi="宋体" w:eastAsia="宋体" w:cs="@仿宋_GB2312"/>
          <w:b/>
          <w:bCs/>
          <w:color w:val="auto"/>
          <w:sz w:val="24"/>
          <w:szCs w:val="18"/>
          <w:highlight w:val="none"/>
          <w:lang w:val="en-US" w:eastAsia="zh-CN"/>
        </w:rPr>
        <w:t>四</w:t>
      </w:r>
      <w:r>
        <w:rPr>
          <w:rFonts w:hint="eastAsia" w:ascii="宋体" w:hAnsi="宋体" w:eastAsia="宋体" w:cs="@仿宋_GB2312"/>
          <w:b/>
          <w:bCs/>
          <w:color w:val="auto"/>
          <w:sz w:val="24"/>
          <w:szCs w:val="18"/>
          <w:highlight w:val="none"/>
        </w:rPr>
        <w:t>、报价要求</w:t>
      </w:r>
    </w:p>
    <w:p w14:paraId="16118779">
      <w:pPr>
        <w:spacing w:line="360" w:lineRule="auto"/>
        <w:ind w:firstLine="480" w:firstLineChars="200"/>
        <w:outlineLvl w:val="1"/>
        <w:rPr>
          <w:rFonts w:hint="eastAsia" w:ascii="宋体" w:hAnsi="宋体" w:eastAsia="宋体" w:cs="@仿宋_GB2312"/>
          <w:b w:val="0"/>
          <w:bCs w:val="0"/>
          <w:color w:val="auto"/>
          <w:sz w:val="24"/>
          <w:szCs w:val="18"/>
          <w:highlight w:val="none"/>
        </w:rPr>
      </w:pPr>
      <w:r>
        <w:rPr>
          <w:rFonts w:hint="eastAsia" w:ascii="宋体" w:hAnsi="宋体" w:eastAsia="宋体" w:cs="@仿宋_GB2312"/>
          <w:b w:val="0"/>
          <w:bCs w:val="0"/>
          <w:color w:val="auto"/>
          <w:sz w:val="24"/>
          <w:szCs w:val="18"/>
          <w:highlight w:val="none"/>
        </w:rPr>
        <w:t>本项目报价包含完成项目所需的一切费用，投标人报价时应充分考虑成本。中标结果确定后，中标人不得以任何理由要求增补项目费用或拒绝履约服务，采购人不接受任何追加费用的理由。</w:t>
      </w:r>
    </w:p>
    <w:p w14:paraId="7A53C49F">
      <w:pPr>
        <w:spacing w:line="360" w:lineRule="auto"/>
        <w:outlineLvl w:val="1"/>
        <w:rPr>
          <w:rFonts w:hint="eastAsia" w:ascii="宋体" w:hAnsi="宋体" w:eastAsia="宋体" w:cs="@仿宋_GB2312"/>
          <w:b w:val="0"/>
          <w:bCs w:val="0"/>
          <w:color w:val="auto"/>
          <w:sz w:val="24"/>
          <w:szCs w:val="18"/>
          <w:highlight w:val="none"/>
        </w:rPr>
      </w:pPr>
      <w:r>
        <w:rPr>
          <w:rFonts w:hint="eastAsia" w:ascii="宋体" w:hAnsi="宋体" w:eastAsia="宋体" w:cs="@仿宋_GB2312"/>
          <w:b/>
          <w:bCs/>
          <w:color w:val="auto"/>
          <w:sz w:val="24"/>
          <w:szCs w:val="18"/>
          <w:highlight w:val="none"/>
          <w:lang w:val="en-US" w:eastAsia="zh-CN"/>
        </w:rPr>
        <w:t>五</w:t>
      </w:r>
      <w:r>
        <w:rPr>
          <w:rFonts w:hint="eastAsia" w:ascii="宋体" w:hAnsi="宋体" w:eastAsia="宋体" w:cs="@仿宋_GB2312"/>
          <w:b/>
          <w:bCs/>
          <w:color w:val="auto"/>
          <w:sz w:val="24"/>
          <w:szCs w:val="18"/>
          <w:highlight w:val="none"/>
        </w:rPr>
        <w:t>、其他要求</w:t>
      </w:r>
    </w:p>
    <w:p w14:paraId="2D71466D">
      <w:pPr>
        <w:spacing w:line="360" w:lineRule="auto"/>
        <w:ind w:firstLine="480" w:firstLineChars="200"/>
        <w:outlineLvl w:val="1"/>
        <w:rPr>
          <w:rFonts w:hint="eastAsia" w:ascii="宋体" w:hAnsi="宋体" w:eastAsia="宋体" w:cs="@仿宋_GB2312"/>
          <w:b w:val="0"/>
          <w:bCs w:val="0"/>
          <w:color w:val="auto"/>
          <w:sz w:val="24"/>
          <w:szCs w:val="18"/>
          <w:highlight w:val="none"/>
        </w:rPr>
      </w:pPr>
      <w:r>
        <w:rPr>
          <w:rFonts w:hint="eastAsia" w:ascii="宋体" w:hAnsi="宋体" w:eastAsia="宋体" w:cs="@仿宋_GB2312"/>
          <w:b w:val="0"/>
          <w:bCs w:val="0"/>
          <w:color w:val="auto"/>
          <w:sz w:val="24"/>
          <w:szCs w:val="18"/>
          <w:highlight w:val="none"/>
        </w:rPr>
        <w:t>（1）货物生产过程中，招标人有权委托有资质的专业检测机构进行跟踪检测，检测标准以招标文件要求及投标文件响应为依据。检测中若发现有不合格原材料、成品，采购人有权追究中标人违约责任，由此而造成的一切后果及责任由中标人承担。</w:t>
      </w:r>
    </w:p>
    <w:p w14:paraId="4F066BEF">
      <w:pPr>
        <w:spacing w:line="360" w:lineRule="auto"/>
        <w:ind w:firstLine="480" w:firstLineChars="200"/>
        <w:outlineLvl w:val="1"/>
        <w:rPr>
          <w:rFonts w:hint="eastAsia" w:ascii="宋体" w:hAnsi="宋体" w:eastAsia="宋体" w:cs="@仿宋_GB2312"/>
          <w:b w:val="0"/>
          <w:bCs w:val="0"/>
          <w:color w:val="auto"/>
          <w:sz w:val="24"/>
          <w:szCs w:val="18"/>
          <w:highlight w:val="none"/>
        </w:rPr>
      </w:pPr>
      <w:r>
        <w:rPr>
          <w:rFonts w:hint="eastAsia" w:ascii="宋体" w:hAnsi="宋体" w:eastAsia="宋体" w:cs="@仿宋_GB2312"/>
          <w:b w:val="0"/>
          <w:bCs w:val="0"/>
          <w:color w:val="auto"/>
          <w:sz w:val="24"/>
          <w:szCs w:val="18"/>
          <w:highlight w:val="none"/>
        </w:rPr>
        <w:t>（2）投标文件中提供的检测报告，合同签订后供货前采购人有权要求中标人提供检测报告原件供采购人查验，送检单位名称须与投标产品生产厂商名称或投标人名称一致。检测货物名称与招标货物名称不完全相同，但内容实质相同的视作等同。</w:t>
      </w:r>
    </w:p>
    <w:p w14:paraId="3F6B470D">
      <w:pPr>
        <w:spacing w:line="360" w:lineRule="auto"/>
        <w:ind w:firstLine="480" w:firstLineChars="200"/>
        <w:outlineLvl w:val="1"/>
        <w:rPr>
          <w:rFonts w:hint="eastAsia" w:ascii="宋体" w:hAnsi="宋体" w:eastAsia="宋体" w:cs="@仿宋_GB2312"/>
          <w:b w:val="0"/>
          <w:bCs w:val="0"/>
          <w:color w:val="auto"/>
          <w:sz w:val="24"/>
          <w:szCs w:val="18"/>
          <w:highlight w:val="none"/>
          <w:lang w:eastAsia="zh-CN"/>
        </w:rPr>
      </w:pPr>
      <w:r>
        <w:rPr>
          <w:rFonts w:hint="eastAsia" w:ascii="宋体" w:hAnsi="宋体" w:eastAsia="宋体" w:cs="@仿宋_GB2312"/>
          <w:b w:val="0"/>
          <w:bCs w:val="0"/>
          <w:color w:val="auto"/>
          <w:sz w:val="24"/>
          <w:szCs w:val="18"/>
          <w:highlight w:val="none"/>
        </w:rPr>
        <w:t>（3）如中标人无法按上述要求提供，采购人有权追究中标人违约责任，由此而造成的一切后果及责任由中标人承担。采购方有权指定中标人在接到中标结果通知后三个工作日内，提供采购需求中任意设备样品进行功能演示，如演示中存在虚假响应，采购方有权上报监管部门进行处理。</w:t>
      </w:r>
    </w:p>
    <w:p w14:paraId="1191819C">
      <w:pPr>
        <w:spacing w:line="360" w:lineRule="auto"/>
        <w:outlineLvl w:val="1"/>
        <w:rPr>
          <w:rFonts w:hint="eastAsia" w:ascii="宋体" w:hAnsi="宋体" w:eastAsia="宋体" w:cs="@仿宋_GB2312"/>
          <w:b/>
          <w:color w:val="auto"/>
          <w:sz w:val="24"/>
          <w:szCs w:val="18"/>
          <w:highlight w:val="none"/>
        </w:rPr>
      </w:pPr>
      <w:r>
        <w:rPr>
          <w:rFonts w:hint="eastAsia" w:ascii="宋体" w:hAnsi="宋体" w:eastAsia="宋体" w:cs="@仿宋_GB2312"/>
          <w:b/>
          <w:bCs/>
          <w:color w:val="auto"/>
          <w:sz w:val="24"/>
          <w:szCs w:val="18"/>
          <w:highlight w:val="none"/>
          <w:lang w:val="en-US" w:eastAsia="zh-CN"/>
        </w:rPr>
        <w:t>六</w:t>
      </w:r>
      <w:r>
        <w:rPr>
          <w:rFonts w:hint="eastAsia" w:ascii="宋体" w:hAnsi="宋体" w:eastAsia="宋体" w:cs="@仿宋_GB2312"/>
          <w:b/>
          <w:bCs/>
          <w:color w:val="auto"/>
          <w:sz w:val="24"/>
          <w:szCs w:val="18"/>
          <w:highlight w:val="none"/>
        </w:rPr>
        <w:t>、样品</w:t>
      </w:r>
      <w:r>
        <w:rPr>
          <w:rFonts w:hint="eastAsia" w:ascii="宋体" w:hAnsi="宋体" w:eastAsia="宋体" w:cs="@仿宋_GB2312"/>
          <w:b/>
          <w:color w:val="auto"/>
          <w:sz w:val="24"/>
          <w:szCs w:val="18"/>
          <w:highlight w:val="none"/>
        </w:rPr>
        <w:t>要求</w:t>
      </w:r>
      <w:bookmarkEnd w:id="7"/>
      <w:r>
        <w:rPr>
          <w:rFonts w:hint="eastAsia" w:ascii="宋体" w:hAnsi="宋体" w:eastAsia="宋体" w:cs="@仿宋_GB2312"/>
          <w:b/>
          <w:color w:val="auto"/>
          <w:sz w:val="24"/>
          <w:szCs w:val="18"/>
          <w:highlight w:val="none"/>
        </w:rPr>
        <w:t>（</w:t>
      </w:r>
      <w:r>
        <w:rPr>
          <w:rFonts w:hint="eastAsia" w:ascii="宋体" w:hAnsi="宋体" w:eastAsia="宋体" w:cs="@仿宋_GB2312"/>
          <w:b/>
          <w:i/>
          <w:iCs/>
          <w:color w:val="auto"/>
          <w:sz w:val="24"/>
          <w:szCs w:val="18"/>
          <w:highlight w:val="none"/>
        </w:rPr>
        <w:t>如有</w:t>
      </w:r>
      <w:r>
        <w:rPr>
          <w:rFonts w:hint="eastAsia" w:ascii="宋体" w:hAnsi="宋体" w:eastAsia="宋体" w:cs="@仿宋_GB2312"/>
          <w:b/>
          <w:color w:val="auto"/>
          <w:sz w:val="24"/>
          <w:szCs w:val="18"/>
          <w:highlight w:val="none"/>
        </w:rPr>
        <w:t>）</w:t>
      </w:r>
      <w:bookmarkEnd w:id="8"/>
    </w:p>
    <w:p w14:paraId="162606E1">
      <w:pPr>
        <w:spacing w:line="360" w:lineRule="auto"/>
        <w:ind w:firstLine="480" w:firstLineChars="200"/>
        <w:outlineLvl w:val="1"/>
        <w:rPr>
          <w:rFonts w:hint="eastAsia" w:ascii="宋体" w:hAnsi="宋体" w:eastAsia="宋体" w:cs="@仿宋_GB2312"/>
          <w:b/>
          <w:color w:val="auto"/>
          <w:sz w:val="24"/>
          <w:szCs w:val="18"/>
          <w:highlight w:val="none"/>
        </w:rPr>
      </w:pPr>
      <w:r>
        <w:rPr>
          <w:rFonts w:hint="eastAsia" w:ascii="宋体" w:hAnsi="宋体" w:eastAsia="宋体" w:cs="@仿宋_GB2312"/>
          <w:bCs/>
          <w:color w:val="auto"/>
          <w:sz w:val="24"/>
          <w:szCs w:val="18"/>
          <w:highlight w:val="none"/>
        </w:rPr>
        <w:t>无</w:t>
      </w:r>
    </w:p>
    <w:p w14:paraId="47BC3C33">
      <w:pPr>
        <w:rPr>
          <w:rFonts w:ascii="宋体" w:hAnsi="宋体" w:eastAsia="宋体" w:cs="@仿宋_GB2312"/>
          <w:color w:val="auto"/>
          <w:sz w:val="24"/>
          <w:szCs w:val="20"/>
          <w:highlight w:val="none"/>
        </w:rPr>
      </w:pPr>
      <w:r>
        <w:rPr>
          <w:rFonts w:ascii="宋体" w:hAnsi="宋体" w:eastAsia="宋体" w:cs="@仿宋_GB2312"/>
          <w:color w:val="auto"/>
          <w:sz w:val="24"/>
          <w:szCs w:val="20"/>
          <w:highlight w:val="none"/>
        </w:rPr>
        <w:br w:type="page"/>
      </w:r>
    </w:p>
    <w:p w14:paraId="271AD003">
      <w:pPr>
        <w:spacing w:line="360" w:lineRule="auto"/>
        <w:jc w:val="center"/>
        <w:outlineLvl w:val="1"/>
        <w:rPr>
          <w:rFonts w:hint="default" w:ascii="宋体" w:hAnsi="宋体" w:eastAsia="宋体" w:cs="@仿宋_GB2312"/>
          <w:b/>
          <w:color w:val="auto"/>
          <w:sz w:val="24"/>
          <w:szCs w:val="18"/>
          <w:highlight w:val="none"/>
          <w:lang w:val="en-US" w:eastAsia="zh-CN"/>
        </w:rPr>
      </w:pPr>
      <w:r>
        <w:rPr>
          <w:rFonts w:hint="eastAsia" w:ascii="宋体" w:hAnsi="宋体" w:eastAsia="宋体" w:cs="@仿宋_GB2312"/>
          <w:b/>
          <w:color w:val="auto"/>
          <w:sz w:val="24"/>
          <w:szCs w:val="18"/>
          <w:highlight w:val="none"/>
        </w:rPr>
        <w:t>第</w:t>
      </w:r>
      <w:r>
        <w:rPr>
          <w:rFonts w:hint="eastAsia" w:ascii="宋体" w:hAnsi="宋体" w:eastAsia="宋体" w:cs="@仿宋_GB2312"/>
          <w:b/>
          <w:color w:val="auto"/>
          <w:sz w:val="24"/>
          <w:szCs w:val="18"/>
          <w:highlight w:val="none"/>
          <w:lang w:val="en-US" w:eastAsia="zh-CN"/>
        </w:rPr>
        <w:t>2</w:t>
      </w:r>
      <w:r>
        <w:rPr>
          <w:rFonts w:hint="eastAsia" w:ascii="宋体" w:hAnsi="宋体" w:eastAsia="宋体" w:cs="@仿宋_GB2312"/>
          <w:b/>
          <w:color w:val="auto"/>
          <w:sz w:val="24"/>
          <w:szCs w:val="18"/>
          <w:highlight w:val="none"/>
        </w:rPr>
        <w:t>包：</w:t>
      </w:r>
      <w:r>
        <w:rPr>
          <w:rFonts w:hint="eastAsia" w:ascii="宋体" w:hAnsi="宋体" w:eastAsia="宋体" w:cs="@仿宋_GB2312"/>
          <w:b/>
          <w:color w:val="auto"/>
          <w:sz w:val="24"/>
          <w:szCs w:val="18"/>
          <w:highlight w:val="none"/>
          <w:lang w:val="en-US" w:eastAsia="zh-CN"/>
        </w:rPr>
        <w:t>智慧化包采购需求</w:t>
      </w:r>
    </w:p>
    <w:p w14:paraId="1B05F3D5">
      <w:pPr>
        <w:spacing w:line="360" w:lineRule="auto"/>
        <w:outlineLvl w:val="1"/>
        <w:rPr>
          <w:rFonts w:hint="eastAsia" w:ascii="宋体" w:hAnsi="宋体" w:eastAsia="宋体" w:cs="@仿宋_GB2312"/>
          <w:b/>
          <w:color w:val="auto"/>
          <w:sz w:val="24"/>
          <w:szCs w:val="18"/>
          <w:highlight w:val="none"/>
        </w:rPr>
      </w:pPr>
      <w:r>
        <w:rPr>
          <w:rFonts w:hint="eastAsia" w:ascii="宋体" w:hAnsi="宋体" w:eastAsia="宋体" w:cs="@仿宋_GB2312"/>
          <w:b/>
          <w:color w:val="auto"/>
          <w:sz w:val="24"/>
          <w:szCs w:val="18"/>
          <w:highlight w:val="none"/>
        </w:rPr>
        <w:t>一、采购需求前附表</w:t>
      </w:r>
    </w:p>
    <w:tbl>
      <w:tblPr>
        <w:tblStyle w:val="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68DE9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0C693DD">
            <w:pPr>
              <w:widowControl w:val="0"/>
              <w:pBdr>
                <w:bottom w:val="none" w:color="auto" w:sz="0" w:space="0"/>
              </w:pBdr>
              <w:adjustRightInd/>
              <w:snapToGrid/>
              <w:spacing w:line="240" w:lineRule="auto"/>
              <w:jc w:val="center"/>
              <w:textAlignment w:val="auto"/>
              <w:rPr>
                <w:rFonts w:hint="eastAsia" w:ascii="宋体" w:hAnsi="宋体" w:eastAsia="宋体" w:cs="@仿宋_GB2312"/>
                <w:b/>
                <w:color w:val="auto"/>
                <w:kern w:val="2"/>
                <w:sz w:val="24"/>
                <w:szCs w:val="20"/>
                <w:highlight w:val="none"/>
                <w:lang w:val="en-US" w:eastAsia="zh-CN" w:bidi="ar-SA"/>
              </w:rPr>
            </w:pPr>
            <w:r>
              <w:rPr>
                <w:rFonts w:hint="eastAsia" w:ascii="宋体" w:hAnsi="宋体" w:eastAsia="宋体" w:cs="@仿宋_GB2312"/>
                <w:b/>
                <w:color w:val="auto"/>
                <w:kern w:val="2"/>
                <w:sz w:val="24"/>
                <w:szCs w:val="20"/>
                <w:highlight w:val="none"/>
                <w:lang w:val="en-US" w:eastAsia="zh-CN" w:bidi="ar-SA"/>
              </w:rPr>
              <w:t>序号</w:t>
            </w:r>
          </w:p>
        </w:tc>
        <w:tc>
          <w:tcPr>
            <w:tcW w:w="1192" w:type="pct"/>
            <w:vAlign w:val="center"/>
          </w:tcPr>
          <w:p w14:paraId="12BA88F9">
            <w:pPr>
              <w:widowControl w:val="0"/>
              <w:spacing w:before="0" w:beforeAutospacing="0" w:after="0" w:afterAutospacing="0" w:line="360" w:lineRule="auto"/>
              <w:jc w:val="center"/>
              <w:rPr>
                <w:rFonts w:hint="eastAsia" w:ascii="宋体" w:hAnsi="宋体" w:eastAsia="宋体" w:cs="@仿宋_GB2312"/>
                <w:b/>
                <w:bCs w:val="0"/>
                <w:color w:val="auto"/>
                <w:kern w:val="0"/>
                <w:sz w:val="24"/>
                <w:szCs w:val="28"/>
                <w:highlight w:val="none"/>
                <w:lang w:val="en-US" w:eastAsia="zh-CN" w:bidi="ar-SA"/>
              </w:rPr>
            </w:pPr>
            <w:r>
              <w:rPr>
                <w:rFonts w:hint="eastAsia" w:ascii="宋体" w:hAnsi="宋体" w:eastAsia="宋体" w:cs="@仿宋_GB2312"/>
                <w:b/>
                <w:bCs w:val="0"/>
                <w:color w:val="auto"/>
                <w:kern w:val="0"/>
                <w:sz w:val="24"/>
                <w:szCs w:val="28"/>
                <w:highlight w:val="none"/>
                <w:lang w:val="en-US" w:eastAsia="zh-CN" w:bidi="ar-SA"/>
              </w:rPr>
              <w:t>条款名称</w:t>
            </w:r>
          </w:p>
        </w:tc>
        <w:tc>
          <w:tcPr>
            <w:tcW w:w="3217" w:type="pct"/>
            <w:vAlign w:val="center"/>
          </w:tcPr>
          <w:p w14:paraId="1A12B095">
            <w:pPr>
              <w:widowControl w:val="0"/>
              <w:spacing w:before="0" w:beforeAutospacing="0" w:after="0" w:afterAutospacing="0" w:line="360" w:lineRule="auto"/>
              <w:jc w:val="center"/>
              <w:rPr>
                <w:rFonts w:hint="eastAsia" w:ascii="宋体" w:hAnsi="宋体" w:eastAsia="宋体" w:cs="@仿宋_GB2312"/>
                <w:b/>
                <w:bCs w:val="0"/>
                <w:color w:val="auto"/>
                <w:kern w:val="0"/>
                <w:sz w:val="24"/>
                <w:szCs w:val="28"/>
                <w:highlight w:val="none"/>
                <w:lang w:val="en-US" w:eastAsia="zh-CN" w:bidi="ar-SA"/>
              </w:rPr>
            </w:pPr>
            <w:r>
              <w:rPr>
                <w:rFonts w:hint="eastAsia" w:ascii="宋体" w:hAnsi="宋体" w:eastAsia="宋体" w:cs="@仿宋_GB2312"/>
                <w:b/>
                <w:bCs w:val="0"/>
                <w:color w:val="auto"/>
                <w:kern w:val="0"/>
                <w:sz w:val="24"/>
                <w:szCs w:val="28"/>
                <w:highlight w:val="none"/>
                <w:lang w:val="en-US" w:eastAsia="zh-CN" w:bidi="ar-SA"/>
              </w:rPr>
              <w:t>内容、说明与要求</w:t>
            </w:r>
          </w:p>
        </w:tc>
      </w:tr>
      <w:tr w14:paraId="4519A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590" w:type="pct"/>
            <w:vAlign w:val="center"/>
          </w:tcPr>
          <w:p w14:paraId="5ED56EF0">
            <w:pPr>
              <w:widowControl w:val="0"/>
              <w:pBdr>
                <w:bottom w:val="none" w:color="auto" w:sz="0" w:space="0"/>
              </w:pBdr>
              <w:adjustRightInd/>
              <w:snapToGrid/>
              <w:spacing w:line="240" w:lineRule="auto"/>
              <w:jc w:val="center"/>
              <w:textAlignment w:val="auto"/>
              <w:rPr>
                <w:rFonts w:hint="eastAsia" w:ascii="宋体" w:hAnsi="宋体" w:eastAsia="宋体" w:cs="@仿宋_GB2312"/>
                <w:bCs/>
                <w:color w:val="auto"/>
                <w:kern w:val="2"/>
                <w:sz w:val="24"/>
                <w:szCs w:val="20"/>
                <w:highlight w:val="none"/>
                <w:lang w:val="en-US" w:eastAsia="zh-CN" w:bidi="ar-SA"/>
              </w:rPr>
            </w:pPr>
            <w:r>
              <w:rPr>
                <w:rFonts w:hint="eastAsia" w:ascii="宋体" w:hAnsi="宋体" w:eastAsia="宋体" w:cs="@仿宋_GB2312"/>
                <w:bCs/>
                <w:color w:val="auto"/>
                <w:kern w:val="2"/>
                <w:sz w:val="24"/>
                <w:szCs w:val="20"/>
                <w:highlight w:val="none"/>
                <w:lang w:val="en-US" w:eastAsia="zh-CN" w:bidi="ar-SA"/>
              </w:rPr>
              <w:t>1</w:t>
            </w:r>
          </w:p>
        </w:tc>
        <w:tc>
          <w:tcPr>
            <w:tcW w:w="1192" w:type="pct"/>
            <w:vAlign w:val="center"/>
          </w:tcPr>
          <w:p w14:paraId="73CD02F3">
            <w:pPr>
              <w:widowControl w:val="0"/>
              <w:spacing w:before="0" w:beforeAutospacing="0" w:after="0" w:afterAutospacing="0" w:line="360" w:lineRule="auto"/>
              <w:jc w:val="center"/>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付款方式</w:t>
            </w:r>
          </w:p>
        </w:tc>
        <w:tc>
          <w:tcPr>
            <w:tcW w:w="3217" w:type="pct"/>
            <w:vAlign w:val="center"/>
          </w:tcPr>
          <w:p w14:paraId="55E2DC42">
            <w:pPr>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u w:val="single"/>
                <w:lang w:val="en-US" w:eastAsia="zh-CN" w:bidi="ar-SA"/>
              </w:rPr>
            </w:pPr>
            <w:r>
              <w:rPr>
                <w:rFonts w:hint="eastAsia" w:ascii="宋体" w:hAnsi="宋体" w:eastAsia="宋体" w:cs="@仿宋_GB2312"/>
                <w:b w:val="0"/>
                <w:bCs/>
                <w:color w:val="auto"/>
                <w:kern w:val="0"/>
                <w:sz w:val="24"/>
                <w:szCs w:val="28"/>
                <w:highlight w:val="none"/>
                <w:u w:val="single"/>
                <w:lang w:val="en-US" w:eastAsia="zh-CN" w:bidi="ar-SA"/>
              </w:rPr>
              <w:t>验收合格后一次性付清。</w:t>
            </w:r>
          </w:p>
        </w:tc>
      </w:tr>
      <w:tr w14:paraId="776C0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783EEC0B">
            <w:pPr>
              <w:widowControl w:val="0"/>
              <w:pBdr>
                <w:bottom w:val="none" w:color="auto" w:sz="0" w:space="0"/>
              </w:pBdr>
              <w:adjustRightInd/>
              <w:snapToGrid/>
              <w:spacing w:line="240" w:lineRule="auto"/>
              <w:jc w:val="center"/>
              <w:textAlignment w:val="auto"/>
              <w:rPr>
                <w:rFonts w:hint="eastAsia" w:ascii="宋体" w:hAnsi="宋体" w:eastAsia="宋体" w:cs="@仿宋_GB2312"/>
                <w:bCs/>
                <w:color w:val="auto"/>
                <w:kern w:val="2"/>
                <w:sz w:val="24"/>
                <w:szCs w:val="20"/>
                <w:highlight w:val="none"/>
                <w:lang w:val="en-US" w:eastAsia="zh-CN" w:bidi="ar-SA"/>
              </w:rPr>
            </w:pPr>
            <w:r>
              <w:rPr>
                <w:rFonts w:hint="eastAsia" w:ascii="宋体" w:hAnsi="宋体" w:eastAsia="宋体" w:cs="@仿宋_GB2312"/>
                <w:bCs/>
                <w:color w:val="auto"/>
                <w:kern w:val="2"/>
                <w:sz w:val="24"/>
                <w:szCs w:val="20"/>
                <w:highlight w:val="none"/>
                <w:lang w:val="en-US" w:eastAsia="zh-CN" w:bidi="ar-SA"/>
              </w:rPr>
              <w:t>2</w:t>
            </w:r>
          </w:p>
        </w:tc>
        <w:tc>
          <w:tcPr>
            <w:tcW w:w="1192" w:type="pct"/>
            <w:vAlign w:val="center"/>
          </w:tcPr>
          <w:p w14:paraId="4D2F6325">
            <w:pPr>
              <w:widowControl w:val="0"/>
              <w:spacing w:before="0" w:beforeAutospacing="0" w:after="0" w:afterAutospacing="0" w:line="360" w:lineRule="auto"/>
              <w:jc w:val="center"/>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供货及安装地点</w:t>
            </w:r>
          </w:p>
        </w:tc>
        <w:tc>
          <w:tcPr>
            <w:tcW w:w="3217" w:type="pct"/>
            <w:vAlign w:val="center"/>
          </w:tcPr>
          <w:p w14:paraId="6D6DC640">
            <w:pPr>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安徽医科大学新医科中心 护理学院</w:t>
            </w:r>
          </w:p>
        </w:tc>
      </w:tr>
      <w:tr w14:paraId="52F14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2715E629">
            <w:pPr>
              <w:widowControl w:val="0"/>
              <w:pBdr>
                <w:bottom w:val="none" w:color="auto" w:sz="0" w:space="0"/>
              </w:pBdr>
              <w:adjustRightInd/>
              <w:snapToGrid/>
              <w:spacing w:line="240" w:lineRule="auto"/>
              <w:jc w:val="center"/>
              <w:textAlignment w:val="auto"/>
              <w:rPr>
                <w:rFonts w:hint="eastAsia" w:ascii="宋体" w:hAnsi="宋体" w:eastAsia="宋体" w:cs="@仿宋_GB2312"/>
                <w:bCs/>
                <w:color w:val="auto"/>
                <w:kern w:val="2"/>
                <w:sz w:val="24"/>
                <w:szCs w:val="20"/>
                <w:highlight w:val="none"/>
                <w:lang w:val="en-US" w:eastAsia="zh-CN" w:bidi="ar-SA"/>
              </w:rPr>
            </w:pPr>
            <w:r>
              <w:rPr>
                <w:rFonts w:hint="eastAsia" w:ascii="宋体" w:hAnsi="宋体" w:eastAsia="宋体" w:cs="@仿宋_GB2312"/>
                <w:bCs/>
                <w:color w:val="auto"/>
                <w:kern w:val="2"/>
                <w:sz w:val="24"/>
                <w:szCs w:val="20"/>
                <w:highlight w:val="none"/>
                <w:lang w:val="en-US" w:eastAsia="zh-CN" w:bidi="ar-SA"/>
              </w:rPr>
              <w:t>3</w:t>
            </w:r>
          </w:p>
        </w:tc>
        <w:tc>
          <w:tcPr>
            <w:tcW w:w="1192" w:type="pct"/>
            <w:vAlign w:val="center"/>
          </w:tcPr>
          <w:p w14:paraId="2B44D9BF">
            <w:pPr>
              <w:widowControl w:val="0"/>
              <w:spacing w:before="0" w:beforeAutospacing="0" w:after="0" w:afterAutospacing="0" w:line="360" w:lineRule="auto"/>
              <w:jc w:val="center"/>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供货及安装期限</w:t>
            </w:r>
          </w:p>
        </w:tc>
        <w:tc>
          <w:tcPr>
            <w:tcW w:w="3217" w:type="pct"/>
            <w:vAlign w:val="center"/>
          </w:tcPr>
          <w:p w14:paraId="2998F270">
            <w:pPr>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u w:val="single"/>
                <w:lang w:val="en-US" w:eastAsia="zh-CN" w:bidi="ar-SA"/>
              </w:rPr>
              <w:t>合同签订后45日内完成供货安装及调试。</w:t>
            </w:r>
          </w:p>
        </w:tc>
      </w:tr>
      <w:tr w14:paraId="38A45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6E6677FE">
            <w:pPr>
              <w:widowControl w:val="0"/>
              <w:pBdr>
                <w:bottom w:val="none" w:color="auto" w:sz="0" w:space="0"/>
              </w:pBdr>
              <w:adjustRightInd/>
              <w:snapToGrid/>
              <w:spacing w:line="240" w:lineRule="auto"/>
              <w:jc w:val="center"/>
              <w:textAlignment w:val="auto"/>
              <w:rPr>
                <w:rFonts w:hint="eastAsia" w:ascii="宋体" w:hAnsi="宋体" w:eastAsia="宋体" w:cs="@仿宋_GB2312"/>
                <w:bCs/>
                <w:color w:val="auto"/>
                <w:kern w:val="2"/>
                <w:sz w:val="24"/>
                <w:szCs w:val="20"/>
                <w:highlight w:val="none"/>
                <w:lang w:val="en-US" w:eastAsia="zh-CN" w:bidi="ar-SA"/>
              </w:rPr>
            </w:pPr>
            <w:r>
              <w:rPr>
                <w:rFonts w:hint="eastAsia" w:ascii="宋体" w:hAnsi="宋体" w:eastAsia="宋体" w:cs="@仿宋_GB2312"/>
                <w:bCs/>
                <w:color w:val="auto"/>
                <w:kern w:val="2"/>
                <w:sz w:val="24"/>
                <w:szCs w:val="20"/>
                <w:highlight w:val="none"/>
                <w:lang w:val="en-US" w:eastAsia="zh-CN" w:bidi="ar-SA"/>
              </w:rPr>
              <w:t>4</w:t>
            </w:r>
          </w:p>
        </w:tc>
        <w:tc>
          <w:tcPr>
            <w:tcW w:w="1192" w:type="pct"/>
            <w:vAlign w:val="center"/>
          </w:tcPr>
          <w:p w14:paraId="676B4E64">
            <w:pPr>
              <w:widowControl w:val="0"/>
              <w:spacing w:before="0" w:beforeAutospacing="0" w:after="0" w:afterAutospacing="0" w:line="360" w:lineRule="auto"/>
              <w:jc w:val="center"/>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免费质保期</w:t>
            </w:r>
          </w:p>
        </w:tc>
        <w:tc>
          <w:tcPr>
            <w:tcW w:w="3217" w:type="pct"/>
            <w:vAlign w:val="center"/>
          </w:tcPr>
          <w:p w14:paraId="01A0E424">
            <w:pPr>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自验收合格之日起开始计算3年，质保期内提供硬件设备免费更换，软件免费升级服务。</w:t>
            </w:r>
          </w:p>
        </w:tc>
      </w:tr>
      <w:tr w14:paraId="48FDF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2690D46">
            <w:pPr>
              <w:widowControl w:val="0"/>
              <w:pBdr>
                <w:bottom w:val="none" w:color="auto" w:sz="0" w:space="0"/>
              </w:pBdr>
              <w:adjustRightInd/>
              <w:snapToGrid/>
              <w:spacing w:line="240" w:lineRule="auto"/>
              <w:jc w:val="center"/>
              <w:textAlignment w:val="auto"/>
              <w:rPr>
                <w:rFonts w:hint="eastAsia" w:ascii="宋体" w:hAnsi="宋体" w:eastAsia="宋体" w:cs="@仿宋_GB2312"/>
                <w:bCs/>
                <w:color w:val="auto"/>
                <w:kern w:val="2"/>
                <w:sz w:val="24"/>
                <w:szCs w:val="20"/>
                <w:highlight w:val="none"/>
                <w:lang w:val="en-US" w:eastAsia="zh-CN" w:bidi="ar-SA"/>
              </w:rPr>
            </w:pPr>
            <w:r>
              <w:rPr>
                <w:rFonts w:hint="eastAsia" w:ascii="宋体" w:hAnsi="宋体" w:eastAsia="宋体" w:cs="@仿宋_GB2312"/>
                <w:bCs/>
                <w:color w:val="auto"/>
                <w:kern w:val="2"/>
                <w:sz w:val="24"/>
                <w:szCs w:val="20"/>
                <w:highlight w:val="none"/>
                <w:lang w:val="en-US" w:eastAsia="zh-CN" w:bidi="ar-SA"/>
              </w:rPr>
              <w:t>5</w:t>
            </w:r>
          </w:p>
        </w:tc>
        <w:tc>
          <w:tcPr>
            <w:tcW w:w="1192" w:type="pct"/>
            <w:vAlign w:val="center"/>
          </w:tcPr>
          <w:p w14:paraId="51CE9D57">
            <w:pPr>
              <w:widowControl w:val="0"/>
              <w:spacing w:before="0" w:beforeAutospacing="0" w:after="0" w:afterAutospacing="0" w:line="360" w:lineRule="auto"/>
              <w:jc w:val="center"/>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本包次核心产品</w:t>
            </w:r>
          </w:p>
        </w:tc>
        <w:tc>
          <w:tcPr>
            <w:tcW w:w="3217" w:type="pct"/>
            <w:vAlign w:val="center"/>
          </w:tcPr>
          <w:p w14:paraId="7E311921">
            <w:pPr>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u w:val="single"/>
                <w:lang w:val="en-US" w:eastAsia="zh-CN" w:bidi="ar-SA"/>
              </w:rPr>
            </w:pPr>
            <w:r>
              <w:rPr>
                <w:rFonts w:hint="eastAsia" w:ascii="宋体" w:hAnsi="宋体" w:eastAsia="宋体" w:cs="@仿宋_GB2312"/>
                <w:b w:val="0"/>
                <w:bCs/>
                <w:color w:val="auto"/>
                <w:kern w:val="0"/>
                <w:sz w:val="24"/>
                <w:szCs w:val="28"/>
                <w:highlight w:val="none"/>
                <w:u w:val="single"/>
                <w:lang w:val="en-US" w:eastAsia="zh-CN" w:bidi="ar-SA"/>
              </w:rPr>
              <w:t>智慧护士软件系统</w:t>
            </w:r>
          </w:p>
        </w:tc>
      </w:tr>
    </w:tbl>
    <w:p w14:paraId="4CC82BC8">
      <w:pPr>
        <w:spacing w:line="360" w:lineRule="auto"/>
        <w:outlineLvl w:val="1"/>
        <w:rPr>
          <w:rFonts w:hint="eastAsia" w:ascii="宋体" w:hAnsi="宋体" w:eastAsia="宋体" w:cs="@仿宋_GB2312"/>
          <w:b/>
          <w:bCs/>
          <w:color w:val="auto"/>
          <w:sz w:val="24"/>
          <w:szCs w:val="18"/>
          <w:highlight w:val="none"/>
          <w:lang w:val="en-US" w:eastAsia="zh-CN"/>
        </w:rPr>
      </w:pPr>
      <w:r>
        <w:rPr>
          <w:rFonts w:hint="eastAsia" w:ascii="宋体" w:hAnsi="宋体" w:eastAsia="宋体" w:cs="@仿宋_GB2312"/>
          <w:b/>
          <w:bCs/>
          <w:color w:val="auto"/>
          <w:sz w:val="24"/>
          <w:szCs w:val="18"/>
          <w:highlight w:val="none"/>
          <w:lang w:val="en-US" w:eastAsia="zh-CN"/>
        </w:rPr>
        <w:t>二、技术指标重要性表述</w:t>
      </w:r>
    </w:p>
    <w:tbl>
      <w:tblPr>
        <w:tblStyle w:val="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3"/>
        <w:gridCol w:w="1326"/>
        <w:gridCol w:w="5340"/>
      </w:tblGrid>
      <w:tr w14:paraId="76B7B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088" w:type="pct"/>
            <w:noWrap w:val="0"/>
            <w:vAlign w:val="center"/>
          </w:tcPr>
          <w:p w14:paraId="4F4476E0">
            <w:pPr>
              <w:spacing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标识重要性</w:t>
            </w:r>
          </w:p>
        </w:tc>
        <w:tc>
          <w:tcPr>
            <w:tcW w:w="778" w:type="pct"/>
            <w:noWrap w:val="0"/>
            <w:vAlign w:val="center"/>
          </w:tcPr>
          <w:p w14:paraId="6FFE4C8F">
            <w:pPr>
              <w:spacing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标识符号</w:t>
            </w:r>
          </w:p>
        </w:tc>
        <w:tc>
          <w:tcPr>
            <w:tcW w:w="3132" w:type="pct"/>
            <w:noWrap w:val="0"/>
            <w:vAlign w:val="center"/>
          </w:tcPr>
          <w:p w14:paraId="42C724F8">
            <w:pPr>
              <w:spacing w:line="360" w:lineRule="auto"/>
              <w:jc w:val="center"/>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符号说明</w:t>
            </w:r>
          </w:p>
        </w:tc>
      </w:tr>
      <w:tr w14:paraId="3A5D0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088" w:type="pct"/>
            <w:noWrap w:val="0"/>
            <w:vAlign w:val="center"/>
          </w:tcPr>
          <w:p w14:paraId="50F21460">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一般指标项</w:t>
            </w:r>
          </w:p>
        </w:tc>
        <w:tc>
          <w:tcPr>
            <w:tcW w:w="778" w:type="pct"/>
            <w:noWrap w:val="0"/>
            <w:vAlign w:val="center"/>
          </w:tcPr>
          <w:p w14:paraId="196FBC99">
            <w:pPr>
              <w:spacing w:line="360" w:lineRule="auto"/>
              <w:jc w:val="center"/>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w:t>
            </w:r>
          </w:p>
        </w:tc>
        <w:tc>
          <w:tcPr>
            <w:tcW w:w="3132" w:type="pct"/>
            <w:noWrap w:val="0"/>
            <w:vAlign w:val="center"/>
          </w:tcPr>
          <w:p w14:paraId="4C466191">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评分项，每满足一项得</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未标注证明材料要求的可不提供证明材料。</w:t>
            </w:r>
          </w:p>
        </w:tc>
      </w:tr>
      <w:tr w14:paraId="4EF7E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088" w:type="pct"/>
            <w:noWrap w:val="0"/>
            <w:vAlign w:val="center"/>
          </w:tcPr>
          <w:p w14:paraId="29364E4E">
            <w:pPr>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无标识项</w:t>
            </w:r>
          </w:p>
        </w:tc>
        <w:tc>
          <w:tcPr>
            <w:tcW w:w="778" w:type="pct"/>
            <w:noWrap w:val="0"/>
            <w:vAlign w:val="center"/>
          </w:tcPr>
          <w:p w14:paraId="261B6D59">
            <w:pPr>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color w:val="auto"/>
                <w:sz w:val="24"/>
                <w:szCs w:val="24"/>
                <w:highlight w:val="none"/>
              </w:rPr>
            </w:pPr>
          </w:p>
        </w:tc>
        <w:tc>
          <w:tcPr>
            <w:tcW w:w="3132" w:type="pct"/>
            <w:noWrap w:val="0"/>
            <w:vAlign w:val="center"/>
          </w:tcPr>
          <w:p w14:paraId="679CFEAD">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18"/>
                <w:highlight w:val="none"/>
                <w:lang w:val="en-US" w:eastAsia="zh-CN"/>
              </w:rPr>
              <w:t>无标识项无须逐条响应,投标人</w:t>
            </w:r>
            <w:r>
              <w:rPr>
                <w:rFonts w:hint="eastAsia" w:ascii="宋体" w:hAnsi="宋体" w:eastAsia="宋体" w:cs="宋体"/>
                <w:b/>
                <w:bCs/>
                <w:color w:val="auto"/>
                <w:sz w:val="24"/>
                <w:szCs w:val="18"/>
                <w:highlight w:val="none"/>
              </w:rPr>
              <w:t>须在</w:t>
            </w:r>
            <w:r>
              <w:rPr>
                <w:rFonts w:hint="eastAsia" w:ascii="宋体" w:hAnsi="宋体" w:eastAsia="宋体" w:cs="宋体"/>
                <w:b/>
                <w:bCs/>
                <w:color w:val="auto"/>
                <w:sz w:val="24"/>
                <w:szCs w:val="18"/>
                <w:highlight w:val="none"/>
                <w:lang w:val="en-US" w:eastAsia="zh-CN"/>
              </w:rPr>
              <w:t>投标文件</w:t>
            </w:r>
            <w:r>
              <w:rPr>
                <w:rFonts w:hint="eastAsia" w:ascii="宋体" w:hAnsi="宋体" w:eastAsia="宋体" w:cs="宋体"/>
                <w:b/>
                <w:bCs/>
                <w:color w:val="auto"/>
                <w:sz w:val="24"/>
                <w:szCs w:val="18"/>
                <w:highlight w:val="none"/>
              </w:rPr>
              <w:t>中提供承诺</w:t>
            </w:r>
            <w:r>
              <w:rPr>
                <w:rFonts w:hint="eastAsia" w:ascii="宋体" w:hAnsi="宋体" w:eastAsia="宋体" w:cs="宋体"/>
                <w:b/>
                <w:bCs/>
                <w:color w:val="auto"/>
                <w:sz w:val="24"/>
                <w:szCs w:val="18"/>
                <w:highlight w:val="none"/>
                <w:lang w:eastAsia="zh-CN"/>
              </w:rPr>
              <w:t>，</w:t>
            </w:r>
            <w:r>
              <w:rPr>
                <w:rFonts w:hint="eastAsia" w:ascii="宋体" w:hAnsi="宋体" w:eastAsia="宋体" w:cs="宋体"/>
                <w:b/>
                <w:bCs/>
                <w:color w:val="auto"/>
                <w:sz w:val="24"/>
                <w:szCs w:val="18"/>
                <w:highlight w:val="none"/>
              </w:rPr>
              <w:t>承诺</w:t>
            </w:r>
            <w:r>
              <w:rPr>
                <w:rFonts w:hint="eastAsia" w:ascii="宋体" w:hAnsi="宋体" w:eastAsia="宋体" w:cs="宋体"/>
                <w:b/>
                <w:bCs/>
                <w:color w:val="auto"/>
                <w:sz w:val="24"/>
                <w:szCs w:val="18"/>
                <w:highlight w:val="none"/>
                <w:lang w:eastAsia="zh-CN"/>
              </w:rPr>
              <w:t>无标识项完全满足</w:t>
            </w:r>
            <w:r>
              <w:rPr>
                <w:rFonts w:hint="eastAsia" w:ascii="宋体" w:hAnsi="宋体" w:eastAsia="宋体" w:cs="宋体"/>
                <w:b/>
                <w:bCs/>
                <w:color w:val="auto"/>
                <w:sz w:val="24"/>
                <w:szCs w:val="18"/>
                <w:highlight w:val="none"/>
                <w:lang w:val="en-US" w:eastAsia="zh-CN"/>
              </w:rPr>
              <w:t>招标文件</w:t>
            </w:r>
            <w:r>
              <w:rPr>
                <w:rFonts w:hint="eastAsia" w:ascii="宋体" w:hAnsi="宋体" w:eastAsia="宋体" w:cs="宋体"/>
                <w:b/>
                <w:bCs/>
                <w:color w:val="auto"/>
                <w:sz w:val="24"/>
                <w:szCs w:val="18"/>
                <w:highlight w:val="none"/>
              </w:rPr>
              <w:t>要求，如</w:t>
            </w:r>
            <w:r>
              <w:rPr>
                <w:rFonts w:hint="eastAsia" w:ascii="宋体" w:hAnsi="宋体" w:eastAsia="宋体" w:cs="宋体"/>
                <w:b/>
                <w:bCs/>
                <w:color w:val="auto"/>
                <w:sz w:val="24"/>
                <w:szCs w:val="18"/>
                <w:highlight w:val="none"/>
                <w:lang w:eastAsia="zh-CN"/>
              </w:rPr>
              <w:t>履约验收期间所投产品</w:t>
            </w:r>
            <w:r>
              <w:rPr>
                <w:rFonts w:hint="eastAsia" w:ascii="宋体" w:hAnsi="宋体" w:eastAsia="宋体" w:cs="宋体"/>
                <w:b/>
                <w:bCs/>
                <w:color w:val="auto"/>
                <w:sz w:val="24"/>
                <w:szCs w:val="18"/>
                <w:highlight w:val="none"/>
              </w:rPr>
              <w:t>不满足</w:t>
            </w:r>
            <w:r>
              <w:rPr>
                <w:rFonts w:hint="eastAsia" w:ascii="宋体" w:hAnsi="宋体" w:eastAsia="宋体" w:cs="宋体"/>
                <w:b/>
                <w:bCs/>
                <w:color w:val="auto"/>
                <w:sz w:val="24"/>
                <w:szCs w:val="18"/>
                <w:highlight w:val="none"/>
                <w:lang w:val="en-US" w:eastAsia="zh-CN"/>
              </w:rPr>
              <w:t>招标文件</w:t>
            </w:r>
            <w:r>
              <w:rPr>
                <w:rFonts w:hint="eastAsia" w:ascii="宋体" w:hAnsi="宋体" w:eastAsia="宋体" w:cs="宋体"/>
                <w:b/>
                <w:bCs/>
                <w:color w:val="auto"/>
                <w:sz w:val="24"/>
                <w:szCs w:val="18"/>
                <w:highlight w:val="none"/>
                <w:lang w:eastAsia="zh-CN"/>
              </w:rPr>
              <w:t>要求</w:t>
            </w:r>
            <w:r>
              <w:rPr>
                <w:rFonts w:hint="eastAsia" w:ascii="宋体" w:hAnsi="宋体" w:eastAsia="宋体" w:cs="宋体"/>
                <w:b/>
                <w:bCs/>
                <w:color w:val="auto"/>
                <w:sz w:val="24"/>
                <w:szCs w:val="18"/>
                <w:highlight w:val="none"/>
              </w:rPr>
              <w:t>，</w:t>
            </w:r>
            <w:r>
              <w:rPr>
                <w:rFonts w:hint="eastAsia" w:ascii="宋体" w:hAnsi="宋体" w:eastAsia="宋体" w:cs="宋体"/>
                <w:b/>
                <w:bCs/>
                <w:color w:val="auto"/>
                <w:sz w:val="24"/>
                <w:szCs w:val="18"/>
                <w:highlight w:val="none"/>
                <w:lang w:val="en-US" w:eastAsia="zh-CN"/>
              </w:rPr>
              <w:t>中标人</w:t>
            </w:r>
            <w:r>
              <w:rPr>
                <w:rFonts w:hint="eastAsia" w:ascii="宋体" w:hAnsi="宋体" w:eastAsia="宋体" w:cs="宋体"/>
                <w:b/>
                <w:bCs/>
                <w:color w:val="auto"/>
                <w:sz w:val="24"/>
                <w:szCs w:val="18"/>
                <w:highlight w:val="none"/>
              </w:rPr>
              <w:t>承担由此产生的一切后果及责任</w:t>
            </w:r>
            <w:r>
              <w:rPr>
                <w:rFonts w:hint="eastAsia" w:ascii="宋体" w:hAnsi="宋体" w:eastAsia="宋体" w:cs="宋体"/>
                <w:b/>
                <w:bCs/>
                <w:color w:val="auto"/>
                <w:sz w:val="24"/>
                <w:szCs w:val="18"/>
                <w:highlight w:val="none"/>
                <w:u w:val="single"/>
              </w:rPr>
              <w:t>（承诺函格式</w:t>
            </w:r>
            <w:r>
              <w:rPr>
                <w:rFonts w:hint="eastAsia" w:ascii="宋体" w:hAnsi="宋体" w:eastAsia="宋体" w:cs="宋体"/>
                <w:b/>
                <w:bCs/>
                <w:color w:val="auto"/>
                <w:sz w:val="24"/>
                <w:szCs w:val="18"/>
                <w:highlight w:val="none"/>
                <w:u w:val="single"/>
                <w:lang w:eastAsia="zh-CN"/>
              </w:rPr>
              <w:t>详见投标文件</w:t>
            </w:r>
            <w:r>
              <w:rPr>
                <w:rFonts w:hint="eastAsia" w:ascii="宋体" w:hAnsi="宋体" w:eastAsia="宋体" w:cs="宋体"/>
                <w:b/>
                <w:bCs/>
                <w:color w:val="auto"/>
                <w:sz w:val="24"/>
                <w:szCs w:val="18"/>
                <w:highlight w:val="none"/>
                <w:u w:val="single"/>
                <w:lang w:val="en-US" w:eastAsia="zh-CN"/>
              </w:rPr>
              <w:t>格式</w:t>
            </w:r>
            <w:r>
              <w:rPr>
                <w:rFonts w:hint="eastAsia" w:ascii="宋体" w:hAnsi="宋体" w:eastAsia="宋体" w:cs="宋体"/>
                <w:b/>
                <w:bCs/>
                <w:color w:val="auto"/>
                <w:sz w:val="24"/>
                <w:szCs w:val="18"/>
                <w:highlight w:val="none"/>
                <w:u w:val="single"/>
              </w:rPr>
              <w:t>）</w:t>
            </w:r>
            <w:r>
              <w:rPr>
                <w:rFonts w:hint="eastAsia" w:ascii="宋体" w:hAnsi="宋体" w:eastAsia="宋体" w:cs="宋体"/>
                <w:b/>
                <w:bCs/>
                <w:color w:val="auto"/>
                <w:sz w:val="24"/>
                <w:szCs w:val="18"/>
                <w:highlight w:val="none"/>
              </w:rPr>
              <w:t>。</w:t>
            </w:r>
            <w:r>
              <w:rPr>
                <w:rFonts w:hint="eastAsia" w:ascii="宋体" w:hAnsi="宋体" w:eastAsia="宋体" w:cs="宋体"/>
                <w:b/>
                <w:bCs/>
                <w:color w:val="auto"/>
                <w:sz w:val="24"/>
                <w:szCs w:val="18"/>
                <w:highlight w:val="none"/>
                <w:lang w:val="en-US" w:eastAsia="zh-CN"/>
              </w:rPr>
              <w:t>投标文件中</w:t>
            </w:r>
            <w:r>
              <w:rPr>
                <w:rFonts w:hint="eastAsia" w:ascii="宋体" w:hAnsi="宋体" w:eastAsia="宋体" w:cs="宋体"/>
                <w:b/>
                <w:bCs/>
                <w:color w:val="auto"/>
                <w:sz w:val="24"/>
                <w:szCs w:val="18"/>
                <w:highlight w:val="none"/>
              </w:rPr>
              <w:t>未提供相应承诺或承诺的内容不满足要求的，</w:t>
            </w:r>
            <w:r>
              <w:rPr>
                <w:rFonts w:hint="eastAsia" w:ascii="宋体" w:hAnsi="宋体" w:eastAsia="宋体" w:cs="宋体"/>
                <w:b/>
                <w:bCs/>
                <w:color w:val="auto"/>
                <w:sz w:val="24"/>
                <w:szCs w:val="18"/>
                <w:highlight w:val="none"/>
                <w:lang w:val="en-US" w:eastAsia="zh-CN"/>
              </w:rPr>
              <w:t>投标无效。</w:t>
            </w:r>
          </w:p>
        </w:tc>
      </w:tr>
      <w:tr w14:paraId="6EB0F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5000" w:type="pct"/>
            <w:gridSpan w:val="3"/>
            <w:noWrap w:val="0"/>
            <w:vAlign w:val="center"/>
          </w:tcPr>
          <w:p w14:paraId="297AE52F">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b/>
                <w:bCs/>
                <w:color w:val="auto"/>
                <w:sz w:val="24"/>
                <w:szCs w:val="18"/>
                <w:highlight w:val="none"/>
                <w:lang w:val="en-US" w:eastAsia="zh-CN"/>
              </w:rPr>
            </w:pPr>
            <w:r>
              <w:rPr>
                <w:rFonts w:hint="eastAsia" w:ascii="宋体" w:hAnsi="宋体" w:eastAsia="宋体" w:cs="宋体"/>
                <w:b/>
                <w:bCs/>
                <w:color w:val="auto"/>
                <w:sz w:val="24"/>
                <w:szCs w:val="18"/>
                <w:highlight w:val="none"/>
                <w:lang w:val="en-US" w:eastAsia="zh-CN"/>
              </w:rPr>
              <w:t>“所属行业”栏标注为“/”的项为所投产品配套的工程或服务，无需在《中小企业声明函》中列明。</w:t>
            </w:r>
          </w:p>
        </w:tc>
      </w:tr>
    </w:tbl>
    <w:p w14:paraId="31040F22">
      <w:pPr>
        <w:numPr>
          <w:ilvl w:val="0"/>
          <w:numId w:val="0"/>
        </w:numPr>
        <w:snapToGrid w:val="0"/>
        <w:spacing w:line="360" w:lineRule="auto"/>
        <w:rPr>
          <w:rFonts w:hint="eastAsia" w:ascii="Calibri" w:hAnsi="Calibri" w:eastAsia="宋体" w:cs="Times New Roman"/>
          <w:b/>
          <w:color w:val="auto"/>
          <w:sz w:val="24"/>
          <w:szCs w:val="22"/>
          <w:highlight w:val="none"/>
          <w:lang w:val="en-US" w:eastAsia="zh-CN"/>
        </w:rPr>
      </w:pPr>
    </w:p>
    <w:p w14:paraId="321CF3FF">
      <w:pPr>
        <w:numPr>
          <w:ilvl w:val="0"/>
          <w:numId w:val="0"/>
        </w:numPr>
        <w:snapToGrid w:val="0"/>
        <w:spacing w:line="360" w:lineRule="auto"/>
        <w:rPr>
          <w:rFonts w:hint="eastAsia" w:ascii="Calibri" w:hAnsi="Calibri" w:eastAsia="宋体" w:cs="Times New Roman"/>
          <w:b/>
          <w:color w:val="auto"/>
          <w:sz w:val="24"/>
          <w:szCs w:val="22"/>
          <w:highlight w:val="none"/>
        </w:rPr>
      </w:pPr>
      <w:r>
        <w:rPr>
          <w:rFonts w:hint="eastAsia" w:ascii="Calibri" w:hAnsi="Calibri" w:eastAsia="宋体" w:cs="Times New Roman"/>
          <w:b/>
          <w:color w:val="auto"/>
          <w:sz w:val="24"/>
          <w:szCs w:val="22"/>
          <w:highlight w:val="none"/>
          <w:lang w:val="en-US" w:eastAsia="zh-CN"/>
        </w:rPr>
        <w:t>三、</w:t>
      </w:r>
      <w:r>
        <w:rPr>
          <w:rFonts w:hint="eastAsia" w:ascii="Calibri" w:hAnsi="Calibri" w:eastAsia="宋体" w:cs="Times New Roman"/>
          <w:b/>
          <w:color w:val="auto"/>
          <w:sz w:val="24"/>
          <w:szCs w:val="22"/>
          <w:highlight w:val="none"/>
        </w:rPr>
        <w:t>采购标的及技术要求（下述技术参数所涉及的具体物理尺寸：货物指标要求中明确允许偏离范围的，按货物指标要求执行；货物指标要求中未明确允许偏离范围的，允许±5%偏离。）</w:t>
      </w:r>
    </w:p>
    <w:tbl>
      <w:tblPr>
        <w:tblStyle w:val="2"/>
        <w:tblW w:w="5306" w:type="pct"/>
        <w:tblInd w:w="-22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59"/>
        <w:gridCol w:w="929"/>
        <w:gridCol w:w="5859"/>
        <w:gridCol w:w="969"/>
        <w:gridCol w:w="828"/>
      </w:tblGrid>
      <w:tr w14:paraId="67666A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58768">
            <w:pPr>
              <w:keepNext w:val="0"/>
              <w:keepLines w:val="0"/>
              <w:widowControl/>
              <w:suppressLineNumbers w:val="0"/>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rPr>
              <w:t>序号</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791AE">
            <w:pPr>
              <w:keepNext w:val="0"/>
              <w:keepLines w:val="0"/>
              <w:widowControl/>
              <w:suppressLineNumbers w:val="0"/>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rPr>
              <w:t>标的名称</w:t>
            </w:r>
          </w:p>
        </w:tc>
        <w:tc>
          <w:tcPr>
            <w:tcW w:w="32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2CC6D">
            <w:pPr>
              <w:bidi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规格参数</w:t>
            </w:r>
          </w:p>
        </w:tc>
        <w:tc>
          <w:tcPr>
            <w:tcW w:w="5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A811C">
            <w:pPr>
              <w:keepNext w:val="0"/>
              <w:keepLines w:val="0"/>
              <w:widowControl/>
              <w:suppressLineNumbers w:val="0"/>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rPr>
              <w:t>数量</w:t>
            </w:r>
          </w:p>
        </w:tc>
        <w:tc>
          <w:tcPr>
            <w:tcW w:w="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A8998">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0"/>
                <w:sz w:val="24"/>
                <w:szCs w:val="24"/>
                <w:highlight w:val="none"/>
                <w:u w:val="none"/>
                <w:lang w:val="en-US" w:eastAsia="zh-CN"/>
              </w:rPr>
            </w:pPr>
            <w:r>
              <w:rPr>
                <w:rFonts w:hint="eastAsia" w:ascii="宋体" w:hAnsi="宋体" w:eastAsia="宋体" w:cs="宋体"/>
                <w:b/>
                <w:bCs/>
                <w:i w:val="0"/>
                <w:iCs w:val="0"/>
                <w:color w:val="auto"/>
                <w:kern w:val="0"/>
                <w:sz w:val="24"/>
                <w:szCs w:val="24"/>
                <w:highlight w:val="none"/>
                <w:u w:val="none"/>
                <w:lang w:val="en-US" w:eastAsia="zh-CN"/>
              </w:rPr>
              <w:t>所属行业</w:t>
            </w:r>
          </w:p>
        </w:tc>
      </w:tr>
      <w:tr w14:paraId="445FB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68CD2">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1</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1F702">
            <w:pPr>
              <w:keepNext w:val="0"/>
              <w:keepLines w:val="0"/>
              <w:widowControl/>
              <w:suppressLineNumbers w:val="0"/>
              <w:spacing w:line="360" w:lineRule="auto"/>
              <w:jc w:val="both"/>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示教摄像机</w:t>
            </w:r>
          </w:p>
        </w:tc>
        <w:tc>
          <w:tcPr>
            <w:tcW w:w="3239" w:type="pct"/>
            <w:tcBorders>
              <w:top w:val="single" w:color="000000" w:sz="4" w:space="0"/>
              <w:left w:val="single" w:color="000000" w:sz="4" w:space="0"/>
              <w:bottom w:val="single" w:color="000000" w:sz="4" w:space="0"/>
              <w:right w:val="single" w:color="000000" w:sz="4" w:space="0"/>
            </w:tcBorders>
            <w:shd w:val="clear" w:color="auto" w:fill="auto"/>
          </w:tcPr>
          <w:p w14:paraId="571DFF4D">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1、4K超高清图像：采用1/2.8英寸高品质CMOS图像传感器，最大分辨率可达3840×2160，输出帧率不低于30帧/秒，</w:t>
            </w:r>
            <w:r>
              <w:rPr>
                <w:rFonts w:hint="eastAsia" w:ascii="宋体" w:hAnsi="宋体" w:eastAsia="宋体" w:cs="宋体"/>
                <w:color w:val="auto"/>
                <w:sz w:val="24"/>
                <w:szCs w:val="24"/>
                <w:highlight w:val="none"/>
                <w:lang w:eastAsia="zh-CN"/>
              </w:rPr>
              <w:t>有效像素</w:t>
            </w:r>
            <w:r>
              <w:rPr>
                <w:rFonts w:hint="eastAsia" w:ascii="宋体" w:hAnsi="宋体" w:eastAsia="宋体" w:cs="宋体"/>
                <w:color w:val="auto"/>
                <w:sz w:val="24"/>
                <w:szCs w:val="24"/>
                <w:highlight w:val="none"/>
                <w:lang w:val="en-US" w:eastAsia="zh-CN"/>
              </w:rPr>
              <w:t>不低于</w:t>
            </w:r>
            <w:r>
              <w:rPr>
                <w:rFonts w:hint="eastAsia" w:ascii="宋体" w:hAnsi="宋体" w:eastAsia="宋体" w:cs="宋体"/>
                <w:color w:val="auto"/>
                <w:sz w:val="24"/>
                <w:szCs w:val="24"/>
                <w:highlight w:val="none"/>
                <w:lang w:eastAsia="zh-CN"/>
              </w:rPr>
              <w:t>828万。</w:t>
            </w:r>
          </w:p>
          <w:p w14:paraId="4A8B397E">
            <w:pPr>
              <w:widowControl/>
              <w:bidi w:val="0"/>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2、光学变倍镜头：12 倍光学变倍镜头。</w:t>
            </w:r>
            <w:r>
              <w:rPr>
                <w:rFonts w:hint="eastAsia" w:ascii="宋体" w:hAnsi="宋体" w:eastAsia="宋体" w:cs="宋体"/>
                <w:color w:val="auto"/>
                <w:sz w:val="24"/>
                <w:szCs w:val="24"/>
                <w:highlight w:val="none"/>
                <w:lang w:eastAsia="zh-CN"/>
              </w:rPr>
              <w:t>焦距：12 倍光学变焦 f＝3.9～46.8mm；对角线视角：长焦 7.42°～ 广角 78.58°</w:t>
            </w:r>
            <w:r>
              <w:rPr>
                <w:rFonts w:hint="eastAsia" w:ascii="宋体" w:hAnsi="宋体" w:eastAsia="宋体" w:cs="宋体"/>
                <w:color w:val="auto"/>
                <w:kern w:val="2"/>
                <w:sz w:val="24"/>
                <w:szCs w:val="24"/>
                <w:highlight w:val="none"/>
                <w:lang w:val="en-US" w:eastAsia="zh-CN" w:bidi="ar"/>
              </w:rPr>
              <w:t>；</w:t>
            </w:r>
            <w:r>
              <w:rPr>
                <w:rFonts w:hint="eastAsia" w:ascii="宋体" w:hAnsi="宋体" w:eastAsia="宋体" w:cs="宋体"/>
                <w:color w:val="auto"/>
                <w:sz w:val="24"/>
                <w:szCs w:val="24"/>
                <w:highlight w:val="none"/>
                <w:lang w:val="en-US" w:eastAsia="zh-CN"/>
              </w:rPr>
              <w:t>水平视角：长焦 6.48°～ 广角 70.82°；</w:t>
            </w:r>
            <w:r>
              <w:rPr>
                <w:rFonts w:hint="eastAsia" w:ascii="宋体" w:hAnsi="宋体" w:eastAsia="宋体" w:cs="宋体"/>
                <w:color w:val="auto"/>
                <w:sz w:val="24"/>
                <w:szCs w:val="24"/>
                <w:highlight w:val="none"/>
                <w:lang w:eastAsia="zh-CN"/>
              </w:rPr>
              <w:t>垂直视角：长焦 3.66°～广角 42.72°；光圈：F1.6– F2.8。</w:t>
            </w:r>
          </w:p>
          <w:p w14:paraId="2B52DE25">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3、具有自动聚焦技术。</w:t>
            </w:r>
          </w:p>
          <w:p w14:paraId="71D5F8C0">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4、设备支持激光测距，该功能可作为自动聚焦的辅助手段。</w:t>
            </w:r>
          </w:p>
          <w:p w14:paraId="6D2D425D">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5、设备配置低噪声 CMOS ，可实现较高视频信噪比；支持 2D/3D 降噪功能，在实现噪声抑制的同时，保障输出图像的清晰度。 </w:t>
            </w:r>
          </w:p>
          <w:p w14:paraId="4ACF65A1">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6、按键操作：具备多功能控制按键面板，可便捷的变倍、聚焦、亮度调节、画面冻结、菜单等常用功能控制。</w:t>
            </w:r>
          </w:p>
          <w:p w14:paraId="78AAF9B4">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7、多种视频输出接口：具备HDMI、LAN具备音视频输出；LAN接口具备POE供电。</w:t>
            </w:r>
          </w:p>
          <w:p w14:paraId="7904E9A2">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8、音频输入接口：具备AAC音频编码，AAC编码具备48000采样频率。</w:t>
            </w:r>
          </w:p>
          <w:p w14:paraId="19F0CAE7">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9、多种网络协议：具备ONVIF、GB/T28181、RTSP、RTMP、VISCA OVER IP、IP VISCA、RTMPS、SRT协议；具备RTMP推送模式，具备RTP组播模式。</w:t>
            </w:r>
          </w:p>
          <w:p w14:paraId="3840E4F5">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10、色彩还原：搭载自研4K ISP图像处理算法，支持多档色温调节、RGB色彩矩阵校正，实物与人肤色真实还原，高低亮度场景色彩无失真、无褪色偏色。</w:t>
            </w:r>
          </w:p>
          <w:p w14:paraId="47D2F52B">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11、抗光斑眩光：12倍光学变焦多层镀膜镜头，支持最高8级宽动态、分区智能强光抑制算法，有效消除灯光、自然光直射产生的光斑、光晕、眩光，逆光场景明暗层次均衡无高光溢出白斑。</w:t>
            </w:r>
          </w:p>
          <w:p w14:paraId="4CCE1F88">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12、控制接口：RS485，2PING 凤凰端子，支持 VISC 协议。</w:t>
            </w:r>
          </w:p>
          <w:p w14:paraId="050A3D2D">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13、电源接口：5.0 卡线插座(DC12V)，产品无储备电池。</w:t>
            </w:r>
          </w:p>
          <w:p w14:paraId="00AD47C6">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14、电源适配器：输入 AC110V-AC220V 输出 DC12V/2A</w:t>
            </w:r>
          </w:p>
          <w:p w14:paraId="3C64138B">
            <w:pPr>
              <w:bidi w:val="0"/>
              <w:spacing w:line="360" w:lineRule="auto"/>
              <w:rPr>
                <w:rFonts w:hint="eastAsia" w:ascii="宋体" w:hAnsi="宋体" w:eastAsia="宋体" w:cs="宋体"/>
                <w:i w:val="0"/>
                <w:iCs w:val="0"/>
                <w:color w:val="auto"/>
                <w:kern w:val="0"/>
                <w:sz w:val="24"/>
                <w:szCs w:val="24"/>
                <w:highlight w:val="none"/>
                <w:u w:val="none"/>
                <w:lang w:val="en-US" w:eastAsia="zh-CN"/>
              </w:rPr>
            </w:pPr>
            <w:r>
              <w:rPr>
                <w:rFonts w:hint="eastAsia" w:ascii="宋体" w:hAnsi="宋体" w:eastAsia="宋体" w:cs="宋体"/>
                <w:color w:val="auto"/>
                <w:sz w:val="24"/>
                <w:szCs w:val="24"/>
                <w:highlight w:val="none"/>
                <w:lang w:val="en-US" w:eastAsia="zh-CN"/>
              </w:rPr>
              <w:t>输入电压：DC12V±10%。</w:t>
            </w:r>
          </w:p>
          <w:p w14:paraId="774C7EC2">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15、示教摄像机采用吊臂支架安装，吊臂参数详见安装调试服务。</w:t>
            </w:r>
          </w:p>
        </w:tc>
        <w:tc>
          <w:tcPr>
            <w:tcW w:w="5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258D2">
            <w:pPr>
              <w:keepNext w:val="0"/>
              <w:keepLines w:val="0"/>
              <w:widowControl/>
              <w:suppressLineNumbers w:val="0"/>
              <w:spacing w:line="360" w:lineRule="auto"/>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19台</w:t>
            </w:r>
          </w:p>
        </w:tc>
        <w:tc>
          <w:tcPr>
            <w:tcW w:w="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B2D44">
            <w:pPr>
              <w:keepNext w:val="0"/>
              <w:keepLines w:val="0"/>
              <w:widowControl/>
              <w:suppressLineNumbers w:val="0"/>
              <w:spacing w:line="360" w:lineRule="auto"/>
              <w:jc w:val="center"/>
              <w:textAlignment w:val="top"/>
              <w:rPr>
                <w:rFonts w:hint="eastAsia" w:ascii="宋体" w:hAnsi="宋体" w:eastAsia="宋体" w:cs="宋体"/>
                <w:i w:val="0"/>
                <w:iCs w:val="0"/>
                <w:color w:val="auto"/>
                <w:kern w:val="0"/>
                <w:sz w:val="24"/>
                <w:szCs w:val="24"/>
                <w:highlight w:val="none"/>
                <w:u w:val="none"/>
                <w:lang w:val="en-US" w:eastAsia="zh-CN"/>
              </w:rPr>
            </w:pPr>
            <w:r>
              <w:rPr>
                <w:rFonts w:hint="eastAsia" w:ascii="宋体" w:hAnsi="宋体" w:eastAsia="宋体" w:cs="宋体"/>
                <w:i w:val="0"/>
                <w:iCs w:val="0"/>
                <w:color w:val="auto"/>
                <w:kern w:val="0"/>
                <w:sz w:val="24"/>
                <w:szCs w:val="24"/>
                <w:highlight w:val="none"/>
                <w:u w:val="none"/>
                <w:lang w:val="en-US" w:eastAsia="zh-CN"/>
              </w:rPr>
              <w:t>工业</w:t>
            </w:r>
          </w:p>
        </w:tc>
      </w:tr>
      <w:tr w14:paraId="718949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6FCE4">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2</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08AF2">
            <w:pPr>
              <w:keepNext w:val="0"/>
              <w:keepLines w:val="0"/>
              <w:widowControl/>
              <w:suppressLineNumbers w:val="0"/>
              <w:spacing w:line="360" w:lineRule="auto"/>
              <w:jc w:val="both"/>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全景摄像机</w:t>
            </w:r>
          </w:p>
        </w:tc>
        <w:tc>
          <w:tcPr>
            <w:tcW w:w="3239" w:type="pct"/>
            <w:tcBorders>
              <w:top w:val="single" w:color="000000" w:sz="4" w:space="0"/>
              <w:left w:val="single" w:color="000000" w:sz="4" w:space="0"/>
              <w:bottom w:val="single" w:color="000000" w:sz="4" w:space="0"/>
              <w:right w:val="single" w:color="000000" w:sz="4" w:space="0"/>
            </w:tcBorders>
            <w:shd w:val="clear" w:color="auto" w:fill="auto"/>
          </w:tcPr>
          <w:p w14:paraId="3ECE825D">
            <w:pPr>
              <w:bidi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主机采用嵌入式设计，高度集成化包括独立完成视频采集、音频采集、音频编码、视频编码、音频处理、视频处理、直播、录制、互动等参数设置功能。</w:t>
            </w:r>
          </w:p>
          <w:p w14:paraId="7238DD79">
            <w:pPr>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主机须</w:t>
            </w:r>
            <w:r>
              <w:rPr>
                <w:rFonts w:hint="eastAsia" w:ascii="宋体" w:hAnsi="宋体" w:eastAsia="宋体" w:cs="宋体"/>
                <w:color w:val="auto"/>
                <w:sz w:val="24"/>
                <w:szCs w:val="24"/>
                <w:highlight w:val="none"/>
                <w:lang w:val="en-US" w:eastAsia="zh-CN"/>
              </w:rPr>
              <w:t>具备</w:t>
            </w:r>
            <w:r>
              <w:rPr>
                <w:rFonts w:hint="eastAsia" w:ascii="宋体" w:hAnsi="宋体" w:eastAsia="宋体" w:cs="宋体"/>
                <w:color w:val="auto"/>
                <w:sz w:val="24"/>
                <w:szCs w:val="24"/>
                <w:highlight w:val="none"/>
              </w:rPr>
              <w:t>摄录一体化要求内置摄像头采用1/2.5英寸CMOS传感器，有效像素要求超过1000万。</w:t>
            </w:r>
            <w:r>
              <w:rPr>
                <w:rFonts w:hint="eastAsia" w:ascii="宋体" w:hAnsi="宋体" w:eastAsia="宋体" w:cs="宋体"/>
                <w:color w:val="auto"/>
                <w:sz w:val="24"/>
                <w:szCs w:val="24"/>
                <w:highlight w:val="none"/>
                <w:lang w:val="en-US" w:eastAsia="zh-CN"/>
              </w:rPr>
              <w:t>视场角：最大水平视场角 84.7°，最大垂直视场角 53.4°；降噪:2D/3D 降噪；白平衡/聚焦调节：支持白平衡、聚焦参数调节</w:t>
            </w:r>
            <w:r>
              <w:rPr>
                <w:rFonts w:hint="eastAsia" w:ascii="宋体" w:hAnsi="宋体" w:eastAsia="宋体" w:cs="宋体"/>
                <w:b/>
                <w:bCs/>
                <w:color w:val="auto"/>
                <w:sz w:val="24"/>
                <w:szCs w:val="24"/>
                <w:highlight w:val="none"/>
                <w:lang w:eastAsia="zh-CN"/>
              </w:rPr>
              <w:t>（投标文件中需提供第三方有权检测机构出具的检测报告扫描件）</w:t>
            </w:r>
          </w:p>
          <w:p w14:paraId="3594364B">
            <w:pPr>
              <w:bidi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要求设备</w:t>
            </w:r>
            <w:r>
              <w:rPr>
                <w:rFonts w:hint="eastAsia" w:ascii="宋体" w:hAnsi="宋体" w:eastAsia="宋体" w:cs="宋体"/>
                <w:color w:val="auto"/>
                <w:sz w:val="24"/>
                <w:szCs w:val="24"/>
                <w:highlight w:val="none"/>
                <w:lang w:val="en-US" w:eastAsia="zh-CN"/>
              </w:rPr>
              <w:t>具备</w:t>
            </w:r>
            <w:r>
              <w:rPr>
                <w:rFonts w:hint="eastAsia" w:ascii="宋体" w:hAnsi="宋体" w:eastAsia="宋体" w:cs="宋体"/>
                <w:color w:val="auto"/>
                <w:sz w:val="24"/>
                <w:szCs w:val="24"/>
                <w:highlight w:val="none"/>
              </w:rPr>
              <w:t>≥1路高清视频输入HDMI in，≥1路数字视频输入D-Video in，≥1路高清视频输出HDMI out，≥1路线性音频输入Line in，≥1路线性音频输出Line out，≥2路数字音频D-MIC。</w:t>
            </w:r>
          </w:p>
          <w:p w14:paraId="78696A99">
            <w:pPr>
              <w:bidi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要求设备</w:t>
            </w:r>
            <w:r>
              <w:rPr>
                <w:rFonts w:hint="eastAsia" w:ascii="宋体" w:hAnsi="宋体" w:eastAsia="宋体" w:cs="宋体"/>
                <w:color w:val="auto"/>
                <w:sz w:val="24"/>
                <w:szCs w:val="24"/>
                <w:highlight w:val="none"/>
                <w:lang w:val="en-US" w:eastAsia="zh-CN"/>
              </w:rPr>
              <w:t>具备</w:t>
            </w:r>
            <w:r>
              <w:rPr>
                <w:rFonts w:hint="eastAsia" w:ascii="宋体" w:hAnsi="宋体" w:eastAsia="宋体" w:cs="宋体"/>
                <w:color w:val="auto"/>
                <w:sz w:val="24"/>
                <w:szCs w:val="24"/>
                <w:highlight w:val="none"/>
              </w:rPr>
              <w:t>≥1路USB，≥1路以太网口，网口</w:t>
            </w:r>
            <w:r>
              <w:rPr>
                <w:rFonts w:hint="eastAsia" w:ascii="宋体" w:hAnsi="宋体" w:eastAsia="宋体" w:cs="宋体"/>
                <w:color w:val="auto"/>
                <w:sz w:val="24"/>
                <w:szCs w:val="24"/>
                <w:highlight w:val="none"/>
                <w:lang w:eastAsia="zh-CN"/>
              </w:rPr>
              <w:t>具备</w:t>
            </w:r>
            <w:r>
              <w:rPr>
                <w:rFonts w:hint="eastAsia" w:ascii="宋体" w:hAnsi="宋体" w:eastAsia="宋体" w:cs="宋体"/>
                <w:color w:val="auto"/>
                <w:sz w:val="24"/>
                <w:szCs w:val="24"/>
                <w:highlight w:val="none"/>
              </w:rPr>
              <w:t>100/1000Mbps自适应，并</w:t>
            </w:r>
            <w:r>
              <w:rPr>
                <w:rFonts w:hint="eastAsia" w:ascii="宋体" w:hAnsi="宋体" w:eastAsia="宋体" w:cs="宋体"/>
                <w:color w:val="auto"/>
                <w:sz w:val="24"/>
                <w:szCs w:val="24"/>
                <w:highlight w:val="none"/>
                <w:lang w:eastAsia="zh-CN"/>
              </w:rPr>
              <w:t>具备</w:t>
            </w:r>
            <w:r>
              <w:rPr>
                <w:rFonts w:hint="eastAsia" w:ascii="宋体" w:hAnsi="宋体" w:eastAsia="宋体" w:cs="宋体"/>
                <w:color w:val="auto"/>
                <w:sz w:val="24"/>
                <w:szCs w:val="24"/>
                <w:highlight w:val="none"/>
              </w:rPr>
              <w:t>IPv4、IPv6双协议栈。</w:t>
            </w:r>
          </w:p>
          <w:p w14:paraId="4AA18E5D">
            <w:pPr>
              <w:bidi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数字视频接口</w:t>
            </w:r>
            <w:r>
              <w:rPr>
                <w:rFonts w:hint="eastAsia" w:ascii="宋体" w:hAnsi="宋体" w:eastAsia="宋体" w:cs="宋体"/>
                <w:color w:val="auto"/>
                <w:sz w:val="24"/>
                <w:szCs w:val="24"/>
                <w:highlight w:val="none"/>
                <w:lang w:val="en-US" w:eastAsia="zh-CN"/>
              </w:rPr>
              <w:t>具备</w:t>
            </w:r>
            <w:r>
              <w:rPr>
                <w:rFonts w:hint="eastAsia" w:ascii="宋体" w:hAnsi="宋体" w:eastAsia="宋体" w:cs="宋体"/>
                <w:color w:val="auto"/>
                <w:sz w:val="24"/>
                <w:szCs w:val="24"/>
                <w:highlight w:val="none"/>
              </w:rPr>
              <w:t>连接一路高清摄像机，可直接传输高清视频数据，有效避免网络摄像机编码传输的延迟和损耗，实现无延迟、低损耗的高清视频信号采集。</w:t>
            </w:r>
          </w:p>
          <w:p w14:paraId="5A967D1E">
            <w:pPr>
              <w:bidi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要求视频采集</w:t>
            </w:r>
            <w:r>
              <w:rPr>
                <w:rFonts w:hint="eastAsia" w:ascii="宋体" w:hAnsi="宋体" w:eastAsia="宋体" w:cs="宋体"/>
                <w:color w:val="auto"/>
                <w:sz w:val="24"/>
                <w:szCs w:val="24"/>
                <w:highlight w:val="none"/>
                <w:lang w:val="en-US" w:eastAsia="zh-CN"/>
              </w:rPr>
              <w:t>具备</w:t>
            </w:r>
            <w:r>
              <w:rPr>
                <w:rFonts w:hint="eastAsia" w:ascii="宋体" w:hAnsi="宋体" w:eastAsia="宋体" w:cs="宋体"/>
                <w:color w:val="auto"/>
                <w:sz w:val="24"/>
                <w:szCs w:val="24"/>
                <w:highlight w:val="none"/>
              </w:rPr>
              <w:t>网线“一线通”技术，摄像机的供电、控制、视频传输均可通过一根双绞线完成。</w:t>
            </w:r>
          </w:p>
          <w:p w14:paraId="0370A993">
            <w:pPr>
              <w:widowControl w:val="0"/>
              <w:bidi w:val="0"/>
              <w:spacing w:line="360" w:lineRule="auto"/>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●7、要求音频采集具备网线“一线通”技术，麦克风的供电、控制、视频传输均可通过一根双绞线完成，确保音频信号的优质、抗干扰稳定传输。</w:t>
            </w:r>
            <w:r>
              <w:rPr>
                <w:rFonts w:hint="eastAsia" w:ascii="宋体" w:hAnsi="宋体" w:eastAsia="宋体" w:cs="宋体"/>
                <w:b/>
                <w:bCs/>
                <w:color w:val="auto"/>
                <w:kern w:val="2"/>
                <w:sz w:val="24"/>
                <w:szCs w:val="24"/>
                <w:highlight w:val="none"/>
                <w:lang w:val="en-US" w:eastAsia="zh-CN" w:bidi="ar-SA"/>
              </w:rPr>
              <w:t>（投标文件中需提供第三方有权检测机构出具的检测报告扫描件）</w:t>
            </w:r>
          </w:p>
          <w:p w14:paraId="3A4383A5">
            <w:pPr>
              <w:bidi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要求</w:t>
            </w:r>
            <w:r>
              <w:rPr>
                <w:rFonts w:hint="eastAsia" w:ascii="宋体" w:hAnsi="宋体" w:eastAsia="宋体" w:cs="宋体"/>
                <w:color w:val="auto"/>
                <w:sz w:val="24"/>
                <w:szCs w:val="24"/>
                <w:highlight w:val="none"/>
                <w:lang w:val="en-US" w:eastAsia="zh-CN"/>
              </w:rPr>
              <w:t>具备</w:t>
            </w:r>
            <w:r>
              <w:rPr>
                <w:rFonts w:hint="eastAsia" w:ascii="宋体" w:hAnsi="宋体" w:eastAsia="宋体" w:cs="宋体"/>
                <w:color w:val="auto"/>
                <w:sz w:val="24"/>
                <w:szCs w:val="24"/>
                <w:highlight w:val="none"/>
              </w:rPr>
              <w:t>H.264编码协议，AAC音频编码协议，RTMP、RTSP视频传输协议，H.323、SIP、BFCP、WebRTC视频通信协议，视频封装格式MP4、TS。</w:t>
            </w:r>
          </w:p>
          <w:p w14:paraId="072F5BFF">
            <w:pPr>
              <w:bidi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主机采用不高于DC 24V的安全电压供电，节能环保，满负荷功耗不高于24W。</w:t>
            </w:r>
          </w:p>
          <w:p w14:paraId="44A2FA16">
            <w:pPr>
              <w:bidi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要求主机</w:t>
            </w:r>
            <w:r>
              <w:rPr>
                <w:rFonts w:hint="eastAsia" w:ascii="宋体" w:hAnsi="宋体" w:eastAsia="宋体" w:cs="宋体"/>
                <w:color w:val="auto"/>
                <w:sz w:val="24"/>
                <w:szCs w:val="24"/>
                <w:highlight w:val="none"/>
                <w:lang w:val="en-US" w:eastAsia="zh-CN"/>
              </w:rPr>
              <w:t>具备</w:t>
            </w:r>
            <w:r>
              <w:rPr>
                <w:rFonts w:hint="eastAsia" w:ascii="宋体" w:hAnsi="宋体" w:eastAsia="宋体" w:cs="宋体"/>
                <w:color w:val="auto"/>
                <w:sz w:val="24"/>
                <w:szCs w:val="24"/>
                <w:highlight w:val="none"/>
              </w:rPr>
              <w:t>壁挂式安装便于视频采集与处理。</w:t>
            </w:r>
          </w:p>
          <w:p w14:paraId="63ABFEE6">
            <w:pPr>
              <w:bidi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要求主机</w:t>
            </w:r>
            <w:r>
              <w:rPr>
                <w:rFonts w:hint="eastAsia" w:ascii="宋体" w:hAnsi="宋体" w:eastAsia="宋体" w:cs="宋体"/>
                <w:color w:val="auto"/>
                <w:sz w:val="24"/>
                <w:szCs w:val="24"/>
                <w:highlight w:val="none"/>
                <w:lang w:val="en-US" w:eastAsia="zh-CN"/>
              </w:rPr>
              <w:t>具备</w:t>
            </w:r>
            <w:r>
              <w:rPr>
                <w:rFonts w:hint="eastAsia" w:ascii="宋体" w:hAnsi="宋体" w:eastAsia="宋体" w:cs="宋体"/>
                <w:color w:val="auto"/>
                <w:sz w:val="24"/>
                <w:szCs w:val="24"/>
                <w:highlight w:val="none"/>
              </w:rPr>
              <w:t>数字视频传输技术，摄像机的视频采集和传输到主机无需编解码处理，保证声画同步与录制视频质量。</w:t>
            </w:r>
          </w:p>
          <w:p w14:paraId="167BDA59">
            <w:pPr>
              <w:bidi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要求设备工作时间产生噪声最大值≤17dB(A）。</w:t>
            </w:r>
          </w:p>
          <w:p w14:paraId="3484B886">
            <w:pPr>
              <w:bidi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要求设备</w:t>
            </w:r>
            <w:r>
              <w:rPr>
                <w:rFonts w:hint="eastAsia" w:ascii="宋体" w:hAnsi="宋体" w:eastAsia="宋体" w:cs="宋体"/>
                <w:color w:val="auto"/>
                <w:sz w:val="24"/>
                <w:szCs w:val="24"/>
                <w:highlight w:val="none"/>
                <w:lang w:val="en-US" w:eastAsia="zh-CN"/>
              </w:rPr>
              <w:t>具备</w:t>
            </w:r>
            <w:r>
              <w:rPr>
                <w:rFonts w:hint="eastAsia" w:ascii="宋体" w:hAnsi="宋体" w:eastAsia="宋体" w:cs="宋体"/>
                <w:color w:val="auto"/>
                <w:sz w:val="24"/>
                <w:szCs w:val="24"/>
                <w:highlight w:val="none"/>
              </w:rPr>
              <w:t>自定义工作模式，实现通电后的自动开机工作或待机休眠等状态。</w:t>
            </w:r>
          </w:p>
          <w:p w14:paraId="2C81721B">
            <w:pPr>
              <w:bidi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具备</w:t>
            </w:r>
            <w:r>
              <w:rPr>
                <w:rFonts w:hint="eastAsia" w:ascii="宋体" w:hAnsi="宋体" w:eastAsia="宋体" w:cs="宋体"/>
                <w:color w:val="auto"/>
                <w:sz w:val="24"/>
                <w:szCs w:val="24"/>
                <w:highlight w:val="none"/>
              </w:rPr>
              <w:t>不同语言的系统版本，</w:t>
            </w:r>
            <w:r>
              <w:rPr>
                <w:rFonts w:hint="eastAsia" w:ascii="宋体" w:hAnsi="宋体" w:eastAsia="宋体" w:cs="宋体"/>
                <w:color w:val="auto"/>
                <w:sz w:val="24"/>
                <w:szCs w:val="24"/>
                <w:highlight w:val="none"/>
                <w:lang w:val="en-US" w:eastAsia="zh-CN"/>
              </w:rPr>
              <w:t>具备</w:t>
            </w:r>
            <w:r>
              <w:rPr>
                <w:rFonts w:hint="eastAsia" w:ascii="宋体" w:hAnsi="宋体" w:eastAsia="宋体" w:cs="宋体"/>
                <w:color w:val="auto"/>
                <w:sz w:val="24"/>
                <w:szCs w:val="24"/>
                <w:highlight w:val="none"/>
              </w:rPr>
              <w:t>中英双语使用需要。</w:t>
            </w:r>
          </w:p>
          <w:p w14:paraId="571BAB40">
            <w:pPr>
              <w:bidi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要求系统</w:t>
            </w:r>
            <w:r>
              <w:rPr>
                <w:rFonts w:hint="eastAsia" w:ascii="宋体" w:hAnsi="宋体" w:eastAsia="宋体" w:cs="宋体"/>
                <w:color w:val="auto"/>
                <w:sz w:val="24"/>
                <w:szCs w:val="24"/>
                <w:highlight w:val="none"/>
                <w:lang w:val="en-US" w:eastAsia="zh-CN"/>
              </w:rPr>
              <w:t>具备</w:t>
            </w:r>
            <w:r>
              <w:rPr>
                <w:rFonts w:hint="eastAsia" w:ascii="宋体" w:hAnsi="宋体" w:eastAsia="宋体" w:cs="宋体"/>
                <w:color w:val="auto"/>
                <w:sz w:val="24"/>
                <w:szCs w:val="24"/>
                <w:highlight w:val="none"/>
              </w:rPr>
              <w:t>后台权限设置，</w:t>
            </w:r>
            <w:r>
              <w:rPr>
                <w:rFonts w:hint="eastAsia" w:ascii="宋体" w:hAnsi="宋体" w:eastAsia="宋体" w:cs="宋体"/>
                <w:color w:val="auto"/>
                <w:sz w:val="24"/>
                <w:szCs w:val="24"/>
                <w:highlight w:val="none"/>
                <w:lang w:val="en-US" w:eastAsia="zh-CN"/>
              </w:rPr>
              <w:t>具备</w:t>
            </w:r>
            <w:r>
              <w:rPr>
                <w:rFonts w:hint="eastAsia" w:ascii="宋体" w:hAnsi="宋体" w:eastAsia="宋体" w:cs="宋体"/>
                <w:color w:val="auto"/>
                <w:sz w:val="24"/>
                <w:szCs w:val="24"/>
                <w:highlight w:val="none"/>
              </w:rPr>
              <w:t>管理员用户和普通用户两种角色的使用需要，确保系统后台设置稳定可控。</w:t>
            </w:r>
          </w:p>
          <w:p w14:paraId="0805CE13">
            <w:pPr>
              <w:bidi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要求系统</w:t>
            </w:r>
            <w:r>
              <w:rPr>
                <w:rFonts w:hint="eastAsia" w:ascii="宋体" w:hAnsi="宋体" w:eastAsia="宋体" w:cs="宋体"/>
                <w:color w:val="auto"/>
                <w:sz w:val="24"/>
                <w:szCs w:val="24"/>
                <w:highlight w:val="none"/>
                <w:lang w:val="en-US" w:eastAsia="zh-CN"/>
              </w:rPr>
              <w:t>具备</w:t>
            </w:r>
            <w:r>
              <w:rPr>
                <w:rFonts w:hint="eastAsia" w:ascii="宋体" w:hAnsi="宋体" w:eastAsia="宋体" w:cs="宋体"/>
                <w:color w:val="auto"/>
                <w:sz w:val="24"/>
                <w:szCs w:val="24"/>
                <w:highlight w:val="none"/>
              </w:rPr>
              <w:t>工作时间自定义，可自主设置设备休眠与唤醒的时间，时间可精确到秒</w:t>
            </w:r>
          </w:p>
          <w:p w14:paraId="2CDC65E7">
            <w:pPr>
              <w:bidi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为保证视频拍摄质量，</w:t>
            </w:r>
            <w:r>
              <w:rPr>
                <w:rFonts w:hint="eastAsia" w:ascii="宋体" w:hAnsi="宋体" w:eastAsia="宋体" w:cs="宋体"/>
                <w:color w:val="auto"/>
                <w:sz w:val="24"/>
                <w:szCs w:val="24"/>
                <w:highlight w:val="none"/>
                <w:lang w:val="en-US" w:eastAsia="zh-CN"/>
              </w:rPr>
              <w:t>具备</w:t>
            </w:r>
            <w:r>
              <w:rPr>
                <w:rFonts w:hint="eastAsia" w:ascii="宋体" w:hAnsi="宋体" w:eastAsia="宋体" w:cs="宋体"/>
                <w:color w:val="auto"/>
                <w:sz w:val="24"/>
                <w:szCs w:val="24"/>
                <w:highlight w:val="none"/>
              </w:rPr>
              <w:t>内置智能音频处理算法包括AEC回声抑制、AGC自动增益、ANS噪声抑制、EQ智能均衡等。</w:t>
            </w:r>
          </w:p>
          <w:p w14:paraId="6D295FE0">
            <w:pPr>
              <w:bidi w:val="0"/>
              <w:spacing w:line="360" w:lineRule="auto"/>
              <w:jc w:val="left"/>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18</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要求系统</w:t>
            </w:r>
            <w:r>
              <w:rPr>
                <w:rFonts w:hint="eastAsia" w:ascii="宋体" w:hAnsi="宋体" w:eastAsia="宋体" w:cs="宋体"/>
                <w:color w:val="auto"/>
                <w:sz w:val="24"/>
                <w:szCs w:val="24"/>
                <w:highlight w:val="none"/>
                <w:lang w:val="en-US" w:eastAsia="zh-CN"/>
              </w:rPr>
              <w:t>具备</w:t>
            </w:r>
            <w:r>
              <w:rPr>
                <w:rFonts w:hint="eastAsia" w:ascii="宋体" w:hAnsi="宋体" w:eastAsia="宋体" w:cs="宋体"/>
                <w:color w:val="auto"/>
                <w:sz w:val="24"/>
                <w:szCs w:val="24"/>
                <w:highlight w:val="none"/>
              </w:rPr>
              <w:t>存储智能清理功能，系统在存储接近满载的情况时，将自动清理系统内录制日期最老的录像文件。</w:t>
            </w:r>
            <w:r>
              <w:rPr>
                <w:rFonts w:hint="eastAsia" w:ascii="宋体" w:hAnsi="宋体" w:eastAsia="宋体" w:cs="宋体"/>
                <w:color w:val="auto"/>
                <w:sz w:val="24"/>
                <w:szCs w:val="24"/>
                <w:highlight w:val="none"/>
                <w:lang w:val="en-US" w:eastAsia="zh-CN"/>
              </w:rPr>
              <w:t>设备具备不低于2TB存储空间。</w:t>
            </w:r>
          </w:p>
          <w:p w14:paraId="71D72F9E">
            <w:pPr>
              <w:bidi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要求系统</w:t>
            </w:r>
            <w:r>
              <w:rPr>
                <w:rFonts w:hint="eastAsia" w:ascii="宋体" w:hAnsi="宋体" w:eastAsia="宋体" w:cs="宋体"/>
                <w:color w:val="auto"/>
                <w:sz w:val="24"/>
                <w:szCs w:val="24"/>
                <w:highlight w:val="none"/>
                <w:lang w:val="en-US" w:eastAsia="zh-CN"/>
              </w:rPr>
              <w:t>具备</w:t>
            </w:r>
            <w:r>
              <w:rPr>
                <w:rFonts w:hint="eastAsia" w:ascii="宋体" w:hAnsi="宋体" w:eastAsia="宋体" w:cs="宋体"/>
                <w:color w:val="auto"/>
                <w:sz w:val="24"/>
                <w:szCs w:val="24"/>
                <w:highlight w:val="none"/>
              </w:rPr>
              <w:t>对外接的高清摄像机进行远程配置，统一维护和管理界面，快速调整拍摄画面质量。</w:t>
            </w:r>
          </w:p>
          <w:p w14:paraId="5A10A87C">
            <w:pPr>
              <w:bidi w:val="0"/>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●20</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要求系统在自定义布局、多信号录制直播的情况下所有信号画面保持同步无延迟的拍摄效果</w:t>
            </w:r>
            <w:r>
              <w:rPr>
                <w:rFonts w:hint="eastAsia" w:ascii="宋体" w:hAnsi="宋体" w:eastAsia="宋体" w:cs="宋体"/>
                <w:color w:val="auto"/>
                <w:sz w:val="24"/>
                <w:szCs w:val="24"/>
                <w:highlight w:val="none"/>
                <w:lang w:eastAsia="zh-CN"/>
              </w:rPr>
              <w:t>具备</w:t>
            </w:r>
            <w:r>
              <w:rPr>
                <w:rFonts w:hint="eastAsia" w:ascii="宋体" w:hAnsi="宋体" w:eastAsia="宋体" w:cs="宋体"/>
                <w:color w:val="auto"/>
                <w:sz w:val="24"/>
                <w:szCs w:val="24"/>
                <w:highlight w:val="none"/>
              </w:rPr>
              <w:t>最佳的使用体验。</w:t>
            </w:r>
            <w:r>
              <w:rPr>
                <w:rFonts w:hint="eastAsia" w:ascii="宋体" w:hAnsi="宋体" w:eastAsia="宋体" w:cs="宋体"/>
                <w:b/>
                <w:bCs/>
                <w:color w:val="auto"/>
                <w:sz w:val="24"/>
                <w:szCs w:val="24"/>
                <w:highlight w:val="none"/>
                <w:lang w:eastAsia="zh-CN"/>
              </w:rPr>
              <w:t>（投标文件中需提供第三方有权检测机构出具的检测报告扫描件）</w:t>
            </w:r>
          </w:p>
          <w:p w14:paraId="6288EEDF">
            <w:pPr>
              <w:bidi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要求系统在接入高清摄像机时可同时对两个摄像机画面以及HDMI信号进行多流同步录制与直播。</w:t>
            </w:r>
          </w:p>
          <w:p w14:paraId="0AED0F34">
            <w:pPr>
              <w:bidi w:val="0"/>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22、工作电压：DC 24V，产品无储备电池。</w:t>
            </w:r>
          </w:p>
          <w:p w14:paraId="06F849DF">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23、画面质量调节：支持内置摄像机的亮度、对比度、色度、饱和度调节。</w:t>
            </w:r>
          </w:p>
          <w:p w14:paraId="49CEAE95">
            <w:pPr>
              <w:bidi w:val="0"/>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24、曝光调节：支持自动模式或手动设置目标亮度、背光、抗频闪、增益等曝光调节。</w:t>
            </w:r>
          </w:p>
        </w:tc>
        <w:tc>
          <w:tcPr>
            <w:tcW w:w="5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72700">
            <w:pPr>
              <w:keepNext w:val="0"/>
              <w:keepLines w:val="0"/>
              <w:widowControl/>
              <w:suppressLineNumbers w:val="0"/>
              <w:spacing w:line="360" w:lineRule="auto"/>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19台</w:t>
            </w:r>
          </w:p>
        </w:tc>
        <w:tc>
          <w:tcPr>
            <w:tcW w:w="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751C0">
            <w:pPr>
              <w:keepNext w:val="0"/>
              <w:keepLines w:val="0"/>
              <w:widowControl/>
              <w:suppressLineNumbers w:val="0"/>
              <w:spacing w:line="360" w:lineRule="auto"/>
              <w:jc w:val="center"/>
              <w:textAlignment w:val="top"/>
              <w:rPr>
                <w:rFonts w:hint="eastAsia" w:ascii="宋体" w:hAnsi="宋体" w:eastAsia="宋体" w:cs="宋体"/>
                <w:i w:val="0"/>
                <w:iCs w:val="0"/>
                <w:color w:val="auto"/>
                <w:kern w:val="0"/>
                <w:sz w:val="24"/>
                <w:szCs w:val="24"/>
                <w:highlight w:val="none"/>
                <w:u w:val="none"/>
                <w:lang w:val="en-US" w:eastAsia="zh-CN"/>
              </w:rPr>
            </w:pPr>
            <w:r>
              <w:rPr>
                <w:rFonts w:hint="eastAsia" w:ascii="宋体" w:hAnsi="宋体" w:eastAsia="宋体" w:cs="宋体"/>
                <w:i w:val="0"/>
                <w:iCs w:val="0"/>
                <w:color w:val="auto"/>
                <w:kern w:val="0"/>
                <w:sz w:val="24"/>
                <w:szCs w:val="24"/>
                <w:highlight w:val="none"/>
                <w:u w:val="none"/>
                <w:lang w:val="en-US" w:eastAsia="zh-CN"/>
              </w:rPr>
              <w:t>工业</w:t>
            </w:r>
          </w:p>
        </w:tc>
      </w:tr>
      <w:tr w14:paraId="6833B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539F0">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3</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BA557">
            <w:pPr>
              <w:keepNext w:val="0"/>
              <w:keepLines w:val="0"/>
              <w:widowControl/>
              <w:suppressLineNumbers w:val="0"/>
              <w:spacing w:line="360" w:lineRule="auto"/>
              <w:jc w:val="both"/>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拾音器</w:t>
            </w:r>
          </w:p>
        </w:tc>
        <w:tc>
          <w:tcPr>
            <w:tcW w:w="3239" w:type="pct"/>
            <w:tcBorders>
              <w:top w:val="single" w:color="000000" w:sz="4" w:space="0"/>
              <w:left w:val="single" w:color="000000" w:sz="4" w:space="0"/>
              <w:bottom w:val="single" w:color="000000" w:sz="4" w:space="0"/>
              <w:right w:val="single" w:color="000000" w:sz="4" w:space="0"/>
            </w:tcBorders>
            <w:shd w:val="clear" w:color="auto" w:fill="auto"/>
          </w:tcPr>
          <w:p w14:paraId="6E27AAAF">
            <w:pPr>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1.指向性：超心型；</w:t>
            </w:r>
          </w:p>
          <w:p w14:paraId="7560356D">
            <w:pPr>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2.频率响应：40Hz—16kHz；</w:t>
            </w:r>
          </w:p>
          <w:p w14:paraId="5C86B234">
            <w:pPr>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3.灵敏度≥-7dB±1dB；</w:t>
            </w:r>
          </w:p>
          <w:p w14:paraId="5550CA1D">
            <w:pPr>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4.最大声压级≥100dB；</w:t>
            </w:r>
          </w:p>
          <w:p w14:paraId="0439D6B3">
            <w:pPr>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5.信噪比≥60dB；</w:t>
            </w:r>
          </w:p>
          <w:p w14:paraId="51161B8E">
            <w:pPr>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6.动态范围≥75dB；</w:t>
            </w:r>
          </w:p>
          <w:p w14:paraId="1BBABF3F">
            <w:pPr>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7.使用电源：POE供电。</w:t>
            </w:r>
          </w:p>
        </w:tc>
        <w:tc>
          <w:tcPr>
            <w:tcW w:w="5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233E6">
            <w:pPr>
              <w:keepNext w:val="0"/>
              <w:keepLines w:val="0"/>
              <w:widowControl/>
              <w:suppressLineNumbers w:val="0"/>
              <w:spacing w:line="360" w:lineRule="auto"/>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19个</w:t>
            </w:r>
          </w:p>
        </w:tc>
        <w:tc>
          <w:tcPr>
            <w:tcW w:w="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5CDA1">
            <w:pPr>
              <w:keepNext w:val="0"/>
              <w:keepLines w:val="0"/>
              <w:widowControl/>
              <w:suppressLineNumbers w:val="0"/>
              <w:spacing w:line="360" w:lineRule="auto"/>
              <w:jc w:val="center"/>
              <w:textAlignment w:val="top"/>
              <w:rPr>
                <w:rFonts w:hint="eastAsia" w:ascii="宋体" w:hAnsi="宋体" w:eastAsia="宋体" w:cs="宋体"/>
                <w:i w:val="0"/>
                <w:iCs w:val="0"/>
                <w:color w:val="auto"/>
                <w:kern w:val="0"/>
                <w:sz w:val="24"/>
                <w:szCs w:val="24"/>
                <w:highlight w:val="none"/>
                <w:u w:val="none"/>
                <w:lang w:val="en-US" w:eastAsia="zh-CN"/>
              </w:rPr>
            </w:pPr>
            <w:r>
              <w:rPr>
                <w:rFonts w:hint="eastAsia" w:ascii="宋体" w:hAnsi="宋体" w:eastAsia="宋体" w:cs="宋体"/>
                <w:i w:val="0"/>
                <w:iCs w:val="0"/>
                <w:color w:val="auto"/>
                <w:kern w:val="0"/>
                <w:sz w:val="24"/>
                <w:szCs w:val="24"/>
                <w:highlight w:val="none"/>
                <w:u w:val="none"/>
                <w:lang w:val="en-US" w:eastAsia="zh-CN"/>
              </w:rPr>
              <w:t>工业</w:t>
            </w:r>
          </w:p>
        </w:tc>
      </w:tr>
      <w:tr w14:paraId="5F6854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EB312">
            <w:pPr>
              <w:keepNext w:val="0"/>
              <w:keepLines w:val="0"/>
              <w:widowControl/>
              <w:suppressLineNumbers w:val="0"/>
              <w:spacing w:line="360" w:lineRule="auto"/>
              <w:jc w:val="center"/>
              <w:textAlignment w:val="center"/>
              <w:rPr>
                <w:rFonts w:hint="eastAsia" w:ascii="宋体" w:hAnsi="宋体" w:eastAsia="宋体" w:cs="宋体"/>
                <w:i w:val="0"/>
                <w:iCs w:val="0"/>
                <w:color w:val="auto"/>
                <w:kern w:val="0"/>
                <w:sz w:val="24"/>
                <w:szCs w:val="24"/>
                <w:highlight w:val="none"/>
                <w:u w:val="none"/>
                <w:lang w:val="en-US" w:eastAsia="zh-CN"/>
              </w:rPr>
            </w:pPr>
            <w:r>
              <w:rPr>
                <w:rFonts w:hint="eastAsia" w:ascii="宋体" w:hAnsi="宋体" w:eastAsia="宋体" w:cs="宋体"/>
                <w:i w:val="0"/>
                <w:iCs w:val="0"/>
                <w:color w:val="auto"/>
                <w:kern w:val="0"/>
                <w:sz w:val="24"/>
                <w:szCs w:val="24"/>
                <w:highlight w:val="none"/>
                <w:u w:val="none"/>
                <w:lang w:val="en-US" w:eastAsia="zh-CN"/>
              </w:rPr>
              <w:t>4</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E4B49">
            <w:pPr>
              <w:keepNext w:val="0"/>
              <w:keepLines w:val="0"/>
              <w:widowControl/>
              <w:suppressLineNumbers w:val="0"/>
              <w:spacing w:line="360" w:lineRule="auto"/>
              <w:jc w:val="both"/>
              <w:textAlignment w:val="top"/>
              <w:rPr>
                <w:rFonts w:hint="eastAsia" w:ascii="宋体" w:hAnsi="宋体" w:eastAsia="宋体" w:cs="宋体"/>
                <w:i w:val="0"/>
                <w:iCs w:val="0"/>
                <w:color w:val="auto"/>
                <w:kern w:val="0"/>
                <w:sz w:val="24"/>
                <w:szCs w:val="24"/>
                <w:highlight w:val="none"/>
                <w:u w:val="none"/>
                <w:lang w:val="en-US" w:eastAsia="zh-CN"/>
              </w:rPr>
            </w:pPr>
            <w:r>
              <w:rPr>
                <w:rFonts w:hint="eastAsia" w:ascii="宋体" w:hAnsi="宋体" w:eastAsia="宋体" w:cs="宋体"/>
                <w:i w:val="0"/>
                <w:iCs w:val="0"/>
                <w:color w:val="auto"/>
                <w:kern w:val="0"/>
                <w:sz w:val="24"/>
                <w:szCs w:val="24"/>
                <w:highlight w:val="none"/>
                <w:u w:val="none"/>
                <w:lang w:val="en-US" w:eastAsia="zh-CN"/>
              </w:rPr>
              <w:t>触控面板</w:t>
            </w:r>
          </w:p>
        </w:tc>
        <w:tc>
          <w:tcPr>
            <w:tcW w:w="3239" w:type="pct"/>
            <w:tcBorders>
              <w:top w:val="single" w:color="000000" w:sz="4" w:space="0"/>
              <w:left w:val="single" w:color="000000" w:sz="4" w:space="0"/>
              <w:bottom w:val="single" w:color="000000" w:sz="4" w:space="0"/>
              <w:right w:val="single" w:color="000000" w:sz="4" w:space="0"/>
            </w:tcBorders>
            <w:shd w:val="clear" w:color="auto" w:fill="auto"/>
          </w:tcPr>
          <w:p w14:paraId="5C5DFC72">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1、具备壁挂式或桌面式安装；</w:t>
            </w:r>
          </w:p>
          <w:p w14:paraId="73BFD365">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2、具备≥10英寸高清显示屏幕；</w:t>
            </w:r>
          </w:p>
          <w:p w14:paraId="274D7AD8">
            <w:pPr>
              <w:bidi w:val="0"/>
              <w:spacing w:line="360" w:lineRule="auto"/>
              <w:rPr>
                <w:rFonts w:hint="eastAsia" w:ascii="宋体" w:hAnsi="宋体" w:eastAsia="宋体" w:cs="宋体"/>
                <w:b/>
                <w:bCs/>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●3、控制功能：具备对课堂录播巡课终端的开关机、休眠、录制、远程互动、资源管理等功能；</w:t>
            </w:r>
            <w:r>
              <w:rPr>
                <w:rFonts w:hint="eastAsia" w:ascii="宋体" w:hAnsi="宋体" w:eastAsia="宋体" w:cs="宋体"/>
                <w:b/>
                <w:bCs/>
                <w:color w:val="auto"/>
                <w:sz w:val="24"/>
                <w:szCs w:val="24"/>
                <w:highlight w:val="none"/>
                <w:lang w:eastAsia="zh-CN"/>
              </w:rPr>
              <w:t>（投标文件中需提供第三方有权检测机构出具的检测报告扫描件</w:t>
            </w:r>
            <w:r>
              <w:rPr>
                <w:rFonts w:hint="eastAsia" w:ascii="宋体" w:hAnsi="宋体" w:eastAsia="宋体" w:cs="宋体"/>
                <w:b/>
                <w:bCs/>
                <w:color w:val="auto"/>
                <w:sz w:val="24"/>
                <w:szCs w:val="24"/>
                <w:highlight w:val="none"/>
                <w:lang w:val="en-US" w:eastAsia="zh-CN"/>
              </w:rPr>
              <w:t>或功能截图）</w:t>
            </w:r>
          </w:p>
          <w:p w14:paraId="189FBF34">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4、具备通过触控面板实时预览录制信号画面，进行导播操作；</w:t>
            </w:r>
          </w:p>
          <w:p w14:paraId="60CD5896">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5、具备快速拨号呼叫功能，输入用户短号实现快速呼叫，具备实时预览互动画面，并对直播互动进行控制；</w:t>
            </w:r>
          </w:p>
          <w:p w14:paraId="73567197">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6、具备录像资源管理，通过直观呈现当前录播主机的录像资源信息，并具备选择相关的录课资源进行回放；</w:t>
            </w:r>
          </w:p>
          <w:p w14:paraId="467371F9">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7、具备录制资源下载操作，将文件下载至U盘进行移动共享。</w:t>
            </w:r>
          </w:p>
        </w:tc>
        <w:tc>
          <w:tcPr>
            <w:tcW w:w="5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7B3C8">
            <w:pPr>
              <w:keepNext w:val="0"/>
              <w:keepLines w:val="0"/>
              <w:widowControl/>
              <w:suppressLineNumbers w:val="0"/>
              <w:spacing w:line="360" w:lineRule="auto"/>
              <w:jc w:val="center"/>
              <w:textAlignment w:val="top"/>
              <w:rPr>
                <w:rFonts w:hint="eastAsia" w:ascii="宋体" w:hAnsi="宋体" w:eastAsia="宋体" w:cs="宋体"/>
                <w:i w:val="0"/>
                <w:iCs w:val="0"/>
                <w:color w:val="auto"/>
                <w:kern w:val="0"/>
                <w:sz w:val="24"/>
                <w:szCs w:val="24"/>
                <w:highlight w:val="none"/>
                <w:u w:val="none"/>
                <w:lang w:val="en-US" w:eastAsia="zh-CN"/>
              </w:rPr>
            </w:pPr>
            <w:r>
              <w:rPr>
                <w:rFonts w:hint="eastAsia" w:ascii="宋体" w:hAnsi="宋体" w:eastAsia="宋体" w:cs="宋体"/>
                <w:i w:val="0"/>
                <w:iCs w:val="0"/>
                <w:color w:val="auto"/>
                <w:kern w:val="0"/>
                <w:sz w:val="24"/>
                <w:szCs w:val="24"/>
                <w:highlight w:val="none"/>
                <w:u w:val="none"/>
                <w:lang w:val="en-US" w:eastAsia="zh-CN"/>
              </w:rPr>
              <w:t>19个</w:t>
            </w:r>
          </w:p>
        </w:tc>
        <w:tc>
          <w:tcPr>
            <w:tcW w:w="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1069C">
            <w:pPr>
              <w:keepNext w:val="0"/>
              <w:keepLines w:val="0"/>
              <w:widowControl/>
              <w:suppressLineNumbers w:val="0"/>
              <w:spacing w:line="360" w:lineRule="auto"/>
              <w:jc w:val="center"/>
              <w:textAlignment w:val="top"/>
              <w:rPr>
                <w:rFonts w:hint="eastAsia" w:ascii="宋体" w:hAnsi="宋体" w:eastAsia="宋体" w:cs="宋体"/>
                <w:i w:val="0"/>
                <w:iCs w:val="0"/>
                <w:color w:val="auto"/>
                <w:kern w:val="0"/>
                <w:sz w:val="24"/>
                <w:szCs w:val="24"/>
                <w:highlight w:val="none"/>
                <w:u w:val="none"/>
                <w:lang w:val="en-US" w:eastAsia="zh-CN"/>
              </w:rPr>
            </w:pPr>
            <w:r>
              <w:rPr>
                <w:rFonts w:hint="eastAsia" w:ascii="宋体" w:hAnsi="宋体" w:eastAsia="宋体" w:cs="宋体"/>
                <w:i w:val="0"/>
                <w:iCs w:val="0"/>
                <w:color w:val="auto"/>
                <w:kern w:val="0"/>
                <w:sz w:val="24"/>
                <w:szCs w:val="24"/>
                <w:highlight w:val="none"/>
                <w:u w:val="none"/>
                <w:lang w:val="en-US" w:eastAsia="zh-CN"/>
              </w:rPr>
              <w:t>工业</w:t>
            </w:r>
          </w:p>
        </w:tc>
      </w:tr>
      <w:tr w14:paraId="15195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E340E">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5</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46E13">
            <w:pPr>
              <w:keepNext w:val="0"/>
              <w:keepLines w:val="0"/>
              <w:widowControl/>
              <w:suppressLineNumbers w:val="0"/>
              <w:spacing w:line="360" w:lineRule="auto"/>
              <w:jc w:val="both"/>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应用存储一体机</w:t>
            </w:r>
          </w:p>
        </w:tc>
        <w:tc>
          <w:tcPr>
            <w:tcW w:w="3239" w:type="pct"/>
            <w:tcBorders>
              <w:top w:val="single" w:color="000000" w:sz="4" w:space="0"/>
              <w:left w:val="single" w:color="000000" w:sz="4" w:space="0"/>
              <w:bottom w:val="single" w:color="000000" w:sz="4" w:space="0"/>
              <w:right w:val="single" w:color="000000" w:sz="4" w:space="0"/>
            </w:tcBorders>
            <w:shd w:val="clear" w:color="auto" w:fill="auto"/>
          </w:tcPr>
          <w:p w14:paraId="6F43436A">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1、设备高度：</w:t>
            </w:r>
            <w:r>
              <w:rPr>
                <w:rFonts w:hint="eastAsia" w:ascii="宋体" w:hAnsi="宋体" w:eastAsia="宋体" w:cs="宋体"/>
                <w:color w:val="auto"/>
                <w:sz w:val="24"/>
                <w:szCs w:val="24"/>
                <w:highlight w:val="none"/>
                <w:lang w:val="en-US" w:eastAsia="zh-CN"/>
              </w:rPr>
              <w:t>不低于</w:t>
            </w:r>
            <w:r>
              <w:rPr>
                <w:rFonts w:hint="eastAsia" w:ascii="宋体" w:hAnsi="宋体" w:eastAsia="宋体" w:cs="宋体"/>
                <w:color w:val="auto"/>
                <w:sz w:val="24"/>
                <w:szCs w:val="24"/>
                <w:highlight w:val="none"/>
              </w:rPr>
              <w:t>1U</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CPU不低于六核心，主频不低于1.8Ghz。</w:t>
            </w:r>
          </w:p>
          <w:p w14:paraId="7B2F6B94">
            <w:pPr>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2、硬件架构：主机出厂内置视频资源管理平台，无需进行复杂的系统环境、软件安装操作。</w:t>
            </w:r>
          </w:p>
          <w:p w14:paraId="409499E1">
            <w:pPr>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3、系统具备开放性的操作系统</w:t>
            </w:r>
          </w:p>
          <w:p w14:paraId="68BDCA94">
            <w:pPr>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4、数据库具备主流的数据库软件</w:t>
            </w:r>
          </w:p>
          <w:p w14:paraId="262AF1D4">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5、存储容量：</w:t>
            </w:r>
            <w:r>
              <w:rPr>
                <w:rFonts w:hint="eastAsia" w:ascii="宋体" w:hAnsi="宋体" w:eastAsia="宋体" w:cs="宋体"/>
                <w:color w:val="auto"/>
                <w:sz w:val="24"/>
                <w:szCs w:val="24"/>
                <w:highlight w:val="none"/>
                <w:lang w:val="en-US" w:eastAsia="zh-CN"/>
              </w:rPr>
              <w:t>不低于</w:t>
            </w:r>
            <w:r>
              <w:rPr>
                <w:rFonts w:hint="eastAsia" w:ascii="宋体" w:hAnsi="宋体" w:eastAsia="宋体" w:cs="宋体"/>
                <w:color w:val="auto"/>
                <w:sz w:val="24"/>
                <w:szCs w:val="24"/>
                <w:highlight w:val="none"/>
              </w:rPr>
              <w:t>16TB SATA</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具备15天24h监控内容录像存储</w:t>
            </w:r>
            <w:r>
              <w:rPr>
                <w:rFonts w:hint="eastAsia" w:ascii="宋体" w:hAnsi="宋体" w:eastAsia="宋体" w:cs="宋体"/>
                <w:color w:val="auto"/>
                <w:sz w:val="24"/>
                <w:szCs w:val="24"/>
                <w:highlight w:val="none"/>
                <w:lang w:eastAsia="zh-CN"/>
              </w:rPr>
              <w:t>）</w:t>
            </w:r>
          </w:p>
          <w:p w14:paraId="6769BDB1">
            <w:pPr>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6、网络连接：</w:t>
            </w:r>
            <w:r>
              <w:rPr>
                <w:rFonts w:hint="eastAsia" w:ascii="宋体" w:hAnsi="宋体" w:eastAsia="宋体" w:cs="宋体"/>
                <w:color w:val="auto"/>
                <w:sz w:val="24"/>
                <w:szCs w:val="24"/>
                <w:highlight w:val="none"/>
                <w:lang w:val="en-US" w:eastAsia="zh-CN"/>
              </w:rPr>
              <w:t>不低于1个</w:t>
            </w:r>
            <w:r>
              <w:rPr>
                <w:rFonts w:hint="eastAsia" w:ascii="宋体" w:hAnsi="宋体" w:eastAsia="宋体" w:cs="宋体"/>
                <w:color w:val="auto"/>
                <w:sz w:val="24"/>
                <w:szCs w:val="24"/>
                <w:highlight w:val="none"/>
              </w:rPr>
              <w:t>RJ45千兆网口</w:t>
            </w:r>
          </w:p>
          <w:p w14:paraId="355D9803">
            <w:pPr>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7、通讯接口：USB2.0≥2</w:t>
            </w:r>
          </w:p>
          <w:p w14:paraId="0BCFDB31">
            <w:pPr>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r>
              <w:rPr>
                <w:rFonts w:hint="eastAsia" w:ascii="宋体" w:hAnsi="宋体" w:eastAsia="宋体" w:cs="宋体"/>
                <w:color w:val="auto"/>
                <w:sz w:val="24"/>
                <w:szCs w:val="24"/>
                <w:highlight w:val="none"/>
                <w:lang w:eastAsia="zh-CN"/>
              </w:rPr>
              <w:t>具备</w:t>
            </w:r>
            <w:r>
              <w:rPr>
                <w:rFonts w:hint="eastAsia" w:ascii="宋体" w:hAnsi="宋体" w:eastAsia="宋体" w:cs="宋体"/>
                <w:color w:val="auto"/>
                <w:sz w:val="24"/>
                <w:szCs w:val="24"/>
                <w:highlight w:val="none"/>
              </w:rPr>
              <w:t>Rst设备一键复位功能</w:t>
            </w:r>
          </w:p>
          <w:p w14:paraId="35A3B8D8">
            <w:pPr>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9、采用安全电压供电，节能环保，采用无风扇设计，低噪音。</w:t>
            </w:r>
          </w:p>
          <w:p w14:paraId="4720A3AF">
            <w:pPr>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r>
              <w:rPr>
                <w:rFonts w:hint="eastAsia" w:ascii="宋体" w:hAnsi="宋体" w:eastAsia="宋体" w:cs="宋体"/>
                <w:color w:val="auto"/>
                <w:sz w:val="24"/>
                <w:szCs w:val="24"/>
                <w:highlight w:val="none"/>
                <w:lang w:eastAsia="zh-CN"/>
              </w:rPr>
              <w:t>具备</w:t>
            </w:r>
            <w:r>
              <w:rPr>
                <w:rFonts w:hint="eastAsia" w:ascii="宋体" w:hAnsi="宋体" w:eastAsia="宋体" w:cs="宋体"/>
                <w:color w:val="auto"/>
                <w:sz w:val="24"/>
                <w:szCs w:val="24"/>
                <w:highlight w:val="none"/>
              </w:rPr>
              <w:t>流媒体转发、直播、点播功能，单台主机</w:t>
            </w:r>
            <w:r>
              <w:rPr>
                <w:rFonts w:hint="eastAsia" w:ascii="宋体" w:hAnsi="宋体" w:eastAsia="宋体" w:cs="宋体"/>
                <w:color w:val="auto"/>
                <w:sz w:val="24"/>
                <w:szCs w:val="24"/>
                <w:highlight w:val="none"/>
                <w:lang w:eastAsia="zh-CN"/>
              </w:rPr>
              <w:t>具备</w:t>
            </w:r>
            <w:r>
              <w:rPr>
                <w:rFonts w:hint="eastAsia" w:ascii="宋体" w:hAnsi="宋体" w:eastAsia="宋体" w:cs="宋体"/>
                <w:color w:val="auto"/>
                <w:sz w:val="24"/>
                <w:szCs w:val="24"/>
                <w:highlight w:val="none"/>
              </w:rPr>
              <w:t>不少于200点转发直播、</w:t>
            </w:r>
            <w:r>
              <w:rPr>
                <w:rFonts w:hint="eastAsia" w:ascii="宋体" w:hAnsi="宋体" w:eastAsia="宋体" w:cs="宋体"/>
                <w:color w:val="auto"/>
                <w:sz w:val="24"/>
                <w:szCs w:val="24"/>
                <w:highlight w:val="none"/>
                <w:lang w:eastAsia="zh-CN"/>
              </w:rPr>
              <w:t>具备</w:t>
            </w:r>
            <w:r>
              <w:rPr>
                <w:rFonts w:hint="eastAsia" w:ascii="宋体" w:hAnsi="宋体" w:eastAsia="宋体" w:cs="宋体"/>
                <w:color w:val="auto"/>
                <w:sz w:val="24"/>
                <w:szCs w:val="24"/>
                <w:highlight w:val="none"/>
              </w:rPr>
              <w:t>大规模点播。</w:t>
            </w:r>
          </w:p>
          <w:p w14:paraId="08E29589">
            <w:pPr>
              <w:bidi w:val="0"/>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信息管理功能</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出厂自带软件应用平台，能够实现以下功能</w:t>
            </w:r>
            <w:r>
              <w:rPr>
                <w:rFonts w:hint="eastAsia" w:ascii="宋体" w:hAnsi="宋体" w:eastAsia="宋体" w:cs="宋体"/>
                <w:color w:val="auto"/>
                <w:sz w:val="24"/>
                <w:szCs w:val="24"/>
                <w:highlight w:val="none"/>
                <w:lang w:eastAsia="zh-CN"/>
              </w:rPr>
              <w:t>）</w:t>
            </w:r>
          </w:p>
          <w:p w14:paraId="3E480FEB">
            <w:pPr>
              <w:bidi w:val="0"/>
              <w:spacing w:line="360" w:lineRule="auto"/>
              <w:rPr>
                <w:rFonts w:hint="eastAsia" w:ascii="宋体" w:hAnsi="宋体" w:eastAsia="宋体" w:cs="宋体"/>
                <w:b/>
                <w:bCs/>
                <w:color w:val="auto"/>
                <w:sz w:val="24"/>
                <w:szCs w:val="24"/>
                <w:highlight w:val="none"/>
                <w:lang w:val="en-US"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录播管理：</w:t>
            </w:r>
            <w:r>
              <w:rPr>
                <w:rFonts w:hint="eastAsia" w:ascii="宋体" w:hAnsi="宋体" w:eastAsia="宋体" w:cs="宋体"/>
                <w:color w:val="auto"/>
                <w:sz w:val="24"/>
                <w:szCs w:val="24"/>
                <w:highlight w:val="none"/>
                <w:lang w:eastAsia="zh-CN"/>
              </w:rPr>
              <w:t>具备</w:t>
            </w:r>
            <w:r>
              <w:rPr>
                <w:rFonts w:hint="eastAsia" w:ascii="宋体" w:hAnsi="宋体" w:eastAsia="宋体" w:cs="宋体"/>
                <w:color w:val="auto"/>
                <w:sz w:val="24"/>
                <w:szCs w:val="24"/>
                <w:highlight w:val="none"/>
              </w:rPr>
              <w:t>把录播设备接入平台，实现自动转码、无缝直播点播，并具备直播和点播功能。</w:t>
            </w:r>
            <w:r>
              <w:rPr>
                <w:rFonts w:hint="eastAsia" w:ascii="宋体" w:hAnsi="宋体" w:eastAsia="宋体" w:cs="宋体"/>
                <w:color w:val="auto"/>
                <w:sz w:val="24"/>
                <w:szCs w:val="24"/>
                <w:highlight w:val="none"/>
                <w:lang w:eastAsia="zh-CN"/>
              </w:rPr>
              <w:t>具备</w:t>
            </w:r>
            <w:r>
              <w:rPr>
                <w:rFonts w:hint="eastAsia" w:ascii="宋体" w:hAnsi="宋体" w:eastAsia="宋体" w:cs="宋体"/>
                <w:color w:val="auto"/>
                <w:sz w:val="24"/>
                <w:szCs w:val="24"/>
                <w:highlight w:val="none"/>
              </w:rPr>
              <w:t>对录播进行远程关机、休眠唤醒、启动录制等操作。</w:t>
            </w:r>
            <w:r>
              <w:rPr>
                <w:rFonts w:hint="eastAsia" w:ascii="宋体" w:hAnsi="宋体" w:eastAsia="宋体" w:cs="宋体"/>
                <w:b/>
                <w:bCs/>
                <w:color w:val="auto"/>
                <w:sz w:val="24"/>
                <w:szCs w:val="24"/>
                <w:highlight w:val="none"/>
                <w:lang w:eastAsia="zh-CN"/>
              </w:rPr>
              <w:t>（投标文件中需提供</w:t>
            </w:r>
            <w:r>
              <w:rPr>
                <w:rFonts w:hint="eastAsia" w:ascii="宋体" w:hAnsi="宋体" w:eastAsia="宋体" w:cs="宋体"/>
                <w:b/>
                <w:bCs/>
                <w:color w:val="auto"/>
                <w:sz w:val="24"/>
                <w:szCs w:val="24"/>
                <w:highlight w:val="none"/>
                <w:lang w:val="en-US" w:eastAsia="zh-CN"/>
              </w:rPr>
              <w:t>功能界面截图</w:t>
            </w:r>
            <w:r>
              <w:rPr>
                <w:rFonts w:hint="eastAsia" w:ascii="宋体" w:hAnsi="宋体" w:eastAsia="宋体" w:cs="宋体"/>
                <w:b/>
                <w:bCs/>
                <w:color w:val="auto"/>
                <w:sz w:val="24"/>
                <w:szCs w:val="24"/>
                <w:highlight w:val="none"/>
                <w:lang w:eastAsia="zh-CN"/>
              </w:rPr>
              <w:t>）</w:t>
            </w:r>
          </w:p>
          <w:p w14:paraId="3D9003EC">
            <w:pPr>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（2）多级平台对接：</w:t>
            </w:r>
            <w:r>
              <w:rPr>
                <w:rFonts w:hint="eastAsia" w:ascii="宋体" w:hAnsi="宋体" w:eastAsia="宋体" w:cs="宋体"/>
                <w:color w:val="auto"/>
                <w:sz w:val="24"/>
                <w:szCs w:val="24"/>
                <w:highlight w:val="none"/>
                <w:lang w:eastAsia="zh-CN"/>
              </w:rPr>
              <w:t>具备</w:t>
            </w:r>
            <w:r>
              <w:rPr>
                <w:rFonts w:hint="eastAsia" w:ascii="宋体" w:hAnsi="宋体" w:eastAsia="宋体" w:cs="宋体"/>
                <w:color w:val="auto"/>
                <w:sz w:val="24"/>
                <w:szCs w:val="24"/>
                <w:highlight w:val="none"/>
              </w:rPr>
              <w:t>校平台与上级区平台进行对接，校平台资源可像区平台提交数据资源。</w:t>
            </w:r>
          </w:p>
          <w:p w14:paraId="7ED6BC8D">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录制预约：平台</w:t>
            </w:r>
            <w:r>
              <w:rPr>
                <w:rFonts w:hint="eastAsia" w:ascii="宋体" w:hAnsi="宋体" w:eastAsia="宋体" w:cs="宋体"/>
                <w:color w:val="auto"/>
                <w:sz w:val="24"/>
                <w:szCs w:val="24"/>
                <w:highlight w:val="none"/>
                <w:lang w:eastAsia="zh-CN"/>
              </w:rPr>
              <w:t>具备</w:t>
            </w:r>
            <w:r>
              <w:rPr>
                <w:rFonts w:hint="eastAsia" w:ascii="宋体" w:hAnsi="宋体" w:eastAsia="宋体" w:cs="宋体"/>
                <w:color w:val="auto"/>
                <w:sz w:val="24"/>
                <w:szCs w:val="24"/>
                <w:highlight w:val="none"/>
              </w:rPr>
              <w:t>用户远程进行在线录课预约，可实现单个或批量预约；</w:t>
            </w:r>
            <w:r>
              <w:rPr>
                <w:rFonts w:hint="eastAsia" w:ascii="宋体" w:hAnsi="宋体" w:eastAsia="宋体" w:cs="宋体"/>
                <w:color w:val="auto"/>
                <w:sz w:val="24"/>
                <w:szCs w:val="24"/>
                <w:highlight w:val="none"/>
                <w:lang w:eastAsia="zh-CN"/>
              </w:rPr>
              <w:t>具备</w:t>
            </w:r>
            <w:r>
              <w:rPr>
                <w:rFonts w:hint="eastAsia" w:ascii="宋体" w:hAnsi="宋体" w:eastAsia="宋体" w:cs="宋体"/>
                <w:color w:val="auto"/>
                <w:sz w:val="24"/>
                <w:szCs w:val="24"/>
                <w:highlight w:val="none"/>
              </w:rPr>
              <w:t>预约信息的申请。</w:t>
            </w:r>
            <w:r>
              <w:rPr>
                <w:rFonts w:hint="eastAsia" w:ascii="宋体" w:hAnsi="宋体" w:eastAsia="宋体" w:cs="宋体"/>
                <w:color w:val="auto"/>
                <w:sz w:val="24"/>
                <w:szCs w:val="24"/>
                <w:highlight w:val="none"/>
                <w:lang w:eastAsia="zh-CN"/>
              </w:rPr>
              <w:t>具备</w:t>
            </w:r>
            <w:r>
              <w:rPr>
                <w:rFonts w:hint="eastAsia" w:ascii="宋体" w:hAnsi="宋体" w:eastAsia="宋体" w:cs="宋体"/>
                <w:color w:val="auto"/>
                <w:sz w:val="24"/>
                <w:szCs w:val="24"/>
                <w:highlight w:val="none"/>
              </w:rPr>
              <w:t>用户手机扫码预约录制，扫码后手机端填写录播预约信息即可快速完成预约，录制结束后也可扫码在平台回顾或下载已录制的视频。</w:t>
            </w:r>
            <w:r>
              <w:rPr>
                <w:rFonts w:hint="eastAsia" w:ascii="宋体" w:hAnsi="宋体" w:eastAsia="宋体" w:cs="宋体"/>
                <w:b/>
                <w:bCs/>
                <w:color w:val="auto"/>
                <w:sz w:val="24"/>
                <w:szCs w:val="24"/>
                <w:highlight w:val="none"/>
                <w:lang w:eastAsia="zh-CN"/>
              </w:rPr>
              <w:t>（投标文件中需提供</w:t>
            </w:r>
            <w:r>
              <w:rPr>
                <w:rFonts w:hint="eastAsia" w:ascii="宋体" w:hAnsi="宋体" w:eastAsia="宋体" w:cs="宋体"/>
                <w:b/>
                <w:bCs/>
                <w:color w:val="auto"/>
                <w:sz w:val="24"/>
                <w:szCs w:val="24"/>
                <w:highlight w:val="none"/>
                <w:lang w:val="en-US" w:eastAsia="zh-CN"/>
              </w:rPr>
              <w:t>功能界面截图</w:t>
            </w:r>
            <w:r>
              <w:rPr>
                <w:rFonts w:hint="eastAsia" w:ascii="宋体" w:hAnsi="宋体" w:eastAsia="宋体" w:cs="宋体"/>
                <w:b/>
                <w:bCs/>
                <w:color w:val="auto"/>
                <w:sz w:val="24"/>
                <w:szCs w:val="24"/>
                <w:highlight w:val="none"/>
                <w:lang w:eastAsia="zh-CN"/>
              </w:rPr>
              <w:t>）</w:t>
            </w:r>
          </w:p>
          <w:p w14:paraId="2D2E6266">
            <w:pPr>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（4）资源颗粒度管理：</w:t>
            </w:r>
            <w:r>
              <w:rPr>
                <w:rFonts w:hint="eastAsia" w:ascii="宋体" w:hAnsi="宋体" w:eastAsia="宋体" w:cs="宋体"/>
                <w:color w:val="auto"/>
                <w:sz w:val="24"/>
                <w:szCs w:val="24"/>
                <w:highlight w:val="none"/>
                <w:lang w:eastAsia="zh-CN"/>
              </w:rPr>
              <w:t>具备</w:t>
            </w:r>
            <w:r>
              <w:rPr>
                <w:rFonts w:hint="eastAsia" w:ascii="宋体" w:hAnsi="宋体" w:eastAsia="宋体" w:cs="宋体"/>
                <w:color w:val="auto"/>
                <w:sz w:val="24"/>
                <w:szCs w:val="24"/>
                <w:highlight w:val="none"/>
              </w:rPr>
              <w:t>视频资源多维度分类，如按年级、学科等分类管理，</w:t>
            </w:r>
            <w:r>
              <w:rPr>
                <w:rFonts w:hint="eastAsia" w:ascii="宋体" w:hAnsi="宋体" w:eastAsia="宋体" w:cs="宋体"/>
                <w:color w:val="auto"/>
                <w:sz w:val="24"/>
                <w:szCs w:val="24"/>
                <w:highlight w:val="none"/>
                <w:lang w:eastAsia="zh-CN"/>
              </w:rPr>
              <w:t>具备</w:t>
            </w:r>
            <w:r>
              <w:rPr>
                <w:rFonts w:hint="eastAsia" w:ascii="宋体" w:hAnsi="宋体" w:eastAsia="宋体" w:cs="宋体"/>
                <w:color w:val="auto"/>
                <w:sz w:val="24"/>
                <w:szCs w:val="24"/>
                <w:highlight w:val="none"/>
              </w:rPr>
              <w:t>用户自定义分类类型。并</w:t>
            </w:r>
            <w:r>
              <w:rPr>
                <w:rFonts w:hint="eastAsia" w:ascii="宋体" w:hAnsi="宋体" w:eastAsia="宋体" w:cs="宋体"/>
                <w:color w:val="auto"/>
                <w:sz w:val="24"/>
                <w:szCs w:val="24"/>
                <w:highlight w:val="none"/>
                <w:lang w:eastAsia="zh-CN"/>
              </w:rPr>
              <w:t>具备</w:t>
            </w:r>
            <w:r>
              <w:rPr>
                <w:rFonts w:hint="eastAsia" w:ascii="宋体" w:hAnsi="宋体" w:eastAsia="宋体" w:cs="宋体"/>
                <w:color w:val="auto"/>
                <w:sz w:val="24"/>
                <w:szCs w:val="24"/>
                <w:highlight w:val="none"/>
              </w:rPr>
              <w:t>根据发布时间、用户推荐度和点击热度的不同维度在平台呈现。</w:t>
            </w:r>
          </w:p>
          <w:p w14:paraId="5E6F69B9">
            <w:pPr>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（5）视频专辑：</w:t>
            </w:r>
            <w:r>
              <w:rPr>
                <w:rFonts w:hint="eastAsia" w:ascii="宋体" w:hAnsi="宋体" w:eastAsia="宋体" w:cs="宋体"/>
                <w:color w:val="auto"/>
                <w:sz w:val="24"/>
                <w:szCs w:val="24"/>
                <w:highlight w:val="none"/>
                <w:lang w:eastAsia="zh-CN"/>
              </w:rPr>
              <w:t>具备</w:t>
            </w:r>
            <w:r>
              <w:rPr>
                <w:rFonts w:hint="eastAsia" w:ascii="宋体" w:hAnsi="宋体" w:eastAsia="宋体" w:cs="宋体"/>
                <w:color w:val="auto"/>
                <w:sz w:val="24"/>
                <w:szCs w:val="24"/>
                <w:highlight w:val="none"/>
              </w:rPr>
              <w:t>用户可灵活创建各种视频专辑，并自定义专辑类型，可将一同类型的视频进行归类，便于视频的归整和便捷查询。</w:t>
            </w:r>
          </w:p>
          <w:p w14:paraId="21500242">
            <w:pPr>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（6）公告发布：平台首页提供公告模块，</w:t>
            </w:r>
            <w:r>
              <w:rPr>
                <w:rFonts w:hint="eastAsia" w:ascii="宋体" w:hAnsi="宋体" w:eastAsia="宋体" w:cs="宋体"/>
                <w:color w:val="auto"/>
                <w:sz w:val="24"/>
                <w:szCs w:val="24"/>
                <w:highlight w:val="none"/>
                <w:lang w:eastAsia="zh-CN"/>
              </w:rPr>
              <w:t>具备</w:t>
            </w:r>
            <w:r>
              <w:rPr>
                <w:rFonts w:hint="eastAsia" w:ascii="宋体" w:hAnsi="宋体" w:eastAsia="宋体" w:cs="宋体"/>
                <w:color w:val="auto"/>
                <w:sz w:val="24"/>
                <w:szCs w:val="24"/>
                <w:highlight w:val="none"/>
              </w:rPr>
              <w:t>通过平台发布校务公告、活动通知、时势新闻等多种类型公告。公告</w:t>
            </w:r>
            <w:r>
              <w:rPr>
                <w:rFonts w:hint="eastAsia" w:ascii="宋体" w:hAnsi="宋体" w:eastAsia="宋体" w:cs="宋体"/>
                <w:color w:val="auto"/>
                <w:sz w:val="24"/>
                <w:szCs w:val="24"/>
                <w:highlight w:val="none"/>
                <w:lang w:eastAsia="zh-CN"/>
              </w:rPr>
              <w:t>具备</w:t>
            </w:r>
            <w:r>
              <w:rPr>
                <w:rFonts w:hint="eastAsia" w:ascii="宋体" w:hAnsi="宋体" w:eastAsia="宋体" w:cs="宋体"/>
                <w:color w:val="auto"/>
                <w:sz w:val="24"/>
                <w:szCs w:val="24"/>
                <w:highlight w:val="none"/>
              </w:rPr>
              <w:t>按定义的类型进行归类查询，</w:t>
            </w:r>
            <w:r>
              <w:rPr>
                <w:rFonts w:hint="eastAsia" w:ascii="宋体" w:hAnsi="宋体" w:eastAsia="宋体" w:cs="宋体"/>
                <w:color w:val="auto"/>
                <w:sz w:val="24"/>
                <w:szCs w:val="24"/>
                <w:highlight w:val="none"/>
                <w:lang w:eastAsia="zh-CN"/>
              </w:rPr>
              <w:t>具备</w:t>
            </w:r>
            <w:r>
              <w:rPr>
                <w:rFonts w:hint="eastAsia" w:ascii="宋体" w:hAnsi="宋体" w:eastAsia="宋体" w:cs="宋体"/>
                <w:color w:val="auto"/>
                <w:sz w:val="24"/>
                <w:szCs w:val="24"/>
                <w:highlight w:val="none"/>
              </w:rPr>
              <w:t>用户自定义公告类型。</w:t>
            </w:r>
          </w:p>
          <w:p w14:paraId="608397CF">
            <w:pPr>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（7）自动转码功能：</w:t>
            </w:r>
            <w:r>
              <w:rPr>
                <w:rFonts w:hint="eastAsia" w:ascii="宋体" w:hAnsi="宋体" w:eastAsia="宋体" w:cs="宋体"/>
                <w:color w:val="auto"/>
                <w:sz w:val="24"/>
                <w:szCs w:val="24"/>
                <w:highlight w:val="none"/>
                <w:lang w:eastAsia="zh-CN"/>
              </w:rPr>
              <w:t>具备</w:t>
            </w:r>
            <w:r>
              <w:rPr>
                <w:rFonts w:hint="eastAsia" w:ascii="宋体" w:hAnsi="宋体" w:eastAsia="宋体" w:cs="宋体"/>
                <w:color w:val="auto"/>
                <w:sz w:val="24"/>
                <w:szCs w:val="24"/>
                <w:highlight w:val="none"/>
              </w:rPr>
              <w:t>视频下载、上传、编辑、管理。可实现所有主流视频文件格式自动转码，包括asf、mpg、rmvb、mov、rm、avi、3gp、wmv、flv、mp4等，可设置下载及观看权限，可设置高标清转码清晰度码流。</w:t>
            </w:r>
          </w:p>
          <w:p w14:paraId="4BEFA4D6">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（8）●虚拟切片：</w:t>
            </w:r>
            <w:r>
              <w:rPr>
                <w:rFonts w:hint="eastAsia" w:ascii="宋体" w:hAnsi="宋体" w:eastAsia="宋体" w:cs="宋体"/>
                <w:color w:val="auto"/>
                <w:sz w:val="24"/>
                <w:szCs w:val="24"/>
                <w:highlight w:val="none"/>
                <w:lang w:eastAsia="zh-CN"/>
              </w:rPr>
              <w:t>具备</w:t>
            </w:r>
            <w:r>
              <w:rPr>
                <w:rFonts w:hint="eastAsia" w:ascii="宋体" w:hAnsi="宋体" w:eastAsia="宋体" w:cs="宋体"/>
                <w:color w:val="auto"/>
                <w:sz w:val="24"/>
                <w:szCs w:val="24"/>
                <w:highlight w:val="none"/>
              </w:rPr>
              <w:t>视频划分知识点片段，且不破坏视频原来的完整性。</w:t>
            </w:r>
            <w:r>
              <w:rPr>
                <w:rFonts w:hint="eastAsia" w:ascii="宋体" w:hAnsi="宋体" w:eastAsia="宋体" w:cs="宋体"/>
                <w:color w:val="auto"/>
                <w:sz w:val="24"/>
                <w:szCs w:val="24"/>
                <w:highlight w:val="none"/>
                <w:lang w:eastAsia="zh-CN"/>
              </w:rPr>
              <w:t>具备</w:t>
            </w:r>
            <w:r>
              <w:rPr>
                <w:rFonts w:hint="eastAsia" w:ascii="宋体" w:hAnsi="宋体" w:eastAsia="宋体" w:cs="宋体"/>
                <w:color w:val="auto"/>
                <w:sz w:val="24"/>
                <w:szCs w:val="24"/>
                <w:highlight w:val="none"/>
              </w:rPr>
              <w:t>快速点击知识点跳转到相应节点播放。</w:t>
            </w:r>
            <w:r>
              <w:rPr>
                <w:rFonts w:hint="eastAsia" w:ascii="宋体" w:hAnsi="宋体" w:eastAsia="宋体" w:cs="宋体"/>
                <w:color w:val="auto"/>
                <w:sz w:val="24"/>
                <w:szCs w:val="24"/>
                <w:highlight w:val="none"/>
                <w:lang w:eastAsia="zh-CN"/>
              </w:rPr>
              <w:t>具备</w:t>
            </w:r>
            <w:r>
              <w:rPr>
                <w:rFonts w:hint="eastAsia" w:ascii="宋体" w:hAnsi="宋体" w:eastAsia="宋体" w:cs="宋体"/>
                <w:color w:val="auto"/>
                <w:sz w:val="24"/>
                <w:szCs w:val="24"/>
                <w:highlight w:val="none"/>
              </w:rPr>
              <w:t>对上传的视频添加和修改“知识点”。</w:t>
            </w:r>
            <w:r>
              <w:rPr>
                <w:rFonts w:hint="eastAsia" w:ascii="宋体" w:hAnsi="宋体" w:eastAsia="宋体" w:cs="宋体"/>
                <w:b/>
                <w:bCs/>
                <w:color w:val="auto"/>
                <w:sz w:val="24"/>
                <w:szCs w:val="24"/>
                <w:highlight w:val="none"/>
                <w:lang w:eastAsia="zh-CN"/>
              </w:rPr>
              <w:t>（投标文件中需提供</w:t>
            </w:r>
            <w:r>
              <w:rPr>
                <w:rFonts w:hint="eastAsia" w:ascii="宋体" w:hAnsi="宋体" w:eastAsia="宋体" w:cs="宋体"/>
                <w:b/>
                <w:bCs/>
                <w:color w:val="auto"/>
                <w:sz w:val="24"/>
                <w:szCs w:val="24"/>
                <w:highlight w:val="none"/>
                <w:lang w:val="en-US" w:eastAsia="zh-CN"/>
              </w:rPr>
              <w:t>功能界面截图</w:t>
            </w:r>
            <w:r>
              <w:rPr>
                <w:rFonts w:hint="eastAsia" w:ascii="宋体" w:hAnsi="宋体" w:eastAsia="宋体" w:cs="宋体"/>
                <w:b/>
                <w:bCs/>
                <w:color w:val="auto"/>
                <w:sz w:val="24"/>
                <w:szCs w:val="24"/>
                <w:highlight w:val="none"/>
                <w:lang w:eastAsia="zh-CN"/>
              </w:rPr>
              <w:t>）</w:t>
            </w:r>
          </w:p>
          <w:p w14:paraId="354537D0">
            <w:pPr>
              <w:bidi w:val="0"/>
              <w:spacing w:line="360" w:lineRule="auto"/>
              <w:rPr>
                <w:rFonts w:hint="eastAsia" w:ascii="宋体" w:hAnsi="宋体" w:eastAsia="宋体" w:cs="宋体"/>
                <w:b/>
                <w:bCs/>
                <w:color w:val="auto"/>
                <w:sz w:val="24"/>
                <w:szCs w:val="24"/>
                <w:highlight w:val="none"/>
                <w:lang w:val="en-US" w:eastAsia="zh-CN"/>
              </w:rPr>
            </w:pPr>
            <w:r>
              <w:rPr>
                <w:rFonts w:hint="eastAsia" w:ascii="宋体" w:hAnsi="宋体" w:eastAsia="宋体" w:cs="宋体"/>
                <w:color w:val="auto"/>
                <w:sz w:val="24"/>
                <w:szCs w:val="24"/>
                <w:highlight w:val="none"/>
              </w:rPr>
              <w:t>（9）●教学行为分析：</w:t>
            </w:r>
            <w:r>
              <w:rPr>
                <w:rFonts w:hint="eastAsia" w:ascii="宋体" w:hAnsi="宋体" w:eastAsia="宋体" w:cs="宋体"/>
                <w:color w:val="auto"/>
                <w:sz w:val="24"/>
                <w:szCs w:val="24"/>
                <w:highlight w:val="none"/>
                <w:lang w:eastAsia="zh-CN"/>
              </w:rPr>
              <w:t>具备</w:t>
            </w:r>
            <w:r>
              <w:rPr>
                <w:rFonts w:hint="eastAsia" w:ascii="宋体" w:hAnsi="宋体" w:eastAsia="宋体" w:cs="宋体"/>
                <w:color w:val="auto"/>
                <w:sz w:val="24"/>
                <w:szCs w:val="24"/>
                <w:highlight w:val="none"/>
              </w:rPr>
              <w:t>弗兰德斯教学行为分析法（S-T），平台根据跟踪数据生成S-T曲线图，帮助用户进行教学技能提升和评估。S-T行为数据</w:t>
            </w:r>
            <w:r>
              <w:rPr>
                <w:rFonts w:hint="eastAsia" w:ascii="宋体" w:hAnsi="宋体" w:eastAsia="宋体" w:cs="宋体"/>
                <w:color w:val="auto"/>
                <w:sz w:val="24"/>
                <w:szCs w:val="24"/>
                <w:highlight w:val="none"/>
                <w:lang w:eastAsia="zh-CN"/>
              </w:rPr>
              <w:t>具备</w:t>
            </w:r>
            <w:r>
              <w:rPr>
                <w:rFonts w:hint="eastAsia" w:ascii="宋体" w:hAnsi="宋体" w:eastAsia="宋体" w:cs="宋体"/>
                <w:color w:val="auto"/>
                <w:sz w:val="24"/>
                <w:szCs w:val="24"/>
                <w:highlight w:val="none"/>
              </w:rPr>
              <w:t>后期在线编辑修改，便于教师进行错误修正。</w:t>
            </w:r>
            <w:r>
              <w:rPr>
                <w:rFonts w:hint="eastAsia" w:ascii="宋体" w:hAnsi="宋体" w:eastAsia="宋体" w:cs="宋体"/>
                <w:b/>
                <w:bCs/>
                <w:color w:val="auto"/>
                <w:sz w:val="24"/>
                <w:szCs w:val="24"/>
                <w:highlight w:val="none"/>
                <w:lang w:eastAsia="zh-CN"/>
              </w:rPr>
              <w:t>（投标文件中需提供</w:t>
            </w:r>
            <w:r>
              <w:rPr>
                <w:rFonts w:hint="eastAsia" w:ascii="宋体" w:hAnsi="宋体" w:eastAsia="宋体" w:cs="宋体"/>
                <w:b/>
                <w:bCs/>
                <w:color w:val="auto"/>
                <w:sz w:val="24"/>
                <w:szCs w:val="24"/>
                <w:highlight w:val="none"/>
                <w:lang w:val="en-US" w:eastAsia="zh-CN"/>
              </w:rPr>
              <w:t>功能界面截图</w:t>
            </w:r>
            <w:r>
              <w:rPr>
                <w:rFonts w:hint="eastAsia" w:ascii="宋体" w:hAnsi="宋体" w:eastAsia="宋体" w:cs="宋体"/>
                <w:b/>
                <w:bCs/>
                <w:color w:val="auto"/>
                <w:sz w:val="24"/>
                <w:szCs w:val="24"/>
                <w:highlight w:val="none"/>
                <w:lang w:eastAsia="zh-CN"/>
              </w:rPr>
              <w:t>）</w:t>
            </w:r>
          </w:p>
          <w:p w14:paraId="5F4659C9">
            <w:pPr>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（10）文件检索：</w:t>
            </w:r>
            <w:r>
              <w:rPr>
                <w:rFonts w:hint="eastAsia" w:ascii="宋体" w:hAnsi="宋体" w:eastAsia="宋体" w:cs="宋体"/>
                <w:color w:val="auto"/>
                <w:sz w:val="24"/>
                <w:szCs w:val="24"/>
                <w:highlight w:val="none"/>
                <w:lang w:eastAsia="zh-CN"/>
              </w:rPr>
              <w:t>具备</w:t>
            </w:r>
            <w:r>
              <w:rPr>
                <w:rFonts w:hint="eastAsia" w:ascii="宋体" w:hAnsi="宋体" w:eastAsia="宋体" w:cs="宋体"/>
                <w:color w:val="auto"/>
                <w:sz w:val="24"/>
                <w:szCs w:val="24"/>
                <w:highlight w:val="none"/>
              </w:rPr>
              <w:t>关键字搜索功能，用户可直接在资源管理平台的页面搜索框输入关键字，对某个视频标题、知识点进行搜索。</w:t>
            </w:r>
          </w:p>
          <w:p w14:paraId="5A480931">
            <w:pPr>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（11）快捷置灰：</w:t>
            </w:r>
            <w:r>
              <w:rPr>
                <w:rFonts w:hint="eastAsia" w:ascii="宋体" w:hAnsi="宋体" w:eastAsia="宋体" w:cs="宋体"/>
                <w:color w:val="auto"/>
                <w:sz w:val="24"/>
                <w:szCs w:val="24"/>
                <w:highlight w:val="none"/>
                <w:lang w:eastAsia="zh-CN"/>
              </w:rPr>
              <w:t>具备</w:t>
            </w:r>
            <w:r>
              <w:rPr>
                <w:rFonts w:hint="eastAsia" w:ascii="宋体" w:hAnsi="宋体" w:eastAsia="宋体" w:cs="宋体"/>
                <w:color w:val="auto"/>
                <w:sz w:val="24"/>
                <w:szCs w:val="24"/>
                <w:highlight w:val="none"/>
              </w:rPr>
              <w:t>平台肤色快捷置灰功能，切合特殊纪念日氛围。</w:t>
            </w:r>
          </w:p>
          <w:p w14:paraId="7D83775C">
            <w:pPr>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（12）指定播放：</w:t>
            </w:r>
            <w:r>
              <w:rPr>
                <w:rFonts w:hint="eastAsia" w:ascii="宋体" w:hAnsi="宋体" w:eastAsia="宋体" w:cs="宋体"/>
                <w:color w:val="auto"/>
                <w:sz w:val="24"/>
                <w:szCs w:val="24"/>
                <w:highlight w:val="none"/>
                <w:lang w:eastAsia="zh-CN"/>
              </w:rPr>
              <w:t>具备</w:t>
            </w:r>
            <w:r>
              <w:rPr>
                <w:rFonts w:hint="eastAsia" w:ascii="宋体" w:hAnsi="宋体" w:eastAsia="宋体" w:cs="宋体"/>
                <w:color w:val="auto"/>
                <w:sz w:val="24"/>
                <w:szCs w:val="24"/>
                <w:highlight w:val="none"/>
              </w:rPr>
              <w:t>设置指定播放源，用户点击任意视频均强制播放指定视频源，便于学校进行重要视频的统一播放和管理。</w:t>
            </w:r>
          </w:p>
          <w:p w14:paraId="426D2D98">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（13）●流量统计：</w:t>
            </w:r>
            <w:r>
              <w:rPr>
                <w:rFonts w:hint="eastAsia" w:ascii="宋体" w:hAnsi="宋体" w:eastAsia="宋体" w:cs="宋体"/>
                <w:color w:val="auto"/>
                <w:sz w:val="24"/>
                <w:szCs w:val="24"/>
                <w:highlight w:val="none"/>
                <w:lang w:eastAsia="zh-CN"/>
              </w:rPr>
              <w:t>具备</w:t>
            </w:r>
            <w:r>
              <w:rPr>
                <w:rFonts w:hint="eastAsia" w:ascii="宋体" w:hAnsi="宋体" w:eastAsia="宋体" w:cs="宋体"/>
                <w:color w:val="auto"/>
                <w:sz w:val="24"/>
                <w:szCs w:val="24"/>
                <w:highlight w:val="none"/>
              </w:rPr>
              <w:t>平台对用户访问数、页面访问量进行数量统计，访问流量数据可按日、周、月、年、总浏览数进行分类统计。</w:t>
            </w:r>
            <w:r>
              <w:rPr>
                <w:rFonts w:hint="eastAsia" w:ascii="宋体" w:hAnsi="宋体" w:eastAsia="宋体" w:cs="宋体"/>
                <w:color w:val="auto"/>
                <w:sz w:val="24"/>
                <w:szCs w:val="24"/>
                <w:highlight w:val="none"/>
                <w:lang w:eastAsia="zh-CN"/>
              </w:rPr>
              <w:t>具备</w:t>
            </w:r>
            <w:r>
              <w:rPr>
                <w:rFonts w:hint="eastAsia" w:ascii="宋体" w:hAnsi="宋体" w:eastAsia="宋体" w:cs="宋体"/>
                <w:color w:val="auto"/>
                <w:sz w:val="24"/>
                <w:szCs w:val="24"/>
                <w:highlight w:val="none"/>
              </w:rPr>
              <w:t>以曲线图形式展现10天内的访问流量变化趋势。</w:t>
            </w:r>
            <w:r>
              <w:rPr>
                <w:rFonts w:hint="eastAsia" w:ascii="宋体" w:hAnsi="宋体" w:eastAsia="宋体" w:cs="宋体"/>
                <w:color w:val="auto"/>
                <w:sz w:val="24"/>
                <w:szCs w:val="24"/>
                <w:highlight w:val="none"/>
                <w:lang w:eastAsia="zh-CN"/>
              </w:rPr>
              <w:t>具备</w:t>
            </w:r>
            <w:r>
              <w:rPr>
                <w:rFonts w:hint="eastAsia" w:ascii="宋体" w:hAnsi="宋体" w:eastAsia="宋体" w:cs="宋体"/>
                <w:color w:val="auto"/>
                <w:sz w:val="24"/>
                <w:szCs w:val="24"/>
                <w:highlight w:val="none"/>
              </w:rPr>
              <w:t>对视频直播量、点播量统计。</w:t>
            </w:r>
            <w:r>
              <w:rPr>
                <w:rFonts w:hint="eastAsia" w:ascii="宋体" w:hAnsi="宋体" w:eastAsia="宋体" w:cs="宋体"/>
                <w:b/>
                <w:bCs/>
                <w:color w:val="auto"/>
                <w:sz w:val="24"/>
                <w:szCs w:val="24"/>
                <w:highlight w:val="none"/>
                <w:lang w:eastAsia="zh-CN"/>
              </w:rPr>
              <w:t>（投标文件中需提供</w:t>
            </w:r>
            <w:r>
              <w:rPr>
                <w:rFonts w:hint="eastAsia" w:ascii="宋体" w:hAnsi="宋体" w:eastAsia="宋体" w:cs="宋体"/>
                <w:b/>
                <w:bCs/>
                <w:color w:val="auto"/>
                <w:sz w:val="24"/>
                <w:szCs w:val="24"/>
                <w:highlight w:val="none"/>
                <w:lang w:val="en-US" w:eastAsia="zh-CN"/>
              </w:rPr>
              <w:t>功能界面截图</w:t>
            </w:r>
            <w:r>
              <w:rPr>
                <w:rFonts w:hint="eastAsia" w:ascii="宋体" w:hAnsi="宋体" w:eastAsia="宋体" w:cs="宋体"/>
                <w:b/>
                <w:bCs/>
                <w:color w:val="auto"/>
                <w:sz w:val="24"/>
                <w:szCs w:val="24"/>
                <w:highlight w:val="none"/>
                <w:lang w:eastAsia="zh-CN"/>
              </w:rPr>
              <w:t>）</w:t>
            </w:r>
          </w:p>
          <w:p w14:paraId="5BF1070E">
            <w:pPr>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（14）存储管理：平台</w:t>
            </w:r>
            <w:r>
              <w:rPr>
                <w:rFonts w:hint="eastAsia" w:ascii="宋体" w:hAnsi="宋体" w:eastAsia="宋体" w:cs="宋体"/>
                <w:color w:val="auto"/>
                <w:sz w:val="24"/>
                <w:szCs w:val="24"/>
                <w:highlight w:val="none"/>
                <w:lang w:eastAsia="zh-CN"/>
              </w:rPr>
              <w:t>具备</w:t>
            </w:r>
            <w:r>
              <w:rPr>
                <w:rFonts w:hint="eastAsia" w:ascii="宋体" w:hAnsi="宋体" w:eastAsia="宋体" w:cs="宋体"/>
                <w:color w:val="auto"/>
                <w:sz w:val="24"/>
                <w:szCs w:val="24"/>
                <w:highlight w:val="none"/>
              </w:rPr>
              <w:t>自定义视频的保存期限，</w:t>
            </w:r>
            <w:r>
              <w:rPr>
                <w:rFonts w:hint="eastAsia" w:ascii="宋体" w:hAnsi="宋体" w:eastAsia="宋体" w:cs="宋体"/>
                <w:color w:val="auto"/>
                <w:sz w:val="24"/>
                <w:szCs w:val="24"/>
                <w:highlight w:val="none"/>
                <w:lang w:eastAsia="zh-CN"/>
              </w:rPr>
              <w:t>具备</w:t>
            </w:r>
            <w:r>
              <w:rPr>
                <w:rFonts w:hint="eastAsia" w:ascii="宋体" w:hAnsi="宋体" w:eastAsia="宋体" w:cs="宋体"/>
                <w:color w:val="auto"/>
                <w:sz w:val="24"/>
                <w:szCs w:val="24"/>
                <w:highlight w:val="none"/>
              </w:rPr>
              <w:t>永久保存，</w:t>
            </w:r>
            <w:r>
              <w:rPr>
                <w:rFonts w:hint="eastAsia" w:ascii="宋体" w:hAnsi="宋体" w:eastAsia="宋体" w:cs="宋体"/>
                <w:color w:val="auto"/>
                <w:sz w:val="24"/>
                <w:szCs w:val="24"/>
                <w:highlight w:val="none"/>
                <w:lang w:eastAsia="zh-CN"/>
              </w:rPr>
              <w:t>具备</w:t>
            </w:r>
            <w:r>
              <w:rPr>
                <w:rFonts w:hint="eastAsia" w:ascii="宋体" w:hAnsi="宋体" w:eastAsia="宋体" w:cs="宋体"/>
                <w:color w:val="auto"/>
                <w:sz w:val="24"/>
                <w:szCs w:val="24"/>
                <w:highlight w:val="none"/>
              </w:rPr>
              <w:t>自定义视频保存天数期限，到达期限后自动删除；同时</w:t>
            </w:r>
            <w:r>
              <w:rPr>
                <w:rFonts w:hint="eastAsia" w:ascii="宋体" w:hAnsi="宋体" w:eastAsia="宋体" w:cs="宋体"/>
                <w:color w:val="auto"/>
                <w:sz w:val="24"/>
                <w:szCs w:val="24"/>
                <w:highlight w:val="none"/>
                <w:lang w:eastAsia="zh-CN"/>
              </w:rPr>
              <w:t>具备</w:t>
            </w:r>
            <w:r>
              <w:rPr>
                <w:rFonts w:hint="eastAsia" w:ascii="宋体" w:hAnsi="宋体" w:eastAsia="宋体" w:cs="宋体"/>
                <w:color w:val="auto"/>
                <w:sz w:val="24"/>
                <w:szCs w:val="24"/>
                <w:highlight w:val="none"/>
              </w:rPr>
              <w:t>平台对录播内的视频保存期限进行管理，</w:t>
            </w:r>
            <w:r>
              <w:rPr>
                <w:rFonts w:hint="eastAsia" w:ascii="宋体" w:hAnsi="宋体" w:eastAsia="宋体" w:cs="宋体"/>
                <w:color w:val="auto"/>
                <w:sz w:val="24"/>
                <w:szCs w:val="24"/>
                <w:highlight w:val="none"/>
                <w:lang w:eastAsia="zh-CN"/>
              </w:rPr>
              <w:t>具备</w:t>
            </w:r>
            <w:r>
              <w:rPr>
                <w:rFonts w:hint="eastAsia" w:ascii="宋体" w:hAnsi="宋体" w:eastAsia="宋体" w:cs="宋体"/>
                <w:color w:val="auto"/>
                <w:sz w:val="24"/>
                <w:szCs w:val="24"/>
                <w:highlight w:val="none"/>
              </w:rPr>
              <w:t>永久保存和自定义期限并在到达期限后录播自动删除视频文件。</w:t>
            </w:r>
          </w:p>
          <w:p w14:paraId="7A2C9EF5">
            <w:pPr>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直播点播功能</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出厂自带软件应用平台，能够实现以下功能</w:t>
            </w:r>
            <w:r>
              <w:rPr>
                <w:rFonts w:hint="eastAsia" w:ascii="宋体" w:hAnsi="宋体" w:eastAsia="宋体" w:cs="宋体"/>
                <w:color w:val="auto"/>
                <w:sz w:val="24"/>
                <w:szCs w:val="24"/>
                <w:highlight w:val="none"/>
                <w:lang w:eastAsia="zh-CN"/>
              </w:rPr>
              <w:t>）</w:t>
            </w:r>
          </w:p>
          <w:p w14:paraId="6596B937">
            <w:pPr>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（1）基于FLV、HLS主流协议直播技术，无需安装插件即可进行跨平台（Windows、Linux、IOS等）视频点播观看。</w:t>
            </w:r>
          </w:p>
          <w:p w14:paraId="7A585D6E">
            <w:pPr>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具备</w:t>
            </w:r>
            <w:r>
              <w:rPr>
                <w:rFonts w:hint="eastAsia" w:ascii="宋体" w:hAnsi="宋体" w:eastAsia="宋体" w:cs="宋体"/>
                <w:color w:val="auto"/>
                <w:sz w:val="24"/>
                <w:szCs w:val="24"/>
                <w:highlight w:val="none"/>
              </w:rPr>
              <w:t>流媒体转发服务，平台</w:t>
            </w:r>
            <w:r>
              <w:rPr>
                <w:rFonts w:hint="eastAsia" w:ascii="宋体" w:hAnsi="宋体" w:eastAsia="宋体" w:cs="宋体"/>
                <w:color w:val="auto"/>
                <w:sz w:val="24"/>
                <w:szCs w:val="24"/>
                <w:highlight w:val="none"/>
                <w:lang w:eastAsia="zh-CN"/>
              </w:rPr>
              <w:t>具备</w:t>
            </w:r>
            <w:r>
              <w:rPr>
                <w:rFonts w:hint="eastAsia" w:ascii="宋体" w:hAnsi="宋体" w:eastAsia="宋体" w:cs="宋体"/>
                <w:color w:val="auto"/>
                <w:sz w:val="24"/>
                <w:szCs w:val="24"/>
                <w:highlight w:val="none"/>
              </w:rPr>
              <w:t>不少于200点以上高清直播功能。</w:t>
            </w:r>
          </w:p>
          <w:p w14:paraId="37614525">
            <w:pPr>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（3）集群技术：</w:t>
            </w:r>
            <w:r>
              <w:rPr>
                <w:rFonts w:hint="eastAsia" w:ascii="宋体" w:hAnsi="宋体" w:eastAsia="宋体" w:cs="宋体"/>
                <w:color w:val="auto"/>
                <w:sz w:val="24"/>
                <w:szCs w:val="24"/>
                <w:highlight w:val="none"/>
                <w:lang w:eastAsia="zh-CN"/>
              </w:rPr>
              <w:t>具备</w:t>
            </w:r>
            <w:r>
              <w:rPr>
                <w:rFonts w:hint="eastAsia" w:ascii="宋体" w:hAnsi="宋体" w:eastAsia="宋体" w:cs="宋体"/>
                <w:color w:val="auto"/>
                <w:sz w:val="24"/>
                <w:szCs w:val="24"/>
                <w:highlight w:val="none"/>
              </w:rPr>
              <w:t>直播集群技术，以</w:t>
            </w:r>
            <w:r>
              <w:rPr>
                <w:rFonts w:hint="eastAsia" w:ascii="宋体" w:hAnsi="宋体" w:eastAsia="宋体" w:cs="宋体"/>
                <w:color w:val="auto"/>
                <w:sz w:val="24"/>
                <w:szCs w:val="24"/>
                <w:highlight w:val="none"/>
                <w:lang w:eastAsia="zh-CN"/>
              </w:rPr>
              <w:t>具备</w:t>
            </w:r>
            <w:r>
              <w:rPr>
                <w:rFonts w:hint="eastAsia" w:ascii="宋体" w:hAnsi="宋体" w:eastAsia="宋体" w:cs="宋体"/>
                <w:color w:val="auto"/>
                <w:sz w:val="24"/>
                <w:szCs w:val="24"/>
                <w:highlight w:val="none"/>
              </w:rPr>
              <w:t>系统的横向拓展，随系统应用规模的拓展逐渐增加转发服务器以</w:t>
            </w:r>
            <w:r>
              <w:rPr>
                <w:rFonts w:hint="eastAsia" w:ascii="宋体" w:hAnsi="宋体" w:eastAsia="宋体" w:cs="宋体"/>
                <w:color w:val="auto"/>
                <w:sz w:val="24"/>
                <w:szCs w:val="24"/>
                <w:highlight w:val="none"/>
                <w:lang w:eastAsia="zh-CN"/>
              </w:rPr>
              <w:t>具备</w:t>
            </w:r>
            <w:r>
              <w:rPr>
                <w:rFonts w:hint="eastAsia" w:ascii="宋体" w:hAnsi="宋体" w:eastAsia="宋体" w:cs="宋体"/>
                <w:color w:val="auto"/>
                <w:sz w:val="24"/>
                <w:szCs w:val="24"/>
                <w:highlight w:val="none"/>
              </w:rPr>
              <w:t>更大规模直播。</w:t>
            </w:r>
          </w:p>
          <w:p w14:paraId="269175A8">
            <w:pPr>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具备</w:t>
            </w:r>
            <w:r>
              <w:rPr>
                <w:rFonts w:hint="eastAsia" w:ascii="宋体" w:hAnsi="宋体" w:eastAsia="宋体" w:cs="宋体"/>
                <w:color w:val="auto"/>
                <w:sz w:val="24"/>
                <w:szCs w:val="24"/>
                <w:highlight w:val="none"/>
              </w:rPr>
              <w:t>多码率：点播视频时可根据网络情况在播放器窗口进行高标清切换观看。</w:t>
            </w:r>
          </w:p>
          <w:p w14:paraId="359A8E1F">
            <w:pPr>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eastAsia="zh-CN"/>
              </w:rPr>
              <w:t>具备</w:t>
            </w:r>
            <w:r>
              <w:rPr>
                <w:rFonts w:hint="eastAsia" w:ascii="宋体" w:hAnsi="宋体" w:eastAsia="宋体" w:cs="宋体"/>
                <w:color w:val="auto"/>
                <w:sz w:val="24"/>
                <w:szCs w:val="24"/>
                <w:highlight w:val="none"/>
              </w:rPr>
              <w:t>直播权限及密码设置，让直播信息更加安全。</w:t>
            </w:r>
          </w:p>
          <w:p w14:paraId="1AB8182B">
            <w:pPr>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r>
              <w:rPr>
                <w:rFonts w:hint="eastAsia" w:ascii="宋体" w:hAnsi="宋体" w:eastAsia="宋体" w:cs="宋体"/>
                <w:color w:val="auto"/>
                <w:sz w:val="24"/>
                <w:szCs w:val="24"/>
                <w:highlight w:val="none"/>
                <w:lang w:eastAsia="zh-CN"/>
              </w:rPr>
              <w:t>具备</w:t>
            </w:r>
            <w:r>
              <w:rPr>
                <w:rFonts w:hint="eastAsia" w:ascii="宋体" w:hAnsi="宋体" w:eastAsia="宋体" w:cs="宋体"/>
                <w:color w:val="auto"/>
                <w:sz w:val="24"/>
                <w:szCs w:val="24"/>
                <w:highlight w:val="none"/>
              </w:rPr>
              <w:t>上传教案、课件等视频附件，附件可与视频进行绑定。</w:t>
            </w:r>
            <w:r>
              <w:rPr>
                <w:rFonts w:hint="eastAsia" w:ascii="宋体" w:hAnsi="宋体" w:eastAsia="宋体" w:cs="宋体"/>
                <w:color w:val="auto"/>
                <w:sz w:val="24"/>
                <w:szCs w:val="24"/>
                <w:highlight w:val="none"/>
                <w:lang w:eastAsia="zh-CN"/>
              </w:rPr>
              <w:t>具备</w:t>
            </w:r>
            <w:r>
              <w:rPr>
                <w:rFonts w:hint="eastAsia" w:ascii="宋体" w:hAnsi="宋体" w:eastAsia="宋体" w:cs="宋体"/>
                <w:color w:val="auto"/>
                <w:sz w:val="24"/>
                <w:szCs w:val="24"/>
                <w:highlight w:val="none"/>
              </w:rPr>
              <w:t>word、excel、ppt、PDF、jpeg等格式。用户在点播视频时下载附件。</w:t>
            </w:r>
          </w:p>
          <w:p w14:paraId="726237D7">
            <w:pPr>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（7）提供视频转发分享功能，</w:t>
            </w:r>
            <w:r>
              <w:rPr>
                <w:rFonts w:hint="eastAsia" w:ascii="宋体" w:hAnsi="宋体" w:eastAsia="宋体" w:cs="宋体"/>
                <w:color w:val="auto"/>
                <w:sz w:val="24"/>
                <w:szCs w:val="24"/>
                <w:highlight w:val="none"/>
                <w:lang w:eastAsia="zh-CN"/>
              </w:rPr>
              <w:t>具备</w:t>
            </w:r>
            <w:r>
              <w:rPr>
                <w:rFonts w:hint="eastAsia" w:ascii="宋体" w:hAnsi="宋体" w:eastAsia="宋体" w:cs="宋体"/>
                <w:color w:val="auto"/>
                <w:sz w:val="24"/>
                <w:szCs w:val="24"/>
                <w:highlight w:val="none"/>
              </w:rPr>
              <w:t>二维码分享和一键转发分享至社交平台中。</w:t>
            </w:r>
          </w:p>
          <w:p w14:paraId="1DB6625E">
            <w:pPr>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微课管理功能</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出厂自带软件应用平台，能够实现以下功能</w:t>
            </w:r>
            <w:r>
              <w:rPr>
                <w:rFonts w:hint="eastAsia" w:ascii="宋体" w:hAnsi="宋体" w:eastAsia="宋体" w:cs="宋体"/>
                <w:color w:val="auto"/>
                <w:sz w:val="24"/>
                <w:szCs w:val="24"/>
                <w:highlight w:val="none"/>
                <w:lang w:eastAsia="zh-CN"/>
              </w:rPr>
              <w:t>）</w:t>
            </w:r>
          </w:p>
          <w:p w14:paraId="032D9B4A">
            <w:pPr>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（1）提供微课管理模块，</w:t>
            </w:r>
            <w:r>
              <w:rPr>
                <w:rFonts w:hint="eastAsia" w:ascii="宋体" w:hAnsi="宋体" w:eastAsia="宋体" w:cs="宋体"/>
                <w:color w:val="auto"/>
                <w:sz w:val="24"/>
                <w:szCs w:val="24"/>
                <w:highlight w:val="none"/>
                <w:lang w:eastAsia="zh-CN"/>
              </w:rPr>
              <w:t>具备</w:t>
            </w:r>
            <w:r>
              <w:rPr>
                <w:rFonts w:hint="eastAsia" w:ascii="宋体" w:hAnsi="宋体" w:eastAsia="宋体" w:cs="宋体"/>
                <w:color w:val="auto"/>
                <w:sz w:val="24"/>
                <w:szCs w:val="24"/>
                <w:highlight w:val="none"/>
              </w:rPr>
              <w:t>自定义微课时长限制，在规定时长内的视频上传平台后自动归类到微课模块当中，并</w:t>
            </w:r>
            <w:r>
              <w:rPr>
                <w:rFonts w:hint="eastAsia" w:ascii="宋体" w:hAnsi="宋体" w:eastAsia="宋体" w:cs="宋体"/>
                <w:color w:val="auto"/>
                <w:sz w:val="24"/>
                <w:szCs w:val="24"/>
                <w:highlight w:val="none"/>
                <w:lang w:eastAsia="zh-CN"/>
              </w:rPr>
              <w:t>具备</w:t>
            </w:r>
            <w:r>
              <w:rPr>
                <w:rFonts w:hint="eastAsia" w:ascii="宋体" w:hAnsi="宋体" w:eastAsia="宋体" w:cs="宋体"/>
                <w:color w:val="auto"/>
                <w:sz w:val="24"/>
                <w:szCs w:val="24"/>
                <w:highlight w:val="none"/>
              </w:rPr>
              <w:t>按学段、学科进行自动归类整理。</w:t>
            </w:r>
          </w:p>
          <w:p w14:paraId="3B279931">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（2）●提供专业微课录制软件，</w:t>
            </w:r>
            <w:r>
              <w:rPr>
                <w:rFonts w:hint="eastAsia" w:ascii="宋体" w:hAnsi="宋体" w:eastAsia="宋体" w:cs="宋体"/>
                <w:color w:val="auto"/>
                <w:sz w:val="24"/>
                <w:szCs w:val="24"/>
                <w:highlight w:val="none"/>
                <w:lang w:eastAsia="zh-CN"/>
              </w:rPr>
              <w:t>具备</w:t>
            </w:r>
            <w:r>
              <w:rPr>
                <w:rFonts w:hint="eastAsia" w:ascii="宋体" w:hAnsi="宋体" w:eastAsia="宋体" w:cs="宋体"/>
                <w:color w:val="auto"/>
                <w:sz w:val="24"/>
                <w:szCs w:val="24"/>
                <w:highlight w:val="none"/>
              </w:rPr>
              <w:t>直接从平台下载微课录制软件并安装于笔记本电脑中。微课视频录制完毕后</w:t>
            </w:r>
            <w:r>
              <w:rPr>
                <w:rFonts w:hint="eastAsia" w:ascii="宋体" w:hAnsi="宋体" w:eastAsia="宋体" w:cs="宋体"/>
                <w:color w:val="auto"/>
                <w:sz w:val="24"/>
                <w:szCs w:val="24"/>
                <w:highlight w:val="none"/>
                <w:lang w:eastAsia="zh-CN"/>
              </w:rPr>
              <w:t>具备</w:t>
            </w:r>
            <w:r>
              <w:rPr>
                <w:rFonts w:hint="eastAsia" w:ascii="宋体" w:hAnsi="宋体" w:eastAsia="宋体" w:cs="宋体"/>
                <w:color w:val="auto"/>
                <w:sz w:val="24"/>
                <w:szCs w:val="24"/>
                <w:highlight w:val="none"/>
              </w:rPr>
              <w:t>一键上传到平台，或下载到本地电脑保存。</w:t>
            </w:r>
            <w:r>
              <w:rPr>
                <w:rFonts w:hint="eastAsia" w:ascii="宋体" w:hAnsi="宋体" w:eastAsia="宋体" w:cs="宋体"/>
                <w:b/>
                <w:bCs/>
                <w:color w:val="auto"/>
                <w:sz w:val="24"/>
                <w:szCs w:val="24"/>
                <w:highlight w:val="none"/>
                <w:lang w:eastAsia="zh-CN"/>
              </w:rPr>
              <w:t>（投标文件中需提供</w:t>
            </w:r>
            <w:r>
              <w:rPr>
                <w:rFonts w:hint="eastAsia" w:ascii="宋体" w:hAnsi="宋体" w:eastAsia="宋体" w:cs="宋体"/>
                <w:b/>
                <w:bCs/>
                <w:color w:val="auto"/>
                <w:sz w:val="24"/>
                <w:szCs w:val="24"/>
                <w:highlight w:val="none"/>
                <w:lang w:val="en-US" w:eastAsia="zh-CN"/>
              </w:rPr>
              <w:t>微课软件客户端在平台下载界面截图</w:t>
            </w:r>
            <w:r>
              <w:rPr>
                <w:rFonts w:hint="eastAsia" w:ascii="宋体" w:hAnsi="宋体" w:eastAsia="宋体" w:cs="宋体"/>
                <w:b/>
                <w:bCs/>
                <w:color w:val="auto"/>
                <w:sz w:val="24"/>
                <w:szCs w:val="24"/>
                <w:highlight w:val="none"/>
                <w:lang w:eastAsia="zh-CN"/>
              </w:rPr>
              <w:t>）</w:t>
            </w:r>
          </w:p>
          <w:p w14:paraId="30E974E2">
            <w:pPr>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（3）●微课录制软件需</w:t>
            </w:r>
            <w:r>
              <w:rPr>
                <w:rFonts w:hint="eastAsia" w:ascii="宋体" w:hAnsi="宋体" w:eastAsia="宋体" w:cs="宋体"/>
                <w:color w:val="auto"/>
                <w:sz w:val="24"/>
                <w:szCs w:val="24"/>
                <w:highlight w:val="none"/>
                <w:lang w:eastAsia="zh-CN"/>
              </w:rPr>
              <w:t>具备</w:t>
            </w:r>
            <w:r>
              <w:rPr>
                <w:rFonts w:hint="eastAsia" w:ascii="宋体" w:hAnsi="宋体" w:eastAsia="宋体" w:cs="宋体"/>
                <w:color w:val="auto"/>
                <w:sz w:val="24"/>
                <w:szCs w:val="24"/>
                <w:highlight w:val="none"/>
              </w:rPr>
              <w:t>包括教师头像、实物展台、课件PPT在内的三路视频源切换及组合布局录制，</w:t>
            </w:r>
            <w:r>
              <w:rPr>
                <w:rFonts w:hint="eastAsia" w:ascii="宋体" w:hAnsi="宋体" w:eastAsia="宋体" w:cs="宋体"/>
                <w:color w:val="auto"/>
                <w:sz w:val="24"/>
                <w:szCs w:val="24"/>
                <w:highlight w:val="none"/>
                <w:lang w:eastAsia="zh-CN"/>
              </w:rPr>
              <w:t>具备</w:t>
            </w:r>
            <w:r>
              <w:rPr>
                <w:rFonts w:hint="eastAsia" w:ascii="宋体" w:hAnsi="宋体" w:eastAsia="宋体" w:cs="宋体"/>
                <w:color w:val="auto"/>
                <w:sz w:val="24"/>
                <w:szCs w:val="24"/>
                <w:highlight w:val="none"/>
              </w:rPr>
              <w:t>课件与老师画中画模式。</w:t>
            </w:r>
            <w:r>
              <w:rPr>
                <w:rFonts w:hint="eastAsia" w:ascii="宋体" w:hAnsi="宋体" w:eastAsia="宋体" w:cs="宋体"/>
                <w:b/>
                <w:bCs/>
                <w:color w:val="auto"/>
                <w:sz w:val="24"/>
                <w:szCs w:val="24"/>
                <w:highlight w:val="none"/>
                <w:lang w:eastAsia="zh-CN"/>
              </w:rPr>
              <w:t>（投标文件中需提供</w:t>
            </w:r>
            <w:r>
              <w:rPr>
                <w:rFonts w:hint="eastAsia" w:ascii="宋体" w:hAnsi="宋体" w:eastAsia="宋体" w:cs="宋体"/>
                <w:b/>
                <w:bCs/>
                <w:color w:val="auto"/>
                <w:sz w:val="24"/>
                <w:szCs w:val="24"/>
                <w:highlight w:val="none"/>
                <w:lang w:val="en-US" w:eastAsia="zh-CN"/>
              </w:rPr>
              <w:t>功能界面截图</w:t>
            </w:r>
            <w:r>
              <w:rPr>
                <w:rFonts w:hint="eastAsia" w:ascii="宋体" w:hAnsi="宋体" w:eastAsia="宋体" w:cs="宋体"/>
                <w:color w:val="auto"/>
                <w:sz w:val="24"/>
                <w:szCs w:val="24"/>
                <w:highlight w:val="none"/>
                <w:lang w:eastAsia="zh-CN"/>
              </w:rPr>
              <w:t>）</w:t>
            </w:r>
          </w:p>
          <w:p w14:paraId="4C9E36ED">
            <w:pPr>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eastAsia="zh-CN"/>
              </w:rPr>
              <w:t>具备</w:t>
            </w:r>
            <w:r>
              <w:rPr>
                <w:rFonts w:hint="eastAsia" w:ascii="宋体" w:hAnsi="宋体" w:eastAsia="宋体" w:cs="宋体"/>
                <w:color w:val="auto"/>
                <w:sz w:val="24"/>
                <w:szCs w:val="24"/>
                <w:highlight w:val="none"/>
              </w:rPr>
              <w:t>PPT课件导入、课件批注，在微课录制的同时</w:t>
            </w:r>
            <w:r>
              <w:rPr>
                <w:rFonts w:hint="eastAsia" w:ascii="宋体" w:hAnsi="宋体" w:eastAsia="宋体" w:cs="宋体"/>
                <w:color w:val="auto"/>
                <w:sz w:val="24"/>
                <w:szCs w:val="24"/>
                <w:highlight w:val="none"/>
                <w:lang w:eastAsia="zh-CN"/>
              </w:rPr>
              <w:t>具备</w:t>
            </w:r>
            <w:r>
              <w:rPr>
                <w:rFonts w:hint="eastAsia" w:ascii="宋体" w:hAnsi="宋体" w:eastAsia="宋体" w:cs="宋体"/>
                <w:color w:val="auto"/>
                <w:sz w:val="24"/>
                <w:szCs w:val="24"/>
                <w:highlight w:val="none"/>
              </w:rPr>
              <w:t>PPT分页预览，并进行切换录制。</w:t>
            </w:r>
          </w:p>
          <w:p w14:paraId="735F017D">
            <w:pPr>
              <w:widowControl w:val="0"/>
              <w:bidi w:val="0"/>
              <w:spacing w:line="360" w:lineRule="auto"/>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14、移动APP应用服务（出厂自带软件应用平台，能够实现以下功能）</w:t>
            </w:r>
          </w:p>
          <w:p w14:paraId="6CA771C2">
            <w:pPr>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（1）提供自主研发的平台移动端APP，可与视频资源管理平台对接。</w:t>
            </w:r>
          </w:p>
          <w:p w14:paraId="4E443BFF">
            <w:pPr>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（2）移动端APP应提供视频在线直播、视频点播、专辑点播等功能。</w:t>
            </w:r>
          </w:p>
          <w:p w14:paraId="749D11A8">
            <w:pPr>
              <w:bidi w:val="0"/>
              <w:spacing w:line="360" w:lineRule="auto"/>
              <w:rPr>
                <w:rFonts w:hint="eastAsia" w:ascii="宋体" w:hAnsi="宋体" w:eastAsia="宋体" w:cs="宋体"/>
                <w:b/>
                <w:bCs/>
                <w:color w:val="auto"/>
                <w:sz w:val="24"/>
                <w:szCs w:val="24"/>
                <w:highlight w:val="none"/>
                <w:lang w:val="en-US" w:eastAsia="zh-CN"/>
              </w:rPr>
            </w:pPr>
            <w:r>
              <w:rPr>
                <w:rFonts w:hint="eastAsia" w:ascii="宋体" w:hAnsi="宋体" w:eastAsia="宋体" w:cs="宋体"/>
                <w:color w:val="auto"/>
                <w:sz w:val="24"/>
                <w:szCs w:val="24"/>
                <w:highlight w:val="none"/>
              </w:rPr>
              <w:t>（3）●移动端同步</w:t>
            </w:r>
            <w:r>
              <w:rPr>
                <w:rFonts w:hint="eastAsia" w:ascii="宋体" w:hAnsi="宋体" w:eastAsia="宋体" w:cs="宋体"/>
                <w:color w:val="auto"/>
                <w:sz w:val="24"/>
                <w:szCs w:val="24"/>
                <w:highlight w:val="none"/>
                <w:lang w:eastAsia="zh-CN"/>
              </w:rPr>
              <w:t>具备</w:t>
            </w:r>
            <w:r>
              <w:rPr>
                <w:rFonts w:hint="eastAsia" w:ascii="宋体" w:hAnsi="宋体" w:eastAsia="宋体" w:cs="宋体"/>
                <w:color w:val="auto"/>
                <w:sz w:val="24"/>
                <w:szCs w:val="24"/>
                <w:highlight w:val="none"/>
              </w:rPr>
              <w:t>虚拟切片功能，实现知识点的快速跳转观看、学习，提高学生的学习效率。</w:t>
            </w:r>
            <w:r>
              <w:rPr>
                <w:rFonts w:hint="eastAsia" w:ascii="宋体" w:hAnsi="宋体" w:eastAsia="宋体" w:cs="宋体"/>
                <w:b/>
                <w:bCs/>
                <w:color w:val="auto"/>
                <w:sz w:val="24"/>
                <w:szCs w:val="24"/>
                <w:highlight w:val="none"/>
                <w:lang w:eastAsia="zh-CN"/>
              </w:rPr>
              <w:t>（投标文件中需提供</w:t>
            </w:r>
            <w:r>
              <w:rPr>
                <w:rFonts w:hint="eastAsia" w:ascii="宋体" w:hAnsi="宋体" w:eastAsia="宋体" w:cs="宋体"/>
                <w:b/>
                <w:bCs/>
                <w:color w:val="auto"/>
                <w:sz w:val="24"/>
                <w:szCs w:val="24"/>
                <w:highlight w:val="none"/>
                <w:lang w:val="en-US" w:eastAsia="zh-CN"/>
              </w:rPr>
              <w:t>功能界面截图</w:t>
            </w:r>
            <w:r>
              <w:rPr>
                <w:rFonts w:hint="eastAsia" w:ascii="宋体" w:hAnsi="宋体" w:eastAsia="宋体" w:cs="宋体"/>
                <w:b/>
                <w:bCs/>
                <w:color w:val="auto"/>
                <w:sz w:val="24"/>
                <w:szCs w:val="24"/>
                <w:highlight w:val="none"/>
                <w:lang w:eastAsia="zh-CN"/>
              </w:rPr>
              <w:t>）</w:t>
            </w:r>
          </w:p>
          <w:p w14:paraId="2B2EE4D9">
            <w:pPr>
              <w:bidi w:val="0"/>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具备</w:t>
            </w:r>
            <w:r>
              <w:rPr>
                <w:rFonts w:hint="eastAsia" w:ascii="宋体" w:hAnsi="宋体" w:eastAsia="宋体" w:cs="宋体"/>
                <w:color w:val="auto"/>
                <w:sz w:val="24"/>
                <w:szCs w:val="24"/>
                <w:highlight w:val="none"/>
              </w:rPr>
              <w:t>移动端APP点播视频时查看视频信息、视频附件。</w:t>
            </w:r>
            <w:r>
              <w:rPr>
                <w:rFonts w:hint="eastAsia" w:ascii="宋体" w:hAnsi="宋体" w:eastAsia="宋体" w:cs="宋体"/>
                <w:b/>
                <w:bCs/>
                <w:color w:val="auto"/>
                <w:sz w:val="24"/>
                <w:szCs w:val="24"/>
                <w:highlight w:val="none"/>
                <w:lang w:eastAsia="zh-CN"/>
              </w:rPr>
              <w:t>（投标文件中需提供</w:t>
            </w:r>
            <w:r>
              <w:rPr>
                <w:rFonts w:hint="eastAsia" w:ascii="宋体" w:hAnsi="宋体" w:eastAsia="宋体" w:cs="宋体"/>
                <w:b/>
                <w:bCs/>
                <w:color w:val="auto"/>
                <w:sz w:val="24"/>
                <w:szCs w:val="24"/>
                <w:highlight w:val="none"/>
                <w:lang w:val="en-US" w:eastAsia="zh-CN"/>
              </w:rPr>
              <w:t>功能界面截图</w:t>
            </w:r>
            <w:r>
              <w:rPr>
                <w:rFonts w:hint="eastAsia" w:ascii="宋体" w:hAnsi="宋体" w:eastAsia="宋体" w:cs="宋体"/>
                <w:b/>
                <w:bCs/>
                <w:color w:val="auto"/>
                <w:sz w:val="24"/>
                <w:szCs w:val="24"/>
                <w:highlight w:val="none"/>
                <w:lang w:eastAsia="zh-CN"/>
              </w:rPr>
              <w:t>）</w:t>
            </w:r>
          </w:p>
          <w:p w14:paraId="37C14E13">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移动APP免费使用，账号免费，且不限制账号数量。</w:t>
            </w:r>
          </w:p>
        </w:tc>
        <w:tc>
          <w:tcPr>
            <w:tcW w:w="5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9881D">
            <w:pPr>
              <w:keepNext w:val="0"/>
              <w:keepLines w:val="0"/>
              <w:widowControl/>
              <w:suppressLineNumbers w:val="0"/>
              <w:spacing w:line="360" w:lineRule="auto"/>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1套</w:t>
            </w:r>
          </w:p>
        </w:tc>
        <w:tc>
          <w:tcPr>
            <w:tcW w:w="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B466E">
            <w:pPr>
              <w:keepNext w:val="0"/>
              <w:keepLines w:val="0"/>
              <w:widowControl/>
              <w:suppressLineNumbers w:val="0"/>
              <w:spacing w:line="360" w:lineRule="auto"/>
              <w:jc w:val="center"/>
              <w:textAlignment w:val="top"/>
              <w:rPr>
                <w:rFonts w:hint="eastAsia" w:ascii="宋体" w:hAnsi="宋体" w:eastAsia="宋体" w:cs="宋体"/>
                <w:i w:val="0"/>
                <w:iCs w:val="0"/>
                <w:color w:val="auto"/>
                <w:kern w:val="0"/>
                <w:sz w:val="24"/>
                <w:szCs w:val="24"/>
                <w:highlight w:val="none"/>
                <w:u w:val="none"/>
                <w:lang w:val="en-US" w:eastAsia="zh-CN"/>
              </w:rPr>
            </w:pPr>
            <w:r>
              <w:rPr>
                <w:rFonts w:hint="eastAsia" w:ascii="宋体" w:hAnsi="宋体" w:eastAsia="宋体" w:cs="宋体"/>
                <w:i w:val="0"/>
                <w:iCs w:val="0"/>
                <w:color w:val="auto"/>
                <w:kern w:val="0"/>
                <w:sz w:val="24"/>
                <w:szCs w:val="24"/>
                <w:highlight w:val="none"/>
                <w:u w:val="none"/>
                <w:lang w:val="en-US" w:eastAsia="zh-CN"/>
              </w:rPr>
              <w:t>工业</w:t>
            </w:r>
          </w:p>
        </w:tc>
      </w:tr>
      <w:tr w14:paraId="38FC2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55045">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6</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EE67A9">
            <w:pPr>
              <w:keepNext w:val="0"/>
              <w:keepLines w:val="0"/>
              <w:widowControl/>
              <w:suppressLineNumbers w:val="0"/>
              <w:spacing w:line="360" w:lineRule="auto"/>
              <w:jc w:val="both"/>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门禁</w:t>
            </w:r>
          </w:p>
        </w:tc>
        <w:tc>
          <w:tcPr>
            <w:tcW w:w="3239" w:type="pct"/>
            <w:tcBorders>
              <w:top w:val="single" w:color="000000" w:sz="4" w:space="0"/>
              <w:left w:val="single" w:color="000000" w:sz="4" w:space="0"/>
              <w:bottom w:val="single" w:color="000000" w:sz="4" w:space="0"/>
              <w:right w:val="single" w:color="000000" w:sz="4" w:space="0"/>
            </w:tcBorders>
            <w:shd w:val="clear" w:color="auto" w:fill="auto"/>
          </w:tcPr>
          <w:p w14:paraId="6A18223D">
            <w:pPr>
              <w:bidi w:val="0"/>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1、人脸认证：采用深度学习算法，具备单人识别，具备照片、视频防假；</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2、组合认证：人脸+密码，人脸+卡片，卡片+密码；</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3、多重认证：设备具备本地认证、本地+远程开门认证、本地+超级密码认证三种认证模式。每种模式最大具备20个认证组，每个认证组最多具备128人多重认证（每个认证组具备8个群组，每个群组具备16个人）；</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4、门禁计划配置：具备计划模板管理，具备常开、常闭时段管理；</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5、可视对讲：具备云平台、客户端、室内机、管理机进行可视对讲、远程开门；</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6、视频预览：具备管理中心远程视频预览，具备接入NVR设备，实现7*24H视频监控录像；</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7、口罩检测：具备戴口罩检测，可配置提醒戴口罩、强制戴口罩（未戴口罩不开门）；</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8、提示音自定义：集成TTS文字转语音，可自定义配置认证成功和认证失败的提示音及内容。可叠加播报姓名/称呼；</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9、信息发布功能：具备图片、文字、视频的信息发布；</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10、读卡器模式：具备通过RS-485或韦根（W26/W34）接入门禁控制器，作为读卡器使用；</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11、胁迫开门：具备配置胁迫码/胁迫卡后，遇到胁迫后，输入胁迫码/刷胁迫卡后立即开门，同时上报胁迫事件；</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12、非授权人员管理：具备对非授权人员进行开门管理、报警联动；</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13、操作系统：嵌入式linux系统；</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14、尺寸：≥8.0英寸；</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15、分辨率：≥800*1280；</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16、操作方式：触摸操作；</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17、像素：≥200W；</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18、镜头数量：≥2个；</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19、卡片容量：≥100000；</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20、人脸容量：≥100000；</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21、事件容量：≥150000</w:t>
            </w:r>
            <w:r>
              <w:rPr>
                <w:rFonts w:hint="eastAsia" w:ascii="宋体" w:hAnsi="宋体" w:eastAsia="宋体" w:cs="宋体"/>
                <w:color w:val="auto"/>
                <w:sz w:val="24"/>
                <w:szCs w:val="24"/>
                <w:highlight w:val="none"/>
                <w:lang w:eastAsia="zh-CN"/>
              </w:rPr>
              <w:t>；</w:t>
            </w:r>
          </w:p>
          <w:p w14:paraId="19BC0986">
            <w:pPr>
              <w:widowControl w:val="0"/>
              <w:bidi w:val="0"/>
              <w:spacing w:line="360" w:lineRule="auto"/>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22、门禁能随时删除原有人员权限；</w:t>
            </w:r>
          </w:p>
          <w:p w14:paraId="06DE7F21">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23、实现该门禁接入原有门禁系统（海康威视、DS-K1T105AM）使用，调试后上述功能均能通过系统操作实现功能；</w:t>
            </w:r>
          </w:p>
          <w:p w14:paraId="6B8D0E6F">
            <w:pPr>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24、电源：</w:t>
            </w:r>
            <w:r>
              <w:rPr>
                <w:rFonts w:hint="eastAsia" w:ascii="宋体" w:hAnsi="宋体" w:eastAsia="宋体" w:cs="宋体"/>
                <w:color w:val="auto"/>
                <w:sz w:val="24"/>
                <w:szCs w:val="24"/>
                <w:highlight w:val="none"/>
              </w:rPr>
              <w:t>输入电压：100-240VAC；输出电压：12VDC；输出电流：4.17A；输出功率：50W；工作温度：-30℃-+70℃；</w:t>
            </w:r>
          </w:p>
          <w:p w14:paraId="164CD5A3">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25、设备采用电源适配器供电不具备自带电池；</w:t>
            </w:r>
          </w:p>
          <w:p w14:paraId="5701EFFD">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26、免费提供门禁读卡器，200张门禁白卡；</w:t>
            </w:r>
          </w:p>
          <w:p w14:paraId="5BC3A3EC">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27、具备通过VPN远程访问安装门禁管理系统的服务器实现开关门功能。</w:t>
            </w:r>
          </w:p>
        </w:tc>
        <w:tc>
          <w:tcPr>
            <w:tcW w:w="5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A2392">
            <w:pPr>
              <w:keepNext w:val="0"/>
              <w:keepLines w:val="0"/>
              <w:widowControl/>
              <w:suppressLineNumbers w:val="0"/>
              <w:spacing w:line="360" w:lineRule="auto"/>
              <w:jc w:val="center"/>
              <w:textAlignment w:val="top"/>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rPr>
              <w:t>26个</w:t>
            </w:r>
          </w:p>
        </w:tc>
        <w:tc>
          <w:tcPr>
            <w:tcW w:w="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E8422">
            <w:pPr>
              <w:keepNext w:val="0"/>
              <w:keepLines w:val="0"/>
              <w:widowControl/>
              <w:suppressLineNumbers w:val="0"/>
              <w:spacing w:line="360" w:lineRule="auto"/>
              <w:jc w:val="center"/>
              <w:textAlignment w:val="top"/>
              <w:rPr>
                <w:rFonts w:hint="eastAsia" w:ascii="宋体" w:hAnsi="宋体" w:eastAsia="宋体" w:cs="宋体"/>
                <w:i w:val="0"/>
                <w:iCs w:val="0"/>
                <w:color w:val="auto"/>
                <w:kern w:val="0"/>
                <w:sz w:val="24"/>
                <w:szCs w:val="24"/>
                <w:highlight w:val="none"/>
                <w:u w:val="none"/>
                <w:lang w:val="en-US" w:eastAsia="zh-CN"/>
              </w:rPr>
            </w:pPr>
            <w:r>
              <w:rPr>
                <w:rFonts w:hint="eastAsia" w:ascii="宋体" w:hAnsi="宋体" w:eastAsia="宋体" w:cs="宋体"/>
                <w:i w:val="0"/>
                <w:iCs w:val="0"/>
                <w:color w:val="auto"/>
                <w:kern w:val="0"/>
                <w:sz w:val="24"/>
                <w:szCs w:val="24"/>
                <w:highlight w:val="none"/>
                <w:u w:val="none"/>
                <w:lang w:val="en-US" w:eastAsia="zh-CN"/>
              </w:rPr>
              <w:t>工业</w:t>
            </w:r>
          </w:p>
        </w:tc>
      </w:tr>
      <w:tr w14:paraId="7E7544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EDB4B4">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7</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D9A2F">
            <w:pPr>
              <w:keepNext w:val="0"/>
              <w:keepLines w:val="0"/>
              <w:widowControl/>
              <w:suppressLineNumbers w:val="0"/>
              <w:spacing w:line="360" w:lineRule="auto"/>
              <w:jc w:val="both"/>
              <w:textAlignment w:val="top"/>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rPr>
              <w:t>病房门口屏幕</w:t>
            </w:r>
          </w:p>
        </w:tc>
        <w:tc>
          <w:tcPr>
            <w:tcW w:w="3239" w:type="pct"/>
            <w:tcBorders>
              <w:top w:val="single" w:color="000000" w:sz="4" w:space="0"/>
              <w:left w:val="single" w:color="000000" w:sz="4" w:space="0"/>
              <w:bottom w:val="single" w:color="000000" w:sz="4" w:space="0"/>
              <w:right w:val="single" w:color="000000" w:sz="4" w:space="0"/>
            </w:tcBorders>
            <w:shd w:val="clear" w:color="auto" w:fill="auto"/>
          </w:tcPr>
          <w:p w14:paraId="73325448">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1、屏幕尺寸：不低于15.6英寸IPS触摸屏</w:t>
            </w:r>
          </w:p>
          <w:p w14:paraId="32E3AF65">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2、操作系统：设备搭载嵌入式智能操作系统，支持图形化交互，系统版本号满足主流要求</w:t>
            </w:r>
          </w:p>
          <w:p w14:paraId="57DD2EF2">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3、屏幕分辨率：不低于1920*1080</w:t>
            </w:r>
          </w:p>
          <w:p w14:paraId="64FEF573">
            <w:pPr>
              <w:widowControl w:val="0"/>
              <w:bidi w:val="0"/>
              <w:spacing w:line="360" w:lineRule="auto"/>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4、CPU：不低于四核1.5Ghz </w:t>
            </w:r>
          </w:p>
          <w:p w14:paraId="4FC4BE27">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5、操作方式：电容触摸+实体按键</w:t>
            </w:r>
          </w:p>
          <w:p w14:paraId="2E2D5387">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6、内存及存储：2G RAM,128G存储空间（包含）</w:t>
            </w:r>
          </w:p>
          <w:p w14:paraId="697B358D">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7、通信方式：有线局域网络</w:t>
            </w:r>
          </w:p>
          <w:p w14:paraId="7B3FF55C">
            <w:pPr>
              <w:widowControl w:val="0"/>
              <w:bidi w:val="0"/>
              <w:spacing w:line="360" w:lineRule="auto"/>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8、硬件接口：8 路报警输入、1 路继电器输出、1路 485 接口、1路 DC 12V 输入、1路串口调试口、1个 RJ45 网口、1个 DC 12V 输出接口，1个TF卡槽口、1个USB接口</w:t>
            </w:r>
          </w:p>
          <w:p w14:paraId="111084AA">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9、安装方式：86盒墙面挂装</w:t>
            </w:r>
          </w:p>
          <w:p w14:paraId="09F23412">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10、供电方式：DC12V/标准POE，不具备自带电池</w:t>
            </w:r>
          </w:p>
          <w:p w14:paraId="09507A92">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11、设备功耗：≤15W</w:t>
            </w:r>
          </w:p>
          <w:p w14:paraId="74D9A95C">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12、工作温度：-10℃～50℃</w:t>
            </w:r>
          </w:p>
          <w:p w14:paraId="4787B39C">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13、工作湿度：10％-90％</w:t>
            </w:r>
          </w:p>
          <w:p w14:paraId="6F601380">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14、防水等级：不防水</w:t>
            </w:r>
          </w:p>
          <w:p w14:paraId="22528D0C">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15、产品尺寸：243.4mm×428.6mm×28.8mm</w:t>
            </w:r>
          </w:p>
          <w:p w14:paraId="1050B58C">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16、产品机身通过抗菌性能检测,抗菌率&gt;99.8%</w:t>
            </w:r>
          </w:p>
          <w:p w14:paraId="1D8CBB2F">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17、首页功能：具备展示患者、医院及医护人员等信息；具备输入工号进行护士定位和取消定位；具备向护士站主机发起增援呼叫。</w:t>
            </w:r>
          </w:p>
          <w:p w14:paraId="666AF6EA">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18、病呼联动：具备通过三色灯及弹窗等方式对普通呼叫、增援呼叫、换药、卫生间报警等信息进行提醒。</w:t>
            </w:r>
          </w:p>
          <w:p w14:paraId="4EEAE8E5">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19、功能设置：具备设置前进行工程密码验证；具备修改服务器IP、端口号、病区、病房号、SIP密码。查看本机IP地址、子网掩码、网关；具备查看设备版本号。</w:t>
            </w:r>
          </w:p>
          <w:p w14:paraId="719FFD90">
            <w:pPr>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●20、设备需具有三色提示灯，在不同呼叫状态显示不同颜色</w:t>
            </w:r>
            <w:r>
              <w:rPr>
                <w:rFonts w:hint="eastAsia" w:ascii="宋体" w:hAnsi="宋体" w:eastAsia="宋体" w:cs="宋体"/>
                <w:b/>
                <w:bCs/>
                <w:color w:val="auto"/>
                <w:sz w:val="24"/>
                <w:szCs w:val="24"/>
                <w:highlight w:val="none"/>
                <w:lang w:eastAsia="zh-CN"/>
              </w:rPr>
              <w:t>（投标文件中需提供第三方有权检测机构出具的检测报告扫描件）</w:t>
            </w:r>
          </w:p>
        </w:tc>
        <w:tc>
          <w:tcPr>
            <w:tcW w:w="5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1FDAA">
            <w:pPr>
              <w:keepNext w:val="0"/>
              <w:keepLines w:val="0"/>
              <w:widowControl/>
              <w:suppressLineNumbers w:val="0"/>
              <w:spacing w:line="360" w:lineRule="auto"/>
              <w:jc w:val="center"/>
              <w:textAlignment w:val="top"/>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rPr>
              <w:t>26个</w:t>
            </w:r>
          </w:p>
        </w:tc>
        <w:tc>
          <w:tcPr>
            <w:tcW w:w="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3834A">
            <w:pPr>
              <w:keepNext w:val="0"/>
              <w:keepLines w:val="0"/>
              <w:widowControl/>
              <w:suppressLineNumbers w:val="0"/>
              <w:spacing w:line="360" w:lineRule="auto"/>
              <w:jc w:val="center"/>
              <w:textAlignment w:val="top"/>
              <w:rPr>
                <w:rFonts w:hint="eastAsia" w:ascii="宋体" w:hAnsi="宋体" w:eastAsia="宋体" w:cs="宋体"/>
                <w:i w:val="0"/>
                <w:iCs w:val="0"/>
                <w:color w:val="auto"/>
                <w:kern w:val="0"/>
                <w:sz w:val="24"/>
                <w:szCs w:val="24"/>
                <w:highlight w:val="none"/>
                <w:u w:val="none"/>
                <w:lang w:val="en-US" w:eastAsia="zh-CN"/>
              </w:rPr>
            </w:pPr>
            <w:r>
              <w:rPr>
                <w:rFonts w:hint="eastAsia" w:ascii="宋体" w:hAnsi="宋体" w:eastAsia="宋体" w:cs="宋体"/>
                <w:i w:val="0"/>
                <w:iCs w:val="0"/>
                <w:color w:val="auto"/>
                <w:kern w:val="0"/>
                <w:sz w:val="24"/>
                <w:szCs w:val="24"/>
                <w:highlight w:val="none"/>
                <w:u w:val="none"/>
                <w:lang w:val="en-US" w:eastAsia="zh-CN"/>
              </w:rPr>
              <w:t>工业</w:t>
            </w:r>
          </w:p>
        </w:tc>
      </w:tr>
      <w:tr w14:paraId="5457F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047D2">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rPr>
              <w:t>8</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4148A">
            <w:pPr>
              <w:keepNext w:val="0"/>
              <w:keepLines w:val="0"/>
              <w:widowControl/>
              <w:suppressLineNumbers w:val="0"/>
              <w:spacing w:line="360" w:lineRule="auto"/>
              <w:jc w:val="both"/>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呼叫器</w:t>
            </w:r>
          </w:p>
        </w:tc>
        <w:tc>
          <w:tcPr>
            <w:tcW w:w="3239" w:type="pct"/>
            <w:tcBorders>
              <w:top w:val="single" w:color="000000" w:sz="4" w:space="0"/>
              <w:left w:val="single" w:color="000000" w:sz="4" w:space="0"/>
              <w:bottom w:val="single" w:color="000000" w:sz="4" w:space="0"/>
              <w:right w:val="single" w:color="000000" w:sz="4" w:space="0"/>
            </w:tcBorders>
            <w:shd w:val="clear" w:color="auto" w:fill="auto"/>
          </w:tcPr>
          <w:p w14:paraId="20A6C716">
            <w:pPr>
              <w:bidi w:val="0"/>
              <w:spacing w:line="360" w:lineRule="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rPr>
              <w:t>1、防水等级≥IP68</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2、安装方式：壁装螺丝固定，适配86底盒</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3、报警方式：按钮+拉绳≥ 2 种方式报警，连接黄线和黑线即可。如果还提供DC12V供电（接红线和黑线），报警时指示灯亮，蜂鸣器响</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4、颜色：底壳白色+按钮红色</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5、设备DC12V供电，不具备自带电池。</w:t>
            </w:r>
          </w:p>
        </w:tc>
        <w:tc>
          <w:tcPr>
            <w:tcW w:w="5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9A20C">
            <w:pPr>
              <w:keepNext w:val="0"/>
              <w:keepLines w:val="0"/>
              <w:widowControl/>
              <w:suppressLineNumbers w:val="0"/>
              <w:spacing w:line="360" w:lineRule="auto"/>
              <w:jc w:val="center"/>
              <w:textAlignment w:val="top"/>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rPr>
              <w:t>59个</w:t>
            </w:r>
          </w:p>
        </w:tc>
        <w:tc>
          <w:tcPr>
            <w:tcW w:w="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D5328">
            <w:pPr>
              <w:keepNext w:val="0"/>
              <w:keepLines w:val="0"/>
              <w:widowControl/>
              <w:suppressLineNumbers w:val="0"/>
              <w:spacing w:line="360" w:lineRule="auto"/>
              <w:jc w:val="center"/>
              <w:textAlignment w:val="top"/>
              <w:rPr>
                <w:rFonts w:hint="eastAsia" w:ascii="宋体" w:hAnsi="宋体" w:eastAsia="宋体" w:cs="宋体"/>
                <w:i w:val="0"/>
                <w:iCs w:val="0"/>
                <w:color w:val="auto"/>
                <w:kern w:val="0"/>
                <w:sz w:val="24"/>
                <w:szCs w:val="24"/>
                <w:highlight w:val="none"/>
                <w:u w:val="none"/>
                <w:lang w:val="en-US" w:eastAsia="zh-CN"/>
              </w:rPr>
            </w:pPr>
            <w:r>
              <w:rPr>
                <w:rFonts w:hint="eastAsia" w:ascii="宋体" w:hAnsi="宋体" w:eastAsia="宋体" w:cs="宋体"/>
                <w:i w:val="0"/>
                <w:iCs w:val="0"/>
                <w:color w:val="auto"/>
                <w:kern w:val="0"/>
                <w:sz w:val="24"/>
                <w:szCs w:val="24"/>
                <w:highlight w:val="none"/>
                <w:u w:val="none"/>
                <w:lang w:val="en-US" w:eastAsia="zh-CN"/>
              </w:rPr>
              <w:t>工业</w:t>
            </w:r>
          </w:p>
        </w:tc>
      </w:tr>
      <w:tr w14:paraId="07620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9773F">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kern w:val="0"/>
                <w:sz w:val="24"/>
                <w:szCs w:val="24"/>
                <w:highlight w:val="none"/>
                <w:u w:val="none"/>
                <w:lang w:val="en-US" w:eastAsia="zh-CN"/>
              </w:rPr>
              <w:t>9</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39CC3">
            <w:pPr>
              <w:keepNext w:val="0"/>
              <w:keepLines w:val="0"/>
              <w:widowControl/>
              <w:suppressLineNumbers w:val="0"/>
              <w:spacing w:line="360" w:lineRule="auto"/>
              <w:jc w:val="both"/>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床头屏幕</w:t>
            </w:r>
          </w:p>
        </w:tc>
        <w:tc>
          <w:tcPr>
            <w:tcW w:w="3239" w:type="pct"/>
            <w:tcBorders>
              <w:top w:val="single" w:color="000000" w:sz="4" w:space="0"/>
              <w:left w:val="single" w:color="000000" w:sz="4" w:space="0"/>
              <w:bottom w:val="single" w:color="000000" w:sz="4" w:space="0"/>
              <w:right w:val="single" w:color="000000" w:sz="4" w:space="0"/>
            </w:tcBorders>
            <w:shd w:val="clear" w:color="auto" w:fill="auto"/>
          </w:tcPr>
          <w:p w14:paraId="1E2D09BF">
            <w:pPr>
              <w:numPr>
                <w:ilvl w:val="0"/>
                <w:numId w:val="3"/>
              </w:num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屏幕尺寸：不低于10.1英寸触摸屏</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2、操作系统：设备搭载嵌入式智能操作系统，支持图形化交互，系统版本号满足主流要求</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3、屏幕分辨率：1024*600</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4、CPU：不低于四核</w:t>
            </w:r>
            <w:r>
              <w:rPr>
                <w:rFonts w:hint="eastAsia" w:ascii="宋体" w:hAnsi="宋体" w:eastAsia="宋体" w:cs="宋体"/>
                <w:color w:val="auto"/>
                <w:sz w:val="24"/>
                <w:szCs w:val="24"/>
                <w:highlight w:val="none"/>
              </w:rPr>
              <w:t>1.5Gh</w:t>
            </w:r>
            <w:r>
              <w:rPr>
                <w:rFonts w:hint="eastAsia" w:ascii="宋体" w:hAnsi="宋体" w:eastAsia="宋体" w:cs="宋体"/>
                <w:color w:val="auto"/>
                <w:sz w:val="24"/>
                <w:szCs w:val="24"/>
                <w:highlight w:val="none"/>
                <w:lang w:val="en-US" w:eastAsia="zh-CN"/>
              </w:rPr>
              <w:t>z</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5、操作方式：电容触摸+手柄按键</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6、内存不低于2G，存储不低于128G</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包含</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7、通信方式：具备有线和无线网络</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8、硬件接口： 8 路报警输入、1路485接口、1 路手柄接口、1路 DC 12V 输入、1 路串口调试口、1 个 RJ45 网口、1路 DC 12V 输出、1个TF卡槽</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9、安装方式：设备带开孔，打螺钉挂板安装</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10、供电方式：DC12V/标准POE</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11、设备功耗：≤8W</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12、工作温度：-10℃～50℃</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13、工作湿度：10％-90％</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14、防水等级：不防水</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15、产品尺寸：254mm×166mm×18.6mm</w:t>
            </w:r>
          </w:p>
          <w:p w14:paraId="0AAB2452">
            <w:pPr>
              <w:numPr>
                <w:ilvl w:val="0"/>
                <w:numId w:val="0"/>
              </w:num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16、能够登陆访问校园网</w:t>
            </w:r>
          </w:p>
          <w:p w14:paraId="6FD566AF">
            <w:pPr>
              <w:numPr>
                <w:ilvl w:val="0"/>
                <w:numId w:val="0"/>
              </w:num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17、首页功能：支持展示患者、医护人员及注意事项等信息；支持向护士站主机或值班分机发起呼叫、换药，和接听两者发起的对讲；可接收护士站主机发起的广播信息。</w:t>
            </w:r>
          </w:p>
          <w:p w14:paraId="4C2C9804">
            <w:pPr>
              <w:numPr>
                <w:ilvl w:val="0"/>
                <w:numId w:val="0"/>
              </w:num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18、消息提醒：支持对患者的检验、检查、手术等预约信息进行提醒。</w:t>
            </w:r>
          </w:p>
          <w:p w14:paraId="4ECA4BEC">
            <w:pPr>
              <w:numPr>
                <w:ilvl w:val="0"/>
                <w:numId w:val="0"/>
              </w:num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19、费用查询：支持输入身份证尾数进行身份认证通过后进行患者费用查询；支持按日查看费用明细和汇总查看住院费用。</w:t>
            </w:r>
          </w:p>
          <w:p w14:paraId="6F9EAF04">
            <w:pPr>
              <w:numPr>
                <w:ilvl w:val="0"/>
                <w:numId w:val="0"/>
              </w:num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20、医院风采：可展示医院、科室、病区、医生、护理人员的简介及图片等；可展示医院的宣传视频。</w:t>
            </w:r>
          </w:p>
          <w:p w14:paraId="70A1763B">
            <w:pPr>
              <w:numPr>
                <w:ilvl w:val="0"/>
                <w:numId w:val="0"/>
              </w:num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21、健康宣教：展示和播放平台推送的健康宣教材料，患者阅读宣教材料后，系统记录已读状态。</w:t>
            </w:r>
          </w:p>
          <w:p w14:paraId="6DDF6804">
            <w:pPr>
              <w:numPr>
                <w:ilvl w:val="0"/>
                <w:numId w:val="0"/>
              </w:num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22、出入院指南：展示和播放平台推送的出入院指南，患者阅读宣教材料后，系统记录已读状态。</w:t>
            </w:r>
          </w:p>
          <w:p w14:paraId="42BB8D46">
            <w:pPr>
              <w:numPr>
                <w:ilvl w:val="0"/>
                <w:numId w:val="0"/>
              </w:num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23、医学计算器：可计算患者的平均动脉压；可对需要补充输液的患者计算滴速。</w:t>
            </w:r>
          </w:p>
          <w:p w14:paraId="0414C937">
            <w:pPr>
              <w:numPr>
                <w:ilvl w:val="0"/>
                <w:numId w:val="0"/>
              </w:num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24、订餐功能：支持对接院内订餐系统，进行身份认证后可根据患者膳食要求生成相应的订餐二维码。</w:t>
            </w:r>
          </w:p>
          <w:p w14:paraId="319128F0">
            <w:pPr>
              <w:numPr>
                <w:ilvl w:val="0"/>
                <w:numId w:val="0"/>
              </w:num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25、功能设置：支持设置通话音量、床头终端时区、本地网络参数配置。</w:t>
            </w:r>
          </w:p>
          <w:p w14:paraId="1C90AF76">
            <w:pPr>
              <w:numPr>
                <w:ilvl w:val="0"/>
                <w:numId w:val="0"/>
              </w:num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26、皮试闹钟：护士给患者做完皮试之后，可以根据皮试时长设置相应的皮试闹钟，到时之后自动提醒皮试时间已到，防止护士遗忘到时记录皮试结果。</w:t>
            </w:r>
          </w:p>
          <w:p w14:paraId="0FD51B86">
            <w:pPr>
              <w:numPr>
                <w:ilvl w:val="0"/>
                <w:numId w:val="0"/>
              </w:numPr>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27、满意度调查：患者可在此功能界面，给病区提交相关服务的满意度分数。</w:t>
            </w:r>
          </w:p>
          <w:p w14:paraId="2B22B68D">
            <w:pPr>
              <w:numPr>
                <w:ilvl w:val="0"/>
                <w:numId w:val="0"/>
              </w:num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28、悬臂支架安装，悬臂详细参数详见安装调试服务。</w:t>
            </w:r>
          </w:p>
        </w:tc>
        <w:tc>
          <w:tcPr>
            <w:tcW w:w="5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4EC7E">
            <w:pPr>
              <w:keepNext w:val="0"/>
              <w:keepLines w:val="0"/>
              <w:widowControl/>
              <w:suppressLineNumbers w:val="0"/>
              <w:spacing w:line="360" w:lineRule="auto"/>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59台</w:t>
            </w:r>
          </w:p>
        </w:tc>
        <w:tc>
          <w:tcPr>
            <w:tcW w:w="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22242">
            <w:pPr>
              <w:keepNext w:val="0"/>
              <w:keepLines w:val="0"/>
              <w:widowControl/>
              <w:suppressLineNumbers w:val="0"/>
              <w:spacing w:line="360" w:lineRule="auto"/>
              <w:jc w:val="center"/>
              <w:textAlignment w:val="top"/>
              <w:rPr>
                <w:rFonts w:hint="eastAsia" w:ascii="宋体" w:hAnsi="宋体" w:eastAsia="宋体" w:cs="宋体"/>
                <w:i w:val="0"/>
                <w:iCs w:val="0"/>
                <w:color w:val="auto"/>
                <w:kern w:val="0"/>
                <w:sz w:val="24"/>
                <w:szCs w:val="24"/>
                <w:highlight w:val="none"/>
                <w:u w:val="none"/>
                <w:lang w:val="en-US" w:eastAsia="zh-CN"/>
              </w:rPr>
            </w:pPr>
            <w:r>
              <w:rPr>
                <w:rFonts w:hint="eastAsia" w:ascii="宋体" w:hAnsi="宋体" w:eastAsia="宋体" w:cs="宋体"/>
                <w:i w:val="0"/>
                <w:iCs w:val="0"/>
                <w:color w:val="auto"/>
                <w:kern w:val="0"/>
                <w:sz w:val="24"/>
                <w:szCs w:val="24"/>
                <w:highlight w:val="none"/>
                <w:u w:val="none"/>
                <w:lang w:val="en-US" w:eastAsia="zh-CN"/>
              </w:rPr>
              <w:t>工业</w:t>
            </w:r>
          </w:p>
        </w:tc>
      </w:tr>
      <w:tr w14:paraId="4A7D22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ED55A">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rPr>
              <w:t>10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DE833">
            <w:pPr>
              <w:keepNext w:val="0"/>
              <w:keepLines w:val="0"/>
              <w:widowControl/>
              <w:suppressLineNumbers w:val="0"/>
              <w:spacing w:line="360" w:lineRule="auto"/>
              <w:jc w:val="both"/>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护士站大屏</w:t>
            </w:r>
          </w:p>
        </w:tc>
        <w:tc>
          <w:tcPr>
            <w:tcW w:w="3239" w:type="pct"/>
            <w:tcBorders>
              <w:top w:val="single" w:color="000000" w:sz="4" w:space="0"/>
              <w:left w:val="single" w:color="000000" w:sz="4" w:space="0"/>
              <w:bottom w:val="single" w:color="000000" w:sz="4" w:space="0"/>
              <w:right w:val="single" w:color="000000" w:sz="4" w:space="0"/>
            </w:tcBorders>
            <w:shd w:val="clear" w:color="auto" w:fill="auto"/>
          </w:tcPr>
          <w:p w14:paraId="1B9DE612">
            <w:pPr>
              <w:numPr>
                <w:ilvl w:val="0"/>
                <w:numId w:val="4"/>
              </w:num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显示尺寸：≥65 inch</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2、物理分辨率：≥3840 × 2160</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3、屏幕可视区域：≥1209.6 mm (H) × 680.4 mm (V)</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4、像素间距：≤0.124 mm (H) × 0.372 mm (V)</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5、背光源类型：D-LED</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6、可视角：≥178°(H)/178°(V)</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7、亮度：≥500 cd/m²</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8、色深度：≥1.07G Colours  8Bit+FRC</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9、对比度：≥5000：1</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 xml:space="preserve">10、操作系统：设备搭载嵌入式智能操作系统，支持图形化交互，系统版本号满足主流要求 </w:t>
            </w:r>
          </w:p>
          <w:p w14:paraId="5701FC19">
            <w:pPr>
              <w:numPr>
                <w:ilvl w:val="0"/>
                <w:numId w:val="0"/>
              </w:numPr>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11、CPU：CPU: ≥4核，主频≥1.92 GHz</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12、GPU:不低于2 个执行单元簇，不低于 6 个着色器核心</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13、内存：≥2 GB</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 xml:space="preserve">14、内置存储：≥16 GB嵌入式闪存 </w:t>
            </w:r>
          </w:p>
          <w:p w14:paraId="0AD98691">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15、输入电压：100-240V AC，50/60 Hz</w:t>
            </w:r>
          </w:p>
        </w:tc>
        <w:tc>
          <w:tcPr>
            <w:tcW w:w="5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5BB76">
            <w:pPr>
              <w:keepNext w:val="0"/>
              <w:keepLines w:val="0"/>
              <w:widowControl/>
              <w:suppressLineNumbers w:val="0"/>
              <w:spacing w:line="360" w:lineRule="auto"/>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1台</w:t>
            </w:r>
          </w:p>
        </w:tc>
        <w:tc>
          <w:tcPr>
            <w:tcW w:w="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8A0BA">
            <w:pPr>
              <w:keepNext w:val="0"/>
              <w:keepLines w:val="0"/>
              <w:widowControl/>
              <w:suppressLineNumbers w:val="0"/>
              <w:spacing w:line="360" w:lineRule="auto"/>
              <w:jc w:val="center"/>
              <w:textAlignment w:val="top"/>
              <w:rPr>
                <w:rFonts w:hint="eastAsia" w:ascii="宋体" w:hAnsi="宋体" w:eastAsia="宋体" w:cs="宋体"/>
                <w:i w:val="0"/>
                <w:iCs w:val="0"/>
                <w:color w:val="auto"/>
                <w:kern w:val="0"/>
                <w:sz w:val="24"/>
                <w:szCs w:val="24"/>
                <w:highlight w:val="none"/>
                <w:u w:val="none"/>
                <w:lang w:val="en-US" w:eastAsia="zh-CN"/>
              </w:rPr>
            </w:pPr>
            <w:r>
              <w:rPr>
                <w:rFonts w:hint="eastAsia" w:ascii="宋体" w:hAnsi="宋体" w:eastAsia="宋体" w:cs="宋体"/>
                <w:i w:val="0"/>
                <w:iCs w:val="0"/>
                <w:color w:val="auto"/>
                <w:kern w:val="0"/>
                <w:sz w:val="24"/>
                <w:szCs w:val="24"/>
                <w:highlight w:val="none"/>
                <w:u w:val="none"/>
                <w:lang w:val="en-US" w:eastAsia="zh-CN"/>
              </w:rPr>
              <w:t>工业</w:t>
            </w:r>
          </w:p>
        </w:tc>
      </w:tr>
      <w:tr w14:paraId="025AF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6C06C">
            <w:pPr>
              <w:keepNext w:val="0"/>
              <w:keepLines w:val="0"/>
              <w:widowControl/>
              <w:suppressLineNumbers w:val="0"/>
              <w:spacing w:line="360" w:lineRule="auto"/>
              <w:jc w:val="center"/>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rPr>
              <w:t>11</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8399B">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IP 网络音频设备</w:t>
            </w:r>
          </w:p>
        </w:tc>
        <w:tc>
          <w:tcPr>
            <w:tcW w:w="3239" w:type="pct"/>
            <w:tcBorders>
              <w:top w:val="single" w:color="000000" w:sz="4" w:space="0"/>
              <w:left w:val="single" w:color="000000" w:sz="4" w:space="0"/>
              <w:bottom w:val="single" w:color="000000" w:sz="4" w:space="0"/>
              <w:right w:val="single" w:color="000000" w:sz="4" w:space="0"/>
            </w:tcBorders>
            <w:shd w:val="clear" w:color="auto" w:fill="auto"/>
          </w:tcPr>
          <w:p w14:paraId="5B7C2B27">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（一）网络广播主机：1台</w:t>
            </w:r>
          </w:p>
          <w:p w14:paraId="50A9F005">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一、技术要求：</w:t>
            </w:r>
          </w:p>
          <w:p w14:paraId="003410D9">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1、IP网络数字广播系统具备全国产化，服务端平台软件可以具备国产化操作系统。，具备主流CPU芯片，x86架构或ARM架构；</w:t>
            </w:r>
          </w:p>
          <w:p w14:paraId="5B0A44C5">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2、采用超薄机架式工控机机箱设计，设备更轻便，机箱采用钢结构；</w:t>
            </w:r>
          </w:p>
          <w:p w14:paraId="714AF711">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3、具备专用千兆网传输，可同时传输上百套节目源；</w:t>
            </w:r>
          </w:p>
          <w:p w14:paraId="35C05F44">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4、工业级专用主板设计，长时期不断电稳定工作；</w:t>
            </w:r>
          </w:p>
          <w:p w14:paraId="12590453">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5、采用WEB服务器架构，，具备多用户同时访问；</w:t>
            </w:r>
          </w:p>
          <w:p w14:paraId="09B77A62">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6、应用数据和媒体文件采用数据库管理，安全可靠，任务数不受限制；</w:t>
            </w:r>
          </w:p>
          <w:p w14:paraId="6DC501D2">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7、专业流媒体服务器，具备标准流媒体格式；</w:t>
            </w:r>
          </w:p>
          <w:p w14:paraId="277BB8FA">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8、服务器软件采用后台系统服务运行，是企业级的标准服务器工作模式，开机，系统即可自动运行</w:t>
            </w:r>
          </w:p>
          <w:p w14:paraId="55DC4ECB">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9、扩展增加备用服务器可实现服务器软件数据共享，备用服务器能实时检测主用工控机的工作状态，并实现故障自动主备切换，可完整替代主服务器的管理控制功能，实现“双机热备”；</w:t>
            </w:r>
          </w:p>
          <w:p w14:paraId="45BD6C1C">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10、内置文字语音播报服务，可实现文字、文本播放，男/女声、播放速率可选；</w:t>
            </w:r>
          </w:p>
          <w:p w14:paraId="7D94C147">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11、系统采用B/S架构，通过浏览器直接访问，无需另外安装客户端软件；</w:t>
            </w:r>
          </w:p>
          <w:p w14:paraId="5551528C">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12、具备远程无线遥控功能，实现远距离遥控快捷操作；</w:t>
            </w:r>
          </w:p>
          <w:p w14:paraId="1DBC7F98">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13、系统具有手动/自动巡更功能，实现终端设备自检，后台可查看；</w:t>
            </w:r>
          </w:p>
          <w:p w14:paraId="1DDFD871">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14、内置校时服务，实现GPS、BDS、NTP自动校时，并可实时同步外扩电子时钟，时间精度≤1s；</w:t>
            </w:r>
          </w:p>
          <w:p w14:paraId="02B10442">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15、具有节假日自动停播功能；</w:t>
            </w:r>
          </w:p>
          <w:p w14:paraId="18F248EF">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16、系统具备第三方平台嵌入式开发，提供提供软件开发包工具(SDK)，实现与大系统、大平台的系统整合。</w:t>
            </w:r>
          </w:p>
          <w:p w14:paraId="71883699">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17、快捷播放功能：可自定快建播放按键，实现一键快捷播放任务及实时寻呼；</w:t>
            </w:r>
          </w:p>
          <w:p w14:paraId="1FEE8087">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18、15寸电容触摸屏设计，触摸准确有效；</w:t>
            </w:r>
          </w:p>
          <w:p w14:paraId="1C35C427">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19、构建于全新安全框架，配备多层次防护机制，可抵御恶意攻击，保障数据安全‌；</w:t>
            </w:r>
          </w:p>
          <w:p w14:paraId="08871462">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20、具备和消防报警连动功能，实现消防报警应急广播；</w:t>
            </w:r>
          </w:p>
          <w:p w14:paraId="40532586">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21、具备云广播任务推送和播放功能，在没有服务器的情况下也能保障任务正常播放；</w:t>
            </w:r>
          </w:p>
          <w:p w14:paraId="544E529D">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22、具备系统定时开关机功能，随时随地无人化自动管理；</w:t>
            </w:r>
          </w:p>
          <w:p w14:paraId="2504F8A0">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23、可配和多种设备实现特定场景应用，如LED文字显示，人脸识别播报，噪声检测等；</w:t>
            </w:r>
          </w:p>
          <w:p w14:paraId="557E586E">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24、网络广播具备UDP、TCP、RTP、组播四种广播传输协议，能针对不同场景设置不同的广播传输方式。具备多种广播应用，具体要求包含：全区广播、分区广播、定时广播</w:t>
            </w:r>
          </w:p>
          <w:p w14:paraId="6FEFD907">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25、屏幕尺寸:不低于15英寸</w:t>
            </w:r>
          </w:p>
          <w:p w14:paraId="2EA875AC">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26、软件操作平台：国产操作系统</w:t>
            </w:r>
          </w:p>
          <w:p w14:paraId="6D4C806D">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27、屏幕颜色:TFT24位真彩色</w:t>
            </w:r>
          </w:p>
          <w:p w14:paraId="31E26C0C">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28、工作环境:环境温度：5℃~40℃；相对湿度：≧75%</w:t>
            </w:r>
          </w:p>
          <w:p w14:paraId="4DEC7BA0">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29、主板：集成千兆网卡，</w:t>
            </w:r>
          </w:p>
          <w:p w14:paraId="3247AC50">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30、CPU:不低于2.6G四线程</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31、内存:DDR44G</w:t>
            </w:r>
          </w:p>
          <w:p w14:paraId="08A1ECE9">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32、内置128G固态硬盘，具有抗震动、抗摔、读写速度快、功耗低等特点；</w:t>
            </w:r>
          </w:p>
          <w:p w14:paraId="1CFB1D00">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33、电源：DC12V,7A</w:t>
            </w:r>
          </w:p>
          <w:p w14:paraId="198BAC7E">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34、液晶显示屏：TFT-LCD电容液晶触摸屏，分辨率1280*800</w:t>
            </w:r>
          </w:p>
          <w:p w14:paraId="467AFD48">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35、标准接口:1×RJ45接口；2×USB(3.0)；2×USB(2.0)；1×VGA；1×HDMI</w:t>
            </w:r>
          </w:p>
          <w:p w14:paraId="2D4D8AC2">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36、系统音频信号信噪比：LINE：70dB；MIC：60dB</w:t>
            </w:r>
          </w:p>
          <w:p w14:paraId="72AA456E">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37、系统音频信号失真度：1KHz&lt;0.5%</w:t>
            </w:r>
          </w:p>
          <w:p w14:paraId="06F2FB57">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（二）数字网络音频采集：1台</w:t>
            </w:r>
          </w:p>
          <w:p w14:paraId="1598DE7A">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一、技术要求：</w:t>
            </w:r>
          </w:p>
          <w:p w14:paraId="62795422">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1、具备模拟音频的网络传输</w:t>
            </w:r>
          </w:p>
          <w:p w14:paraId="2A592777">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2、3路线路输入，2路麦克风输入（1路带默音功能，1路话筒混音功能），2路模拟输出</w:t>
            </w:r>
          </w:p>
          <w:p w14:paraId="62FA9106">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3、MP3播放功能，可插U盘、SD卡，具有FM收音功能</w:t>
            </w:r>
          </w:p>
          <w:p w14:paraId="1EB218D6">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4、电源管理（3路外控电源，1路MP3模块）</w:t>
            </w:r>
          </w:p>
          <w:p w14:paraId="4100CC33">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5、高、低音独立调节，线路输入、话筒、MP3音量独立调节</w:t>
            </w:r>
          </w:p>
          <w:p w14:paraId="0E4259F6">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6、10组快捷分区设置（通过软件可对10个手动按键进行分区设置，实现一键开启分区功能）</w:t>
            </w:r>
          </w:p>
          <w:p w14:paraId="6EA45041">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7、1路远程触发设置（通过软件设置对应分区与远程无线话筒联动，实现无线话筒控制采集器工作）</w:t>
            </w:r>
          </w:p>
          <w:p w14:paraId="58BB979A">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（三）IP网络寻呼话筒：1个</w:t>
            </w:r>
          </w:p>
          <w:p w14:paraId="37101CB7">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一、技术要求：</w:t>
            </w:r>
          </w:p>
          <w:p w14:paraId="3337608A">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1、采用话筒桌面式设计，带有7英寸触摸功能显示屏；显示屏自带数字键、功能键，具备通过触摸呼叫广播，具备呼叫分区及多个分区，呼叫全区广播；可具备10个按键自定义一键呼叫广播功能</w:t>
            </w:r>
          </w:p>
          <w:p w14:paraId="77ACCD5E">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2、内置1路网络硬件音频解码模块，具有1路RJ45网络接口，100Mbps传输速率</w:t>
            </w:r>
          </w:p>
          <w:p w14:paraId="1ACDCD14">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3、内置扬声器，实现双向通话和网络监听</w:t>
            </w:r>
          </w:p>
          <w:p w14:paraId="183414B7">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4，具有1路音频线路输入，具备采集播放功能；具有1路音频线路输出，可外接功率放大器</w:t>
            </w:r>
          </w:p>
          <w:p w14:paraId="4825E9CB">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5、具备直接操作呼叫或对讲任意终端，具备通过话筒广播呼叫功能，广播延时低于100毫秒</w:t>
            </w:r>
          </w:p>
          <w:p w14:paraId="1349AEEA">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6、具备多种呼叫策略，包括呼叫等待、呼叫转移、无人接听提醒；自动接听、手动接听，具备自定义接听提示音，具备转移时间、无人接听时间、呼叫等待时间自定义</w:t>
            </w:r>
          </w:p>
          <w:p w14:paraId="2E906CA1">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7、具有1个3.5耳机接口、1路3.5话筒输入接口</w:t>
            </w:r>
          </w:p>
          <w:p w14:paraId="681F1F41">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8、具备通过后台软件对终端进行远程固件升级。播功能</w:t>
            </w:r>
          </w:p>
          <w:p w14:paraId="4F359472">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9、具备手机修改IP地址、设置设备参数</w:t>
            </w:r>
          </w:p>
          <w:p w14:paraId="25ED2B3A">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10、兼容TCP/IP、RTP、RTSP、UDP、IGMP（组播）等多种流媒体网络协议，实现跨网关设备控制以及状态实时监控</w:t>
            </w:r>
          </w:p>
          <w:p w14:paraId="0A53EE97">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11、具有密码登录保护功能；以防止非操作人员误操作</w:t>
            </w:r>
          </w:p>
          <w:p w14:paraId="322CE0C4">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（四）IP网络音箱：33台</w:t>
            </w:r>
          </w:p>
          <w:p w14:paraId="5B8EFCE1">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一、技术要求：</w:t>
            </w:r>
          </w:p>
          <w:p w14:paraId="0EC1ABC5">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1、内置8Ω/2x15W数字音频放大模块，具备本地麦克、线路、实时检测本地音频输入（优先级可配），立体扩声；</w:t>
            </w:r>
          </w:p>
          <w:p w14:paraId="656996D6">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2、配置终端至任意指定节目源，开关、音量、均衡可控，工作异常时能够自动续播末次任务；</w:t>
            </w:r>
          </w:p>
          <w:p w14:paraId="54F5B57B">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3、内置网络解码模块、数字立体声定阻功率放大器和高保真扬声器；可接收服务器的文件广播任务、采集任务、定时任务、网络电台任务等资源</w:t>
            </w:r>
          </w:p>
          <w:p w14:paraId="503E797D">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4、1路话筒输入和1路立体声线路输入，实现本地扩音；</w:t>
            </w:r>
          </w:p>
          <w:p w14:paraId="6025B5D7">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5、自带音量调整旋钮、可本地控制音量及网络音量，具备手动开启功放</w:t>
            </w:r>
          </w:p>
          <w:p w14:paraId="4ED655CC">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6、带RST复位键、在无法确定IP地址的情况下可复位终端</w:t>
            </w:r>
          </w:p>
          <w:p w14:paraId="08F4E881">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7、带蓝牙功能</w:t>
            </w:r>
          </w:p>
        </w:tc>
        <w:tc>
          <w:tcPr>
            <w:tcW w:w="5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79CA8">
            <w:pPr>
              <w:keepNext w:val="0"/>
              <w:keepLines w:val="0"/>
              <w:widowControl/>
              <w:suppressLineNumbers w:val="0"/>
              <w:spacing w:line="360" w:lineRule="auto"/>
              <w:jc w:val="center"/>
              <w:textAlignment w:val="top"/>
              <w:rPr>
                <w:rFonts w:hint="eastAsia" w:ascii="宋体" w:hAnsi="宋体" w:eastAsia="宋体" w:cs="宋体"/>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rPr>
              <w:t>1套</w:t>
            </w:r>
          </w:p>
        </w:tc>
        <w:tc>
          <w:tcPr>
            <w:tcW w:w="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84703">
            <w:pPr>
              <w:keepNext w:val="0"/>
              <w:keepLines w:val="0"/>
              <w:widowControl/>
              <w:suppressLineNumbers w:val="0"/>
              <w:spacing w:line="360" w:lineRule="auto"/>
              <w:jc w:val="center"/>
              <w:textAlignment w:val="top"/>
              <w:rPr>
                <w:rFonts w:hint="eastAsia" w:ascii="宋体" w:hAnsi="宋体" w:eastAsia="宋体" w:cs="宋体"/>
                <w:i w:val="0"/>
                <w:iCs w:val="0"/>
                <w:color w:val="auto"/>
                <w:kern w:val="0"/>
                <w:sz w:val="24"/>
                <w:szCs w:val="24"/>
                <w:highlight w:val="none"/>
                <w:u w:val="none"/>
                <w:lang w:val="en-US" w:eastAsia="zh-CN"/>
              </w:rPr>
            </w:pPr>
            <w:r>
              <w:rPr>
                <w:rFonts w:hint="eastAsia" w:ascii="宋体" w:hAnsi="宋体" w:eastAsia="宋体" w:cs="宋体"/>
                <w:i w:val="0"/>
                <w:iCs w:val="0"/>
                <w:color w:val="auto"/>
                <w:kern w:val="0"/>
                <w:sz w:val="24"/>
                <w:szCs w:val="24"/>
                <w:highlight w:val="none"/>
                <w:u w:val="none"/>
                <w:lang w:val="en-US" w:eastAsia="zh-CN"/>
              </w:rPr>
              <w:t>工业</w:t>
            </w:r>
          </w:p>
        </w:tc>
      </w:tr>
      <w:tr w14:paraId="3BED6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E0B23">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rPr>
              <w:t>12</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5C3A8">
            <w:pPr>
              <w:keepNext w:val="0"/>
              <w:keepLines w:val="0"/>
              <w:widowControl/>
              <w:suppressLineNumbers w:val="0"/>
              <w:spacing w:line="360" w:lineRule="auto"/>
              <w:jc w:val="both"/>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走廊护理信息显示屏</w:t>
            </w:r>
          </w:p>
        </w:tc>
        <w:tc>
          <w:tcPr>
            <w:tcW w:w="3239" w:type="pct"/>
            <w:tcBorders>
              <w:top w:val="single" w:color="000000" w:sz="4" w:space="0"/>
              <w:left w:val="single" w:color="000000" w:sz="4" w:space="0"/>
              <w:bottom w:val="single" w:color="000000" w:sz="4" w:space="0"/>
              <w:right w:val="single" w:color="000000" w:sz="4" w:space="0"/>
            </w:tcBorders>
            <w:shd w:val="clear" w:color="auto" w:fill="auto"/>
          </w:tcPr>
          <w:p w14:paraId="0C5B9A0F">
            <w:pPr>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1、通讯接口：≥LAN*1</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2、功耗：≤30W；</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3、安装方式：钢丝绳吊装</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4、供电方式：220V  AC</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5、外框材质：边框一体化钣金</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6、显示屏：屏幕尺寸：≥867mm*197mm*45mm</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7、分辨率：≥128x32</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8、面板材质：双面玻璃面板</w:t>
            </w:r>
          </w:p>
        </w:tc>
        <w:tc>
          <w:tcPr>
            <w:tcW w:w="5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0C311">
            <w:pPr>
              <w:keepNext w:val="0"/>
              <w:keepLines w:val="0"/>
              <w:widowControl/>
              <w:suppressLineNumbers w:val="0"/>
              <w:spacing w:line="360" w:lineRule="auto"/>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4台</w:t>
            </w:r>
          </w:p>
        </w:tc>
        <w:tc>
          <w:tcPr>
            <w:tcW w:w="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65054">
            <w:pPr>
              <w:keepNext w:val="0"/>
              <w:keepLines w:val="0"/>
              <w:widowControl/>
              <w:suppressLineNumbers w:val="0"/>
              <w:spacing w:line="360" w:lineRule="auto"/>
              <w:jc w:val="center"/>
              <w:textAlignment w:val="top"/>
              <w:rPr>
                <w:rFonts w:hint="eastAsia" w:ascii="宋体" w:hAnsi="宋体" w:eastAsia="宋体" w:cs="宋体"/>
                <w:i w:val="0"/>
                <w:iCs w:val="0"/>
                <w:color w:val="auto"/>
                <w:kern w:val="0"/>
                <w:sz w:val="24"/>
                <w:szCs w:val="24"/>
                <w:highlight w:val="none"/>
                <w:u w:val="none"/>
                <w:lang w:val="en-US" w:eastAsia="zh-CN"/>
              </w:rPr>
            </w:pPr>
            <w:r>
              <w:rPr>
                <w:rFonts w:hint="eastAsia" w:ascii="宋体" w:hAnsi="宋体" w:eastAsia="宋体" w:cs="宋体"/>
                <w:i w:val="0"/>
                <w:iCs w:val="0"/>
                <w:color w:val="auto"/>
                <w:kern w:val="0"/>
                <w:sz w:val="24"/>
                <w:szCs w:val="24"/>
                <w:highlight w:val="none"/>
                <w:u w:val="none"/>
                <w:lang w:val="en-US" w:eastAsia="zh-CN"/>
              </w:rPr>
              <w:t>工业</w:t>
            </w:r>
          </w:p>
        </w:tc>
      </w:tr>
      <w:tr w14:paraId="18CDB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92"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FAEE6">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rPr>
              <w:t>13</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6FBEF">
            <w:pPr>
              <w:keepNext w:val="0"/>
              <w:keepLines w:val="0"/>
              <w:widowControl/>
              <w:suppressLineNumbers w:val="0"/>
              <w:spacing w:line="360" w:lineRule="auto"/>
              <w:jc w:val="both"/>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护士站管理主机</w:t>
            </w:r>
          </w:p>
        </w:tc>
        <w:tc>
          <w:tcPr>
            <w:tcW w:w="3239" w:type="pct"/>
            <w:tcBorders>
              <w:top w:val="single" w:color="000000" w:sz="4" w:space="0"/>
              <w:left w:val="single" w:color="000000" w:sz="4" w:space="0"/>
              <w:bottom w:val="single" w:color="000000" w:sz="4" w:space="0"/>
              <w:right w:val="single" w:color="000000" w:sz="4" w:space="0"/>
            </w:tcBorders>
            <w:shd w:val="clear" w:color="auto" w:fill="auto"/>
          </w:tcPr>
          <w:p w14:paraId="45121D65">
            <w:pPr>
              <w:numPr>
                <w:ilvl w:val="0"/>
                <w:numId w:val="5"/>
              </w:numPr>
              <w:bidi w:val="0"/>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屏幕尺寸：10.1英寸IPS触摸屏 </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2、屏幕分辨率：1280*800</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3、摄像头参数：200W摄像头</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4、操作方式：电容触摸</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5、内存不低于2G，存储不低于128G（包含）</w:t>
            </w:r>
          </w:p>
          <w:p w14:paraId="7B9C4B77">
            <w:pPr>
              <w:numPr>
                <w:ilvl w:val="-1"/>
                <w:numId w:val="0"/>
              </w:numPr>
              <w:bidi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6、通信方式：有线网络</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7、硬件接口： 2路报警输入、1路485接口、3路USB接口、1路 DC12V输入、1 路串口调试口、2个RJ45网口、1路HDMI输出、1个TF卡槽</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8、安装方式：桌面或墙面挂装</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9、供电方式：DC12V/标准POE</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10、设备功耗：≤13W</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11、工作温度：-10℃～50℃</w:t>
            </w:r>
          </w:p>
          <w:p w14:paraId="48CB55A1">
            <w:pPr>
              <w:widowControl w:val="0"/>
              <w:bidi w:val="0"/>
              <w:spacing w:line="360" w:lineRule="auto"/>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12、具备7×24 小时连续工作</w:t>
            </w:r>
            <w:r>
              <w:rPr>
                <w:rFonts w:hint="eastAsia" w:ascii="宋体" w:hAnsi="宋体" w:eastAsia="宋体" w:cs="宋体"/>
                <w:color w:val="auto"/>
                <w:kern w:val="2"/>
                <w:sz w:val="24"/>
                <w:szCs w:val="24"/>
                <w:highlight w:val="none"/>
                <w:lang w:val="en-US" w:eastAsia="zh-CN" w:bidi="ar-SA"/>
              </w:rPr>
              <w:br w:type="textWrapping"/>
            </w:r>
            <w:r>
              <w:rPr>
                <w:rFonts w:hint="eastAsia" w:ascii="宋体" w:hAnsi="宋体" w:eastAsia="宋体" w:cs="宋体"/>
                <w:color w:val="auto"/>
                <w:kern w:val="2"/>
                <w:sz w:val="24"/>
                <w:szCs w:val="24"/>
                <w:highlight w:val="none"/>
                <w:lang w:val="en-US" w:eastAsia="zh-CN" w:bidi="ar-SA"/>
              </w:rPr>
              <w:t>●13、最多具备连接管理 1000 台床头屏。具备本地音视频存储功能，包括对讲录音/录像，被连接监视设备的录音/录像。</w:t>
            </w:r>
            <w:r>
              <w:rPr>
                <w:rFonts w:hint="eastAsia" w:ascii="宋体" w:hAnsi="宋体" w:eastAsia="宋体" w:cs="宋体"/>
                <w:b/>
                <w:bCs/>
                <w:color w:val="auto"/>
                <w:kern w:val="2"/>
                <w:sz w:val="24"/>
                <w:szCs w:val="24"/>
                <w:highlight w:val="none"/>
                <w:lang w:val="en-US" w:eastAsia="zh-CN" w:bidi="ar-SA"/>
              </w:rPr>
              <w:t>（投标文件中需提供第三方有权检测机构出具的检测报告扫描件）</w:t>
            </w:r>
            <w:r>
              <w:rPr>
                <w:rFonts w:hint="eastAsia" w:ascii="宋体" w:hAnsi="宋体" w:eastAsia="宋体" w:cs="宋体"/>
                <w:b/>
                <w:bCs/>
                <w:color w:val="auto"/>
                <w:kern w:val="2"/>
                <w:sz w:val="24"/>
                <w:szCs w:val="24"/>
                <w:highlight w:val="none"/>
                <w:lang w:val="en-US" w:eastAsia="zh-CN" w:bidi="ar-SA"/>
              </w:rPr>
              <w:br w:type="textWrapping"/>
            </w:r>
            <w:r>
              <w:rPr>
                <w:rFonts w:hint="eastAsia" w:ascii="宋体" w:hAnsi="宋体" w:eastAsia="宋体" w:cs="宋体"/>
                <w:color w:val="auto"/>
                <w:kern w:val="2"/>
                <w:sz w:val="24"/>
                <w:szCs w:val="24"/>
                <w:highlight w:val="none"/>
                <w:lang w:val="en-US" w:eastAsia="zh-CN" w:bidi="ar-SA"/>
              </w:rPr>
              <w:t>●14、具备通过 HDMI 接口进行电脑等显示器投屏。</w:t>
            </w:r>
            <w:r>
              <w:rPr>
                <w:rFonts w:hint="eastAsia" w:ascii="宋体" w:hAnsi="宋体" w:eastAsia="宋体" w:cs="宋体"/>
                <w:b/>
                <w:bCs/>
                <w:color w:val="auto"/>
                <w:kern w:val="2"/>
                <w:sz w:val="24"/>
                <w:szCs w:val="24"/>
                <w:highlight w:val="none"/>
                <w:lang w:val="en-US" w:eastAsia="zh-CN" w:bidi="ar-SA"/>
              </w:rPr>
              <w:t>（投标文件中需提供第三方有权检测机构出具的检测报告扫描件）</w:t>
            </w:r>
            <w:r>
              <w:rPr>
                <w:rFonts w:hint="eastAsia" w:ascii="宋体" w:hAnsi="宋体" w:eastAsia="宋体" w:cs="宋体"/>
                <w:b/>
                <w:bCs/>
                <w:color w:val="auto"/>
                <w:kern w:val="2"/>
                <w:sz w:val="24"/>
                <w:szCs w:val="24"/>
                <w:highlight w:val="none"/>
                <w:lang w:val="en-US" w:eastAsia="zh-CN" w:bidi="ar-SA"/>
              </w:rPr>
              <w:br w:type="textWrapping"/>
            </w:r>
            <w:r>
              <w:rPr>
                <w:rFonts w:hint="eastAsia" w:ascii="宋体" w:hAnsi="宋体" w:eastAsia="宋体" w:cs="宋体"/>
                <w:color w:val="auto"/>
                <w:kern w:val="2"/>
                <w:sz w:val="24"/>
                <w:szCs w:val="24"/>
                <w:highlight w:val="none"/>
                <w:lang w:val="en-US" w:eastAsia="zh-CN" w:bidi="ar-SA"/>
              </w:rPr>
              <w:t>●15、具备门禁机的呼叫和监控，可控制门禁设备进行远程开门。</w:t>
            </w:r>
            <w:r>
              <w:rPr>
                <w:rFonts w:hint="eastAsia" w:ascii="宋体" w:hAnsi="宋体" w:eastAsia="宋体" w:cs="宋体"/>
                <w:b/>
                <w:bCs/>
                <w:color w:val="auto"/>
                <w:kern w:val="2"/>
                <w:sz w:val="24"/>
                <w:szCs w:val="24"/>
                <w:highlight w:val="none"/>
                <w:lang w:val="en-US" w:eastAsia="zh-CN" w:bidi="ar-SA"/>
              </w:rPr>
              <w:t>（投标文件中需提供第三方有权检测机构出具的检测报告扫描件）</w:t>
            </w:r>
          </w:p>
          <w:p w14:paraId="0E16D16D">
            <w:pPr>
              <w:bidi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16、后端护士站主机页面病呼联动：支持提醒、接听病区内床头终端、门口终端、值班分机发起的呼叫；支持提醒、处置病区床头终端发起的换药提醒信号和卫生间发起的卫生间报警信号。</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17、后端护士站主机页面门禁功能：支持提醒、接听门禁设备发起的对讲；支持在接听时给门禁设备进行远程开锁。</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18、后端护士站主机页面床位卡功能：设备在线情况；病区内患者诊断、医嘱、欠费、风险评估信息等；支持点击床位卡主动呼叫患者，呼叫拨通后可主动取消呼叫；支持体征床位卡，可以查看患者体征数据，呼吸，心跳，在离床数据</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19、后端护士站主机页面通讯录功能：支持查看床头终端、值班分机通讯录；支持直接点击通讯录发起呼叫。</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20、后端护士站主机页面通话记录：支持查看未接听、已接听、主机呼出的通话记录；支持通过通话记录进行回拨。</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21、后端护士站主机页面广播功能：支持选择广播终端进行实时语音播报、语音合成播报、音频文件播报；可查看设备在线/离线情况。</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22、后端护士站主机页面日志查询：支持按照全部、当天、近7天、近1个月的筛选条件去查询呼叫和提醒。</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23、后端护士站主机页面功能设置：支持设置通话音量、提示音量、背景音乐等；支持开启和关闭通话录音；支持对日期、时间、时区、屏幕亮度进行设置；支持设置主机熄屏时间；本地网络参数配置。</w:t>
            </w:r>
          </w:p>
        </w:tc>
        <w:tc>
          <w:tcPr>
            <w:tcW w:w="5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4E20F">
            <w:pPr>
              <w:keepNext w:val="0"/>
              <w:keepLines w:val="0"/>
              <w:widowControl/>
              <w:suppressLineNumbers w:val="0"/>
              <w:spacing w:line="360" w:lineRule="auto"/>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1台</w:t>
            </w:r>
          </w:p>
        </w:tc>
        <w:tc>
          <w:tcPr>
            <w:tcW w:w="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7285C">
            <w:pPr>
              <w:keepNext w:val="0"/>
              <w:keepLines w:val="0"/>
              <w:widowControl/>
              <w:suppressLineNumbers w:val="0"/>
              <w:spacing w:line="360" w:lineRule="auto"/>
              <w:jc w:val="center"/>
              <w:textAlignment w:val="top"/>
              <w:rPr>
                <w:rFonts w:hint="eastAsia" w:ascii="宋体" w:hAnsi="宋体" w:eastAsia="宋体" w:cs="宋体"/>
                <w:i w:val="0"/>
                <w:iCs w:val="0"/>
                <w:color w:val="auto"/>
                <w:kern w:val="0"/>
                <w:sz w:val="24"/>
                <w:szCs w:val="24"/>
                <w:highlight w:val="none"/>
                <w:u w:val="none"/>
                <w:lang w:val="en-US" w:eastAsia="zh-CN"/>
              </w:rPr>
            </w:pPr>
            <w:r>
              <w:rPr>
                <w:rFonts w:hint="eastAsia" w:ascii="宋体" w:hAnsi="宋体" w:eastAsia="宋体" w:cs="宋体"/>
                <w:i w:val="0"/>
                <w:iCs w:val="0"/>
                <w:color w:val="auto"/>
                <w:kern w:val="0"/>
                <w:sz w:val="24"/>
                <w:szCs w:val="24"/>
                <w:highlight w:val="none"/>
                <w:u w:val="none"/>
                <w:lang w:val="en-US" w:eastAsia="zh-CN"/>
              </w:rPr>
              <w:t>工业</w:t>
            </w:r>
          </w:p>
        </w:tc>
      </w:tr>
      <w:tr w14:paraId="76BF8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77360">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rPr>
              <w:t>14</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5067B">
            <w:pPr>
              <w:keepNext w:val="0"/>
              <w:keepLines w:val="0"/>
              <w:widowControl/>
              <w:suppressLineNumbers w:val="0"/>
              <w:spacing w:line="360" w:lineRule="auto"/>
              <w:jc w:val="both"/>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color w:val="auto"/>
                <w:kern w:val="0"/>
                <w:sz w:val="24"/>
                <w:szCs w:val="24"/>
                <w:highlight w:val="none"/>
                <w:lang w:val="en-US" w:eastAsia="zh-CN" w:bidi="ar"/>
              </w:rPr>
              <w:t>▲</w:t>
            </w:r>
            <w:r>
              <w:rPr>
                <w:rFonts w:hint="eastAsia" w:ascii="宋体" w:hAnsi="宋体" w:eastAsia="宋体" w:cs="宋体"/>
                <w:i w:val="0"/>
                <w:iCs w:val="0"/>
                <w:color w:val="auto"/>
                <w:kern w:val="0"/>
                <w:sz w:val="24"/>
                <w:szCs w:val="24"/>
                <w:highlight w:val="none"/>
                <w:u w:val="none"/>
                <w:lang w:val="en-US" w:eastAsia="zh-CN"/>
              </w:rPr>
              <w:t>智慧护士软件系统</w:t>
            </w:r>
          </w:p>
        </w:tc>
        <w:tc>
          <w:tcPr>
            <w:tcW w:w="3239" w:type="pct"/>
            <w:tcBorders>
              <w:top w:val="single" w:color="000000" w:sz="4" w:space="0"/>
              <w:left w:val="single" w:color="000000" w:sz="4" w:space="0"/>
              <w:bottom w:val="single" w:color="000000" w:sz="4" w:space="0"/>
              <w:right w:val="single" w:color="000000" w:sz="4" w:space="0"/>
            </w:tcBorders>
            <w:shd w:val="clear" w:color="auto" w:fill="auto"/>
          </w:tcPr>
          <w:p w14:paraId="210E3A4D">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对病房设备及展示数据进行后台管理，包括患者信息管理、病区管理、设备管理等模块；可将护理大屏注册到平台，展示床位卡信息，包括当前病区、日期时间、床位号、患者姓名、性别、年龄、入院天数、入院诊断、主治医生、责任护士、护理等级等信息。具备展示床位卡、通讯录、病呼处置、门禁呼叫及开锁、通话记录、广播、日志查询、病区托管等功能；嵌入式床头屏交互系统依赖于护士站主机、智慧护理管理平台、以及安装嵌入式系统的床头屏设备。主要功能：首页、普通呼叫、换药提醒、过敏信息；门口屏交互系统依赖于护士站主机、智慧护理管理平台以及安卓门口屏设备。主要功能：信息展示、护士定位、增援呼叫）、病呼联动；</w:t>
            </w:r>
          </w:p>
          <w:p w14:paraId="74443C18">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一，病区人员数据管理</w:t>
            </w:r>
          </w:p>
          <w:p w14:paraId="21E37EFF">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具备</w:t>
            </w:r>
            <w:r>
              <w:rPr>
                <w:rFonts w:hint="eastAsia" w:ascii="宋体" w:hAnsi="宋体" w:eastAsia="宋体" w:cs="宋体"/>
                <w:color w:val="auto"/>
                <w:sz w:val="24"/>
                <w:szCs w:val="24"/>
                <w:highlight w:val="none"/>
              </w:rPr>
              <w:t>对接和编辑病区患者数据信息，并支持与关联设备联动</w:t>
            </w:r>
          </w:p>
          <w:p w14:paraId="66DF6614">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具备</w:t>
            </w:r>
            <w:r>
              <w:rPr>
                <w:rFonts w:hint="eastAsia" w:ascii="宋体" w:hAnsi="宋体" w:eastAsia="宋体" w:cs="宋体"/>
                <w:color w:val="auto"/>
                <w:sz w:val="24"/>
                <w:szCs w:val="24"/>
                <w:highlight w:val="none"/>
              </w:rPr>
              <w:t>对接和编辑病区医护信息，并支持与关联设备联动展示</w:t>
            </w:r>
          </w:p>
          <w:p w14:paraId="18D10340">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具备</w:t>
            </w:r>
            <w:r>
              <w:rPr>
                <w:rFonts w:hint="eastAsia" w:ascii="宋体" w:hAnsi="宋体" w:eastAsia="宋体" w:cs="宋体"/>
                <w:color w:val="auto"/>
                <w:sz w:val="24"/>
                <w:szCs w:val="24"/>
                <w:highlight w:val="none"/>
              </w:rPr>
              <w:t>对接患者扩展信息，包括手术，费用，护理风险等信息，并支持与关联设备联动展示</w:t>
            </w:r>
          </w:p>
          <w:p w14:paraId="742DB8C7">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具备</w:t>
            </w:r>
            <w:r>
              <w:rPr>
                <w:rFonts w:hint="eastAsia" w:ascii="宋体" w:hAnsi="宋体" w:eastAsia="宋体" w:cs="宋体"/>
                <w:color w:val="auto"/>
                <w:sz w:val="24"/>
                <w:szCs w:val="24"/>
                <w:highlight w:val="none"/>
              </w:rPr>
              <w:t>编辑院区和病区信息，包含不仅限于：医院名称、医院简称、医院简介，医院LOGO，医院图片、医院宣传视频，并支持与关联设备联动展示</w:t>
            </w:r>
          </w:p>
          <w:p w14:paraId="03906A2E">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具备</w:t>
            </w:r>
            <w:r>
              <w:rPr>
                <w:rFonts w:hint="eastAsia" w:ascii="宋体" w:hAnsi="宋体" w:eastAsia="宋体" w:cs="宋体"/>
                <w:color w:val="auto"/>
                <w:sz w:val="24"/>
                <w:szCs w:val="24"/>
                <w:highlight w:val="none"/>
              </w:rPr>
              <w:t>上传病区宣教材料，按自定义病区规则推送给相应的患者</w:t>
            </w:r>
          </w:p>
          <w:p w14:paraId="53793011">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二，病区设备管理</w:t>
            </w:r>
          </w:p>
          <w:p w14:paraId="38382196">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具备</w:t>
            </w:r>
            <w:r>
              <w:rPr>
                <w:rFonts w:hint="eastAsia" w:ascii="宋体" w:hAnsi="宋体" w:eastAsia="宋体" w:cs="宋体"/>
                <w:color w:val="auto"/>
                <w:sz w:val="24"/>
                <w:szCs w:val="24"/>
                <w:highlight w:val="none"/>
              </w:rPr>
              <w:t>对病房关联设备进行添加，编辑，删除等操作</w:t>
            </w:r>
          </w:p>
          <w:p w14:paraId="20F9E040">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具备</w:t>
            </w:r>
            <w:r>
              <w:rPr>
                <w:rFonts w:hint="eastAsia" w:ascii="宋体" w:hAnsi="宋体" w:eastAsia="宋体" w:cs="宋体"/>
                <w:color w:val="auto"/>
                <w:sz w:val="24"/>
                <w:szCs w:val="24"/>
                <w:highlight w:val="none"/>
              </w:rPr>
              <w:t>远程进行设备重启和巡检，支持批量操作</w:t>
            </w:r>
          </w:p>
          <w:p w14:paraId="058F169D">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具备</w:t>
            </w:r>
            <w:r>
              <w:rPr>
                <w:rFonts w:hint="eastAsia" w:ascii="宋体" w:hAnsi="宋体" w:eastAsia="宋体" w:cs="宋体"/>
                <w:color w:val="auto"/>
                <w:sz w:val="24"/>
                <w:szCs w:val="24"/>
                <w:highlight w:val="none"/>
              </w:rPr>
              <w:t>远程进行设备批量升级。</w:t>
            </w:r>
          </w:p>
          <w:p w14:paraId="486EDE57">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具备</w:t>
            </w:r>
            <w:r>
              <w:rPr>
                <w:rFonts w:hint="eastAsia" w:ascii="宋体" w:hAnsi="宋体" w:eastAsia="宋体" w:cs="宋体"/>
                <w:color w:val="auto"/>
                <w:sz w:val="24"/>
                <w:szCs w:val="24"/>
                <w:highlight w:val="none"/>
              </w:rPr>
              <w:t>通过手动或Excel批量在设备管理中注册嵌入式床头屏、LED走廊屏、门禁等设备。</w:t>
            </w:r>
          </w:p>
          <w:p w14:paraId="29ECDFF2">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三，病区设备配置</w:t>
            </w:r>
          </w:p>
          <w:p w14:paraId="5973DB5B">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具备</w:t>
            </w:r>
            <w:r>
              <w:rPr>
                <w:rFonts w:hint="eastAsia" w:ascii="宋体" w:hAnsi="宋体" w:eastAsia="宋体" w:cs="宋体"/>
                <w:color w:val="auto"/>
                <w:sz w:val="24"/>
                <w:szCs w:val="24"/>
                <w:highlight w:val="none"/>
              </w:rPr>
              <w:t>按病区对床头屏、床旁屏、智护大屏的功能菜单展示进行设置</w:t>
            </w:r>
          </w:p>
          <w:p w14:paraId="3647963E">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具备</w:t>
            </w:r>
            <w:r>
              <w:rPr>
                <w:rFonts w:hint="eastAsia" w:ascii="宋体" w:hAnsi="宋体" w:eastAsia="宋体" w:cs="宋体"/>
                <w:color w:val="auto"/>
                <w:sz w:val="24"/>
                <w:szCs w:val="24"/>
                <w:highlight w:val="none"/>
              </w:rPr>
              <w:t>对各终端设备进行显示名称的配置，包括床旁屏、手持管理副机、探视机、床旁屏、门口屏、走廊屏、护士站管理机、值班分机、智护大屏</w:t>
            </w:r>
          </w:p>
          <w:p w14:paraId="6A40CC76">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具备</w:t>
            </w:r>
            <w:r>
              <w:rPr>
                <w:rFonts w:hint="eastAsia" w:ascii="宋体" w:hAnsi="宋体" w:eastAsia="宋体" w:cs="宋体"/>
                <w:color w:val="auto"/>
                <w:sz w:val="24"/>
                <w:szCs w:val="24"/>
                <w:highlight w:val="none"/>
              </w:rPr>
              <w:t>对护理屏首页的展示进行配置，包括患者总数、看护等级、手术信息、护理信息、风险管理</w:t>
            </w:r>
          </w:p>
          <w:p w14:paraId="0C0AB737">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具备</w:t>
            </w:r>
            <w:r>
              <w:rPr>
                <w:rFonts w:hint="eastAsia" w:ascii="宋体" w:hAnsi="宋体" w:eastAsia="宋体" w:cs="宋体"/>
                <w:color w:val="auto"/>
                <w:sz w:val="24"/>
                <w:szCs w:val="24"/>
                <w:highlight w:val="none"/>
              </w:rPr>
              <w:t>对床旁屏、床头屏、门口屏、值班分机设置夜间模式，在夜间时间段内进行息屏和休眠</w:t>
            </w:r>
          </w:p>
          <w:p w14:paraId="1BD984DA">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具备</w:t>
            </w:r>
            <w:r>
              <w:rPr>
                <w:rFonts w:hint="eastAsia" w:ascii="宋体" w:hAnsi="宋体" w:eastAsia="宋体" w:cs="宋体"/>
                <w:color w:val="auto"/>
                <w:sz w:val="24"/>
                <w:szCs w:val="24"/>
                <w:highlight w:val="none"/>
              </w:rPr>
              <w:t>对护理等级，风险等级颜色和文案进行调整配置</w:t>
            </w:r>
          </w:p>
          <w:p w14:paraId="18893B2D">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具备</w:t>
            </w:r>
            <w:r>
              <w:rPr>
                <w:rFonts w:hint="eastAsia" w:ascii="宋体" w:hAnsi="宋体" w:eastAsia="宋体" w:cs="宋体"/>
                <w:color w:val="auto"/>
                <w:sz w:val="24"/>
                <w:szCs w:val="24"/>
                <w:highlight w:val="none"/>
              </w:rPr>
              <w:t>对病区规则联动进行配置,可以自定义选择需要联动的消息,以及想要发送的设备</w:t>
            </w:r>
          </w:p>
          <w:p w14:paraId="746229C2">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具备</w:t>
            </w:r>
            <w:r>
              <w:rPr>
                <w:rFonts w:hint="eastAsia" w:ascii="宋体" w:hAnsi="宋体" w:eastAsia="宋体" w:cs="宋体"/>
                <w:color w:val="auto"/>
                <w:sz w:val="24"/>
                <w:szCs w:val="24"/>
                <w:highlight w:val="none"/>
              </w:rPr>
              <w:t>交班和体征配置,可以配置大屏护理交班的重点标签</w:t>
            </w:r>
          </w:p>
          <w:p w14:paraId="45C1BFF1">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具备</w:t>
            </w:r>
            <w:r>
              <w:rPr>
                <w:rFonts w:hint="eastAsia" w:ascii="宋体" w:hAnsi="宋体" w:eastAsia="宋体" w:cs="宋体"/>
                <w:color w:val="auto"/>
                <w:sz w:val="24"/>
                <w:szCs w:val="24"/>
                <w:highlight w:val="none"/>
              </w:rPr>
              <w:t>智能宣教配置,可以按病区维度配置智能推送宣教的规则</w:t>
            </w:r>
          </w:p>
          <w:p w14:paraId="7E03C74E">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具备</w:t>
            </w:r>
            <w:r>
              <w:rPr>
                <w:rFonts w:hint="eastAsia" w:ascii="宋体" w:hAnsi="宋体" w:eastAsia="宋体" w:cs="宋体"/>
                <w:color w:val="auto"/>
                <w:sz w:val="24"/>
                <w:szCs w:val="24"/>
                <w:highlight w:val="none"/>
              </w:rPr>
              <w:t>通过资源包方式扩展病区、人员、组织字段属性</w:t>
            </w:r>
          </w:p>
          <w:p w14:paraId="0F7097FD">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要求</w:t>
            </w:r>
            <w:r>
              <w:rPr>
                <w:rFonts w:hint="eastAsia" w:ascii="宋体" w:hAnsi="宋体" w:eastAsia="宋体" w:cs="宋体"/>
                <w:color w:val="auto"/>
                <w:sz w:val="24"/>
                <w:szCs w:val="24"/>
                <w:highlight w:val="none"/>
                <w:lang w:val="en-US" w:eastAsia="zh-CN"/>
              </w:rPr>
              <w:t>具备</w:t>
            </w:r>
            <w:r>
              <w:rPr>
                <w:rFonts w:hint="eastAsia" w:ascii="宋体" w:hAnsi="宋体" w:eastAsia="宋体" w:cs="宋体"/>
                <w:color w:val="auto"/>
                <w:sz w:val="24"/>
                <w:szCs w:val="24"/>
                <w:highlight w:val="none"/>
              </w:rPr>
              <w:t>验证码、连续登陆尝试次数、用户IP地址限制等多种验证方式。</w:t>
            </w:r>
          </w:p>
          <w:p w14:paraId="3F0240F6">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具备</w:t>
            </w:r>
            <w:r>
              <w:rPr>
                <w:rFonts w:hint="eastAsia" w:ascii="宋体" w:hAnsi="宋体" w:eastAsia="宋体" w:cs="宋体"/>
                <w:color w:val="auto"/>
                <w:sz w:val="24"/>
                <w:szCs w:val="24"/>
                <w:highlight w:val="none"/>
              </w:rPr>
              <w:t>身份认证和信息防篡改校验，供内部程序对授权信息的访问</w:t>
            </w:r>
          </w:p>
          <w:p w14:paraId="079EC342">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要求最大支持200000个用户管理，最大</w:t>
            </w:r>
            <w:r>
              <w:rPr>
                <w:rFonts w:hint="eastAsia" w:ascii="宋体" w:hAnsi="宋体" w:eastAsia="宋体" w:cs="宋体"/>
                <w:color w:val="auto"/>
                <w:sz w:val="24"/>
                <w:szCs w:val="24"/>
                <w:highlight w:val="none"/>
                <w:lang w:val="en-US" w:eastAsia="zh-CN"/>
              </w:rPr>
              <w:t>具备</w:t>
            </w:r>
            <w:r>
              <w:rPr>
                <w:rFonts w:hint="eastAsia" w:ascii="宋体" w:hAnsi="宋体" w:eastAsia="宋体" w:cs="宋体"/>
                <w:color w:val="auto"/>
                <w:sz w:val="24"/>
                <w:szCs w:val="24"/>
                <w:highlight w:val="none"/>
              </w:rPr>
              <w:t>500个用户并发登录请求以及5000个用户同时在线</w:t>
            </w:r>
          </w:p>
          <w:p w14:paraId="2E08809A">
            <w:pPr>
              <w:widowControl w:val="0"/>
              <w:bidi w:val="0"/>
              <w:spacing w:line="360" w:lineRule="auto"/>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13、●具备图形化展示医院内的楼栋、楼层、病房、床位的场地信息，支持展示床位的场地路径。</w:t>
            </w:r>
            <w:r>
              <w:rPr>
                <w:rFonts w:hint="eastAsia" w:ascii="宋体" w:hAnsi="宋体" w:eastAsia="宋体" w:cs="宋体"/>
                <w:b/>
                <w:bCs/>
                <w:color w:val="auto"/>
                <w:kern w:val="2"/>
                <w:sz w:val="24"/>
                <w:szCs w:val="24"/>
                <w:highlight w:val="none"/>
                <w:lang w:val="en-US" w:eastAsia="zh-CN" w:bidi="ar-SA"/>
              </w:rPr>
              <w:t>（投标文件中需提供第三方有权检测机构出具的检测报告扫描件）</w:t>
            </w:r>
          </w:p>
          <w:p w14:paraId="4EFBBD33">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●具备</w:t>
            </w:r>
            <w:r>
              <w:rPr>
                <w:rFonts w:hint="eastAsia" w:ascii="宋体" w:hAnsi="宋体" w:eastAsia="宋体" w:cs="宋体"/>
                <w:color w:val="auto"/>
                <w:sz w:val="24"/>
                <w:szCs w:val="24"/>
                <w:highlight w:val="none"/>
              </w:rPr>
              <w:t>编辑不同重要等级的备忘录，设置好展示规则后可同步在护理大屏上提醒及展示。</w:t>
            </w:r>
            <w:r>
              <w:rPr>
                <w:rFonts w:hint="eastAsia" w:ascii="宋体" w:hAnsi="宋体" w:eastAsia="宋体" w:cs="宋体"/>
                <w:b/>
                <w:bCs/>
                <w:color w:val="auto"/>
                <w:sz w:val="24"/>
                <w:szCs w:val="24"/>
                <w:highlight w:val="none"/>
                <w:lang w:eastAsia="zh-CN"/>
              </w:rPr>
              <w:t>（投标文件中需提供第三方有权检测机构出具的检测报告扫描件）</w:t>
            </w:r>
          </w:p>
        </w:tc>
        <w:tc>
          <w:tcPr>
            <w:tcW w:w="5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2DD95">
            <w:pPr>
              <w:keepNext w:val="0"/>
              <w:keepLines w:val="0"/>
              <w:widowControl/>
              <w:suppressLineNumbers w:val="0"/>
              <w:spacing w:line="360" w:lineRule="auto"/>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1项</w:t>
            </w:r>
          </w:p>
        </w:tc>
        <w:tc>
          <w:tcPr>
            <w:tcW w:w="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ACAF6">
            <w:pPr>
              <w:keepNext w:val="0"/>
              <w:keepLines w:val="0"/>
              <w:widowControl/>
              <w:suppressLineNumbers w:val="0"/>
              <w:spacing w:line="360" w:lineRule="auto"/>
              <w:jc w:val="center"/>
              <w:textAlignment w:val="top"/>
              <w:rPr>
                <w:rFonts w:hint="eastAsia" w:ascii="宋体" w:hAnsi="宋体" w:eastAsia="宋体" w:cs="宋体"/>
                <w:i w:val="0"/>
                <w:iCs w:val="0"/>
                <w:color w:val="auto"/>
                <w:kern w:val="0"/>
                <w:sz w:val="24"/>
                <w:szCs w:val="24"/>
                <w:highlight w:val="none"/>
                <w:u w:val="none"/>
                <w:lang w:val="en-US" w:eastAsia="zh-CN"/>
              </w:rPr>
            </w:pPr>
            <w:r>
              <w:rPr>
                <w:rFonts w:hint="eastAsia" w:ascii="宋体" w:hAnsi="宋体" w:eastAsia="宋体" w:cs="宋体"/>
                <w:color w:val="auto"/>
                <w:sz w:val="24"/>
                <w:szCs w:val="24"/>
                <w:highlight w:val="none"/>
                <w:lang w:val="en-US" w:eastAsia="zh-CN"/>
              </w:rPr>
              <w:t>软件和信息技术服务业</w:t>
            </w:r>
          </w:p>
        </w:tc>
      </w:tr>
      <w:tr w14:paraId="0E113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9E29F">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rPr>
              <w:t>15</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CF7808">
            <w:pPr>
              <w:keepNext w:val="0"/>
              <w:keepLines w:val="0"/>
              <w:widowControl/>
              <w:suppressLineNumbers w:val="0"/>
              <w:spacing w:line="360" w:lineRule="auto"/>
              <w:jc w:val="both"/>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扩声显示设备</w:t>
            </w:r>
          </w:p>
        </w:tc>
        <w:tc>
          <w:tcPr>
            <w:tcW w:w="3239" w:type="pct"/>
            <w:tcBorders>
              <w:top w:val="single" w:color="000000" w:sz="4" w:space="0"/>
              <w:left w:val="single" w:color="000000" w:sz="4" w:space="0"/>
              <w:bottom w:val="single" w:color="000000" w:sz="4" w:space="0"/>
              <w:right w:val="single" w:color="000000" w:sz="4" w:space="0"/>
            </w:tcBorders>
            <w:shd w:val="clear" w:color="auto" w:fill="auto"/>
          </w:tcPr>
          <w:p w14:paraId="06A0F1E0">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（一）大屏：1台</w:t>
            </w:r>
          </w:p>
          <w:p w14:paraId="276F9817">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一、技术要求：</w:t>
            </w:r>
          </w:p>
          <w:p w14:paraId="084E171B">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1、面积：≥4*1.8米。</w:t>
            </w:r>
          </w:p>
          <w:p w14:paraId="78284DD3">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2、像素点间距：≤1.86mm</w:t>
            </w:r>
          </w:p>
          <w:p w14:paraId="1E2AA663">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3、单元板分辨率：≥14792 Dots</w:t>
            </w:r>
          </w:p>
          <w:p w14:paraId="3C18BA0F">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●4、刷新率：≥3840Hz，具备通过配套控制软件调节刷新率设置选项</w:t>
            </w:r>
            <w:r>
              <w:rPr>
                <w:rFonts w:hint="eastAsia" w:ascii="宋体" w:hAnsi="宋体" w:eastAsia="宋体" w:cs="宋体"/>
                <w:b/>
                <w:bCs/>
                <w:color w:val="auto"/>
                <w:sz w:val="24"/>
                <w:szCs w:val="24"/>
                <w:highlight w:val="none"/>
                <w:lang w:eastAsia="zh-CN"/>
              </w:rPr>
              <w:t>（投标文件中需提供第三方有权检测机构出具的检测报告扫描件）</w:t>
            </w:r>
          </w:p>
          <w:p w14:paraId="2F76F3AA">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5、像素构成：1R、1G、1B</w:t>
            </w:r>
          </w:p>
          <w:p w14:paraId="381D6388">
            <w:pPr>
              <w:bidi w:val="0"/>
              <w:spacing w:line="360" w:lineRule="auto"/>
              <w:rPr>
                <w:rFonts w:hint="eastAsia" w:ascii="宋体" w:hAnsi="宋体" w:eastAsia="宋体" w:cs="宋体"/>
                <w:b/>
                <w:bCs/>
                <w:color w:val="auto"/>
                <w:sz w:val="24"/>
                <w:szCs w:val="24"/>
                <w:highlight w:val="none"/>
                <w:lang w:eastAsia="zh-CN"/>
              </w:rPr>
            </w:pPr>
            <w:r>
              <w:rPr>
                <w:rFonts w:hint="eastAsia" w:ascii="宋体" w:hAnsi="宋体" w:eastAsia="宋体" w:cs="宋体"/>
                <w:color w:val="auto"/>
                <w:sz w:val="24"/>
                <w:szCs w:val="24"/>
                <w:highlight w:val="none"/>
                <w:lang w:val="en-US" w:eastAsia="zh-CN"/>
              </w:rPr>
              <w:t>●6、封装方式：SMD表贴三合一，灯芯键合线材质为铜线，五面黑灯，表面不反光</w:t>
            </w:r>
            <w:r>
              <w:rPr>
                <w:rFonts w:hint="eastAsia" w:ascii="宋体" w:hAnsi="宋体" w:eastAsia="宋体" w:cs="宋体"/>
                <w:b/>
                <w:bCs/>
                <w:color w:val="auto"/>
                <w:sz w:val="24"/>
                <w:szCs w:val="24"/>
                <w:highlight w:val="none"/>
                <w:lang w:eastAsia="zh-CN"/>
              </w:rPr>
              <w:t>（投标文件中需提供第三方有权检测机构出具的检测报告扫描件）</w:t>
            </w:r>
          </w:p>
          <w:p w14:paraId="353499EC">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7、驱动方式：恒流驱动；控制方式：同步控制系统；维护方式：前后双向维护</w:t>
            </w:r>
          </w:p>
          <w:p w14:paraId="44ADB920">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8、整屏平整度≤0.04mm；模组平整度≤0.03mm</w:t>
            </w:r>
          </w:p>
          <w:p w14:paraId="0D219F89">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●9、白平衡亮度：0-700cd/㎡可调；亮度调节：0-100%亮度可调，256级手动/自动调节，屏幕亮度具有随环境照度的变化任意调整功能；亮度均匀性：≥99%</w:t>
            </w:r>
            <w:r>
              <w:rPr>
                <w:rFonts w:hint="eastAsia" w:ascii="宋体" w:hAnsi="宋体" w:eastAsia="宋体" w:cs="宋体"/>
                <w:b/>
                <w:bCs/>
                <w:color w:val="auto"/>
                <w:sz w:val="24"/>
                <w:szCs w:val="24"/>
                <w:highlight w:val="none"/>
                <w:lang w:eastAsia="zh-CN"/>
              </w:rPr>
              <w:t>（投标文件中需提供第三方有权检测机构出具的检测报告扫描件）</w:t>
            </w:r>
          </w:p>
          <w:p w14:paraId="599A3041">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10、色温800K-18000K可调；白平衡状态下色温在6500K±5%；色温为6500K时，100%75%50%25%档电平白场调节色温误差≤100K</w:t>
            </w:r>
          </w:p>
          <w:p w14:paraId="1D3955D5">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11、水平视角≥170°；垂直视角≥170°</w:t>
            </w:r>
          </w:p>
          <w:p w14:paraId="7B9B641C">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12、对比度≥9000：1</w:t>
            </w:r>
          </w:p>
          <w:p w14:paraId="625F36ED">
            <w:pPr>
              <w:bidi w:val="0"/>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●13、具有H2S宽动态处理技术，解决主控机二次重复播放时的衰减等现象</w:t>
            </w:r>
            <w:r>
              <w:rPr>
                <w:rFonts w:hint="eastAsia" w:ascii="宋体" w:hAnsi="宋体" w:eastAsia="宋体" w:cs="宋体"/>
                <w:b/>
                <w:bCs/>
                <w:color w:val="auto"/>
                <w:sz w:val="24"/>
                <w:szCs w:val="24"/>
                <w:highlight w:val="none"/>
                <w:lang w:eastAsia="zh-CN"/>
              </w:rPr>
              <w:t>（投标文件中需提供第三方有权检测机构出具的检测报告扫描件）</w:t>
            </w:r>
          </w:p>
          <w:p w14:paraId="50718151">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14、灰度等级≥14bit，红绿蓝各256级，可达16384级；采用EPWM 灰阶控制技术提升低灰视觉效果，100%亮度时，14bit灰度；70%亮度，14bit灰度；50%亮度，14bit灰度；20%亮度，12bit灰度，显示画面无单列或单行像素失控现象；具备0-100%亮度时，8-14bits灰度自定义设置</w:t>
            </w:r>
          </w:p>
          <w:p w14:paraId="7775D56B">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15、供电电源：在4.2*（1±10%）VDC～4.5*（1±10%）VDC范围内能正常工作；峰值功耗≤300W/m²；平均功耗≤120W/m²</w:t>
            </w:r>
          </w:p>
          <w:p w14:paraId="15EC468D">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16、在器具输入插座端与屏正面之间施加试验电压3kv/50Hz，保持1min，不应出现飞弧和击穿现象，产品能正常工作；在5000米海拔环境下，产品可正常工作；输入电压：具备宽压输入在96-264VAC，具备窄压输入在200-240VAC，在该范围内能正常工作</w:t>
            </w:r>
          </w:p>
          <w:p w14:paraId="267A9F5F">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17、防护性能：具有防静电、防电磁干扰、防腐蚀、防霉菌、防虫、防潮、抗震动、抗雷击等功能；具有电源过压、过流、断电保护、分布上电措施、防护等级达到IP60</w:t>
            </w:r>
          </w:p>
          <w:p w14:paraId="3F4837CF">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18、具有列下消隐功能、倍频刷新率提升2/4/8倍、低灰偏色改善</w:t>
            </w:r>
          </w:p>
          <w:p w14:paraId="3132C6FA">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19、色坐标X、Y坐标符合SJ/T11141-2017 5.10.5规定；色度均匀性±0.001Cx、Cy内；色域空间≥120% NTSC，LED显示屏ColorSPace覆盖率≥170%YUV(PAL)</w:t>
            </w:r>
          </w:p>
          <w:p w14:paraId="125706C1">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20、数据记忆储存于LED显示模块箱体中，更换箱体设备时，无需重新设定参数；具备采用电源双备份，两个电源互为备份方式，任一电源故障不影响屏体正常工作；具备采用双电力备份，可以同时接入2路电力供电互为备份方式，任一电力故障不影响屏体显示；具备采用双系统备份，两套发送卡和两套接收卡互为备份方式，任一套发送卡和接收卡故障不影响屏体正常显示。</w:t>
            </w:r>
            <w:r>
              <w:rPr>
                <w:rFonts w:hint="eastAsia" w:ascii="宋体" w:hAnsi="宋体" w:eastAsia="宋体" w:cs="宋体"/>
                <w:b/>
                <w:bCs/>
                <w:color w:val="auto"/>
                <w:sz w:val="24"/>
                <w:szCs w:val="24"/>
                <w:highlight w:val="none"/>
                <w:lang w:eastAsia="zh-CN"/>
              </w:rPr>
              <w:t>（投标文件中需提供第三方有权检测机构出具的检测报告扫描件）</w:t>
            </w:r>
          </w:p>
          <w:p w14:paraId="40B74577">
            <w:pPr>
              <w:bidi w:val="0"/>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●21、为了所投LED显示屏产品的安全性和适应性，屏体内部所用排线需符合耐高温实验、耐压测试、折弯参数测试要求，耐燃等级符合VW-1/UL94V-0。</w:t>
            </w:r>
            <w:r>
              <w:rPr>
                <w:rFonts w:hint="eastAsia" w:ascii="宋体" w:hAnsi="宋体" w:eastAsia="宋体" w:cs="宋体"/>
                <w:b/>
                <w:bCs/>
                <w:color w:val="auto"/>
                <w:sz w:val="24"/>
                <w:szCs w:val="24"/>
                <w:highlight w:val="none"/>
                <w:lang w:eastAsia="zh-CN"/>
              </w:rPr>
              <w:t>（投标文件中需提供第三方有权检测机构出具的检测报告扫描件）</w:t>
            </w:r>
          </w:p>
          <w:p w14:paraId="0134B791">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22、具有SELV电路，在SELV电路中任何两个导体之间或任何一个这样的导体和地之间的电压的限值为：正常工作条件下，不超过42.4V交流峰值或60V直流值，单一故障条件下，在200ms后不超过42.4V（30V有效值）交流峰值或60V直流值，并且在200ms内其极限值不超过71V（50V有效值）交流峰值或120V直流值</w:t>
            </w:r>
          </w:p>
          <w:p w14:paraId="35EBA35E">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23、防电击等级依据GB4943.1标准，使用基本绝缘作为基本安全防护，同时使用保护连接和保护接地作为附加安全防护，达到防电击保护I类设备</w:t>
            </w:r>
          </w:p>
          <w:p w14:paraId="1665DB69">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24、具备软件自定义修改分辨率，自定义分辨率，更加适合LED屏幕的使用；具备分屏操作。具备任意比例拼接素材和多图层叠加；具备无线遥控、手机遥控，一键切换视频；具备与智能播控软件一键IP连接</w:t>
            </w:r>
          </w:p>
          <w:p w14:paraId="50B5CFCA">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25、产品采用高端芯片，可智能调节正常工作与睡眠状态下的节能效果（动态节能，智能息屏），开启智能节电功能比没有开启节能50%以上</w:t>
            </w:r>
          </w:p>
          <w:p w14:paraId="344D3638">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26、屏幕表面光反射率，照度=10Lux/5600K条件下， 显示屏屏幕表面光反射率 （单位面积反射亮度）＜3.0cd/m²</w:t>
            </w:r>
          </w:p>
          <w:p w14:paraId="07F1F689">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27、具备防蓝光护眼功能，蓝光辐射能量≤20%。蓝光辐射能量值对人眼视网膜无伤害，LED显示屏蓝光辐亮度≤0.5W.m-2.sr-1,符合肉眼观看标准。</w:t>
            </w:r>
          </w:p>
          <w:p w14:paraId="52CEE861">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28、具备PPA碗杯结构、点胶封装、出光方式为单面发光；显示面采用高强度化学防护材质，防碰撞、耐冲击、高耐磨、抗腐蚀、防划痕，可直接擦拭LED附着力≥100N；在灯珠四侧以水平 夹角 45°的方向施加推力 15N，灯珠未破碎或脱落</w:t>
            </w:r>
          </w:p>
          <w:p w14:paraId="59BCD603">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29、具备鬼影消除、首行暗亮消除、低灰偏色补偿、低灰均匀性、低灰横条纹消除、慢速开启、十字架消除、去坏点、毛毛虫消除、余辉消除、亮度缓慢变亮功能</w:t>
            </w:r>
          </w:p>
          <w:p w14:paraId="68CB1B6E">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30、为了防止LED光源对人眼的伤害，LED电子显示屏产品通过认证，无视网膜蓝光危害。</w:t>
            </w:r>
          </w:p>
          <w:p w14:paraId="43F83AAF">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31、为保证产品的绿色环保性能，对人体不产生危害，所投LED显示屏符合GB/T 26125-2011和GB/T 26572-2011认证标准要求，且符合CQC21-NV330-2019《电器电子产品有害物质限制使用认证实施细则》的要求。</w:t>
            </w:r>
          </w:p>
          <w:p w14:paraId="712F0CBF">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32、所投LED显示屏产品符合高清环保标准化技术应用</w:t>
            </w:r>
          </w:p>
          <w:p w14:paraId="541060AE">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33、为保证产品中的铅、汞、镉、六价铬、多溴联苯和多溴二苯醚利于人体健康及环境保护，符合RoHS相关验证要求。</w:t>
            </w:r>
          </w:p>
          <w:p w14:paraId="14E364FB">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二、其它要求：</w:t>
            </w:r>
          </w:p>
          <w:p w14:paraId="2BDB3426">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1、示教录播画面能够实时显示在LED屏上；</w:t>
            </w:r>
          </w:p>
          <w:p w14:paraId="0B90D913">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2、智慧护士管理系统数据能够实时显示在LED屏上；</w:t>
            </w:r>
          </w:p>
          <w:p w14:paraId="6ADF40E1">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（二）功率放大器：1台</w:t>
            </w:r>
          </w:p>
          <w:p w14:paraId="19965AFC">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一、技术要求：</w:t>
            </w:r>
          </w:p>
          <w:p w14:paraId="3AE4F585">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1、≥四分区音量单独调节，≥四路手动分区功能</w:t>
            </w:r>
          </w:p>
          <w:p w14:paraId="132EFD82">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2、带前置放大的专业广播功率放大器；具备TF卡、U盘、FM收音功能，具备手机蓝牙连接</w:t>
            </w:r>
          </w:p>
          <w:p w14:paraId="5912AF5F">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3、≥3路话筒输入（前麦克有自动默音功能），≥2路线路输入，≥1路线路输出</w:t>
            </w:r>
          </w:p>
          <w:p w14:paraId="79294074">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4、≤2U标准19英寸工业机箱设计；提供红外接口，可以遥控音源的播放</w:t>
            </w:r>
          </w:p>
          <w:p w14:paraId="596D7BA9">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5、额定输出功率: ≥250W</w:t>
            </w:r>
          </w:p>
          <w:p w14:paraId="22A3CA0F">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6、扬声器输出:70V, 100V &amp; 4～16Ω</w:t>
            </w:r>
          </w:p>
          <w:p w14:paraId="582D4EEB">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7、音调：低音:±10dB at 100Hz，高音:±10dB at 10KHz</w:t>
            </w:r>
          </w:p>
          <w:p w14:paraId="7FB8ED26">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8、频响 ：50Hz～16KHz(+1dB, -3dB)</w:t>
            </w:r>
          </w:p>
          <w:p w14:paraId="47A5138C">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9、总谐波失真 ：1KHz时≤0.5%, 1/3 输出功率</w:t>
            </w:r>
          </w:p>
          <w:p w14:paraId="6C8DFA79">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10、通道串音衰减 ：≤50dB</w:t>
            </w:r>
          </w:p>
          <w:p w14:paraId="08A93D22">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11、散热： 由前往后强制风冷，散热器温度≥55度时启动内置风扇</w:t>
            </w:r>
          </w:p>
          <w:p w14:paraId="2C71B46E">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12、保护：过热, 过载&amp;短路</w:t>
            </w:r>
          </w:p>
          <w:p w14:paraId="1F236496">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13、电源：～220V/50Hz</w:t>
            </w:r>
          </w:p>
          <w:p w14:paraId="0B35468C">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14、最大耗散功率：≤900W</w:t>
            </w:r>
          </w:p>
          <w:p w14:paraId="1DEAC596">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（三）前置放大器：1台</w:t>
            </w:r>
          </w:p>
          <w:p w14:paraId="0BAAB358">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一、技术要求：</w:t>
            </w:r>
          </w:p>
          <w:p w14:paraId="70E2A7CF">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24 Bit/96比特专业级数字效果处理芯片，与专业效果器一样的效果，同时可连接电脑调音。</w:t>
            </w:r>
          </w:p>
          <w:p w14:paraId="30CD98C7">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数字放大器作为后级放大，效率高环保能源损耗低，功放发热量少。</w:t>
            </w:r>
          </w:p>
          <w:p w14:paraId="53CDDAE5">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数字放大器音色具有高音清澈，中音圆润饱满，低音有力度而不拖尾。</w:t>
            </w:r>
          </w:p>
          <w:p w14:paraId="404CB18C">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智能化动态监测保护系统，CPU实时监测机器工作状态，当机器出现过温短路等现象时会实时显示在屏幕上。</w:t>
            </w:r>
          </w:p>
          <w:p w14:paraId="28EEBF14">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全部采用SMD贴片技术，内部简洁美观，机器自动化生产产品一致性好，性能更稳定。</w:t>
            </w:r>
          </w:p>
          <w:p w14:paraId="50C0998E">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专业防啸叫技术。</w:t>
            </w:r>
          </w:p>
          <w:p w14:paraId="34436870">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过载保护、短路保护、开机延时保护、过温保护、直流保护、输出功率限幅。</w:t>
            </w:r>
          </w:p>
          <w:p w14:paraId="436E5856">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温控调速风扇，低温超静音。</w:t>
            </w:r>
          </w:p>
          <w:p w14:paraId="529A9924">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全数码调节，液晶实时显示所有内容。</w:t>
            </w:r>
          </w:p>
          <w:p w14:paraId="219C8B59">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1、全数字卡包功放，可连接电脑调试，高还原度DSP效果                </w:t>
            </w:r>
          </w:p>
          <w:p w14:paraId="218457D8">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2、8Ω 平均功率  250W×2          </w:t>
            </w:r>
          </w:p>
          <w:p w14:paraId="690C1685">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3、4Ω 平均功率  450W×2  </w:t>
            </w:r>
          </w:p>
          <w:p w14:paraId="74E52B5D">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4、頻率模式  20Hz-20KHz,（+0.5，-0.5db)</w:t>
            </w:r>
          </w:p>
          <w:p w14:paraId="63125E6A">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5、输入灵敏度：音乐220mv/话筒8.5mv  </w:t>
            </w:r>
          </w:p>
          <w:p w14:paraId="72762C2A">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6、输入阻抗：22KΩ   </w:t>
            </w:r>
          </w:p>
          <w:p w14:paraId="6289F865">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7、信噪比 ＞105dB</w:t>
            </w:r>
          </w:p>
          <w:p w14:paraId="474C51C9">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8、總諧波失真 ：&lt;0.05% </w:t>
            </w:r>
          </w:p>
          <w:p w14:paraId="110E0E46">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（四）音箱：2台</w:t>
            </w:r>
          </w:p>
          <w:p w14:paraId="7DF45066">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一、技术要求：</w:t>
            </w:r>
          </w:p>
          <w:p w14:paraId="7DB8C3EF">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1、功率≥35W ； </w:t>
            </w:r>
          </w:p>
          <w:p w14:paraId="348A140E">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2、电压 100V  ；</w:t>
            </w:r>
          </w:p>
          <w:p w14:paraId="1AE58CB9">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3、灵敏度 92dB ； </w:t>
            </w:r>
          </w:p>
          <w:p w14:paraId="150CA16F">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4、频响范围参数  75-20KHz ； </w:t>
            </w:r>
          </w:p>
          <w:p w14:paraId="42C3310C">
            <w:pPr>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5、高音25芯/中166mm </w:t>
            </w:r>
          </w:p>
        </w:tc>
        <w:tc>
          <w:tcPr>
            <w:tcW w:w="5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AB0BB">
            <w:pPr>
              <w:keepNext w:val="0"/>
              <w:keepLines w:val="0"/>
              <w:widowControl/>
              <w:suppressLineNumbers w:val="0"/>
              <w:spacing w:line="360" w:lineRule="auto"/>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1套</w:t>
            </w:r>
          </w:p>
        </w:tc>
        <w:tc>
          <w:tcPr>
            <w:tcW w:w="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5BB7A">
            <w:pPr>
              <w:keepNext w:val="0"/>
              <w:keepLines w:val="0"/>
              <w:widowControl/>
              <w:suppressLineNumbers w:val="0"/>
              <w:spacing w:line="360" w:lineRule="auto"/>
              <w:jc w:val="center"/>
              <w:textAlignment w:val="top"/>
              <w:rPr>
                <w:rFonts w:hint="eastAsia" w:ascii="宋体" w:hAnsi="宋体" w:eastAsia="宋体" w:cs="宋体"/>
                <w:i w:val="0"/>
                <w:iCs w:val="0"/>
                <w:color w:val="auto"/>
                <w:kern w:val="0"/>
                <w:sz w:val="24"/>
                <w:szCs w:val="24"/>
                <w:highlight w:val="none"/>
                <w:u w:val="none"/>
                <w:lang w:val="en-US" w:eastAsia="zh-CN"/>
              </w:rPr>
            </w:pPr>
            <w:r>
              <w:rPr>
                <w:rFonts w:hint="eastAsia" w:ascii="宋体" w:hAnsi="宋体" w:eastAsia="宋体" w:cs="宋体"/>
                <w:i w:val="0"/>
                <w:iCs w:val="0"/>
                <w:color w:val="auto"/>
                <w:kern w:val="0"/>
                <w:sz w:val="24"/>
                <w:szCs w:val="24"/>
                <w:highlight w:val="none"/>
                <w:u w:val="none"/>
                <w:lang w:val="en-US" w:eastAsia="zh-CN"/>
              </w:rPr>
              <w:t>工业</w:t>
            </w:r>
          </w:p>
        </w:tc>
      </w:tr>
      <w:tr w14:paraId="6AA723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DB13C">
            <w:pPr>
              <w:keepNext w:val="0"/>
              <w:keepLines w:val="0"/>
              <w:widowControl/>
              <w:suppressLineNumbers w:val="0"/>
              <w:spacing w:line="360" w:lineRule="auto"/>
              <w:jc w:val="center"/>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rPr>
              <w:t>16</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F18FA7">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工作站</w:t>
            </w:r>
          </w:p>
        </w:tc>
        <w:tc>
          <w:tcPr>
            <w:tcW w:w="3239" w:type="pct"/>
            <w:tcBorders>
              <w:top w:val="single" w:color="000000" w:sz="4" w:space="0"/>
              <w:left w:val="single" w:color="000000" w:sz="4" w:space="0"/>
              <w:bottom w:val="single" w:color="000000" w:sz="4" w:space="0"/>
              <w:right w:val="single" w:color="000000" w:sz="4" w:space="0"/>
            </w:tcBorders>
            <w:shd w:val="clear" w:color="auto" w:fill="auto"/>
          </w:tcPr>
          <w:p w14:paraId="3C2393E1">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1、处理器性能强劲‌</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搭载不低于‌10核心16线程‌（6个性能核 + 4个能效核）混合架构设计。</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基础频率‌≥‌2.5GHz‌，最大睿频‌≥‌4.6GHz‌，三级缓存为 ‌≥‌20MB‌，多任务处理能力出色，轻松应对办公软件、数据处理、网页多开等日常任务。</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‌2、内存与存储配置均衡‌</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‌内存‌：标配‌≥‌16GB DDR4 3200MHz‌，双通道设计，确保多程序并行运行流畅，如同时开启Word、Excel、浏览器数十标签页及视频会议软件也不卡顿。</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‌硬盘‌：主流配置为‌≥‌512GB SSD‌ 固态硬盘</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‌3、显卡与显示具备‌</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kern w:val="2"/>
                <w:sz w:val="24"/>
                <w:szCs w:val="24"/>
                <w:highlight w:val="none"/>
                <w:lang w:val="en-US" w:eastAsia="zh-CN" w:bidi="ar-SA"/>
              </w:rPr>
              <w:t>配备 ‌集成显卡，不低于192流处理器‌，搭配为 ‌23英寸‌ 1080P‌ 显示屏。</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‌4、接口丰富，扩展性强‌</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‌前置接口‌：‌≥2×USB 3.2 Gen1、‌≥1×USB Type-C。</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‌后置接口‌：包括 HDMI 2.1、VGA，USB 2.0、USB 3.2 Gen1、RJ45千兆网口，具备多屏输出、外设连接和稳定有线网络需求。</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具备 ‌Wi-Fi 6‌ 和 ‌蓝牙 5。</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‌5、机身设计与散热优化‌</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采用小巧机箱‌，节省桌面空间</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‌6、操作系统与预装软件‌</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预装匹配工作站的最新操作系统且有账号永久使用权限。‌</w:t>
            </w:r>
          </w:p>
        </w:tc>
        <w:tc>
          <w:tcPr>
            <w:tcW w:w="5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844C1">
            <w:pPr>
              <w:keepNext w:val="0"/>
              <w:keepLines w:val="0"/>
              <w:widowControl/>
              <w:suppressLineNumbers w:val="0"/>
              <w:spacing w:line="360" w:lineRule="auto"/>
              <w:jc w:val="center"/>
              <w:textAlignment w:val="top"/>
              <w:rPr>
                <w:rFonts w:hint="eastAsia" w:ascii="宋体" w:hAnsi="宋体" w:eastAsia="宋体" w:cs="宋体"/>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rPr>
              <w:t>2台</w:t>
            </w:r>
          </w:p>
        </w:tc>
        <w:tc>
          <w:tcPr>
            <w:tcW w:w="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32403">
            <w:pPr>
              <w:keepNext w:val="0"/>
              <w:keepLines w:val="0"/>
              <w:widowControl/>
              <w:suppressLineNumbers w:val="0"/>
              <w:spacing w:line="360" w:lineRule="auto"/>
              <w:jc w:val="center"/>
              <w:textAlignment w:val="top"/>
              <w:rPr>
                <w:rFonts w:hint="eastAsia" w:ascii="宋体" w:hAnsi="宋体" w:eastAsia="宋体" w:cs="宋体"/>
                <w:i w:val="0"/>
                <w:iCs w:val="0"/>
                <w:color w:val="auto"/>
                <w:kern w:val="0"/>
                <w:sz w:val="24"/>
                <w:szCs w:val="24"/>
                <w:highlight w:val="none"/>
                <w:u w:val="none"/>
                <w:lang w:val="en-US" w:eastAsia="zh-CN"/>
              </w:rPr>
            </w:pPr>
            <w:r>
              <w:rPr>
                <w:rFonts w:hint="eastAsia" w:ascii="宋体" w:hAnsi="宋体" w:eastAsia="宋体" w:cs="宋体"/>
                <w:i w:val="0"/>
                <w:iCs w:val="0"/>
                <w:color w:val="auto"/>
                <w:kern w:val="0"/>
                <w:sz w:val="24"/>
                <w:szCs w:val="24"/>
                <w:highlight w:val="none"/>
                <w:u w:val="none"/>
                <w:lang w:val="en-US" w:eastAsia="zh-CN"/>
              </w:rPr>
              <w:t>工业</w:t>
            </w:r>
          </w:p>
        </w:tc>
      </w:tr>
      <w:tr w14:paraId="3E8D3D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7B425F">
            <w:pPr>
              <w:keepNext w:val="0"/>
              <w:keepLines w:val="0"/>
              <w:widowControl/>
              <w:suppressLineNumbers w:val="0"/>
              <w:spacing w:line="360" w:lineRule="auto"/>
              <w:jc w:val="center"/>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rPr>
              <w:t>17</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388D2">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网络对讲装置</w:t>
            </w:r>
          </w:p>
        </w:tc>
        <w:tc>
          <w:tcPr>
            <w:tcW w:w="3239" w:type="pct"/>
            <w:tcBorders>
              <w:top w:val="single" w:color="000000" w:sz="4" w:space="0"/>
              <w:left w:val="single" w:color="000000" w:sz="4" w:space="0"/>
              <w:bottom w:val="single" w:color="000000" w:sz="4" w:space="0"/>
              <w:right w:val="single" w:color="000000" w:sz="4" w:space="0"/>
            </w:tcBorders>
            <w:shd w:val="clear" w:color="auto" w:fill="auto"/>
          </w:tcPr>
          <w:p w14:paraId="16216B8B">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（一）IP网络寻呼话筒：1个</w:t>
            </w:r>
          </w:p>
          <w:p w14:paraId="60F7D664">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一、技术参数：</w:t>
            </w:r>
          </w:p>
          <w:p w14:paraId="786A690C">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1、采用话筒桌面式设计，带有7英寸触摸功能显示屏；显示屏自带数字键、功能键，具备通过触摸呼叫广播，具备呼叫分区及多个分区，呼叫全区广播；可具备10个按键自定义一键呼叫广播功能</w:t>
            </w:r>
          </w:p>
          <w:p w14:paraId="64482157">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2、内置1路网络硬件音频解码模块，具有1路RJ45网络接口，100Mbps传输速率</w:t>
            </w:r>
          </w:p>
          <w:p w14:paraId="6CBA41C4">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3、内置扬声器，实现双向通话和网络监听</w:t>
            </w:r>
          </w:p>
          <w:p w14:paraId="30FD17B4">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4、具有1路音频线路输入，具备采集播放功能；具有1路音频线路输出，可外接功率放大器</w:t>
            </w:r>
          </w:p>
          <w:p w14:paraId="5924E9AB">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5、具备直接操作呼叫或对讲任意终端，具备通过话筒广播呼叫功能，广播延时低于100毫秒</w:t>
            </w:r>
          </w:p>
          <w:p w14:paraId="79854E85">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6、具备多种呼叫策略，包括呼叫等待、呼叫转移、无人接听提醒；自动接听、手动接听，具备自定义接听提示音，具备转移时间、无人接听时间、呼叫等待时间自定义</w:t>
            </w:r>
          </w:p>
          <w:p w14:paraId="0FB85A55">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7、具有1个3.5耳机接口、1路3.5话筒输入接口</w:t>
            </w:r>
          </w:p>
          <w:p w14:paraId="12950E66">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8、具备通过后台软件对终端进行远程固件升级。播功能</w:t>
            </w:r>
          </w:p>
          <w:p w14:paraId="00F9512E">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9、具备手机修改IP地址、设置设备参数</w:t>
            </w:r>
          </w:p>
          <w:p w14:paraId="6A715041">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10、兼容TCP/IP、RTP、RTSP、UDP、IGMP（组播）等多种流媒体网络协议，实现跨网关设备控制以及状态实时监控</w:t>
            </w:r>
          </w:p>
          <w:p w14:paraId="1C06B670">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11、具有密码登录保护功能；以防止非操作人员误操作</w:t>
            </w:r>
          </w:p>
          <w:p w14:paraId="7D912CD4">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（二）网络对讲终端：1个</w:t>
            </w:r>
          </w:p>
          <w:p w14:paraId="7876CEEE">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一、技术参数：</w:t>
            </w:r>
          </w:p>
          <w:p w14:paraId="59339166">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1、单键面板，可通过软件指定呼叫键所呼叫的目标话筒或软件；</w:t>
            </w:r>
          </w:p>
          <w:p w14:paraId="0940C9C0">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2、内置扬声器，可免提通话和接收广播；</w:t>
            </w:r>
          </w:p>
          <w:p w14:paraId="36778959">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3、内置咪头，可进行双向对讲，并可被监听监视；</w:t>
            </w:r>
          </w:p>
          <w:p w14:paraId="0D8E28FE">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4、设备空闲时可 播放背景音乐，对讲时自动中断；</w:t>
            </w:r>
          </w:p>
          <w:p w14:paraId="50EA90CE">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5、带音频输出/输入口，可外接有源音箱、耳麦等外设使用；</w:t>
            </w:r>
          </w:p>
          <w:p w14:paraId="7884E5D6">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6、带有短路输入、 输出口，可以接收和控制一些外围设备（比如安装警灯）；</w:t>
            </w:r>
          </w:p>
          <w:p w14:paraId="77D69C54">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7、有以太网的地方即可接入，可跨网段、跨路由，可接互联网。</w:t>
            </w:r>
          </w:p>
          <w:p w14:paraId="5CD1CB18">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8、呼叫转移，当呼叫的寻呼话筒正忙时，可转移呼叫该话筒的上级中心；</w:t>
            </w:r>
          </w:p>
          <w:p w14:paraId="32B6D932">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9、数字录音功能，对讲时录制的音频文件保存在寻呼话筒中，空闲时上传到服务器；</w:t>
            </w:r>
          </w:p>
          <w:p w14:paraId="6A7FBA5F">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10、具备SIP通话协议，可接入任意SIP电话；</w:t>
            </w:r>
          </w:p>
          <w:p w14:paraId="3B60DFE8">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11、配套一个不低于6W的有源音箱</w:t>
            </w:r>
          </w:p>
        </w:tc>
        <w:tc>
          <w:tcPr>
            <w:tcW w:w="5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7F808">
            <w:pPr>
              <w:keepNext w:val="0"/>
              <w:keepLines w:val="0"/>
              <w:widowControl/>
              <w:suppressLineNumbers w:val="0"/>
              <w:spacing w:line="360" w:lineRule="auto"/>
              <w:jc w:val="center"/>
              <w:textAlignment w:val="top"/>
              <w:rPr>
                <w:rFonts w:hint="eastAsia" w:ascii="宋体" w:hAnsi="宋体" w:eastAsia="宋体" w:cs="宋体"/>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rPr>
              <w:t>5套</w:t>
            </w:r>
          </w:p>
        </w:tc>
        <w:tc>
          <w:tcPr>
            <w:tcW w:w="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B931D">
            <w:pPr>
              <w:keepNext w:val="0"/>
              <w:keepLines w:val="0"/>
              <w:widowControl/>
              <w:suppressLineNumbers w:val="0"/>
              <w:spacing w:line="360" w:lineRule="auto"/>
              <w:jc w:val="center"/>
              <w:textAlignment w:val="top"/>
              <w:rPr>
                <w:rFonts w:hint="eastAsia" w:ascii="宋体" w:hAnsi="宋体" w:eastAsia="宋体" w:cs="宋体"/>
                <w:i w:val="0"/>
                <w:iCs w:val="0"/>
                <w:color w:val="auto"/>
                <w:kern w:val="0"/>
                <w:sz w:val="24"/>
                <w:szCs w:val="24"/>
                <w:highlight w:val="none"/>
                <w:u w:val="none"/>
                <w:lang w:val="en-US" w:eastAsia="zh-CN"/>
              </w:rPr>
            </w:pPr>
            <w:r>
              <w:rPr>
                <w:rFonts w:hint="eastAsia" w:ascii="宋体" w:hAnsi="宋体" w:eastAsia="宋体" w:cs="宋体"/>
                <w:i w:val="0"/>
                <w:iCs w:val="0"/>
                <w:color w:val="auto"/>
                <w:kern w:val="0"/>
                <w:sz w:val="24"/>
                <w:szCs w:val="24"/>
                <w:highlight w:val="none"/>
                <w:u w:val="none"/>
                <w:lang w:val="en-US" w:eastAsia="zh-CN"/>
              </w:rPr>
              <w:t>工业</w:t>
            </w:r>
          </w:p>
        </w:tc>
      </w:tr>
      <w:tr w14:paraId="59432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EB1F4">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rPr>
              <w:t>18</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C893E">
            <w:pPr>
              <w:keepNext w:val="0"/>
              <w:keepLines w:val="0"/>
              <w:widowControl/>
              <w:suppressLineNumbers w:val="0"/>
              <w:spacing w:line="360" w:lineRule="auto"/>
              <w:jc w:val="both"/>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网络交换机</w:t>
            </w:r>
          </w:p>
        </w:tc>
        <w:tc>
          <w:tcPr>
            <w:tcW w:w="3239" w:type="pct"/>
            <w:tcBorders>
              <w:top w:val="single" w:color="000000" w:sz="4" w:space="0"/>
              <w:left w:val="single" w:color="000000" w:sz="4" w:space="0"/>
              <w:bottom w:val="single" w:color="000000" w:sz="4" w:space="0"/>
              <w:right w:val="single" w:color="000000" w:sz="4" w:space="0"/>
            </w:tcBorders>
            <w:shd w:val="clear" w:color="auto" w:fill="auto"/>
          </w:tcPr>
          <w:p w14:paraId="2686ACCB">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1、配置≥24个10/100/1000BASE-T自适应电口和≥4个千兆SFP光口，具备全双工/半双工自适应传输模式。</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2、背板带宽为≥336Gbps（非阻塞模式下3.36Tbps），包转发率达≥96/126Mpps。</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3、硬件采用存储-转发交换方式，MAC地址表容量≥16K，具备智能堆叠iStack技术及4K VLAN划分。</w:t>
            </w:r>
          </w:p>
          <w:p w14:paraId="25F08BE5">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4、802.1Q VLAN，最大 4094 个 VLAN；</w:t>
            </w:r>
          </w:p>
          <w:p w14:paraId="1CB1A528">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5、基于端口 / MAC/IP 子网 VLAN、Guest VLAN、Voice VLAN；</w:t>
            </w:r>
          </w:p>
          <w:p w14:paraId="51A06BBB">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 MVRP、VLAN 翻译、SuperVLAN；</w:t>
            </w:r>
          </w:p>
          <w:p w14:paraId="1F09BDCD">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7、STP/RSTP/MSTP 生成树，环路防护；</w:t>
            </w:r>
          </w:p>
          <w:p w14:paraId="70AAA509">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8、端口聚合 LACP（静态 / 动态链路聚合），单设备最多8组聚合；</w:t>
            </w:r>
          </w:p>
          <w:p w14:paraId="23060751">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9、端口镜像：本地 / 远程镜像，多对一监控；</w:t>
            </w:r>
          </w:p>
          <w:p w14:paraId="17260923">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10、接入认证：802.1X、MAC 地址认证、Web 认证、Guest VLAN</w:t>
            </w:r>
          </w:p>
          <w:p w14:paraId="30FAEFC4">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11、端口安全：端口最大MAC 绑定、静态 MAC、IP+MAC+PORT 绑定</w:t>
            </w:r>
          </w:p>
        </w:tc>
        <w:tc>
          <w:tcPr>
            <w:tcW w:w="5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0CA7E">
            <w:pPr>
              <w:keepNext w:val="0"/>
              <w:keepLines w:val="0"/>
              <w:widowControl/>
              <w:suppressLineNumbers w:val="0"/>
              <w:spacing w:line="360" w:lineRule="auto"/>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12台</w:t>
            </w:r>
          </w:p>
        </w:tc>
        <w:tc>
          <w:tcPr>
            <w:tcW w:w="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2C9F3">
            <w:pPr>
              <w:keepNext w:val="0"/>
              <w:keepLines w:val="0"/>
              <w:widowControl/>
              <w:suppressLineNumbers w:val="0"/>
              <w:spacing w:line="360" w:lineRule="auto"/>
              <w:jc w:val="center"/>
              <w:textAlignment w:val="top"/>
              <w:rPr>
                <w:rFonts w:hint="eastAsia" w:ascii="宋体" w:hAnsi="宋体" w:eastAsia="宋体" w:cs="宋体"/>
                <w:i w:val="0"/>
                <w:iCs w:val="0"/>
                <w:color w:val="auto"/>
                <w:kern w:val="0"/>
                <w:sz w:val="24"/>
                <w:szCs w:val="24"/>
                <w:highlight w:val="none"/>
                <w:u w:val="none"/>
                <w:lang w:val="en-US" w:eastAsia="zh-CN"/>
              </w:rPr>
            </w:pPr>
            <w:r>
              <w:rPr>
                <w:rFonts w:hint="eastAsia" w:ascii="宋体" w:hAnsi="宋体" w:eastAsia="宋体" w:cs="宋体"/>
                <w:i w:val="0"/>
                <w:iCs w:val="0"/>
                <w:color w:val="auto"/>
                <w:kern w:val="0"/>
                <w:sz w:val="24"/>
                <w:szCs w:val="24"/>
                <w:highlight w:val="none"/>
                <w:u w:val="none"/>
                <w:lang w:val="en-US" w:eastAsia="zh-CN"/>
              </w:rPr>
              <w:t>工业</w:t>
            </w:r>
          </w:p>
        </w:tc>
      </w:tr>
      <w:tr w14:paraId="75A1E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79563">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rPr>
              <w:t>19</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DAE5B">
            <w:pPr>
              <w:keepNext w:val="0"/>
              <w:keepLines w:val="0"/>
              <w:widowControl/>
              <w:suppressLineNumbers w:val="0"/>
              <w:spacing w:line="360" w:lineRule="auto"/>
              <w:jc w:val="both"/>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机柜</w:t>
            </w:r>
          </w:p>
        </w:tc>
        <w:tc>
          <w:tcPr>
            <w:tcW w:w="3239" w:type="pct"/>
            <w:tcBorders>
              <w:top w:val="single" w:color="000000" w:sz="4" w:space="0"/>
              <w:left w:val="single" w:color="000000" w:sz="4" w:space="0"/>
              <w:bottom w:val="single" w:color="000000" w:sz="4" w:space="0"/>
              <w:right w:val="single" w:color="000000" w:sz="4" w:space="0"/>
            </w:tcBorders>
            <w:shd w:val="clear" w:color="auto" w:fill="auto"/>
          </w:tcPr>
          <w:p w14:paraId="0D97CB40">
            <w:pPr>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1、‌容量‌ ≥42U 配套≥8位防雷PDU；</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2、‌高度≥‌2000mm；</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3、‌宽度‌≥800mm；</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4、‌深度‌≥1200mm；</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5、‌门及门锁‌六角网孔前门/后门或白色透明钢化玻璃前门，配备高级旋把锁；</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6、‌材料工艺‌ SPCC优质冷轧钢板，表面经脱脂、酸洗、磷化、静电喷塑处理；</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7、‌承重能力：静载可达800kg–1000kg；</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8、‌防护等级‌≥IP20；</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9、‌安装特性‌ 具备脚轮与支撑脚并装，上下框带圆形通风孔，多处可关闭走线通道，配套防雷PDU；</w:t>
            </w:r>
          </w:p>
        </w:tc>
        <w:tc>
          <w:tcPr>
            <w:tcW w:w="5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01E92">
            <w:pPr>
              <w:keepNext w:val="0"/>
              <w:keepLines w:val="0"/>
              <w:widowControl/>
              <w:suppressLineNumbers w:val="0"/>
              <w:spacing w:line="360" w:lineRule="auto"/>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1个</w:t>
            </w:r>
          </w:p>
        </w:tc>
        <w:tc>
          <w:tcPr>
            <w:tcW w:w="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C8249">
            <w:pPr>
              <w:keepNext w:val="0"/>
              <w:keepLines w:val="0"/>
              <w:widowControl/>
              <w:suppressLineNumbers w:val="0"/>
              <w:spacing w:line="360" w:lineRule="auto"/>
              <w:jc w:val="center"/>
              <w:textAlignment w:val="top"/>
              <w:rPr>
                <w:rFonts w:hint="eastAsia" w:ascii="宋体" w:hAnsi="宋体" w:eastAsia="宋体" w:cs="宋体"/>
                <w:i w:val="0"/>
                <w:iCs w:val="0"/>
                <w:color w:val="auto"/>
                <w:kern w:val="0"/>
                <w:sz w:val="24"/>
                <w:szCs w:val="24"/>
                <w:highlight w:val="none"/>
                <w:u w:val="none"/>
                <w:lang w:val="en-US" w:eastAsia="zh-CN"/>
              </w:rPr>
            </w:pPr>
            <w:r>
              <w:rPr>
                <w:rFonts w:hint="eastAsia" w:ascii="宋体" w:hAnsi="宋体" w:eastAsia="宋体" w:cs="宋体"/>
                <w:i w:val="0"/>
                <w:iCs w:val="0"/>
                <w:color w:val="auto"/>
                <w:kern w:val="0"/>
                <w:sz w:val="24"/>
                <w:szCs w:val="24"/>
                <w:highlight w:val="none"/>
                <w:u w:val="none"/>
                <w:lang w:val="en-US" w:eastAsia="zh-CN"/>
              </w:rPr>
              <w:t>工业</w:t>
            </w:r>
          </w:p>
        </w:tc>
      </w:tr>
      <w:tr w14:paraId="62C1F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DA0E6">
            <w:pPr>
              <w:keepNext w:val="0"/>
              <w:keepLines w:val="0"/>
              <w:widowControl/>
              <w:suppressLineNumbers w:val="0"/>
              <w:spacing w:line="360" w:lineRule="auto"/>
              <w:jc w:val="center"/>
              <w:textAlignment w:val="center"/>
              <w:rPr>
                <w:rFonts w:hint="eastAsia" w:ascii="宋体" w:hAnsi="宋体" w:eastAsia="宋体" w:cs="宋体"/>
                <w:i w:val="0"/>
                <w:iCs w:val="0"/>
                <w:color w:val="auto"/>
                <w:kern w:val="0"/>
                <w:sz w:val="24"/>
                <w:szCs w:val="24"/>
                <w:highlight w:val="none"/>
                <w:u w:val="none"/>
                <w:lang w:val="en-US" w:eastAsia="zh-CN"/>
              </w:rPr>
            </w:pPr>
            <w:r>
              <w:rPr>
                <w:rFonts w:hint="eastAsia" w:ascii="宋体" w:hAnsi="宋体" w:eastAsia="宋体" w:cs="宋体"/>
                <w:i w:val="0"/>
                <w:iCs w:val="0"/>
                <w:color w:val="auto"/>
                <w:kern w:val="0"/>
                <w:sz w:val="24"/>
                <w:szCs w:val="24"/>
                <w:highlight w:val="none"/>
                <w:u w:val="none"/>
                <w:lang w:val="en-US" w:eastAsia="zh-CN"/>
              </w:rPr>
              <w:t>20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F1221">
            <w:pPr>
              <w:keepNext w:val="0"/>
              <w:keepLines w:val="0"/>
              <w:widowControl/>
              <w:suppressLineNumbers w:val="0"/>
              <w:spacing w:line="360" w:lineRule="auto"/>
              <w:jc w:val="both"/>
              <w:textAlignment w:val="top"/>
              <w:rPr>
                <w:rFonts w:hint="eastAsia" w:ascii="宋体" w:hAnsi="宋体" w:eastAsia="宋体" w:cs="宋体"/>
                <w:i w:val="0"/>
                <w:iCs w:val="0"/>
                <w:color w:val="auto"/>
                <w:kern w:val="0"/>
                <w:sz w:val="24"/>
                <w:szCs w:val="24"/>
                <w:highlight w:val="none"/>
                <w:u w:val="none"/>
                <w:lang w:val="en-US" w:eastAsia="zh-CN"/>
              </w:rPr>
            </w:pPr>
            <w:r>
              <w:rPr>
                <w:rFonts w:hint="eastAsia" w:ascii="宋体" w:hAnsi="宋体" w:eastAsia="宋体" w:cs="宋体"/>
                <w:i w:val="0"/>
                <w:iCs w:val="0"/>
                <w:color w:val="auto"/>
                <w:kern w:val="0"/>
                <w:sz w:val="24"/>
                <w:szCs w:val="24"/>
                <w:highlight w:val="none"/>
                <w:u w:val="none"/>
                <w:lang w:val="en-US" w:eastAsia="zh-CN"/>
              </w:rPr>
              <w:t>等保测试</w:t>
            </w:r>
          </w:p>
        </w:tc>
        <w:tc>
          <w:tcPr>
            <w:tcW w:w="3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0C6F4C">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提供计算机等保二级测试服务</w:t>
            </w:r>
          </w:p>
        </w:tc>
        <w:tc>
          <w:tcPr>
            <w:tcW w:w="5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F6CC8">
            <w:pPr>
              <w:keepNext w:val="0"/>
              <w:keepLines w:val="0"/>
              <w:widowControl/>
              <w:suppressLineNumbers w:val="0"/>
              <w:spacing w:line="360" w:lineRule="auto"/>
              <w:jc w:val="center"/>
              <w:textAlignment w:val="top"/>
              <w:rPr>
                <w:rFonts w:hint="eastAsia" w:ascii="宋体" w:hAnsi="宋体" w:eastAsia="宋体" w:cs="宋体"/>
                <w:i w:val="0"/>
                <w:iCs w:val="0"/>
                <w:color w:val="auto"/>
                <w:kern w:val="0"/>
                <w:sz w:val="24"/>
                <w:szCs w:val="24"/>
                <w:highlight w:val="none"/>
                <w:u w:val="none"/>
                <w:lang w:val="en-US" w:eastAsia="zh-CN"/>
              </w:rPr>
            </w:pPr>
            <w:r>
              <w:rPr>
                <w:rFonts w:hint="eastAsia" w:ascii="宋体" w:hAnsi="宋体" w:eastAsia="宋体" w:cs="宋体"/>
                <w:i w:val="0"/>
                <w:iCs w:val="0"/>
                <w:color w:val="auto"/>
                <w:kern w:val="0"/>
                <w:sz w:val="24"/>
                <w:szCs w:val="24"/>
                <w:highlight w:val="none"/>
                <w:u w:val="none"/>
                <w:lang w:val="en-US" w:eastAsia="zh-CN"/>
              </w:rPr>
              <w:t>1项</w:t>
            </w:r>
          </w:p>
        </w:tc>
        <w:tc>
          <w:tcPr>
            <w:tcW w:w="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E3700">
            <w:pPr>
              <w:keepNext w:val="0"/>
              <w:keepLines w:val="0"/>
              <w:widowControl/>
              <w:suppressLineNumbers w:val="0"/>
              <w:spacing w:line="360" w:lineRule="auto"/>
              <w:jc w:val="center"/>
              <w:textAlignment w:val="top"/>
              <w:rPr>
                <w:rFonts w:hint="eastAsia" w:ascii="宋体" w:hAnsi="宋体" w:eastAsia="宋体" w:cs="宋体"/>
                <w:i w:val="0"/>
                <w:iCs w:val="0"/>
                <w:color w:val="auto"/>
                <w:kern w:val="0"/>
                <w:sz w:val="24"/>
                <w:szCs w:val="24"/>
                <w:highlight w:val="none"/>
                <w:u w:val="none"/>
                <w:lang w:val="en-US" w:eastAsia="zh-CN"/>
              </w:rPr>
            </w:pPr>
            <w:r>
              <w:rPr>
                <w:rFonts w:hint="eastAsia" w:ascii="宋体" w:hAnsi="宋体" w:eastAsia="宋体" w:cs="宋体"/>
                <w:i w:val="0"/>
                <w:iCs w:val="0"/>
                <w:color w:val="auto"/>
                <w:kern w:val="0"/>
                <w:sz w:val="24"/>
                <w:szCs w:val="24"/>
                <w:highlight w:val="none"/>
                <w:u w:val="none"/>
                <w:lang w:val="en-US" w:eastAsia="zh-CN"/>
              </w:rPr>
              <w:t>/</w:t>
            </w:r>
          </w:p>
        </w:tc>
      </w:tr>
      <w:tr w14:paraId="25BD0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8C914">
            <w:pPr>
              <w:keepNext w:val="0"/>
              <w:keepLines w:val="0"/>
              <w:widowControl/>
              <w:suppressLineNumbers w:val="0"/>
              <w:spacing w:line="360" w:lineRule="auto"/>
              <w:jc w:val="center"/>
              <w:textAlignment w:val="center"/>
              <w:rPr>
                <w:rFonts w:hint="eastAsia" w:ascii="宋体" w:hAnsi="宋体" w:eastAsia="宋体" w:cs="宋体"/>
                <w:i w:val="0"/>
                <w:iCs w:val="0"/>
                <w:color w:val="auto"/>
                <w:kern w:val="0"/>
                <w:sz w:val="24"/>
                <w:szCs w:val="24"/>
                <w:highlight w:val="none"/>
                <w:u w:val="none"/>
                <w:lang w:val="en-US" w:eastAsia="zh-CN"/>
              </w:rPr>
            </w:pPr>
            <w:r>
              <w:rPr>
                <w:rFonts w:hint="eastAsia" w:ascii="宋体" w:hAnsi="宋体" w:eastAsia="宋体" w:cs="宋体"/>
                <w:i w:val="0"/>
                <w:iCs w:val="0"/>
                <w:color w:val="auto"/>
                <w:kern w:val="0"/>
                <w:sz w:val="24"/>
                <w:szCs w:val="24"/>
                <w:highlight w:val="none"/>
                <w:u w:val="none"/>
                <w:lang w:val="en-US" w:eastAsia="zh-CN"/>
              </w:rPr>
              <w:t>21</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4980C">
            <w:pPr>
              <w:keepNext w:val="0"/>
              <w:keepLines w:val="0"/>
              <w:widowControl/>
              <w:suppressLineNumbers w:val="0"/>
              <w:spacing w:line="360" w:lineRule="auto"/>
              <w:jc w:val="both"/>
              <w:textAlignment w:val="top"/>
              <w:rPr>
                <w:rFonts w:hint="eastAsia" w:ascii="宋体" w:hAnsi="宋体" w:eastAsia="宋体" w:cs="宋体"/>
                <w:i w:val="0"/>
                <w:iCs w:val="0"/>
                <w:color w:val="auto"/>
                <w:kern w:val="0"/>
                <w:sz w:val="24"/>
                <w:szCs w:val="24"/>
                <w:highlight w:val="none"/>
                <w:u w:val="none"/>
                <w:lang w:val="en-US" w:eastAsia="zh-CN"/>
              </w:rPr>
            </w:pPr>
            <w:r>
              <w:rPr>
                <w:rFonts w:hint="eastAsia" w:ascii="宋体" w:hAnsi="宋体" w:eastAsia="宋体" w:cs="宋体"/>
                <w:i w:val="0"/>
                <w:iCs w:val="0"/>
                <w:color w:val="auto"/>
                <w:kern w:val="0"/>
                <w:sz w:val="24"/>
                <w:szCs w:val="24"/>
                <w:highlight w:val="none"/>
                <w:u w:val="none"/>
                <w:lang w:val="en-US" w:eastAsia="zh-CN"/>
              </w:rPr>
              <w:t>安装调试服务</w:t>
            </w:r>
          </w:p>
        </w:tc>
        <w:tc>
          <w:tcPr>
            <w:tcW w:w="3239" w:type="pct"/>
            <w:tcBorders>
              <w:top w:val="single" w:color="000000" w:sz="4" w:space="0"/>
              <w:left w:val="single" w:color="000000" w:sz="4" w:space="0"/>
              <w:bottom w:val="single" w:color="000000" w:sz="4" w:space="0"/>
              <w:right w:val="single" w:color="000000" w:sz="4" w:space="0"/>
            </w:tcBorders>
            <w:shd w:val="clear" w:color="auto" w:fill="auto"/>
          </w:tcPr>
          <w:p w14:paraId="6A3EC441">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1、每台示教摄像机配套的360；</w:t>
            </w:r>
            <w:r>
              <w:rPr>
                <w:rFonts w:hint="eastAsia" w:ascii="宋体" w:hAnsi="宋体" w:eastAsia="宋体" w:cs="宋体"/>
                <w:color w:val="auto"/>
                <w:sz w:val="24"/>
                <w:szCs w:val="24"/>
                <w:highlight w:val="none"/>
                <w:lang w:eastAsia="zh-CN"/>
              </w:rPr>
              <w:t>吊臂：配套1.2米万向臂，转臂水平360度旋转，双节多方位调节；垂直60度调节；活动关节带阻尼装置，双节多方位调节，支持任意角度拉动，悬停，单手轻松操作。</w:t>
            </w:r>
            <w:r>
              <w:rPr>
                <w:rFonts w:hint="eastAsia" w:ascii="宋体" w:hAnsi="宋体" w:eastAsia="宋体" w:cs="宋体"/>
                <w:color w:val="auto"/>
                <w:sz w:val="24"/>
                <w:szCs w:val="24"/>
                <w:highlight w:val="none"/>
                <w:lang w:val="en-US" w:eastAsia="zh-CN"/>
              </w:rPr>
              <w:t>采用镀锌钢材材质。</w:t>
            </w:r>
          </w:p>
          <w:p w14:paraId="6694493F">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2、每台床头屏配套悬臂支架</w:t>
            </w:r>
            <w:r>
              <w:rPr>
                <w:rFonts w:hint="eastAsia" w:ascii="宋体" w:hAnsi="宋体" w:eastAsia="宋体" w:cs="宋体"/>
                <w:color w:val="auto"/>
                <w:sz w:val="24"/>
                <w:szCs w:val="24"/>
                <w:highlight w:val="none"/>
              </w:rPr>
              <w:t>主体结构</w:t>
            </w:r>
            <w:r>
              <w:rPr>
                <w:rFonts w:hint="eastAsia" w:ascii="宋体" w:hAnsi="宋体" w:eastAsia="宋体" w:cs="宋体"/>
                <w:color w:val="auto"/>
                <w:sz w:val="24"/>
                <w:szCs w:val="24"/>
                <w:highlight w:val="none"/>
                <w:lang w:val="en-US" w:eastAsia="zh-CN"/>
              </w:rPr>
              <w:t>采用</w:t>
            </w:r>
            <w:r>
              <w:rPr>
                <w:rFonts w:hint="eastAsia" w:ascii="宋体" w:hAnsi="宋体" w:eastAsia="宋体" w:cs="宋体"/>
                <w:b w:val="0"/>
                <w:bCs/>
                <w:color w:val="auto"/>
                <w:sz w:val="24"/>
                <w:szCs w:val="24"/>
                <w:highlight w:val="none"/>
              </w:rPr>
              <w:t>加厚冷轧钢</w:t>
            </w:r>
            <w:r>
              <w:rPr>
                <w:rFonts w:hint="eastAsia" w:ascii="宋体" w:hAnsi="宋体" w:eastAsia="宋体" w:cs="宋体"/>
                <w:color w:val="auto"/>
                <w:sz w:val="24"/>
                <w:szCs w:val="24"/>
                <w:highlight w:val="none"/>
              </w:rPr>
              <w:t>，防锈、抗碰撞</w:t>
            </w:r>
            <w:r>
              <w:rPr>
                <w:rFonts w:hint="eastAsia" w:ascii="宋体" w:hAnsi="宋体" w:eastAsia="宋体" w:cs="宋体"/>
                <w:color w:val="auto"/>
                <w:sz w:val="24"/>
                <w:szCs w:val="24"/>
                <w:highlight w:val="none"/>
                <w:lang w:val="en-US" w:eastAsia="zh-CN"/>
              </w:rPr>
              <w:t>材质，短悬臂长度不低于20CM，长悬臂长度不低于50CM；可水平上下移动。</w:t>
            </w:r>
          </w:p>
          <w:p w14:paraId="39012FAD">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3、6类非屏蔽网线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导体采用无氧铜材质，单股线芯直径不低于0.53mm±0.005mm。线身采用</w:t>
            </w:r>
            <w:r>
              <w:rPr>
                <w:rFonts w:hint="eastAsia" w:ascii="宋体" w:hAnsi="宋体" w:eastAsia="宋体" w:cs="宋体"/>
                <w:color w:val="auto"/>
                <w:sz w:val="24"/>
                <w:szCs w:val="24"/>
                <w:highlight w:val="none"/>
              </w:rPr>
              <w:t>B2 级</w:t>
            </w:r>
            <w:r>
              <w:rPr>
                <w:rFonts w:hint="eastAsia" w:ascii="宋体" w:hAnsi="宋体" w:eastAsia="宋体" w:cs="宋体"/>
                <w:color w:val="auto"/>
                <w:sz w:val="24"/>
                <w:szCs w:val="24"/>
                <w:highlight w:val="none"/>
                <w:lang w:val="en-US" w:eastAsia="zh-CN"/>
              </w:rPr>
              <w:t>阻燃PVC材质，带有抗撕拉绳。执行国家GB/T18015.5-2007，YD/T1019-2023标准；</w:t>
            </w:r>
          </w:p>
          <w:p w14:paraId="639FD382">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4、2*1.5RVV护套电源线，导体材质采用无氧铜。线身采用聚氯乙烯绝缘材料。执行国标GB/T5023.5-2008标准，标准额定电压300/500V；工作温度-15℃ ~ +70℃。长期安全功率2200W~2600W。</w:t>
            </w:r>
          </w:p>
          <w:p w14:paraId="64D71BB4">
            <w:pPr>
              <w:bidi w:val="0"/>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5、200芯金银线用于音箱，</w:t>
            </w:r>
            <w:r>
              <w:rPr>
                <w:rFonts w:hint="eastAsia" w:ascii="宋体" w:hAnsi="宋体" w:eastAsia="宋体" w:cs="宋体"/>
                <w:color w:val="auto"/>
                <w:sz w:val="24"/>
                <w:szCs w:val="24"/>
                <w:highlight w:val="none"/>
              </w:rPr>
              <w:t>规格：单股铜丝 0.10mm，单边 200 根细丝绞合，两股合计 400 丝，等效截面积≈1.0mm²</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导体采用</w:t>
            </w:r>
            <w:r>
              <w:rPr>
                <w:rFonts w:hint="eastAsia" w:ascii="宋体" w:hAnsi="宋体" w:eastAsia="宋体" w:cs="宋体"/>
                <w:color w:val="auto"/>
                <w:sz w:val="24"/>
                <w:szCs w:val="24"/>
                <w:highlight w:val="none"/>
              </w:rPr>
              <w:t>无氧铜</w:t>
            </w:r>
            <w:r>
              <w:rPr>
                <w:rFonts w:hint="eastAsia" w:ascii="宋体" w:hAnsi="宋体" w:eastAsia="宋体" w:cs="宋体"/>
                <w:color w:val="auto"/>
                <w:sz w:val="24"/>
                <w:szCs w:val="24"/>
                <w:highlight w:val="none"/>
                <w:lang w:eastAsia="zh-CN"/>
              </w:rPr>
              <w:t>。</w:t>
            </w:r>
          </w:p>
          <w:p w14:paraId="50ED1A3C">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6、设备安装人工费用，</w:t>
            </w:r>
            <w:r>
              <w:rPr>
                <w:rFonts w:hint="eastAsia" w:ascii="宋体" w:hAnsi="宋体" w:eastAsia="宋体" w:cs="宋体"/>
                <w:i w:val="0"/>
                <w:iCs w:val="0"/>
                <w:caps w:val="0"/>
                <w:color w:val="auto"/>
                <w:spacing w:val="0"/>
                <w:sz w:val="24"/>
                <w:szCs w:val="24"/>
                <w:highlight w:val="none"/>
                <w:shd w:val="clear" w:fill="auto"/>
              </w:rPr>
              <w:t>包含所有设备（摄像机、床头屏、护士站大屏、呼叫器等）的安装、固定、接线、调试，确保全部设备正常运行</w:t>
            </w:r>
            <w:r>
              <w:rPr>
                <w:rFonts w:hint="eastAsia" w:ascii="宋体" w:hAnsi="宋体" w:eastAsia="宋体" w:cs="宋体"/>
                <w:color w:val="auto"/>
                <w:sz w:val="24"/>
                <w:szCs w:val="24"/>
                <w:highlight w:val="none"/>
                <w:lang w:val="en-US" w:eastAsia="zh-CN"/>
              </w:rPr>
              <w:t>;包含所有辅材费用</w:t>
            </w:r>
          </w:p>
          <w:p w14:paraId="1C3EFB50">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7、学校一体化平台对接，包含门禁、音视频等接口费用；</w:t>
            </w:r>
            <w:r>
              <w:rPr>
                <w:rFonts w:hint="eastAsia" w:ascii="宋体" w:hAnsi="宋体" w:eastAsia="宋体" w:cs="宋体"/>
                <w:bCs/>
                <w:color w:val="auto"/>
                <w:sz w:val="24"/>
                <w:szCs w:val="24"/>
                <w:highlight w:val="none"/>
              </w:rPr>
              <w:t>所投软件与学校基础平台完成集成验收合格后，在所投产品周期内须提供接口维护服务，包括但不限于所投软件系统自身升级后仍应确保与平台的原有集成接口运行正常、以及当校方基础平台整体架构升级时所需投标人给予的免费集成配合。终生免费配合数据迁移，包括但不限于所投业务系统升级改造、更换厂商等，投标人应将所投软件系统与智慧校园平台相关接口集成开发费用一并包含在投标报价中（接口包含学校统一身份认证接口、数据交换接口、统一通讯平台等）</w:t>
            </w:r>
          </w:p>
          <w:p w14:paraId="4C24A37B">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8、提供软件的功能检测报告、安全漏洞及渗透测试报告；9、将原有旧设备及门禁系统进行升级改造安装至正常运行，包含涉及到的线材等一切费用，要求与现有新增设备及系统进行数据互通。 </w:t>
            </w:r>
          </w:p>
          <w:p w14:paraId="03A06969">
            <w:pPr>
              <w:bidi w:val="0"/>
              <w:spacing w:line="360" w:lineRule="auto"/>
              <w:rPr>
                <w:rFonts w:hint="eastAsia" w:ascii="宋体" w:hAnsi="宋体" w:eastAsia="宋体" w:cs="宋体"/>
                <w:i w:val="0"/>
                <w:iCs w:val="0"/>
                <w:caps w:val="0"/>
                <w:color w:val="auto"/>
                <w:spacing w:val="0"/>
                <w:sz w:val="24"/>
                <w:szCs w:val="24"/>
                <w:highlight w:val="none"/>
                <w:shd w:val="clear"/>
                <w:lang w:eastAsia="zh-CN"/>
              </w:rPr>
            </w:pPr>
            <w:r>
              <w:rPr>
                <w:rFonts w:hint="eastAsia" w:ascii="宋体" w:hAnsi="宋体" w:eastAsia="宋体" w:cs="宋体"/>
                <w:color w:val="auto"/>
                <w:sz w:val="24"/>
                <w:szCs w:val="24"/>
                <w:highlight w:val="none"/>
                <w:lang w:val="en-US" w:eastAsia="zh-CN"/>
              </w:rPr>
              <w:t>10、</w:t>
            </w:r>
            <w:r>
              <w:rPr>
                <w:rFonts w:hint="eastAsia" w:ascii="宋体" w:hAnsi="宋体" w:eastAsia="宋体" w:cs="宋体"/>
                <w:b w:val="0"/>
                <w:bCs w:val="0"/>
                <w:i w:val="0"/>
                <w:iCs w:val="0"/>
                <w:caps w:val="0"/>
                <w:color w:val="auto"/>
                <w:spacing w:val="0"/>
                <w:sz w:val="24"/>
                <w:szCs w:val="24"/>
                <w:highlight w:val="none"/>
                <w:shd w:val="clear" w:fill="auto"/>
              </w:rPr>
              <w:t>线缆敷设</w:t>
            </w:r>
            <w:r>
              <w:rPr>
                <w:rFonts w:hint="eastAsia" w:ascii="宋体" w:hAnsi="宋体" w:eastAsia="宋体" w:cs="宋体"/>
                <w:b w:val="0"/>
                <w:bCs w:val="0"/>
                <w:i w:val="0"/>
                <w:iCs w:val="0"/>
                <w:caps w:val="0"/>
                <w:color w:val="auto"/>
                <w:spacing w:val="0"/>
                <w:sz w:val="24"/>
                <w:szCs w:val="24"/>
                <w:highlight w:val="none"/>
                <w:shd w:val="clear"/>
                <w:lang w:val="en-US" w:eastAsia="zh-CN"/>
              </w:rPr>
              <w:t>要求</w:t>
            </w:r>
            <w:r>
              <w:rPr>
                <w:rFonts w:hint="eastAsia" w:ascii="宋体" w:hAnsi="宋体" w:eastAsia="宋体" w:cs="宋体"/>
                <w:i w:val="0"/>
                <w:iCs w:val="0"/>
                <w:caps w:val="0"/>
                <w:color w:val="auto"/>
                <w:spacing w:val="0"/>
                <w:sz w:val="24"/>
                <w:szCs w:val="24"/>
                <w:highlight w:val="none"/>
                <w:shd w:val="clear" w:fill="auto"/>
              </w:rPr>
              <w:t>：包含所有网线、电源线、信号线的敷设、整理、标识，线缆须穿管或走桥架，不得裸线明敷</w:t>
            </w:r>
            <w:r>
              <w:rPr>
                <w:rFonts w:hint="eastAsia" w:ascii="宋体" w:hAnsi="宋体" w:eastAsia="宋体" w:cs="宋体"/>
                <w:i w:val="0"/>
                <w:iCs w:val="0"/>
                <w:caps w:val="0"/>
                <w:color w:val="auto"/>
                <w:spacing w:val="0"/>
                <w:sz w:val="24"/>
                <w:szCs w:val="24"/>
                <w:highlight w:val="none"/>
                <w:shd w:val="clear"/>
                <w:lang w:eastAsia="zh-CN"/>
              </w:rPr>
              <w:t>。</w:t>
            </w:r>
          </w:p>
          <w:p w14:paraId="4763A3BB">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i w:val="0"/>
                <w:iCs w:val="0"/>
                <w:caps w:val="0"/>
                <w:color w:val="auto"/>
                <w:spacing w:val="0"/>
                <w:sz w:val="24"/>
                <w:szCs w:val="24"/>
                <w:highlight w:val="none"/>
                <w:shd w:val="clear"/>
                <w:lang w:val="en-US" w:eastAsia="zh-CN"/>
              </w:rPr>
              <w:t>11、其它要求：信息系统对采集或生成的敏感数据在传输和存储时要以密文形式，不得明文存储或传输。</w:t>
            </w:r>
          </w:p>
        </w:tc>
        <w:tc>
          <w:tcPr>
            <w:tcW w:w="5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A824F">
            <w:pPr>
              <w:keepNext w:val="0"/>
              <w:keepLines w:val="0"/>
              <w:widowControl/>
              <w:suppressLineNumbers w:val="0"/>
              <w:spacing w:line="360" w:lineRule="auto"/>
              <w:jc w:val="center"/>
              <w:textAlignment w:val="top"/>
              <w:rPr>
                <w:rFonts w:hint="eastAsia" w:ascii="宋体" w:hAnsi="宋体" w:eastAsia="宋体" w:cs="宋体"/>
                <w:i w:val="0"/>
                <w:iCs w:val="0"/>
                <w:color w:val="auto"/>
                <w:kern w:val="0"/>
                <w:sz w:val="24"/>
                <w:szCs w:val="24"/>
                <w:highlight w:val="none"/>
                <w:u w:val="none"/>
                <w:lang w:val="en-US" w:eastAsia="zh-CN"/>
              </w:rPr>
            </w:pPr>
            <w:r>
              <w:rPr>
                <w:rFonts w:hint="eastAsia" w:ascii="宋体" w:hAnsi="宋体" w:eastAsia="宋体" w:cs="宋体"/>
                <w:i w:val="0"/>
                <w:iCs w:val="0"/>
                <w:color w:val="auto"/>
                <w:kern w:val="0"/>
                <w:sz w:val="24"/>
                <w:szCs w:val="24"/>
                <w:highlight w:val="none"/>
                <w:u w:val="none"/>
                <w:lang w:val="en-US" w:eastAsia="zh-CN"/>
              </w:rPr>
              <w:t>1项</w:t>
            </w:r>
          </w:p>
        </w:tc>
        <w:tc>
          <w:tcPr>
            <w:tcW w:w="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36B8E">
            <w:pPr>
              <w:keepNext w:val="0"/>
              <w:keepLines w:val="0"/>
              <w:widowControl/>
              <w:suppressLineNumbers w:val="0"/>
              <w:spacing w:line="360" w:lineRule="auto"/>
              <w:jc w:val="center"/>
              <w:textAlignment w:val="top"/>
              <w:rPr>
                <w:rFonts w:hint="eastAsia" w:ascii="宋体" w:hAnsi="宋体" w:eastAsia="宋体" w:cs="宋体"/>
                <w:i w:val="0"/>
                <w:iCs w:val="0"/>
                <w:color w:val="auto"/>
                <w:kern w:val="0"/>
                <w:sz w:val="24"/>
                <w:szCs w:val="24"/>
                <w:highlight w:val="none"/>
                <w:u w:val="none"/>
                <w:lang w:val="en-US" w:eastAsia="zh-CN"/>
              </w:rPr>
            </w:pPr>
            <w:r>
              <w:rPr>
                <w:rFonts w:hint="eastAsia" w:ascii="宋体" w:hAnsi="宋体" w:eastAsia="宋体" w:cs="宋体"/>
                <w:i w:val="0"/>
                <w:iCs w:val="0"/>
                <w:color w:val="auto"/>
                <w:kern w:val="0"/>
                <w:sz w:val="24"/>
                <w:szCs w:val="24"/>
                <w:highlight w:val="none"/>
                <w:u w:val="none"/>
                <w:lang w:val="en-US" w:eastAsia="zh-CN"/>
              </w:rPr>
              <w:t>/</w:t>
            </w:r>
          </w:p>
        </w:tc>
      </w:tr>
    </w:tbl>
    <w:p w14:paraId="71F61B3C">
      <w:pPr>
        <w:rPr>
          <w:rFonts w:ascii="Calibri" w:hAnsi="Calibri" w:eastAsia="宋体" w:cs="宋体"/>
          <w:color w:val="auto"/>
          <w:szCs w:val="22"/>
          <w:highlight w:val="none"/>
        </w:rPr>
      </w:pPr>
    </w:p>
    <w:p w14:paraId="55D55552">
      <w:pPr>
        <w:widowControl w:val="0"/>
        <w:spacing w:after="120" w:line="360" w:lineRule="auto"/>
        <w:ind w:left="0" w:leftChars="0" w:firstLine="0" w:firstLineChars="0"/>
        <w:jc w:val="both"/>
        <w:rPr>
          <w:rFonts w:hint="eastAsia" w:ascii="Times New Roman" w:hAnsi="Times New Roman" w:eastAsia="宋体" w:cs="Times New Roman"/>
          <w:b/>
          <w:bCs/>
          <w:color w:val="auto"/>
          <w:kern w:val="2"/>
          <w:sz w:val="24"/>
          <w:szCs w:val="24"/>
          <w:highlight w:val="none"/>
          <w:lang w:val="en-US" w:eastAsia="zh-CN" w:bidi="ar-SA"/>
        </w:rPr>
      </w:pPr>
      <w:r>
        <w:rPr>
          <w:rFonts w:hint="eastAsia" w:ascii="Times New Roman" w:hAnsi="Times New Roman" w:eastAsia="宋体" w:cs="Times New Roman"/>
          <w:b/>
          <w:bCs/>
          <w:color w:val="auto"/>
          <w:kern w:val="2"/>
          <w:sz w:val="24"/>
          <w:szCs w:val="24"/>
          <w:highlight w:val="none"/>
          <w:lang w:val="en-US" w:eastAsia="zh-CN" w:bidi="ar-SA"/>
        </w:rPr>
        <w:t>四、报价要求</w:t>
      </w:r>
    </w:p>
    <w:p w14:paraId="654D8699">
      <w:pPr>
        <w:widowControl w:val="0"/>
        <w:spacing w:after="120" w:line="360" w:lineRule="auto"/>
        <w:ind w:firstLine="480" w:firstLineChars="200"/>
        <w:jc w:val="both"/>
        <w:rPr>
          <w:rFonts w:ascii="@微软简标宋" w:hAnsi="@微软简标宋" w:eastAsia="@微软简标宋" w:cs="@微软简标宋"/>
          <w:color w:val="auto"/>
          <w:kern w:val="2"/>
          <w:sz w:val="21"/>
          <w:szCs w:val="24"/>
          <w:highlight w:val="none"/>
          <w:lang w:val="zh-CN" w:eastAsia="zh-CN" w:bidi="ar-SA"/>
        </w:rPr>
      </w:pPr>
      <w:r>
        <w:rPr>
          <w:rFonts w:hint="eastAsia" w:ascii="Times New Roman" w:hAnsi="Times New Roman" w:eastAsia="宋体" w:cs="Times New Roman"/>
          <w:color w:val="auto"/>
          <w:kern w:val="2"/>
          <w:sz w:val="24"/>
          <w:szCs w:val="24"/>
          <w:highlight w:val="none"/>
          <w:lang w:val="zh-CN" w:eastAsia="zh-CN" w:bidi="ar-SA"/>
        </w:rPr>
        <w:t>本项目报价包含完成项目所需的一切费用，投标人报价时应充分考虑成本。中标结果确定后，中标人不得以任何理由要求增补项目费用或拒绝履约服务，采购人不接受任何追加费用的理由。</w:t>
      </w:r>
    </w:p>
    <w:p w14:paraId="156286C9">
      <w:pPr>
        <w:numPr>
          <w:ilvl w:val="0"/>
          <w:numId w:val="0"/>
        </w:numPr>
        <w:snapToGrid w:val="0"/>
        <w:spacing w:line="360" w:lineRule="auto"/>
        <w:rPr>
          <w:rFonts w:ascii="Calibri" w:hAnsi="Calibri" w:eastAsia="宋体" w:cs="宋体"/>
          <w:b/>
          <w:color w:val="auto"/>
          <w:sz w:val="24"/>
          <w:szCs w:val="22"/>
          <w:highlight w:val="none"/>
        </w:rPr>
      </w:pPr>
      <w:r>
        <w:rPr>
          <w:rFonts w:hint="eastAsia" w:ascii="Times New Roman" w:hAnsi="Times New Roman" w:eastAsia="宋体" w:cs="Times New Roman"/>
          <w:b/>
          <w:color w:val="auto"/>
          <w:sz w:val="24"/>
          <w:szCs w:val="22"/>
          <w:highlight w:val="none"/>
          <w:lang w:val="en-US" w:eastAsia="zh-CN"/>
        </w:rPr>
        <w:t>五、</w:t>
      </w:r>
      <w:r>
        <w:rPr>
          <w:rFonts w:ascii="Times New Roman" w:hAnsi="Times New Roman" w:eastAsia="宋体" w:cs="Times New Roman"/>
          <w:b/>
          <w:color w:val="auto"/>
          <w:sz w:val="24"/>
          <w:szCs w:val="22"/>
          <w:highlight w:val="none"/>
        </w:rPr>
        <w:t>其他要求</w:t>
      </w:r>
    </w:p>
    <w:p w14:paraId="21D7EF4B">
      <w:pPr>
        <w:snapToGrid w:val="0"/>
        <w:spacing w:line="360" w:lineRule="auto"/>
        <w:ind w:firstLine="482" w:firstLineChars="200"/>
        <w:rPr>
          <w:rFonts w:ascii="宋体" w:hAnsi="宋体" w:eastAsia="宋体" w:cs="宋体"/>
          <w:b/>
          <w:color w:val="auto"/>
          <w:sz w:val="24"/>
          <w:szCs w:val="21"/>
          <w:highlight w:val="none"/>
        </w:rPr>
      </w:pPr>
      <w:r>
        <w:rPr>
          <w:rFonts w:hint="eastAsia" w:ascii="宋体" w:hAnsi="宋体" w:eastAsia="宋体" w:cs="宋体"/>
          <w:b/>
          <w:color w:val="auto"/>
          <w:sz w:val="24"/>
          <w:szCs w:val="21"/>
          <w:highlight w:val="none"/>
          <w:lang w:val="en-US" w:eastAsia="zh-CN"/>
        </w:rPr>
        <w:t>5</w:t>
      </w:r>
      <w:r>
        <w:rPr>
          <w:rFonts w:ascii="宋体" w:hAnsi="宋体" w:eastAsia="宋体" w:cs="宋体"/>
          <w:b/>
          <w:color w:val="auto"/>
          <w:sz w:val="24"/>
          <w:szCs w:val="21"/>
          <w:highlight w:val="none"/>
        </w:rPr>
        <w:t>.1</w:t>
      </w:r>
      <w:r>
        <w:rPr>
          <w:rFonts w:hint="eastAsia" w:ascii="宋体" w:hAnsi="宋体" w:eastAsia="宋体" w:cs="宋体"/>
          <w:b/>
          <w:color w:val="auto"/>
          <w:sz w:val="24"/>
          <w:szCs w:val="21"/>
          <w:highlight w:val="none"/>
        </w:rPr>
        <w:t>数据标准</w:t>
      </w:r>
    </w:p>
    <w:p w14:paraId="753822A4">
      <w:pPr>
        <w:snapToGrid w:val="0"/>
        <w:spacing w:line="360" w:lineRule="auto"/>
        <w:ind w:firstLine="480" w:firstLineChars="200"/>
        <w:rPr>
          <w:rFonts w:hint="default" w:ascii="宋体" w:hAnsi="宋体" w:eastAsia="宋体" w:cs="宋体"/>
          <w:bCs/>
          <w:color w:val="auto"/>
          <w:sz w:val="24"/>
          <w:szCs w:val="21"/>
          <w:highlight w:val="none"/>
          <w:lang w:val="en-US" w:eastAsia="zh-CN"/>
        </w:rPr>
      </w:pPr>
      <w:r>
        <w:rPr>
          <w:rFonts w:hint="eastAsia" w:ascii="宋体" w:hAnsi="宋体" w:eastAsia="宋体" w:cs="宋体"/>
          <w:bCs/>
          <w:color w:val="auto"/>
          <w:sz w:val="24"/>
          <w:szCs w:val="21"/>
          <w:highlight w:val="none"/>
        </w:rPr>
        <w:t>系统开发中数据编码规则需要遵照《安徽医科大学基础数据编码规则(2025年修订)》，实现数据标准化采集与共享</w:t>
      </w:r>
      <w:r>
        <w:rPr>
          <w:rFonts w:hint="eastAsia" w:ascii="宋体" w:hAnsi="宋体" w:eastAsia="宋体" w:cs="宋体"/>
          <w:bCs/>
          <w:color w:val="auto"/>
          <w:sz w:val="24"/>
          <w:szCs w:val="21"/>
          <w:highlight w:val="none"/>
          <w:lang w:eastAsia="zh-CN"/>
        </w:rPr>
        <w:t>，</w:t>
      </w:r>
      <w:r>
        <w:rPr>
          <w:rFonts w:hint="eastAsia" w:ascii="宋体" w:hAnsi="宋体" w:eastAsia="宋体" w:cs="宋体"/>
          <w:b/>
          <w:bCs w:val="0"/>
          <w:color w:val="auto"/>
          <w:sz w:val="24"/>
          <w:szCs w:val="21"/>
          <w:highlight w:val="none"/>
          <w:u w:val="single"/>
        </w:rPr>
        <w:t>供应商须</w:t>
      </w:r>
      <w:r>
        <w:rPr>
          <w:rFonts w:hint="eastAsia" w:ascii="宋体" w:hAnsi="宋体" w:eastAsia="宋体" w:cs="宋体"/>
          <w:b/>
          <w:bCs w:val="0"/>
          <w:color w:val="auto"/>
          <w:sz w:val="24"/>
          <w:szCs w:val="21"/>
          <w:highlight w:val="none"/>
          <w:u w:val="single"/>
          <w:lang w:val="en-US" w:eastAsia="zh-CN"/>
        </w:rPr>
        <w:t>在投标文件中</w:t>
      </w:r>
      <w:r>
        <w:rPr>
          <w:rFonts w:hint="eastAsia" w:ascii="宋体" w:hAnsi="宋体" w:eastAsia="宋体" w:cs="宋体"/>
          <w:b/>
          <w:bCs w:val="0"/>
          <w:color w:val="auto"/>
          <w:sz w:val="24"/>
          <w:szCs w:val="21"/>
          <w:highlight w:val="none"/>
          <w:u w:val="single"/>
        </w:rPr>
        <w:t>承诺，建成的软件系统无条件配合与学校其他系统对接，不再产生额外费用</w:t>
      </w:r>
      <w:r>
        <w:rPr>
          <w:rFonts w:hint="eastAsia" w:ascii="宋体" w:hAnsi="宋体" w:eastAsia="宋体" w:cs="宋体"/>
          <w:b/>
          <w:bCs w:val="0"/>
          <w:color w:val="auto"/>
          <w:sz w:val="24"/>
          <w:szCs w:val="21"/>
          <w:highlight w:val="none"/>
          <w:u w:val="single"/>
          <w:lang w:eastAsia="zh-CN"/>
        </w:rPr>
        <w:t>，</w:t>
      </w:r>
      <w:r>
        <w:rPr>
          <w:rFonts w:hint="eastAsia" w:ascii="宋体" w:hAnsi="宋体" w:eastAsia="宋体" w:cs="宋体"/>
          <w:b/>
          <w:bCs w:val="0"/>
          <w:color w:val="auto"/>
          <w:sz w:val="24"/>
          <w:szCs w:val="21"/>
          <w:highlight w:val="none"/>
          <w:u w:val="single"/>
          <w:lang w:val="en-US" w:eastAsia="zh-CN"/>
        </w:rPr>
        <w:t>否则作无效标处理。</w:t>
      </w:r>
    </w:p>
    <w:p w14:paraId="517CE16E">
      <w:pPr>
        <w:snapToGrid w:val="0"/>
        <w:spacing w:line="360" w:lineRule="auto"/>
        <w:ind w:firstLine="482" w:firstLineChars="200"/>
        <w:rPr>
          <w:rFonts w:ascii="宋体" w:hAnsi="宋体" w:eastAsia="宋体" w:cs="宋体"/>
          <w:b/>
          <w:color w:val="auto"/>
          <w:sz w:val="24"/>
          <w:szCs w:val="21"/>
          <w:highlight w:val="none"/>
        </w:rPr>
      </w:pPr>
      <w:r>
        <w:rPr>
          <w:rFonts w:hint="eastAsia" w:ascii="宋体" w:hAnsi="宋体" w:eastAsia="宋体" w:cs="宋体"/>
          <w:b/>
          <w:color w:val="auto"/>
          <w:sz w:val="24"/>
          <w:szCs w:val="21"/>
          <w:highlight w:val="none"/>
          <w:lang w:val="en-US" w:eastAsia="zh-CN"/>
        </w:rPr>
        <w:t>5</w:t>
      </w:r>
      <w:r>
        <w:rPr>
          <w:rFonts w:ascii="宋体" w:hAnsi="宋体" w:eastAsia="宋体" w:cs="宋体"/>
          <w:b/>
          <w:color w:val="auto"/>
          <w:sz w:val="24"/>
          <w:szCs w:val="21"/>
          <w:highlight w:val="none"/>
        </w:rPr>
        <w:t>.2</w:t>
      </w:r>
      <w:r>
        <w:rPr>
          <w:rFonts w:hint="eastAsia" w:ascii="宋体" w:hAnsi="宋体" w:eastAsia="宋体" w:cs="宋体"/>
          <w:b/>
          <w:color w:val="auto"/>
          <w:sz w:val="24"/>
          <w:szCs w:val="21"/>
          <w:highlight w:val="none"/>
        </w:rPr>
        <w:t>安全要求</w:t>
      </w:r>
    </w:p>
    <w:p w14:paraId="5825CD13">
      <w:pPr>
        <w:snapToGrid w:val="0"/>
        <w:spacing w:line="360" w:lineRule="auto"/>
        <w:ind w:firstLine="480" w:firstLineChars="200"/>
        <w:rPr>
          <w:rFonts w:ascii="宋体" w:hAnsi="宋体" w:eastAsia="宋体" w:cs="宋体"/>
          <w:bCs/>
          <w:color w:val="auto"/>
          <w:sz w:val="24"/>
          <w:szCs w:val="21"/>
          <w:highlight w:val="none"/>
        </w:rPr>
      </w:pPr>
      <w:r>
        <w:rPr>
          <w:rFonts w:hint="eastAsia" w:ascii="宋体" w:hAnsi="宋体" w:eastAsia="宋体" w:cs="宋体"/>
          <w:bCs/>
          <w:color w:val="auto"/>
          <w:sz w:val="24"/>
          <w:szCs w:val="21"/>
          <w:highlight w:val="none"/>
        </w:rPr>
        <w:t>（1）信息系统正式上线前应符合信息安全等级保护要求（供应商须根据测评结果进行整改工作）。</w:t>
      </w:r>
    </w:p>
    <w:p w14:paraId="5A4FA947">
      <w:pPr>
        <w:snapToGrid w:val="0"/>
        <w:spacing w:line="360" w:lineRule="auto"/>
        <w:ind w:firstLine="480" w:firstLineChars="200"/>
        <w:rPr>
          <w:rFonts w:ascii="宋体" w:hAnsi="宋体" w:eastAsia="宋体" w:cs="宋体"/>
          <w:bCs/>
          <w:color w:val="auto"/>
          <w:sz w:val="24"/>
          <w:szCs w:val="21"/>
          <w:highlight w:val="none"/>
        </w:rPr>
      </w:pPr>
      <w:r>
        <w:rPr>
          <w:rFonts w:hint="eastAsia" w:ascii="宋体" w:hAnsi="宋体" w:eastAsia="宋体" w:cs="宋体"/>
          <w:bCs/>
          <w:color w:val="auto"/>
          <w:sz w:val="24"/>
          <w:szCs w:val="21"/>
          <w:highlight w:val="none"/>
        </w:rPr>
        <w:t>（2）信息系统对采集或生成的敏感数据在传输和存储时要以密文形式，不得明文存储或传输。</w:t>
      </w:r>
    </w:p>
    <w:p w14:paraId="13F5F632">
      <w:pPr>
        <w:snapToGrid w:val="0"/>
        <w:spacing w:line="360" w:lineRule="auto"/>
        <w:ind w:firstLine="480" w:firstLineChars="200"/>
        <w:rPr>
          <w:rFonts w:ascii="宋体" w:hAnsi="宋体" w:eastAsia="宋体" w:cs="宋体"/>
          <w:bCs/>
          <w:color w:val="auto"/>
          <w:sz w:val="24"/>
          <w:szCs w:val="21"/>
          <w:highlight w:val="none"/>
        </w:rPr>
      </w:pPr>
      <w:r>
        <w:rPr>
          <w:rFonts w:hint="eastAsia" w:ascii="宋体" w:hAnsi="宋体" w:eastAsia="宋体" w:cs="宋体"/>
          <w:bCs/>
          <w:color w:val="auto"/>
          <w:sz w:val="24"/>
          <w:szCs w:val="21"/>
          <w:highlight w:val="none"/>
        </w:rPr>
        <w:t>（3）信息系统验收前需通过具有资质的软件评测中心出具的软件测评报告。</w:t>
      </w:r>
    </w:p>
    <w:p w14:paraId="24E3A98C">
      <w:pPr>
        <w:snapToGrid w:val="0"/>
        <w:spacing w:line="360" w:lineRule="auto"/>
        <w:ind w:firstLine="482" w:firstLineChars="200"/>
        <w:rPr>
          <w:rFonts w:ascii="宋体" w:hAnsi="宋体" w:eastAsia="宋体" w:cs="宋体"/>
          <w:bCs/>
          <w:color w:val="auto"/>
          <w:sz w:val="24"/>
          <w:szCs w:val="21"/>
          <w:highlight w:val="none"/>
        </w:rPr>
      </w:pPr>
      <w:r>
        <w:rPr>
          <w:rFonts w:hint="eastAsia" w:ascii="宋体" w:hAnsi="宋体" w:eastAsia="宋体" w:cs="宋体"/>
          <w:b/>
          <w:color w:val="auto"/>
          <w:sz w:val="24"/>
          <w:szCs w:val="21"/>
          <w:highlight w:val="none"/>
          <w:lang w:val="en-US" w:eastAsia="zh-CN"/>
        </w:rPr>
        <w:t>5</w:t>
      </w:r>
      <w:r>
        <w:rPr>
          <w:rFonts w:ascii="宋体" w:hAnsi="宋体" w:eastAsia="宋体" w:cs="宋体"/>
          <w:b/>
          <w:color w:val="auto"/>
          <w:sz w:val="24"/>
          <w:szCs w:val="21"/>
          <w:highlight w:val="none"/>
        </w:rPr>
        <w:t>.3</w:t>
      </w:r>
      <w:r>
        <w:rPr>
          <w:rFonts w:hint="eastAsia" w:ascii="宋体" w:hAnsi="宋体" w:eastAsia="宋体" w:cs="宋体"/>
          <w:b/>
          <w:color w:val="auto"/>
          <w:sz w:val="24"/>
          <w:szCs w:val="21"/>
          <w:highlight w:val="none"/>
        </w:rPr>
        <w:t>集成要求</w:t>
      </w:r>
    </w:p>
    <w:p w14:paraId="7DA1F2BD">
      <w:pPr>
        <w:spacing w:line="360" w:lineRule="auto"/>
        <w:ind w:firstLine="480" w:firstLineChars="200"/>
        <w:rPr>
          <w:rFonts w:hint="eastAsia" w:ascii="宋体" w:hAnsi="宋体" w:eastAsia="宋体" w:cs="@仿宋_GB2312"/>
          <w:b/>
          <w:bCs/>
          <w:color w:val="auto"/>
          <w:sz w:val="24"/>
          <w:szCs w:val="18"/>
          <w:highlight w:val="none"/>
        </w:rPr>
      </w:pPr>
      <w:r>
        <w:rPr>
          <w:rFonts w:hint="eastAsia" w:ascii="宋体" w:hAnsi="宋体" w:eastAsia="宋体" w:cs="宋体"/>
          <w:bCs/>
          <w:color w:val="auto"/>
          <w:sz w:val="24"/>
          <w:szCs w:val="21"/>
          <w:highlight w:val="none"/>
        </w:rPr>
        <w:t>所投软件与学校基础平台完成集成验收合格后，在所投产品周期内须提供接口维护服务，包括但不限于所投软件系统自身升级后仍应确保与平台的原有集成接口运行正常、以及当校方基础平台整体架构升级时所需投标人给予的免费集成配合。终生免费配合数据迁移，包括但不限于所投业务系统升级改造、更换厂商等，投标人应将所投软件系统与智慧校园平台相关接口集成开发费用一并包含在投标报价中（接口包含学校统一身份认证接口、数据交换接口、统一通讯平台等）。</w:t>
      </w:r>
    </w:p>
    <w:p w14:paraId="45F8FC50">
      <w:pPr>
        <w:spacing w:line="360" w:lineRule="auto"/>
        <w:jc w:val="both"/>
        <w:rPr>
          <w:rFonts w:hint="eastAsia" w:ascii="Times New Roman" w:hAnsi="Times New Roman" w:eastAsia="宋体" w:cs="Times New Roman"/>
          <w:b/>
          <w:color w:val="auto"/>
          <w:sz w:val="24"/>
          <w:szCs w:val="22"/>
          <w:highlight w:val="none"/>
          <w:lang w:val="en-US" w:eastAsia="zh-CN"/>
        </w:rPr>
      </w:pPr>
      <w:r>
        <w:rPr>
          <w:rFonts w:hint="eastAsia" w:ascii="Times New Roman" w:hAnsi="Times New Roman" w:eastAsia="宋体" w:cs="Times New Roman"/>
          <w:b/>
          <w:color w:val="auto"/>
          <w:sz w:val="24"/>
          <w:szCs w:val="22"/>
          <w:highlight w:val="none"/>
          <w:lang w:val="en-US" w:eastAsia="zh-CN"/>
        </w:rPr>
        <w:t>六、样品要求</w:t>
      </w:r>
    </w:p>
    <w:p w14:paraId="361F09C7">
      <w:pPr>
        <w:spacing w:line="360" w:lineRule="auto"/>
        <w:ind w:firstLine="480" w:firstLineChars="200"/>
        <w:jc w:val="both"/>
        <w:rPr>
          <w:rFonts w:hint="eastAsia" w:ascii="宋体" w:hAnsi="宋体" w:eastAsia="宋体" w:cs="@仿宋_GB2312"/>
          <w:color w:val="auto"/>
          <w:sz w:val="24"/>
          <w:szCs w:val="20"/>
          <w:highlight w:val="none"/>
          <w:lang w:val="en-US" w:eastAsia="zh-CN"/>
        </w:rPr>
      </w:pPr>
      <w:r>
        <w:rPr>
          <w:rFonts w:hint="eastAsia" w:ascii="宋体" w:hAnsi="宋体" w:eastAsia="宋体" w:cs="@仿宋_GB2312"/>
          <w:color w:val="auto"/>
          <w:sz w:val="24"/>
          <w:szCs w:val="20"/>
          <w:highlight w:val="none"/>
          <w:lang w:val="en-US" w:eastAsia="zh-CN"/>
        </w:rPr>
        <w:t>无。</w:t>
      </w:r>
    </w:p>
    <w:p w14:paraId="4BE2AAF9">
      <w:pPr>
        <w:spacing w:line="360" w:lineRule="auto"/>
        <w:ind w:firstLine="480" w:firstLineChars="200"/>
        <w:jc w:val="center"/>
        <w:rPr>
          <w:rFonts w:hint="eastAsia" w:ascii="宋体" w:hAnsi="宋体" w:eastAsia="宋体" w:cs="@仿宋_GB2312"/>
          <w:b/>
          <w:color w:val="auto"/>
          <w:sz w:val="28"/>
          <w:szCs w:val="20"/>
          <w:highlight w:val="none"/>
        </w:rPr>
      </w:pPr>
      <w:r>
        <w:rPr>
          <w:rFonts w:ascii="宋体" w:hAnsi="宋体" w:eastAsia="宋体" w:cs="@仿宋_GB2312"/>
          <w:color w:val="auto"/>
          <w:sz w:val="24"/>
          <w:szCs w:val="20"/>
          <w:highlight w:val="none"/>
        </w:rPr>
        <w:br w:type="page"/>
      </w:r>
      <w:bookmarkStart w:id="9" w:name="_Toc16417"/>
      <w:r>
        <w:rPr>
          <w:rFonts w:hint="eastAsia" w:ascii="宋体" w:hAnsi="宋体" w:eastAsia="宋体" w:cs="@仿宋_GB2312"/>
          <w:b/>
          <w:color w:val="auto"/>
          <w:sz w:val="28"/>
          <w:szCs w:val="20"/>
          <w:highlight w:val="none"/>
        </w:rPr>
        <w:t>第四章  评标方法和标准（综合评分法）</w:t>
      </w:r>
      <w:bookmarkEnd w:id="9"/>
    </w:p>
    <w:p w14:paraId="51C5E600">
      <w:pPr>
        <w:spacing w:line="360" w:lineRule="auto"/>
        <w:ind w:firstLine="437"/>
        <w:jc w:val="both"/>
        <w:outlineLvl w:val="1"/>
        <w:rPr>
          <w:rFonts w:hint="eastAsia" w:ascii="宋体" w:hAnsi="宋体" w:eastAsia="宋体" w:cs="@仿宋_GB2312"/>
          <w:b/>
          <w:color w:val="auto"/>
          <w:sz w:val="24"/>
          <w:szCs w:val="20"/>
          <w:highlight w:val="none"/>
        </w:rPr>
      </w:pPr>
      <w:bookmarkStart w:id="10" w:name="_Toc11823"/>
      <w:bookmarkStart w:id="11" w:name="_Toc1246"/>
      <w:r>
        <w:rPr>
          <w:rFonts w:hint="eastAsia" w:ascii="宋体" w:hAnsi="宋体" w:eastAsia="宋体" w:cs="@仿宋_GB2312"/>
          <w:b/>
          <w:color w:val="auto"/>
          <w:sz w:val="24"/>
          <w:szCs w:val="20"/>
          <w:highlight w:val="none"/>
        </w:rPr>
        <w:t>一、总则</w:t>
      </w:r>
      <w:bookmarkEnd w:id="10"/>
      <w:bookmarkEnd w:id="11"/>
    </w:p>
    <w:p w14:paraId="30157C25">
      <w:pPr>
        <w:spacing w:line="360" w:lineRule="auto"/>
        <w:ind w:firstLine="435"/>
        <w:rPr>
          <w:rFonts w:hint="eastAsia" w:ascii="宋体" w:hAnsi="宋体" w:eastAsia="宋体" w:cs="@仿宋_GB2312"/>
          <w:color w:val="auto"/>
          <w:sz w:val="24"/>
          <w:szCs w:val="20"/>
          <w:highlight w:val="none"/>
        </w:rPr>
      </w:pPr>
      <w:r>
        <w:rPr>
          <w:rFonts w:hint="eastAsia" w:ascii="宋体" w:hAnsi="宋体" w:eastAsia="宋体" w:cs="@仿宋_GB2312"/>
          <w:color w:val="auto"/>
          <w:sz w:val="24"/>
          <w:szCs w:val="20"/>
          <w:highlight w:val="none"/>
        </w:rPr>
        <w:t>本项目将按照招标文件第二章 投标人须知的相关要求</w:t>
      </w:r>
      <w:r>
        <w:rPr>
          <w:rFonts w:ascii="宋体" w:hAnsi="宋体" w:eastAsia="宋体" w:cs="@仿宋_GB2312"/>
          <w:color w:val="auto"/>
          <w:sz w:val="24"/>
          <w:szCs w:val="20"/>
          <w:highlight w:val="none"/>
        </w:rPr>
        <w:t>及本章的规定评标。</w:t>
      </w:r>
    </w:p>
    <w:p w14:paraId="434871BB">
      <w:pPr>
        <w:spacing w:line="360" w:lineRule="auto"/>
        <w:ind w:firstLine="437"/>
        <w:outlineLvl w:val="1"/>
        <w:rPr>
          <w:rFonts w:hint="eastAsia" w:ascii="宋体" w:hAnsi="宋体" w:eastAsia="宋体" w:cs="@仿宋_GB2312"/>
          <w:b/>
          <w:color w:val="auto"/>
          <w:sz w:val="24"/>
          <w:szCs w:val="20"/>
          <w:highlight w:val="none"/>
        </w:rPr>
      </w:pPr>
      <w:bookmarkStart w:id="12" w:name="_Toc13117"/>
      <w:bookmarkStart w:id="13" w:name="_Toc31871"/>
      <w:r>
        <w:rPr>
          <w:rFonts w:hint="eastAsia" w:ascii="宋体" w:hAnsi="宋体" w:eastAsia="宋体" w:cs="@仿宋_GB2312"/>
          <w:b/>
          <w:color w:val="auto"/>
          <w:sz w:val="24"/>
          <w:szCs w:val="20"/>
          <w:highlight w:val="none"/>
        </w:rPr>
        <w:t>二、评标方法</w:t>
      </w:r>
      <w:bookmarkEnd w:id="12"/>
      <w:bookmarkEnd w:id="13"/>
    </w:p>
    <w:p w14:paraId="4D3FE80D">
      <w:pPr>
        <w:spacing w:line="360" w:lineRule="auto"/>
        <w:ind w:firstLine="437"/>
        <w:outlineLvl w:val="2"/>
        <w:rPr>
          <w:rFonts w:hint="eastAsia" w:ascii="宋体" w:hAnsi="宋体" w:eastAsia="宋体" w:cs="@仿宋_GB2312"/>
          <w:color w:val="auto"/>
          <w:sz w:val="24"/>
          <w:szCs w:val="20"/>
          <w:highlight w:val="none"/>
        </w:rPr>
      </w:pPr>
      <w:r>
        <w:rPr>
          <w:rFonts w:hint="eastAsia" w:ascii="宋体" w:hAnsi="宋体" w:eastAsia="宋体" w:cs="@仿宋_GB2312"/>
          <w:color w:val="auto"/>
          <w:sz w:val="24"/>
          <w:szCs w:val="20"/>
          <w:highlight w:val="none"/>
        </w:rPr>
        <w:t>2.1资格审查</w:t>
      </w:r>
    </w:p>
    <w:tbl>
      <w:tblPr>
        <w:tblStyle w:val="2"/>
        <w:tblW w:w="514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5"/>
        <w:gridCol w:w="1651"/>
        <w:gridCol w:w="4561"/>
        <w:gridCol w:w="1884"/>
      </w:tblGrid>
      <w:tr w14:paraId="11399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000" w:type="pct"/>
            <w:gridSpan w:val="4"/>
            <w:tcBorders>
              <w:bottom w:val="single" w:color="auto" w:sz="4" w:space="0"/>
            </w:tcBorders>
            <w:vAlign w:val="center"/>
          </w:tcPr>
          <w:p w14:paraId="27B621C0">
            <w:pPr>
              <w:adjustRightInd w:val="0"/>
              <w:snapToGrid w:val="0"/>
              <w:spacing w:line="360" w:lineRule="auto"/>
              <w:ind w:right="-10"/>
              <w:jc w:val="center"/>
              <w:rPr>
                <w:rFonts w:hint="eastAsia" w:ascii="宋体" w:hAnsi="宋体" w:eastAsia="宋体" w:cs="@仿宋_GB2312"/>
                <w:color w:val="auto"/>
                <w:sz w:val="24"/>
                <w:szCs w:val="20"/>
                <w:highlight w:val="none"/>
              </w:rPr>
            </w:pPr>
            <w:r>
              <w:rPr>
                <w:rFonts w:hint="eastAsia" w:ascii="宋体" w:hAnsi="宋体" w:eastAsia="宋体" w:cs="@仿宋_GB2312"/>
                <w:b/>
                <w:color w:val="auto"/>
                <w:sz w:val="24"/>
                <w:szCs w:val="22"/>
                <w:highlight w:val="none"/>
              </w:rPr>
              <w:t>资格审查表</w:t>
            </w:r>
          </w:p>
        </w:tc>
      </w:tr>
      <w:tr w14:paraId="0A642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tcBorders>
              <w:bottom w:val="single" w:color="auto" w:sz="4" w:space="0"/>
            </w:tcBorders>
            <w:vAlign w:val="center"/>
          </w:tcPr>
          <w:p w14:paraId="68D1CEB1">
            <w:pPr>
              <w:adjustRightInd w:val="0"/>
              <w:snapToGrid w:val="0"/>
              <w:spacing w:line="360" w:lineRule="auto"/>
              <w:ind w:right="-10"/>
              <w:jc w:val="center"/>
              <w:rPr>
                <w:rFonts w:hint="eastAsia" w:ascii="宋体" w:hAnsi="宋体" w:eastAsia="宋体" w:cs="@仿宋_GB2312"/>
                <w:color w:val="auto"/>
                <w:sz w:val="24"/>
                <w:szCs w:val="20"/>
                <w:highlight w:val="none"/>
              </w:rPr>
            </w:pPr>
            <w:r>
              <w:rPr>
                <w:rFonts w:hint="eastAsia" w:ascii="宋体" w:hAnsi="宋体" w:eastAsia="宋体" w:cs="@仿宋_GB2312"/>
                <w:color w:val="auto"/>
                <w:sz w:val="24"/>
                <w:szCs w:val="20"/>
                <w:highlight w:val="none"/>
              </w:rPr>
              <w:t>序号</w:t>
            </w:r>
          </w:p>
        </w:tc>
        <w:tc>
          <w:tcPr>
            <w:tcW w:w="942" w:type="pct"/>
            <w:tcBorders>
              <w:bottom w:val="single" w:color="auto" w:sz="4" w:space="0"/>
            </w:tcBorders>
            <w:vAlign w:val="center"/>
          </w:tcPr>
          <w:p w14:paraId="53F34619">
            <w:pPr>
              <w:widowControl w:val="0"/>
              <w:pBdr>
                <w:bottom w:val="none" w:color="auto" w:sz="0" w:space="0"/>
              </w:pBdr>
              <w:adjustRightInd w:val="0"/>
              <w:snapToGrid w:val="0"/>
              <w:spacing w:line="360" w:lineRule="auto"/>
              <w:ind w:right="-10"/>
              <w:jc w:val="center"/>
              <w:textAlignment w:val="auto"/>
              <w:rPr>
                <w:rFonts w:hint="eastAsia" w:ascii="宋体" w:hAnsi="宋体" w:eastAsia="宋体" w:cs="@仿宋_GB2312"/>
                <w:color w:val="auto"/>
                <w:kern w:val="2"/>
                <w:sz w:val="24"/>
                <w:szCs w:val="24"/>
                <w:highlight w:val="none"/>
                <w:lang w:val="en-US" w:eastAsia="zh-CN" w:bidi="ar-SA"/>
              </w:rPr>
            </w:pPr>
            <w:r>
              <w:rPr>
                <w:rFonts w:hint="eastAsia" w:ascii="宋体" w:hAnsi="宋体" w:eastAsia="宋体" w:cs="@仿宋_GB2312"/>
                <w:color w:val="auto"/>
                <w:kern w:val="2"/>
                <w:sz w:val="24"/>
                <w:szCs w:val="24"/>
                <w:highlight w:val="none"/>
                <w:lang w:val="en-US" w:eastAsia="zh-CN" w:bidi="ar-SA"/>
              </w:rPr>
              <w:t>审查因素</w:t>
            </w:r>
          </w:p>
        </w:tc>
        <w:tc>
          <w:tcPr>
            <w:tcW w:w="2603" w:type="pct"/>
            <w:tcBorders>
              <w:bottom w:val="single" w:color="auto" w:sz="4" w:space="0"/>
            </w:tcBorders>
            <w:vAlign w:val="center"/>
          </w:tcPr>
          <w:p w14:paraId="36D51934">
            <w:pPr>
              <w:adjustRightInd w:val="0"/>
              <w:snapToGrid w:val="0"/>
              <w:spacing w:line="360" w:lineRule="auto"/>
              <w:ind w:right="-10"/>
              <w:jc w:val="center"/>
              <w:rPr>
                <w:rFonts w:hint="eastAsia" w:ascii="宋体" w:hAnsi="宋体" w:eastAsia="宋体" w:cs="@仿宋_GB2312"/>
                <w:color w:val="auto"/>
                <w:sz w:val="24"/>
                <w:szCs w:val="20"/>
                <w:highlight w:val="none"/>
              </w:rPr>
            </w:pPr>
            <w:r>
              <w:rPr>
                <w:rFonts w:hint="eastAsia" w:ascii="宋体" w:hAnsi="宋体" w:eastAsia="宋体" w:cs="@仿宋_GB2312"/>
                <w:color w:val="auto"/>
                <w:sz w:val="24"/>
                <w:szCs w:val="20"/>
                <w:highlight w:val="none"/>
              </w:rPr>
              <w:t>审查内容</w:t>
            </w:r>
          </w:p>
        </w:tc>
        <w:tc>
          <w:tcPr>
            <w:tcW w:w="1074" w:type="pct"/>
            <w:tcBorders>
              <w:bottom w:val="single" w:color="auto" w:sz="4" w:space="0"/>
            </w:tcBorders>
            <w:vAlign w:val="center"/>
          </w:tcPr>
          <w:p w14:paraId="2834BDDA">
            <w:pPr>
              <w:adjustRightInd w:val="0"/>
              <w:snapToGrid w:val="0"/>
              <w:spacing w:line="360" w:lineRule="auto"/>
              <w:ind w:right="-10"/>
              <w:jc w:val="center"/>
              <w:rPr>
                <w:rFonts w:hint="eastAsia" w:ascii="宋体" w:hAnsi="宋体" w:eastAsia="宋体" w:cs="@仿宋_GB2312"/>
                <w:color w:val="auto"/>
                <w:sz w:val="24"/>
                <w:szCs w:val="20"/>
                <w:highlight w:val="none"/>
              </w:rPr>
            </w:pPr>
            <w:r>
              <w:rPr>
                <w:rFonts w:hint="eastAsia" w:ascii="宋体" w:hAnsi="宋体" w:eastAsia="宋体" w:cs="@仿宋_GB2312"/>
                <w:color w:val="auto"/>
                <w:sz w:val="24"/>
                <w:szCs w:val="20"/>
                <w:highlight w:val="none"/>
              </w:rPr>
              <w:t>格式要求</w:t>
            </w:r>
          </w:p>
        </w:tc>
      </w:tr>
      <w:tr w14:paraId="46A01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380" w:type="pct"/>
            <w:tcBorders>
              <w:bottom w:val="single" w:color="auto" w:sz="4" w:space="0"/>
            </w:tcBorders>
            <w:vAlign w:val="center"/>
          </w:tcPr>
          <w:p w14:paraId="3EFF2FAF">
            <w:pPr>
              <w:adjustRightInd w:val="0"/>
              <w:snapToGrid w:val="0"/>
              <w:spacing w:line="360" w:lineRule="auto"/>
              <w:ind w:right="-10"/>
              <w:jc w:val="center"/>
              <w:rPr>
                <w:rFonts w:hint="eastAsia" w:ascii="宋体" w:hAnsi="宋体" w:eastAsia="宋体" w:cs="@仿宋_GB2312"/>
                <w:color w:val="auto"/>
                <w:sz w:val="24"/>
                <w:szCs w:val="20"/>
                <w:highlight w:val="none"/>
              </w:rPr>
            </w:pPr>
            <w:r>
              <w:rPr>
                <w:rFonts w:hint="eastAsia" w:ascii="宋体" w:hAnsi="宋体" w:eastAsia="宋体" w:cs="@仿宋_GB2312"/>
                <w:color w:val="auto"/>
                <w:sz w:val="24"/>
                <w:szCs w:val="20"/>
                <w:highlight w:val="none"/>
              </w:rPr>
              <w:t>1</w:t>
            </w:r>
          </w:p>
        </w:tc>
        <w:tc>
          <w:tcPr>
            <w:tcW w:w="942" w:type="pct"/>
            <w:tcBorders>
              <w:bottom w:val="single" w:color="auto" w:sz="4" w:space="0"/>
            </w:tcBorders>
            <w:vAlign w:val="center"/>
          </w:tcPr>
          <w:p w14:paraId="5ED52F67">
            <w:pPr>
              <w:spacing w:after="50" w:line="360" w:lineRule="auto"/>
              <w:ind w:right="-10"/>
              <w:jc w:val="center"/>
              <w:rPr>
                <w:rFonts w:hint="eastAsia" w:ascii="宋体" w:hAnsi="宋体" w:eastAsia="宋体" w:cs="@仿宋_GB2312"/>
                <w:color w:val="auto"/>
                <w:sz w:val="24"/>
                <w:szCs w:val="28"/>
                <w:highlight w:val="none"/>
              </w:rPr>
            </w:pPr>
            <w:r>
              <w:rPr>
                <w:rFonts w:ascii="宋体" w:hAnsi="宋体" w:eastAsia="宋体" w:cs="宋体"/>
                <w:color w:val="auto"/>
                <w:spacing w:val="9"/>
                <w:sz w:val="24"/>
                <w:szCs w:val="24"/>
                <w:highlight w:val="none"/>
              </w:rPr>
              <w:t>营业执照等证明</w:t>
            </w:r>
            <w:r>
              <w:rPr>
                <w:rFonts w:ascii="宋体" w:hAnsi="宋体" w:eastAsia="宋体" w:cs="宋体"/>
                <w:color w:val="auto"/>
                <w:spacing w:val="-3"/>
                <w:sz w:val="24"/>
                <w:szCs w:val="24"/>
                <w:highlight w:val="none"/>
              </w:rPr>
              <w:t>文件</w:t>
            </w:r>
          </w:p>
        </w:tc>
        <w:tc>
          <w:tcPr>
            <w:tcW w:w="2603" w:type="pct"/>
            <w:tcBorders>
              <w:bottom w:val="single" w:color="auto" w:sz="4" w:space="0"/>
            </w:tcBorders>
            <w:vAlign w:val="center"/>
          </w:tcPr>
          <w:p w14:paraId="338872A9">
            <w:pPr>
              <w:spacing w:after="50" w:line="360" w:lineRule="auto"/>
              <w:ind w:right="-1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ascii="宋体" w:hAnsi="宋体" w:eastAsia="宋体" w:cs="宋体"/>
                <w:color w:val="auto"/>
                <w:sz w:val="24"/>
                <w:szCs w:val="24"/>
                <w:highlight w:val="none"/>
              </w:rPr>
              <w:t>投标人为企业（包括合伙企业）的，应</w:t>
            </w: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供有效的营业执照；</w:t>
            </w:r>
          </w:p>
          <w:p w14:paraId="14A39AFC">
            <w:pPr>
              <w:spacing w:after="50" w:line="360" w:lineRule="auto"/>
              <w:ind w:right="-1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ascii="宋体" w:hAnsi="宋体" w:eastAsia="宋体" w:cs="宋体"/>
                <w:color w:val="auto"/>
                <w:sz w:val="24"/>
                <w:szCs w:val="24"/>
                <w:highlight w:val="none"/>
              </w:rPr>
              <w:t>投标人为事业单位的，应</w:t>
            </w: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供有效的事业单位法人证书；</w:t>
            </w:r>
          </w:p>
          <w:p w14:paraId="637D6400">
            <w:pPr>
              <w:spacing w:after="50" w:line="360" w:lineRule="auto"/>
              <w:ind w:right="-1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ascii="宋体" w:hAnsi="宋体" w:eastAsia="宋体" w:cs="宋体"/>
                <w:color w:val="auto"/>
                <w:sz w:val="24"/>
                <w:szCs w:val="24"/>
                <w:highlight w:val="none"/>
              </w:rPr>
              <w:t>投标人是非企业机构的，应</w:t>
            </w: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供有效的执业许可证</w:t>
            </w:r>
            <w:r>
              <w:rPr>
                <w:rFonts w:hint="eastAsia" w:ascii="宋体" w:hAnsi="宋体" w:eastAsia="宋体" w:cs="宋体"/>
                <w:color w:val="auto"/>
                <w:sz w:val="24"/>
                <w:szCs w:val="24"/>
                <w:highlight w:val="none"/>
              </w:rPr>
              <w:t>或</w:t>
            </w:r>
            <w:r>
              <w:rPr>
                <w:rFonts w:ascii="宋体" w:hAnsi="宋体" w:eastAsia="宋体" w:cs="宋体"/>
                <w:color w:val="auto"/>
                <w:sz w:val="24"/>
                <w:szCs w:val="24"/>
                <w:highlight w:val="none"/>
              </w:rPr>
              <w:t>登记证书等证明文件；</w:t>
            </w:r>
          </w:p>
          <w:p w14:paraId="5C724584">
            <w:pPr>
              <w:spacing w:after="50" w:line="360" w:lineRule="auto"/>
              <w:ind w:right="-1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ascii="宋体" w:hAnsi="宋体" w:eastAsia="宋体" w:cs="宋体"/>
                <w:color w:val="auto"/>
                <w:sz w:val="24"/>
                <w:szCs w:val="24"/>
                <w:highlight w:val="none"/>
              </w:rPr>
              <w:t>投标人是个体工商户的，应</w:t>
            </w: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供有效的个体工商户营业执照；</w:t>
            </w:r>
          </w:p>
          <w:p w14:paraId="26E1B9EA">
            <w:pPr>
              <w:spacing w:after="50" w:line="360" w:lineRule="auto"/>
              <w:ind w:right="-10"/>
              <w:jc w:val="left"/>
              <w:rPr>
                <w:rFonts w:hint="eastAsia" w:ascii="宋体" w:hAnsi="宋体" w:eastAsia="宋体" w:cs="@仿宋_GB2312"/>
                <w:color w:val="auto"/>
                <w:sz w:val="24"/>
                <w:szCs w:val="28"/>
                <w:highlight w:val="none"/>
              </w:rPr>
            </w:pPr>
            <w:r>
              <w:rPr>
                <w:rFonts w:hint="eastAsia" w:ascii="宋体" w:hAnsi="宋体" w:eastAsia="宋体" w:cs="宋体"/>
                <w:color w:val="auto"/>
                <w:sz w:val="24"/>
                <w:szCs w:val="24"/>
                <w:highlight w:val="none"/>
              </w:rPr>
              <w:t>（5）</w:t>
            </w:r>
            <w:r>
              <w:rPr>
                <w:rFonts w:ascii="宋体" w:hAnsi="宋体" w:eastAsia="宋体" w:cs="宋体"/>
                <w:color w:val="auto"/>
                <w:sz w:val="24"/>
                <w:szCs w:val="24"/>
                <w:highlight w:val="none"/>
              </w:rPr>
              <w:t>投标人是自然人的，应</w:t>
            </w: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供有效的自然人身份证明。</w:t>
            </w:r>
          </w:p>
        </w:tc>
        <w:tc>
          <w:tcPr>
            <w:tcW w:w="1074" w:type="pct"/>
            <w:vAlign w:val="center"/>
          </w:tcPr>
          <w:p w14:paraId="3CA5FB22">
            <w:pPr>
              <w:spacing w:line="360" w:lineRule="auto"/>
              <w:jc w:val="left"/>
              <w:rPr>
                <w:rFonts w:hint="eastAsia" w:ascii="宋体" w:hAnsi="宋体" w:eastAsia="宋体" w:cs="@仿宋_GB2312"/>
                <w:color w:val="auto"/>
                <w:sz w:val="24"/>
                <w:szCs w:val="20"/>
                <w:highlight w:val="none"/>
              </w:rPr>
            </w:pPr>
            <w:r>
              <w:rPr>
                <w:rFonts w:hint="eastAsia" w:ascii="宋体" w:hAnsi="宋体" w:eastAsia="宋体" w:cs="宋体"/>
                <w:color w:val="auto"/>
                <w:sz w:val="24"/>
                <w:szCs w:val="24"/>
                <w:highlight w:val="none"/>
              </w:rPr>
              <w:t>提供材料扫描件或电子证照，应完整的体现出材料或电子证照全部内容。联合体投标的联合体各方均须提供。</w:t>
            </w:r>
          </w:p>
        </w:tc>
      </w:tr>
      <w:tr w14:paraId="73F1A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380" w:type="pct"/>
            <w:tcBorders>
              <w:bottom w:val="single" w:color="auto" w:sz="4" w:space="0"/>
            </w:tcBorders>
            <w:vAlign w:val="center"/>
          </w:tcPr>
          <w:p w14:paraId="06E714D5">
            <w:pPr>
              <w:adjustRightInd w:val="0"/>
              <w:snapToGrid w:val="0"/>
              <w:spacing w:line="360" w:lineRule="auto"/>
              <w:ind w:right="-10"/>
              <w:jc w:val="center"/>
              <w:rPr>
                <w:rFonts w:hint="eastAsia" w:ascii="宋体" w:hAnsi="宋体" w:eastAsia="宋体" w:cs="@仿宋_GB2312"/>
                <w:color w:val="auto"/>
                <w:sz w:val="24"/>
                <w:szCs w:val="20"/>
                <w:highlight w:val="none"/>
              </w:rPr>
            </w:pPr>
            <w:r>
              <w:rPr>
                <w:rFonts w:hint="eastAsia" w:ascii="宋体" w:hAnsi="宋体" w:eastAsia="宋体" w:cs="@仿宋_GB2312"/>
                <w:color w:val="auto"/>
                <w:sz w:val="24"/>
                <w:szCs w:val="20"/>
                <w:highlight w:val="none"/>
              </w:rPr>
              <w:t>2</w:t>
            </w:r>
          </w:p>
        </w:tc>
        <w:tc>
          <w:tcPr>
            <w:tcW w:w="942" w:type="pct"/>
            <w:tcBorders>
              <w:bottom w:val="single" w:color="auto" w:sz="4" w:space="0"/>
            </w:tcBorders>
            <w:vAlign w:val="center"/>
          </w:tcPr>
          <w:p w14:paraId="6A16DF7B">
            <w:pPr>
              <w:spacing w:after="50" w:line="360" w:lineRule="auto"/>
              <w:ind w:right="-10"/>
              <w:jc w:val="center"/>
              <w:rPr>
                <w:rFonts w:hint="eastAsia" w:ascii="宋体" w:hAnsi="宋体" w:eastAsia="宋体" w:cs="@仿宋_GB2312"/>
                <w:color w:val="auto"/>
                <w:sz w:val="24"/>
                <w:szCs w:val="28"/>
                <w:highlight w:val="none"/>
              </w:rPr>
            </w:pPr>
            <w:r>
              <w:rPr>
                <w:rFonts w:hint="eastAsia" w:ascii="宋体" w:hAnsi="宋体" w:eastAsia="宋体" w:cs="@仿宋_GB2312"/>
                <w:color w:val="auto"/>
                <w:sz w:val="24"/>
                <w:szCs w:val="18"/>
                <w:highlight w:val="none"/>
              </w:rPr>
              <w:t>投标人资格声明书</w:t>
            </w:r>
          </w:p>
        </w:tc>
        <w:tc>
          <w:tcPr>
            <w:tcW w:w="2603" w:type="pct"/>
            <w:tcBorders>
              <w:bottom w:val="single" w:color="auto" w:sz="4" w:space="0"/>
            </w:tcBorders>
            <w:vAlign w:val="center"/>
          </w:tcPr>
          <w:p w14:paraId="0A88630E">
            <w:pPr>
              <w:spacing w:after="50" w:line="360" w:lineRule="auto"/>
              <w:ind w:right="-10"/>
              <w:jc w:val="left"/>
              <w:rPr>
                <w:rFonts w:hint="eastAsia" w:ascii="宋体" w:hAnsi="宋体" w:eastAsia="宋体" w:cs="@仿宋_GB2312"/>
                <w:color w:val="auto"/>
                <w:sz w:val="24"/>
                <w:szCs w:val="28"/>
                <w:highlight w:val="none"/>
              </w:rPr>
            </w:pP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供符合招标文件要求的《投标人资格声明书》</w:t>
            </w:r>
            <w:r>
              <w:rPr>
                <w:rFonts w:hint="eastAsia" w:ascii="宋体" w:hAnsi="宋体" w:eastAsia="宋体" w:cs="宋体"/>
                <w:color w:val="auto"/>
                <w:sz w:val="24"/>
                <w:szCs w:val="24"/>
                <w:highlight w:val="none"/>
              </w:rPr>
              <w:t>。</w:t>
            </w:r>
          </w:p>
        </w:tc>
        <w:tc>
          <w:tcPr>
            <w:tcW w:w="1074" w:type="pct"/>
            <w:vAlign w:val="center"/>
          </w:tcPr>
          <w:p w14:paraId="2D4CBCBF">
            <w:pPr>
              <w:spacing w:line="360" w:lineRule="auto"/>
              <w:jc w:val="left"/>
              <w:rPr>
                <w:rFonts w:hint="eastAsia" w:ascii="宋体" w:hAnsi="宋体" w:eastAsia="宋体" w:cs="宋体"/>
                <w:color w:val="auto"/>
                <w:sz w:val="24"/>
                <w:szCs w:val="24"/>
                <w:highlight w:val="none"/>
              </w:rPr>
            </w:pPr>
            <w:r>
              <w:rPr>
                <w:rFonts w:hint="eastAsia" w:ascii="宋体" w:hAnsi="宋体" w:eastAsia="宋体" w:cs="@仿宋_GB2312"/>
                <w:color w:val="auto"/>
                <w:sz w:val="24"/>
                <w:szCs w:val="20"/>
                <w:highlight w:val="none"/>
              </w:rPr>
              <w:t>详见第六章投标文件格式。</w:t>
            </w:r>
          </w:p>
        </w:tc>
      </w:tr>
      <w:tr w14:paraId="17453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tcBorders>
              <w:bottom w:val="single" w:color="auto" w:sz="4" w:space="0"/>
            </w:tcBorders>
            <w:vAlign w:val="center"/>
          </w:tcPr>
          <w:p w14:paraId="18E3C4E4">
            <w:pPr>
              <w:adjustRightInd w:val="0"/>
              <w:snapToGrid w:val="0"/>
              <w:spacing w:line="360" w:lineRule="auto"/>
              <w:ind w:right="-10"/>
              <w:jc w:val="center"/>
              <w:rPr>
                <w:rFonts w:hint="eastAsia" w:ascii="宋体" w:hAnsi="宋体" w:eastAsia="宋体" w:cs="@仿宋_GB2312"/>
                <w:color w:val="auto"/>
                <w:sz w:val="24"/>
                <w:szCs w:val="20"/>
                <w:highlight w:val="none"/>
              </w:rPr>
            </w:pPr>
            <w:r>
              <w:rPr>
                <w:rFonts w:hint="eastAsia" w:ascii="宋体" w:hAnsi="宋体" w:eastAsia="宋体" w:cs="@仿宋_GB2312"/>
                <w:color w:val="auto"/>
                <w:sz w:val="24"/>
                <w:szCs w:val="20"/>
                <w:highlight w:val="none"/>
              </w:rPr>
              <w:t>3</w:t>
            </w:r>
          </w:p>
        </w:tc>
        <w:tc>
          <w:tcPr>
            <w:tcW w:w="942" w:type="pct"/>
            <w:tcBorders>
              <w:bottom w:val="single" w:color="auto" w:sz="4" w:space="0"/>
            </w:tcBorders>
            <w:vAlign w:val="center"/>
          </w:tcPr>
          <w:p w14:paraId="75050B1C">
            <w:pPr>
              <w:spacing w:after="50" w:line="360" w:lineRule="auto"/>
              <w:ind w:right="-10"/>
              <w:jc w:val="center"/>
              <w:rPr>
                <w:rFonts w:hint="eastAsia" w:ascii="宋体" w:hAnsi="宋体" w:eastAsia="宋体" w:cs="@仿宋_GB2312"/>
                <w:color w:val="auto"/>
                <w:sz w:val="24"/>
                <w:szCs w:val="28"/>
                <w:highlight w:val="none"/>
              </w:rPr>
            </w:pPr>
            <w:r>
              <w:rPr>
                <w:rFonts w:hint="eastAsia" w:ascii="宋体" w:hAnsi="宋体" w:eastAsia="宋体" w:cs="宋体"/>
                <w:color w:val="auto"/>
                <w:sz w:val="24"/>
                <w:szCs w:val="24"/>
                <w:highlight w:val="none"/>
              </w:rPr>
              <w:t>投标人信用记录</w:t>
            </w:r>
          </w:p>
        </w:tc>
        <w:tc>
          <w:tcPr>
            <w:tcW w:w="2603" w:type="pct"/>
            <w:tcBorders>
              <w:bottom w:val="single" w:color="auto" w:sz="4" w:space="0"/>
            </w:tcBorders>
            <w:vAlign w:val="center"/>
          </w:tcPr>
          <w:p w14:paraId="5D88186C">
            <w:pPr>
              <w:spacing w:after="50" w:line="360" w:lineRule="auto"/>
              <w:ind w:right="-10"/>
              <w:jc w:val="left"/>
              <w:rPr>
                <w:rFonts w:hint="eastAsia" w:ascii="@仿宋_GB2312" w:hAnsi="@仿宋_GB2312" w:eastAsia="@仿宋_GB2312" w:cs="@仿宋_GB2312"/>
                <w:color w:val="auto"/>
                <w:szCs w:val="20"/>
                <w:highlight w:val="none"/>
              </w:rPr>
            </w:pPr>
            <w:r>
              <w:rPr>
                <w:rFonts w:hint="eastAsia" w:ascii="宋体" w:hAnsi="宋体" w:eastAsia="宋体" w:cs="宋体"/>
                <w:color w:val="auto"/>
                <w:sz w:val="24"/>
                <w:szCs w:val="24"/>
                <w:highlight w:val="none"/>
                <w:lang w:val="zh-CN"/>
              </w:rPr>
              <w:t>投标人不得存在投标人须知正文第1</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zh-CN"/>
              </w:rPr>
              <w:t>.2</w:t>
            </w:r>
            <w:r>
              <w:rPr>
                <w:rFonts w:hint="eastAsia" w:ascii="宋体" w:hAnsi="宋体" w:eastAsia="宋体" w:cs="宋体"/>
                <w:color w:val="auto"/>
                <w:sz w:val="24"/>
                <w:szCs w:val="24"/>
                <w:highlight w:val="none"/>
              </w:rPr>
              <w:t>条中</w:t>
            </w:r>
            <w:r>
              <w:rPr>
                <w:rFonts w:hint="eastAsia" w:ascii="宋体" w:hAnsi="宋体" w:eastAsia="宋体" w:cs="@仿宋_GB2312"/>
                <w:color w:val="auto"/>
                <w:sz w:val="24"/>
                <w:szCs w:val="28"/>
                <w:highlight w:val="none"/>
              </w:rPr>
              <w:t>的</w:t>
            </w:r>
            <w:r>
              <w:rPr>
                <w:rFonts w:hint="eastAsia" w:ascii="宋体" w:hAnsi="宋体" w:eastAsia="宋体" w:cs="@仿宋_GB2312"/>
                <w:color w:val="auto"/>
                <w:sz w:val="24"/>
                <w:szCs w:val="18"/>
                <w:highlight w:val="none"/>
              </w:rPr>
              <w:t>不良信用记录情形</w:t>
            </w:r>
          </w:p>
        </w:tc>
        <w:tc>
          <w:tcPr>
            <w:tcW w:w="1074" w:type="pct"/>
            <w:tcBorders>
              <w:bottom w:val="single" w:color="auto" w:sz="4" w:space="0"/>
            </w:tcBorders>
            <w:vAlign w:val="center"/>
          </w:tcPr>
          <w:p w14:paraId="491DCCC3">
            <w:pPr>
              <w:spacing w:line="360" w:lineRule="auto"/>
              <w:jc w:val="left"/>
              <w:rPr>
                <w:rFonts w:hint="eastAsia" w:ascii="@仿宋_GB2312" w:hAnsi="@仿宋_GB2312" w:eastAsia="@仿宋_GB2312" w:cs="@仿宋_GB2312"/>
                <w:color w:val="auto"/>
                <w:szCs w:val="20"/>
                <w:highlight w:val="none"/>
              </w:rPr>
            </w:pPr>
            <w:r>
              <w:rPr>
                <w:rFonts w:hint="eastAsia" w:ascii="宋体" w:hAnsi="宋体" w:eastAsia="宋体" w:cs="宋体"/>
                <w:color w:val="auto"/>
                <w:sz w:val="24"/>
                <w:szCs w:val="24"/>
                <w:highlight w:val="none"/>
              </w:rPr>
              <w:t>无须投标人提供，由采购人或采购代理机构查询。</w:t>
            </w:r>
          </w:p>
        </w:tc>
      </w:tr>
      <w:tr w14:paraId="49E04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tcBorders>
              <w:bottom w:val="single" w:color="auto" w:sz="4" w:space="0"/>
            </w:tcBorders>
            <w:vAlign w:val="center"/>
          </w:tcPr>
          <w:p w14:paraId="54D1B2BC">
            <w:pPr>
              <w:adjustRightInd w:val="0"/>
              <w:snapToGrid w:val="0"/>
              <w:spacing w:line="360" w:lineRule="auto"/>
              <w:ind w:right="-10"/>
              <w:jc w:val="center"/>
              <w:rPr>
                <w:rFonts w:hint="eastAsia" w:ascii="宋体" w:hAnsi="宋体" w:eastAsia="宋体" w:cs="@仿宋_GB2312"/>
                <w:color w:val="auto"/>
                <w:sz w:val="24"/>
                <w:szCs w:val="20"/>
                <w:highlight w:val="none"/>
              </w:rPr>
            </w:pPr>
            <w:r>
              <w:rPr>
                <w:rFonts w:hint="eastAsia" w:ascii="宋体" w:hAnsi="宋体" w:eastAsia="宋体" w:cs="@仿宋_GB2312"/>
                <w:color w:val="auto"/>
                <w:sz w:val="24"/>
                <w:szCs w:val="20"/>
                <w:highlight w:val="none"/>
              </w:rPr>
              <w:t>4</w:t>
            </w:r>
          </w:p>
        </w:tc>
        <w:tc>
          <w:tcPr>
            <w:tcW w:w="942" w:type="pct"/>
            <w:tcBorders>
              <w:bottom w:val="single" w:color="auto" w:sz="4" w:space="0"/>
            </w:tcBorders>
            <w:vAlign w:val="center"/>
          </w:tcPr>
          <w:p w14:paraId="0BC2B89B">
            <w:pPr>
              <w:spacing w:after="50" w:line="360" w:lineRule="auto"/>
              <w:ind w:right="-1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中小企业证明文件（</w:t>
            </w:r>
            <w:r>
              <w:rPr>
                <w:rFonts w:hint="eastAsia" w:ascii="宋体" w:hAnsi="宋体" w:eastAsia="宋体" w:cs="宋体"/>
                <w:i/>
                <w:iCs/>
                <w:color w:val="auto"/>
                <w:sz w:val="24"/>
                <w:szCs w:val="24"/>
                <w:highlight w:val="none"/>
              </w:rPr>
              <w:t>适用于专门面向中小企业采购项目或预留中小企业采购份额项目</w:t>
            </w:r>
            <w:r>
              <w:rPr>
                <w:rFonts w:hint="eastAsia" w:ascii="宋体" w:hAnsi="宋体" w:eastAsia="宋体" w:cs="宋体"/>
                <w:color w:val="auto"/>
                <w:sz w:val="24"/>
                <w:szCs w:val="24"/>
                <w:highlight w:val="none"/>
              </w:rPr>
              <w:t>）</w:t>
            </w:r>
          </w:p>
        </w:tc>
        <w:tc>
          <w:tcPr>
            <w:tcW w:w="2603" w:type="pct"/>
            <w:tcBorders>
              <w:bottom w:val="single" w:color="auto" w:sz="4" w:space="0"/>
            </w:tcBorders>
          </w:tcPr>
          <w:p w14:paraId="4830D1C6">
            <w:pPr>
              <w:spacing w:after="50" w:line="360" w:lineRule="auto"/>
              <w:ind w:right="-10"/>
              <w:jc w:val="left"/>
              <w:rPr>
                <w:rFonts w:hint="eastAsia" w:ascii="宋体" w:hAnsi="宋体" w:eastAsia="宋体" w:cs="宋体"/>
                <w:color w:val="auto"/>
                <w:sz w:val="24"/>
                <w:szCs w:val="24"/>
                <w:highlight w:val="none"/>
              </w:rPr>
            </w:pPr>
            <w:r>
              <w:rPr>
                <w:rFonts w:hint="eastAsia" w:ascii="宋体" w:hAnsi="宋体" w:eastAsia="宋体" w:cs="@仿宋_GB2312"/>
                <w:color w:val="auto"/>
                <w:sz w:val="24"/>
                <w:szCs w:val="28"/>
                <w:highlight w:val="none"/>
              </w:rPr>
              <w:t>符合申请人的资格要求中落实政府采购政策需满足的资格要求：</w:t>
            </w:r>
          </w:p>
          <w:p w14:paraId="13EC6D01">
            <w:pPr>
              <w:spacing w:after="50" w:line="360" w:lineRule="auto"/>
              <w:ind w:right="-1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（1）专门面向中小企业采购的，</w:t>
            </w:r>
            <w:r>
              <w:rPr>
                <w:rFonts w:hint="eastAsia" w:ascii="宋体" w:hAnsi="宋体" w:eastAsia="宋体" w:cs="宋体"/>
                <w:color w:val="auto"/>
                <w:sz w:val="24"/>
                <w:szCs w:val="24"/>
                <w:highlight w:val="none"/>
                <w:lang w:val="zh-CN"/>
              </w:rPr>
              <w:t>投标人</w:t>
            </w:r>
            <w:r>
              <w:rPr>
                <w:rFonts w:hint="eastAsia" w:ascii="宋体" w:hAnsi="宋体" w:eastAsia="宋体" w:cs="宋体"/>
                <w:color w:val="auto"/>
                <w:sz w:val="24"/>
                <w:szCs w:val="24"/>
                <w:highlight w:val="none"/>
              </w:rPr>
              <w:t>应提供《中小企业声明函》或《残疾人福利性单位声明函》或由省级以上监狱管理局、戒毒管理局（含新疆 生产建设兵团）出具的属于监狱企业的证明文件。</w:t>
            </w:r>
          </w:p>
          <w:p w14:paraId="701E6B32">
            <w:pPr>
              <w:spacing w:after="50" w:line="360" w:lineRule="auto"/>
              <w:ind w:right="-1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招标文件要求以联合体形式参加或者要求合同分包的，且投标人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关于预留份额的要求。</w:t>
            </w:r>
          </w:p>
        </w:tc>
        <w:tc>
          <w:tcPr>
            <w:tcW w:w="1074" w:type="pct"/>
            <w:tcBorders>
              <w:bottom w:val="single" w:color="auto" w:sz="4" w:space="0"/>
            </w:tcBorders>
            <w:vAlign w:val="center"/>
          </w:tcPr>
          <w:p w14:paraId="5A0340F8">
            <w:pPr>
              <w:spacing w:after="50" w:line="360" w:lineRule="auto"/>
              <w:ind w:right="-10"/>
              <w:jc w:val="center"/>
              <w:rPr>
                <w:rFonts w:hint="eastAsia" w:ascii="宋体" w:hAnsi="宋体" w:eastAsia="宋体" w:cs="宋体"/>
                <w:color w:val="auto"/>
                <w:sz w:val="24"/>
                <w:szCs w:val="24"/>
                <w:highlight w:val="none"/>
              </w:rPr>
            </w:pPr>
            <w:r>
              <w:rPr>
                <w:rFonts w:hint="eastAsia" w:ascii="宋体" w:hAnsi="宋体" w:eastAsia="宋体" w:cs="@仿宋_GB2312"/>
                <w:color w:val="auto"/>
                <w:sz w:val="24"/>
                <w:szCs w:val="20"/>
                <w:highlight w:val="none"/>
              </w:rPr>
              <w:t>详见第六章投标文件格式。</w:t>
            </w:r>
          </w:p>
        </w:tc>
      </w:tr>
      <w:tr w14:paraId="64210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tcBorders>
              <w:bottom w:val="single" w:color="auto" w:sz="4" w:space="0"/>
            </w:tcBorders>
            <w:vAlign w:val="center"/>
          </w:tcPr>
          <w:p w14:paraId="3B4A7D1E">
            <w:pPr>
              <w:adjustRightInd w:val="0"/>
              <w:snapToGrid w:val="0"/>
              <w:spacing w:line="360" w:lineRule="auto"/>
              <w:ind w:right="-10"/>
              <w:jc w:val="center"/>
              <w:rPr>
                <w:rFonts w:hint="eastAsia" w:ascii="宋体" w:hAnsi="宋体" w:eastAsia="宋体" w:cs="@仿宋_GB2312"/>
                <w:color w:val="auto"/>
                <w:sz w:val="24"/>
                <w:szCs w:val="20"/>
                <w:highlight w:val="none"/>
              </w:rPr>
            </w:pPr>
            <w:r>
              <w:rPr>
                <w:rFonts w:hint="eastAsia" w:ascii="宋体" w:hAnsi="宋体" w:eastAsia="宋体" w:cs="@仿宋_GB2312"/>
                <w:color w:val="auto"/>
                <w:sz w:val="24"/>
                <w:szCs w:val="20"/>
                <w:highlight w:val="none"/>
              </w:rPr>
              <w:t>5</w:t>
            </w:r>
          </w:p>
        </w:tc>
        <w:tc>
          <w:tcPr>
            <w:tcW w:w="942" w:type="pct"/>
            <w:tcBorders>
              <w:bottom w:val="single" w:color="auto" w:sz="4" w:space="0"/>
            </w:tcBorders>
          </w:tcPr>
          <w:p w14:paraId="33AEC197">
            <w:pPr>
              <w:spacing w:after="50" w:line="360" w:lineRule="auto"/>
              <w:ind w:right="-1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拟分包情况说明及分包意向协议（</w:t>
            </w:r>
            <w:r>
              <w:rPr>
                <w:rFonts w:hint="eastAsia" w:ascii="宋体" w:hAnsi="宋体" w:eastAsia="宋体" w:cs="宋体"/>
                <w:i/>
                <w:iCs/>
                <w:color w:val="auto"/>
                <w:sz w:val="24"/>
                <w:szCs w:val="24"/>
                <w:highlight w:val="none"/>
              </w:rPr>
              <w:t>适用于合同分包预留中小企业采购份额项目</w:t>
            </w:r>
            <w:r>
              <w:rPr>
                <w:rFonts w:hint="eastAsia" w:ascii="宋体" w:hAnsi="宋体" w:eastAsia="宋体" w:cs="宋体"/>
                <w:color w:val="auto"/>
                <w:sz w:val="24"/>
                <w:szCs w:val="24"/>
                <w:highlight w:val="none"/>
              </w:rPr>
              <w:t>）</w:t>
            </w:r>
          </w:p>
        </w:tc>
        <w:tc>
          <w:tcPr>
            <w:tcW w:w="2603" w:type="pct"/>
            <w:tcBorders>
              <w:bottom w:val="single" w:color="auto" w:sz="4" w:space="0"/>
            </w:tcBorders>
            <w:vAlign w:val="center"/>
          </w:tcPr>
          <w:p w14:paraId="52458197">
            <w:pPr>
              <w:spacing w:after="50" w:line="360" w:lineRule="auto"/>
              <w:ind w:right="-1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通过分包措施预留部分采购份额面向中小企业采购、且投标人因落实政府采购政策拟进行分包的。</w:t>
            </w:r>
          </w:p>
        </w:tc>
        <w:tc>
          <w:tcPr>
            <w:tcW w:w="1074" w:type="pct"/>
            <w:tcBorders>
              <w:bottom w:val="single" w:color="auto" w:sz="4" w:space="0"/>
            </w:tcBorders>
            <w:vAlign w:val="center"/>
          </w:tcPr>
          <w:p w14:paraId="4F895F7D">
            <w:pPr>
              <w:spacing w:after="50" w:line="360" w:lineRule="auto"/>
              <w:ind w:right="-10"/>
              <w:rPr>
                <w:rFonts w:hint="eastAsia" w:ascii="宋体" w:hAnsi="宋体" w:eastAsia="宋体" w:cs="宋体"/>
                <w:color w:val="auto"/>
                <w:sz w:val="24"/>
                <w:szCs w:val="24"/>
                <w:highlight w:val="none"/>
              </w:rPr>
            </w:pPr>
            <w:r>
              <w:rPr>
                <w:rFonts w:hint="eastAsia" w:ascii="宋体" w:hAnsi="宋体" w:eastAsia="宋体" w:cs="@仿宋_GB2312"/>
                <w:color w:val="auto"/>
                <w:sz w:val="24"/>
                <w:szCs w:val="20"/>
                <w:highlight w:val="none"/>
              </w:rPr>
              <w:t>详见第六章投标文件格式。</w:t>
            </w:r>
          </w:p>
        </w:tc>
      </w:tr>
      <w:tr w14:paraId="6F654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tcBorders>
              <w:bottom w:val="single" w:color="auto" w:sz="4" w:space="0"/>
            </w:tcBorders>
            <w:vAlign w:val="center"/>
          </w:tcPr>
          <w:p w14:paraId="62D1D642">
            <w:pPr>
              <w:adjustRightInd w:val="0"/>
              <w:snapToGrid w:val="0"/>
              <w:spacing w:line="360" w:lineRule="auto"/>
              <w:ind w:right="-10"/>
              <w:jc w:val="center"/>
              <w:rPr>
                <w:rFonts w:hint="eastAsia" w:ascii="宋体" w:hAnsi="宋体" w:eastAsia="宋体" w:cs="@仿宋_GB2312"/>
                <w:color w:val="auto"/>
                <w:sz w:val="24"/>
                <w:szCs w:val="20"/>
                <w:highlight w:val="none"/>
              </w:rPr>
            </w:pPr>
            <w:r>
              <w:rPr>
                <w:rFonts w:hint="eastAsia" w:ascii="宋体" w:hAnsi="宋体" w:eastAsia="宋体" w:cs="@仿宋_GB2312"/>
                <w:color w:val="auto"/>
                <w:sz w:val="24"/>
                <w:szCs w:val="20"/>
                <w:highlight w:val="none"/>
              </w:rPr>
              <w:t>6</w:t>
            </w:r>
          </w:p>
        </w:tc>
        <w:tc>
          <w:tcPr>
            <w:tcW w:w="942" w:type="pct"/>
            <w:tcBorders>
              <w:bottom w:val="single" w:color="auto" w:sz="4" w:space="0"/>
            </w:tcBorders>
            <w:vAlign w:val="center"/>
          </w:tcPr>
          <w:p w14:paraId="2715972B">
            <w:pPr>
              <w:spacing w:after="50" w:line="360" w:lineRule="auto"/>
              <w:ind w:right="-10"/>
              <w:rPr>
                <w:rFonts w:hint="eastAsia" w:ascii="宋体" w:hAnsi="宋体" w:eastAsia="宋体" w:cs="宋体"/>
                <w:color w:val="auto"/>
                <w:sz w:val="24"/>
                <w:szCs w:val="24"/>
                <w:highlight w:val="none"/>
              </w:rPr>
            </w:pPr>
            <w:r>
              <w:rPr>
                <w:rFonts w:ascii="宋体" w:hAnsi="宋体" w:eastAsia="宋体" w:cs="宋体"/>
                <w:color w:val="auto"/>
                <w:spacing w:val="10"/>
                <w:sz w:val="24"/>
                <w:szCs w:val="24"/>
                <w:highlight w:val="none"/>
              </w:rPr>
              <w:t>其它落实政府采</w:t>
            </w:r>
            <w:r>
              <w:rPr>
                <w:rFonts w:ascii="宋体" w:hAnsi="宋体" w:eastAsia="宋体" w:cs="宋体"/>
                <w:color w:val="auto"/>
                <w:spacing w:val="11"/>
                <w:sz w:val="24"/>
                <w:szCs w:val="24"/>
                <w:highlight w:val="none"/>
              </w:rPr>
              <w:t>购政策的资格要</w:t>
            </w:r>
            <w:r>
              <w:rPr>
                <w:rFonts w:ascii="宋体" w:hAnsi="宋体" w:eastAsia="宋体" w:cs="宋体"/>
                <w:color w:val="auto"/>
                <w:sz w:val="24"/>
                <w:szCs w:val="24"/>
                <w:highlight w:val="none"/>
              </w:rPr>
              <w:t>求</w:t>
            </w:r>
          </w:p>
        </w:tc>
        <w:tc>
          <w:tcPr>
            <w:tcW w:w="2603" w:type="pct"/>
            <w:tcBorders>
              <w:bottom w:val="single" w:color="auto" w:sz="4" w:space="0"/>
            </w:tcBorders>
            <w:vAlign w:val="center"/>
          </w:tcPr>
          <w:p w14:paraId="02550366">
            <w:pPr>
              <w:spacing w:after="50" w:line="360" w:lineRule="auto"/>
              <w:ind w:right="-10"/>
              <w:rPr>
                <w:rFonts w:hint="eastAsia" w:ascii="宋体" w:hAnsi="宋体" w:eastAsia="宋体" w:cs="宋体"/>
                <w:color w:val="auto"/>
                <w:sz w:val="24"/>
                <w:szCs w:val="24"/>
                <w:highlight w:val="none"/>
              </w:rPr>
            </w:pPr>
            <w:r>
              <w:rPr>
                <w:rFonts w:ascii="宋体" w:hAnsi="宋体" w:eastAsia="宋体" w:cs="宋体"/>
                <w:color w:val="auto"/>
                <w:spacing w:val="-2"/>
                <w:sz w:val="24"/>
                <w:szCs w:val="24"/>
                <w:highlight w:val="none"/>
              </w:rPr>
              <w:t>如有，见第一章《</w:t>
            </w:r>
            <w:r>
              <w:rPr>
                <w:rFonts w:hint="eastAsia" w:ascii="宋体" w:hAnsi="宋体" w:eastAsia="宋体" w:cs="宋体"/>
                <w:color w:val="auto"/>
                <w:spacing w:val="10"/>
                <w:sz w:val="24"/>
                <w:szCs w:val="24"/>
                <w:highlight w:val="none"/>
              </w:rPr>
              <w:t>招标公告</w:t>
            </w:r>
            <w:r>
              <w:rPr>
                <w:rFonts w:ascii="宋体" w:hAnsi="宋体" w:eastAsia="宋体" w:cs="宋体"/>
                <w:color w:val="auto"/>
                <w:spacing w:val="-2"/>
                <w:sz w:val="24"/>
                <w:szCs w:val="24"/>
                <w:highlight w:val="none"/>
              </w:rPr>
              <w:t>》</w:t>
            </w:r>
          </w:p>
        </w:tc>
        <w:tc>
          <w:tcPr>
            <w:tcW w:w="1074" w:type="pct"/>
            <w:tcBorders>
              <w:bottom w:val="single" w:color="auto" w:sz="4" w:space="0"/>
            </w:tcBorders>
            <w:vAlign w:val="center"/>
          </w:tcPr>
          <w:p w14:paraId="12700B11">
            <w:pPr>
              <w:spacing w:after="50" w:line="360" w:lineRule="auto"/>
              <w:ind w:right="-10"/>
              <w:rPr>
                <w:rFonts w:hint="eastAsia" w:ascii="宋体" w:hAnsi="宋体" w:eastAsia="宋体" w:cs="@仿宋_GB2312"/>
                <w:color w:val="auto"/>
                <w:sz w:val="24"/>
                <w:szCs w:val="20"/>
                <w:highlight w:val="none"/>
              </w:rPr>
            </w:pPr>
            <w:r>
              <w:rPr>
                <w:rFonts w:hint="eastAsia" w:ascii="宋体" w:hAnsi="宋体" w:eastAsia="宋体" w:cs="宋体"/>
                <w:color w:val="auto"/>
                <w:sz w:val="24"/>
                <w:szCs w:val="24"/>
                <w:highlight w:val="none"/>
              </w:rPr>
              <w:t>提供材料扫描件或电子证照，应完整的体现出材料或电子证照全部内容。</w:t>
            </w:r>
          </w:p>
        </w:tc>
      </w:tr>
      <w:tr w14:paraId="30513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tcBorders>
              <w:bottom w:val="single" w:color="auto" w:sz="4" w:space="0"/>
            </w:tcBorders>
            <w:vAlign w:val="center"/>
          </w:tcPr>
          <w:p w14:paraId="1BA2A404">
            <w:pPr>
              <w:adjustRightInd w:val="0"/>
              <w:snapToGrid w:val="0"/>
              <w:spacing w:line="360" w:lineRule="auto"/>
              <w:ind w:right="-10"/>
              <w:jc w:val="center"/>
              <w:rPr>
                <w:rFonts w:hint="eastAsia" w:ascii="宋体" w:hAnsi="宋体" w:eastAsia="宋体" w:cs="@仿宋_GB2312"/>
                <w:color w:val="auto"/>
                <w:sz w:val="24"/>
                <w:szCs w:val="20"/>
                <w:highlight w:val="none"/>
              </w:rPr>
            </w:pPr>
            <w:r>
              <w:rPr>
                <w:rFonts w:hint="eastAsia" w:ascii="宋体" w:hAnsi="宋体" w:eastAsia="宋体" w:cs="@仿宋_GB2312"/>
                <w:color w:val="auto"/>
                <w:sz w:val="24"/>
                <w:szCs w:val="20"/>
                <w:highlight w:val="none"/>
              </w:rPr>
              <w:t>7</w:t>
            </w:r>
          </w:p>
        </w:tc>
        <w:tc>
          <w:tcPr>
            <w:tcW w:w="942" w:type="pct"/>
            <w:tcBorders>
              <w:bottom w:val="single" w:color="auto" w:sz="4" w:space="0"/>
            </w:tcBorders>
            <w:vAlign w:val="center"/>
          </w:tcPr>
          <w:p w14:paraId="497AEEB7">
            <w:pPr>
              <w:spacing w:after="50" w:line="360" w:lineRule="auto"/>
              <w:ind w:right="-10"/>
              <w:rPr>
                <w:rFonts w:hint="eastAsia" w:ascii="宋体" w:hAnsi="宋体" w:eastAsia="宋体" w:cs="宋体"/>
                <w:color w:val="auto"/>
                <w:spacing w:val="10"/>
                <w:sz w:val="24"/>
                <w:szCs w:val="24"/>
                <w:highlight w:val="none"/>
              </w:rPr>
            </w:pPr>
            <w:r>
              <w:rPr>
                <w:rFonts w:ascii="宋体" w:hAnsi="宋体" w:eastAsia="宋体" w:cs="宋体"/>
                <w:color w:val="auto"/>
                <w:spacing w:val="10"/>
                <w:sz w:val="24"/>
                <w:szCs w:val="24"/>
                <w:highlight w:val="none"/>
              </w:rPr>
              <w:t>本项目对于联合</w:t>
            </w:r>
            <w:r>
              <w:rPr>
                <w:rFonts w:ascii="宋体" w:hAnsi="宋体" w:eastAsia="宋体" w:cs="宋体"/>
                <w:color w:val="auto"/>
                <w:spacing w:val="-2"/>
                <w:sz w:val="24"/>
                <w:szCs w:val="24"/>
                <w:highlight w:val="none"/>
              </w:rPr>
              <w:t>体的要求</w:t>
            </w:r>
            <w:r>
              <w:rPr>
                <w:rFonts w:hint="eastAsia" w:ascii="宋体" w:hAnsi="宋体" w:eastAsia="宋体" w:cs="宋体"/>
                <w:color w:val="auto"/>
                <w:spacing w:val="-2"/>
                <w:sz w:val="24"/>
                <w:szCs w:val="24"/>
                <w:highlight w:val="none"/>
              </w:rPr>
              <w:t>（</w:t>
            </w:r>
            <w:r>
              <w:rPr>
                <w:rFonts w:hint="eastAsia" w:ascii="宋体" w:hAnsi="宋体" w:eastAsia="宋体" w:cs="宋体"/>
                <w:i/>
                <w:iCs/>
                <w:color w:val="auto"/>
                <w:spacing w:val="-2"/>
                <w:sz w:val="24"/>
                <w:szCs w:val="24"/>
                <w:highlight w:val="none"/>
              </w:rPr>
              <w:t>适用于接受联合体投标项目</w:t>
            </w:r>
            <w:r>
              <w:rPr>
                <w:rFonts w:hint="eastAsia" w:ascii="宋体" w:hAnsi="宋体" w:eastAsia="宋体" w:cs="宋体"/>
                <w:color w:val="auto"/>
                <w:spacing w:val="-2"/>
                <w:sz w:val="24"/>
                <w:szCs w:val="24"/>
                <w:highlight w:val="none"/>
              </w:rPr>
              <w:t>）</w:t>
            </w:r>
          </w:p>
        </w:tc>
        <w:tc>
          <w:tcPr>
            <w:tcW w:w="2603" w:type="pct"/>
            <w:tcBorders>
              <w:bottom w:val="single" w:color="auto" w:sz="4" w:space="0"/>
            </w:tcBorders>
            <w:vAlign w:val="center"/>
          </w:tcPr>
          <w:p w14:paraId="0C24C457">
            <w:pPr>
              <w:spacing w:after="50" w:line="360" w:lineRule="auto"/>
              <w:ind w:right="-10"/>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联合体投标的</w:t>
            </w:r>
            <w:r>
              <w:rPr>
                <w:rFonts w:hint="eastAsia" w:ascii="宋体" w:hAnsi="宋体" w:eastAsia="宋体" w:cs="宋体"/>
                <w:color w:val="auto"/>
                <w:spacing w:val="10"/>
                <w:sz w:val="24"/>
                <w:szCs w:val="24"/>
                <w:highlight w:val="none"/>
              </w:rPr>
              <w:t>详见</w:t>
            </w:r>
            <w:r>
              <w:rPr>
                <w:rFonts w:hint="eastAsia" w:ascii="宋体" w:hAnsi="宋体" w:eastAsia="宋体" w:cs="宋体"/>
                <w:color w:val="auto"/>
                <w:sz w:val="24"/>
                <w:szCs w:val="24"/>
                <w:highlight w:val="none"/>
                <w:lang w:val="zh-CN"/>
              </w:rPr>
              <w:t>投标人须知正文第</w:t>
            </w:r>
            <w:r>
              <w:rPr>
                <w:rFonts w:hint="eastAsia" w:ascii="宋体" w:hAnsi="宋体" w:eastAsia="宋体" w:cs="宋体"/>
                <w:color w:val="auto"/>
                <w:sz w:val="24"/>
                <w:szCs w:val="24"/>
                <w:highlight w:val="none"/>
              </w:rPr>
              <w:t>1.5，且</w:t>
            </w:r>
            <w:r>
              <w:rPr>
                <w:rFonts w:hint="eastAsia" w:ascii="宋体" w:hAnsi="宋体" w:eastAsia="宋体" w:cs="宋体"/>
                <w:color w:val="auto"/>
                <w:spacing w:val="10"/>
                <w:sz w:val="24"/>
                <w:szCs w:val="24"/>
                <w:highlight w:val="none"/>
              </w:rPr>
              <w:t>提</w:t>
            </w:r>
            <w:r>
              <w:rPr>
                <w:rFonts w:ascii="宋体" w:hAnsi="宋体" w:eastAsia="宋体" w:cs="宋体"/>
                <w:color w:val="auto"/>
                <w:spacing w:val="10"/>
                <w:sz w:val="24"/>
                <w:szCs w:val="24"/>
                <w:highlight w:val="none"/>
              </w:rPr>
              <w:t>供《联合协议》。</w:t>
            </w:r>
          </w:p>
        </w:tc>
        <w:tc>
          <w:tcPr>
            <w:tcW w:w="1074" w:type="pct"/>
            <w:tcBorders>
              <w:bottom w:val="single" w:color="auto" w:sz="4" w:space="0"/>
            </w:tcBorders>
            <w:vAlign w:val="center"/>
          </w:tcPr>
          <w:p w14:paraId="798CF99F">
            <w:pPr>
              <w:spacing w:after="50" w:line="360" w:lineRule="auto"/>
              <w:ind w:right="-10"/>
              <w:rPr>
                <w:rFonts w:hint="eastAsia" w:ascii="宋体" w:hAnsi="宋体" w:eastAsia="宋体" w:cs="宋体"/>
                <w:color w:val="auto"/>
                <w:sz w:val="24"/>
                <w:szCs w:val="24"/>
                <w:highlight w:val="none"/>
              </w:rPr>
            </w:pPr>
            <w:r>
              <w:rPr>
                <w:rFonts w:ascii="宋体" w:hAnsi="宋体" w:eastAsia="宋体" w:cs="宋体"/>
                <w:color w:val="auto"/>
                <w:spacing w:val="10"/>
                <w:sz w:val="24"/>
                <w:szCs w:val="24"/>
                <w:highlight w:val="none"/>
              </w:rPr>
              <w:t>《联合协议》</w:t>
            </w:r>
            <w:r>
              <w:rPr>
                <w:rFonts w:hint="eastAsia" w:ascii="宋体" w:hAnsi="宋体" w:eastAsia="宋体" w:cs="@仿宋_GB2312"/>
                <w:color w:val="auto"/>
                <w:sz w:val="24"/>
                <w:szCs w:val="20"/>
                <w:highlight w:val="none"/>
              </w:rPr>
              <w:t>详见第六章投标文件格式。</w:t>
            </w:r>
          </w:p>
        </w:tc>
      </w:tr>
      <w:tr w14:paraId="59A11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vAlign w:val="center"/>
          </w:tcPr>
          <w:p w14:paraId="36807EE6">
            <w:pPr>
              <w:adjustRightInd w:val="0"/>
              <w:snapToGrid w:val="0"/>
              <w:spacing w:line="360" w:lineRule="auto"/>
              <w:ind w:right="-10"/>
              <w:jc w:val="center"/>
              <w:rPr>
                <w:rFonts w:hint="eastAsia" w:ascii="宋体" w:hAnsi="宋体" w:eastAsia="宋体" w:cs="@仿宋_GB2312"/>
                <w:color w:val="auto"/>
                <w:sz w:val="24"/>
                <w:szCs w:val="20"/>
                <w:highlight w:val="none"/>
              </w:rPr>
            </w:pPr>
            <w:r>
              <w:rPr>
                <w:rFonts w:hint="eastAsia" w:ascii="宋体" w:hAnsi="宋体" w:eastAsia="宋体" w:cs="@仿宋_GB2312"/>
                <w:color w:val="auto"/>
                <w:sz w:val="24"/>
                <w:szCs w:val="20"/>
                <w:highlight w:val="none"/>
              </w:rPr>
              <w:t>8</w:t>
            </w:r>
          </w:p>
        </w:tc>
        <w:tc>
          <w:tcPr>
            <w:tcW w:w="942" w:type="pct"/>
            <w:vAlign w:val="center"/>
          </w:tcPr>
          <w:p w14:paraId="7A91101F">
            <w:pPr>
              <w:spacing w:after="50" w:line="360" w:lineRule="auto"/>
              <w:ind w:right="-10"/>
              <w:rPr>
                <w:rFonts w:hint="eastAsia" w:ascii="宋体" w:hAnsi="宋体" w:eastAsia="宋体" w:cs="宋体"/>
                <w:color w:val="auto"/>
                <w:spacing w:val="10"/>
                <w:sz w:val="24"/>
                <w:szCs w:val="24"/>
                <w:highlight w:val="none"/>
              </w:rPr>
            </w:pPr>
            <w:r>
              <w:rPr>
                <w:rFonts w:ascii="宋体" w:hAnsi="宋体" w:eastAsia="宋体" w:cs="宋体"/>
                <w:color w:val="auto"/>
                <w:spacing w:val="10"/>
                <w:sz w:val="24"/>
                <w:szCs w:val="24"/>
                <w:highlight w:val="none"/>
              </w:rPr>
              <w:t>本项目的特定资格要求</w:t>
            </w:r>
          </w:p>
        </w:tc>
        <w:tc>
          <w:tcPr>
            <w:tcW w:w="2603" w:type="pct"/>
            <w:vAlign w:val="center"/>
          </w:tcPr>
          <w:p w14:paraId="2A247BE9">
            <w:pPr>
              <w:spacing w:after="50" w:line="360" w:lineRule="auto"/>
              <w:ind w:right="-10"/>
              <w:rPr>
                <w:rFonts w:hint="eastAsia" w:ascii="宋体" w:hAnsi="宋体" w:eastAsia="宋体" w:cs="宋体"/>
                <w:color w:val="auto"/>
                <w:spacing w:val="10"/>
                <w:sz w:val="24"/>
                <w:szCs w:val="24"/>
                <w:highlight w:val="none"/>
              </w:rPr>
            </w:pPr>
            <w:r>
              <w:rPr>
                <w:rFonts w:ascii="宋体" w:hAnsi="宋体" w:eastAsia="宋体" w:cs="宋体"/>
                <w:color w:val="auto"/>
                <w:spacing w:val="10"/>
                <w:sz w:val="24"/>
                <w:szCs w:val="24"/>
                <w:highlight w:val="none"/>
              </w:rPr>
              <w:t>如有，见第一章《</w:t>
            </w:r>
            <w:r>
              <w:rPr>
                <w:rFonts w:hint="eastAsia" w:ascii="宋体" w:hAnsi="宋体" w:eastAsia="宋体" w:cs="宋体"/>
                <w:color w:val="auto"/>
                <w:spacing w:val="10"/>
                <w:sz w:val="24"/>
                <w:szCs w:val="24"/>
                <w:highlight w:val="none"/>
              </w:rPr>
              <w:t>招标公告</w:t>
            </w:r>
            <w:r>
              <w:rPr>
                <w:rFonts w:ascii="宋体" w:hAnsi="宋体" w:eastAsia="宋体" w:cs="宋体"/>
                <w:color w:val="auto"/>
                <w:spacing w:val="10"/>
                <w:sz w:val="24"/>
                <w:szCs w:val="24"/>
                <w:highlight w:val="none"/>
              </w:rPr>
              <w:t>》</w:t>
            </w:r>
          </w:p>
        </w:tc>
        <w:tc>
          <w:tcPr>
            <w:tcW w:w="1074" w:type="pct"/>
            <w:vAlign w:val="center"/>
          </w:tcPr>
          <w:p w14:paraId="54B25CDB">
            <w:pPr>
              <w:spacing w:after="50" w:line="360" w:lineRule="auto"/>
              <w:ind w:right="-10"/>
              <w:rPr>
                <w:rFonts w:hint="eastAsia" w:ascii="宋体" w:hAnsi="宋体" w:eastAsia="宋体" w:cs="宋体"/>
                <w:color w:val="auto"/>
                <w:spacing w:val="10"/>
                <w:sz w:val="24"/>
                <w:szCs w:val="24"/>
                <w:highlight w:val="none"/>
              </w:rPr>
            </w:pPr>
            <w:r>
              <w:rPr>
                <w:rFonts w:hint="eastAsia" w:ascii="宋体" w:hAnsi="宋体" w:eastAsia="宋体" w:cs="宋体"/>
                <w:color w:val="auto"/>
                <w:sz w:val="24"/>
                <w:szCs w:val="24"/>
                <w:highlight w:val="none"/>
              </w:rPr>
              <w:t>提供材料扫描件或电子证照，应完整的体现出材料或电子证照全部内容。</w:t>
            </w:r>
          </w:p>
        </w:tc>
      </w:tr>
    </w:tbl>
    <w:p w14:paraId="13A6DA42">
      <w:pPr>
        <w:spacing w:line="360" w:lineRule="auto"/>
        <w:ind w:firstLine="435"/>
        <w:rPr>
          <w:rFonts w:hint="eastAsia" w:ascii="宋体" w:hAnsi="宋体" w:eastAsia="宋体" w:cs="@仿宋_GB2312"/>
          <w:color w:val="auto"/>
          <w:sz w:val="24"/>
          <w:szCs w:val="20"/>
          <w:highlight w:val="none"/>
        </w:rPr>
      </w:pPr>
      <w:r>
        <w:rPr>
          <w:rFonts w:hint="eastAsia" w:ascii="宋体" w:hAnsi="宋体" w:eastAsia="宋体" w:cs="@仿宋_GB2312"/>
          <w:b/>
          <w:bCs/>
          <w:color w:val="auto"/>
          <w:sz w:val="24"/>
          <w:szCs w:val="20"/>
          <w:highlight w:val="none"/>
        </w:rPr>
        <w:t>资格审查指标通过标准：</w:t>
      </w:r>
      <w:r>
        <w:rPr>
          <w:rFonts w:hint="eastAsia" w:ascii="宋体" w:hAnsi="宋体" w:eastAsia="宋体" w:cs="@仿宋_GB2312"/>
          <w:color w:val="auto"/>
          <w:sz w:val="24"/>
          <w:szCs w:val="20"/>
          <w:highlight w:val="none"/>
        </w:rPr>
        <w:t>投标人必须通过资格审查表中的全部评审指标。</w:t>
      </w:r>
    </w:p>
    <w:p w14:paraId="030FBFCA">
      <w:pPr>
        <w:spacing w:line="360" w:lineRule="auto"/>
        <w:ind w:firstLine="437"/>
        <w:outlineLvl w:val="2"/>
        <w:rPr>
          <w:rFonts w:hint="eastAsia" w:ascii="宋体" w:hAnsi="宋体" w:eastAsia="宋体" w:cs="@仿宋_GB2312"/>
          <w:color w:val="auto"/>
          <w:sz w:val="24"/>
          <w:szCs w:val="20"/>
          <w:highlight w:val="none"/>
        </w:rPr>
      </w:pPr>
      <w:r>
        <w:rPr>
          <w:rFonts w:hint="eastAsia" w:ascii="宋体" w:hAnsi="宋体" w:eastAsia="宋体" w:cs="@仿宋_GB2312"/>
          <w:color w:val="auto"/>
          <w:sz w:val="24"/>
          <w:szCs w:val="20"/>
          <w:highlight w:val="none"/>
        </w:rPr>
        <w:t>2.2符合性审查</w:t>
      </w:r>
    </w:p>
    <w:p w14:paraId="0E3D6980">
      <w:pPr>
        <w:spacing w:line="360" w:lineRule="auto"/>
        <w:ind w:firstLine="435"/>
        <w:rPr>
          <w:rFonts w:hint="eastAsia" w:ascii="宋体" w:hAnsi="宋体" w:eastAsia="宋体" w:cs="@仿宋_GB2312"/>
          <w:color w:val="auto"/>
          <w:sz w:val="24"/>
          <w:szCs w:val="20"/>
          <w:highlight w:val="none"/>
        </w:rPr>
      </w:pPr>
      <w:r>
        <w:rPr>
          <w:rFonts w:hint="eastAsia" w:ascii="宋体" w:hAnsi="宋体" w:eastAsia="宋体" w:cs="@仿宋_GB2312"/>
          <w:color w:val="auto"/>
          <w:sz w:val="24"/>
          <w:szCs w:val="20"/>
          <w:highlight w:val="none"/>
        </w:rPr>
        <w:t>评标委员会对通过资格审查的投标人的投标文件进行符合性审查，以确定其是否满足招标文件的实质性要求。符合性审查表如下：</w:t>
      </w:r>
    </w:p>
    <w:tbl>
      <w:tblPr>
        <w:tblStyle w:val="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6"/>
        <w:gridCol w:w="2117"/>
        <w:gridCol w:w="3128"/>
        <w:gridCol w:w="2511"/>
      </w:tblGrid>
      <w:tr w14:paraId="0C067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4" w:hRule="atLeast"/>
          <w:jc w:val="center"/>
        </w:trPr>
        <w:tc>
          <w:tcPr>
            <w:tcW w:w="5000" w:type="pct"/>
            <w:gridSpan w:val="4"/>
            <w:tcBorders>
              <w:bottom w:val="single" w:color="auto" w:sz="4" w:space="0"/>
            </w:tcBorders>
            <w:vAlign w:val="center"/>
          </w:tcPr>
          <w:p w14:paraId="6505010F">
            <w:pPr>
              <w:adjustRightInd w:val="0"/>
              <w:snapToGrid w:val="0"/>
              <w:spacing w:line="360" w:lineRule="auto"/>
              <w:ind w:right="-10"/>
              <w:jc w:val="center"/>
              <w:rPr>
                <w:rFonts w:hint="eastAsia" w:ascii="宋体" w:hAnsi="宋体" w:eastAsia="宋体" w:cs="@仿宋_GB2312"/>
                <w:b/>
                <w:bCs/>
                <w:color w:val="auto"/>
                <w:sz w:val="24"/>
                <w:szCs w:val="20"/>
                <w:highlight w:val="none"/>
              </w:rPr>
            </w:pPr>
            <w:r>
              <w:rPr>
                <w:rFonts w:hint="eastAsia" w:ascii="宋体" w:hAnsi="宋体" w:eastAsia="宋体" w:cs="@仿宋_GB2312"/>
                <w:b/>
                <w:bCs/>
                <w:color w:val="auto"/>
                <w:sz w:val="24"/>
                <w:szCs w:val="20"/>
                <w:highlight w:val="none"/>
              </w:rPr>
              <w:t>符合性审查表</w:t>
            </w:r>
          </w:p>
        </w:tc>
      </w:tr>
      <w:tr w14:paraId="4E1BA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450" w:type="pct"/>
            <w:tcBorders>
              <w:bottom w:val="single" w:color="auto" w:sz="4" w:space="0"/>
            </w:tcBorders>
            <w:vAlign w:val="center"/>
          </w:tcPr>
          <w:p w14:paraId="6F2B6418">
            <w:pPr>
              <w:adjustRightInd w:val="0"/>
              <w:snapToGrid w:val="0"/>
              <w:spacing w:line="360" w:lineRule="auto"/>
              <w:ind w:right="-10"/>
              <w:jc w:val="center"/>
              <w:rPr>
                <w:rFonts w:hint="eastAsia" w:ascii="宋体" w:hAnsi="宋体" w:eastAsia="宋体" w:cs="@仿宋_GB2312"/>
                <w:color w:val="auto"/>
                <w:sz w:val="24"/>
                <w:szCs w:val="20"/>
                <w:highlight w:val="none"/>
              </w:rPr>
            </w:pPr>
            <w:r>
              <w:rPr>
                <w:rFonts w:hint="eastAsia" w:ascii="宋体" w:hAnsi="宋体" w:eastAsia="宋体" w:cs="@仿宋_GB2312"/>
                <w:color w:val="auto"/>
                <w:sz w:val="24"/>
                <w:szCs w:val="20"/>
                <w:highlight w:val="none"/>
              </w:rPr>
              <w:t>序号</w:t>
            </w:r>
          </w:p>
        </w:tc>
        <w:tc>
          <w:tcPr>
            <w:tcW w:w="1242" w:type="pct"/>
            <w:tcBorders>
              <w:bottom w:val="single" w:color="auto" w:sz="4" w:space="0"/>
            </w:tcBorders>
            <w:vAlign w:val="center"/>
          </w:tcPr>
          <w:p w14:paraId="6EABEAE5">
            <w:pPr>
              <w:widowControl w:val="0"/>
              <w:pBdr>
                <w:bottom w:val="none" w:color="auto" w:sz="0" w:space="0"/>
              </w:pBdr>
              <w:adjustRightInd w:val="0"/>
              <w:snapToGrid w:val="0"/>
              <w:spacing w:line="360" w:lineRule="auto"/>
              <w:ind w:right="-10"/>
              <w:jc w:val="center"/>
              <w:textAlignment w:val="auto"/>
              <w:rPr>
                <w:rFonts w:hint="eastAsia" w:ascii="宋体" w:hAnsi="宋体" w:eastAsia="宋体" w:cs="@仿宋_GB2312"/>
                <w:color w:val="auto"/>
                <w:kern w:val="2"/>
                <w:sz w:val="24"/>
                <w:szCs w:val="20"/>
                <w:highlight w:val="none"/>
                <w:lang w:val="en-US" w:eastAsia="zh-CN" w:bidi="ar-SA"/>
              </w:rPr>
            </w:pPr>
            <w:r>
              <w:rPr>
                <w:rFonts w:hint="eastAsia" w:ascii="宋体" w:hAnsi="宋体" w:eastAsia="宋体" w:cs="@仿宋_GB2312"/>
                <w:color w:val="auto"/>
                <w:kern w:val="2"/>
                <w:sz w:val="24"/>
                <w:szCs w:val="20"/>
                <w:highlight w:val="none"/>
                <w:lang w:val="en-US" w:eastAsia="zh-CN" w:bidi="ar-SA"/>
              </w:rPr>
              <w:t>审查指标</w:t>
            </w:r>
          </w:p>
        </w:tc>
        <w:tc>
          <w:tcPr>
            <w:tcW w:w="1835" w:type="pct"/>
            <w:tcBorders>
              <w:bottom w:val="single" w:color="auto" w:sz="4" w:space="0"/>
            </w:tcBorders>
            <w:vAlign w:val="center"/>
          </w:tcPr>
          <w:p w14:paraId="545F4EE6">
            <w:pPr>
              <w:adjustRightInd w:val="0"/>
              <w:snapToGrid w:val="0"/>
              <w:spacing w:line="360" w:lineRule="auto"/>
              <w:ind w:right="-10"/>
              <w:jc w:val="center"/>
              <w:rPr>
                <w:rFonts w:hint="eastAsia" w:ascii="宋体" w:hAnsi="宋体" w:eastAsia="宋体" w:cs="@仿宋_GB2312"/>
                <w:color w:val="auto"/>
                <w:sz w:val="24"/>
                <w:szCs w:val="20"/>
                <w:highlight w:val="none"/>
              </w:rPr>
            </w:pPr>
            <w:r>
              <w:rPr>
                <w:rFonts w:hint="eastAsia" w:ascii="宋体" w:hAnsi="宋体" w:eastAsia="宋体" w:cs="@仿宋_GB2312"/>
                <w:color w:val="auto"/>
                <w:sz w:val="24"/>
                <w:szCs w:val="20"/>
                <w:highlight w:val="none"/>
              </w:rPr>
              <w:t>审查标准</w:t>
            </w:r>
          </w:p>
        </w:tc>
        <w:tc>
          <w:tcPr>
            <w:tcW w:w="1472" w:type="pct"/>
            <w:tcBorders>
              <w:bottom w:val="single" w:color="auto" w:sz="4" w:space="0"/>
            </w:tcBorders>
            <w:vAlign w:val="center"/>
          </w:tcPr>
          <w:p w14:paraId="6762A332">
            <w:pPr>
              <w:adjustRightInd w:val="0"/>
              <w:snapToGrid w:val="0"/>
              <w:spacing w:line="360" w:lineRule="auto"/>
              <w:ind w:right="-10"/>
              <w:jc w:val="center"/>
              <w:rPr>
                <w:rFonts w:hint="eastAsia" w:ascii="宋体" w:hAnsi="宋体" w:eastAsia="宋体" w:cs="@仿宋_GB2312"/>
                <w:color w:val="auto"/>
                <w:sz w:val="24"/>
                <w:szCs w:val="20"/>
                <w:highlight w:val="none"/>
              </w:rPr>
            </w:pPr>
            <w:r>
              <w:rPr>
                <w:rFonts w:hint="eastAsia" w:ascii="宋体" w:hAnsi="宋体" w:eastAsia="宋体" w:cs="@仿宋_GB2312"/>
                <w:color w:val="auto"/>
                <w:sz w:val="24"/>
                <w:szCs w:val="20"/>
                <w:highlight w:val="none"/>
              </w:rPr>
              <w:t>格式要求</w:t>
            </w:r>
          </w:p>
        </w:tc>
      </w:tr>
      <w:tr w14:paraId="73666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15D3624D">
            <w:pPr>
              <w:adjustRightInd w:val="0"/>
              <w:snapToGrid w:val="0"/>
              <w:spacing w:line="360" w:lineRule="auto"/>
              <w:ind w:right="-10"/>
              <w:jc w:val="center"/>
              <w:rPr>
                <w:rFonts w:hint="eastAsia" w:ascii="宋体" w:hAnsi="宋体" w:eastAsia="宋体" w:cs="@仿宋_GB2312"/>
                <w:color w:val="auto"/>
                <w:sz w:val="24"/>
                <w:szCs w:val="20"/>
                <w:highlight w:val="none"/>
              </w:rPr>
            </w:pPr>
            <w:r>
              <w:rPr>
                <w:rFonts w:hint="eastAsia" w:ascii="宋体" w:hAnsi="宋体" w:eastAsia="宋体" w:cs="@仿宋_GB2312"/>
                <w:color w:val="auto"/>
                <w:sz w:val="24"/>
                <w:szCs w:val="20"/>
                <w:highlight w:val="none"/>
              </w:rPr>
              <w:t>1</w:t>
            </w:r>
          </w:p>
        </w:tc>
        <w:tc>
          <w:tcPr>
            <w:tcW w:w="1242" w:type="pct"/>
            <w:vAlign w:val="center"/>
          </w:tcPr>
          <w:p w14:paraId="696EDD37">
            <w:pPr>
              <w:spacing w:after="50" w:line="360" w:lineRule="auto"/>
              <w:ind w:right="-10"/>
              <w:jc w:val="center"/>
              <w:rPr>
                <w:rFonts w:hint="eastAsia" w:ascii="宋体" w:hAnsi="宋体" w:eastAsia="宋体" w:cs="@仿宋_GB2312"/>
                <w:color w:val="auto"/>
                <w:sz w:val="24"/>
                <w:szCs w:val="28"/>
                <w:highlight w:val="none"/>
              </w:rPr>
            </w:pPr>
            <w:r>
              <w:rPr>
                <w:rFonts w:hint="eastAsia" w:ascii="宋体" w:hAnsi="宋体" w:eastAsia="宋体" w:cs="@仿宋_GB2312"/>
                <w:color w:val="auto"/>
                <w:sz w:val="24"/>
                <w:szCs w:val="20"/>
                <w:highlight w:val="none"/>
              </w:rPr>
              <w:t>开标一览表</w:t>
            </w:r>
          </w:p>
        </w:tc>
        <w:tc>
          <w:tcPr>
            <w:tcW w:w="1835" w:type="pct"/>
            <w:vAlign w:val="center"/>
          </w:tcPr>
          <w:p w14:paraId="5D297E7D">
            <w:pPr>
              <w:spacing w:after="50" w:line="360" w:lineRule="auto"/>
              <w:ind w:right="-10"/>
              <w:jc w:val="center"/>
              <w:rPr>
                <w:rFonts w:hint="eastAsia" w:ascii="宋体" w:hAnsi="宋体" w:eastAsia="宋体" w:cs="@仿宋_GB2312"/>
                <w:color w:val="auto"/>
                <w:sz w:val="24"/>
                <w:szCs w:val="28"/>
                <w:highlight w:val="none"/>
              </w:rPr>
            </w:pPr>
            <w:r>
              <w:rPr>
                <w:rFonts w:hint="eastAsia" w:ascii="宋体" w:hAnsi="宋体" w:eastAsia="宋体" w:cs="@仿宋_GB2312"/>
                <w:color w:val="auto"/>
                <w:sz w:val="24"/>
                <w:szCs w:val="28"/>
                <w:highlight w:val="none"/>
              </w:rPr>
              <w:t>格式、填写要求符合招标文件规定并加盖投标人电子签章</w:t>
            </w:r>
          </w:p>
        </w:tc>
        <w:tc>
          <w:tcPr>
            <w:tcW w:w="1472" w:type="pct"/>
            <w:vAlign w:val="center"/>
          </w:tcPr>
          <w:p w14:paraId="1BE676C0">
            <w:pPr>
              <w:adjustRightInd w:val="0"/>
              <w:snapToGrid w:val="0"/>
              <w:spacing w:line="360" w:lineRule="auto"/>
              <w:ind w:right="-10"/>
              <w:jc w:val="center"/>
              <w:rPr>
                <w:rFonts w:hint="eastAsia" w:ascii="宋体" w:hAnsi="宋体" w:eastAsia="宋体" w:cs="@仿宋_GB2312"/>
                <w:color w:val="auto"/>
                <w:sz w:val="24"/>
                <w:szCs w:val="20"/>
                <w:highlight w:val="none"/>
              </w:rPr>
            </w:pPr>
            <w:r>
              <w:rPr>
                <w:rFonts w:hint="eastAsia" w:ascii="宋体" w:hAnsi="宋体" w:eastAsia="宋体" w:cs="@仿宋_GB2312"/>
                <w:color w:val="auto"/>
                <w:sz w:val="24"/>
                <w:szCs w:val="20"/>
                <w:highlight w:val="none"/>
              </w:rPr>
              <w:t>详见第六章投标文件格式。</w:t>
            </w:r>
          </w:p>
        </w:tc>
      </w:tr>
      <w:tr w14:paraId="6A756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3AC23FFF">
            <w:pPr>
              <w:adjustRightInd w:val="0"/>
              <w:snapToGrid w:val="0"/>
              <w:spacing w:line="360" w:lineRule="auto"/>
              <w:ind w:right="-10"/>
              <w:jc w:val="center"/>
              <w:rPr>
                <w:rFonts w:hint="eastAsia" w:ascii="宋体" w:hAnsi="宋体" w:eastAsia="宋体" w:cs="@仿宋_GB2312"/>
                <w:color w:val="auto"/>
                <w:sz w:val="24"/>
                <w:szCs w:val="20"/>
                <w:highlight w:val="none"/>
              </w:rPr>
            </w:pPr>
            <w:r>
              <w:rPr>
                <w:rFonts w:hint="eastAsia" w:ascii="宋体" w:hAnsi="宋体" w:eastAsia="宋体" w:cs="@仿宋_GB2312"/>
                <w:color w:val="auto"/>
                <w:sz w:val="24"/>
                <w:szCs w:val="20"/>
                <w:highlight w:val="none"/>
              </w:rPr>
              <w:t>2</w:t>
            </w:r>
          </w:p>
        </w:tc>
        <w:tc>
          <w:tcPr>
            <w:tcW w:w="1242" w:type="pct"/>
            <w:vAlign w:val="center"/>
          </w:tcPr>
          <w:p w14:paraId="491DFE44">
            <w:pPr>
              <w:spacing w:after="50" w:line="360" w:lineRule="auto"/>
              <w:ind w:right="-10"/>
              <w:jc w:val="center"/>
              <w:rPr>
                <w:rFonts w:hint="eastAsia" w:ascii="宋体" w:hAnsi="宋体" w:eastAsia="宋体" w:cs="@仿宋_GB2312"/>
                <w:color w:val="auto"/>
                <w:sz w:val="24"/>
                <w:szCs w:val="28"/>
                <w:highlight w:val="none"/>
              </w:rPr>
            </w:pPr>
            <w:r>
              <w:rPr>
                <w:rFonts w:hint="eastAsia" w:ascii="宋体" w:hAnsi="宋体" w:eastAsia="宋体" w:cs="@仿宋_GB2312"/>
                <w:color w:val="auto"/>
                <w:sz w:val="24"/>
                <w:szCs w:val="28"/>
                <w:highlight w:val="none"/>
              </w:rPr>
              <w:t>投标函</w:t>
            </w:r>
          </w:p>
        </w:tc>
        <w:tc>
          <w:tcPr>
            <w:tcW w:w="1835" w:type="pct"/>
            <w:vAlign w:val="center"/>
          </w:tcPr>
          <w:p w14:paraId="1EB04E5F">
            <w:pPr>
              <w:spacing w:after="50" w:line="360" w:lineRule="auto"/>
              <w:ind w:right="-10"/>
              <w:jc w:val="center"/>
              <w:rPr>
                <w:rFonts w:hint="eastAsia" w:ascii="宋体" w:hAnsi="宋体" w:eastAsia="宋体" w:cs="@仿宋_GB2312"/>
                <w:color w:val="auto"/>
                <w:sz w:val="24"/>
                <w:szCs w:val="28"/>
                <w:highlight w:val="none"/>
              </w:rPr>
            </w:pPr>
            <w:r>
              <w:rPr>
                <w:rFonts w:hint="eastAsia" w:ascii="宋体" w:hAnsi="宋体" w:eastAsia="宋体" w:cs="@仿宋_GB2312"/>
                <w:color w:val="auto"/>
                <w:sz w:val="24"/>
                <w:szCs w:val="28"/>
                <w:highlight w:val="none"/>
              </w:rPr>
              <w:t>格式、填写要求符合招标文件规定并加盖投标人电子签章</w:t>
            </w:r>
          </w:p>
        </w:tc>
        <w:tc>
          <w:tcPr>
            <w:tcW w:w="1472" w:type="pct"/>
            <w:vAlign w:val="center"/>
          </w:tcPr>
          <w:p w14:paraId="6CBB59EA">
            <w:pPr>
              <w:adjustRightInd w:val="0"/>
              <w:snapToGrid w:val="0"/>
              <w:spacing w:line="360" w:lineRule="auto"/>
              <w:ind w:right="-10"/>
              <w:jc w:val="center"/>
              <w:rPr>
                <w:rFonts w:hint="eastAsia" w:ascii="宋体" w:hAnsi="宋体" w:eastAsia="宋体" w:cs="@仿宋_GB2312"/>
                <w:color w:val="auto"/>
                <w:sz w:val="24"/>
                <w:szCs w:val="20"/>
                <w:highlight w:val="none"/>
              </w:rPr>
            </w:pPr>
            <w:r>
              <w:rPr>
                <w:rFonts w:hint="eastAsia" w:ascii="宋体" w:hAnsi="宋体" w:eastAsia="宋体" w:cs="@仿宋_GB2312"/>
                <w:color w:val="auto"/>
                <w:sz w:val="24"/>
                <w:szCs w:val="20"/>
                <w:highlight w:val="none"/>
              </w:rPr>
              <w:t>详见第六章投标文件格式。</w:t>
            </w:r>
          </w:p>
        </w:tc>
      </w:tr>
      <w:tr w14:paraId="4EFB1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35775070">
            <w:pPr>
              <w:adjustRightInd w:val="0"/>
              <w:snapToGrid w:val="0"/>
              <w:spacing w:line="360" w:lineRule="auto"/>
              <w:ind w:right="-10"/>
              <w:jc w:val="center"/>
              <w:rPr>
                <w:rFonts w:hint="eastAsia" w:ascii="宋体" w:hAnsi="宋体" w:eastAsia="宋体" w:cs="@仿宋_GB2312"/>
                <w:color w:val="auto"/>
                <w:sz w:val="24"/>
                <w:szCs w:val="20"/>
                <w:highlight w:val="none"/>
              </w:rPr>
            </w:pPr>
            <w:r>
              <w:rPr>
                <w:rFonts w:ascii="宋体" w:hAnsi="宋体" w:eastAsia="宋体" w:cs="@仿宋_GB2312"/>
                <w:color w:val="auto"/>
                <w:sz w:val="24"/>
                <w:szCs w:val="20"/>
                <w:highlight w:val="none"/>
              </w:rPr>
              <w:t>3</w:t>
            </w:r>
          </w:p>
        </w:tc>
        <w:tc>
          <w:tcPr>
            <w:tcW w:w="1242" w:type="pct"/>
            <w:vAlign w:val="center"/>
          </w:tcPr>
          <w:p w14:paraId="3D55977A">
            <w:pPr>
              <w:spacing w:after="50" w:line="360" w:lineRule="auto"/>
              <w:ind w:right="-10"/>
              <w:jc w:val="center"/>
              <w:rPr>
                <w:rFonts w:hint="eastAsia" w:ascii="宋体" w:hAnsi="宋体" w:eastAsia="宋体" w:cs="@仿宋_GB2312"/>
                <w:color w:val="auto"/>
                <w:sz w:val="24"/>
                <w:szCs w:val="28"/>
                <w:highlight w:val="none"/>
              </w:rPr>
            </w:pPr>
            <w:r>
              <w:rPr>
                <w:rFonts w:hint="eastAsia" w:ascii="宋体" w:hAnsi="宋体" w:eastAsia="宋体" w:cs="@仿宋_GB2312"/>
                <w:color w:val="auto"/>
                <w:sz w:val="24"/>
                <w:szCs w:val="28"/>
                <w:highlight w:val="none"/>
              </w:rPr>
              <w:t>授权书</w:t>
            </w:r>
          </w:p>
        </w:tc>
        <w:tc>
          <w:tcPr>
            <w:tcW w:w="1835" w:type="pct"/>
            <w:vAlign w:val="center"/>
          </w:tcPr>
          <w:p w14:paraId="17A10567">
            <w:pPr>
              <w:spacing w:after="50" w:line="360" w:lineRule="auto"/>
              <w:ind w:right="-10"/>
              <w:jc w:val="center"/>
              <w:rPr>
                <w:rFonts w:hint="eastAsia" w:ascii="宋体" w:hAnsi="宋体" w:eastAsia="宋体" w:cs="@仿宋_GB2312"/>
                <w:color w:val="auto"/>
                <w:sz w:val="24"/>
                <w:szCs w:val="28"/>
                <w:highlight w:val="none"/>
              </w:rPr>
            </w:pPr>
            <w:r>
              <w:rPr>
                <w:rFonts w:hint="eastAsia" w:ascii="宋体" w:hAnsi="宋体" w:eastAsia="宋体" w:cs="@仿宋_GB2312"/>
                <w:color w:val="auto"/>
                <w:sz w:val="24"/>
                <w:szCs w:val="28"/>
                <w:highlight w:val="none"/>
              </w:rPr>
              <w:t>格式、填写要求符合招标文件规定并加盖投标人电子签章</w:t>
            </w:r>
          </w:p>
        </w:tc>
        <w:tc>
          <w:tcPr>
            <w:tcW w:w="1472" w:type="pct"/>
            <w:vAlign w:val="center"/>
          </w:tcPr>
          <w:p w14:paraId="17591158">
            <w:pPr>
              <w:adjustRightInd w:val="0"/>
              <w:snapToGrid w:val="0"/>
              <w:spacing w:line="360" w:lineRule="auto"/>
              <w:ind w:right="-10"/>
              <w:jc w:val="center"/>
              <w:rPr>
                <w:rFonts w:hint="eastAsia" w:ascii="宋体" w:hAnsi="宋体" w:eastAsia="宋体" w:cs="@仿宋_GB2312"/>
                <w:color w:val="auto"/>
                <w:sz w:val="24"/>
                <w:szCs w:val="20"/>
                <w:highlight w:val="none"/>
              </w:rPr>
            </w:pPr>
            <w:r>
              <w:rPr>
                <w:rFonts w:hint="eastAsia" w:ascii="宋体" w:hAnsi="宋体" w:eastAsia="宋体" w:cs="@仿宋_GB2312"/>
                <w:color w:val="auto"/>
                <w:sz w:val="24"/>
                <w:szCs w:val="20"/>
                <w:highlight w:val="none"/>
              </w:rPr>
              <w:t>法定代表人参加投标的无需此件，提供身份证明即可。详见第六章投标文件格式。</w:t>
            </w:r>
          </w:p>
        </w:tc>
      </w:tr>
      <w:tr w14:paraId="5E80E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11AFABB5">
            <w:pPr>
              <w:adjustRightInd w:val="0"/>
              <w:snapToGrid w:val="0"/>
              <w:spacing w:line="360" w:lineRule="auto"/>
              <w:ind w:right="-10"/>
              <w:jc w:val="center"/>
              <w:rPr>
                <w:rFonts w:hint="eastAsia" w:ascii="宋体" w:hAnsi="宋体" w:eastAsia="宋体" w:cs="@仿宋_GB2312"/>
                <w:color w:val="auto"/>
                <w:sz w:val="24"/>
                <w:szCs w:val="20"/>
                <w:highlight w:val="none"/>
              </w:rPr>
            </w:pPr>
            <w:r>
              <w:rPr>
                <w:rFonts w:hint="eastAsia" w:ascii="宋体" w:hAnsi="宋体" w:eastAsia="宋体" w:cs="@仿宋_GB2312"/>
                <w:color w:val="auto"/>
                <w:sz w:val="24"/>
                <w:szCs w:val="20"/>
                <w:highlight w:val="none"/>
              </w:rPr>
              <w:t>4</w:t>
            </w:r>
          </w:p>
        </w:tc>
        <w:tc>
          <w:tcPr>
            <w:tcW w:w="1242" w:type="pct"/>
            <w:vAlign w:val="center"/>
          </w:tcPr>
          <w:p w14:paraId="1B5B06C3">
            <w:pPr>
              <w:spacing w:after="50" w:line="360" w:lineRule="auto"/>
              <w:ind w:right="-10"/>
              <w:jc w:val="center"/>
              <w:rPr>
                <w:rFonts w:hint="eastAsia" w:ascii="宋体" w:hAnsi="宋体" w:eastAsia="宋体" w:cs="@仿宋_GB2312"/>
                <w:color w:val="auto"/>
                <w:sz w:val="24"/>
                <w:szCs w:val="28"/>
                <w:highlight w:val="none"/>
              </w:rPr>
            </w:pPr>
            <w:r>
              <w:rPr>
                <w:rFonts w:hint="eastAsia" w:ascii="宋体" w:hAnsi="宋体" w:eastAsia="宋体" w:cs="@仿宋_GB2312"/>
                <w:color w:val="auto"/>
                <w:sz w:val="24"/>
                <w:szCs w:val="28"/>
                <w:highlight w:val="none"/>
              </w:rPr>
              <w:t>投标报价</w:t>
            </w:r>
          </w:p>
        </w:tc>
        <w:tc>
          <w:tcPr>
            <w:tcW w:w="1835" w:type="pct"/>
            <w:vAlign w:val="center"/>
          </w:tcPr>
          <w:p w14:paraId="0E1F2FAC">
            <w:pPr>
              <w:spacing w:after="50" w:line="360" w:lineRule="auto"/>
              <w:ind w:right="-10"/>
              <w:jc w:val="center"/>
              <w:rPr>
                <w:rFonts w:hint="eastAsia" w:ascii="宋体" w:hAnsi="宋体" w:eastAsia="宋体" w:cs="@仿宋_GB2312"/>
                <w:color w:val="auto"/>
                <w:sz w:val="24"/>
                <w:szCs w:val="28"/>
                <w:highlight w:val="none"/>
              </w:rPr>
            </w:pPr>
            <w:r>
              <w:rPr>
                <w:rFonts w:hint="eastAsia" w:ascii="宋体" w:hAnsi="宋体" w:eastAsia="宋体" w:cs="@仿宋_GB2312"/>
                <w:color w:val="auto"/>
                <w:sz w:val="24"/>
                <w:szCs w:val="28"/>
                <w:highlight w:val="none"/>
              </w:rPr>
              <w:t>符合</w:t>
            </w:r>
            <w:r>
              <w:rPr>
                <w:rFonts w:hint="eastAsia" w:ascii="宋体" w:hAnsi="宋体" w:eastAsia="宋体" w:cs="@仿宋_GB2312"/>
                <w:color w:val="auto"/>
                <w:sz w:val="24"/>
                <w:szCs w:val="20"/>
                <w:highlight w:val="none"/>
              </w:rPr>
              <w:t>招标文件投标人须知正文第9条要求</w:t>
            </w:r>
          </w:p>
        </w:tc>
        <w:tc>
          <w:tcPr>
            <w:tcW w:w="1472" w:type="pct"/>
            <w:vAlign w:val="center"/>
          </w:tcPr>
          <w:p w14:paraId="5D74A23D">
            <w:pPr>
              <w:adjustRightInd w:val="0"/>
              <w:snapToGrid w:val="0"/>
              <w:spacing w:line="360" w:lineRule="auto"/>
              <w:ind w:right="-10"/>
              <w:jc w:val="center"/>
              <w:rPr>
                <w:rFonts w:hint="eastAsia" w:ascii="宋体" w:hAnsi="宋体" w:eastAsia="宋体" w:cs="@仿宋_GB2312"/>
                <w:color w:val="auto"/>
                <w:sz w:val="24"/>
                <w:szCs w:val="20"/>
                <w:highlight w:val="none"/>
              </w:rPr>
            </w:pPr>
            <w:r>
              <w:rPr>
                <w:rFonts w:hint="eastAsia" w:ascii="宋体" w:hAnsi="宋体" w:eastAsia="宋体" w:cs="@仿宋_GB2312"/>
                <w:color w:val="auto"/>
                <w:sz w:val="24"/>
                <w:szCs w:val="20"/>
                <w:highlight w:val="none"/>
              </w:rPr>
              <w:t>详见第六章投标文件格式。</w:t>
            </w:r>
          </w:p>
        </w:tc>
      </w:tr>
      <w:tr w14:paraId="4D8FD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121050F9">
            <w:pPr>
              <w:adjustRightInd w:val="0"/>
              <w:snapToGrid w:val="0"/>
              <w:spacing w:line="360" w:lineRule="auto"/>
              <w:ind w:right="-10"/>
              <w:jc w:val="center"/>
              <w:rPr>
                <w:rFonts w:hint="eastAsia" w:ascii="宋体" w:hAnsi="宋体" w:eastAsia="宋体" w:cs="@仿宋_GB2312"/>
                <w:color w:val="auto"/>
                <w:sz w:val="24"/>
                <w:szCs w:val="20"/>
                <w:highlight w:val="none"/>
              </w:rPr>
            </w:pPr>
            <w:r>
              <w:rPr>
                <w:rFonts w:hint="eastAsia" w:ascii="宋体" w:hAnsi="宋体" w:eastAsia="宋体" w:cs="@仿宋_GB2312"/>
                <w:color w:val="auto"/>
                <w:sz w:val="24"/>
                <w:szCs w:val="20"/>
                <w:highlight w:val="none"/>
              </w:rPr>
              <w:t>5</w:t>
            </w:r>
          </w:p>
        </w:tc>
        <w:tc>
          <w:tcPr>
            <w:tcW w:w="1242" w:type="pct"/>
            <w:vAlign w:val="center"/>
          </w:tcPr>
          <w:p w14:paraId="16FF25FE">
            <w:pPr>
              <w:spacing w:after="50" w:line="360" w:lineRule="auto"/>
              <w:ind w:right="-10"/>
              <w:jc w:val="center"/>
              <w:rPr>
                <w:rFonts w:hint="eastAsia" w:ascii="宋体" w:hAnsi="宋体" w:eastAsia="宋体" w:cs="@仿宋_GB2312"/>
                <w:color w:val="auto"/>
                <w:sz w:val="24"/>
                <w:szCs w:val="28"/>
                <w:highlight w:val="none"/>
              </w:rPr>
            </w:pPr>
            <w:r>
              <w:rPr>
                <w:rFonts w:hint="eastAsia" w:ascii="宋体" w:hAnsi="宋体" w:eastAsia="宋体" w:cs="@仿宋_GB2312"/>
                <w:color w:val="auto"/>
                <w:sz w:val="24"/>
                <w:szCs w:val="28"/>
                <w:highlight w:val="none"/>
              </w:rPr>
              <w:t>商务响应情况</w:t>
            </w:r>
          </w:p>
        </w:tc>
        <w:tc>
          <w:tcPr>
            <w:tcW w:w="3430" w:type="dxa"/>
            <w:vAlign w:val="center"/>
          </w:tcPr>
          <w:p w14:paraId="55614A54">
            <w:pPr>
              <w:spacing w:after="50" w:line="360" w:lineRule="auto"/>
              <w:ind w:right="-10"/>
              <w:jc w:val="center"/>
              <w:rPr>
                <w:rFonts w:hint="eastAsia" w:ascii="宋体" w:hAnsi="宋体" w:eastAsia="宋体" w:cs="@仿宋_GB2312"/>
                <w:color w:val="auto"/>
                <w:sz w:val="24"/>
                <w:szCs w:val="28"/>
                <w:highlight w:val="none"/>
              </w:rPr>
            </w:pPr>
            <w:r>
              <w:rPr>
                <w:rFonts w:hint="eastAsia" w:ascii="宋体" w:hAnsi="宋体" w:eastAsia="宋体" w:cs="@仿宋_GB2312"/>
                <w:color w:val="auto"/>
                <w:sz w:val="24"/>
                <w:szCs w:val="28"/>
                <w:highlight w:val="none"/>
              </w:rPr>
              <w:t>符合招标文件采购需求中对付款方式、供货及安装期限、供货及安装地点、免费质保期等实质性要求</w:t>
            </w:r>
          </w:p>
        </w:tc>
        <w:tc>
          <w:tcPr>
            <w:tcW w:w="1472" w:type="pct"/>
            <w:vAlign w:val="center"/>
          </w:tcPr>
          <w:p w14:paraId="106D562E">
            <w:pPr>
              <w:adjustRightInd w:val="0"/>
              <w:snapToGrid w:val="0"/>
              <w:spacing w:line="360" w:lineRule="auto"/>
              <w:ind w:right="-10"/>
              <w:jc w:val="center"/>
              <w:rPr>
                <w:rFonts w:hint="eastAsia" w:ascii="宋体" w:hAnsi="宋体" w:eastAsia="宋体" w:cs="@仿宋_GB2312"/>
                <w:color w:val="auto"/>
                <w:sz w:val="24"/>
                <w:szCs w:val="20"/>
                <w:highlight w:val="none"/>
              </w:rPr>
            </w:pPr>
            <w:r>
              <w:rPr>
                <w:rFonts w:hint="eastAsia" w:ascii="宋体" w:hAnsi="宋体" w:eastAsia="宋体" w:cs="@仿宋_GB2312"/>
                <w:color w:val="auto"/>
                <w:sz w:val="24"/>
                <w:szCs w:val="20"/>
                <w:highlight w:val="none"/>
              </w:rPr>
              <w:t>详见第六章投标文件格式。</w:t>
            </w:r>
          </w:p>
        </w:tc>
      </w:tr>
      <w:tr w14:paraId="6BD34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22637DC0">
            <w:pPr>
              <w:adjustRightInd w:val="0"/>
              <w:snapToGrid w:val="0"/>
              <w:spacing w:line="360" w:lineRule="auto"/>
              <w:ind w:right="-10"/>
              <w:jc w:val="center"/>
              <w:rPr>
                <w:rFonts w:hint="eastAsia" w:ascii="宋体" w:hAnsi="宋体" w:eastAsia="宋体" w:cs="@仿宋_GB2312"/>
                <w:color w:val="auto"/>
                <w:sz w:val="24"/>
                <w:szCs w:val="20"/>
                <w:highlight w:val="none"/>
              </w:rPr>
            </w:pPr>
            <w:r>
              <w:rPr>
                <w:rFonts w:hint="eastAsia" w:ascii="宋体" w:hAnsi="宋体" w:eastAsia="宋体" w:cs="@仿宋_GB2312"/>
                <w:color w:val="auto"/>
                <w:sz w:val="24"/>
                <w:szCs w:val="20"/>
                <w:highlight w:val="none"/>
              </w:rPr>
              <w:t>6</w:t>
            </w:r>
          </w:p>
        </w:tc>
        <w:tc>
          <w:tcPr>
            <w:tcW w:w="1242" w:type="pct"/>
            <w:vAlign w:val="center"/>
          </w:tcPr>
          <w:p w14:paraId="5DDBE9B8">
            <w:pPr>
              <w:spacing w:after="50" w:line="360" w:lineRule="auto"/>
              <w:ind w:right="-10"/>
              <w:jc w:val="center"/>
              <w:rPr>
                <w:rFonts w:hint="eastAsia" w:ascii="宋体" w:hAnsi="宋体" w:eastAsia="宋体" w:cs="@仿宋_GB2312"/>
                <w:color w:val="auto"/>
                <w:sz w:val="24"/>
                <w:szCs w:val="28"/>
                <w:highlight w:val="none"/>
              </w:rPr>
            </w:pPr>
            <w:r>
              <w:rPr>
                <w:rFonts w:hint="eastAsia" w:ascii="宋体" w:hAnsi="宋体" w:eastAsia="宋体" w:cs="@仿宋_GB2312"/>
                <w:color w:val="auto"/>
                <w:sz w:val="24"/>
                <w:szCs w:val="28"/>
                <w:highlight w:val="none"/>
              </w:rPr>
              <w:t>技术响应情况</w:t>
            </w:r>
          </w:p>
        </w:tc>
        <w:tc>
          <w:tcPr>
            <w:tcW w:w="3430" w:type="dxa"/>
            <w:vAlign w:val="center"/>
          </w:tcPr>
          <w:p w14:paraId="58A20FCF">
            <w:pPr>
              <w:spacing w:after="50" w:line="360" w:lineRule="auto"/>
              <w:ind w:right="-10"/>
              <w:jc w:val="center"/>
              <w:rPr>
                <w:rFonts w:hint="eastAsia" w:ascii="宋体" w:hAnsi="宋体" w:eastAsia="宋体" w:cs="@仿宋_GB2312"/>
                <w:color w:val="auto"/>
                <w:sz w:val="24"/>
                <w:szCs w:val="28"/>
                <w:highlight w:val="none"/>
              </w:rPr>
            </w:pPr>
            <w:r>
              <w:rPr>
                <w:rFonts w:hint="eastAsia" w:ascii="宋体" w:hAnsi="宋体" w:eastAsia="宋体" w:cs="@仿宋_GB2312"/>
                <w:color w:val="auto"/>
                <w:sz w:val="24"/>
                <w:szCs w:val="28"/>
                <w:highlight w:val="none"/>
              </w:rPr>
              <w:t>符合招标文件采购需求中货物技术参数等实质性要求</w:t>
            </w:r>
          </w:p>
        </w:tc>
        <w:tc>
          <w:tcPr>
            <w:tcW w:w="1472" w:type="pct"/>
            <w:vAlign w:val="center"/>
          </w:tcPr>
          <w:p w14:paraId="5C455B7A">
            <w:pPr>
              <w:adjustRightInd w:val="0"/>
              <w:snapToGrid w:val="0"/>
              <w:spacing w:line="360" w:lineRule="auto"/>
              <w:ind w:right="-10"/>
              <w:jc w:val="center"/>
              <w:rPr>
                <w:rFonts w:hint="eastAsia" w:ascii="宋体" w:hAnsi="宋体" w:eastAsia="宋体" w:cs="@仿宋_GB2312"/>
                <w:color w:val="auto"/>
                <w:sz w:val="24"/>
                <w:szCs w:val="20"/>
                <w:highlight w:val="none"/>
              </w:rPr>
            </w:pPr>
            <w:r>
              <w:rPr>
                <w:rFonts w:hint="eastAsia" w:ascii="宋体" w:hAnsi="宋体" w:eastAsia="宋体" w:cs="@仿宋_GB2312"/>
                <w:color w:val="auto"/>
                <w:sz w:val="24"/>
                <w:szCs w:val="20"/>
                <w:highlight w:val="none"/>
              </w:rPr>
              <w:t>详见第六章投标文件格式。</w:t>
            </w:r>
          </w:p>
        </w:tc>
      </w:tr>
      <w:tr w14:paraId="2FF51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23F176F3">
            <w:pPr>
              <w:adjustRightInd w:val="0"/>
              <w:snapToGrid w:val="0"/>
              <w:spacing w:line="360" w:lineRule="auto"/>
              <w:ind w:right="-10"/>
              <w:jc w:val="center"/>
              <w:rPr>
                <w:rFonts w:hint="eastAsia" w:ascii="宋体" w:hAnsi="宋体" w:eastAsia="宋体" w:cs="@仿宋_GB2312"/>
                <w:color w:val="auto"/>
                <w:sz w:val="24"/>
                <w:szCs w:val="20"/>
                <w:highlight w:val="none"/>
              </w:rPr>
            </w:pPr>
            <w:r>
              <w:rPr>
                <w:rFonts w:hint="eastAsia" w:ascii="宋体" w:hAnsi="宋体" w:eastAsia="宋体" w:cs="@仿宋_GB2312"/>
                <w:color w:val="auto"/>
                <w:sz w:val="24"/>
                <w:szCs w:val="20"/>
                <w:highlight w:val="none"/>
              </w:rPr>
              <w:t>7</w:t>
            </w:r>
          </w:p>
        </w:tc>
        <w:tc>
          <w:tcPr>
            <w:tcW w:w="1242" w:type="pct"/>
            <w:vAlign w:val="center"/>
          </w:tcPr>
          <w:p w14:paraId="016D1F6C">
            <w:pPr>
              <w:spacing w:after="50" w:line="360" w:lineRule="auto"/>
              <w:ind w:right="-10"/>
              <w:jc w:val="center"/>
              <w:rPr>
                <w:rFonts w:hint="eastAsia" w:ascii="宋体" w:hAnsi="宋体" w:eastAsia="宋体" w:cs="@仿宋_GB2312"/>
                <w:color w:val="auto"/>
                <w:sz w:val="24"/>
                <w:szCs w:val="28"/>
                <w:highlight w:val="none"/>
              </w:rPr>
            </w:pPr>
            <w:r>
              <w:rPr>
                <w:rFonts w:hint="eastAsia" w:ascii="宋体" w:hAnsi="宋体" w:eastAsia="宋体" w:cs="@仿宋_GB2312"/>
                <w:color w:val="auto"/>
                <w:sz w:val="24"/>
                <w:szCs w:val="28"/>
                <w:highlight w:val="none"/>
              </w:rPr>
              <w:t>其他要求</w:t>
            </w:r>
          </w:p>
        </w:tc>
        <w:tc>
          <w:tcPr>
            <w:tcW w:w="3430" w:type="dxa"/>
            <w:vAlign w:val="center"/>
          </w:tcPr>
          <w:p w14:paraId="525B2F3A">
            <w:pPr>
              <w:spacing w:after="50" w:line="360" w:lineRule="auto"/>
              <w:ind w:right="-10"/>
              <w:jc w:val="center"/>
              <w:rPr>
                <w:rFonts w:hint="eastAsia" w:ascii="宋体" w:hAnsi="宋体" w:eastAsia="宋体" w:cs="@仿宋_GB2312"/>
                <w:color w:val="auto"/>
                <w:sz w:val="24"/>
                <w:szCs w:val="28"/>
                <w:highlight w:val="none"/>
              </w:rPr>
            </w:pPr>
            <w:r>
              <w:rPr>
                <w:rFonts w:hint="eastAsia" w:ascii="宋体" w:hAnsi="宋体" w:eastAsia="宋体" w:cs="@仿宋_GB2312"/>
                <w:color w:val="auto"/>
                <w:sz w:val="24"/>
                <w:szCs w:val="28"/>
                <w:highlight w:val="none"/>
              </w:rPr>
              <w:t>符合法律、行政法规规定的其他条件或招标文件列明的其他实质性要求</w:t>
            </w:r>
          </w:p>
        </w:tc>
        <w:tc>
          <w:tcPr>
            <w:tcW w:w="1472" w:type="pct"/>
            <w:vAlign w:val="center"/>
          </w:tcPr>
          <w:p w14:paraId="0F2F985E">
            <w:pPr>
              <w:adjustRightInd w:val="0"/>
              <w:snapToGrid w:val="0"/>
              <w:spacing w:line="360" w:lineRule="auto"/>
              <w:ind w:right="-10"/>
              <w:jc w:val="center"/>
              <w:rPr>
                <w:rFonts w:hint="eastAsia" w:ascii="宋体" w:hAnsi="宋体" w:eastAsia="宋体" w:cs="@仿宋_GB2312"/>
                <w:color w:val="auto"/>
                <w:sz w:val="24"/>
                <w:szCs w:val="20"/>
                <w:highlight w:val="none"/>
              </w:rPr>
            </w:pPr>
          </w:p>
        </w:tc>
      </w:tr>
    </w:tbl>
    <w:p w14:paraId="6900BE1E">
      <w:pPr>
        <w:spacing w:line="360" w:lineRule="auto"/>
        <w:ind w:firstLine="435"/>
        <w:rPr>
          <w:rFonts w:hint="eastAsia" w:ascii="宋体" w:hAnsi="宋体" w:eastAsia="宋体" w:cs="@仿宋_GB2312"/>
          <w:color w:val="auto"/>
          <w:sz w:val="24"/>
          <w:szCs w:val="20"/>
          <w:highlight w:val="none"/>
        </w:rPr>
      </w:pPr>
      <w:r>
        <w:rPr>
          <w:rFonts w:hint="eastAsia" w:ascii="宋体" w:hAnsi="宋体" w:eastAsia="宋体" w:cs="@仿宋_GB2312"/>
          <w:b/>
          <w:bCs/>
          <w:color w:val="auto"/>
          <w:sz w:val="24"/>
          <w:szCs w:val="20"/>
          <w:highlight w:val="none"/>
        </w:rPr>
        <w:t>符合性审查指标通过标准：</w:t>
      </w:r>
      <w:r>
        <w:rPr>
          <w:rFonts w:hint="eastAsia" w:ascii="宋体" w:hAnsi="宋体" w:eastAsia="宋体" w:cs="@仿宋_GB2312"/>
          <w:color w:val="auto"/>
          <w:sz w:val="24"/>
          <w:szCs w:val="20"/>
          <w:highlight w:val="none"/>
        </w:rPr>
        <w:t>投标人必须通过符合性审查表中的全部评审指标。</w:t>
      </w:r>
    </w:p>
    <w:p w14:paraId="5C8A736B">
      <w:pPr>
        <w:spacing w:line="360" w:lineRule="auto"/>
        <w:ind w:firstLine="435"/>
        <w:outlineLvl w:val="2"/>
        <w:rPr>
          <w:rFonts w:hint="eastAsia" w:ascii="宋体" w:hAnsi="宋体" w:eastAsia="宋体" w:cs="@仿宋_GB2312"/>
          <w:color w:val="auto"/>
          <w:sz w:val="24"/>
          <w:szCs w:val="20"/>
          <w:highlight w:val="none"/>
        </w:rPr>
      </w:pPr>
      <w:r>
        <w:rPr>
          <w:rFonts w:hint="eastAsia" w:ascii="宋体" w:hAnsi="宋体" w:eastAsia="宋体" w:cs="@仿宋_GB2312"/>
          <w:color w:val="auto"/>
          <w:sz w:val="24"/>
          <w:szCs w:val="20"/>
          <w:highlight w:val="none"/>
        </w:rPr>
        <w:t>2.3异常低价投标审查</w:t>
      </w:r>
    </w:p>
    <w:tbl>
      <w:tblPr>
        <w:tblStyle w:val="2"/>
        <w:tblW w:w="52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5"/>
        <w:gridCol w:w="1450"/>
        <w:gridCol w:w="4438"/>
        <w:gridCol w:w="2260"/>
      </w:tblGrid>
      <w:tr w14:paraId="6A57A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954" w:type="dxa"/>
            <w:gridSpan w:val="4"/>
            <w:tcBorders>
              <w:bottom w:val="single" w:color="auto" w:sz="4" w:space="0"/>
            </w:tcBorders>
            <w:vAlign w:val="center"/>
          </w:tcPr>
          <w:p w14:paraId="467AA6A3">
            <w:pPr>
              <w:adjustRightInd w:val="0"/>
              <w:snapToGrid w:val="0"/>
              <w:spacing w:line="360" w:lineRule="auto"/>
              <w:ind w:right="-10"/>
              <w:jc w:val="center"/>
              <w:rPr>
                <w:rFonts w:hint="eastAsia" w:ascii="宋体" w:hAnsi="宋体" w:eastAsia="宋体" w:cs="@仿宋_GB2312"/>
                <w:color w:val="auto"/>
                <w:sz w:val="24"/>
                <w:szCs w:val="20"/>
                <w:highlight w:val="none"/>
              </w:rPr>
            </w:pPr>
            <w:r>
              <w:rPr>
                <w:rFonts w:hint="eastAsia" w:ascii="宋体" w:hAnsi="宋体" w:eastAsia="宋体" w:cs="Times New Roman"/>
                <w:b/>
                <w:bCs/>
                <w:color w:val="auto"/>
                <w:sz w:val="24"/>
                <w:szCs w:val="20"/>
                <w:highlight w:val="none"/>
              </w:rPr>
              <w:t>异常低价投标审查表</w:t>
            </w:r>
          </w:p>
        </w:tc>
      </w:tr>
      <w:tr w14:paraId="34F27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vAlign w:val="center"/>
          </w:tcPr>
          <w:p w14:paraId="3EF23541">
            <w:pPr>
              <w:spacing w:line="360" w:lineRule="auto"/>
              <w:jc w:val="center"/>
              <w:rPr>
                <w:rFonts w:hint="eastAsia" w:ascii="宋体" w:hAnsi="宋体" w:eastAsia="宋体" w:cs="@仿宋_GB2312"/>
                <w:color w:val="auto"/>
                <w:sz w:val="24"/>
                <w:szCs w:val="20"/>
                <w:highlight w:val="none"/>
              </w:rPr>
            </w:pPr>
            <w:r>
              <w:rPr>
                <w:rFonts w:hint="eastAsia" w:ascii="宋体" w:hAnsi="宋体" w:eastAsia="宋体" w:cs="Times New Roman"/>
                <w:color w:val="auto"/>
                <w:sz w:val="24"/>
                <w:szCs w:val="20"/>
                <w:highlight w:val="none"/>
              </w:rPr>
              <w:t>序号</w:t>
            </w:r>
          </w:p>
        </w:tc>
        <w:tc>
          <w:tcPr>
            <w:tcW w:w="1450" w:type="dxa"/>
            <w:tcBorders>
              <w:bottom w:val="single" w:color="auto" w:sz="4" w:space="0"/>
            </w:tcBorders>
            <w:vAlign w:val="center"/>
          </w:tcPr>
          <w:p w14:paraId="6CF1E3D7">
            <w:pPr>
              <w:spacing w:line="360" w:lineRule="auto"/>
              <w:ind w:firstLine="240" w:firstLineChars="100"/>
              <w:jc w:val="center"/>
              <w:rPr>
                <w:rFonts w:hint="eastAsia" w:ascii="宋体" w:hAnsi="宋体" w:eastAsia="宋体" w:cs="@仿宋_GB2312"/>
                <w:color w:val="auto"/>
                <w:szCs w:val="24"/>
                <w:highlight w:val="none"/>
              </w:rPr>
            </w:pPr>
            <w:r>
              <w:rPr>
                <w:rFonts w:hint="eastAsia" w:ascii="宋体" w:hAnsi="宋体" w:eastAsia="宋体" w:cs="Times New Roman"/>
                <w:color w:val="auto"/>
                <w:sz w:val="24"/>
                <w:szCs w:val="20"/>
                <w:highlight w:val="none"/>
              </w:rPr>
              <w:t>评审指标</w:t>
            </w:r>
          </w:p>
        </w:tc>
        <w:tc>
          <w:tcPr>
            <w:tcW w:w="4439" w:type="dxa"/>
            <w:tcBorders>
              <w:bottom w:val="single" w:color="auto" w:sz="4" w:space="0"/>
            </w:tcBorders>
            <w:vAlign w:val="center"/>
          </w:tcPr>
          <w:p w14:paraId="16BE9828">
            <w:pPr>
              <w:spacing w:line="360" w:lineRule="auto"/>
              <w:ind w:firstLine="240" w:firstLineChars="100"/>
              <w:jc w:val="center"/>
              <w:rPr>
                <w:rFonts w:hint="eastAsia" w:ascii="宋体" w:hAnsi="宋体" w:eastAsia="宋体" w:cs="@仿宋_GB2312"/>
                <w:color w:val="auto"/>
                <w:sz w:val="24"/>
                <w:szCs w:val="20"/>
                <w:highlight w:val="none"/>
              </w:rPr>
            </w:pPr>
            <w:r>
              <w:rPr>
                <w:rFonts w:hint="eastAsia" w:ascii="宋体" w:hAnsi="宋体" w:eastAsia="宋体" w:cs="Times New Roman"/>
                <w:color w:val="auto"/>
                <w:sz w:val="24"/>
                <w:szCs w:val="20"/>
                <w:highlight w:val="none"/>
              </w:rPr>
              <w:t>评审标准</w:t>
            </w:r>
          </w:p>
        </w:tc>
        <w:tc>
          <w:tcPr>
            <w:tcW w:w="2260" w:type="dxa"/>
            <w:tcBorders>
              <w:bottom w:val="single" w:color="auto" w:sz="4" w:space="0"/>
            </w:tcBorders>
            <w:vAlign w:val="center"/>
          </w:tcPr>
          <w:p w14:paraId="28E0037C">
            <w:pPr>
              <w:spacing w:line="360" w:lineRule="auto"/>
              <w:jc w:val="center"/>
              <w:rPr>
                <w:rFonts w:hint="eastAsia" w:ascii="宋体" w:hAnsi="宋体" w:eastAsia="宋体" w:cs="@仿宋_GB2312"/>
                <w:color w:val="auto"/>
                <w:sz w:val="24"/>
                <w:szCs w:val="20"/>
                <w:highlight w:val="none"/>
              </w:rPr>
            </w:pPr>
            <w:r>
              <w:rPr>
                <w:rFonts w:hint="eastAsia" w:ascii="宋体" w:hAnsi="宋体" w:eastAsia="宋体" w:cs="Times New Roman"/>
                <w:color w:val="auto"/>
                <w:sz w:val="24"/>
                <w:szCs w:val="20"/>
                <w:highlight w:val="none"/>
              </w:rPr>
              <w:t>格式及材料要求</w:t>
            </w:r>
          </w:p>
        </w:tc>
      </w:tr>
      <w:tr w14:paraId="5F3EA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805" w:type="dxa"/>
            <w:tcBorders>
              <w:bottom w:val="single" w:color="auto" w:sz="4" w:space="0"/>
            </w:tcBorders>
            <w:vAlign w:val="center"/>
          </w:tcPr>
          <w:p w14:paraId="54696545">
            <w:pPr>
              <w:spacing w:line="360" w:lineRule="auto"/>
              <w:ind w:firstLine="240" w:firstLineChars="100"/>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1</w:t>
            </w:r>
          </w:p>
        </w:tc>
        <w:tc>
          <w:tcPr>
            <w:tcW w:w="1450" w:type="dxa"/>
            <w:tcBorders>
              <w:bottom w:val="single" w:color="auto" w:sz="4" w:space="0"/>
            </w:tcBorders>
            <w:vAlign w:val="center"/>
          </w:tcPr>
          <w:p w14:paraId="6A5EE294">
            <w:pPr>
              <w:spacing w:line="360" w:lineRule="auto"/>
              <w:rPr>
                <w:rFonts w:hint="eastAsia" w:ascii="宋体" w:hAnsi="宋体" w:eastAsia="宋体" w:cs="宋体"/>
                <w:color w:val="auto"/>
                <w:sz w:val="24"/>
                <w:szCs w:val="28"/>
                <w:highlight w:val="none"/>
              </w:rPr>
            </w:pPr>
            <w:r>
              <w:rPr>
                <w:rFonts w:hint="eastAsia" w:ascii="宋体" w:hAnsi="宋体" w:eastAsia="宋体" w:cs="宋体"/>
                <w:color w:val="auto"/>
                <w:sz w:val="24"/>
                <w:szCs w:val="20"/>
                <w:highlight w:val="none"/>
              </w:rPr>
              <w:t>异常低价投标审查</w:t>
            </w:r>
          </w:p>
        </w:tc>
        <w:tc>
          <w:tcPr>
            <w:tcW w:w="4439" w:type="dxa"/>
            <w:tcBorders>
              <w:bottom w:val="single" w:color="auto" w:sz="4" w:space="0"/>
            </w:tcBorders>
            <w:vAlign w:val="center"/>
          </w:tcPr>
          <w:p w14:paraId="552731CA">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（1）投标报价＜全部通过符合性审查投标人投标报价平均值×</w:t>
            </w:r>
            <w:r>
              <w:rPr>
                <w:rFonts w:hint="eastAsia" w:ascii="宋体" w:hAnsi="宋体" w:eastAsia="宋体" w:cs="宋体"/>
                <w:color w:val="auto"/>
                <w:sz w:val="24"/>
                <w:szCs w:val="24"/>
                <w:highlight w:val="none"/>
                <w:u w:val="single"/>
                <w:lang w:val="en-US" w:eastAsia="zh-CN"/>
              </w:rPr>
              <w:t>65</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w:t>
            </w:r>
          </w:p>
          <w:p w14:paraId="5BADED0B">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（2）投标报价＜通过符合性审查的次低报价投标人投标报价×</w:t>
            </w:r>
            <w:r>
              <w:rPr>
                <w:rFonts w:hint="eastAsia" w:ascii="宋体" w:hAnsi="宋体" w:eastAsia="宋体" w:cs="宋体"/>
                <w:color w:val="auto"/>
                <w:sz w:val="24"/>
                <w:szCs w:val="24"/>
                <w:highlight w:val="none"/>
                <w:u w:val="single"/>
                <w:lang w:val="en-US" w:eastAsia="zh-CN"/>
              </w:rPr>
              <w:t>65</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w:t>
            </w:r>
          </w:p>
          <w:p w14:paraId="3A6BB6F5">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（3）投标报价＜采购项目最高限价（</w:t>
            </w:r>
            <w:r>
              <w:rPr>
                <w:rFonts w:hint="eastAsia" w:ascii="宋体" w:hAnsi="宋体" w:eastAsia="宋体" w:cs="宋体"/>
                <w:color w:val="auto"/>
                <w:sz w:val="24"/>
                <w:szCs w:val="20"/>
                <w:highlight w:val="none"/>
              </w:rPr>
              <w:t>如采购项目未设定最高限价的，以采购项目预算金额作为最高限价</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lang w:val="en-US" w:eastAsia="zh-CN"/>
              </w:rPr>
              <w:t>6</w:t>
            </w:r>
            <w:r>
              <w:rPr>
                <w:rFonts w:hint="eastAsia" w:ascii="宋体" w:hAnsi="宋体" w:eastAsia="宋体" w:cs="宋体"/>
                <w:color w:val="auto"/>
                <w:sz w:val="24"/>
                <w:szCs w:val="24"/>
                <w:highlight w:val="none"/>
                <w:u w:val="single"/>
              </w:rPr>
              <w:t>5%</w:t>
            </w:r>
            <w:r>
              <w:rPr>
                <w:rFonts w:hint="eastAsia" w:ascii="宋体" w:hAnsi="宋体" w:eastAsia="宋体" w:cs="宋体"/>
                <w:color w:val="auto"/>
                <w:sz w:val="24"/>
                <w:szCs w:val="24"/>
                <w:highlight w:val="none"/>
              </w:rPr>
              <w:t>；</w:t>
            </w:r>
          </w:p>
          <w:p w14:paraId="5156A76D">
            <w:pPr>
              <w:widowControl w:val="0"/>
              <w:spacing w:line="360" w:lineRule="auto"/>
              <w:jc w:val="left"/>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（4）评标委员会基于专业判断，认为投标人报价过低，有可能影响产品质量或者不能诚信履约的其他情形。</w:t>
            </w:r>
          </w:p>
          <w:p w14:paraId="0461D2F3">
            <w:pPr>
              <w:widowControl w:val="0"/>
              <w:spacing w:line="360" w:lineRule="auto"/>
              <w:jc w:val="left"/>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提醒：</w:t>
            </w:r>
          </w:p>
          <w:p w14:paraId="37E6594B">
            <w:pPr>
              <w:widowControl w:val="0"/>
              <w:spacing w:line="360" w:lineRule="auto"/>
              <w:jc w:val="left"/>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上述</w:t>
            </w:r>
            <w:r>
              <w:rPr>
                <w:rFonts w:hint="eastAsia" w:ascii="宋体" w:hAnsi="宋体" w:eastAsia="宋体" w:cs="Arial"/>
                <w:color w:val="auto"/>
                <w:kern w:val="2"/>
                <w:sz w:val="22"/>
                <w:szCs w:val="22"/>
                <w:highlight w:val="none"/>
                <w:lang w:val="en-US" w:eastAsia="zh-CN" w:bidi="ar-SA"/>
              </w:rPr>
              <w:t>第（1）项数值计算：涉及总价、单价的</w:t>
            </w:r>
            <w:r>
              <w:rPr>
                <w:rFonts w:hint="eastAsia" w:ascii="宋体" w:hAnsi="宋体" w:eastAsia="宋体" w:cs="宋体"/>
                <w:color w:val="auto"/>
                <w:kern w:val="2"/>
                <w:sz w:val="22"/>
                <w:szCs w:val="22"/>
                <w:highlight w:val="none"/>
                <w:lang w:val="en-US" w:eastAsia="zh-CN" w:bidi="ar-SA"/>
              </w:rPr>
              <w:t>精确到“分”并四舍五入，涉及费率的精确到小数点后两位，第三位四舍五入（例：如平均值为123.456元，即为123.46元；如平均值为80.126%，即为80.13%）。</w:t>
            </w:r>
          </w:p>
        </w:tc>
        <w:tc>
          <w:tcPr>
            <w:tcW w:w="2260" w:type="dxa"/>
            <w:vAlign w:val="center"/>
          </w:tcPr>
          <w:p w14:paraId="1AFC61BF">
            <w:pPr>
              <w:spacing w:line="360" w:lineRule="auto"/>
              <w:ind w:firstLine="240" w:firstLineChars="100"/>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投标人在评审现场合理的时间内对投标价格作出解释，提供项目具体成本测算等与报价合理性相关的书面说明及必要的证明材料，包括但不限于原材料成本、人工成本、制造费用等。</w:t>
            </w:r>
          </w:p>
        </w:tc>
      </w:tr>
    </w:tbl>
    <w:p w14:paraId="0246933D">
      <w:pPr>
        <w:spacing w:line="360" w:lineRule="auto"/>
        <w:rPr>
          <w:rFonts w:hint="eastAsia" w:ascii="宋体" w:hAnsi="宋体" w:eastAsia="宋体" w:cs="Arial"/>
          <w:color w:val="auto"/>
          <w:sz w:val="24"/>
          <w:szCs w:val="20"/>
          <w:highlight w:val="none"/>
        </w:rPr>
      </w:pPr>
      <w:r>
        <w:rPr>
          <w:rFonts w:hint="eastAsia" w:ascii="宋体" w:hAnsi="宋体" w:eastAsia="宋体" w:cs="Times New Roman"/>
          <w:color w:val="auto"/>
          <w:sz w:val="24"/>
          <w:szCs w:val="20"/>
          <w:highlight w:val="none"/>
        </w:rPr>
        <w:t>注：</w:t>
      </w:r>
    </w:p>
    <w:p w14:paraId="688B4C0C">
      <w:pPr>
        <w:spacing w:line="360" w:lineRule="auto"/>
        <w:ind w:firstLine="480" w:firstLineChars="200"/>
        <w:rPr>
          <w:rFonts w:hint="eastAsia" w:ascii="宋体" w:hAnsi="宋体" w:eastAsia="宋体" w:cs="@仿宋_GB2312"/>
          <w:color w:val="auto"/>
          <w:sz w:val="24"/>
          <w:szCs w:val="20"/>
          <w:highlight w:val="none"/>
        </w:rPr>
      </w:pPr>
      <w:r>
        <w:rPr>
          <w:rFonts w:hint="eastAsia" w:ascii="宋体" w:hAnsi="宋体" w:eastAsia="宋体" w:cs="@仿宋_GB2312"/>
          <w:color w:val="auto"/>
          <w:sz w:val="24"/>
          <w:szCs w:val="20"/>
          <w:highlight w:val="none"/>
        </w:rPr>
        <w:t>根据《关于推动解决政府采购异常低价问题的通知》（财库〔</w:t>
      </w:r>
      <w:r>
        <w:rPr>
          <w:rFonts w:ascii="宋体" w:hAnsi="宋体" w:eastAsia="宋体" w:cs="@仿宋_GB2312"/>
          <w:color w:val="auto"/>
          <w:sz w:val="24"/>
          <w:szCs w:val="20"/>
          <w:highlight w:val="none"/>
        </w:rPr>
        <w:t>202</w:t>
      </w:r>
      <w:r>
        <w:rPr>
          <w:rFonts w:hint="eastAsia" w:ascii="宋体" w:hAnsi="宋体" w:eastAsia="宋体" w:cs="@仿宋_GB2312"/>
          <w:color w:val="auto"/>
          <w:sz w:val="24"/>
          <w:szCs w:val="20"/>
          <w:highlight w:val="none"/>
        </w:rPr>
        <w:t>6</w:t>
      </w:r>
      <w:r>
        <w:rPr>
          <w:rFonts w:ascii="宋体" w:hAnsi="宋体" w:eastAsia="宋体" w:cs="@仿宋_GB2312"/>
          <w:color w:val="auto"/>
          <w:sz w:val="24"/>
          <w:szCs w:val="20"/>
          <w:highlight w:val="none"/>
        </w:rPr>
        <w:t>〕</w:t>
      </w:r>
      <w:r>
        <w:rPr>
          <w:rFonts w:hint="eastAsia" w:ascii="宋体" w:hAnsi="宋体" w:eastAsia="宋体" w:cs="@仿宋_GB2312"/>
          <w:color w:val="auto"/>
          <w:sz w:val="24"/>
          <w:szCs w:val="20"/>
          <w:highlight w:val="none"/>
        </w:rPr>
        <w:t>2</w:t>
      </w:r>
      <w:r>
        <w:rPr>
          <w:rFonts w:ascii="宋体" w:hAnsi="宋体" w:eastAsia="宋体" w:cs="@仿宋_GB2312"/>
          <w:color w:val="auto"/>
          <w:sz w:val="24"/>
          <w:szCs w:val="20"/>
          <w:highlight w:val="none"/>
        </w:rPr>
        <w:t>号</w:t>
      </w:r>
      <w:r>
        <w:rPr>
          <w:rFonts w:hint="eastAsia" w:ascii="宋体" w:hAnsi="宋体" w:eastAsia="宋体" w:cs="@仿宋_GB2312"/>
          <w:color w:val="auto"/>
          <w:sz w:val="24"/>
          <w:szCs w:val="20"/>
          <w:highlight w:val="none"/>
        </w:rPr>
        <w:t>），采购人可以结合具体项目实际情况，提高上述</w:t>
      </w:r>
      <w:r>
        <w:rPr>
          <w:rFonts w:hint="eastAsia" w:ascii="宋体" w:hAnsi="宋体" w:eastAsia="宋体" w:cs="Times New Roman"/>
          <w:color w:val="auto"/>
          <w:sz w:val="24"/>
          <w:szCs w:val="20"/>
          <w:highlight w:val="none"/>
        </w:rPr>
        <w:t>评审标准</w:t>
      </w:r>
      <w:r>
        <w:rPr>
          <w:rFonts w:hint="eastAsia" w:ascii="宋体" w:hAnsi="宋体" w:eastAsia="宋体" w:cs="@仿宋_GB2312"/>
          <w:color w:val="auto"/>
          <w:sz w:val="24"/>
          <w:szCs w:val="20"/>
          <w:highlight w:val="none"/>
        </w:rPr>
        <w:t>第（1）项至第（3）项中的数值标准，但是最高不得超过65%。</w:t>
      </w:r>
    </w:p>
    <w:p w14:paraId="42F14DBD">
      <w:pPr>
        <w:spacing w:line="360" w:lineRule="auto"/>
        <w:ind w:firstLine="480" w:firstLineChars="200"/>
        <w:rPr>
          <w:rFonts w:hint="eastAsia" w:ascii="宋体" w:hAnsi="宋体" w:eastAsia="宋体" w:cs="Arial"/>
          <w:color w:val="auto"/>
          <w:sz w:val="24"/>
          <w:szCs w:val="20"/>
          <w:highlight w:val="none"/>
        </w:rPr>
      </w:pPr>
      <w:r>
        <w:rPr>
          <w:rFonts w:hint="eastAsia" w:ascii="宋体" w:hAnsi="宋体" w:eastAsia="宋体" w:cs="Arial"/>
          <w:color w:val="auto"/>
          <w:sz w:val="24"/>
          <w:szCs w:val="20"/>
          <w:highlight w:val="none"/>
        </w:rPr>
        <w:t>评标委员会启动异常低价投标审查后，属于评审标准中第（1）项至第（4）项情形的，应当要求相关投标人在评审现场合理的时间内（不少于30分钟）对投标价格作出解释，提供项目具体成本测算等与报价合理性相关的书面说明及必要的证明材料，包括但不限于原材料成本、人工成本、制造费用等。其中，属于第</w:t>
      </w:r>
      <w:r>
        <w:rPr>
          <w:rFonts w:hint="eastAsia" w:ascii="宋体" w:hAnsi="宋体" w:eastAsia="@仿宋_GB2312" w:cs="Arial"/>
          <w:color w:val="auto"/>
          <w:sz w:val="24"/>
          <w:szCs w:val="20"/>
          <w:highlight w:val="none"/>
        </w:rPr>
        <w:t>（3）</w:t>
      </w:r>
      <w:r>
        <w:rPr>
          <w:rFonts w:hint="eastAsia" w:ascii="宋体" w:hAnsi="宋体" w:eastAsia="宋体" w:cs="Arial"/>
          <w:color w:val="auto"/>
          <w:sz w:val="24"/>
          <w:szCs w:val="20"/>
          <w:highlight w:val="none"/>
        </w:rPr>
        <w:t>项情形，投标人已随投标文件一并提交相关书面说明及必要的证明材料的，在评审现场可不再重复提交。</w:t>
      </w:r>
    </w:p>
    <w:p w14:paraId="3E403349">
      <w:pPr>
        <w:widowControl w:val="0"/>
        <w:spacing w:line="360" w:lineRule="auto"/>
        <w:jc w:val="left"/>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评标委员会依据专业经验，参考同类项目中标（成交）价格、类似产品市场价格水平、行业人工费用标准、国家有关部门指导行业协会发布的行业平均成本等情况，对报价合理性进行判断。投标人不能提供书面说明、证明材料，或者提供的书面说明、证明材料不能证明其报价合理性的，评标委员会应当将其作为</w:t>
      </w:r>
      <w:r>
        <w:rPr>
          <w:rFonts w:hint="eastAsia" w:ascii="宋体" w:hAnsi="宋体" w:eastAsia="宋体" w:cs="宋体"/>
          <w:b/>
          <w:bCs/>
          <w:color w:val="auto"/>
          <w:kern w:val="2"/>
          <w:sz w:val="22"/>
          <w:szCs w:val="22"/>
          <w:highlight w:val="none"/>
          <w:lang w:val="en-US" w:eastAsia="zh-CN" w:bidi="ar-SA"/>
        </w:rPr>
        <w:t>无效投标</w:t>
      </w:r>
      <w:r>
        <w:rPr>
          <w:rFonts w:hint="eastAsia" w:ascii="宋体" w:hAnsi="宋体" w:eastAsia="宋体" w:cs="宋体"/>
          <w:color w:val="auto"/>
          <w:kern w:val="2"/>
          <w:sz w:val="22"/>
          <w:szCs w:val="22"/>
          <w:highlight w:val="none"/>
          <w:lang w:val="en-US" w:eastAsia="zh-CN" w:bidi="ar-SA"/>
        </w:rPr>
        <w:t>处理。</w:t>
      </w:r>
    </w:p>
    <w:p w14:paraId="3FFC5960">
      <w:pPr>
        <w:widowControl w:val="0"/>
        <w:spacing w:line="360" w:lineRule="auto"/>
        <w:jc w:val="left"/>
        <w:rPr>
          <w:rFonts w:hint="eastAsia" w:ascii="宋体" w:hAnsi="宋体" w:eastAsia="宋体" w:cs="宋体"/>
          <w:color w:val="auto"/>
          <w:kern w:val="2"/>
          <w:sz w:val="22"/>
          <w:szCs w:val="22"/>
          <w:highlight w:val="none"/>
          <w:lang w:val="en-US" w:eastAsia="zh-CN" w:bidi="ar-SA"/>
        </w:rPr>
      </w:pPr>
      <w:r>
        <w:rPr>
          <w:rFonts w:hint="eastAsia" w:ascii="宋体" w:hAnsi="宋体" w:eastAsia="宋体" w:cs="Arial"/>
          <w:color w:val="auto"/>
          <w:kern w:val="2"/>
          <w:sz w:val="22"/>
          <w:szCs w:val="22"/>
          <w:highlight w:val="none"/>
          <w:lang w:val="en-US" w:eastAsia="zh-CN" w:bidi="ar-SA"/>
        </w:rPr>
        <w:t>评标委员会</w:t>
      </w:r>
      <w:r>
        <w:rPr>
          <w:rFonts w:hint="eastAsia" w:ascii="宋体" w:hAnsi="宋体" w:eastAsia="宋体" w:cs="宋体"/>
          <w:color w:val="auto"/>
          <w:kern w:val="2"/>
          <w:sz w:val="22"/>
          <w:szCs w:val="22"/>
          <w:highlight w:val="none"/>
          <w:lang w:val="en-US" w:eastAsia="zh-CN" w:bidi="ar-SA"/>
        </w:rPr>
        <w:t>借助互联网等渠道查询相关信息的，应当严格遵守评审工作纪律，不得实施影响评审公正的行为。异常低价响应审查的启动原因、审查意见和审查结果应当在评审报告中记录，并随投标人提供的相关书面说明及证明材料，以及</w:t>
      </w:r>
      <w:r>
        <w:rPr>
          <w:rFonts w:hint="eastAsia" w:ascii="宋体" w:hAnsi="宋体" w:eastAsia="宋体" w:cs="Arial"/>
          <w:color w:val="auto"/>
          <w:kern w:val="2"/>
          <w:sz w:val="22"/>
          <w:szCs w:val="22"/>
          <w:highlight w:val="none"/>
          <w:lang w:val="en-US" w:eastAsia="zh-CN" w:bidi="ar-SA"/>
        </w:rPr>
        <w:t>评标委员会</w:t>
      </w:r>
      <w:r>
        <w:rPr>
          <w:rFonts w:hint="eastAsia" w:ascii="宋体" w:hAnsi="宋体" w:eastAsia="宋体" w:cs="宋体"/>
          <w:color w:val="auto"/>
          <w:kern w:val="2"/>
          <w:sz w:val="22"/>
          <w:szCs w:val="22"/>
          <w:highlight w:val="none"/>
          <w:lang w:val="en-US" w:eastAsia="zh-CN" w:bidi="ar-SA"/>
        </w:rPr>
        <w:t>有关互联网浏览、查询历史一并归档。</w:t>
      </w:r>
    </w:p>
    <w:p w14:paraId="4EFD9A41">
      <w:pPr>
        <w:spacing w:line="360" w:lineRule="auto"/>
        <w:ind w:firstLine="437"/>
        <w:outlineLvl w:val="2"/>
        <w:rPr>
          <w:rFonts w:hint="eastAsia" w:ascii="宋体" w:hAnsi="宋体" w:eastAsia="宋体" w:cs="@仿宋_GB2312"/>
          <w:color w:val="auto"/>
          <w:sz w:val="24"/>
          <w:szCs w:val="20"/>
          <w:highlight w:val="none"/>
        </w:rPr>
      </w:pPr>
      <w:r>
        <w:rPr>
          <w:rFonts w:hint="eastAsia" w:ascii="宋体" w:hAnsi="宋体" w:eastAsia="宋体" w:cs="@仿宋_GB2312"/>
          <w:color w:val="auto"/>
          <w:sz w:val="24"/>
          <w:szCs w:val="20"/>
          <w:highlight w:val="none"/>
        </w:rPr>
        <w:t>2.4详细审查</w:t>
      </w:r>
    </w:p>
    <w:p w14:paraId="72139C68">
      <w:pPr>
        <w:spacing w:line="360" w:lineRule="auto"/>
        <w:ind w:firstLine="435"/>
        <w:rPr>
          <w:rFonts w:hint="eastAsia" w:ascii="宋体" w:hAnsi="宋体" w:eastAsia="宋体" w:cs="@仿宋_GB2312"/>
          <w:color w:val="auto"/>
          <w:sz w:val="24"/>
          <w:szCs w:val="20"/>
          <w:highlight w:val="none"/>
        </w:rPr>
      </w:pPr>
      <w:r>
        <w:rPr>
          <w:rFonts w:hint="eastAsia" w:ascii="宋体" w:hAnsi="宋体" w:eastAsia="宋体" w:cs="@仿宋_GB2312"/>
          <w:color w:val="auto"/>
          <w:sz w:val="24"/>
          <w:szCs w:val="20"/>
          <w:highlight w:val="none"/>
        </w:rPr>
        <w:t>2</w:t>
      </w:r>
      <w:r>
        <w:rPr>
          <w:rFonts w:ascii="宋体" w:hAnsi="宋体" w:eastAsia="宋体" w:cs="@仿宋_GB2312"/>
          <w:color w:val="auto"/>
          <w:sz w:val="24"/>
          <w:szCs w:val="20"/>
          <w:highlight w:val="none"/>
        </w:rPr>
        <w:t>.</w:t>
      </w:r>
      <w:r>
        <w:rPr>
          <w:rFonts w:hint="eastAsia" w:ascii="宋体" w:hAnsi="宋体" w:eastAsia="宋体" w:cs="@仿宋_GB2312"/>
          <w:color w:val="auto"/>
          <w:sz w:val="24"/>
          <w:szCs w:val="20"/>
          <w:highlight w:val="none"/>
        </w:rPr>
        <w:t>4</w:t>
      </w:r>
      <w:r>
        <w:rPr>
          <w:rFonts w:ascii="宋体" w:hAnsi="宋体" w:eastAsia="宋体" w:cs="@仿宋_GB2312"/>
          <w:color w:val="auto"/>
          <w:sz w:val="24"/>
          <w:szCs w:val="20"/>
          <w:highlight w:val="none"/>
        </w:rPr>
        <w:t>.1</w:t>
      </w:r>
      <w:r>
        <w:rPr>
          <w:rFonts w:hint="eastAsia" w:ascii="宋体" w:hAnsi="宋体" w:eastAsia="宋体" w:cs="@仿宋_GB2312"/>
          <w:color w:val="auto"/>
          <w:sz w:val="24"/>
          <w:szCs w:val="20"/>
          <w:highlight w:val="none"/>
        </w:rPr>
        <w:t>评标委员会按照下表对投标文件进行详细审查和评分。</w:t>
      </w:r>
    </w:p>
    <w:p w14:paraId="75643817">
      <w:pPr>
        <w:spacing w:line="360" w:lineRule="auto"/>
        <w:ind w:firstLine="435"/>
        <w:rPr>
          <w:rFonts w:ascii="宋体" w:hAnsi="宋体" w:eastAsia="宋体" w:cs="@仿宋_GB2312"/>
          <w:color w:val="auto"/>
          <w:sz w:val="24"/>
          <w:szCs w:val="20"/>
          <w:highlight w:val="none"/>
        </w:rPr>
      </w:pPr>
      <w:r>
        <w:rPr>
          <w:rFonts w:hint="eastAsia" w:ascii="宋体" w:hAnsi="宋体" w:eastAsia="宋体" w:cs="@仿宋_GB2312"/>
          <w:color w:val="auto"/>
          <w:sz w:val="24"/>
          <w:szCs w:val="20"/>
          <w:highlight w:val="none"/>
        </w:rPr>
        <w:t>2</w:t>
      </w:r>
      <w:r>
        <w:rPr>
          <w:rFonts w:ascii="宋体" w:hAnsi="宋体" w:eastAsia="宋体" w:cs="@仿宋_GB2312"/>
          <w:color w:val="auto"/>
          <w:sz w:val="24"/>
          <w:szCs w:val="20"/>
          <w:highlight w:val="none"/>
        </w:rPr>
        <w:t>.</w:t>
      </w:r>
      <w:r>
        <w:rPr>
          <w:rFonts w:hint="eastAsia" w:ascii="宋体" w:hAnsi="宋体" w:eastAsia="宋体" w:cs="@仿宋_GB2312"/>
          <w:color w:val="auto"/>
          <w:sz w:val="24"/>
          <w:szCs w:val="20"/>
          <w:highlight w:val="none"/>
        </w:rPr>
        <w:t>4</w:t>
      </w:r>
      <w:r>
        <w:rPr>
          <w:rFonts w:ascii="宋体" w:hAnsi="宋体" w:eastAsia="宋体" w:cs="@仿宋_GB2312"/>
          <w:color w:val="auto"/>
          <w:sz w:val="24"/>
          <w:szCs w:val="20"/>
          <w:highlight w:val="none"/>
        </w:rPr>
        <w:t>.2</w:t>
      </w:r>
      <w:r>
        <w:rPr>
          <w:rFonts w:hint="eastAsia" w:ascii="宋体" w:hAnsi="宋体" w:eastAsia="宋体" w:cs="@仿宋_GB2312"/>
          <w:color w:val="auto"/>
          <w:sz w:val="24"/>
          <w:szCs w:val="20"/>
          <w:highlight w:val="none"/>
        </w:rPr>
        <w:t>本项目综合评分满分为</w:t>
      </w:r>
      <w:r>
        <w:rPr>
          <w:rFonts w:hint="eastAsia" w:ascii="宋体" w:hAnsi="宋体" w:eastAsia="宋体" w:cs="@仿宋_GB2312"/>
          <w:color w:val="auto"/>
          <w:sz w:val="24"/>
          <w:szCs w:val="20"/>
          <w:highlight w:val="none"/>
          <w:u w:val="single"/>
        </w:rPr>
        <w:t>1</w:t>
      </w:r>
      <w:r>
        <w:rPr>
          <w:rFonts w:ascii="宋体" w:hAnsi="宋体" w:eastAsia="宋体" w:cs="@仿宋_GB2312"/>
          <w:color w:val="auto"/>
          <w:sz w:val="24"/>
          <w:szCs w:val="20"/>
          <w:highlight w:val="none"/>
          <w:u w:val="single"/>
        </w:rPr>
        <w:t>00</w:t>
      </w:r>
      <w:r>
        <w:rPr>
          <w:rFonts w:hint="eastAsia" w:ascii="宋体" w:hAnsi="宋体" w:eastAsia="宋体" w:cs="@仿宋_GB2312"/>
          <w:color w:val="auto"/>
          <w:sz w:val="24"/>
          <w:szCs w:val="20"/>
          <w:highlight w:val="none"/>
        </w:rPr>
        <w:t>分，其中：技术资信分值占总分值的权重为</w:t>
      </w:r>
      <w:r>
        <w:rPr>
          <w:rFonts w:hint="eastAsia" w:ascii="宋体" w:hAnsi="宋体" w:eastAsia="宋体" w:cs="@仿宋_GB2312"/>
          <w:color w:val="auto"/>
          <w:sz w:val="24"/>
          <w:szCs w:val="20"/>
          <w:highlight w:val="none"/>
          <w:u w:val="single"/>
        </w:rPr>
        <w:t>70</w:t>
      </w:r>
      <w:r>
        <w:rPr>
          <w:rFonts w:ascii="宋体" w:hAnsi="宋体" w:eastAsia="宋体" w:cs="@仿宋_GB2312"/>
          <w:color w:val="auto"/>
          <w:sz w:val="24"/>
          <w:szCs w:val="20"/>
          <w:highlight w:val="none"/>
        </w:rPr>
        <w:t>%，价格分值占总分值的权重为</w:t>
      </w:r>
      <w:r>
        <w:rPr>
          <w:rFonts w:hint="eastAsia" w:ascii="宋体" w:hAnsi="宋体" w:eastAsia="宋体" w:cs="@仿宋_GB2312"/>
          <w:color w:val="auto"/>
          <w:sz w:val="24"/>
          <w:szCs w:val="20"/>
          <w:highlight w:val="none"/>
          <w:u w:val="single"/>
        </w:rPr>
        <w:t>30</w:t>
      </w:r>
      <w:r>
        <w:rPr>
          <w:rFonts w:ascii="宋体" w:hAnsi="宋体" w:eastAsia="宋体" w:cs="@仿宋_GB2312"/>
          <w:color w:val="auto"/>
          <w:sz w:val="24"/>
          <w:szCs w:val="20"/>
          <w:highlight w:val="none"/>
        </w:rPr>
        <w:t>%。具体评分细则如下：</w:t>
      </w:r>
    </w:p>
    <w:p w14:paraId="4294D75F">
      <w:pPr>
        <w:spacing w:line="360" w:lineRule="auto"/>
        <w:ind w:firstLine="435"/>
        <w:jc w:val="center"/>
        <w:rPr>
          <w:rFonts w:hint="default" w:ascii="宋体" w:hAnsi="宋体" w:eastAsia="宋体" w:cs="@仿宋_GB2312"/>
          <w:b/>
          <w:bCs/>
          <w:color w:val="auto"/>
          <w:sz w:val="24"/>
          <w:szCs w:val="20"/>
          <w:highlight w:val="none"/>
          <w:lang w:val="en-US" w:eastAsia="zh-CN"/>
        </w:rPr>
      </w:pPr>
      <w:r>
        <w:rPr>
          <w:rFonts w:hint="eastAsia" w:ascii="宋体" w:hAnsi="宋体" w:eastAsia="宋体" w:cs="@仿宋_GB2312"/>
          <w:b/>
          <w:bCs/>
          <w:color w:val="auto"/>
          <w:sz w:val="24"/>
          <w:szCs w:val="20"/>
          <w:highlight w:val="none"/>
          <w:lang w:val="en-US" w:eastAsia="zh-CN"/>
        </w:rPr>
        <w:t>第1包详细评审标准</w:t>
      </w:r>
    </w:p>
    <w:tbl>
      <w:tblPr>
        <w:tblStyle w:val="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5"/>
        <w:gridCol w:w="1720"/>
        <w:gridCol w:w="3745"/>
        <w:gridCol w:w="1582"/>
      </w:tblGrid>
      <w:tr w14:paraId="361CC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65" w:type="pct"/>
            <w:tcBorders>
              <w:top w:val="single" w:color="auto" w:sz="4" w:space="0"/>
              <w:left w:val="single" w:color="auto" w:sz="4" w:space="0"/>
              <w:bottom w:val="single" w:color="auto" w:sz="4" w:space="0"/>
              <w:right w:val="single" w:color="auto" w:sz="4" w:space="0"/>
            </w:tcBorders>
            <w:vAlign w:val="center"/>
          </w:tcPr>
          <w:p w14:paraId="20C8C35E">
            <w:pPr>
              <w:spacing w:line="360" w:lineRule="auto"/>
              <w:jc w:val="center"/>
              <w:rPr>
                <w:rFonts w:hint="eastAsia" w:ascii="宋体" w:hAnsi="宋体" w:eastAsia="宋体" w:cs="@仿宋_GB2312"/>
                <w:b/>
                <w:bCs/>
                <w:color w:val="auto"/>
                <w:sz w:val="24"/>
                <w:szCs w:val="20"/>
                <w:highlight w:val="none"/>
              </w:rPr>
            </w:pPr>
            <w:r>
              <w:rPr>
                <w:rFonts w:hint="eastAsia" w:ascii="宋体" w:hAnsi="宋体" w:eastAsia="宋体" w:cs="@仿宋_GB2312"/>
                <w:b/>
                <w:bCs/>
                <w:color w:val="auto"/>
                <w:sz w:val="24"/>
                <w:szCs w:val="20"/>
                <w:highlight w:val="none"/>
              </w:rPr>
              <w:t>类别</w:t>
            </w:r>
          </w:p>
        </w:tc>
        <w:tc>
          <w:tcPr>
            <w:tcW w:w="1009" w:type="pct"/>
            <w:tcBorders>
              <w:top w:val="single" w:color="auto" w:sz="4" w:space="0"/>
              <w:left w:val="single" w:color="auto" w:sz="4" w:space="0"/>
              <w:bottom w:val="single" w:color="auto" w:sz="4" w:space="0"/>
              <w:right w:val="single" w:color="auto" w:sz="4" w:space="0"/>
            </w:tcBorders>
            <w:vAlign w:val="center"/>
          </w:tcPr>
          <w:p w14:paraId="50FBAE1C">
            <w:pPr>
              <w:spacing w:line="360" w:lineRule="auto"/>
              <w:jc w:val="center"/>
              <w:rPr>
                <w:rFonts w:hint="eastAsia" w:ascii="宋体" w:hAnsi="宋体" w:eastAsia="宋体" w:cs="@仿宋_GB2312"/>
                <w:b/>
                <w:bCs/>
                <w:color w:val="auto"/>
                <w:sz w:val="24"/>
                <w:szCs w:val="20"/>
                <w:highlight w:val="none"/>
              </w:rPr>
            </w:pPr>
            <w:r>
              <w:rPr>
                <w:rFonts w:hint="eastAsia" w:ascii="宋体" w:hAnsi="宋体" w:eastAsia="宋体" w:cs="@仿宋_GB2312"/>
                <w:b/>
                <w:bCs/>
                <w:color w:val="auto"/>
                <w:sz w:val="24"/>
                <w:szCs w:val="20"/>
                <w:highlight w:val="none"/>
              </w:rPr>
              <w:t>评分内容</w:t>
            </w:r>
          </w:p>
        </w:tc>
        <w:tc>
          <w:tcPr>
            <w:tcW w:w="2197" w:type="pct"/>
            <w:tcBorders>
              <w:top w:val="single" w:color="auto" w:sz="4" w:space="0"/>
              <w:left w:val="single" w:color="auto" w:sz="4" w:space="0"/>
              <w:bottom w:val="single" w:color="auto" w:sz="4" w:space="0"/>
              <w:right w:val="single" w:color="auto" w:sz="4" w:space="0"/>
            </w:tcBorders>
            <w:vAlign w:val="center"/>
          </w:tcPr>
          <w:p w14:paraId="62535484">
            <w:pPr>
              <w:spacing w:line="360" w:lineRule="auto"/>
              <w:jc w:val="center"/>
              <w:rPr>
                <w:rFonts w:hint="eastAsia" w:ascii="宋体" w:hAnsi="宋体" w:eastAsia="宋体" w:cs="@仿宋_GB2312"/>
                <w:b/>
                <w:bCs/>
                <w:color w:val="auto"/>
                <w:sz w:val="24"/>
                <w:szCs w:val="20"/>
                <w:highlight w:val="none"/>
              </w:rPr>
            </w:pPr>
            <w:r>
              <w:rPr>
                <w:rFonts w:hint="eastAsia" w:ascii="宋体" w:hAnsi="宋体" w:eastAsia="宋体" w:cs="@仿宋_GB2312"/>
                <w:b/>
                <w:bCs/>
                <w:color w:val="auto"/>
                <w:sz w:val="24"/>
                <w:szCs w:val="20"/>
                <w:highlight w:val="none"/>
              </w:rPr>
              <w:t>评分标准</w:t>
            </w:r>
          </w:p>
        </w:tc>
        <w:tc>
          <w:tcPr>
            <w:tcW w:w="928" w:type="pct"/>
            <w:tcBorders>
              <w:top w:val="single" w:color="auto" w:sz="4" w:space="0"/>
              <w:left w:val="single" w:color="auto" w:sz="4" w:space="0"/>
              <w:bottom w:val="single" w:color="auto" w:sz="4" w:space="0"/>
              <w:right w:val="single" w:color="auto" w:sz="4" w:space="0"/>
            </w:tcBorders>
            <w:vAlign w:val="center"/>
          </w:tcPr>
          <w:p w14:paraId="31DE3ED2">
            <w:pPr>
              <w:spacing w:line="360" w:lineRule="auto"/>
              <w:jc w:val="center"/>
              <w:rPr>
                <w:rFonts w:hint="eastAsia" w:ascii="宋体" w:hAnsi="宋体" w:eastAsia="宋体" w:cs="@仿宋_GB2312"/>
                <w:b/>
                <w:bCs/>
                <w:color w:val="auto"/>
                <w:sz w:val="24"/>
                <w:szCs w:val="20"/>
                <w:highlight w:val="none"/>
              </w:rPr>
            </w:pPr>
            <w:r>
              <w:rPr>
                <w:rFonts w:hint="eastAsia" w:ascii="宋体" w:hAnsi="宋体" w:eastAsia="宋体" w:cs="@仿宋_GB2312"/>
                <w:b/>
                <w:bCs/>
                <w:color w:val="auto"/>
                <w:sz w:val="24"/>
                <w:szCs w:val="20"/>
                <w:highlight w:val="none"/>
              </w:rPr>
              <w:t>分值范围</w:t>
            </w:r>
          </w:p>
        </w:tc>
      </w:tr>
      <w:tr w14:paraId="3C6AA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5" w:type="pct"/>
            <w:vMerge w:val="restart"/>
            <w:tcBorders>
              <w:top w:val="single" w:color="auto" w:sz="4" w:space="0"/>
              <w:left w:val="single" w:color="auto" w:sz="4" w:space="0"/>
              <w:right w:val="single" w:color="auto" w:sz="4" w:space="0"/>
            </w:tcBorders>
            <w:vAlign w:val="center"/>
          </w:tcPr>
          <w:p w14:paraId="087A3FBF">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技术资信分</w:t>
            </w:r>
          </w:p>
          <w:p w14:paraId="54EC344A">
            <w:pPr>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70</w:t>
            </w:r>
            <w:r>
              <w:rPr>
                <w:rFonts w:hint="eastAsia" w:ascii="宋体" w:hAnsi="宋体" w:eastAsia="宋体" w:cs="宋体"/>
                <w:color w:val="auto"/>
                <w:sz w:val="24"/>
                <w:szCs w:val="24"/>
                <w:highlight w:val="none"/>
              </w:rPr>
              <w:t>分）</w:t>
            </w:r>
          </w:p>
        </w:tc>
        <w:tc>
          <w:tcPr>
            <w:tcW w:w="1009" w:type="pct"/>
            <w:tcBorders>
              <w:top w:val="single" w:color="auto" w:sz="4" w:space="0"/>
              <w:left w:val="single" w:color="auto" w:sz="4" w:space="0"/>
              <w:bottom w:val="single" w:color="auto" w:sz="4" w:space="0"/>
              <w:right w:val="single" w:color="auto" w:sz="4" w:space="0"/>
            </w:tcBorders>
            <w:vAlign w:val="center"/>
          </w:tcPr>
          <w:p w14:paraId="049ED3AD">
            <w:pPr>
              <w:spacing w:line="360" w:lineRule="auto"/>
              <w:jc w:val="center"/>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满足货物</w:t>
            </w:r>
            <w:r>
              <w:rPr>
                <w:rFonts w:hint="eastAsia" w:ascii="宋体" w:hAnsi="宋体" w:eastAsia="宋体" w:cs="宋体"/>
                <w:bCs/>
                <w:color w:val="auto"/>
                <w:sz w:val="24"/>
                <w:szCs w:val="24"/>
                <w:highlight w:val="none"/>
              </w:rPr>
              <w:t>指标要求</w:t>
            </w:r>
            <w:r>
              <w:rPr>
                <w:rFonts w:hint="eastAsia" w:ascii="宋体" w:hAnsi="宋体" w:eastAsia="宋体" w:cs="宋体"/>
                <w:color w:val="auto"/>
                <w:sz w:val="24"/>
                <w:szCs w:val="24"/>
                <w:highlight w:val="none"/>
              </w:rPr>
              <w:t>情况</w:t>
            </w:r>
          </w:p>
        </w:tc>
        <w:tc>
          <w:tcPr>
            <w:tcW w:w="2197" w:type="pct"/>
            <w:tcBorders>
              <w:top w:val="single" w:color="auto" w:sz="4" w:space="0"/>
              <w:left w:val="single" w:color="auto" w:sz="4" w:space="0"/>
              <w:bottom w:val="single" w:color="auto" w:sz="4" w:space="0"/>
              <w:right w:val="single" w:color="auto" w:sz="4" w:space="0"/>
            </w:tcBorders>
            <w:vAlign w:val="center"/>
          </w:tcPr>
          <w:p w14:paraId="64DF1D91">
            <w:pPr>
              <w:keepNext w:val="0"/>
              <w:keepLines w:val="0"/>
              <w:pageBreakBefore w:val="0"/>
              <w:kinsoku/>
              <w:wordWrap/>
              <w:overflowPunct/>
              <w:topLinePunct w:val="0"/>
              <w:autoSpaceDE/>
              <w:autoSpaceDN/>
              <w:bidi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rPr>
              <w:t>■代表重要指标，每满足一项得</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3</w:t>
            </w:r>
            <w:r>
              <w:rPr>
                <w:rFonts w:hint="eastAsia" w:ascii="宋体" w:hAnsi="宋体" w:eastAsia="宋体" w:cs="宋体"/>
                <w:color w:val="auto"/>
                <w:sz w:val="24"/>
                <w:szCs w:val="24"/>
                <w:highlight w:val="none"/>
              </w:rPr>
              <w:t>分，共</w:t>
            </w:r>
            <w:r>
              <w:rPr>
                <w:rFonts w:hint="eastAsia" w:ascii="宋体" w:hAnsi="宋体" w:eastAsia="宋体" w:cs="宋体"/>
                <w:color w:val="auto"/>
                <w:sz w:val="24"/>
                <w:szCs w:val="24"/>
                <w:highlight w:val="none"/>
                <w:u w:val="single"/>
                <w:lang w:val="en-US" w:eastAsia="zh-CN"/>
              </w:rPr>
              <w:t xml:space="preserve"> 11</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项，共计</w:t>
            </w:r>
            <w:r>
              <w:rPr>
                <w:rFonts w:hint="eastAsia" w:ascii="宋体" w:hAnsi="宋体" w:eastAsia="宋体" w:cs="宋体"/>
                <w:color w:val="auto"/>
                <w:sz w:val="24"/>
                <w:szCs w:val="24"/>
                <w:highlight w:val="none"/>
                <w:u w:val="single"/>
                <w:lang w:val="en-US" w:eastAsia="zh-CN"/>
              </w:rPr>
              <w:t>33</w:t>
            </w:r>
            <w:r>
              <w:rPr>
                <w:rFonts w:hint="eastAsia" w:ascii="宋体" w:hAnsi="宋体" w:eastAsia="宋体" w:cs="宋体"/>
                <w:color w:val="auto"/>
                <w:sz w:val="24"/>
                <w:szCs w:val="24"/>
                <w:highlight w:val="none"/>
              </w:rPr>
              <w:t>分；</w:t>
            </w:r>
          </w:p>
          <w:p w14:paraId="202EF9D9">
            <w:pPr>
              <w:widowControl w:val="0"/>
              <w:spacing w:line="360" w:lineRule="auto"/>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2.●代表一般指标项，每满足一项得</w:t>
            </w:r>
            <w:r>
              <w:rPr>
                <w:rFonts w:hint="eastAsia" w:ascii="宋体" w:hAnsi="宋体" w:eastAsia="宋体" w:cs="宋体"/>
                <w:color w:val="auto"/>
                <w:kern w:val="2"/>
                <w:sz w:val="24"/>
                <w:szCs w:val="24"/>
                <w:highlight w:val="none"/>
                <w:u w:val="single"/>
                <w:lang w:val="en-US" w:eastAsia="zh-CN" w:bidi="ar-SA"/>
              </w:rPr>
              <w:t>1</w:t>
            </w:r>
            <w:r>
              <w:rPr>
                <w:rFonts w:hint="eastAsia" w:ascii="宋体" w:hAnsi="宋体" w:eastAsia="宋体" w:cs="宋体"/>
                <w:color w:val="auto"/>
                <w:kern w:val="2"/>
                <w:sz w:val="24"/>
                <w:szCs w:val="24"/>
                <w:highlight w:val="none"/>
                <w:lang w:val="en-US" w:eastAsia="zh-CN" w:bidi="ar-SA"/>
              </w:rPr>
              <w:t>分，共</w:t>
            </w:r>
            <w:r>
              <w:rPr>
                <w:rFonts w:hint="eastAsia" w:ascii="宋体" w:hAnsi="宋体" w:eastAsia="宋体" w:cs="宋体"/>
                <w:color w:val="auto"/>
                <w:kern w:val="2"/>
                <w:sz w:val="24"/>
                <w:szCs w:val="24"/>
                <w:highlight w:val="none"/>
                <w:u w:val="single"/>
                <w:lang w:val="en-US" w:eastAsia="zh-CN" w:bidi="ar-SA"/>
              </w:rPr>
              <w:t>17</w:t>
            </w:r>
            <w:r>
              <w:rPr>
                <w:rFonts w:hint="eastAsia" w:ascii="宋体" w:hAnsi="宋体" w:eastAsia="宋体" w:cs="宋体"/>
                <w:color w:val="auto"/>
                <w:kern w:val="2"/>
                <w:sz w:val="24"/>
                <w:szCs w:val="24"/>
                <w:highlight w:val="none"/>
                <w:lang w:val="en-US" w:eastAsia="zh-CN" w:bidi="ar-SA"/>
              </w:rPr>
              <w:t>项，共计</w:t>
            </w:r>
            <w:r>
              <w:rPr>
                <w:rFonts w:hint="eastAsia" w:ascii="宋体" w:hAnsi="宋体" w:eastAsia="宋体" w:cs="宋体"/>
                <w:color w:val="auto"/>
                <w:kern w:val="2"/>
                <w:sz w:val="24"/>
                <w:szCs w:val="24"/>
                <w:highlight w:val="none"/>
                <w:u w:val="single"/>
                <w:lang w:val="en-US" w:eastAsia="zh-CN" w:bidi="ar-SA"/>
              </w:rPr>
              <w:t>17</w:t>
            </w:r>
            <w:r>
              <w:rPr>
                <w:rFonts w:hint="eastAsia" w:ascii="宋体" w:hAnsi="宋体" w:eastAsia="宋体" w:cs="宋体"/>
                <w:color w:val="auto"/>
                <w:kern w:val="2"/>
                <w:sz w:val="24"/>
                <w:szCs w:val="24"/>
                <w:highlight w:val="none"/>
                <w:lang w:val="en-US" w:eastAsia="zh-CN" w:bidi="ar-SA"/>
              </w:rPr>
              <w:t>分。</w:t>
            </w:r>
          </w:p>
          <w:p w14:paraId="70D2C1F8">
            <w:pPr>
              <w:spacing w:line="360" w:lineRule="auto"/>
              <w:jc w:val="left"/>
              <w:rPr>
                <w:rFonts w:hint="eastAsia" w:ascii="宋体" w:hAnsi="宋体" w:eastAsia="宋体" w:cs="宋体"/>
                <w:bCs/>
                <w:color w:val="auto"/>
                <w:sz w:val="24"/>
                <w:szCs w:val="24"/>
                <w:highlight w:val="none"/>
              </w:rPr>
            </w:pPr>
            <w:r>
              <w:rPr>
                <w:rFonts w:hint="eastAsia" w:ascii="宋体" w:hAnsi="宋体" w:eastAsia="宋体" w:cs="宋体"/>
                <w:b/>
                <w:color w:val="auto"/>
                <w:kern w:val="0"/>
                <w:sz w:val="24"/>
                <w:szCs w:val="24"/>
                <w:highlight w:val="none"/>
                <w:lang w:bidi="ar"/>
              </w:rPr>
              <w:t>注：</w:t>
            </w:r>
            <w:r>
              <w:rPr>
                <w:rFonts w:hint="eastAsia" w:ascii="宋体" w:hAnsi="宋体" w:eastAsia="宋体" w:cs="宋体"/>
                <w:b/>
                <w:color w:val="auto"/>
                <w:sz w:val="24"/>
                <w:szCs w:val="24"/>
                <w:highlight w:val="none"/>
              </w:rPr>
              <w:t>以投标响应表及采购需求中要求提供的证明资料作为评审依据。</w:t>
            </w:r>
          </w:p>
        </w:tc>
        <w:tc>
          <w:tcPr>
            <w:tcW w:w="928" w:type="pct"/>
            <w:tcBorders>
              <w:top w:val="single" w:color="auto" w:sz="4" w:space="0"/>
              <w:left w:val="single" w:color="auto" w:sz="4" w:space="0"/>
              <w:bottom w:val="single" w:color="auto" w:sz="4" w:space="0"/>
              <w:right w:val="single" w:color="auto" w:sz="4" w:space="0"/>
            </w:tcBorders>
            <w:vAlign w:val="center"/>
          </w:tcPr>
          <w:p w14:paraId="55C68860">
            <w:pPr>
              <w:spacing w:line="360" w:lineRule="auto"/>
              <w:jc w:val="center"/>
              <w:rPr>
                <w:rFonts w:hint="eastAsia" w:ascii="宋体" w:hAnsi="宋体" w:eastAsia="宋体" w:cs="宋体"/>
                <w:b/>
                <w:bCs/>
                <w:color w:val="auto"/>
                <w:sz w:val="24"/>
                <w:szCs w:val="24"/>
                <w:highlight w:val="none"/>
                <w:u w:val="none"/>
              </w:rPr>
            </w:pPr>
            <w:r>
              <w:rPr>
                <w:rFonts w:hint="eastAsia" w:ascii="宋体" w:hAnsi="宋体" w:eastAsia="宋体" w:cs="宋体"/>
                <w:color w:val="auto"/>
                <w:sz w:val="24"/>
                <w:szCs w:val="24"/>
                <w:highlight w:val="none"/>
                <w:u w:val="none"/>
              </w:rPr>
              <w:t>0-</w:t>
            </w:r>
            <w:r>
              <w:rPr>
                <w:rFonts w:hint="eastAsia" w:ascii="宋体" w:hAnsi="宋体" w:eastAsia="宋体" w:cs="宋体"/>
                <w:color w:val="auto"/>
                <w:sz w:val="24"/>
                <w:szCs w:val="24"/>
                <w:highlight w:val="none"/>
                <w:u w:val="none"/>
                <w:lang w:val="en-US" w:eastAsia="zh-CN"/>
              </w:rPr>
              <w:t>50</w:t>
            </w:r>
            <w:r>
              <w:rPr>
                <w:rFonts w:hint="eastAsia" w:ascii="宋体" w:hAnsi="宋体" w:eastAsia="宋体" w:cs="宋体"/>
                <w:color w:val="auto"/>
                <w:sz w:val="24"/>
                <w:szCs w:val="24"/>
                <w:highlight w:val="none"/>
                <w:u w:val="none"/>
              </w:rPr>
              <w:t>分</w:t>
            </w:r>
          </w:p>
        </w:tc>
      </w:tr>
      <w:tr w14:paraId="618E0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5" w:type="pct"/>
            <w:vMerge w:val="continue"/>
            <w:tcBorders>
              <w:left w:val="single" w:color="auto" w:sz="4" w:space="0"/>
              <w:right w:val="single" w:color="auto" w:sz="4" w:space="0"/>
            </w:tcBorders>
            <w:vAlign w:val="center"/>
          </w:tcPr>
          <w:p w14:paraId="61C51795">
            <w:pPr>
              <w:spacing w:line="360" w:lineRule="auto"/>
              <w:ind w:firstLine="435"/>
              <w:jc w:val="center"/>
              <w:rPr>
                <w:rFonts w:hint="eastAsia" w:ascii="宋体" w:hAnsi="宋体" w:eastAsia="宋体" w:cs="宋体"/>
                <w:b/>
                <w:bCs/>
                <w:color w:val="auto"/>
                <w:sz w:val="24"/>
                <w:szCs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5FA7139A">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产品综合评价</w:t>
            </w:r>
          </w:p>
        </w:tc>
        <w:tc>
          <w:tcPr>
            <w:tcW w:w="2197" w:type="pct"/>
            <w:tcBorders>
              <w:top w:val="single" w:color="auto" w:sz="4" w:space="0"/>
              <w:left w:val="single" w:color="auto" w:sz="4" w:space="0"/>
              <w:bottom w:val="single" w:color="auto" w:sz="4" w:space="0"/>
              <w:right w:val="single" w:color="auto" w:sz="4" w:space="0"/>
            </w:tcBorders>
            <w:vAlign w:val="center"/>
          </w:tcPr>
          <w:p w14:paraId="5A610C27">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投标人对所投产品运行稳定性、故障率、安全性进行阐述，评委会进行综合评审： </w:t>
            </w:r>
          </w:p>
          <w:p w14:paraId="4E8DDF53">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（1）所投产品运行稳定、无故障率、安全性高的，得4分； </w:t>
            </w:r>
          </w:p>
          <w:p w14:paraId="60AAD6F6">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（2）所投产品运行稳定、无故障率、安全性较高的，得3分； </w:t>
            </w:r>
          </w:p>
          <w:p w14:paraId="118D24AF">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（3）所投产品运行基本稳定、故障率低、安全性基本满足项目需求的，得2分。</w:t>
            </w:r>
          </w:p>
          <w:p w14:paraId="094F3313">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（4）未提供的不得分。</w:t>
            </w:r>
          </w:p>
        </w:tc>
        <w:tc>
          <w:tcPr>
            <w:tcW w:w="928" w:type="pct"/>
            <w:tcBorders>
              <w:top w:val="single" w:color="auto" w:sz="4" w:space="0"/>
              <w:left w:val="single" w:color="auto" w:sz="4" w:space="0"/>
              <w:bottom w:val="single" w:color="auto" w:sz="4" w:space="0"/>
              <w:right w:val="single" w:color="auto" w:sz="4" w:space="0"/>
            </w:tcBorders>
            <w:vAlign w:val="center"/>
          </w:tcPr>
          <w:p w14:paraId="5A85FED4">
            <w:pPr>
              <w:spacing w:line="360" w:lineRule="auto"/>
              <w:jc w:val="center"/>
              <w:rPr>
                <w:rFonts w:hint="eastAsia" w:ascii="宋体" w:hAnsi="宋体" w:eastAsia="宋体" w:cs="宋体"/>
                <w:b/>
                <w:bCs/>
                <w:color w:val="auto"/>
                <w:sz w:val="24"/>
                <w:szCs w:val="24"/>
                <w:highlight w:val="none"/>
                <w:u w:val="none"/>
              </w:rPr>
            </w:pPr>
            <w:r>
              <w:rPr>
                <w:rFonts w:hint="eastAsia" w:ascii="宋体" w:hAnsi="宋体" w:eastAsia="宋体" w:cs="宋体"/>
                <w:color w:val="auto"/>
                <w:sz w:val="24"/>
                <w:szCs w:val="24"/>
                <w:highlight w:val="none"/>
                <w:u w:val="none"/>
              </w:rPr>
              <w:t>0-</w:t>
            </w:r>
            <w:r>
              <w:rPr>
                <w:rFonts w:hint="eastAsia" w:ascii="宋体" w:hAnsi="宋体" w:eastAsia="宋体" w:cs="宋体"/>
                <w:color w:val="auto"/>
                <w:sz w:val="24"/>
                <w:szCs w:val="24"/>
                <w:highlight w:val="none"/>
                <w:u w:val="none"/>
                <w:lang w:val="en-US" w:eastAsia="zh-CN"/>
              </w:rPr>
              <w:t>4</w:t>
            </w:r>
            <w:r>
              <w:rPr>
                <w:rFonts w:hint="eastAsia" w:ascii="宋体" w:hAnsi="宋体" w:eastAsia="宋体" w:cs="宋体"/>
                <w:color w:val="auto"/>
                <w:sz w:val="24"/>
                <w:szCs w:val="24"/>
                <w:highlight w:val="none"/>
                <w:u w:val="none"/>
              </w:rPr>
              <w:t>分</w:t>
            </w:r>
          </w:p>
        </w:tc>
      </w:tr>
      <w:tr w14:paraId="53EAA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5" w:type="pct"/>
            <w:vMerge w:val="continue"/>
            <w:tcBorders>
              <w:left w:val="single" w:color="auto" w:sz="4" w:space="0"/>
              <w:right w:val="single" w:color="auto" w:sz="4" w:space="0"/>
            </w:tcBorders>
            <w:vAlign w:val="center"/>
          </w:tcPr>
          <w:p w14:paraId="1FC766BC">
            <w:pPr>
              <w:spacing w:line="360" w:lineRule="auto"/>
              <w:ind w:firstLine="435"/>
              <w:jc w:val="center"/>
              <w:rPr>
                <w:rFonts w:hint="eastAsia" w:ascii="宋体" w:hAnsi="宋体" w:eastAsia="宋体" w:cs="宋体"/>
                <w:b/>
                <w:bCs/>
                <w:color w:val="auto"/>
                <w:sz w:val="24"/>
                <w:szCs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1A4F9D93">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项目质量保 </w:t>
            </w:r>
          </w:p>
          <w:p w14:paraId="5F710B81">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障措施</w:t>
            </w:r>
          </w:p>
          <w:p w14:paraId="24D8CFB9">
            <w:pPr>
              <w:spacing w:line="360" w:lineRule="auto"/>
              <w:jc w:val="center"/>
              <w:rPr>
                <w:rFonts w:hint="eastAsia" w:ascii="宋体" w:hAnsi="宋体" w:eastAsia="宋体" w:cs="宋体"/>
                <w:color w:val="auto"/>
                <w:sz w:val="24"/>
                <w:szCs w:val="24"/>
                <w:highlight w:val="none"/>
              </w:rPr>
            </w:pPr>
          </w:p>
        </w:tc>
        <w:tc>
          <w:tcPr>
            <w:tcW w:w="2197" w:type="pct"/>
            <w:tcBorders>
              <w:top w:val="single" w:color="auto" w:sz="4" w:space="0"/>
              <w:left w:val="single" w:color="auto" w:sz="4" w:space="0"/>
              <w:bottom w:val="single" w:color="auto" w:sz="4" w:space="0"/>
              <w:right w:val="single" w:color="auto" w:sz="4" w:space="0"/>
            </w:tcBorders>
            <w:vAlign w:val="center"/>
          </w:tcPr>
          <w:p w14:paraId="4472D003">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由评标委员会根据投标人提供的项目质量保障措施进行综合评分：</w:t>
            </w:r>
          </w:p>
          <w:p w14:paraId="546DA824">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1.项目质量保证措施完善、服务高效、有具体切实可行的保障措施，工作思路清晰，得5分； </w:t>
            </w:r>
          </w:p>
          <w:p w14:paraId="6587ABEA">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2.项目质量保证措施完整、服务效率较高、有保障措施，工作思路较为清晰的，得3分； </w:t>
            </w:r>
          </w:p>
          <w:p w14:paraId="5DE95434">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3.项目质量保证措施有待进一步提升的，得1分； </w:t>
            </w:r>
          </w:p>
          <w:p w14:paraId="28F74153">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4.方案不可行或者未提供的不得分。</w:t>
            </w:r>
          </w:p>
        </w:tc>
        <w:tc>
          <w:tcPr>
            <w:tcW w:w="928" w:type="pct"/>
            <w:tcBorders>
              <w:top w:val="single" w:color="auto" w:sz="4" w:space="0"/>
              <w:left w:val="single" w:color="auto" w:sz="4" w:space="0"/>
              <w:bottom w:val="single" w:color="auto" w:sz="4" w:space="0"/>
              <w:right w:val="single" w:color="auto" w:sz="4" w:space="0"/>
            </w:tcBorders>
            <w:vAlign w:val="center"/>
          </w:tcPr>
          <w:p w14:paraId="46981857">
            <w:pPr>
              <w:spacing w:line="360" w:lineRule="auto"/>
              <w:jc w:val="center"/>
              <w:rPr>
                <w:rFonts w:hint="eastAsia" w:ascii="宋体" w:hAnsi="宋体" w:eastAsia="宋体" w:cs="宋体"/>
                <w:b/>
                <w:bCs/>
                <w:color w:val="auto"/>
                <w:sz w:val="24"/>
                <w:szCs w:val="24"/>
                <w:highlight w:val="none"/>
                <w:u w:val="none"/>
              </w:rPr>
            </w:pPr>
            <w:r>
              <w:rPr>
                <w:rFonts w:hint="eastAsia" w:ascii="宋体" w:hAnsi="宋体" w:eastAsia="宋体" w:cs="宋体"/>
                <w:color w:val="auto"/>
                <w:sz w:val="24"/>
                <w:szCs w:val="24"/>
                <w:highlight w:val="none"/>
                <w:u w:val="none"/>
              </w:rPr>
              <w:t>0-</w:t>
            </w:r>
            <w:r>
              <w:rPr>
                <w:rFonts w:hint="eastAsia" w:ascii="宋体" w:hAnsi="宋体" w:eastAsia="宋体" w:cs="宋体"/>
                <w:color w:val="auto"/>
                <w:sz w:val="24"/>
                <w:szCs w:val="24"/>
                <w:highlight w:val="none"/>
                <w:u w:val="none"/>
                <w:lang w:val="en-US" w:eastAsia="zh-CN"/>
              </w:rPr>
              <w:t>5</w:t>
            </w:r>
            <w:r>
              <w:rPr>
                <w:rFonts w:hint="eastAsia" w:ascii="宋体" w:hAnsi="宋体" w:eastAsia="宋体" w:cs="宋体"/>
                <w:color w:val="auto"/>
                <w:sz w:val="24"/>
                <w:szCs w:val="24"/>
                <w:highlight w:val="none"/>
                <w:u w:val="none"/>
              </w:rPr>
              <w:t>分</w:t>
            </w:r>
          </w:p>
        </w:tc>
      </w:tr>
      <w:tr w14:paraId="5B0C0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5" w:type="pct"/>
            <w:vMerge w:val="continue"/>
            <w:tcBorders>
              <w:left w:val="single" w:color="auto" w:sz="4" w:space="0"/>
              <w:right w:val="single" w:color="auto" w:sz="4" w:space="0"/>
            </w:tcBorders>
            <w:vAlign w:val="center"/>
          </w:tcPr>
          <w:p w14:paraId="6B516AF6">
            <w:pPr>
              <w:spacing w:line="360" w:lineRule="auto"/>
              <w:ind w:firstLine="435"/>
              <w:jc w:val="center"/>
              <w:rPr>
                <w:rFonts w:hint="eastAsia" w:ascii="宋体" w:hAnsi="宋体" w:eastAsia="宋体" w:cs="宋体"/>
                <w:b/>
                <w:bCs/>
                <w:color w:val="auto"/>
                <w:sz w:val="24"/>
                <w:szCs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2D8155FB">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供货安装（调试）方案</w:t>
            </w:r>
          </w:p>
        </w:tc>
        <w:tc>
          <w:tcPr>
            <w:tcW w:w="2197" w:type="pct"/>
            <w:tcBorders>
              <w:top w:val="single" w:color="auto" w:sz="4" w:space="0"/>
              <w:left w:val="single" w:color="auto" w:sz="4" w:space="0"/>
              <w:bottom w:val="single" w:color="auto" w:sz="4" w:space="0"/>
              <w:right w:val="single" w:color="auto" w:sz="4" w:space="0"/>
            </w:tcBorders>
            <w:vAlign w:val="center"/>
          </w:tcPr>
          <w:p w14:paraId="5DB2997B">
            <w:p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评标委员会组根据投标人提供的供货安装（调试）方案</w:t>
            </w:r>
            <w:r>
              <w:rPr>
                <w:rFonts w:hint="eastAsia" w:ascii="宋体" w:hAnsi="宋体" w:eastAsia="宋体" w:cs="宋体"/>
                <w:color w:val="auto"/>
                <w:sz w:val="24"/>
                <w:szCs w:val="24"/>
                <w:highlight w:val="none"/>
                <w:lang w:eastAsia="zh-CN"/>
              </w:rPr>
              <w:t>包括但不限于</w:t>
            </w:r>
            <w:r>
              <w:rPr>
                <w:rFonts w:hint="eastAsia" w:ascii="宋体" w:hAnsi="宋体" w:eastAsia="宋体" w:cs="宋体"/>
                <w:color w:val="auto"/>
                <w:sz w:val="24"/>
                <w:szCs w:val="24"/>
                <w:highlight w:val="none"/>
              </w:rPr>
              <w:t>供货计划、实施方案、设备验收方案等情况由评标委员会进行综合评分：</w:t>
            </w:r>
          </w:p>
          <w:p w14:paraId="129F6C50">
            <w:p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1.此项方案措施描述详细完善、考虑周全、完全能够满足采购需要的得</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分；</w:t>
            </w:r>
          </w:p>
          <w:p w14:paraId="199D28EC">
            <w:p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2.方案措施内容基本完整，可以满足采购需要，得</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分；</w:t>
            </w:r>
          </w:p>
          <w:p w14:paraId="336C57AE">
            <w:p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3.方案措施有缺陷，仅部分满足采购需要，需要进一步完善的得</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分；</w:t>
            </w:r>
          </w:p>
          <w:p w14:paraId="68E7CF8A">
            <w:p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4.差或未提供不得分。</w:t>
            </w:r>
          </w:p>
        </w:tc>
        <w:tc>
          <w:tcPr>
            <w:tcW w:w="928" w:type="pct"/>
            <w:tcBorders>
              <w:top w:val="single" w:color="auto" w:sz="4" w:space="0"/>
              <w:left w:val="single" w:color="auto" w:sz="4" w:space="0"/>
              <w:bottom w:val="single" w:color="auto" w:sz="4" w:space="0"/>
              <w:right w:val="single" w:color="auto" w:sz="4" w:space="0"/>
            </w:tcBorders>
            <w:vAlign w:val="center"/>
          </w:tcPr>
          <w:p w14:paraId="7287B3DD">
            <w:pPr>
              <w:spacing w:line="360" w:lineRule="auto"/>
              <w:jc w:val="center"/>
              <w:rPr>
                <w:rFonts w:hint="eastAsia" w:ascii="宋体" w:hAnsi="宋体" w:eastAsia="宋体" w:cs="宋体"/>
                <w:b/>
                <w:bCs/>
                <w:color w:val="auto"/>
                <w:sz w:val="24"/>
                <w:szCs w:val="24"/>
                <w:highlight w:val="none"/>
                <w:u w:val="none"/>
              </w:rPr>
            </w:pPr>
            <w:r>
              <w:rPr>
                <w:rFonts w:hint="eastAsia" w:ascii="宋体" w:hAnsi="宋体" w:eastAsia="宋体" w:cs="宋体"/>
                <w:color w:val="auto"/>
                <w:sz w:val="24"/>
                <w:szCs w:val="24"/>
                <w:highlight w:val="none"/>
                <w:u w:val="none"/>
              </w:rPr>
              <w:t>0-</w:t>
            </w:r>
            <w:r>
              <w:rPr>
                <w:rFonts w:hint="eastAsia" w:ascii="宋体" w:hAnsi="宋体" w:eastAsia="宋体" w:cs="宋体"/>
                <w:color w:val="auto"/>
                <w:sz w:val="24"/>
                <w:szCs w:val="24"/>
                <w:highlight w:val="none"/>
                <w:u w:val="none"/>
                <w:lang w:val="en-US" w:eastAsia="zh-CN"/>
              </w:rPr>
              <w:t>5</w:t>
            </w:r>
            <w:r>
              <w:rPr>
                <w:rFonts w:hint="eastAsia" w:ascii="宋体" w:hAnsi="宋体" w:eastAsia="宋体" w:cs="宋体"/>
                <w:color w:val="auto"/>
                <w:sz w:val="24"/>
                <w:szCs w:val="24"/>
                <w:highlight w:val="none"/>
                <w:u w:val="none"/>
              </w:rPr>
              <w:t>分</w:t>
            </w:r>
          </w:p>
        </w:tc>
      </w:tr>
      <w:tr w14:paraId="09DCB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5" w:type="pct"/>
            <w:vMerge w:val="continue"/>
            <w:tcBorders>
              <w:left w:val="single" w:color="auto" w:sz="4" w:space="0"/>
              <w:right w:val="single" w:color="auto" w:sz="4" w:space="0"/>
            </w:tcBorders>
            <w:vAlign w:val="center"/>
          </w:tcPr>
          <w:p w14:paraId="77FC2CB6">
            <w:pPr>
              <w:spacing w:line="360" w:lineRule="auto"/>
              <w:ind w:firstLine="435"/>
              <w:jc w:val="center"/>
              <w:rPr>
                <w:rFonts w:hint="eastAsia" w:ascii="宋体" w:hAnsi="宋体" w:eastAsia="宋体" w:cs="宋体"/>
                <w:b/>
                <w:bCs/>
                <w:color w:val="auto"/>
                <w:sz w:val="24"/>
                <w:szCs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204C3C41">
            <w:pPr>
              <w:keepNext w:val="0"/>
              <w:keepLines w:val="0"/>
              <w:widowControl/>
              <w:suppressLineNumbers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核心产品业绩</w:t>
            </w:r>
          </w:p>
        </w:tc>
        <w:tc>
          <w:tcPr>
            <w:tcW w:w="2197" w:type="pct"/>
            <w:tcBorders>
              <w:top w:val="single" w:color="auto" w:sz="4" w:space="0"/>
              <w:left w:val="single" w:color="auto" w:sz="4" w:space="0"/>
              <w:bottom w:val="single" w:color="auto" w:sz="4" w:space="0"/>
              <w:right w:val="single" w:color="auto" w:sz="4" w:space="0"/>
            </w:tcBorders>
            <w:vAlign w:val="center"/>
          </w:tcPr>
          <w:p w14:paraId="0E23204B">
            <w:pPr>
              <w:keepNext w:val="0"/>
              <w:keepLines w:val="0"/>
              <w:widowControl/>
              <w:suppressLineNumbers w:val="0"/>
              <w:spacing w:line="360" w:lineRule="auto"/>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2023年1月1日以来（以合同签订时间为准），所投核心产品具有供货业绩的（业绩中产品须与本次所投标注▲产品同品牌可不同型号），每提供1个业绩得2分，满分得6分。</w:t>
            </w:r>
          </w:p>
          <w:p w14:paraId="433E57E0">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注：此业绩指同品牌的产品业绩</w:t>
            </w:r>
            <w:r>
              <w:rPr>
                <w:rFonts w:hint="eastAsia" w:ascii="宋体" w:hAnsi="宋体" w:eastAsia="宋体" w:cs="宋体"/>
                <w:b/>
                <w:color w:val="auto"/>
                <w:sz w:val="24"/>
                <w:szCs w:val="24"/>
                <w:highlight w:val="none"/>
                <w:lang w:eastAsia="zh-CN"/>
              </w:rPr>
              <w:t>，</w:t>
            </w:r>
            <w:r>
              <w:rPr>
                <w:rFonts w:hint="eastAsia" w:ascii="宋体" w:hAnsi="宋体" w:eastAsia="宋体" w:cs="宋体"/>
                <w:b/>
                <w:bCs/>
                <w:color w:val="auto"/>
                <w:sz w:val="24"/>
                <w:szCs w:val="24"/>
                <w:highlight w:val="none"/>
              </w:rPr>
              <w:t>不限定合同主体，但供货合同甲乙双方不可是经销商之间或生产商与经销商之间的供货合同。提供业绩合同放入投标文件，若合同中无法体现签订时间、供货内容等关键评审因素的，须另附业主（合同甲方）盖章的证明材料。</w:t>
            </w:r>
          </w:p>
        </w:tc>
        <w:tc>
          <w:tcPr>
            <w:tcW w:w="928" w:type="pct"/>
            <w:tcBorders>
              <w:top w:val="single" w:color="auto" w:sz="4" w:space="0"/>
              <w:left w:val="single" w:color="auto" w:sz="4" w:space="0"/>
              <w:bottom w:val="single" w:color="auto" w:sz="4" w:space="0"/>
              <w:right w:val="single" w:color="auto" w:sz="4" w:space="0"/>
            </w:tcBorders>
            <w:vAlign w:val="center"/>
          </w:tcPr>
          <w:p w14:paraId="34FDDB8E">
            <w:pPr>
              <w:spacing w:line="360" w:lineRule="auto"/>
              <w:jc w:val="center"/>
              <w:rPr>
                <w:rFonts w:hint="eastAsia" w:ascii="宋体" w:hAnsi="宋体" w:eastAsia="宋体" w:cs="宋体"/>
                <w:b/>
                <w:bCs/>
                <w:color w:val="auto"/>
                <w:sz w:val="24"/>
                <w:szCs w:val="24"/>
                <w:highlight w:val="none"/>
                <w:u w:val="none"/>
              </w:rPr>
            </w:pPr>
            <w:r>
              <w:rPr>
                <w:rFonts w:hint="eastAsia" w:ascii="宋体" w:hAnsi="宋体" w:eastAsia="宋体" w:cs="宋体"/>
                <w:color w:val="auto"/>
                <w:kern w:val="0"/>
                <w:sz w:val="24"/>
                <w:szCs w:val="24"/>
                <w:highlight w:val="none"/>
                <w:u w:val="none"/>
                <w:lang w:val="en-US" w:eastAsia="zh-CN" w:bidi="ar"/>
              </w:rPr>
              <w:t>0-6分</w:t>
            </w:r>
          </w:p>
        </w:tc>
      </w:tr>
      <w:tr w14:paraId="595D4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5" w:type="pct"/>
            <w:tcBorders>
              <w:left w:val="single" w:color="auto" w:sz="4" w:space="0"/>
              <w:right w:val="single" w:color="auto" w:sz="4" w:space="0"/>
            </w:tcBorders>
            <w:vAlign w:val="center"/>
          </w:tcPr>
          <w:p w14:paraId="73E674DE">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价格分</w:t>
            </w:r>
          </w:p>
          <w:p w14:paraId="6B1E6C4C">
            <w:pPr>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30</w:t>
            </w:r>
            <w:r>
              <w:rPr>
                <w:rFonts w:hint="eastAsia" w:ascii="宋体" w:hAnsi="宋体" w:eastAsia="宋体" w:cs="宋体"/>
                <w:color w:val="auto"/>
                <w:sz w:val="24"/>
                <w:szCs w:val="24"/>
                <w:highlight w:val="none"/>
              </w:rPr>
              <w:t>分）</w:t>
            </w:r>
          </w:p>
        </w:tc>
        <w:tc>
          <w:tcPr>
            <w:tcW w:w="4134" w:type="pct"/>
            <w:gridSpan w:val="3"/>
            <w:tcBorders>
              <w:top w:val="single" w:color="auto" w:sz="4" w:space="0"/>
              <w:left w:val="single" w:color="auto" w:sz="4" w:space="0"/>
              <w:bottom w:val="single" w:color="auto" w:sz="4" w:space="0"/>
              <w:right w:val="single" w:color="auto" w:sz="4" w:space="0"/>
            </w:tcBorders>
            <w:vAlign w:val="center"/>
          </w:tcPr>
          <w:p w14:paraId="092D7EFF">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价格分统一采用低价优先法，即满足招标文件要求且投标价格最低的投标报价为评标基准价，其价格分为满分</w:t>
            </w:r>
            <w:r>
              <w:rPr>
                <w:rFonts w:hint="eastAsia" w:ascii="宋体" w:hAnsi="宋体" w:eastAsia="宋体" w:cs="宋体"/>
                <w:color w:val="auto"/>
                <w:sz w:val="24"/>
                <w:szCs w:val="24"/>
                <w:highlight w:val="none"/>
                <w:u w:val="single"/>
              </w:rPr>
              <w:t>30</w:t>
            </w:r>
            <w:r>
              <w:rPr>
                <w:rFonts w:hint="eastAsia" w:ascii="宋体" w:hAnsi="宋体" w:eastAsia="宋体" w:cs="宋体"/>
                <w:color w:val="auto"/>
                <w:sz w:val="24"/>
                <w:szCs w:val="24"/>
                <w:highlight w:val="none"/>
              </w:rPr>
              <w:t>分。其他投标人的价格分统一按照下列公式计算：</w:t>
            </w:r>
          </w:p>
          <w:p w14:paraId="316DB8F5">
            <w:pPr>
              <w:spacing w:line="360" w:lineRule="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投标报价得分＝（评标基准价/投标报价）×</w:t>
            </w:r>
            <w:r>
              <w:rPr>
                <w:rFonts w:hint="eastAsia" w:ascii="宋体" w:hAnsi="宋体" w:eastAsia="宋体" w:cs="宋体"/>
                <w:color w:val="auto"/>
                <w:sz w:val="24"/>
                <w:szCs w:val="24"/>
                <w:highlight w:val="none"/>
                <w:u w:val="single"/>
              </w:rPr>
              <w:t>30</w:t>
            </w:r>
            <w:r>
              <w:rPr>
                <w:rFonts w:hint="eastAsia" w:ascii="宋体" w:hAnsi="宋体" w:eastAsia="宋体" w:cs="宋体"/>
                <w:color w:val="auto"/>
                <w:sz w:val="24"/>
                <w:szCs w:val="24"/>
                <w:highlight w:val="none"/>
              </w:rPr>
              <w:t>％×100</w:t>
            </w:r>
          </w:p>
        </w:tc>
      </w:tr>
    </w:tbl>
    <w:p w14:paraId="77C60B06">
      <w:pPr>
        <w:rPr>
          <w:rFonts w:hint="eastAsia" w:ascii="宋体" w:hAnsi="宋体" w:eastAsia="宋体" w:cs="@仿宋_GB2312"/>
          <w:b/>
          <w:bCs/>
          <w:color w:val="auto"/>
          <w:sz w:val="24"/>
          <w:szCs w:val="20"/>
          <w:highlight w:val="none"/>
          <w:lang w:val="en-US" w:eastAsia="zh-CN"/>
        </w:rPr>
      </w:pPr>
      <w:r>
        <w:rPr>
          <w:rFonts w:hint="eastAsia" w:ascii="宋体" w:hAnsi="宋体" w:eastAsia="宋体" w:cs="@仿宋_GB2312"/>
          <w:b/>
          <w:bCs/>
          <w:color w:val="auto"/>
          <w:sz w:val="24"/>
          <w:szCs w:val="20"/>
          <w:highlight w:val="none"/>
          <w:lang w:val="en-US" w:eastAsia="zh-CN"/>
        </w:rPr>
        <w:br w:type="page"/>
      </w:r>
    </w:p>
    <w:p w14:paraId="06FE2931">
      <w:pPr>
        <w:spacing w:line="360" w:lineRule="auto"/>
        <w:ind w:firstLine="435"/>
        <w:jc w:val="center"/>
        <w:rPr>
          <w:rFonts w:hint="eastAsia" w:ascii="宋体" w:hAnsi="宋体" w:eastAsia="宋体" w:cs="@仿宋_GB2312"/>
          <w:b/>
          <w:bCs/>
          <w:color w:val="auto"/>
          <w:sz w:val="24"/>
          <w:szCs w:val="20"/>
          <w:highlight w:val="none"/>
          <w:lang w:val="en-US" w:eastAsia="zh-CN"/>
        </w:rPr>
      </w:pPr>
      <w:r>
        <w:rPr>
          <w:rFonts w:hint="eastAsia" w:ascii="宋体" w:hAnsi="宋体" w:eastAsia="宋体" w:cs="@仿宋_GB2312"/>
          <w:b/>
          <w:bCs/>
          <w:color w:val="auto"/>
          <w:sz w:val="24"/>
          <w:szCs w:val="20"/>
          <w:highlight w:val="none"/>
          <w:lang w:val="en-US" w:eastAsia="zh-CN"/>
        </w:rPr>
        <w:t>第2包详细评审标准</w:t>
      </w:r>
    </w:p>
    <w:tbl>
      <w:tblPr>
        <w:tblStyle w:val="2"/>
        <w:tblW w:w="553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64"/>
        <w:gridCol w:w="1618"/>
        <w:gridCol w:w="4964"/>
        <w:gridCol w:w="1390"/>
      </w:tblGrid>
      <w:tr w14:paraId="62C2A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76" w:type="pct"/>
            <w:tcBorders>
              <w:top w:val="single" w:color="auto" w:sz="4" w:space="0"/>
              <w:left w:val="single" w:color="auto" w:sz="4" w:space="0"/>
              <w:bottom w:val="single" w:color="auto" w:sz="4" w:space="0"/>
              <w:right w:val="single" w:color="auto" w:sz="4" w:space="0"/>
            </w:tcBorders>
            <w:vAlign w:val="center"/>
          </w:tcPr>
          <w:p w14:paraId="645F316E">
            <w:pPr>
              <w:spacing w:line="360" w:lineRule="auto"/>
              <w:jc w:val="center"/>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类别</w:t>
            </w:r>
          </w:p>
        </w:tc>
        <w:tc>
          <w:tcPr>
            <w:tcW w:w="857" w:type="pct"/>
            <w:tcBorders>
              <w:top w:val="single" w:color="auto" w:sz="4" w:space="0"/>
              <w:left w:val="single" w:color="auto" w:sz="4" w:space="0"/>
              <w:bottom w:val="single" w:color="auto" w:sz="4" w:space="0"/>
              <w:right w:val="single" w:color="auto" w:sz="4" w:space="0"/>
            </w:tcBorders>
            <w:vAlign w:val="center"/>
          </w:tcPr>
          <w:p w14:paraId="31682BDB">
            <w:pPr>
              <w:spacing w:line="360" w:lineRule="auto"/>
              <w:jc w:val="center"/>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评分内容</w:t>
            </w:r>
          </w:p>
        </w:tc>
        <w:tc>
          <w:tcPr>
            <w:tcW w:w="2629" w:type="pct"/>
            <w:tcBorders>
              <w:top w:val="single" w:color="auto" w:sz="4" w:space="0"/>
              <w:left w:val="single" w:color="auto" w:sz="4" w:space="0"/>
              <w:bottom w:val="single" w:color="auto" w:sz="4" w:space="0"/>
              <w:right w:val="single" w:color="auto" w:sz="4" w:space="0"/>
            </w:tcBorders>
            <w:vAlign w:val="center"/>
          </w:tcPr>
          <w:p w14:paraId="20703F4E">
            <w:pPr>
              <w:spacing w:line="360" w:lineRule="auto"/>
              <w:jc w:val="center"/>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评分标准</w:t>
            </w:r>
          </w:p>
        </w:tc>
        <w:tc>
          <w:tcPr>
            <w:tcW w:w="736" w:type="pct"/>
            <w:tcBorders>
              <w:top w:val="single" w:color="auto" w:sz="4" w:space="0"/>
              <w:left w:val="single" w:color="auto" w:sz="4" w:space="0"/>
              <w:bottom w:val="single" w:color="auto" w:sz="4" w:space="0"/>
              <w:right w:val="single" w:color="auto" w:sz="4" w:space="0"/>
            </w:tcBorders>
            <w:vAlign w:val="center"/>
          </w:tcPr>
          <w:p w14:paraId="4545543A">
            <w:pPr>
              <w:spacing w:line="360" w:lineRule="auto"/>
              <w:jc w:val="center"/>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分值范围</w:t>
            </w:r>
          </w:p>
        </w:tc>
      </w:tr>
      <w:tr w14:paraId="00911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pct"/>
            <w:vMerge w:val="restart"/>
            <w:tcBorders>
              <w:top w:val="single" w:color="auto" w:sz="4" w:space="0"/>
              <w:left w:val="single" w:color="auto" w:sz="4" w:space="0"/>
              <w:right w:val="single" w:color="auto" w:sz="4" w:space="0"/>
            </w:tcBorders>
            <w:vAlign w:val="center"/>
          </w:tcPr>
          <w:p w14:paraId="5BED1539">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技术资信分</w:t>
            </w:r>
          </w:p>
          <w:p w14:paraId="363D3A48">
            <w:pPr>
              <w:spacing w:line="360" w:lineRule="auto"/>
              <w:jc w:val="center"/>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lang w:val="en-US" w:eastAsia="zh-CN"/>
              </w:rPr>
              <w:t>70</w:t>
            </w:r>
            <w:r>
              <w:rPr>
                <w:rFonts w:hint="eastAsia" w:ascii="宋体" w:hAnsi="宋体" w:eastAsia="宋体" w:cs="宋体"/>
                <w:color w:val="auto"/>
                <w:sz w:val="24"/>
                <w:szCs w:val="24"/>
                <w:highlight w:val="none"/>
              </w:rPr>
              <w:t>分）</w:t>
            </w:r>
          </w:p>
        </w:tc>
        <w:tc>
          <w:tcPr>
            <w:tcW w:w="857" w:type="pct"/>
            <w:tcBorders>
              <w:top w:val="single" w:color="auto" w:sz="4" w:space="0"/>
              <w:left w:val="single" w:color="auto" w:sz="4" w:space="0"/>
              <w:bottom w:val="single" w:color="auto" w:sz="4" w:space="0"/>
              <w:right w:val="single" w:color="auto" w:sz="4" w:space="0"/>
            </w:tcBorders>
            <w:vAlign w:val="center"/>
          </w:tcPr>
          <w:p w14:paraId="0DC2262D">
            <w:pPr>
              <w:spacing w:line="360" w:lineRule="auto"/>
              <w:jc w:val="center"/>
              <w:rPr>
                <w:rFonts w:hint="eastAsia" w:ascii="宋体" w:hAnsi="宋体" w:eastAsia="宋体" w:cs="宋体"/>
                <w:bCs/>
                <w:color w:val="auto"/>
                <w:sz w:val="24"/>
                <w:szCs w:val="24"/>
                <w:highlight w:val="none"/>
                <w:lang w:eastAsia="zh-CN"/>
              </w:rPr>
            </w:pPr>
            <w:r>
              <w:rPr>
                <w:rFonts w:hint="eastAsia" w:ascii="宋体" w:hAnsi="宋体" w:eastAsia="宋体" w:cs="宋体"/>
                <w:color w:val="auto"/>
                <w:sz w:val="24"/>
                <w:szCs w:val="24"/>
                <w:highlight w:val="none"/>
                <w:lang w:eastAsia="zh-CN"/>
              </w:rPr>
              <w:t>具备</w:t>
            </w:r>
            <w:r>
              <w:rPr>
                <w:rFonts w:hint="eastAsia" w:ascii="宋体" w:hAnsi="宋体" w:eastAsia="宋体" w:cs="宋体"/>
                <w:color w:val="auto"/>
                <w:sz w:val="24"/>
                <w:szCs w:val="24"/>
                <w:highlight w:val="none"/>
              </w:rPr>
              <w:t>货物</w:t>
            </w:r>
            <w:r>
              <w:rPr>
                <w:rFonts w:hint="eastAsia" w:ascii="宋体" w:hAnsi="宋体" w:eastAsia="宋体" w:cs="宋体"/>
                <w:bCs/>
                <w:color w:val="auto"/>
                <w:sz w:val="24"/>
                <w:szCs w:val="24"/>
                <w:highlight w:val="none"/>
              </w:rPr>
              <w:t>指标要求</w:t>
            </w:r>
            <w:r>
              <w:rPr>
                <w:rFonts w:hint="eastAsia" w:ascii="宋体" w:hAnsi="宋体" w:eastAsia="宋体" w:cs="宋体"/>
                <w:color w:val="auto"/>
                <w:sz w:val="24"/>
                <w:szCs w:val="24"/>
                <w:highlight w:val="none"/>
              </w:rPr>
              <w:t>情况</w:t>
            </w:r>
          </w:p>
        </w:tc>
        <w:tc>
          <w:tcPr>
            <w:tcW w:w="2629" w:type="pct"/>
            <w:tcBorders>
              <w:top w:val="single" w:color="auto" w:sz="4" w:space="0"/>
              <w:left w:val="single" w:color="auto" w:sz="4" w:space="0"/>
              <w:bottom w:val="single" w:color="auto" w:sz="4" w:space="0"/>
              <w:right w:val="single" w:color="auto" w:sz="4" w:space="0"/>
            </w:tcBorders>
            <w:vAlign w:val="center"/>
          </w:tcPr>
          <w:p w14:paraId="0583F7F7">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●代表一般指标项，每</w:t>
            </w:r>
            <w:r>
              <w:rPr>
                <w:rFonts w:hint="eastAsia" w:ascii="宋体" w:hAnsi="宋体" w:eastAsia="宋体" w:cs="宋体"/>
                <w:color w:val="auto"/>
                <w:sz w:val="24"/>
                <w:szCs w:val="24"/>
                <w:highlight w:val="none"/>
                <w:lang w:eastAsia="zh-CN"/>
              </w:rPr>
              <w:t>具备</w:t>
            </w:r>
            <w:r>
              <w:rPr>
                <w:rFonts w:hint="eastAsia" w:ascii="宋体" w:hAnsi="宋体" w:eastAsia="宋体" w:cs="宋体"/>
                <w:color w:val="auto"/>
                <w:sz w:val="24"/>
                <w:szCs w:val="24"/>
                <w:highlight w:val="none"/>
              </w:rPr>
              <w:t>一项得</w:t>
            </w:r>
            <w:r>
              <w:rPr>
                <w:rFonts w:hint="eastAsia" w:ascii="宋体" w:hAnsi="宋体" w:eastAsia="宋体" w:cs="宋体"/>
                <w:color w:val="auto"/>
                <w:sz w:val="24"/>
                <w:szCs w:val="24"/>
                <w:highlight w:val="none"/>
                <w:u w:val="single"/>
                <w:lang w:val="en-US" w:eastAsia="zh-CN"/>
              </w:rPr>
              <w:t>2</w:t>
            </w:r>
            <w:r>
              <w:rPr>
                <w:rFonts w:hint="eastAsia" w:ascii="宋体" w:hAnsi="宋体" w:eastAsia="宋体" w:cs="宋体"/>
                <w:color w:val="auto"/>
                <w:sz w:val="24"/>
                <w:szCs w:val="24"/>
                <w:highlight w:val="none"/>
              </w:rPr>
              <w:t>分，共</w:t>
            </w:r>
            <w:r>
              <w:rPr>
                <w:rFonts w:hint="eastAsia" w:ascii="宋体" w:hAnsi="宋体" w:eastAsia="宋体" w:cs="宋体"/>
                <w:color w:val="auto"/>
                <w:sz w:val="24"/>
                <w:szCs w:val="24"/>
                <w:highlight w:val="none"/>
                <w:u w:val="single"/>
                <w:lang w:val="en-US" w:eastAsia="zh-CN"/>
              </w:rPr>
              <w:t>25</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项，共计</w:t>
            </w:r>
            <w:r>
              <w:rPr>
                <w:rFonts w:hint="eastAsia" w:ascii="宋体" w:hAnsi="宋体" w:eastAsia="宋体" w:cs="宋体"/>
                <w:color w:val="auto"/>
                <w:sz w:val="24"/>
                <w:szCs w:val="24"/>
                <w:highlight w:val="none"/>
                <w:u w:val="single"/>
                <w:lang w:val="en-US" w:eastAsia="zh-CN"/>
              </w:rPr>
              <w:t>50</w:t>
            </w:r>
            <w:r>
              <w:rPr>
                <w:rFonts w:hint="eastAsia" w:ascii="宋体" w:hAnsi="宋体" w:eastAsia="宋体" w:cs="宋体"/>
                <w:color w:val="auto"/>
                <w:sz w:val="24"/>
                <w:szCs w:val="24"/>
                <w:highlight w:val="none"/>
              </w:rPr>
              <w:t>分。</w:t>
            </w:r>
          </w:p>
          <w:p w14:paraId="4FD777B0">
            <w:pPr>
              <w:tabs>
                <w:tab w:val="left" w:pos="312"/>
              </w:tabs>
              <w:spacing w:line="360" w:lineRule="auto"/>
              <w:rPr>
                <w:rFonts w:hint="eastAsia" w:ascii="宋体" w:hAnsi="宋体" w:eastAsia="宋体" w:cs="宋体"/>
                <w:bCs/>
                <w:color w:val="auto"/>
                <w:sz w:val="24"/>
                <w:szCs w:val="24"/>
                <w:highlight w:val="none"/>
              </w:rPr>
            </w:pPr>
            <w:r>
              <w:rPr>
                <w:rFonts w:hint="eastAsia" w:ascii="宋体" w:hAnsi="宋体" w:eastAsia="宋体" w:cs="宋体"/>
                <w:b/>
                <w:bCs w:val="0"/>
                <w:color w:val="auto"/>
                <w:kern w:val="0"/>
                <w:sz w:val="24"/>
                <w:szCs w:val="24"/>
                <w:highlight w:val="none"/>
              </w:rPr>
              <w:t>注：以投标响应表和“货物指标要求”中证明材料要求作为评审依据。</w:t>
            </w:r>
          </w:p>
        </w:tc>
        <w:tc>
          <w:tcPr>
            <w:tcW w:w="736" w:type="pct"/>
            <w:tcBorders>
              <w:top w:val="single" w:color="auto" w:sz="4" w:space="0"/>
              <w:left w:val="single" w:color="auto" w:sz="4" w:space="0"/>
              <w:bottom w:val="single" w:color="auto" w:sz="4" w:space="0"/>
              <w:right w:val="single" w:color="auto" w:sz="4" w:space="0"/>
            </w:tcBorders>
            <w:vAlign w:val="center"/>
          </w:tcPr>
          <w:p w14:paraId="151BB85F">
            <w:pPr>
              <w:spacing w:line="360" w:lineRule="auto"/>
              <w:jc w:val="center"/>
              <w:rPr>
                <w:rFonts w:hint="eastAsia" w:ascii="宋体" w:hAnsi="宋体" w:eastAsia="宋体" w:cs="宋体"/>
                <w:bCs/>
                <w:color w:val="auto"/>
                <w:sz w:val="24"/>
                <w:szCs w:val="24"/>
                <w:highlight w:val="none"/>
                <w:u w:val="none"/>
              </w:rPr>
            </w:pPr>
            <w:r>
              <w:rPr>
                <w:rFonts w:hint="eastAsia" w:ascii="宋体" w:hAnsi="宋体" w:eastAsia="宋体" w:cs="宋体"/>
                <w:color w:val="auto"/>
                <w:sz w:val="24"/>
                <w:szCs w:val="24"/>
                <w:highlight w:val="none"/>
                <w:u w:val="none"/>
              </w:rPr>
              <w:t>0-</w:t>
            </w:r>
            <w:r>
              <w:rPr>
                <w:rFonts w:hint="eastAsia" w:ascii="宋体" w:hAnsi="宋体" w:eastAsia="宋体" w:cs="宋体"/>
                <w:color w:val="auto"/>
                <w:sz w:val="24"/>
                <w:szCs w:val="24"/>
                <w:highlight w:val="none"/>
                <w:u w:val="none"/>
                <w:lang w:val="en-US" w:eastAsia="zh-CN"/>
              </w:rPr>
              <w:t>50</w:t>
            </w:r>
            <w:r>
              <w:rPr>
                <w:rFonts w:hint="eastAsia" w:ascii="宋体" w:hAnsi="宋体" w:eastAsia="宋体" w:cs="宋体"/>
                <w:color w:val="auto"/>
                <w:sz w:val="24"/>
                <w:szCs w:val="24"/>
                <w:highlight w:val="none"/>
                <w:u w:val="none"/>
              </w:rPr>
              <w:t>分</w:t>
            </w:r>
          </w:p>
        </w:tc>
      </w:tr>
      <w:tr w14:paraId="154BE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pct"/>
            <w:vMerge w:val="continue"/>
            <w:tcBorders>
              <w:left w:val="single" w:color="auto" w:sz="4" w:space="0"/>
              <w:right w:val="single" w:color="auto" w:sz="4" w:space="0"/>
            </w:tcBorders>
            <w:vAlign w:val="center"/>
          </w:tcPr>
          <w:p w14:paraId="379866EE">
            <w:pPr>
              <w:spacing w:line="360" w:lineRule="auto"/>
              <w:ind w:firstLine="435"/>
              <w:jc w:val="center"/>
              <w:rPr>
                <w:rFonts w:hint="eastAsia" w:ascii="宋体" w:hAnsi="宋体" w:eastAsia="宋体" w:cs="宋体"/>
                <w:bCs/>
                <w:color w:val="auto"/>
                <w:sz w:val="24"/>
                <w:szCs w:val="24"/>
                <w:highlight w:val="none"/>
              </w:rPr>
            </w:pPr>
          </w:p>
        </w:tc>
        <w:tc>
          <w:tcPr>
            <w:tcW w:w="857" w:type="pct"/>
            <w:tcBorders>
              <w:top w:val="single" w:color="auto" w:sz="4" w:space="0"/>
              <w:left w:val="single" w:color="auto" w:sz="4" w:space="0"/>
              <w:bottom w:val="single" w:color="auto" w:sz="4" w:space="0"/>
              <w:right w:val="single" w:color="auto" w:sz="4" w:space="0"/>
            </w:tcBorders>
            <w:vAlign w:val="center"/>
          </w:tcPr>
          <w:p w14:paraId="555E296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供货安装（调试）方案</w:t>
            </w:r>
          </w:p>
        </w:tc>
        <w:tc>
          <w:tcPr>
            <w:tcW w:w="2629" w:type="pct"/>
            <w:tcBorders>
              <w:top w:val="single" w:color="auto" w:sz="4" w:space="0"/>
              <w:left w:val="single" w:color="auto" w:sz="4" w:space="0"/>
              <w:bottom w:val="single" w:color="auto" w:sz="4" w:space="0"/>
              <w:right w:val="single" w:color="auto" w:sz="4" w:space="0"/>
            </w:tcBorders>
            <w:vAlign w:val="center"/>
          </w:tcPr>
          <w:p w14:paraId="3EB1D922">
            <w:p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评标委员会组根据投标人提供的供货安装（调试）方案包括不限于供货计划、实施方案、设备验收方案等情况由评标委员会进行综合评分：</w:t>
            </w:r>
          </w:p>
          <w:p w14:paraId="077AF617">
            <w:p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1.此项方案措施描述详细完善、考虑周全、完全能够</w:t>
            </w:r>
            <w:r>
              <w:rPr>
                <w:rFonts w:hint="eastAsia" w:ascii="宋体" w:hAnsi="宋体" w:eastAsia="宋体" w:cs="宋体"/>
                <w:color w:val="auto"/>
                <w:sz w:val="24"/>
                <w:szCs w:val="24"/>
                <w:highlight w:val="none"/>
                <w:lang w:eastAsia="zh-CN"/>
              </w:rPr>
              <w:t>具备</w:t>
            </w:r>
            <w:r>
              <w:rPr>
                <w:rFonts w:hint="eastAsia" w:ascii="宋体" w:hAnsi="宋体" w:eastAsia="宋体" w:cs="宋体"/>
                <w:color w:val="auto"/>
                <w:sz w:val="24"/>
                <w:szCs w:val="24"/>
                <w:highlight w:val="none"/>
              </w:rPr>
              <w:t>采购需要的得</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分；</w:t>
            </w:r>
          </w:p>
          <w:p w14:paraId="63233BC8">
            <w:p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2.方案措施内容基本完整，可以</w:t>
            </w:r>
            <w:r>
              <w:rPr>
                <w:rFonts w:hint="eastAsia" w:ascii="宋体" w:hAnsi="宋体" w:eastAsia="宋体" w:cs="宋体"/>
                <w:color w:val="auto"/>
                <w:sz w:val="24"/>
                <w:szCs w:val="24"/>
                <w:highlight w:val="none"/>
                <w:lang w:eastAsia="zh-CN"/>
              </w:rPr>
              <w:t>具备</w:t>
            </w:r>
            <w:r>
              <w:rPr>
                <w:rFonts w:hint="eastAsia" w:ascii="宋体" w:hAnsi="宋体" w:eastAsia="宋体" w:cs="宋体"/>
                <w:color w:val="auto"/>
                <w:sz w:val="24"/>
                <w:szCs w:val="24"/>
                <w:highlight w:val="none"/>
              </w:rPr>
              <w:t>采购需要得</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分；</w:t>
            </w:r>
          </w:p>
          <w:p w14:paraId="44526797">
            <w:p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3.方案措施有缺陷、需要进一步完善的得1分；</w:t>
            </w:r>
          </w:p>
          <w:p w14:paraId="04AB8800">
            <w:p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4.差或未提供不得分。</w:t>
            </w:r>
          </w:p>
        </w:tc>
        <w:tc>
          <w:tcPr>
            <w:tcW w:w="736" w:type="pct"/>
            <w:tcBorders>
              <w:top w:val="single" w:color="auto" w:sz="4" w:space="0"/>
              <w:left w:val="single" w:color="auto" w:sz="4" w:space="0"/>
              <w:bottom w:val="single" w:color="auto" w:sz="4" w:space="0"/>
              <w:right w:val="single" w:color="auto" w:sz="4" w:space="0"/>
            </w:tcBorders>
            <w:vAlign w:val="center"/>
          </w:tcPr>
          <w:p w14:paraId="6DDE5FB1">
            <w:pPr>
              <w:spacing w:line="360" w:lineRule="auto"/>
              <w:jc w:val="center"/>
              <w:rPr>
                <w:rFonts w:hint="eastAsia" w:ascii="宋体" w:hAnsi="宋体" w:eastAsia="宋体" w:cs="宋体"/>
                <w:bCs/>
                <w:color w:val="auto"/>
                <w:sz w:val="24"/>
                <w:szCs w:val="24"/>
                <w:highlight w:val="none"/>
                <w:u w:val="none"/>
              </w:rPr>
            </w:pPr>
            <w:r>
              <w:rPr>
                <w:rFonts w:hint="eastAsia" w:ascii="宋体" w:hAnsi="宋体" w:eastAsia="宋体" w:cs="宋体"/>
                <w:color w:val="auto"/>
                <w:sz w:val="24"/>
                <w:szCs w:val="24"/>
                <w:highlight w:val="none"/>
                <w:u w:val="none"/>
              </w:rPr>
              <w:t>0-</w:t>
            </w:r>
            <w:r>
              <w:rPr>
                <w:rFonts w:hint="eastAsia" w:ascii="宋体" w:hAnsi="宋体" w:eastAsia="宋体" w:cs="宋体"/>
                <w:color w:val="auto"/>
                <w:sz w:val="24"/>
                <w:szCs w:val="24"/>
                <w:highlight w:val="none"/>
                <w:u w:val="none"/>
                <w:lang w:val="en-US" w:eastAsia="zh-CN"/>
              </w:rPr>
              <w:t>5</w:t>
            </w:r>
            <w:r>
              <w:rPr>
                <w:rFonts w:hint="eastAsia" w:ascii="宋体" w:hAnsi="宋体" w:eastAsia="宋体" w:cs="宋体"/>
                <w:color w:val="auto"/>
                <w:sz w:val="24"/>
                <w:szCs w:val="24"/>
                <w:highlight w:val="none"/>
                <w:u w:val="none"/>
              </w:rPr>
              <w:t>分</w:t>
            </w:r>
          </w:p>
        </w:tc>
      </w:tr>
      <w:tr w14:paraId="6772A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pct"/>
            <w:vMerge w:val="continue"/>
            <w:tcBorders>
              <w:left w:val="single" w:color="auto" w:sz="4" w:space="0"/>
              <w:right w:val="single" w:color="auto" w:sz="4" w:space="0"/>
            </w:tcBorders>
            <w:vAlign w:val="center"/>
          </w:tcPr>
          <w:p w14:paraId="090E9535">
            <w:pPr>
              <w:spacing w:line="360" w:lineRule="auto"/>
              <w:ind w:firstLine="435"/>
              <w:jc w:val="center"/>
              <w:rPr>
                <w:rFonts w:hint="eastAsia" w:ascii="宋体" w:hAnsi="宋体" w:eastAsia="宋体" w:cs="宋体"/>
                <w:bCs/>
                <w:color w:val="auto"/>
                <w:sz w:val="24"/>
                <w:szCs w:val="24"/>
                <w:highlight w:val="none"/>
              </w:rPr>
            </w:pPr>
          </w:p>
        </w:tc>
        <w:tc>
          <w:tcPr>
            <w:tcW w:w="857" w:type="pct"/>
            <w:tcBorders>
              <w:top w:val="single" w:color="auto" w:sz="4" w:space="0"/>
              <w:left w:val="single" w:color="auto" w:sz="4" w:space="0"/>
              <w:bottom w:val="single" w:color="auto" w:sz="4" w:space="0"/>
              <w:right w:val="single" w:color="auto" w:sz="4" w:space="0"/>
            </w:tcBorders>
            <w:vAlign w:val="center"/>
          </w:tcPr>
          <w:p w14:paraId="56E62AFA">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售后服务</w:t>
            </w:r>
          </w:p>
        </w:tc>
        <w:tc>
          <w:tcPr>
            <w:tcW w:w="2629" w:type="pct"/>
            <w:tcBorders>
              <w:top w:val="single" w:color="auto" w:sz="4" w:space="0"/>
              <w:left w:val="single" w:color="auto" w:sz="4" w:space="0"/>
              <w:bottom w:val="single" w:color="auto" w:sz="4" w:space="0"/>
              <w:right w:val="single" w:color="auto" w:sz="4" w:space="0"/>
            </w:tcBorders>
            <w:vAlign w:val="center"/>
          </w:tcPr>
          <w:p w14:paraId="478C5877">
            <w:p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投标人所提供的售后服务方案,包括但不限于售后服务及维保体系（体系完备、制度健全、用户反馈认可情况，有持续的备品备件供应）、售后服务承诺、售后响应时间、保修期、保修内容及个性化配套服务等情况，由评标委员会进行评分：</w:t>
            </w:r>
          </w:p>
          <w:p w14:paraId="316CD5D1">
            <w:p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1.售后服务体系内容完整详细，</w:t>
            </w:r>
            <w:r>
              <w:rPr>
                <w:rFonts w:hint="eastAsia" w:ascii="宋体" w:hAnsi="宋体" w:eastAsia="宋体" w:cs="宋体"/>
                <w:color w:val="auto"/>
                <w:sz w:val="24"/>
                <w:szCs w:val="24"/>
                <w:highlight w:val="none"/>
                <w:lang w:val="en-US" w:eastAsia="zh-CN"/>
              </w:rPr>
              <w:t>针对性强</w:t>
            </w:r>
            <w:r>
              <w:rPr>
                <w:rFonts w:hint="eastAsia" w:ascii="宋体" w:hAnsi="宋体" w:eastAsia="宋体" w:cs="宋体"/>
                <w:color w:val="auto"/>
                <w:sz w:val="24"/>
                <w:szCs w:val="24"/>
                <w:highlight w:val="none"/>
              </w:rPr>
              <w:t>得5 分；</w:t>
            </w:r>
          </w:p>
          <w:p w14:paraId="17DC9FAB">
            <w:p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2.售后服务体系内容完整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基本满足采购需求</w:t>
            </w:r>
            <w:r>
              <w:rPr>
                <w:rFonts w:hint="eastAsia" w:ascii="宋体" w:hAnsi="宋体" w:eastAsia="宋体" w:cs="宋体"/>
                <w:color w:val="auto"/>
                <w:sz w:val="24"/>
                <w:szCs w:val="24"/>
                <w:highlight w:val="none"/>
              </w:rPr>
              <w:t>得3分；</w:t>
            </w:r>
          </w:p>
          <w:p w14:paraId="407DD3EE">
            <w:p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3.售后服务体系内容</w:t>
            </w:r>
            <w:r>
              <w:rPr>
                <w:rFonts w:hint="eastAsia" w:ascii="宋体" w:hAnsi="宋体" w:eastAsia="宋体" w:cs="宋体"/>
                <w:color w:val="auto"/>
                <w:sz w:val="24"/>
                <w:szCs w:val="24"/>
                <w:highlight w:val="none"/>
                <w:lang w:val="en-US" w:eastAsia="zh-CN"/>
              </w:rPr>
              <w:t>有待进一步</w:t>
            </w:r>
            <w:r>
              <w:rPr>
                <w:rFonts w:hint="eastAsia" w:ascii="宋体" w:hAnsi="宋体" w:eastAsia="宋体" w:cs="宋体"/>
                <w:color w:val="auto"/>
                <w:sz w:val="24"/>
                <w:szCs w:val="24"/>
                <w:highlight w:val="none"/>
              </w:rPr>
              <w:t>完善得1分；</w:t>
            </w:r>
          </w:p>
          <w:p w14:paraId="425D3302">
            <w:p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4.差或未提供的不得分。</w:t>
            </w:r>
          </w:p>
        </w:tc>
        <w:tc>
          <w:tcPr>
            <w:tcW w:w="736" w:type="pct"/>
            <w:tcBorders>
              <w:top w:val="single" w:color="auto" w:sz="4" w:space="0"/>
              <w:left w:val="single" w:color="auto" w:sz="4" w:space="0"/>
              <w:bottom w:val="single" w:color="auto" w:sz="4" w:space="0"/>
              <w:right w:val="single" w:color="auto" w:sz="4" w:space="0"/>
            </w:tcBorders>
            <w:vAlign w:val="center"/>
          </w:tcPr>
          <w:p w14:paraId="2BA7EF19">
            <w:pPr>
              <w:spacing w:line="36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kern w:val="0"/>
                <w:sz w:val="24"/>
                <w:szCs w:val="24"/>
                <w:highlight w:val="none"/>
                <w:u w:val="none"/>
                <w:lang w:val="en-US" w:eastAsia="zh-CN"/>
              </w:rPr>
              <w:t>0-5分</w:t>
            </w:r>
          </w:p>
        </w:tc>
      </w:tr>
      <w:tr w14:paraId="2A8F0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pct"/>
            <w:vMerge w:val="continue"/>
            <w:tcBorders>
              <w:left w:val="single" w:color="auto" w:sz="4" w:space="0"/>
              <w:right w:val="single" w:color="auto" w:sz="4" w:space="0"/>
            </w:tcBorders>
            <w:vAlign w:val="center"/>
          </w:tcPr>
          <w:p w14:paraId="41D24021">
            <w:pPr>
              <w:spacing w:line="360" w:lineRule="auto"/>
              <w:ind w:firstLine="435"/>
              <w:jc w:val="center"/>
              <w:rPr>
                <w:rFonts w:hint="eastAsia" w:ascii="宋体" w:hAnsi="宋体" w:eastAsia="宋体" w:cs="宋体"/>
                <w:bCs/>
                <w:color w:val="auto"/>
                <w:sz w:val="24"/>
                <w:szCs w:val="24"/>
                <w:highlight w:val="none"/>
              </w:rPr>
            </w:pPr>
          </w:p>
        </w:tc>
        <w:tc>
          <w:tcPr>
            <w:tcW w:w="1618" w:type="dxa"/>
            <w:tcBorders>
              <w:top w:val="single" w:color="auto" w:sz="4" w:space="0"/>
              <w:left w:val="single" w:color="auto" w:sz="4" w:space="0"/>
              <w:bottom w:val="single" w:color="auto" w:sz="4" w:space="0"/>
              <w:right w:val="single" w:color="auto" w:sz="4" w:space="0"/>
            </w:tcBorders>
            <w:vAlign w:val="center"/>
          </w:tcPr>
          <w:p w14:paraId="0A39DCD4">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核心产品</w:t>
            </w:r>
          </w:p>
          <w:p w14:paraId="639716E8">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业绩</w:t>
            </w:r>
          </w:p>
        </w:tc>
        <w:tc>
          <w:tcPr>
            <w:tcW w:w="4963" w:type="dxa"/>
            <w:tcBorders>
              <w:top w:val="single" w:color="auto" w:sz="4" w:space="0"/>
              <w:left w:val="single" w:color="auto" w:sz="4" w:space="0"/>
              <w:bottom w:val="single" w:color="auto" w:sz="4" w:space="0"/>
              <w:right w:val="single" w:color="auto" w:sz="4" w:space="0"/>
            </w:tcBorders>
          </w:tcPr>
          <w:p w14:paraId="6C177EE7">
            <w:pPr>
              <w:widowControl/>
              <w:spacing w:line="360" w:lineRule="auto"/>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自2023年1月1日以来（以合同签订日期为准），投标人或所投核心产品生产厂家具有</w:t>
            </w:r>
            <w:r>
              <w:rPr>
                <w:rFonts w:hint="eastAsia" w:ascii="宋体" w:hAnsi="宋体" w:eastAsia="宋体" w:cs="宋体"/>
                <w:color w:val="auto"/>
                <w:kern w:val="2"/>
                <w:sz w:val="24"/>
                <w:szCs w:val="24"/>
                <w:highlight w:val="none"/>
                <w:lang w:val="en-US" w:eastAsia="zh-CN" w:bidi="ar-SA"/>
              </w:rPr>
              <w:t>类似</w:t>
            </w:r>
            <w:r>
              <w:rPr>
                <w:rFonts w:hint="eastAsia" w:ascii="宋体" w:hAnsi="宋体" w:eastAsia="宋体" w:cs="宋体"/>
                <w:i w:val="0"/>
                <w:iCs w:val="0"/>
                <w:color w:val="auto"/>
                <w:kern w:val="0"/>
                <w:sz w:val="24"/>
                <w:szCs w:val="24"/>
                <w:highlight w:val="none"/>
                <w:u w:val="none"/>
                <w:lang w:val="en-US" w:eastAsia="zh-CN" w:bidi="ar-SA"/>
              </w:rPr>
              <w:t>智慧护士软件系统的</w:t>
            </w:r>
            <w:r>
              <w:rPr>
                <w:rFonts w:hint="eastAsia" w:ascii="宋体" w:hAnsi="宋体" w:eastAsia="宋体" w:cs="宋体"/>
                <w:color w:val="auto"/>
                <w:kern w:val="0"/>
                <w:sz w:val="24"/>
                <w:szCs w:val="24"/>
                <w:highlight w:val="none"/>
                <w:lang w:val="en-US" w:eastAsia="zh-CN" w:bidi="ar-SA"/>
              </w:rPr>
              <w:t>合同业绩，每个业绩得2分，满分8分。</w:t>
            </w:r>
          </w:p>
          <w:p w14:paraId="685466FC">
            <w:pPr>
              <w:widowControl/>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kern w:val="0"/>
                <w:sz w:val="24"/>
                <w:szCs w:val="24"/>
                <w:highlight w:val="none"/>
                <w:lang w:val="en-US" w:eastAsia="zh-CN" w:bidi="ar-SA"/>
              </w:rPr>
              <w:t>注：提供合同扫描件。</w:t>
            </w:r>
          </w:p>
        </w:tc>
        <w:tc>
          <w:tcPr>
            <w:tcW w:w="1389" w:type="dxa"/>
            <w:tcBorders>
              <w:top w:val="single" w:color="auto" w:sz="4" w:space="0"/>
              <w:left w:val="single" w:color="auto" w:sz="4" w:space="0"/>
              <w:bottom w:val="single" w:color="auto" w:sz="4" w:space="0"/>
              <w:right w:val="single" w:color="auto" w:sz="4" w:space="0"/>
            </w:tcBorders>
            <w:vAlign w:val="center"/>
          </w:tcPr>
          <w:p w14:paraId="15AEA3A3">
            <w:pPr>
              <w:widowControl/>
              <w:snapToGrid w:val="0"/>
              <w:spacing w:line="360" w:lineRule="auto"/>
              <w:jc w:val="center"/>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kern w:val="0"/>
                <w:sz w:val="24"/>
                <w:szCs w:val="24"/>
                <w:highlight w:val="none"/>
                <w:u w:val="none"/>
                <w:lang w:val="en-US" w:eastAsia="zh-CN"/>
              </w:rPr>
              <w:t>0-8分</w:t>
            </w:r>
          </w:p>
        </w:tc>
      </w:tr>
      <w:tr w14:paraId="2B171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776" w:type="pct"/>
            <w:vMerge w:val="continue"/>
            <w:tcBorders>
              <w:left w:val="single" w:color="auto" w:sz="4" w:space="0"/>
              <w:right w:val="single" w:color="auto" w:sz="4" w:space="0"/>
            </w:tcBorders>
            <w:vAlign w:val="center"/>
          </w:tcPr>
          <w:p w14:paraId="6046FBDF">
            <w:pPr>
              <w:spacing w:line="360" w:lineRule="auto"/>
              <w:ind w:firstLine="435"/>
              <w:jc w:val="center"/>
              <w:rPr>
                <w:rFonts w:hint="eastAsia" w:ascii="宋体" w:hAnsi="宋体" w:eastAsia="宋体" w:cs="宋体"/>
                <w:bCs/>
                <w:color w:val="auto"/>
                <w:sz w:val="24"/>
                <w:szCs w:val="24"/>
                <w:highlight w:val="none"/>
              </w:rPr>
            </w:pPr>
          </w:p>
        </w:tc>
        <w:tc>
          <w:tcPr>
            <w:tcW w:w="857" w:type="pct"/>
            <w:tcBorders>
              <w:top w:val="single" w:color="auto" w:sz="4" w:space="0"/>
              <w:left w:val="single" w:color="auto" w:sz="4" w:space="0"/>
              <w:bottom w:val="single" w:color="auto" w:sz="4" w:space="0"/>
              <w:right w:val="single" w:color="auto" w:sz="4" w:space="0"/>
            </w:tcBorders>
            <w:vAlign w:val="center"/>
          </w:tcPr>
          <w:p w14:paraId="1F01E982">
            <w:pPr>
              <w:keepNext w:val="0"/>
              <w:keepLines w:val="0"/>
              <w:widowControl/>
              <w:suppressLineNumbers w:val="0"/>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质保服务</w:t>
            </w:r>
          </w:p>
        </w:tc>
        <w:tc>
          <w:tcPr>
            <w:tcW w:w="2629" w:type="pct"/>
            <w:tcBorders>
              <w:top w:val="single" w:color="auto" w:sz="4" w:space="0"/>
              <w:left w:val="single" w:color="auto" w:sz="4" w:space="0"/>
              <w:bottom w:val="single" w:color="auto" w:sz="4" w:space="0"/>
              <w:right w:val="single" w:color="auto" w:sz="4" w:space="0"/>
            </w:tcBorders>
            <w:vAlign w:val="center"/>
          </w:tcPr>
          <w:p w14:paraId="446A568D">
            <w:pPr>
              <w:keepNext w:val="0"/>
              <w:keepLines w:val="0"/>
              <w:widowControl/>
              <w:suppressLineNumbers w:val="0"/>
              <w:spacing w:line="360" w:lineRule="auto"/>
              <w:jc w:val="left"/>
              <w:rPr>
                <w:rFonts w:hint="eastAsia" w:ascii="宋体" w:hAnsi="宋体" w:eastAsia="宋体" w:cs="宋体"/>
                <w:b/>
                <w:bCs/>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在招标文件要求的质保期基础上，每增加完整1年质保得1分，增加不足1年的部分不得分，本项满分2分。</w:t>
            </w:r>
          </w:p>
        </w:tc>
        <w:tc>
          <w:tcPr>
            <w:tcW w:w="736" w:type="pct"/>
            <w:tcBorders>
              <w:top w:val="single" w:color="auto" w:sz="4" w:space="0"/>
              <w:left w:val="single" w:color="auto" w:sz="4" w:space="0"/>
              <w:bottom w:val="single" w:color="auto" w:sz="4" w:space="0"/>
              <w:right w:val="single" w:color="auto" w:sz="4" w:space="0"/>
            </w:tcBorders>
            <w:vAlign w:val="center"/>
          </w:tcPr>
          <w:p w14:paraId="4906E1A8">
            <w:pPr>
              <w:spacing w:line="360" w:lineRule="auto"/>
              <w:jc w:val="center"/>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0-2分</w:t>
            </w:r>
          </w:p>
        </w:tc>
      </w:tr>
      <w:tr w14:paraId="36520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4" w:type="dxa"/>
            <w:tcBorders>
              <w:left w:val="single" w:color="auto" w:sz="4" w:space="0"/>
              <w:right w:val="single" w:color="auto" w:sz="4" w:space="0"/>
            </w:tcBorders>
            <w:vAlign w:val="center"/>
          </w:tcPr>
          <w:p w14:paraId="1FA83B2A">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价格分</w:t>
            </w:r>
          </w:p>
          <w:p w14:paraId="3FE4CA27">
            <w:pPr>
              <w:spacing w:line="360" w:lineRule="auto"/>
              <w:jc w:val="center"/>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30</w:t>
            </w:r>
            <w:r>
              <w:rPr>
                <w:rFonts w:hint="eastAsia" w:ascii="宋体" w:hAnsi="宋体" w:eastAsia="宋体" w:cs="宋体"/>
                <w:color w:val="auto"/>
                <w:sz w:val="24"/>
                <w:szCs w:val="24"/>
                <w:highlight w:val="none"/>
              </w:rPr>
              <w:t>分）</w:t>
            </w:r>
          </w:p>
        </w:tc>
        <w:tc>
          <w:tcPr>
            <w:tcW w:w="7972" w:type="dxa"/>
            <w:gridSpan w:val="3"/>
            <w:tcBorders>
              <w:top w:val="single" w:color="auto" w:sz="4" w:space="0"/>
              <w:left w:val="single" w:color="auto" w:sz="4" w:space="0"/>
              <w:bottom w:val="single" w:color="auto" w:sz="4" w:space="0"/>
              <w:right w:val="single" w:color="auto" w:sz="4" w:space="0"/>
            </w:tcBorders>
            <w:vAlign w:val="center"/>
          </w:tcPr>
          <w:p w14:paraId="47420AEC">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价格分统一采用低价优先法，即满足招标文件要求且投标价格最低的投标报价为评标基准价，其价格分为满分</w:t>
            </w:r>
            <w:r>
              <w:rPr>
                <w:rFonts w:hint="eastAsia" w:ascii="宋体" w:hAnsi="宋体" w:eastAsia="宋体" w:cs="宋体"/>
                <w:color w:val="auto"/>
                <w:sz w:val="24"/>
                <w:szCs w:val="24"/>
                <w:highlight w:val="none"/>
                <w:u w:val="single"/>
              </w:rPr>
              <w:t>30</w:t>
            </w:r>
            <w:r>
              <w:rPr>
                <w:rFonts w:hint="eastAsia" w:ascii="宋体" w:hAnsi="宋体" w:eastAsia="宋体" w:cs="宋体"/>
                <w:color w:val="auto"/>
                <w:sz w:val="24"/>
                <w:szCs w:val="24"/>
                <w:highlight w:val="none"/>
              </w:rPr>
              <w:t>分。其他投标人的价格分统一按照下列公式计算：</w:t>
            </w:r>
          </w:p>
          <w:p w14:paraId="4064A079">
            <w:pPr>
              <w:spacing w:line="360" w:lineRule="auto"/>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投标报价得分＝（评标基准价/投标报价）×</w:t>
            </w:r>
            <w:r>
              <w:rPr>
                <w:rFonts w:hint="eastAsia" w:ascii="宋体" w:hAnsi="宋体" w:eastAsia="宋体" w:cs="宋体"/>
                <w:color w:val="auto"/>
                <w:sz w:val="24"/>
                <w:szCs w:val="24"/>
                <w:highlight w:val="none"/>
                <w:u w:val="single"/>
              </w:rPr>
              <w:t>30</w:t>
            </w:r>
            <w:r>
              <w:rPr>
                <w:rFonts w:hint="eastAsia" w:ascii="宋体" w:hAnsi="宋体" w:eastAsia="宋体" w:cs="宋体"/>
                <w:color w:val="auto"/>
                <w:sz w:val="24"/>
                <w:szCs w:val="24"/>
                <w:highlight w:val="none"/>
              </w:rPr>
              <w:t>％×100</w:t>
            </w:r>
          </w:p>
        </w:tc>
      </w:tr>
    </w:tbl>
    <w:p w14:paraId="45C16729">
      <w:pPr>
        <w:spacing w:line="360" w:lineRule="auto"/>
        <w:ind w:firstLine="435"/>
        <w:jc w:val="center"/>
        <w:rPr>
          <w:rFonts w:hint="eastAsia" w:ascii="宋体" w:hAnsi="宋体" w:eastAsia="宋体" w:cs="@仿宋_GB2312"/>
          <w:b/>
          <w:bCs/>
          <w:color w:val="auto"/>
          <w:sz w:val="24"/>
          <w:szCs w:val="20"/>
          <w:highlight w:val="none"/>
          <w:lang w:val="en-US" w:eastAsia="zh-CN"/>
        </w:rPr>
      </w:pPr>
    </w:p>
    <w:p w14:paraId="6B110BBD">
      <w:pPr>
        <w:spacing w:line="360" w:lineRule="auto"/>
        <w:ind w:firstLine="435"/>
        <w:rPr>
          <w:rFonts w:hint="eastAsia" w:ascii="宋体" w:hAnsi="宋体" w:eastAsia="宋体" w:cs="@仿宋_GB2312"/>
          <w:color w:val="auto"/>
          <w:sz w:val="24"/>
          <w:szCs w:val="20"/>
          <w:highlight w:val="none"/>
        </w:rPr>
      </w:pPr>
      <w:r>
        <w:rPr>
          <w:rFonts w:hint="eastAsia" w:ascii="宋体" w:hAnsi="宋体" w:eastAsia="宋体" w:cs="@仿宋_GB2312"/>
          <w:color w:val="auto"/>
          <w:sz w:val="24"/>
          <w:szCs w:val="20"/>
          <w:highlight w:val="none"/>
        </w:rPr>
        <w:t>2</w:t>
      </w:r>
      <w:r>
        <w:rPr>
          <w:rFonts w:ascii="宋体" w:hAnsi="宋体" w:eastAsia="宋体" w:cs="@仿宋_GB2312"/>
          <w:color w:val="auto"/>
          <w:sz w:val="24"/>
          <w:szCs w:val="20"/>
          <w:highlight w:val="none"/>
        </w:rPr>
        <w:t>.</w:t>
      </w:r>
      <w:r>
        <w:rPr>
          <w:rFonts w:hint="eastAsia" w:ascii="宋体" w:hAnsi="宋体" w:eastAsia="宋体" w:cs="@仿宋_GB2312"/>
          <w:color w:val="auto"/>
          <w:sz w:val="24"/>
          <w:szCs w:val="20"/>
          <w:highlight w:val="none"/>
        </w:rPr>
        <w:t>4</w:t>
      </w:r>
      <w:r>
        <w:rPr>
          <w:rFonts w:ascii="宋体" w:hAnsi="宋体" w:eastAsia="宋体" w:cs="@仿宋_GB2312"/>
          <w:color w:val="auto"/>
          <w:sz w:val="24"/>
          <w:szCs w:val="20"/>
          <w:highlight w:val="none"/>
        </w:rPr>
        <w:t>.3</w:t>
      </w:r>
      <w:r>
        <w:rPr>
          <w:rFonts w:hint="eastAsia" w:ascii="宋体" w:hAnsi="宋体" w:eastAsia="宋体" w:cs="@仿宋_GB2312"/>
          <w:color w:val="auto"/>
          <w:sz w:val="24"/>
          <w:szCs w:val="20"/>
          <w:highlight w:val="none"/>
        </w:rPr>
        <w:t>分值汇总</w:t>
      </w:r>
    </w:p>
    <w:p w14:paraId="07FC4C19">
      <w:pPr>
        <w:spacing w:line="360" w:lineRule="auto"/>
        <w:ind w:firstLine="435"/>
        <w:rPr>
          <w:rFonts w:hint="eastAsia" w:ascii="宋体" w:hAnsi="宋体" w:eastAsia="宋体" w:cs="@仿宋_GB2312"/>
          <w:color w:val="auto"/>
          <w:sz w:val="24"/>
          <w:szCs w:val="20"/>
          <w:highlight w:val="none"/>
        </w:rPr>
      </w:pPr>
      <w:r>
        <w:rPr>
          <w:rFonts w:hint="eastAsia" w:ascii="宋体" w:hAnsi="宋体" w:eastAsia="宋体" w:cs="@仿宋_GB2312"/>
          <w:color w:val="auto"/>
          <w:sz w:val="24"/>
          <w:szCs w:val="20"/>
          <w:highlight w:val="none"/>
        </w:rPr>
        <w:t>（1）</w:t>
      </w:r>
      <w:r>
        <w:rPr>
          <w:rFonts w:ascii="宋体" w:hAnsi="宋体" w:eastAsia="宋体" w:cs="@仿宋_GB2312"/>
          <w:color w:val="auto"/>
          <w:sz w:val="24"/>
          <w:szCs w:val="20"/>
          <w:highlight w:val="none"/>
        </w:rPr>
        <w:t>评标委员会各成员应当独立对每个</w:t>
      </w:r>
      <w:r>
        <w:rPr>
          <w:rFonts w:hint="eastAsia" w:ascii="宋体" w:hAnsi="宋体" w:eastAsia="宋体" w:cs="@仿宋_GB2312"/>
          <w:color w:val="auto"/>
          <w:sz w:val="24"/>
          <w:szCs w:val="20"/>
          <w:highlight w:val="none"/>
        </w:rPr>
        <w:t>有效</w:t>
      </w:r>
      <w:r>
        <w:rPr>
          <w:rFonts w:ascii="宋体" w:hAnsi="宋体" w:eastAsia="宋体" w:cs="@仿宋_GB2312"/>
          <w:color w:val="auto"/>
          <w:sz w:val="24"/>
          <w:szCs w:val="20"/>
          <w:highlight w:val="none"/>
        </w:rPr>
        <w:t>投标人的投标文件进行评</w:t>
      </w:r>
      <w:r>
        <w:rPr>
          <w:rFonts w:hint="eastAsia" w:ascii="宋体" w:hAnsi="宋体" w:eastAsia="宋体" w:cs="@仿宋_GB2312"/>
          <w:color w:val="auto"/>
          <w:sz w:val="24"/>
          <w:szCs w:val="20"/>
          <w:highlight w:val="none"/>
        </w:rPr>
        <w:t>分</w:t>
      </w:r>
      <w:r>
        <w:rPr>
          <w:rFonts w:ascii="宋体" w:hAnsi="宋体" w:eastAsia="宋体" w:cs="@仿宋_GB2312"/>
          <w:color w:val="auto"/>
          <w:sz w:val="24"/>
          <w:szCs w:val="20"/>
          <w:highlight w:val="none"/>
        </w:rPr>
        <w:t>，并汇总每个投</w:t>
      </w:r>
      <w:r>
        <w:rPr>
          <w:rFonts w:hint="eastAsia" w:ascii="宋体" w:hAnsi="宋体" w:eastAsia="宋体" w:cs="@仿宋_GB2312"/>
          <w:color w:val="auto"/>
          <w:sz w:val="24"/>
          <w:szCs w:val="20"/>
          <w:highlight w:val="none"/>
        </w:rPr>
        <w:t>标人的得分。取各位评委评分之平均值，四舍五入保留至小数点后两位数，</w:t>
      </w:r>
      <w:r>
        <w:rPr>
          <w:rFonts w:ascii="宋体" w:hAnsi="宋体" w:eastAsia="宋体" w:cs="@仿宋_GB2312"/>
          <w:color w:val="auto"/>
          <w:sz w:val="24"/>
          <w:szCs w:val="20"/>
          <w:highlight w:val="none"/>
        </w:rPr>
        <w:t>得到该投标</w:t>
      </w:r>
      <w:r>
        <w:rPr>
          <w:rFonts w:hint="eastAsia" w:ascii="宋体" w:hAnsi="宋体" w:eastAsia="宋体" w:cs="@仿宋_GB2312"/>
          <w:color w:val="auto"/>
          <w:sz w:val="24"/>
          <w:szCs w:val="20"/>
          <w:highlight w:val="none"/>
        </w:rPr>
        <w:t>人</w:t>
      </w:r>
      <w:r>
        <w:rPr>
          <w:rFonts w:ascii="宋体" w:hAnsi="宋体" w:eastAsia="宋体" w:cs="@仿宋_GB2312"/>
          <w:color w:val="auto"/>
          <w:sz w:val="24"/>
          <w:szCs w:val="20"/>
          <w:highlight w:val="none"/>
        </w:rPr>
        <w:t>的技术资信分</w:t>
      </w:r>
      <w:r>
        <w:rPr>
          <w:rFonts w:hint="eastAsia" w:ascii="宋体" w:hAnsi="宋体" w:eastAsia="宋体" w:cs="@仿宋_GB2312"/>
          <w:color w:val="auto"/>
          <w:sz w:val="24"/>
          <w:szCs w:val="20"/>
          <w:highlight w:val="none"/>
        </w:rPr>
        <w:t>。</w:t>
      </w:r>
    </w:p>
    <w:p w14:paraId="7CC33AD4">
      <w:r>
        <w:rPr>
          <w:rFonts w:hint="eastAsia" w:ascii="宋体" w:hAnsi="宋体" w:eastAsia="宋体" w:cs="@仿宋_GB2312"/>
          <w:color w:val="auto"/>
          <w:sz w:val="24"/>
          <w:szCs w:val="20"/>
          <w:highlight w:val="none"/>
        </w:rPr>
        <w:t>（2）</w:t>
      </w:r>
      <w:r>
        <w:rPr>
          <w:rFonts w:ascii="宋体" w:hAnsi="宋体" w:eastAsia="宋体" w:cs="@仿宋_GB2312"/>
          <w:color w:val="auto"/>
          <w:sz w:val="24"/>
          <w:szCs w:val="20"/>
          <w:highlight w:val="none"/>
        </w:rPr>
        <w:t>将投标</w:t>
      </w:r>
      <w:r>
        <w:rPr>
          <w:rFonts w:hint="eastAsia" w:ascii="宋体" w:hAnsi="宋体" w:eastAsia="宋体" w:cs="@仿宋_GB2312"/>
          <w:color w:val="auto"/>
          <w:sz w:val="24"/>
          <w:szCs w:val="20"/>
          <w:highlight w:val="none"/>
        </w:rPr>
        <w:t>人</w:t>
      </w:r>
      <w:r>
        <w:rPr>
          <w:rFonts w:ascii="宋体" w:hAnsi="宋体" w:eastAsia="宋体" w:cs="@仿宋_GB2312"/>
          <w:color w:val="auto"/>
          <w:sz w:val="24"/>
          <w:szCs w:val="20"/>
          <w:highlight w:val="none"/>
        </w:rPr>
        <w:t>的技术资信分加上根据上述标准计算出的价格分，即为该投标</w:t>
      </w:r>
      <w:r>
        <w:rPr>
          <w:rFonts w:hint="eastAsia" w:ascii="宋体" w:hAnsi="宋体" w:eastAsia="宋体" w:cs="@仿宋_GB2312"/>
          <w:color w:val="auto"/>
          <w:sz w:val="24"/>
          <w:szCs w:val="20"/>
          <w:highlight w:val="none"/>
        </w:rPr>
        <w:t>人</w:t>
      </w:r>
      <w:r>
        <w:rPr>
          <w:rFonts w:ascii="宋体" w:hAnsi="宋体" w:eastAsia="宋体" w:cs="@仿宋_GB2312"/>
          <w:color w:val="auto"/>
          <w:sz w:val="24"/>
          <w:szCs w:val="20"/>
          <w:highlight w:val="none"/>
        </w:rPr>
        <w:t>的综合总得分。</w:t>
      </w:r>
      <w:bookmarkStart w:id="14" w:name="_GoBack"/>
      <w:bookmarkEnd w:id="1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DF4383"/>
    <w:multiLevelType w:val="singleLevel"/>
    <w:tmpl w:val="BDDF4383"/>
    <w:lvl w:ilvl="0" w:tentative="0">
      <w:start w:val="1"/>
      <w:numFmt w:val="decimal"/>
      <w:suff w:val="nothing"/>
      <w:lvlText w:val="%1、"/>
      <w:lvlJc w:val="left"/>
    </w:lvl>
  </w:abstractNum>
  <w:abstractNum w:abstractNumId="1">
    <w:nsid w:val="CAE98D29"/>
    <w:multiLevelType w:val="singleLevel"/>
    <w:tmpl w:val="CAE98D29"/>
    <w:lvl w:ilvl="0" w:tentative="0">
      <w:start w:val="1"/>
      <w:numFmt w:val="decimal"/>
      <w:lvlText w:val="%1."/>
      <w:lvlJc w:val="left"/>
      <w:pPr>
        <w:tabs>
          <w:tab w:val="left" w:pos="312"/>
        </w:tabs>
      </w:pPr>
    </w:lvl>
  </w:abstractNum>
  <w:abstractNum w:abstractNumId="2">
    <w:nsid w:val="F8DEF239"/>
    <w:multiLevelType w:val="singleLevel"/>
    <w:tmpl w:val="F8DEF239"/>
    <w:lvl w:ilvl="0" w:tentative="0">
      <w:start w:val="1"/>
      <w:numFmt w:val="decimal"/>
      <w:suff w:val="nothing"/>
      <w:lvlText w:val="%1、"/>
      <w:lvlJc w:val="left"/>
    </w:lvl>
  </w:abstractNum>
  <w:abstractNum w:abstractNumId="3">
    <w:nsid w:val="00000001"/>
    <w:multiLevelType w:val="singleLevel"/>
    <w:tmpl w:val="00000001"/>
    <w:lvl w:ilvl="0" w:tentative="0">
      <w:start w:val="1"/>
      <w:numFmt w:val="decimal"/>
      <w:suff w:val="nothing"/>
      <w:lvlText w:val="%1、"/>
      <w:lvlJc w:val="left"/>
    </w:lvl>
  </w:abstractNum>
  <w:abstractNum w:abstractNumId="4">
    <w:nsid w:val="6F8EEAAF"/>
    <w:multiLevelType w:val="singleLevel"/>
    <w:tmpl w:val="6F8EEAAF"/>
    <w:lvl w:ilvl="0" w:tentative="0">
      <w:start w:val="15"/>
      <w:numFmt w:val="decimal"/>
      <w:lvlText w:val="%1."/>
      <w:lvlJc w:val="left"/>
      <w:pPr>
        <w:tabs>
          <w:tab w:val="left" w:pos="312"/>
        </w:tabs>
      </w:p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4714DA"/>
    <w:rsid w:val="5A4714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75</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2026-08-28T03:43:00Z</dcterms:created>
  <dc:creator>安天利信</dc:creator>
  <cp:lastModifiedBy>安天利信</cp:lastModifiedBy>
  <dcterms:modified xsi:type="dcterms:W3CDTF">2026-08-28T03:43:51Z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EFEC4F44730C4ABBA4AE4E24A277ED5D_11</vt:lpwstr>
  </property>
  <property fmtid="{D5CDD505-2E9C-101B-9397-08002B2CF9AE}" pid="4" name="KSOTemplateDocerSaveRecord">
    <vt:lpwstr>eyJoZGlkIjoiNGYzNTZlZGMzMzBhNTJlNTgxMTg1NzI2NWMyYjQ5NzciLCJ1c2VySWQiOiIxMDM5NDI2ODEwIn0=</vt:lpwstr>
  </property>
</Properties>
</file>