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E1BE5">
      <w:pPr>
        <w:jc w:val="center"/>
        <w:rPr>
          <w:rFonts w:hint="eastAsia" w:ascii="方正小标宋_GBK" w:hAnsi="方正小标宋_GBK" w:eastAsia="方正小标宋_GBK" w:cs="方正小标宋_GBK"/>
          <w:kern w:val="44"/>
          <w:sz w:val="44"/>
          <w:szCs w:val="44"/>
        </w:rPr>
      </w:pPr>
      <w:r>
        <w:rPr>
          <w:rStyle w:val="11"/>
          <w:rFonts w:hint="eastAsia"/>
        </w:rPr>
        <w:t>采购需求</w:t>
      </w:r>
    </w:p>
    <w:p w14:paraId="7280DA68">
      <w:pPr>
        <w:spacing w:line="360" w:lineRule="auto"/>
        <w:rPr>
          <w:rFonts w:hint="eastAsia" w:ascii="宋体" w:hAnsi="宋体"/>
          <w:b/>
        </w:rPr>
      </w:pPr>
      <w:r>
        <w:rPr>
          <w:rFonts w:hint="eastAsia" w:ascii="宋体" w:hAnsi="宋体"/>
          <w:b/>
        </w:rPr>
        <w:t>前注：</w:t>
      </w:r>
    </w:p>
    <w:p w14:paraId="5447CD27">
      <w:pPr>
        <w:spacing w:line="360" w:lineRule="auto"/>
        <w:ind w:firstLine="435"/>
        <w:rPr>
          <w:rFonts w:hint="eastAsia" w:ascii="宋体" w:hAnsi="宋体" w:cs="宋体"/>
          <w:szCs w:val="18"/>
        </w:rPr>
      </w:pPr>
      <w:bookmarkStart w:id="0" w:name="_Hlk16461016"/>
      <w:r>
        <w:rPr>
          <w:rFonts w:hint="eastAsia" w:ascii="宋体" w:hAnsi="宋体" w:cs="宋体"/>
        </w:rPr>
        <w:t>1.</w:t>
      </w:r>
      <w:r>
        <w:rPr>
          <w:rFonts w:hint="eastAsia" w:ascii="宋体" w:hAnsi="宋体" w:cs="宋体"/>
          <w:szCs w:val="18"/>
        </w:rPr>
        <w:t>根据《关于规范政府采购进口产品有关工作的通知》及政府采购管理部门的相关规定，下列采购需求中标注进口产品的货物（科研仪器设备）均已履行相关论证手续，经核准采购进口产品，但不限</w:t>
      </w:r>
      <w:bookmarkStart w:id="19" w:name="_GoBack"/>
      <w:bookmarkEnd w:id="19"/>
      <w:r>
        <w:rPr>
          <w:rFonts w:hint="eastAsia" w:ascii="宋体" w:hAnsi="宋体" w:cs="宋体"/>
          <w:szCs w:val="18"/>
        </w:rPr>
        <w:t>制满足招标文件要求的国内产品参与竞争。未标注进口产品的货物均为拒绝采购进口产品。</w:t>
      </w:r>
    </w:p>
    <w:p w14:paraId="6196374B">
      <w:pPr>
        <w:spacing w:line="360" w:lineRule="auto"/>
        <w:ind w:firstLine="435"/>
        <w:rPr>
          <w:rFonts w:hint="eastAsia" w:ascii="宋体" w:hAnsi="宋体" w:cs="宋体"/>
          <w:szCs w:val="18"/>
        </w:rPr>
      </w:pPr>
      <w:r>
        <w:rPr>
          <w:rFonts w:hint="eastAsia" w:ascii="宋体" w:hAnsi="宋体" w:cs="宋体"/>
          <w:szCs w:val="18"/>
        </w:rPr>
        <w:t>2.本技术规格中提及的工艺、材料、设备的标准、参数及参考品牌或型号（如有）仅起说明作用，并没有强制性且为本次采购的最低要求。投标人在投标中可以采用替代工艺、材料、设备的标准及品牌或型号，但这种替代应满足、等同或优于本技术规格的要求，否则评委在评审时有权作出不利于投标人的判定。</w:t>
      </w:r>
    </w:p>
    <w:p w14:paraId="5AD42830">
      <w:pPr>
        <w:spacing w:line="360" w:lineRule="auto"/>
        <w:ind w:firstLine="480" w:firstLineChars="200"/>
        <w:jc w:val="left"/>
        <w:rPr>
          <w:rFonts w:hint="eastAsia" w:ascii="宋体" w:hAnsi="宋体" w:cs="宋体"/>
          <w:szCs w:val="18"/>
        </w:rPr>
      </w:pPr>
      <w:r>
        <w:rPr>
          <w:rFonts w:hint="eastAsia" w:ascii="宋体" w:hAnsi="宋体" w:cs="宋体"/>
          <w:szCs w:val="18"/>
        </w:rPr>
        <w:t>3.下列采购需求中：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1816A184">
      <w:pPr>
        <w:pStyle w:val="3"/>
        <w:ind w:firstLine="560"/>
      </w:pPr>
      <w:bookmarkStart w:id="1" w:name="_Toc2025078090"/>
      <w:bookmarkStart w:id="2" w:name="_Toc1899401549"/>
      <w:bookmarkStart w:id="3" w:name="_Toc292361325"/>
      <w:bookmarkStart w:id="4" w:name="_Toc1064185329"/>
      <w:bookmarkStart w:id="5" w:name="_Toc337877615"/>
      <w:bookmarkStart w:id="6" w:name="_Toc382548620"/>
      <w:bookmarkStart w:id="7" w:name="_Toc1452677390"/>
      <w:bookmarkStart w:id="8" w:name="_Toc1437377518_WPSOffice_Level2"/>
      <w:r>
        <w:rPr>
          <w:rFonts w:hint="eastAsia"/>
        </w:rPr>
        <w:t>一、采购需求前附表</w:t>
      </w:r>
      <w:bookmarkEnd w:id="1"/>
      <w:bookmarkEnd w:id="2"/>
      <w:bookmarkEnd w:id="3"/>
      <w:bookmarkEnd w:id="4"/>
      <w:bookmarkEnd w:id="5"/>
      <w:bookmarkEnd w:id="6"/>
      <w:bookmarkEnd w:id="7"/>
      <w:bookmarkEnd w:id="8"/>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2054"/>
        <w:gridCol w:w="5544"/>
      </w:tblGrid>
      <w:tr w14:paraId="7FC3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18" w:type="dxa"/>
            <w:vAlign w:val="center"/>
          </w:tcPr>
          <w:p w14:paraId="373F03E5">
            <w:pPr>
              <w:pStyle w:val="12"/>
              <w:pBdr>
                <w:bottom w:val="none" w:color="auto" w:sz="0" w:space="0"/>
              </w:pBdr>
              <w:tabs>
                <w:tab w:val="clear" w:pos="4153"/>
                <w:tab w:val="clear" w:pos="8306"/>
              </w:tabs>
              <w:adjustRightInd/>
              <w:spacing w:line="240" w:lineRule="auto"/>
              <w:textAlignment w:val="auto"/>
              <w:rPr>
                <w:rFonts w:hint="eastAsia" w:ascii="宋体" w:hAnsi="宋体" w:cs="宋体"/>
                <w:b/>
                <w:kern w:val="2"/>
              </w:rPr>
            </w:pPr>
            <w:r>
              <w:rPr>
                <w:rFonts w:hint="eastAsia" w:ascii="宋体" w:hAnsi="宋体" w:cs="宋体"/>
                <w:b/>
                <w:kern w:val="2"/>
              </w:rPr>
              <w:t>序号</w:t>
            </w:r>
          </w:p>
        </w:tc>
        <w:tc>
          <w:tcPr>
            <w:tcW w:w="2054" w:type="dxa"/>
            <w:vAlign w:val="center"/>
          </w:tcPr>
          <w:p w14:paraId="078531DA">
            <w:pPr>
              <w:pStyle w:val="13"/>
              <w:widowControl w:val="0"/>
              <w:spacing w:before="0" w:beforeAutospacing="0" w:after="0" w:afterAutospacing="0" w:line="360" w:lineRule="auto"/>
              <w:rPr>
                <w:rFonts w:hint="eastAsia" w:ascii="宋体" w:hAnsi="宋体" w:cs="宋体"/>
                <w:bCs w:val="0"/>
                <w:sz w:val="24"/>
              </w:rPr>
            </w:pPr>
            <w:r>
              <w:rPr>
                <w:rFonts w:hint="eastAsia" w:ascii="宋体" w:hAnsi="宋体" w:cs="宋体"/>
                <w:bCs w:val="0"/>
                <w:sz w:val="24"/>
              </w:rPr>
              <w:t>条款名称</w:t>
            </w:r>
          </w:p>
        </w:tc>
        <w:tc>
          <w:tcPr>
            <w:tcW w:w="5544" w:type="dxa"/>
            <w:vAlign w:val="center"/>
          </w:tcPr>
          <w:p w14:paraId="1BD61A84">
            <w:pPr>
              <w:pStyle w:val="13"/>
              <w:widowControl w:val="0"/>
              <w:spacing w:before="0" w:beforeAutospacing="0" w:after="0" w:afterAutospacing="0" w:line="360" w:lineRule="auto"/>
              <w:rPr>
                <w:rFonts w:hint="eastAsia" w:ascii="宋体" w:hAnsi="宋体" w:cs="宋体"/>
                <w:bCs w:val="0"/>
                <w:sz w:val="24"/>
              </w:rPr>
            </w:pPr>
            <w:r>
              <w:rPr>
                <w:rFonts w:hint="eastAsia" w:ascii="宋体" w:hAnsi="宋体" w:cs="宋体"/>
                <w:bCs w:val="0"/>
                <w:sz w:val="24"/>
              </w:rPr>
              <w:t>内容、说明与要求</w:t>
            </w:r>
          </w:p>
        </w:tc>
      </w:tr>
      <w:tr w14:paraId="3E21C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8" w:type="dxa"/>
            <w:vAlign w:val="center"/>
          </w:tcPr>
          <w:p w14:paraId="1B9219F6">
            <w:pPr>
              <w:pStyle w:val="12"/>
              <w:pBdr>
                <w:bottom w:val="none" w:color="auto" w:sz="0" w:space="0"/>
              </w:pBdr>
              <w:tabs>
                <w:tab w:val="clear" w:pos="4153"/>
                <w:tab w:val="clear" w:pos="8306"/>
              </w:tabs>
              <w:adjustRightInd/>
              <w:spacing w:line="240" w:lineRule="auto"/>
              <w:textAlignment w:val="auto"/>
              <w:rPr>
                <w:rFonts w:hint="eastAsia" w:ascii="宋体" w:hAnsi="宋体" w:cs="宋体"/>
                <w:bCs/>
                <w:kern w:val="2"/>
              </w:rPr>
            </w:pPr>
            <w:r>
              <w:rPr>
                <w:rFonts w:hint="eastAsia" w:ascii="宋体" w:hAnsi="宋体" w:cs="宋体"/>
                <w:bCs/>
                <w:kern w:val="2"/>
              </w:rPr>
              <w:t>1</w:t>
            </w:r>
          </w:p>
        </w:tc>
        <w:tc>
          <w:tcPr>
            <w:tcW w:w="2054" w:type="dxa"/>
            <w:vAlign w:val="center"/>
          </w:tcPr>
          <w:p w14:paraId="4EFAB787">
            <w:pPr>
              <w:pStyle w:val="13"/>
              <w:widowControl w:val="0"/>
              <w:spacing w:before="0" w:beforeAutospacing="0" w:after="0" w:afterAutospacing="0" w:line="360" w:lineRule="auto"/>
              <w:rPr>
                <w:rFonts w:hint="eastAsia" w:ascii="宋体" w:hAnsi="宋体" w:cs="宋体"/>
                <w:b w:val="0"/>
                <w:sz w:val="24"/>
              </w:rPr>
            </w:pPr>
            <w:r>
              <w:rPr>
                <w:rFonts w:hint="eastAsia" w:ascii="宋体" w:hAnsi="宋体" w:cs="宋体"/>
                <w:b w:val="0"/>
                <w:color w:val="000000" w:themeColor="text1"/>
                <w:sz w:val="24"/>
                <w14:textFill>
                  <w14:solidFill>
                    <w14:schemeClr w14:val="tx1"/>
                  </w14:solidFill>
                </w14:textFill>
              </w:rPr>
              <w:t>付款方式</w:t>
            </w:r>
          </w:p>
        </w:tc>
        <w:tc>
          <w:tcPr>
            <w:tcW w:w="5544" w:type="dxa"/>
            <w:vAlign w:val="center"/>
          </w:tcPr>
          <w:p w14:paraId="46D1A1F9">
            <w:pPr>
              <w:pStyle w:val="13"/>
              <w:widowControl w:val="0"/>
              <w:spacing w:before="0" w:beforeAutospacing="0" w:after="0" w:afterAutospacing="0" w:line="360" w:lineRule="auto"/>
              <w:jc w:val="left"/>
              <w:rPr>
                <w:rFonts w:hint="eastAsia" w:ascii="宋体" w:hAnsi="宋体" w:cs="宋体"/>
                <w:b w:val="0"/>
                <w:color w:val="000000" w:themeColor="text1"/>
                <w:sz w:val="24"/>
                <w14:textFill>
                  <w14:solidFill>
                    <w14:schemeClr w14:val="tx1"/>
                  </w14:solidFill>
                </w14:textFill>
              </w:rPr>
            </w:pPr>
            <w:r>
              <w:rPr>
                <w:rFonts w:hint="eastAsia" w:ascii="宋体" w:hAnsi="宋体" w:cs="宋体"/>
                <w:b w:val="0"/>
                <w:color w:val="000000" w:themeColor="text1"/>
                <w:sz w:val="24"/>
                <w14:textFill>
                  <w14:solidFill>
                    <w14:schemeClr w14:val="tx1"/>
                  </w14:solidFill>
                </w14:textFill>
              </w:rPr>
              <w:t>合同签订生效后，采购人向中标人支付合同价款的70%预付款（中标人须同时向采购人递交等额预付款保函），全部货物安装调试完毕，剩余30%在验收合格后一次性付给中标人，同时退还预付款保函。</w:t>
            </w:r>
          </w:p>
          <w:p w14:paraId="06DA8658">
            <w:pPr>
              <w:pStyle w:val="13"/>
              <w:widowControl w:val="0"/>
              <w:spacing w:before="0" w:beforeAutospacing="0" w:after="0" w:afterAutospacing="0" w:line="360" w:lineRule="auto"/>
              <w:jc w:val="left"/>
              <w:rPr>
                <w:rFonts w:hint="eastAsia" w:ascii="宋体" w:hAnsi="宋体" w:cs="宋体"/>
                <w:b w:val="0"/>
                <w:color w:val="000000" w:themeColor="text1"/>
                <w:sz w:val="24"/>
                <w14:textFill>
                  <w14:solidFill>
                    <w14:schemeClr w14:val="tx1"/>
                  </w14:solidFill>
                </w14:textFill>
              </w:rPr>
            </w:pPr>
            <w:r>
              <w:rPr>
                <w:rFonts w:hint="eastAsia" w:ascii="宋体" w:hAnsi="宋体" w:cs="宋体"/>
                <w:b w:val="0"/>
                <w:color w:val="000000" w:themeColor="text1"/>
                <w:sz w:val="24"/>
                <w14:textFill>
                  <w14:solidFill>
                    <w14:schemeClr w14:val="tx1"/>
                  </w14:solidFill>
                </w14:textFill>
              </w:rPr>
              <w:t>注：</w:t>
            </w:r>
          </w:p>
          <w:p w14:paraId="388B9509">
            <w:pPr>
              <w:pStyle w:val="13"/>
              <w:widowControl w:val="0"/>
              <w:spacing w:before="0" w:beforeAutospacing="0" w:after="0" w:afterAutospacing="0" w:line="360" w:lineRule="auto"/>
              <w:jc w:val="left"/>
              <w:rPr>
                <w:rFonts w:hint="eastAsia" w:ascii="宋体" w:hAnsi="宋体" w:cs="宋体"/>
                <w:b w:val="0"/>
                <w:color w:val="000000" w:themeColor="text1"/>
                <w:sz w:val="24"/>
                <w14:textFill>
                  <w14:solidFill>
                    <w14:schemeClr w14:val="tx1"/>
                  </w14:solidFill>
                </w14:textFill>
              </w:rPr>
            </w:pPr>
            <w:r>
              <w:rPr>
                <w:rFonts w:hint="eastAsia" w:ascii="宋体" w:hAnsi="宋体" w:cs="宋体"/>
                <w:b w:val="0"/>
                <w:color w:val="000000" w:themeColor="text1"/>
                <w:sz w:val="24"/>
                <w14:textFill>
                  <w14:solidFill>
                    <w14:schemeClr w14:val="tx1"/>
                  </w14:solidFill>
                </w14:textFill>
              </w:rPr>
              <w:t>（1）预付款保函形式： ☑银行保函 ☑担保机构担保</w:t>
            </w:r>
          </w:p>
          <w:p w14:paraId="6CE08AB2">
            <w:pPr>
              <w:pStyle w:val="13"/>
              <w:widowControl w:val="0"/>
              <w:spacing w:before="0" w:beforeAutospacing="0" w:after="0" w:afterAutospacing="0" w:line="360" w:lineRule="auto"/>
              <w:jc w:val="left"/>
              <w:rPr>
                <w:rFonts w:hint="eastAsia" w:ascii="宋体" w:hAnsi="宋体" w:cs="宋体"/>
                <w:b w:val="0"/>
                <w:color w:val="000000" w:themeColor="text1"/>
                <w:sz w:val="24"/>
                <w14:textFill>
                  <w14:solidFill>
                    <w14:schemeClr w14:val="tx1"/>
                  </w14:solidFill>
                </w14:textFill>
              </w:rPr>
            </w:pPr>
            <w:r>
              <w:rPr>
                <w:rFonts w:hint="eastAsia" w:ascii="宋体" w:hAnsi="宋体" w:cs="宋体"/>
                <w:b w:val="0"/>
                <w:color w:val="000000" w:themeColor="text1"/>
                <w:sz w:val="24"/>
                <w14:textFill>
                  <w14:solidFill>
                    <w14:schemeClr w14:val="tx1"/>
                  </w14:solidFill>
                </w14:textFill>
              </w:rPr>
              <w:t>（2）预付款保函递交要求：</w:t>
            </w:r>
          </w:p>
          <w:p w14:paraId="65B6CE40">
            <w:pPr>
              <w:pStyle w:val="13"/>
              <w:widowControl w:val="0"/>
              <w:spacing w:before="0" w:beforeAutospacing="0" w:after="0" w:afterAutospacing="0" w:line="360" w:lineRule="auto"/>
              <w:jc w:val="left"/>
              <w:rPr>
                <w:rFonts w:hint="eastAsia" w:ascii="宋体" w:hAnsi="宋体" w:cs="宋体"/>
                <w:b w:val="0"/>
                <w:color w:val="000000" w:themeColor="text1"/>
                <w:sz w:val="24"/>
                <w14:textFill>
                  <w14:solidFill>
                    <w14:schemeClr w14:val="tx1"/>
                  </w14:solidFill>
                </w14:textFill>
              </w:rPr>
            </w:pPr>
            <w:r>
              <w:rPr>
                <w:rFonts w:hint="eastAsia" w:ascii="宋体" w:hAnsi="宋体" w:cs="宋体"/>
                <w:b w:val="0"/>
                <w:color w:val="000000" w:themeColor="text1"/>
                <w:sz w:val="24"/>
                <w14:textFill>
                  <w14:solidFill>
                    <w14:schemeClr w14:val="tx1"/>
                  </w14:solidFill>
                </w14:textFill>
              </w:rPr>
              <w:t>①如采用银行保函，银行保函应为具有分支机构的银行出具的见索即付无条件保函。（例如A银行总部在合肥或者A银行在合肥行政区域（含四县一市）具有分支机构，那么A银行任一分支机构或者总部出具的见索即付无条件保函符合要求），且应将原件交至采购人保管。</w:t>
            </w:r>
          </w:p>
          <w:p w14:paraId="043A757A">
            <w:pPr>
              <w:pStyle w:val="13"/>
              <w:widowControl w:val="0"/>
              <w:spacing w:before="0" w:beforeAutospacing="0" w:after="0" w:afterAutospacing="0" w:line="360" w:lineRule="auto"/>
              <w:jc w:val="left"/>
              <w:rPr>
                <w:rFonts w:hint="eastAsia" w:ascii="宋体" w:hAnsi="宋体" w:cs="宋体"/>
                <w:b w:val="0"/>
                <w:color w:val="000000" w:themeColor="text1"/>
                <w:sz w:val="24"/>
                <w14:textFill>
                  <w14:solidFill>
                    <w14:schemeClr w14:val="tx1"/>
                  </w14:solidFill>
                </w14:textFill>
              </w:rPr>
            </w:pPr>
            <w:r>
              <w:rPr>
                <w:rFonts w:hint="eastAsia" w:ascii="宋体" w:hAnsi="宋体" w:cs="宋体"/>
                <w:b w:val="0"/>
                <w:color w:val="000000" w:themeColor="text1"/>
                <w:sz w:val="24"/>
                <w14:textFill>
                  <w14:solidFill>
                    <w14:schemeClr w14:val="tx1"/>
                  </w14:solidFill>
                </w14:textFill>
              </w:rPr>
              <w:t>②如采用担保机构担保，应为具有备案资质的融资担保机构出具的见索即付无条件担保，且应将原件交至采购人保管。</w:t>
            </w:r>
          </w:p>
          <w:p w14:paraId="2294B649">
            <w:pPr>
              <w:pStyle w:val="13"/>
              <w:widowControl w:val="0"/>
              <w:spacing w:before="0" w:beforeAutospacing="0" w:after="0" w:afterAutospacing="0" w:line="360" w:lineRule="auto"/>
              <w:jc w:val="left"/>
              <w:rPr>
                <w:rFonts w:hint="eastAsia" w:ascii="宋体" w:hAnsi="宋体" w:cs="宋体"/>
              </w:rPr>
            </w:pPr>
            <w:r>
              <w:rPr>
                <w:rFonts w:hint="eastAsia" w:ascii="宋体" w:hAnsi="宋体" w:cs="宋体"/>
                <w:b w:val="0"/>
                <w:color w:val="000000" w:themeColor="text1"/>
                <w:sz w:val="24"/>
                <w14:textFill>
                  <w14:solidFill>
                    <w14:schemeClr w14:val="tx1"/>
                  </w14:solidFill>
                </w14:textFill>
              </w:rPr>
              <w:t>（3）在签订合同时，中标人书面明确表示无需预付款或者主动要求降低预付款比例的，采购人可不适用前述预付款规定。</w:t>
            </w:r>
          </w:p>
        </w:tc>
      </w:tr>
      <w:tr w14:paraId="7BCDE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18" w:type="dxa"/>
            <w:vAlign w:val="center"/>
          </w:tcPr>
          <w:p w14:paraId="3010A5D4">
            <w:pPr>
              <w:pStyle w:val="12"/>
              <w:pBdr>
                <w:bottom w:val="none" w:color="auto" w:sz="0" w:space="0"/>
              </w:pBdr>
              <w:tabs>
                <w:tab w:val="clear" w:pos="4153"/>
                <w:tab w:val="clear" w:pos="8306"/>
              </w:tabs>
              <w:adjustRightInd/>
              <w:spacing w:line="240" w:lineRule="auto"/>
              <w:textAlignment w:val="auto"/>
              <w:rPr>
                <w:rFonts w:hint="eastAsia" w:ascii="宋体" w:hAnsi="宋体" w:cs="宋体"/>
                <w:bCs/>
                <w:kern w:val="2"/>
              </w:rPr>
            </w:pPr>
            <w:r>
              <w:rPr>
                <w:rFonts w:hint="eastAsia" w:ascii="宋体" w:hAnsi="宋体" w:cs="宋体"/>
                <w:bCs/>
                <w:kern w:val="2"/>
              </w:rPr>
              <w:t>2</w:t>
            </w:r>
          </w:p>
        </w:tc>
        <w:tc>
          <w:tcPr>
            <w:tcW w:w="2054" w:type="dxa"/>
            <w:vAlign w:val="center"/>
          </w:tcPr>
          <w:p w14:paraId="09B67988">
            <w:pPr>
              <w:pStyle w:val="13"/>
              <w:widowControl w:val="0"/>
              <w:spacing w:before="0" w:beforeAutospacing="0" w:after="0" w:afterAutospacing="0" w:line="360" w:lineRule="auto"/>
              <w:rPr>
                <w:rFonts w:hint="eastAsia" w:ascii="宋体" w:hAnsi="宋体" w:cs="宋体"/>
                <w:b w:val="0"/>
                <w:sz w:val="24"/>
              </w:rPr>
            </w:pPr>
            <w:r>
              <w:rPr>
                <w:rFonts w:hint="eastAsia" w:ascii="宋体" w:hAnsi="宋体" w:cs="宋体"/>
                <w:b w:val="0"/>
                <w:sz w:val="24"/>
              </w:rPr>
              <w:t>供货及安装地点</w:t>
            </w:r>
          </w:p>
        </w:tc>
        <w:tc>
          <w:tcPr>
            <w:tcW w:w="5544" w:type="dxa"/>
            <w:vAlign w:val="center"/>
          </w:tcPr>
          <w:p w14:paraId="3860FCC5">
            <w:pPr>
              <w:widowControl/>
              <w:spacing w:line="360" w:lineRule="auto"/>
              <w:jc w:val="left"/>
              <w:rPr>
                <w:rFonts w:hint="eastAsia" w:ascii="宋体" w:hAnsi="宋体" w:cs="宋体"/>
                <w:bCs/>
              </w:rPr>
            </w:pPr>
            <w:r>
              <w:rPr>
                <w:rFonts w:hint="eastAsia" w:asciiTheme="majorEastAsia" w:hAnsiTheme="majorEastAsia" w:eastAsiaTheme="majorEastAsia"/>
                <w:szCs w:val="24"/>
              </w:rPr>
              <w:t>安徽大学，或采购人指定地点。</w:t>
            </w:r>
          </w:p>
        </w:tc>
      </w:tr>
      <w:tr w14:paraId="4AB52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18" w:type="dxa"/>
            <w:vAlign w:val="center"/>
          </w:tcPr>
          <w:p w14:paraId="25CCC674">
            <w:pPr>
              <w:pStyle w:val="12"/>
              <w:pBdr>
                <w:bottom w:val="none" w:color="auto" w:sz="0" w:space="0"/>
              </w:pBdr>
              <w:tabs>
                <w:tab w:val="clear" w:pos="4153"/>
                <w:tab w:val="clear" w:pos="8306"/>
              </w:tabs>
              <w:adjustRightInd/>
              <w:spacing w:line="240" w:lineRule="auto"/>
              <w:textAlignment w:val="auto"/>
              <w:rPr>
                <w:rFonts w:hint="eastAsia" w:ascii="宋体" w:hAnsi="宋体" w:cs="宋体"/>
                <w:bCs/>
                <w:kern w:val="2"/>
              </w:rPr>
            </w:pPr>
            <w:r>
              <w:rPr>
                <w:rFonts w:hint="eastAsia" w:ascii="宋体" w:hAnsi="宋体" w:cs="宋体"/>
                <w:bCs/>
                <w:kern w:val="2"/>
              </w:rPr>
              <w:t>3</w:t>
            </w:r>
          </w:p>
        </w:tc>
        <w:tc>
          <w:tcPr>
            <w:tcW w:w="2054" w:type="dxa"/>
            <w:vAlign w:val="center"/>
          </w:tcPr>
          <w:p w14:paraId="3BE629AE">
            <w:pPr>
              <w:pStyle w:val="13"/>
              <w:widowControl w:val="0"/>
              <w:spacing w:before="0" w:beforeAutospacing="0" w:after="0" w:afterAutospacing="0" w:line="360" w:lineRule="auto"/>
              <w:rPr>
                <w:rFonts w:hint="eastAsia" w:ascii="宋体" w:hAnsi="宋体" w:cs="宋体"/>
                <w:b w:val="0"/>
                <w:sz w:val="24"/>
              </w:rPr>
            </w:pPr>
            <w:r>
              <w:rPr>
                <w:rFonts w:hint="eastAsia" w:ascii="宋体" w:hAnsi="宋体" w:cs="宋体"/>
                <w:b w:val="0"/>
                <w:sz w:val="24"/>
              </w:rPr>
              <w:t>供货及安装期限</w:t>
            </w:r>
          </w:p>
        </w:tc>
        <w:tc>
          <w:tcPr>
            <w:tcW w:w="5544" w:type="dxa"/>
            <w:vAlign w:val="center"/>
          </w:tcPr>
          <w:p w14:paraId="07D9D460">
            <w:pPr>
              <w:widowControl/>
              <w:spacing w:line="360" w:lineRule="auto"/>
              <w:jc w:val="left"/>
              <w:rPr>
                <w:rFonts w:hint="eastAsia" w:ascii="宋体" w:hAnsi="宋体" w:cs="宋体"/>
                <w:bCs/>
              </w:rPr>
            </w:pPr>
            <w:r>
              <w:rPr>
                <w:rFonts w:hint="eastAsia" w:ascii="宋体" w:hAnsi="宋体" w:cs="宋体"/>
                <w:bCs/>
              </w:rPr>
              <w:t>合同签订后</w:t>
            </w:r>
            <w:r>
              <w:rPr>
                <w:rFonts w:hint="eastAsia" w:ascii="宋体" w:hAnsi="宋体" w:cs="宋体"/>
                <w:bCs/>
                <w:lang w:val="en-US" w:eastAsia="zh-CN"/>
              </w:rPr>
              <w:t>60个日历日</w:t>
            </w:r>
            <w:r>
              <w:rPr>
                <w:rFonts w:hint="eastAsia" w:ascii="宋体" w:hAnsi="宋体" w:cs="宋体"/>
                <w:bCs/>
              </w:rPr>
              <w:t>内供安装货完毕。</w:t>
            </w:r>
          </w:p>
        </w:tc>
      </w:tr>
      <w:tr w14:paraId="6E7D1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18" w:type="dxa"/>
            <w:vAlign w:val="center"/>
          </w:tcPr>
          <w:p w14:paraId="2327E4B2">
            <w:pPr>
              <w:pStyle w:val="12"/>
              <w:pBdr>
                <w:bottom w:val="none" w:color="auto" w:sz="0" w:space="0"/>
              </w:pBdr>
              <w:tabs>
                <w:tab w:val="clear" w:pos="4153"/>
                <w:tab w:val="clear" w:pos="8306"/>
              </w:tabs>
              <w:adjustRightInd/>
              <w:spacing w:line="240" w:lineRule="auto"/>
              <w:textAlignment w:val="auto"/>
              <w:rPr>
                <w:rFonts w:hint="eastAsia" w:ascii="宋体" w:hAnsi="宋体" w:cs="宋体"/>
                <w:bCs/>
                <w:kern w:val="2"/>
              </w:rPr>
            </w:pPr>
            <w:r>
              <w:rPr>
                <w:rFonts w:hint="eastAsia" w:ascii="宋体" w:hAnsi="宋体" w:cs="宋体"/>
                <w:bCs/>
                <w:kern w:val="2"/>
              </w:rPr>
              <w:t>4</w:t>
            </w:r>
          </w:p>
        </w:tc>
        <w:tc>
          <w:tcPr>
            <w:tcW w:w="2054" w:type="dxa"/>
            <w:vAlign w:val="center"/>
          </w:tcPr>
          <w:p w14:paraId="4C7D3424">
            <w:pPr>
              <w:pStyle w:val="13"/>
              <w:widowControl w:val="0"/>
              <w:spacing w:before="0" w:beforeAutospacing="0" w:after="0" w:afterAutospacing="0" w:line="360" w:lineRule="auto"/>
              <w:rPr>
                <w:rFonts w:hint="eastAsia" w:ascii="宋体" w:hAnsi="宋体" w:cs="宋体"/>
                <w:b w:val="0"/>
                <w:sz w:val="24"/>
              </w:rPr>
            </w:pPr>
            <w:r>
              <w:rPr>
                <w:rFonts w:hint="eastAsia" w:ascii="宋体" w:hAnsi="宋体" w:cs="宋体"/>
                <w:b w:val="0"/>
                <w:sz w:val="24"/>
              </w:rPr>
              <w:t>免费质保期</w:t>
            </w:r>
          </w:p>
        </w:tc>
        <w:tc>
          <w:tcPr>
            <w:tcW w:w="5544" w:type="dxa"/>
            <w:vAlign w:val="center"/>
          </w:tcPr>
          <w:p w14:paraId="7A461ABF">
            <w:pPr>
              <w:widowControl/>
              <w:spacing w:line="360" w:lineRule="auto"/>
              <w:jc w:val="left"/>
              <w:rPr>
                <w:rFonts w:hint="eastAsia" w:ascii="宋体" w:hAnsi="宋体" w:cs="宋体"/>
                <w:bCs/>
              </w:rPr>
            </w:pPr>
            <w:r>
              <w:rPr>
                <w:rFonts w:hint="eastAsia" w:ascii="宋体" w:hAnsi="宋体" w:cs="宋体"/>
                <w:bCs/>
              </w:rPr>
              <w:t>验收合格后1年，所有设备终身维护，货物需求表另有规定的，以货物需求表为准。</w:t>
            </w:r>
          </w:p>
        </w:tc>
      </w:tr>
      <w:tr w14:paraId="16B1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18" w:type="dxa"/>
            <w:vAlign w:val="center"/>
          </w:tcPr>
          <w:p w14:paraId="4F076061">
            <w:pPr>
              <w:pStyle w:val="12"/>
              <w:pBdr>
                <w:bottom w:val="none" w:color="auto" w:sz="0" w:space="0"/>
              </w:pBdr>
              <w:tabs>
                <w:tab w:val="clear" w:pos="4153"/>
                <w:tab w:val="clear" w:pos="8306"/>
              </w:tabs>
              <w:adjustRightInd/>
              <w:spacing w:line="240" w:lineRule="auto"/>
              <w:textAlignment w:val="auto"/>
              <w:rPr>
                <w:rFonts w:hint="eastAsia" w:ascii="宋体" w:hAnsi="宋体" w:cs="宋体"/>
                <w:bCs/>
                <w:kern w:val="2"/>
              </w:rPr>
            </w:pPr>
            <w:bookmarkStart w:id="9" w:name="_Toc1715351726"/>
            <w:bookmarkStart w:id="10" w:name="_Toc1191965283_WPSOffice_Level2"/>
            <w:bookmarkStart w:id="11" w:name="_Toc58935147"/>
            <w:bookmarkStart w:id="12" w:name="_Toc717369146"/>
            <w:bookmarkStart w:id="13" w:name="_Toc1693477008"/>
            <w:bookmarkStart w:id="14" w:name="_Toc302804901"/>
            <w:bookmarkStart w:id="15" w:name="_Toc626387511"/>
            <w:bookmarkStart w:id="16" w:name="_Toc369119811"/>
            <w:r>
              <w:rPr>
                <w:rFonts w:hint="eastAsia" w:ascii="宋体" w:hAnsi="宋体" w:cs="宋体"/>
                <w:bCs/>
                <w:kern w:val="2"/>
              </w:rPr>
              <w:t>5</w:t>
            </w:r>
          </w:p>
        </w:tc>
        <w:tc>
          <w:tcPr>
            <w:tcW w:w="2054" w:type="dxa"/>
            <w:vAlign w:val="center"/>
          </w:tcPr>
          <w:p w14:paraId="69093C08">
            <w:pPr>
              <w:pStyle w:val="13"/>
              <w:widowControl w:val="0"/>
              <w:spacing w:before="0" w:beforeAutospacing="0" w:after="0" w:afterAutospacing="0" w:line="360" w:lineRule="auto"/>
              <w:rPr>
                <w:rFonts w:hint="eastAsia" w:ascii="宋体" w:hAnsi="宋体" w:cs="宋体"/>
                <w:b w:val="0"/>
                <w:sz w:val="24"/>
              </w:rPr>
            </w:pPr>
            <w:r>
              <w:rPr>
                <w:rFonts w:hint="eastAsia" w:ascii="宋体" w:hAnsi="宋体" w:cs="宋体"/>
                <w:b w:val="0"/>
                <w:sz w:val="24"/>
              </w:rPr>
              <w:t>本项目采购标的所属行业</w:t>
            </w:r>
          </w:p>
        </w:tc>
        <w:tc>
          <w:tcPr>
            <w:tcW w:w="5544" w:type="dxa"/>
            <w:vAlign w:val="center"/>
          </w:tcPr>
          <w:p w14:paraId="2250F419">
            <w:pPr>
              <w:widowControl/>
              <w:spacing w:line="360" w:lineRule="auto"/>
              <w:jc w:val="left"/>
              <w:rPr>
                <w:rFonts w:hint="eastAsia" w:ascii="宋体" w:hAnsi="宋体" w:cs="宋体"/>
                <w:bCs/>
              </w:rPr>
            </w:pPr>
            <w:r>
              <w:rPr>
                <w:rFonts w:hint="eastAsia" w:ascii="宋体" w:hAnsi="宋体" w:cs="宋体"/>
                <w:bCs/>
              </w:rPr>
              <w:t>工业。</w:t>
            </w:r>
          </w:p>
        </w:tc>
      </w:tr>
    </w:tbl>
    <w:p w14:paraId="2339B7EF">
      <w:pPr>
        <w:pStyle w:val="3"/>
        <w:numPr>
          <w:ilvl w:val="0"/>
          <w:numId w:val="1"/>
        </w:numPr>
        <w:ind w:firstLine="560"/>
      </w:pPr>
      <w:r>
        <w:rPr>
          <w:rFonts w:hint="eastAsia"/>
        </w:rPr>
        <w:t>货物需求</w:t>
      </w:r>
      <w:bookmarkEnd w:id="9"/>
      <w:bookmarkEnd w:id="10"/>
      <w:bookmarkEnd w:id="11"/>
      <w:bookmarkEnd w:id="12"/>
      <w:bookmarkEnd w:id="13"/>
      <w:bookmarkEnd w:id="14"/>
      <w:bookmarkEnd w:id="15"/>
      <w:bookmarkEnd w:id="16"/>
    </w:p>
    <w:p w14:paraId="78520956">
      <w:pPr>
        <w:pStyle w:val="8"/>
        <w:spacing w:line="500" w:lineRule="exact"/>
        <w:ind w:left="0" w:firstLine="482"/>
        <w:rPr>
          <w:rFonts w:hint="eastAsia" w:ascii="宋体" w:hAnsi="宋体" w:eastAsia="宋体" w:cs="宋体"/>
          <w:b/>
          <w:bCs/>
          <w:sz w:val="24"/>
          <w:szCs w:val="24"/>
        </w:rPr>
      </w:pPr>
      <w:r>
        <w:rPr>
          <w:rFonts w:hint="eastAsia" w:ascii="宋体" w:hAnsi="宋体" w:eastAsia="宋体" w:cs="宋体"/>
          <w:b/>
          <w:bCs/>
          <w:sz w:val="24"/>
          <w:szCs w:val="24"/>
        </w:rPr>
        <w:t>（一）货物指标重要性表述</w:t>
      </w:r>
    </w:p>
    <w:tbl>
      <w:tblPr>
        <w:tblStyle w:val="9"/>
        <w:tblW w:w="9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8"/>
        <w:gridCol w:w="1374"/>
        <w:gridCol w:w="5803"/>
      </w:tblGrid>
      <w:tr w14:paraId="1951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898" w:type="dxa"/>
            <w:vAlign w:val="center"/>
          </w:tcPr>
          <w:p w14:paraId="7E3D2D50">
            <w:pPr>
              <w:spacing w:line="360" w:lineRule="auto"/>
              <w:jc w:val="center"/>
              <w:rPr>
                <w:rFonts w:hint="eastAsia" w:ascii="宋体" w:hAnsi="宋体" w:cs="宋体"/>
                <w:szCs w:val="24"/>
              </w:rPr>
            </w:pPr>
            <w:r>
              <w:rPr>
                <w:rFonts w:hint="eastAsia" w:asciiTheme="majorEastAsia" w:hAnsiTheme="majorEastAsia" w:eastAsiaTheme="majorEastAsia"/>
                <w:b/>
                <w:szCs w:val="24"/>
              </w:rPr>
              <w:t>标识重要性</w:t>
            </w:r>
          </w:p>
        </w:tc>
        <w:tc>
          <w:tcPr>
            <w:tcW w:w="1374" w:type="dxa"/>
            <w:vAlign w:val="center"/>
          </w:tcPr>
          <w:p w14:paraId="0C0046AF">
            <w:pPr>
              <w:spacing w:line="360" w:lineRule="auto"/>
              <w:jc w:val="center"/>
              <w:rPr>
                <w:rFonts w:hint="eastAsia" w:ascii="宋体" w:hAnsi="宋体" w:cs="宋体"/>
                <w:szCs w:val="24"/>
              </w:rPr>
            </w:pPr>
            <w:r>
              <w:rPr>
                <w:rFonts w:hint="eastAsia" w:asciiTheme="majorEastAsia" w:hAnsiTheme="majorEastAsia" w:eastAsiaTheme="majorEastAsia"/>
                <w:b/>
                <w:szCs w:val="24"/>
              </w:rPr>
              <w:t>标识符号</w:t>
            </w:r>
          </w:p>
        </w:tc>
        <w:tc>
          <w:tcPr>
            <w:tcW w:w="5803" w:type="dxa"/>
            <w:vAlign w:val="center"/>
          </w:tcPr>
          <w:p w14:paraId="01A45B5B">
            <w:pPr>
              <w:spacing w:line="360" w:lineRule="auto"/>
              <w:jc w:val="center"/>
              <w:rPr>
                <w:rFonts w:hint="eastAsia" w:ascii="宋体" w:hAnsi="宋体" w:cs="宋体"/>
                <w:szCs w:val="24"/>
              </w:rPr>
            </w:pPr>
            <w:r>
              <w:rPr>
                <w:rFonts w:hint="eastAsia" w:asciiTheme="majorEastAsia" w:hAnsiTheme="majorEastAsia" w:eastAsiaTheme="majorEastAsia"/>
                <w:b/>
                <w:szCs w:val="24"/>
              </w:rPr>
              <w:t>代表意思</w:t>
            </w:r>
          </w:p>
        </w:tc>
      </w:tr>
      <w:tr w14:paraId="0607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898" w:type="dxa"/>
            <w:vAlign w:val="center"/>
          </w:tcPr>
          <w:p w14:paraId="5FE54AA5">
            <w:pPr>
              <w:spacing w:line="360" w:lineRule="auto"/>
              <w:jc w:val="center"/>
              <w:rPr>
                <w:rFonts w:hint="eastAsia" w:ascii="宋体" w:hAnsi="宋体" w:cs="宋体"/>
                <w:szCs w:val="24"/>
              </w:rPr>
            </w:pPr>
            <w:r>
              <w:rPr>
                <w:szCs w:val="18"/>
              </w:rPr>
              <w:t>关键性指标项</w:t>
            </w:r>
          </w:p>
        </w:tc>
        <w:tc>
          <w:tcPr>
            <w:tcW w:w="1374" w:type="dxa"/>
            <w:vAlign w:val="center"/>
          </w:tcPr>
          <w:p w14:paraId="7A6D772A">
            <w:pPr>
              <w:spacing w:line="360" w:lineRule="auto"/>
              <w:jc w:val="center"/>
              <w:rPr>
                <w:rFonts w:hint="eastAsia" w:ascii="宋体" w:hAnsi="宋体" w:cs="宋体"/>
                <w:szCs w:val="24"/>
              </w:rPr>
            </w:pPr>
            <w:r>
              <w:rPr>
                <w:rFonts w:ascii="宋体" w:hAnsi="宋体" w:cs="Segoe UI Symbol"/>
                <w:szCs w:val="18"/>
              </w:rPr>
              <w:t>★</w:t>
            </w:r>
          </w:p>
        </w:tc>
        <w:tc>
          <w:tcPr>
            <w:tcW w:w="5803" w:type="dxa"/>
            <w:vAlign w:val="center"/>
          </w:tcPr>
          <w:p w14:paraId="17E8AE6E">
            <w:pPr>
              <w:spacing w:line="360" w:lineRule="auto"/>
              <w:jc w:val="center"/>
              <w:rPr>
                <w:rFonts w:hint="eastAsia" w:ascii="宋体" w:hAnsi="宋体" w:cs="宋体"/>
                <w:szCs w:val="24"/>
              </w:rPr>
            </w:pPr>
            <w:r>
              <w:rPr>
                <w:rFonts w:hint="eastAsia" w:cs="宋体" w:asciiTheme="majorEastAsia" w:hAnsiTheme="majorEastAsia" w:eastAsiaTheme="majorEastAsia"/>
                <w:szCs w:val="24"/>
              </w:rPr>
              <w:t>不满足该指标项</w:t>
            </w:r>
            <w:r>
              <w:rPr>
                <w:rFonts w:hint="eastAsia" w:ascii="宋体" w:hAnsi="宋体" w:cs="宋体"/>
                <w:sz w:val="24"/>
                <w:szCs w:val="18"/>
              </w:rPr>
              <w:t>将导致投标</w:t>
            </w:r>
            <w:r>
              <w:rPr>
                <w:rFonts w:hint="eastAsia" w:ascii="宋体" w:hAnsi="宋体" w:cs="宋体"/>
                <w:sz w:val="24"/>
                <w:szCs w:val="18"/>
                <w:lang w:val="en-US" w:eastAsia="zh-CN"/>
              </w:rPr>
              <w:t>无效</w:t>
            </w:r>
          </w:p>
        </w:tc>
      </w:tr>
      <w:tr w14:paraId="6F2F5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898" w:type="dxa"/>
            <w:vAlign w:val="center"/>
          </w:tcPr>
          <w:p w14:paraId="78131F0D">
            <w:pPr>
              <w:spacing w:line="360" w:lineRule="auto"/>
              <w:jc w:val="center"/>
              <w:rPr>
                <w:rFonts w:hint="eastAsia" w:ascii="宋体" w:hAnsi="宋体" w:cs="宋体"/>
                <w:szCs w:val="24"/>
              </w:rPr>
            </w:pPr>
            <w:r>
              <w:rPr>
                <w:szCs w:val="18"/>
              </w:rPr>
              <w:t>重要指标项</w:t>
            </w:r>
          </w:p>
        </w:tc>
        <w:tc>
          <w:tcPr>
            <w:tcW w:w="1374" w:type="dxa"/>
            <w:vAlign w:val="center"/>
          </w:tcPr>
          <w:p w14:paraId="109B2AFD">
            <w:pPr>
              <w:spacing w:line="360" w:lineRule="auto"/>
              <w:jc w:val="center"/>
              <w:rPr>
                <w:rFonts w:hint="eastAsia" w:ascii="宋体" w:hAnsi="宋体" w:cs="宋体"/>
                <w:szCs w:val="24"/>
              </w:rPr>
            </w:pPr>
            <w:r>
              <w:rPr>
                <w:rFonts w:ascii="宋体" w:hAnsi="宋体"/>
                <w:szCs w:val="18"/>
              </w:rPr>
              <w:t>■</w:t>
            </w:r>
          </w:p>
        </w:tc>
        <w:tc>
          <w:tcPr>
            <w:tcW w:w="5803" w:type="dxa"/>
            <w:vAlign w:val="center"/>
          </w:tcPr>
          <w:p w14:paraId="2BCCE9BA">
            <w:pPr>
              <w:spacing w:line="360" w:lineRule="auto"/>
              <w:jc w:val="center"/>
              <w:rPr>
                <w:rFonts w:hint="eastAsia" w:ascii="宋体" w:hAnsi="宋体" w:cs="宋体"/>
                <w:szCs w:val="18"/>
              </w:rPr>
            </w:pPr>
            <w:r>
              <w:rPr>
                <w:rFonts w:hint="eastAsia" w:cs="宋体" w:asciiTheme="majorEastAsia" w:hAnsiTheme="majorEastAsia" w:eastAsiaTheme="majorEastAsia"/>
                <w:szCs w:val="24"/>
              </w:rPr>
              <w:t>评分项，每满足一项得</w:t>
            </w:r>
            <w:r>
              <w:rPr>
                <w:rFonts w:hint="eastAsia" w:cs="宋体" w:asciiTheme="majorEastAsia" w:hAnsiTheme="majorEastAsia" w:eastAsiaTheme="majorEastAsia"/>
                <w:szCs w:val="24"/>
                <w:lang w:val="en-US" w:eastAsia="zh-CN"/>
              </w:rPr>
              <w:t>3</w:t>
            </w:r>
            <w:r>
              <w:rPr>
                <w:rFonts w:hint="eastAsia" w:cs="宋体" w:asciiTheme="majorEastAsia" w:hAnsiTheme="majorEastAsia" w:eastAsiaTheme="majorEastAsia"/>
                <w:szCs w:val="24"/>
              </w:rPr>
              <w:t>分</w:t>
            </w:r>
          </w:p>
        </w:tc>
      </w:tr>
      <w:tr w14:paraId="4BC3F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898" w:type="dxa"/>
            <w:vAlign w:val="center"/>
          </w:tcPr>
          <w:p w14:paraId="066E1D85">
            <w:pPr>
              <w:spacing w:line="360" w:lineRule="auto"/>
              <w:jc w:val="center"/>
              <w:rPr>
                <w:rFonts w:hint="eastAsia" w:ascii="宋体" w:hAnsi="宋体" w:cs="宋体"/>
                <w:szCs w:val="18"/>
              </w:rPr>
            </w:pPr>
            <w:r>
              <w:rPr>
                <w:szCs w:val="18"/>
              </w:rPr>
              <w:t>一般指标项</w:t>
            </w:r>
          </w:p>
        </w:tc>
        <w:tc>
          <w:tcPr>
            <w:tcW w:w="1374" w:type="dxa"/>
            <w:vAlign w:val="center"/>
          </w:tcPr>
          <w:p w14:paraId="496F2C97">
            <w:pPr>
              <w:spacing w:line="360" w:lineRule="auto"/>
              <w:jc w:val="center"/>
              <w:rPr>
                <w:rFonts w:hint="eastAsia" w:ascii="宋体" w:hAnsi="宋体" w:cs="宋体"/>
                <w:szCs w:val="24"/>
              </w:rPr>
            </w:pPr>
            <w:bookmarkStart w:id="17" w:name="OLE_LINK3"/>
            <w:bookmarkStart w:id="18" w:name="OLE_LINK4"/>
            <w:r>
              <w:rPr>
                <w:rFonts w:ascii="宋体" w:hAnsi="宋体"/>
                <w:szCs w:val="18"/>
              </w:rPr>
              <w:t>●</w:t>
            </w:r>
            <w:bookmarkEnd w:id="17"/>
            <w:bookmarkEnd w:id="18"/>
          </w:p>
        </w:tc>
        <w:tc>
          <w:tcPr>
            <w:tcW w:w="5803" w:type="dxa"/>
            <w:vAlign w:val="center"/>
          </w:tcPr>
          <w:p w14:paraId="490E7C50">
            <w:pPr>
              <w:spacing w:line="360" w:lineRule="auto"/>
              <w:jc w:val="center"/>
              <w:rPr>
                <w:rFonts w:hint="eastAsia" w:ascii="宋体" w:hAnsi="宋体" w:cs="宋体"/>
                <w:szCs w:val="18"/>
              </w:rPr>
            </w:pPr>
            <w:r>
              <w:rPr>
                <w:rFonts w:hint="eastAsia" w:cs="宋体" w:asciiTheme="majorEastAsia" w:hAnsiTheme="majorEastAsia" w:eastAsiaTheme="majorEastAsia"/>
                <w:szCs w:val="24"/>
              </w:rPr>
              <w:t>评分项，每满足一项得1分</w:t>
            </w:r>
          </w:p>
        </w:tc>
      </w:tr>
      <w:tr w14:paraId="33DC2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898" w:type="dxa"/>
            <w:vAlign w:val="center"/>
          </w:tcPr>
          <w:p w14:paraId="37402E6F">
            <w:pPr>
              <w:spacing w:line="360" w:lineRule="auto"/>
              <w:jc w:val="center"/>
              <w:rPr>
                <w:rFonts w:hint="eastAsia"/>
                <w:szCs w:val="18"/>
              </w:rPr>
            </w:pPr>
            <w:r>
              <w:rPr>
                <w:szCs w:val="18"/>
              </w:rPr>
              <w:t>无标识项</w:t>
            </w:r>
          </w:p>
        </w:tc>
        <w:tc>
          <w:tcPr>
            <w:tcW w:w="1374" w:type="dxa"/>
            <w:vAlign w:val="center"/>
          </w:tcPr>
          <w:p w14:paraId="34421C49">
            <w:pPr>
              <w:spacing w:line="360" w:lineRule="auto"/>
              <w:jc w:val="center"/>
              <w:rPr>
                <w:rFonts w:hint="eastAsia"/>
                <w:bCs/>
                <w:szCs w:val="18"/>
              </w:rPr>
            </w:pPr>
          </w:p>
        </w:tc>
        <w:tc>
          <w:tcPr>
            <w:tcW w:w="5803" w:type="dxa"/>
            <w:vAlign w:val="center"/>
          </w:tcPr>
          <w:p w14:paraId="6743ECB1">
            <w:pPr>
              <w:spacing w:line="360" w:lineRule="auto"/>
              <w:jc w:val="center"/>
              <w:rPr>
                <w:rFonts w:hint="eastAsia" w:ascii="宋体" w:hAnsi="宋体" w:cs="宋体"/>
                <w:szCs w:val="24"/>
              </w:rPr>
            </w:pPr>
            <w:r>
              <w:rPr>
                <w:rFonts w:hint="eastAsia" w:ascii="宋体" w:hAnsi="宋体" w:cs="宋体"/>
                <w:szCs w:val="24"/>
                <w:lang w:val="en-US" w:eastAsia="zh-CN"/>
              </w:rPr>
              <w:t>有5条及以上</w:t>
            </w:r>
            <w:r>
              <w:rPr>
                <w:rFonts w:hint="eastAsia"/>
                <w:lang w:val="en-US" w:eastAsia="zh-CN"/>
              </w:rPr>
              <w:t>未响应或负偏离</w:t>
            </w:r>
            <w:r>
              <w:rPr>
                <w:rFonts w:hint="eastAsia" w:ascii="宋体" w:hAnsi="宋体" w:cs="宋体"/>
                <w:szCs w:val="24"/>
                <w:lang w:val="en-US" w:eastAsia="zh-CN"/>
              </w:rPr>
              <w:t>，将导致投标无效</w:t>
            </w:r>
          </w:p>
        </w:tc>
      </w:tr>
      <w:tr w14:paraId="39C63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9075" w:type="dxa"/>
            <w:gridSpan w:val="3"/>
            <w:vAlign w:val="center"/>
          </w:tcPr>
          <w:p w14:paraId="3AD2885D">
            <w:pPr>
              <w:pStyle w:val="8"/>
              <w:spacing w:line="500" w:lineRule="exact"/>
              <w:ind w:left="0" w:firstLine="0" w:firstLineChars="0"/>
              <w:rPr>
                <w:rFonts w:hint="eastAsia" w:ascii="宋体" w:hAnsi="宋体" w:eastAsia="宋体" w:cs="宋体"/>
                <w:bCs/>
                <w:sz w:val="24"/>
                <w:szCs w:val="24"/>
              </w:rPr>
            </w:pPr>
            <w:r>
              <w:rPr>
                <w:rFonts w:hint="eastAsia" w:ascii="宋体" w:hAnsi="宋体" w:eastAsia="宋体" w:cs="宋体"/>
                <w:bCs/>
                <w:sz w:val="24"/>
                <w:szCs w:val="24"/>
              </w:rPr>
              <w:t>注：如某项标识中包含多条技术参数或要求，则该项标识所含内容均需满足或优于招标文件要求，否则不予认可。</w:t>
            </w:r>
          </w:p>
        </w:tc>
      </w:tr>
    </w:tbl>
    <w:p w14:paraId="041CD0C8">
      <w:pPr>
        <w:pStyle w:val="8"/>
        <w:ind w:left="0" w:firstLine="482"/>
        <w:rPr>
          <w:rFonts w:hint="eastAsia" w:ascii="宋体" w:hAnsi="宋体" w:eastAsia="宋体" w:cs="宋体"/>
          <w:b/>
          <w:bCs/>
          <w:sz w:val="24"/>
          <w:szCs w:val="24"/>
        </w:rPr>
      </w:pPr>
      <w:r>
        <w:rPr>
          <w:rFonts w:hint="eastAsia" w:ascii="宋体" w:hAnsi="宋体" w:eastAsia="宋体" w:cs="宋体"/>
          <w:b/>
          <w:bCs/>
          <w:sz w:val="24"/>
          <w:szCs w:val="24"/>
        </w:rPr>
        <w:t>（二）货物指标要求</w:t>
      </w:r>
    </w:p>
    <w:tbl>
      <w:tblPr>
        <w:tblStyle w:val="9"/>
        <w:tblW w:w="5358" w:type="pct"/>
        <w:tblInd w:w="-3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294"/>
        <w:gridCol w:w="4948"/>
        <w:gridCol w:w="764"/>
        <w:gridCol w:w="730"/>
        <w:gridCol w:w="708"/>
      </w:tblGrid>
      <w:tr w14:paraId="67DA7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376" w:type="pct"/>
            <w:noWrap/>
            <w:vAlign w:val="center"/>
          </w:tcPr>
          <w:p w14:paraId="608248B8">
            <w:pPr>
              <w:pStyle w:val="4"/>
              <w:jc w:val="center"/>
              <w:rPr>
                <w:rFonts w:hint="eastAsia" w:ascii="宋体" w:hAnsi="宋体" w:eastAsia="宋体" w:cs="宋体"/>
              </w:rPr>
            </w:pPr>
            <w:r>
              <w:rPr>
                <w:rFonts w:hint="eastAsia" w:ascii="宋体" w:hAnsi="宋体" w:eastAsia="宋体" w:cs="宋体"/>
              </w:rPr>
              <w:t>序号</w:t>
            </w:r>
          </w:p>
        </w:tc>
        <w:tc>
          <w:tcPr>
            <w:tcW w:w="708" w:type="pct"/>
            <w:noWrap/>
            <w:vAlign w:val="center"/>
          </w:tcPr>
          <w:p w14:paraId="012CA04D">
            <w:pPr>
              <w:pStyle w:val="4"/>
              <w:jc w:val="center"/>
              <w:rPr>
                <w:rFonts w:hint="eastAsia" w:ascii="宋体" w:hAnsi="宋体" w:eastAsia="宋体" w:cs="宋体"/>
              </w:rPr>
            </w:pPr>
            <w:r>
              <w:rPr>
                <w:rFonts w:hint="eastAsia" w:ascii="宋体" w:hAnsi="宋体" w:eastAsia="宋体" w:cs="宋体"/>
              </w:rPr>
              <w:t>货物名称</w:t>
            </w:r>
          </w:p>
        </w:tc>
        <w:tc>
          <w:tcPr>
            <w:tcW w:w="2708" w:type="pct"/>
            <w:noWrap/>
            <w:vAlign w:val="center"/>
          </w:tcPr>
          <w:p w14:paraId="280E5B34">
            <w:pPr>
              <w:pStyle w:val="4"/>
              <w:jc w:val="center"/>
              <w:rPr>
                <w:rFonts w:hint="eastAsia" w:ascii="宋体" w:hAnsi="宋体" w:eastAsia="宋体" w:cs="宋体"/>
              </w:rPr>
            </w:pPr>
            <w:r>
              <w:rPr>
                <w:rFonts w:hint="eastAsia" w:ascii="宋体" w:hAnsi="宋体" w:eastAsia="宋体" w:cs="宋体"/>
              </w:rPr>
              <w:t>技术参数及要求</w:t>
            </w:r>
          </w:p>
        </w:tc>
        <w:tc>
          <w:tcPr>
            <w:tcW w:w="418" w:type="pct"/>
            <w:noWrap/>
            <w:vAlign w:val="center"/>
          </w:tcPr>
          <w:p w14:paraId="49CD9A54">
            <w:pPr>
              <w:pStyle w:val="4"/>
              <w:jc w:val="center"/>
              <w:rPr>
                <w:rFonts w:hint="eastAsia" w:ascii="宋体" w:hAnsi="宋体" w:eastAsia="宋体" w:cs="宋体"/>
              </w:rPr>
            </w:pPr>
            <w:r>
              <w:rPr>
                <w:rFonts w:hint="eastAsia" w:ascii="宋体" w:hAnsi="宋体" w:eastAsia="宋体" w:cs="宋体"/>
              </w:rPr>
              <w:t>数量</w:t>
            </w:r>
          </w:p>
        </w:tc>
        <w:tc>
          <w:tcPr>
            <w:tcW w:w="399" w:type="pct"/>
            <w:noWrap/>
            <w:vAlign w:val="center"/>
          </w:tcPr>
          <w:p w14:paraId="6FA675F2">
            <w:pPr>
              <w:pStyle w:val="4"/>
              <w:jc w:val="center"/>
              <w:rPr>
                <w:rFonts w:hint="eastAsia" w:ascii="宋体" w:hAnsi="宋体" w:eastAsia="宋体" w:cs="宋体"/>
              </w:rPr>
            </w:pPr>
            <w:r>
              <w:rPr>
                <w:rFonts w:hint="eastAsia" w:ascii="宋体" w:hAnsi="宋体" w:eastAsia="宋体" w:cs="宋体"/>
              </w:rPr>
              <w:t>单位</w:t>
            </w:r>
          </w:p>
        </w:tc>
        <w:tc>
          <w:tcPr>
            <w:tcW w:w="387" w:type="pct"/>
            <w:noWrap/>
            <w:vAlign w:val="center"/>
          </w:tcPr>
          <w:p w14:paraId="787F04AC">
            <w:pPr>
              <w:pStyle w:val="4"/>
              <w:jc w:val="center"/>
              <w:rPr>
                <w:rFonts w:hint="eastAsia" w:ascii="宋体" w:hAnsi="宋体" w:eastAsia="宋体" w:cs="宋体"/>
              </w:rPr>
            </w:pPr>
            <w:r>
              <w:rPr>
                <w:rFonts w:hint="eastAsia" w:ascii="宋体" w:hAnsi="宋体" w:eastAsia="宋体" w:cs="宋体"/>
              </w:rPr>
              <w:t>备注</w:t>
            </w:r>
          </w:p>
        </w:tc>
      </w:tr>
      <w:tr w14:paraId="265F1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376" w:type="pct"/>
            <w:noWrap/>
            <w:vAlign w:val="center"/>
          </w:tcPr>
          <w:p w14:paraId="23E88FD2">
            <w:pPr>
              <w:pStyle w:val="4"/>
              <w:jc w:val="center"/>
              <w:rPr>
                <w:rFonts w:hint="eastAsia" w:ascii="宋体" w:hAnsi="宋体" w:eastAsia="宋体" w:cs="宋体"/>
              </w:rPr>
            </w:pPr>
            <w:r>
              <w:rPr>
                <w:rFonts w:hint="eastAsia" w:ascii="宋体" w:hAnsi="宋体" w:eastAsia="宋体" w:cs="宋体"/>
              </w:rPr>
              <w:t>1</w:t>
            </w:r>
          </w:p>
        </w:tc>
        <w:tc>
          <w:tcPr>
            <w:tcW w:w="708" w:type="pct"/>
            <w:shd w:val="clear" w:color="auto" w:fill="auto"/>
            <w:vAlign w:val="center"/>
          </w:tcPr>
          <w:p w14:paraId="1328CB83">
            <w:pPr>
              <w:keepNext w:val="0"/>
              <w:keepLines w:val="0"/>
              <w:widowControl/>
              <w:suppressLineNumbers w:val="0"/>
              <w:jc w:val="center"/>
              <w:textAlignment w:val="center"/>
              <w:rPr>
                <w:rFonts w:hint="eastAsia" w:ascii="宋体" w:hAnsi="宋体" w:eastAsia="宋体" w:cs="宋体"/>
                <w:bCs/>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化学气相沉积仪</w:t>
            </w:r>
          </w:p>
        </w:tc>
        <w:tc>
          <w:tcPr>
            <w:tcW w:w="2708" w:type="pct"/>
            <w:shd w:val="clear" w:color="auto" w:fill="auto"/>
            <w:vAlign w:val="center"/>
          </w:tcPr>
          <w:p w14:paraId="27A5BD8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■1、加热区：Φ80×</w:t>
            </w:r>
            <w:r>
              <w:rPr>
                <w:rFonts w:hint="eastAsia" w:ascii="宋体" w:hAnsi="宋体" w:cs="宋体"/>
                <w:i w:val="0"/>
                <w:iCs w:val="0"/>
                <w:color w:val="000000"/>
                <w:kern w:val="0"/>
                <w:sz w:val="24"/>
                <w:szCs w:val="24"/>
                <w:u w:val="none"/>
                <w:lang w:val="en-US" w:eastAsia="zh-CN" w:bidi="ar"/>
              </w:rPr>
              <w:t>26</w:t>
            </w:r>
            <w:r>
              <w:rPr>
                <w:rFonts w:hint="eastAsia" w:ascii="宋体" w:hAnsi="宋体" w:eastAsia="宋体" w:cs="宋体"/>
                <w:i w:val="0"/>
                <w:iCs w:val="0"/>
                <w:color w:val="000000"/>
                <w:kern w:val="0"/>
                <w:sz w:val="24"/>
                <w:szCs w:val="24"/>
                <w:u w:val="none"/>
                <w:lang w:val="en-US" w:eastAsia="zh-CN" w:bidi="ar"/>
              </w:rPr>
              <w:t>0mm+Φ80×</w:t>
            </w:r>
            <w:r>
              <w:rPr>
                <w:rFonts w:hint="eastAsia" w:ascii="宋体" w:hAnsi="宋体" w:cs="宋体"/>
                <w:i w:val="0"/>
                <w:iCs w:val="0"/>
                <w:color w:val="000000"/>
                <w:kern w:val="0"/>
                <w:sz w:val="24"/>
                <w:szCs w:val="24"/>
                <w:u w:val="none"/>
                <w:lang w:val="en-US" w:eastAsia="zh-CN" w:bidi="ar"/>
              </w:rPr>
              <w:t>26</w:t>
            </w:r>
            <w:r>
              <w:rPr>
                <w:rFonts w:hint="eastAsia" w:ascii="宋体" w:hAnsi="宋体" w:eastAsia="宋体" w:cs="宋体"/>
                <w:i w:val="0"/>
                <w:iCs w:val="0"/>
                <w:color w:val="000000"/>
                <w:kern w:val="0"/>
                <w:sz w:val="24"/>
                <w:szCs w:val="24"/>
                <w:u w:val="none"/>
                <w:lang w:val="en-US" w:eastAsia="zh-CN" w:bidi="ar"/>
              </w:rPr>
              <w:t>0mm</w:t>
            </w:r>
            <w:r>
              <w:rPr>
                <w:rFonts w:hint="eastAsia" w:ascii="宋体" w:hAnsi="宋体" w:cs="宋体"/>
                <w:i w:val="0"/>
                <w:iCs w:val="0"/>
                <w:color w:val="000000"/>
                <w:kern w:val="0"/>
                <w:sz w:val="24"/>
                <w:szCs w:val="24"/>
                <w:u w:val="none"/>
                <w:lang w:val="en-US" w:eastAsia="zh-CN" w:bidi="ar"/>
              </w:rPr>
              <w:t>（±5%）</w:t>
            </w:r>
            <w:r>
              <w:rPr>
                <w:rFonts w:hint="eastAsia" w:ascii="宋体" w:hAnsi="宋体" w:eastAsia="宋体" w:cs="宋体"/>
                <w:i w:val="0"/>
                <w:iCs w:val="0"/>
                <w:color w:val="000000"/>
                <w:kern w:val="0"/>
                <w:sz w:val="24"/>
                <w:szCs w:val="24"/>
                <w:u w:val="none"/>
                <w:lang w:val="en-US" w:eastAsia="zh-CN" w:bidi="ar"/>
              </w:rPr>
              <w:t>，可装载3英寸样品</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（投标文件</w:t>
            </w:r>
            <w:r>
              <w:rPr>
                <w:rFonts w:hint="eastAsia" w:asciiTheme="minorEastAsia" w:hAnsiTheme="minorEastAsia" w:eastAsiaTheme="minorEastAsia" w:cstheme="minorEastAsia"/>
                <w:b/>
                <w:bCs/>
                <w:color w:val="000000" w:themeColor="text1"/>
                <w:kern w:val="0"/>
                <w:sz w:val="24"/>
                <w:szCs w:val="24"/>
                <w:lang w:val="en-US" w:eastAsia="zh-CN" w:bidi="ar"/>
                <w14:textFill>
                  <w14:solidFill>
                    <w14:schemeClr w14:val="tx1"/>
                  </w14:solidFill>
                </w14:textFill>
              </w:rPr>
              <w:t>中须</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提供产品彩页或官网功能截图或技术白皮书作为证明文件）</w:t>
            </w:r>
            <w:r>
              <w:rPr>
                <w:rFonts w:hint="eastAsia" w:ascii="宋体" w:hAnsi="宋体" w:eastAsia="宋体" w:cs="宋体"/>
                <w:i w:val="0"/>
                <w:iCs w:val="0"/>
                <w:color w:val="000000"/>
                <w:kern w:val="0"/>
                <w:sz w:val="24"/>
                <w:szCs w:val="24"/>
                <w:u w:val="none"/>
                <w:lang w:val="en-US" w:eastAsia="zh-CN" w:bidi="ar"/>
              </w:rPr>
              <w:t>；</w:t>
            </w:r>
          </w:p>
          <w:p w14:paraId="3D76E69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2、恒温区尺寸：</w:t>
            </w: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00mm+</w:t>
            </w: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00mm</w:t>
            </w:r>
            <w:r>
              <w:rPr>
                <w:rFonts w:hint="eastAsia" w:ascii="宋体" w:hAnsi="宋体" w:cs="宋体"/>
                <w:i w:val="0"/>
                <w:iCs w:val="0"/>
                <w:color w:val="000000"/>
                <w:kern w:val="0"/>
                <w:sz w:val="24"/>
                <w:szCs w:val="24"/>
                <w:u w:val="none"/>
                <w:lang w:val="en-US" w:eastAsia="zh-CN" w:bidi="ar"/>
              </w:rPr>
              <w:t>（±5%）</w:t>
            </w:r>
            <w:r>
              <w:rPr>
                <w:rFonts w:hint="eastAsia" w:ascii="宋体" w:hAnsi="宋体" w:eastAsia="宋体" w:cs="宋体"/>
                <w:i w:val="0"/>
                <w:iCs w:val="0"/>
                <w:color w:val="000000"/>
                <w:kern w:val="0"/>
                <w:sz w:val="24"/>
                <w:szCs w:val="24"/>
                <w:u w:val="none"/>
                <w:lang w:val="en-US" w:eastAsia="zh-CN" w:bidi="ar"/>
              </w:rPr>
              <w:t>；</w:t>
            </w:r>
          </w:p>
          <w:p w14:paraId="037FF12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3、炉管长度：1200mm</w:t>
            </w:r>
            <w:r>
              <w:rPr>
                <w:rFonts w:hint="eastAsia" w:ascii="宋体" w:hAnsi="宋体" w:cs="宋体"/>
                <w:i w:val="0"/>
                <w:iCs w:val="0"/>
                <w:color w:val="000000"/>
                <w:kern w:val="0"/>
                <w:sz w:val="24"/>
                <w:szCs w:val="24"/>
                <w:u w:val="none"/>
                <w:lang w:val="en-US" w:eastAsia="zh-CN" w:bidi="ar"/>
              </w:rPr>
              <w:t>（±5%）</w:t>
            </w:r>
            <w:r>
              <w:rPr>
                <w:rFonts w:hint="eastAsia" w:ascii="宋体" w:hAnsi="宋体" w:eastAsia="宋体" w:cs="宋体"/>
                <w:i w:val="0"/>
                <w:iCs w:val="0"/>
                <w:color w:val="000000"/>
                <w:kern w:val="0"/>
                <w:sz w:val="24"/>
                <w:szCs w:val="24"/>
                <w:u w:val="none"/>
                <w:lang w:val="en-US" w:eastAsia="zh-CN" w:bidi="ar"/>
              </w:rPr>
              <w:t>；</w:t>
            </w:r>
          </w:p>
          <w:p w14:paraId="6D21FB0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■4、最高温度:≥1200℃</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（投标文件</w:t>
            </w:r>
            <w:r>
              <w:rPr>
                <w:rFonts w:hint="eastAsia" w:asciiTheme="minorEastAsia" w:hAnsiTheme="minorEastAsia" w:eastAsiaTheme="minorEastAsia" w:cstheme="minorEastAsia"/>
                <w:b/>
                <w:bCs/>
                <w:color w:val="000000" w:themeColor="text1"/>
                <w:kern w:val="0"/>
                <w:sz w:val="24"/>
                <w:szCs w:val="24"/>
                <w:lang w:val="en-US" w:eastAsia="zh-CN" w:bidi="ar"/>
                <w14:textFill>
                  <w14:solidFill>
                    <w14:schemeClr w14:val="tx1"/>
                  </w14:solidFill>
                </w14:textFill>
              </w:rPr>
              <w:t>中须</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提供产品彩页或官网功能截图或技术白皮书作为证明文件）</w:t>
            </w:r>
            <w:r>
              <w:rPr>
                <w:rFonts w:hint="eastAsia" w:ascii="宋体" w:hAnsi="宋体" w:eastAsia="宋体" w:cs="宋体"/>
                <w:i w:val="0"/>
                <w:iCs w:val="0"/>
                <w:color w:val="000000"/>
                <w:kern w:val="0"/>
                <w:sz w:val="24"/>
                <w:szCs w:val="24"/>
                <w:u w:val="none"/>
                <w:lang w:val="en-US" w:eastAsia="zh-CN" w:bidi="ar"/>
              </w:rPr>
              <w:t>；</w:t>
            </w:r>
          </w:p>
          <w:p w14:paraId="4CCDF67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5、连续工作温度：≥1100℃；</w:t>
            </w:r>
          </w:p>
          <w:p w14:paraId="789B83F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6、炉体结构：双层壳体结构，并带有风冷系统，炉壳表面温度≤60℃；</w:t>
            </w:r>
          </w:p>
          <w:p w14:paraId="10CC9ED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7、升温速率：0-30℃可调，推荐升温速率：≤10℃/min；</w:t>
            </w:r>
          </w:p>
          <w:p w14:paraId="559BF71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●8、炉膛结构：一体化紧凑设计，台阶式拼接结构，符合力学定律，加热时受力均匀，热能不易散失</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（投标文件</w:t>
            </w:r>
            <w:r>
              <w:rPr>
                <w:rFonts w:hint="eastAsia" w:asciiTheme="minorEastAsia" w:hAnsiTheme="minorEastAsia" w:eastAsiaTheme="minorEastAsia" w:cstheme="minorEastAsia"/>
                <w:b/>
                <w:bCs/>
                <w:color w:val="000000" w:themeColor="text1"/>
                <w:kern w:val="0"/>
                <w:sz w:val="24"/>
                <w:szCs w:val="24"/>
                <w:lang w:val="en-US" w:eastAsia="zh-CN" w:bidi="ar"/>
                <w14:textFill>
                  <w14:solidFill>
                    <w14:schemeClr w14:val="tx1"/>
                  </w14:solidFill>
                </w14:textFill>
              </w:rPr>
              <w:t>中须</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提供产品彩页或官网功能截图或技术白皮书作为证明文件）</w:t>
            </w:r>
            <w:r>
              <w:rPr>
                <w:rFonts w:hint="eastAsia" w:ascii="宋体" w:hAnsi="宋体" w:eastAsia="宋体" w:cs="宋体"/>
                <w:i w:val="0"/>
                <w:iCs w:val="0"/>
                <w:color w:val="000000"/>
                <w:kern w:val="0"/>
                <w:sz w:val="24"/>
                <w:szCs w:val="24"/>
                <w:u w:val="none"/>
                <w:lang w:val="en-US" w:eastAsia="zh-CN" w:bidi="ar"/>
              </w:rPr>
              <w:t>；</w:t>
            </w:r>
          </w:p>
          <w:p w14:paraId="20E3A54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9、炉膛材质：氧化铝多晶体陶瓷纤维，耐急冷急热；</w:t>
            </w:r>
          </w:p>
          <w:p w14:paraId="6F5D27D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10、密封法兰：配有一套304不锈钢密封法兰，采用硅胶密封圈密封。不锈钢真空法兰安装在炉管的两端，便于组装。左端法兰采用1/4英寸的卡套接头，用于通入反应气体；</w:t>
            </w:r>
          </w:p>
          <w:p w14:paraId="5D0FE53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11、抽气速率：抽气速率≥2L/S，配压差充气阀；</w:t>
            </w:r>
          </w:p>
          <w:p w14:paraId="150CE40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12、极限真空：≤2×10</w:t>
            </w:r>
            <w:r>
              <w:rPr>
                <w:rFonts w:hint="eastAsia" w:ascii="宋体" w:hAnsi="宋体" w:eastAsia="宋体" w:cs="宋体"/>
                <w:i w:val="0"/>
                <w:iCs w:val="0"/>
                <w:color w:val="000000"/>
                <w:kern w:val="0"/>
                <w:sz w:val="24"/>
                <w:szCs w:val="24"/>
                <w:u w:val="none"/>
                <w:vertAlign w:val="superscript"/>
                <w:lang w:val="en-US" w:eastAsia="zh-CN" w:bidi="ar"/>
              </w:rPr>
              <w:t>-1</w:t>
            </w:r>
            <w:r>
              <w:rPr>
                <w:rFonts w:hint="eastAsia" w:ascii="宋体" w:hAnsi="宋体" w:eastAsia="宋体" w:cs="宋体"/>
                <w:i w:val="0"/>
                <w:iCs w:val="0"/>
                <w:color w:val="000000"/>
                <w:kern w:val="0"/>
                <w:sz w:val="24"/>
                <w:szCs w:val="24"/>
                <w:u w:val="none"/>
                <w:lang w:val="en-US" w:eastAsia="zh-CN" w:bidi="ar"/>
              </w:rPr>
              <w:t>Pa；</w:t>
            </w:r>
          </w:p>
          <w:p w14:paraId="4D165A2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13、温度控制：50段智能可编程PID自整定，一键操作，自动升温，自动降温，无需守值。控温精度±1℃；</w:t>
            </w:r>
          </w:p>
          <w:p w14:paraId="7DA3BA8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●14、供气系统：多路气体流量计最大量程不小于200sccm；流量计控制精度不大于±1%；前端带截止阀</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（投标文件</w:t>
            </w:r>
            <w:r>
              <w:rPr>
                <w:rFonts w:hint="eastAsia" w:asciiTheme="minorEastAsia" w:hAnsiTheme="minorEastAsia" w:eastAsiaTheme="minorEastAsia" w:cstheme="minorEastAsia"/>
                <w:b/>
                <w:bCs/>
                <w:color w:val="000000" w:themeColor="text1"/>
                <w:kern w:val="0"/>
                <w:sz w:val="24"/>
                <w:szCs w:val="24"/>
                <w:lang w:val="en-US" w:eastAsia="zh-CN" w:bidi="ar"/>
                <w14:textFill>
                  <w14:solidFill>
                    <w14:schemeClr w14:val="tx1"/>
                  </w14:solidFill>
                </w14:textFill>
              </w:rPr>
              <w:t>中须</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提供产品彩页或官网功能截图或技术白皮书作为证明文件）</w:t>
            </w:r>
            <w:r>
              <w:rPr>
                <w:rFonts w:hint="eastAsia" w:ascii="宋体" w:hAnsi="宋体" w:eastAsia="宋体" w:cs="宋体"/>
                <w:i w:val="0"/>
                <w:iCs w:val="0"/>
                <w:color w:val="000000"/>
                <w:kern w:val="0"/>
                <w:sz w:val="24"/>
                <w:szCs w:val="24"/>
                <w:u w:val="none"/>
                <w:lang w:val="en-US" w:eastAsia="zh-CN" w:bidi="ar"/>
              </w:rPr>
              <w:t>；</w:t>
            </w:r>
          </w:p>
          <w:p w14:paraId="6B1060B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15、安全保护：具有偏温保护、超温保护、断偶保护、超流保护、超压保护等保护功能</w:t>
            </w:r>
            <w:r>
              <w:rPr>
                <w:rFonts w:hint="eastAsia" w:ascii="宋体" w:hAnsi="宋体" w:cs="宋体"/>
                <w:i w:val="0"/>
                <w:iCs w:val="0"/>
                <w:color w:val="000000"/>
                <w:kern w:val="0"/>
                <w:sz w:val="24"/>
                <w:szCs w:val="24"/>
                <w:u w:val="none"/>
                <w:lang w:val="en-US" w:eastAsia="zh-CN" w:bidi="ar"/>
              </w:rPr>
              <w:t>；</w:t>
            </w:r>
          </w:p>
          <w:p w14:paraId="2BAE67AA">
            <w:pPr>
              <w:keepNext w:val="0"/>
              <w:keepLines w:val="0"/>
              <w:widowControl/>
              <w:suppressLineNumbers w:val="0"/>
              <w:jc w:val="left"/>
              <w:textAlignment w:val="center"/>
              <w:rPr>
                <w:rFonts w:hint="eastAsia" w:ascii="宋体" w:hAnsi="宋体" w:eastAsia="宋体" w:cs="宋体"/>
                <w:bCs/>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16、工艺气体：化学沉积专用高纯气体含减压阀。</w:t>
            </w:r>
          </w:p>
        </w:tc>
        <w:tc>
          <w:tcPr>
            <w:tcW w:w="418" w:type="pct"/>
            <w:noWrap/>
            <w:vAlign w:val="center"/>
          </w:tcPr>
          <w:p w14:paraId="2F967BA6">
            <w:pPr>
              <w:pStyle w:val="4"/>
              <w:jc w:val="center"/>
              <w:rPr>
                <w:rFonts w:hint="eastAsia" w:ascii="宋体" w:hAnsi="宋体" w:eastAsia="宋体" w:cs="宋体"/>
                <w:lang w:val="en-US" w:eastAsia="zh-CN"/>
              </w:rPr>
            </w:pPr>
            <w:r>
              <w:rPr>
                <w:rFonts w:hint="eastAsia" w:ascii="宋体" w:hAnsi="宋体" w:eastAsia="宋体" w:cs="宋体"/>
                <w:lang w:val="en-US" w:eastAsia="zh-CN"/>
              </w:rPr>
              <w:t>4</w:t>
            </w:r>
          </w:p>
        </w:tc>
        <w:tc>
          <w:tcPr>
            <w:tcW w:w="399" w:type="pct"/>
            <w:noWrap/>
            <w:vAlign w:val="center"/>
          </w:tcPr>
          <w:p w14:paraId="3B126553">
            <w:pPr>
              <w:pStyle w:val="4"/>
              <w:jc w:val="center"/>
              <w:rPr>
                <w:rFonts w:hint="eastAsia" w:ascii="宋体" w:hAnsi="宋体" w:eastAsia="宋体" w:cs="宋体"/>
                <w:lang w:val="en-US" w:eastAsia="zh-CN"/>
              </w:rPr>
            </w:pPr>
            <w:r>
              <w:rPr>
                <w:rFonts w:hint="eastAsia" w:ascii="宋体" w:hAnsi="宋体" w:eastAsia="宋体" w:cs="宋体"/>
                <w:lang w:val="en-US" w:eastAsia="zh-CN"/>
              </w:rPr>
              <w:t>台</w:t>
            </w:r>
          </w:p>
        </w:tc>
        <w:tc>
          <w:tcPr>
            <w:tcW w:w="387" w:type="pct"/>
            <w:noWrap/>
            <w:vAlign w:val="center"/>
          </w:tcPr>
          <w:p w14:paraId="4A1AEB5C">
            <w:pPr>
              <w:pStyle w:val="4"/>
              <w:jc w:val="center"/>
              <w:rPr>
                <w:rFonts w:hint="eastAsia" w:ascii="宋体" w:hAnsi="宋体" w:eastAsia="宋体" w:cs="宋体"/>
              </w:rPr>
            </w:pPr>
          </w:p>
        </w:tc>
      </w:tr>
      <w:tr w14:paraId="0E795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376" w:type="pct"/>
            <w:noWrap/>
            <w:vAlign w:val="center"/>
          </w:tcPr>
          <w:p w14:paraId="3187FECE">
            <w:pPr>
              <w:pStyle w:val="4"/>
              <w:jc w:val="center"/>
              <w:rPr>
                <w:rFonts w:hint="eastAsia" w:ascii="宋体" w:hAnsi="宋体" w:eastAsia="宋体" w:cs="宋体"/>
                <w:lang w:val="en-US" w:eastAsia="zh-CN"/>
              </w:rPr>
            </w:pPr>
            <w:r>
              <w:rPr>
                <w:rFonts w:hint="eastAsia" w:ascii="宋体" w:hAnsi="宋体" w:eastAsia="宋体" w:cs="宋体"/>
                <w:lang w:val="en-US" w:eastAsia="zh-CN"/>
              </w:rPr>
              <w:t>2</w:t>
            </w:r>
          </w:p>
        </w:tc>
        <w:tc>
          <w:tcPr>
            <w:tcW w:w="708" w:type="pct"/>
            <w:shd w:val="clear" w:color="auto" w:fill="auto"/>
            <w:vAlign w:val="center"/>
          </w:tcPr>
          <w:p w14:paraId="1F31C446">
            <w:pPr>
              <w:pStyle w:val="4"/>
              <w:jc w:val="center"/>
              <w:rPr>
                <w:rFonts w:hint="eastAsia" w:ascii="宋体" w:hAnsi="宋体" w:eastAsia="宋体" w:cs="宋体"/>
                <w:lang w:val="en-US" w:eastAsia="zh-CN"/>
              </w:rPr>
            </w:pPr>
            <w:r>
              <w:rPr>
                <w:rFonts w:hint="eastAsia" w:ascii="宋体" w:hAnsi="宋体" w:eastAsia="宋体" w:cs="宋体"/>
                <w:lang w:val="en-US" w:eastAsia="zh-CN"/>
              </w:rPr>
              <w:t>热蒸发真空镀膜仪</w:t>
            </w:r>
          </w:p>
        </w:tc>
        <w:tc>
          <w:tcPr>
            <w:tcW w:w="2708" w:type="pct"/>
            <w:shd w:val="clear" w:color="auto" w:fill="auto"/>
            <w:vAlign w:val="center"/>
          </w:tcPr>
          <w:p w14:paraId="6A0EA5D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lang w:val="en-US" w:eastAsia="zh-CN"/>
              </w:rPr>
              <w:t>一、</w:t>
            </w:r>
            <w:r>
              <w:rPr>
                <w:rFonts w:hint="eastAsia" w:ascii="宋体" w:hAnsi="宋体" w:eastAsia="宋体" w:cs="宋体"/>
                <w:i w:val="0"/>
                <w:iCs w:val="0"/>
                <w:color w:val="000000"/>
                <w:kern w:val="0"/>
                <w:sz w:val="24"/>
                <w:szCs w:val="24"/>
                <w:u w:val="none"/>
                <w:lang w:val="en-US" w:eastAsia="zh-CN" w:bidi="ar"/>
              </w:rPr>
              <w:t>产品概述</w:t>
            </w:r>
          </w:p>
          <w:p w14:paraId="73457F2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用于蒸镀有机物或金属，可沉积金属（Au，Ag，Al，Ca，Cu，Mg，Ni等）、非金属、化合物（Mo0，LiF等）及有机物材料。</w:t>
            </w:r>
          </w:p>
          <w:p w14:paraId="4E6F9B33">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lang w:val="en-US" w:eastAsia="zh-CN"/>
              </w:rPr>
              <w:t>二、</w:t>
            </w:r>
            <w:r>
              <w:rPr>
                <w:rFonts w:hint="eastAsia" w:ascii="宋体" w:hAnsi="宋体" w:eastAsia="宋体" w:cs="宋体"/>
                <w:i w:val="0"/>
                <w:iCs w:val="0"/>
                <w:color w:val="000000"/>
                <w:kern w:val="0"/>
                <w:sz w:val="24"/>
                <w:szCs w:val="24"/>
                <w:u w:val="none"/>
                <w:lang w:val="en-US" w:eastAsia="zh-CN" w:bidi="ar"/>
              </w:rPr>
              <w:t>主要技术参数</w:t>
            </w:r>
            <w:r>
              <w:rPr>
                <w:rFonts w:hint="eastAsia" w:ascii="宋体" w:hAnsi="宋体" w:cs="宋体"/>
                <w:i w:val="0"/>
                <w:iCs w:val="0"/>
                <w:color w:val="000000"/>
                <w:kern w:val="0"/>
                <w:sz w:val="24"/>
                <w:szCs w:val="24"/>
                <w:u w:val="none"/>
                <w:lang w:val="en-US" w:eastAsia="zh-CN" w:bidi="ar"/>
              </w:rPr>
              <w:t>：</w:t>
            </w:r>
          </w:p>
          <w:p w14:paraId="5D1CB8F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1、薄膜沉积室：304不锈钢腔体；</w:t>
            </w:r>
          </w:p>
          <w:p w14:paraId="49C26C7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●2、抽气系统：采用复合分子泵+直联旋片泵作为真空抽气系统</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（投标文件</w:t>
            </w:r>
            <w:r>
              <w:rPr>
                <w:rFonts w:hint="eastAsia" w:asciiTheme="minorEastAsia" w:hAnsiTheme="minorEastAsia" w:eastAsiaTheme="minorEastAsia" w:cstheme="minorEastAsia"/>
                <w:b/>
                <w:bCs/>
                <w:color w:val="000000" w:themeColor="text1"/>
                <w:kern w:val="0"/>
                <w:sz w:val="24"/>
                <w:szCs w:val="24"/>
                <w:lang w:val="en-US" w:eastAsia="zh-CN" w:bidi="ar"/>
                <w14:textFill>
                  <w14:solidFill>
                    <w14:schemeClr w14:val="tx1"/>
                  </w14:solidFill>
                </w14:textFill>
              </w:rPr>
              <w:t>中须</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提供产品彩页或官网功能截图或技术白皮书作为证明文件）</w:t>
            </w:r>
            <w:r>
              <w:rPr>
                <w:rFonts w:hint="eastAsia" w:ascii="宋体" w:hAnsi="宋体" w:eastAsia="宋体" w:cs="宋体"/>
                <w:i w:val="0"/>
                <w:iCs w:val="0"/>
                <w:color w:val="000000"/>
                <w:kern w:val="0"/>
                <w:sz w:val="24"/>
                <w:szCs w:val="24"/>
                <w:u w:val="none"/>
                <w:lang w:val="en-US" w:eastAsia="zh-CN" w:bidi="ar"/>
              </w:rPr>
              <w:t>；</w:t>
            </w:r>
          </w:p>
          <w:p w14:paraId="478A809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2.1、前级泵：抽气速率≥4L/S，配压差充气阀；</w:t>
            </w:r>
          </w:p>
          <w:p w14:paraId="63747AD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2.2、主抽泵：分子泵，抽气速率：300L/S接口法兰：CF100，转速：≥51000rpm；</w:t>
            </w:r>
          </w:p>
          <w:p w14:paraId="75E57A5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3、真空测量范围：1×10</w:t>
            </w:r>
            <w:r>
              <w:rPr>
                <w:rFonts w:hint="eastAsia" w:ascii="宋体" w:hAnsi="宋体" w:eastAsia="宋体" w:cs="宋体"/>
                <w:i w:val="0"/>
                <w:iCs w:val="0"/>
                <w:color w:val="000000"/>
                <w:kern w:val="0"/>
                <w:sz w:val="24"/>
                <w:szCs w:val="24"/>
                <w:u w:val="none"/>
                <w:vertAlign w:val="superscript"/>
                <w:lang w:val="en-US" w:eastAsia="zh-CN" w:bidi="ar"/>
              </w:rPr>
              <w:t>5</w:t>
            </w:r>
            <w:r>
              <w:rPr>
                <w:rFonts w:hint="eastAsia" w:ascii="宋体" w:hAnsi="宋体" w:eastAsia="宋体" w:cs="宋体"/>
                <w:i w:val="0"/>
                <w:iCs w:val="0"/>
                <w:color w:val="000000"/>
                <w:kern w:val="0"/>
                <w:sz w:val="24"/>
                <w:szCs w:val="24"/>
                <w:u w:val="none"/>
                <w:lang w:val="en-US" w:eastAsia="zh-CN" w:bidi="ar"/>
              </w:rPr>
              <w:t>～1×10</w:t>
            </w:r>
            <w:r>
              <w:rPr>
                <w:rFonts w:hint="eastAsia" w:ascii="宋体" w:hAnsi="宋体" w:eastAsia="宋体" w:cs="宋体"/>
                <w:i w:val="0"/>
                <w:iCs w:val="0"/>
                <w:color w:val="000000"/>
                <w:kern w:val="0"/>
                <w:sz w:val="24"/>
                <w:szCs w:val="24"/>
                <w:u w:val="none"/>
                <w:vertAlign w:val="superscript"/>
                <w:lang w:val="en-US" w:eastAsia="zh-CN" w:bidi="ar"/>
              </w:rPr>
              <w:t>-5</w:t>
            </w:r>
            <w:r>
              <w:rPr>
                <w:rFonts w:hint="eastAsia" w:ascii="宋体" w:hAnsi="宋体" w:eastAsia="宋体" w:cs="宋体"/>
                <w:i w:val="0"/>
                <w:iCs w:val="0"/>
                <w:color w:val="000000"/>
                <w:kern w:val="0"/>
                <w:sz w:val="24"/>
                <w:szCs w:val="24"/>
                <w:u w:val="none"/>
                <w:lang w:val="en-US" w:eastAsia="zh-CN" w:bidi="ar"/>
              </w:rPr>
              <w:t>Pa；</w:t>
            </w:r>
          </w:p>
          <w:p w14:paraId="5D8D4D0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●4、系统性能指标：极限真空度</w:t>
            </w:r>
            <w:r>
              <w:rPr>
                <w:rFonts w:hint="eastAsia"/>
                <w:lang w:val="en-US" w:eastAsia="zh-CN"/>
              </w:rPr>
              <w:t>≥</w:t>
            </w:r>
            <w:r>
              <w:rPr>
                <w:rFonts w:hint="eastAsia" w:ascii="宋体" w:hAnsi="宋体" w:eastAsia="宋体" w:cs="宋体"/>
                <w:i w:val="0"/>
                <w:iCs w:val="0"/>
                <w:color w:val="000000"/>
                <w:kern w:val="0"/>
                <w:sz w:val="24"/>
                <w:szCs w:val="24"/>
                <w:u w:val="none"/>
                <w:lang w:val="en-US" w:eastAsia="zh-CN" w:bidi="ar"/>
              </w:rPr>
              <w:t>7.5×10</w:t>
            </w:r>
            <w:r>
              <w:rPr>
                <w:rFonts w:hint="eastAsia" w:ascii="宋体" w:hAnsi="宋体" w:eastAsia="宋体" w:cs="宋体"/>
                <w:i w:val="0"/>
                <w:iCs w:val="0"/>
                <w:color w:val="000000"/>
                <w:kern w:val="0"/>
                <w:sz w:val="24"/>
                <w:szCs w:val="24"/>
                <w:u w:val="none"/>
                <w:vertAlign w:val="superscript"/>
                <w:lang w:val="en-US" w:eastAsia="zh-CN" w:bidi="ar"/>
              </w:rPr>
              <w:t>-5</w:t>
            </w:r>
            <w:r>
              <w:rPr>
                <w:rFonts w:hint="eastAsia" w:ascii="宋体" w:hAnsi="宋体" w:eastAsia="宋体" w:cs="宋体"/>
                <w:i w:val="0"/>
                <w:iCs w:val="0"/>
                <w:color w:val="000000"/>
                <w:kern w:val="0"/>
                <w:sz w:val="24"/>
                <w:szCs w:val="24"/>
                <w:u w:val="none"/>
                <w:lang w:val="en-US" w:eastAsia="zh-CN" w:bidi="ar"/>
              </w:rPr>
              <w:t>Pa（连续抽气24小时达到）；恢复真空从大气抽至8.0×10</w:t>
            </w:r>
            <w:r>
              <w:rPr>
                <w:rFonts w:hint="eastAsia" w:ascii="宋体" w:hAnsi="宋体" w:eastAsia="宋体" w:cs="宋体"/>
                <w:i w:val="0"/>
                <w:iCs w:val="0"/>
                <w:color w:val="000000"/>
                <w:kern w:val="0"/>
                <w:sz w:val="24"/>
                <w:szCs w:val="24"/>
                <w:u w:val="none"/>
                <w:vertAlign w:val="superscript"/>
                <w:lang w:val="en-US" w:eastAsia="zh-CN" w:bidi="ar"/>
              </w:rPr>
              <w:t>-4</w:t>
            </w:r>
            <w:r>
              <w:rPr>
                <w:rFonts w:hint="eastAsia" w:ascii="宋体" w:hAnsi="宋体" w:eastAsia="宋体" w:cs="宋体"/>
                <w:i w:val="0"/>
                <w:iCs w:val="0"/>
                <w:color w:val="000000"/>
                <w:kern w:val="0"/>
                <w:sz w:val="24"/>
                <w:szCs w:val="24"/>
                <w:u w:val="none"/>
                <w:lang w:val="en-US" w:eastAsia="zh-CN" w:bidi="ar"/>
              </w:rPr>
              <w:t>Pa≤45min，真空室漏率：关机12小时真空度≤5Pa</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（投标文件</w:t>
            </w:r>
            <w:r>
              <w:rPr>
                <w:rFonts w:hint="eastAsia" w:asciiTheme="minorEastAsia" w:hAnsiTheme="minorEastAsia" w:eastAsiaTheme="minorEastAsia" w:cstheme="minorEastAsia"/>
                <w:b/>
                <w:bCs/>
                <w:color w:val="000000" w:themeColor="text1"/>
                <w:kern w:val="0"/>
                <w:sz w:val="24"/>
                <w:szCs w:val="24"/>
                <w:lang w:val="en-US" w:eastAsia="zh-CN" w:bidi="ar"/>
                <w14:textFill>
                  <w14:solidFill>
                    <w14:schemeClr w14:val="tx1"/>
                  </w14:solidFill>
                </w14:textFill>
              </w:rPr>
              <w:t>中须</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提供产品彩页或官网功能截图或技术白皮书作为证明文件）</w:t>
            </w:r>
            <w:r>
              <w:rPr>
                <w:rFonts w:hint="eastAsia" w:ascii="宋体" w:hAnsi="宋体" w:eastAsia="宋体" w:cs="宋体"/>
                <w:i w:val="0"/>
                <w:iCs w:val="0"/>
                <w:color w:val="000000"/>
                <w:kern w:val="0"/>
                <w:sz w:val="24"/>
                <w:szCs w:val="24"/>
                <w:u w:val="none"/>
                <w:lang w:val="en-US" w:eastAsia="zh-CN" w:bidi="ar"/>
              </w:rPr>
              <w:t>；</w:t>
            </w:r>
          </w:p>
          <w:p w14:paraId="1556A40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●5、样品台：最大可装载≥3英寸样品（样品盘直径</w:t>
            </w:r>
            <w:r>
              <w:rPr>
                <w:rFonts w:hint="eastAsia"/>
                <w:lang w:val="en-US" w:eastAsia="zh-CN"/>
              </w:rPr>
              <w:t>≥</w:t>
            </w:r>
            <w:r>
              <w:rPr>
                <w:rFonts w:hint="eastAsia" w:ascii="宋体" w:hAnsi="宋体" w:eastAsia="宋体" w:cs="宋体"/>
                <w:i w:val="0"/>
                <w:iCs w:val="0"/>
                <w:color w:val="000000"/>
                <w:kern w:val="0"/>
                <w:sz w:val="24"/>
                <w:szCs w:val="24"/>
                <w:u w:val="none"/>
                <w:lang w:val="en-US" w:eastAsia="zh-CN" w:bidi="ar"/>
              </w:rPr>
              <w:t>80mm，方片尺寸</w:t>
            </w:r>
            <w:r>
              <w:rPr>
                <w:rFonts w:hint="eastAsia"/>
                <w:lang w:val="en-US" w:eastAsia="zh-CN"/>
              </w:rPr>
              <w:t>≥</w:t>
            </w:r>
            <w:r>
              <w:rPr>
                <w:rFonts w:hint="eastAsia" w:ascii="宋体" w:hAnsi="宋体" w:eastAsia="宋体" w:cs="宋体"/>
                <w:i w:val="0"/>
                <w:iCs w:val="0"/>
                <w:color w:val="000000"/>
                <w:kern w:val="0"/>
                <w:sz w:val="24"/>
                <w:szCs w:val="24"/>
                <w:u w:val="none"/>
                <w:lang w:val="en-US" w:eastAsia="zh-CN" w:bidi="ar"/>
              </w:rPr>
              <w:t>60×60mm），样品台旋转：转速0-30rpm连续可调；手动升降，升降高度0～80mm；样品台可加热，最高温度</w:t>
            </w:r>
            <w:r>
              <w:rPr>
                <w:rFonts w:hint="eastAsia"/>
                <w:lang w:val="en-US" w:eastAsia="zh-CN"/>
              </w:rPr>
              <w:t>≥</w:t>
            </w:r>
            <w:r>
              <w:rPr>
                <w:rFonts w:hint="eastAsia" w:ascii="宋体" w:hAnsi="宋体" w:eastAsia="宋体" w:cs="宋体"/>
                <w:i w:val="0"/>
                <w:iCs w:val="0"/>
                <w:color w:val="000000"/>
                <w:kern w:val="0"/>
                <w:sz w:val="24"/>
                <w:szCs w:val="24"/>
                <w:u w:val="none"/>
                <w:lang w:val="en-US" w:eastAsia="zh-CN" w:bidi="ar"/>
              </w:rPr>
              <w:t>300℃，温度控制精度±0.5℃，可设定升温斜率。加热区内，温度均匀性±5℃</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（投标文件</w:t>
            </w:r>
            <w:r>
              <w:rPr>
                <w:rFonts w:hint="eastAsia" w:asciiTheme="minorEastAsia" w:hAnsiTheme="minorEastAsia" w:eastAsiaTheme="minorEastAsia" w:cstheme="minorEastAsia"/>
                <w:b/>
                <w:bCs/>
                <w:color w:val="000000" w:themeColor="text1"/>
                <w:kern w:val="0"/>
                <w:sz w:val="24"/>
                <w:szCs w:val="24"/>
                <w:lang w:val="en-US" w:eastAsia="zh-CN" w:bidi="ar"/>
                <w14:textFill>
                  <w14:solidFill>
                    <w14:schemeClr w14:val="tx1"/>
                  </w14:solidFill>
                </w14:textFill>
              </w:rPr>
              <w:t>中须</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提供产品彩页或官网功能截图或技术白皮书作为证明文件）</w:t>
            </w:r>
            <w:r>
              <w:rPr>
                <w:rFonts w:hint="eastAsia" w:ascii="宋体" w:hAnsi="宋体" w:cs="宋体"/>
                <w:i w:val="0"/>
                <w:iCs w:val="0"/>
                <w:color w:val="000000"/>
                <w:kern w:val="0"/>
                <w:sz w:val="24"/>
                <w:szCs w:val="24"/>
                <w:u w:val="none"/>
                <w:lang w:val="en-US" w:eastAsia="zh-CN" w:bidi="ar"/>
              </w:rPr>
              <w:t>；</w:t>
            </w:r>
          </w:p>
          <w:p w14:paraId="65FD163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热蒸发单元：水冷紫铜电极3根组成2组蒸发舟；可自由更换为舟式源（钨舟、钼舟）、挂丝源（钨绞丝、钨篮）或坩埚源（用于有机材料和粉状材料的蒸发）；配电动控制挡板组件；可蒸发金属：Au，Ag，Cu，Ni，AL（采用陶瓷坩埚）等低熔点金属；提供热蒸发实验所需的高纯蒸镀金属材料；</w:t>
            </w:r>
          </w:p>
          <w:p w14:paraId="4AA7185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7、蒸发电源：10V/200A稳流电源，电流调节精度0.1A；</w:t>
            </w:r>
          </w:p>
          <w:p w14:paraId="6665C18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8、控制单元：</w:t>
            </w:r>
          </w:p>
          <w:p w14:paraId="078F4FA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■8.1、采用PLC+触摸屏控制，控制面板斜面设计，可实现自动一键式抽真空，蒸发电源手动以方便用户进行镀膜工艺参数的摸索</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（投标文件</w:t>
            </w:r>
            <w:r>
              <w:rPr>
                <w:rFonts w:hint="eastAsia" w:asciiTheme="minorEastAsia" w:hAnsiTheme="minorEastAsia" w:eastAsiaTheme="minorEastAsia" w:cstheme="minorEastAsia"/>
                <w:b/>
                <w:bCs/>
                <w:color w:val="000000" w:themeColor="text1"/>
                <w:kern w:val="0"/>
                <w:sz w:val="24"/>
                <w:szCs w:val="24"/>
                <w:lang w:val="en-US" w:eastAsia="zh-CN" w:bidi="ar"/>
                <w14:textFill>
                  <w14:solidFill>
                    <w14:schemeClr w14:val="tx1"/>
                  </w14:solidFill>
                </w14:textFill>
              </w:rPr>
              <w:t>中须</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提供产品彩页或官网功能截图或技术白皮书作为证明文件）</w:t>
            </w:r>
            <w:r>
              <w:rPr>
                <w:rFonts w:hint="eastAsia" w:ascii="宋体" w:hAnsi="宋体" w:eastAsia="宋体" w:cs="宋体"/>
                <w:i w:val="0"/>
                <w:iCs w:val="0"/>
                <w:color w:val="000000"/>
                <w:kern w:val="0"/>
                <w:sz w:val="24"/>
                <w:szCs w:val="24"/>
                <w:u w:val="none"/>
                <w:lang w:val="en-US" w:eastAsia="zh-CN" w:bidi="ar"/>
              </w:rPr>
              <w:t>；</w:t>
            </w:r>
          </w:p>
          <w:p w14:paraId="52E9CB4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8.2、控制内容：总供电、分子泵、机械泵、阀门；分子泵电源参数显示及开关控制；真空计参数显示及控制；基片台转速控制；基片加热温度控制等；</w:t>
            </w:r>
          </w:p>
          <w:p w14:paraId="5C0E934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8.3、安全保护报警系统：在缺水、水压过低、电源过流、短路等异常情况执行相应保护措施；完善的逻辑程序互锁保护系统；</w:t>
            </w:r>
          </w:p>
          <w:p w14:paraId="687A9D7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8.4、界面配置二维码，通过手机或pad扫描仪器二维码进入操作界面，可查看产品基本信息，关注公众号，查看下载使用说明书，查看产品使用视频；配置线上设备报修服务功能：用户线上注册，注册成功填写联系人、电话、单位、地址、产品名称、产品型号、产品编码、用户意见、故障仪器照片上传进行线上报修</w:t>
            </w:r>
            <w:r>
              <w:rPr>
                <w:rFonts w:hint="eastAsia" w:ascii="宋体" w:hAnsi="宋体" w:eastAsia="宋体" w:cs="宋体"/>
                <w:b/>
                <w:bCs/>
                <w:i w:val="0"/>
                <w:iCs w:val="0"/>
                <w:color w:val="000000"/>
                <w:kern w:val="0"/>
                <w:sz w:val="24"/>
                <w:szCs w:val="24"/>
                <w:u w:val="none"/>
                <w:lang w:val="en-US" w:eastAsia="zh-CN" w:bidi="ar"/>
              </w:rPr>
              <w:t>（投标文件中须提供产品二维码操作界面实物截图并反映上述技术参数）</w:t>
            </w:r>
            <w:r>
              <w:rPr>
                <w:rFonts w:hint="eastAsia" w:ascii="宋体" w:hAnsi="宋体" w:cs="宋体"/>
                <w:b/>
                <w:bCs/>
                <w:i w:val="0"/>
                <w:iCs w:val="0"/>
                <w:color w:val="000000"/>
                <w:kern w:val="0"/>
                <w:sz w:val="24"/>
                <w:szCs w:val="24"/>
                <w:u w:val="none"/>
                <w:lang w:val="en-US" w:eastAsia="zh-CN" w:bidi="ar"/>
              </w:rPr>
              <w:t>；</w:t>
            </w:r>
          </w:p>
          <w:p w14:paraId="1FD2C7B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9、电源电压：AC220V 50Hz；功率：≥3KW；</w:t>
            </w:r>
          </w:p>
          <w:p w14:paraId="54419CA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10、配套附件：工业水冷机1台。</w:t>
            </w:r>
          </w:p>
        </w:tc>
        <w:tc>
          <w:tcPr>
            <w:tcW w:w="418" w:type="pct"/>
            <w:shd w:val="clear" w:color="auto" w:fill="auto"/>
            <w:noWrap/>
            <w:vAlign w:val="center"/>
          </w:tcPr>
          <w:p w14:paraId="2FD32104">
            <w:pPr>
              <w:pStyle w:val="4"/>
              <w:jc w:val="center"/>
              <w:rPr>
                <w:rFonts w:hint="eastAsia" w:ascii="宋体" w:hAnsi="宋体" w:eastAsia="宋体" w:cs="宋体"/>
                <w:lang w:val="en-US" w:eastAsia="zh-CN"/>
              </w:rPr>
            </w:pPr>
            <w:r>
              <w:rPr>
                <w:rFonts w:hint="eastAsia" w:ascii="宋体" w:hAnsi="宋体" w:eastAsia="宋体" w:cs="宋体"/>
                <w:lang w:val="en-US" w:eastAsia="zh-CN"/>
              </w:rPr>
              <w:t>3</w:t>
            </w:r>
          </w:p>
        </w:tc>
        <w:tc>
          <w:tcPr>
            <w:tcW w:w="399" w:type="pct"/>
            <w:noWrap/>
            <w:vAlign w:val="center"/>
          </w:tcPr>
          <w:p w14:paraId="7AAD7F97">
            <w:pPr>
              <w:pStyle w:val="4"/>
              <w:jc w:val="center"/>
            </w:pPr>
          </w:p>
        </w:tc>
        <w:tc>
          <w:tcPr>
            <w:tcW w:w="387" w:type="pct"/>
            <w:noWrap/>
            <w:vAlign w:val="center"/>
          </w:tcPr>
          <w:p w14:paraId="7CE89155">
            <w:pPr>
              <w:pStyle w:val="4"/>
              <w:jc w:val="center"/>
              <w:rPr>
                <w:rFonts w:hint="eastAsia" w:ascii="宋体" w:hAnsi="宋体" w:eastAsia="宋体" w:cs="宋体"/>
              </w:rPr>
            </w:pPr>
          </w:p>
        </w:tc>
      </w:tr>
      <w:tr w14:paraId="1BDD3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376" w:type="pct"/>
            <w:noWrap/>
            <w:vAlign w:val="center"/>
          </w:tcPr>
          <w:p w14:paraId="541D1FC7">
            <w:pPr>
              <w:pStyle w:val="4"/>
              <w:jc w:val="center"/>
              <w:rPr>
                <w:rFonts w:hint="eastAsia" w:ascii="宋体" w:hAnsi="宋体" w:eastAsia="宋体" w:cs="宋体"/>
                <w:lang w:val="en-US" w:eastAsia="zh-CN"/>
              </w:rPr>
            </w:pPr>
            <w:r>
              <w:rPr>
                <w:rFonts w:hint="eastAsia" w:ascii="宋体" w:hAnsi="宋体" w:eastAsia="宋体" w:cs="宋体"/>
                <w:lang w:val="en-US" w:eastAsia="zh-CN"/>
              </w:rPr>
              <w:t>3</w:t>
            </w:r>
          </w:p>
        </w:tc>
        <w:tc>
          <w:tcPr>
            <w:tcW w:w="708" w:type="pct"/>
            <w:shd w:val="clear" w:color="auto" w:fill="auto"/>
            <w:vAlign w:val="center"/>
          </w:tcPr>
          <w:p w14:paraId="3FF52E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3D打印机</w:t>
            </w:r>
          </w:p>
        </w:tc>
        <w:tc>
          <w:tcPr>
            <w:tcW w:w="2708" w:type="pct"/>
            <w:shd w:val="clear" w:color="auto" w:fill="auto"/>
            <w:vAlign w:val="center"/>
          </w:tcPr>
          <w:p w14:paraId="3DCA4F7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1、机器结构：箱体结构，全封闭落地机箱</w:t>
            </w:r>
            <w:r>
              <w:rPr>
                <w:rFonts w:hint="eastAsia" w:ascii="宋体" w:hAnsi="宋体" w:cs="宋体"/>
                <w:i w:val="0"/>
                <w:iCs w:val="0"/>
                <w:color w:val="000000"/>
                <w:kern w:val="0"/>
                <w:sz w:val="24"/>
                <w:szCs w:val="24"/>
                <w:u w:val="none"/>
                <w:lang w:val="en-US" w:eastAsia="zh-CN" w:bidi="ar"/>
              </w:rPr>
              <w:t>；</w:t>
            </w:r>
          </w:p>
          <w:p w14:paraId="3662B7E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2、打印尺寸：300*300*300mm</w:t>
            </w:r>
            <w:r>
              <w:rPr>
                <w:rFonts w:hint="eastAsia" w:ascii="宋体" w:hAnsi="宋体" w:cs="宋体"/>
                <w:i w:val="0"/>
                <w:iCs w:val="0"/>
                <w:color w:val="000000"/>
                <w:kern w:val="0"/>
                <w:sz w:val="24"/>
                <w:szCs w:val="24"/>
                <w:u w:val="none"/>
                <w:lang w:val="en-US" w:eastAsia="zh-CN" w:bidi="ar"/>
              </w:rPr>
              <w:t>（±5%）；</w:t>
            </w:r>
          </w:p>
          <w:p w14:paraId="20FAA5E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3、设备尺寸：435mm*46</w:t>
            </w:r>
            <w:r>
              <w:rPr>
                <w:rFonts w:hint="eastAsia" w:ascii="宋体" w:hAnsi="宋体" w:cs="宋体"/>
                <w:i w:val="0"/>
                <w:iCs w:val="0"/>
                <w:color w:val="000000"/>
                <w:kern w:val="0"/>
                <w:sz w:val="24"/>
                <w:szCs w:val="24"/>
                <w:u w:val="none"/>
                <w:lang w:val="en-US" w:eastAsia="zh-CN" w:bidi="ar"/>
              </w:rPr>
              <w:t>0</w:t>
            </w:r>
            <w:r>
              <w:rPr>
                <w:rFonts w:hint="eastAsia" w:ascii="宋体" w:hAnsi="宋体" w:eastAsia="宋体" w:cs="宋体"/>
                <w:i w:val="0"/>
                <w:iCs w:val="0"/>
                <w:color w:val="000000"/>
                <w:kern w:val="0"/>
                <w:sz w:val="24"/>
                <w:szCs w:val="24"/>
                <w:u w:val="none"/>
                <w:lang w:val="en-US" w:eastAsia="zh-CN" w:bidi="ar"/>
              </w:rPr>
              <w:t>mm*52</w:t>
            </w:r>
            <w:r>
              <w:rPr>
                <w:rFonts w:hint="eastAsia" w:ascii="宋体" w:hAnsi="宋体" w:cs="宋体"/>
                <w:i w:val="0"/>
                <w:iCs w:val="0"/>
                <w:color w:val="000000"/>
                <w:kern w:val="0"/>
                <w:sz w:val="24"/>
                <w:szCs w:val="24"/>
                <w:u w:val="none"/>
                <w:lang w:val="en-US" w:eastAsia="zh-CN" w:bidi="ar"/>
              </w:rPr>
              <w:t>5</w:t>
            </w:r>
            <w:r>
              <w:rPr>
                <w:rFonts w:hint="eastAsia" w:ascii="宋体" w:hAnsi="宋体" w:eastAsia="宋体" w:cs="宋体"/>
                <w:i w:val="0"/>
                <w:iCs w:val="0"/>
                <w:color w:val="000000"/>
                <w:kern w:val="0"/>
                <w:sz w:val="24"/>
                <w:szCs w:val="24"/>
                <w:u w:val="none"/>
                <w:lang w:val="en-US" w:eastAsia="zh-CN" w:bidi="ar"/>
              </w:rPr>
              <w:t>mm（X*Y*Z）</w:t>
            </w:r>
            <w:r>
              <w:rPr>
                <w:rFonts w:hint="eastAsia" w:ascii="宋体" w:hAnsi="宋体" w:cs="宋体"/>
                <w:i w:val="0"/>
                <w:iCs w:val="0"/>
                <w:color w:val="000000"/>
                <w:kern w:val="0"/>
                <w:sz w:val="24"/>
                <w:szCs w:val="24"/>
                <w:u w:val="none"/>
                <w:lang w:val="en-US" w:eastAsia="zh-CN" w:bidi="ar"/>
              </w:rPr>
              <w:t>（±5%）；</w:t>
            </w:r>
          </w:p>
          <w:p w14:paraId="1262905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4、打印速度：</w:t>
            </w:r>
            <w:r>
              <w:rPr>
                <w:rFonts w:hint="eastAsia" w:ascii="宋体" w:hAnsi="宋体" w:cs="宋体"/>
                <w:i w:val="0"/>
                <w:iCs w:val="0"/>
                <w:color w:val="000000"/>
                <w:kern w:val="0"/>
                <w:sz w:val="24"/>
                <w:szCs w:val="24"/>
                <w:u w:val="none"/>
                <w:lang w:val="en-US" w:eastAsia="zh-CN" w:bidi="ar"/>
              </w:rPr>
              <w:t>大于</w:t>
            </w:r>
            <w:r>
              <w:rPr>
                <w:rFonts w:hint="eastAsia" w:ascii="宋体" w:hAnsi="宋体" w:eastAsia="宋体" w:cs="宋体"/>
                <w:i w:val="0"/>
                <w:iCs w:val="0"/>
                <w:color w:val="000000"/>
                <w:kern w:val="0"/>
                <w:sz w:val="24"/>
                <w:szCs w:val="24"/>
                <w:u w:val="none"/>
                <w:lang w:val="en-US" w:eastAsia="zh-CN" w:bidi="ar"/>
              </w:rPr>
              <w:t>12倍速度，</w:t>
            </w:r>
            <w:r>
              <w:rPr>
                <w:rFonts w:hint="eastAsia"/>
                <w:lang w:val="en-US" w:eastAsia="zh-CN"/>
              </w:rPr>
              <w:t>≥</w:t>
            </w:r>
            <w:r>
              <w:rPr>
                <w:rFonts w:hint="eastAsia" w:ascii="宋体" w:hAnsi="宋体" w:eastAsia="宋体" w:cs="宋体"/>
                <w:i w:val="0"/>
                <w:iCs w:val="0"/>
                <w:color w:val="000000"/>
                <w:kern w:val="0"/>
                <w:sz w:val="24"/>
                <w:szCs w:val="24"/>
                <w:u w:val="none"/>
                <w:lang w:val="en-US" w:eastAsia="zh-CN" w:bidi="ar"/>
              </w:rPr>
              <w:t>32mm³/s。超高速打印：最高打印速度</w:t>
            </w:r>
            <w:r>
              <w:rPr>
                <w:rFonts w:hint="eastAsia"/>
                <w:lang w:val="en-US" w:eastAsia="zh-CN"/>
              </w:rPr>
              <w:t>≥</w:t>
            </w:r>
            <w:r>
              <w:rPr>
                <w:rFonts w:hint="eastAsia" w:ascii="宋体" w:hAnsi="宋体" w:eastAsia="宋体" w:cs="宋体"/>
                <w:i w:val="0"/>
                <w:iCs w:val="0"/>
                <w:color w:val="000000"/>
                <w:kern w:val="0"/>
                <w:sz w:val="24"/>
                <w:szCs w:val="24"/>
                <w:u w:val="none"/>
                <w:lang w:val="en-US" w:eastAsia="zh-CN" w:bidi="ar"/>
              </w:rPr>
              <w:t>600mm/s，加速度可</w:t>
            </w:r>
            <w:r>
              <w:rPr>
                <w:rFonts w:hint="eastAsia"/>
                <w:lang w:val="en-US" w:eastAsia="zh-CN"/>
              </w:rPr>
              <w:t>≥</w:t>
            </w:r>
            <w:r>
              <w:rPr>
                <w:rFonts w:hint="eastAsia" w:ascii="宋体" w:hAnsi="宋体" w:eastAsia="宋体" w:cs="宋体"/>
                <w:i w:val="0"/>
                <w:iCs w:val="0"/>
                <w:color w:val="000000"/>
                <w:kern w:val="0"/>
                <w:sz w:val="24"/>
                <w:szCs w:val="24"/>
                <w:u w:val="none"/>
                <w:lang w:val="en-US" w:eastAsia="zh-CN" w:bidi="ar"/>
              </w:rPr>
              <w:t>20000mm/s²</w:t>
            </w:r>
            <w:r>
              <w:rPr>
                <w:rFonts w:hint="eastAsia" w:ascii="宋体" w:hAnsi="宋体" w:cs="宋体"/>
                <w:i w:val="0"/>
                <w:iCs w:val="0"/>
                <w:color w:val="000000"/>
                <w:kern w:val="0"/>
                <w:sz w:val="24"/>
                <w:szCs w:val="24"/>
                <w:u w:val="none"/>
                <w:lang w:val="en-US" w:eastAsia="zh-CN" w:bidi="ar"/>
              </w:rPr>
              <w:t>；</w:t>
            </w:r>
          </w:p>
          <w:p w14:paraId="1E30DD8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5、喷嘴直径：</w:t>
            </w:r>
            <w:r>
              <w:rPr>
                <w:rFonts w:hint="eastAsia"/>
                <w:lang w:val="en-US" w:eastAsia="zh-CN"/>
              </w:rPr>
              <w:t>≥</w:t>
            </w:r>
            <w:r>
              <w:rPr>
                <w:rFonts w:hint="eastAsia" w:ascii="宋体" w:hAnsi="宋体" w:eastAsia="宋体" w:cs="宋体"/>
                <w:i w:val="0"/>
                <w:iCs w:val="0"/>
                <w:color w:val="000000"/>
                <w:kern w:val="0"/>
                <w:sz w:val="24"/>
                <w:szCs w:val="24"/>
                <w:u w:val="none"/>
                <w:lang w:val="en-US" w:eastAsia="zh-CN" w:bidi="ar"/>
              </w:rPr>
              <w:t>0.4mm,一体化喷嘴.</w:t>
            </w:r>
          </w:p>
          <w:p w14:paraId="3432816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6、内置照明灯条，方便夜间查看打印状态。 </w:t>
            </w:r>
          </w:p>
          <w:p w14:paraId="4190EA3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7、喷头结构：近端双齿轮挤出结构，喷头温度最高可达320度，可兼容多种耗材；</w:t>
            </w:r>
          </w:p>
          <w:p w14:paraId="512749B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8、操作界面：4.3英寸RGB触摸屏，支持中、英、日、韩、德、法、俄、西班牙等语言；</w:t>
            </w:r>
          </w:p>
          <w:p w14:paraId="34ED7B9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●9、打印平台：柔性打印平台，1微米高精度AI激光雷达校准，全自动阵列调平</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（投标文件</w:t>
            </w:r>
            <w:r>
              <w:rPr>
                <w:rFonts w:hint="eastAsia" w:asciiTheme="minorEastAsia" w:hAnsiTheme="minorEastAsia" w:eastAsiaTheme="minorEastAsia" w:cstheme="minorEastAsia"/>
                <w:b/>
                <w:bCs/>
                <w:color w:val="000000" w:themeColor="text1"/>
                <w:kern w:val="0"/>
                <w:sz w:val="24"/>
                <w:szCs w:val="24"/>
                <w:lang w:val="en-US" w:eastAsia="zh-CN" w:bidi="ar"/>
                <w14:textFill>
                  <w14:solidFill>
                    <w14:schemeClr w14:val="tx1"/>
                  </w14:solidFill>
                </w14:textFill>
              </w:rPr>
              <w:t>中须</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提供产品彩页或官网功能截图或技术白皮书作为证明文件）</w:t>
            </w:r>
            <w:r>
              <w:rPr>
                <w:rFonts w:hint="eastAsia" w:ascii="宋体" w:hAnsi="宋体" w:eastAsia="宋体" w:cs="宋体"/>
                <w:i w:val="0"/>
                <w:iCs w:val="0"/>
                <w:color w:val="000000"/>
                <w:kern w:val="0"/>
                <w:sz w:val="24"/>
                <w:szCs w:val="24"/>
                <w:u w:val="none"/>
                <w:lang w:val="en-US" w:eastAsia="zh-CN" w:bidi="ar"/>
              </w:rPr>
              <w:t>；</w:t>
            </w:r>
          </w:p>
          <w:p w14:paraId="2DE1689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10、热床温度：最高可达120℃；</w:t>
            </w:r>
          </w:p>
          <w:p w14:paraId="320FE3C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11、打印方式：U盘脱机打印；</w:t>
            </w:r>
          </w:p>
          <w:p w14:paraId="4E7EE59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r>
              <w:rPr>
                <w:rFonts w:hint="eastAsia"/>
                <w:lang w:val="en-US" w:eastAsia="zh-CN"/>
              </w:rPr>
              <w:t>支持各类操作系统；</w:t>
            </w:r>
          </w:p>
          <w:p w14:paraId="5658E71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●13、设置断料监测传感器，支持断料检测。耗材耗尽、断开或出现其他异常状况时，自动暂停打印，等接入耗材后继续打印。内置振动传感器，振纹，层纹优化，有效减少层纹，精准控制Z轴</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（投标文件</w:t>
            </w:r>
            <w:r>
              <w:rPr>
                <w:rFonts w:hint="eastAsia" w:asciiTheme="minorEastAsia" w:hAnsiTheme="minorEastAsia" w:eastAsiaTheme="minorEastAsia" w:cstheme="minorEastAsia"/>
                <w:b/>
                <w:bCs/>
                <w:color w:val="000000" w:themeColor="text1"/>
                <w:kern w:val="0"/>
                <w:sz w:val="24"/>
                <w:szCs w:val="24"/>
                <w:lang w:val="en-US" w:eastAsia="zh-CN" w:bidi="ar"/>
                <w14:textFill>
                  <w14:solidFill>
                    <w14:schemeClr w14:val="tx1"/>
                  </w14:solidFill>
                </w14:textFill>
              </w:rPr>
              <w:t>中须</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提供产品彩页或官网功能截图或技术白皮书作为证明文件）</w:t>
            </w:r>
            <w:r>
              <w:rPr>
                <w:rFonts w:hint="eastAsia" w:ascii="宋体" w:hAnsi="宋体" w:eastAsia="宋体" w:cs="宋体"/>
                <w:i w:val="0"/>
                <w:iCs w:val="0"/>
                <w:color w:val="000000"/>
                <w:kern w:val="0"/>
                <w:sz w:val="24"/>
                <w:szCs w:val="24"/>
                <w:u w:val="none"/>
                <w:lang w:val="en-US" w:eastAsia="zh-CN" w:bidi="ar"/>
              </w:rPr>
              <w:t>；</w:t>
            </w:r>
          </w:p>
          <w:p w14:paraId="3119DE9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14、额定功率：</w:t>
            </w:r>
            <w:r>
              <w:rPr>
                <w:rFonts w:hint="eastAsia"/>
                <w:lang w:val="en-US" w:eastAsia="zh-CN"/>
              </w:rPr>
              <w:t>≥</w:t>
            </w:r>
            <w:r>
              <w:rPr>
                <w:rFonts w:hint="eastAsia" w:ascii="宋体" w:hAnsi="宋体" w:eastAsia="宋体" w:cs="宋体"/>
                <w:i w:val="0"/>
                <w:iCs w:val="0"/>
                <w:color w:val="000000"/>
                <w:kern w:val="0"/>
                <w:sz w:val="24"/>
                <w:szCs w:val="24"/>
                <w:u w:val="none"/>
                <w:lang w:val="en-US" w:eastAsia="zh-CN" w:bidi="ar"/>
              </w:rPr>
              <w:t>350W；</w:t>
            </w:r>
          </w:p>
          <w:p w14:paraId="62097E7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15、打印耗材：TPU（软胶）、PLA、ABS、木材、混色耗材、碳纤维等；</w:t>
            </w:r>
          </w:p>
          <w:p w14:paraId="330DB76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●16、空气过滤系统：自带HEPA空⽓过滤系统，提供有关TVOC、甲醛、乙醛、臭氧、颗粒物的检测报告</w:t>
            </w:r>
            <w:r>
              <w:rPr>
                <w:rFonts w:hint="eastAsia" w:ascii="宋体" w:hAnsi="宋体" w:eastAsia="宋体" w:cs="宋体"/>
                <w:b/>
                <w:bCs/>
                <w:i w:val="0"/>
                <w:iCs w:val="0"/>
                <w:color w:val="000000"/>
                <w:kern w:val="0"/>
                <w:sz w:val="24"/>
                <w:szCs w:val="24"/>
                <w:u w:val="none"/>
                <w:lang w:val="en-US" w:eastAsia="zh-CN" w:bidi="ar"/>
              </w:rPr>
              <w:t>（投标文件中须提供检测报告扫描件）</w:t>
            </w:r>
            <w:r>
              <w:rPr>
                <w:rFonts w:hint="eastAsia" w:ascii="宋体" w:hAnsi="宋体" w:eastAsia="宋体" w:cs="宋体"/>
                <w:i w:val="0"/>
                <w:iCs w:val="0"/>
                <w:color w:val="000000"/>
                <w:kern w:val="0"/>
                <w:sz w:val="24"/>
                <w:szCs w:val="24"/>
                <w:u w:val="none"/>
                <w:lang w:val="en-US" w:eastAsia="zh-CN" w:bidi="ar"/>
              </w:rPr>
              <w:t>；</w:t>
            </w:r>
          </w:p>
          <w:p w14:paraId="3D1F3F9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17、拥有3d打印机显示器UI界面及通讯系统；</w:t>
            </w:r>
          </w:p>
          <w:p w14:paraId="6F01214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18、22智能云控制平台；</w:t>
            </w:r>
          </w:p>
          <w:p w14:paraId="2F43049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19、可直接手机端联机切片，打印，随时观看打印进度；</w:t>
            </w:r>
          </w:p>
          <w:p w14:paraId="14B89E8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20、支持多台手机同时登录控制观看，超大模型库实现在线打印；</w:t>
            </w:r>
          </w:p>
          <w:p w14:paraId="3815171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配置：</w:t>
            </w:r>
          </w:p>
          <w:p w14:paraId="0C78E15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1.一体化3D打印机*1台</w:t>
            </w:r>
            <w:r>
              <w:rPr>
                <w:rFonts w:hint="eastAsia" w:ascii="宋体" w:hAnsi="宋体" w:cs="宋体"/>
                <w:i w:val="0"/>
                <w:iCs w:val="0"/>
                <w:color w:val="000000"/>
                <w:kern w:val="0"/>
                <w:sz w:val="24"/>
                <w:szCs w:val="24"/>
                <w:u w:val="none"/>
                <w:lang w:val="en-US" w:eastAsia="zh-CN" w:bidi="ar"/>
              </w:rPr>
              <w:t>；</w:t>
            </w:r>
          </w:p>
          <w:p w14:paraId="5D7A103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2.5公斤专用</w:t>
            </w:r>
            <w:r>
              <w:rPr>
                <w:rFonts w:hint="eastAsia" w:ascii="宋体" w:hAnsi="宋体" w:cs="宋体"/>
                <w:i w:val="0"/>
                <w:iCs w:val="0"/>
                <w:color w:val="000000"/>
                <w:kern w:val="0"/>
                <w:sz w:val="24"/>
                <w:szCs w:val="24"/>
                <w:u w:val="none"/>
                <w:lang w:val="en-US" w:eastAsia="zh-CN" w:bidi="ar"/>
              </w:rPr>
              <w:t>电路设计</w:t>
            </w:r>
            <w:r>
              <w:rPr>
                <w:rFonts w:hint="eastAsia" w:ascii="宋体" w:hAnsi="宋体" w:eastAsia="宋体" w:cs="宋体"/>
                <w:i w:val="0"/>
                <w:iCs w:val="0"/>
                <w:color w:val="000000"/>
                <w:kern w:val="0"/>
                <w:sz w:val="24"/>
                <w:szCs w:val="24"/>
                <w:u w:val="none"/>
                <w:lang w:val="en-US" w:eastAsia="zh-CN" w:bidi="ar"/>
              </w:rPr>
              <w:t>耗材*1套</w:t>
            </w:r>
            <w:r>
              <w:rPr>
                <w:rFonts w:hint="eastAsia" w:ascii="宋体" w:hAnsi="宋体" w:cs="宋体"/>
                <w:i w:val="0"/>
                <w:iCs w:val="0"/>
                <w:color w:val="000000"/>
                <w:kern w:val="0"/>
                <w:sz w:val="24"/>
                <w:szCs w:val="24"/>
                <w:u w:val="none"/>
                <w:lang w:val="en-US" w:eastAsia="zh-CN" w:bidi="ar"/>
              </w:rPr>
              <w:t>；</w:t>
            </w:r>
          </w:p>
          <w:p w14:paraId="6BDAF01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3.操作平台：（要求≥16线程、屏幕刷新率</w:t>
            </w:r>
            <w:r>
              <w:rPr>
                <w:rFonts w:hint="eastAsia"/>
                <w:lang w:val="en-US" w:eastAsia="zh-CN"/>
              </w:rPr>
              <w:t>≥</w:t>
            </w:r>
            <w:r>
              <w:rPr>
                <w:rFonts w:hint="eastAsia" w:ascii="宋体" w:hAnsi="宋体" w:eastAsia="宋体" w:cs="宋体"/>
                <w:i w:val="0"/>
                <w:iCs w:val="0"/>
                <w:color w:val="000000"/>
                <w:kern w:val="0"/>
                <w:sz w:val="24"/>
                <w:szCs w:val="24"/>
                <w:u w:val="none"/>
                <w:lang w:val="en-US" w:eastAsia="zh-CN" w:bidi="ar"/>
              </w:rPr>
              <w:t>165Hz、硬盘容量</w:t>
            </w:r>
            <w:r>
              <w:rPr>
                <w:rFonts w:hint="eastAsia"/>
                <w:lang w:val="en-US" w:eastAsia="zh-CN"/>
              </w:rPr>
              <w:t>≥</w:t>
            </w:r>
            <w:r>
              <w:rPr>
                <w:rFonts w:hint="eastAsia" w:ascii="宋体" w:hAnsi="宋体" w:eastAsia="宋体" w:cs="宋体"/>
                <w:i w:val="0"/>
                <w:iCs w:val="0"/>
                <w:color w:val="000000"/>
                <w:kern w:val="0"/>
                <w:sz w:val="24"/>
                <w:szCs w:val="24"/>
                <w:u w:val="none"/>
                <w:lang w:val="en-US" w:eastAsia="zh-CN" w:bidi="ar"/>
              </w:rPr>
              <w:t>1TB SSD、内存容量</w:t>
            </w:r>
            <w:r>
              <w:rPr>
                <w:rFonts w:hint="eastAsia"/>
                <w:lang w:val="en-US" w:eastAsia="zh-CN"/>
              </w:rPr>
              <w:t>≥</w:t>
            </w:r>
            <w:r>
              <w:rPr>
                <w:rFonts w:hint="eastAsia" w:ascii="宋体" w:hAnsi="宋体" w:eastAsia="宋体" w:cs="宋体"/>
                <w:i w:val="0"/>
                <w:iCs w:val="0"/>
                <w:color w:val="000000"/>
                <w:kern w:val="0"/>
                <w:sz w:val="24"/>
                <w:szCs w:val="24"/>
                <w:u w:val="none"/>
                <w:lang w:val="en-US" w:eastAsia="zh-CN" w:bidi="ar"/>
              </w:rPr>
              <w:t>32GB、显示屏≥23英寸，10核心20线程，</w:t>
            </w:r>
            <w:r>
              <w:rPr>
                <w:rFonts w:hint="eastAsia" w:ascii="宋体" w:hAnsi="宋体" w:cs="宋体"/>
                <w:i w:val="0"/>
                <w:iCs w:val="0"/>
                <w:color w:val="000000"/>
                <w:kern w:val="0"/>
                <w:sz w:val="24"/>
                <w:szCs w:val="24"/>
                <w:u w:val="none"/>
                <w:lang w:val="en-US" w:eastAsia="zh-CN" w:bidi="ar"/>
              </w:rPr>
              <w:t>具有</w:t>
            </w:r>
            <w:r>
              <w:rPr>
                <w:rFonts w:hint="eastAsia" w:ascii="宋体" w:hAnsi="宋体" w:eastAsia="宋体" w:cs="宋体"/>
                <w:i w:val="0"/>
                <w:iCs w:val="0"/>
                <w:color w:val="000000"/>
                <w:kern w:val="0"/>
                <w:sz w:val="24"/>
                <w:szCs w:val="24"/>
                <w:u w:val="none"/>
                <w:lang w:val="en-US" w:eastAsia="zh-CN" w:bidi="ar"/>
              </w:rPr>
              <w:t>复杂的测试数据分析、输出，导出功能</w:t>
            </w:r>
            <w:r>
              <w:rPr>
                <w:rFonts w:hint="eastAsia"/>
                <w:lang w:val="en-US" w:eastAsia="zh-CN"/>
              </w:rPr>
              <w:t>等</w:t>
            </w:r>
            <w:r>
              <w:rPr>
                <w:rFonts w:hint="eastAsia" w:ascii="宋体" w:hAnsi="宋体" w:eastAsia="宋体" w:cs="宋体"/>
                <w:i w:val="0"/>
                <w:iCs w:val="0"/>
                <w:color w:val="000000"/>
                <w:kern w:val="0"/>
                <w:sz w:val="24"/>
                <w:szCs w:val="24"/>
                <w:u w:val="none"/>
                <w:lang w:val="en-US" w:eastAsia="zh-CN" w:bidi="ar"/>
              </w:rPr>
              <w:t>）*1台</w:t>
            </w:r>
            <w:r>
              <w:rPr>
                <w:rFonts w:hint="eastAsia" w:ascii="宋体" w:hAnsi="宋体" w:cs="宋体"/>
                <w:i w:val="0"/>
                <w:iCs w:val="0"/>
                <w:color w:val="000000"/>
                <w:kern w:val="0"/>
                <w:sz w:val="24"/>
                <w:szCs w:val="24"/>
                <w:u w:val="none"/>
                <w:lang w:val="en-US" w:eastAsia="zh-CN" w:bidi="ar"/>
              </w:rPr>
              <w:t>。</w:t>
            </w:r>
          </w:p>
        </w:tc>
        <w:tc>
          <w:tcPr>
            <w:tcW w:w="418" w:type="pct"/>
            <w:shd w:val="clear" w:color="auto" w:fill="auto"/>
            <w:noWrap/>
            <w:vAlign w:val="center"/>
          </w:tcPr>
          <w:p w14:paraId="1BF223B5">
            <w:pPr>
              <w:pStyle w:val="4"/>
              <w:jc w:val="center"/>
              <w:rPr>
                <w:rFonts w:hint="eastAsia" w:ascii="宋体" w:hAnsi="宋体" w:eastAsia="宋体" w:cs="宋体"/>
                <w:lang w:val="en-US" w:eastAsia="zh-CN"/>
              </w:rPr>
            </w:pPr>
            <w:r>
              <w:rPr>
                <w:rFonts w:hint="eastAsia" w:ascii="宋体" w:hAnsi="宋体" w:eastAsia="宋体" w:cs="宋体"/>
                <w:lang w:val="en-US" w:eastAsia="zh-CN"/>
              </w:rPr>
              <w:t>4</w:t>
            </w:r>
          </w:p>
        </w:tc>
        <w:tc>
          <w:tcPr>
            <w:tcW w:w="399" w:type="pct"/>
            <w:noWrap/>
            <w:vAlign w:val="center"/>
          </w:tcPr>
          <w:p w14:paraId="316AB848">
            <w:pPr>
              <w:pStyle w:val="4"/>
              <w:jc w:val="center"/>
            </w:pPr>
          </w:p>
        </w:tc>
        <w:tc>
          <w:tcPr>
            <w:tcW w:w="387" w:type="pct"/>
            <w:noWrap/>
            <w:vAlign w:val="center"/>
          </w:tcPr>
          <w:p w14:paraId="6A7A496D">
            <w:pPr>
              <w:pStyle w:val="4"/>
              <w:jc w:val="center"/>
              <w:rPr>
                <w:rFonts w:hint="eastAsia" w:ascii="宋体" w:hAnsi="宋体" w:eastAsia="宋体" w:cs="宋体"/>
              </w:rPr>
            </w:pPr>
          </w:p>
        </w:tc>
      </w:tr>
      <w:tr w14:paraId="21C77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376" w:type="pct"/>
            <w:noWrap/>
            <w:vAlign w:val="center"/>
          </w:tcPr>
          <w:p w14:paraId="6E244366">
            <w:pPr>
              <w:keepNext w:val="0"/>
              <w:keepLines w:val="0"/>
              <w:widowControl/>
              <w:suppressLineNumbers w:val="0"/>
              <w:jc w:val="center"/>
              <w:textAlignment w:val="center"/>
              <w:rPr>
                <w:rFonts w:hint="eastAsia" w:ascii="宋体" w:hAnsi="宋体" w:eastAsia="宋体" w:cs="宋体"/>
              </w:rPr>
            </w:pPr>
            <w:r>
              <w:rPr>
                <w:rFonts w:hint="eastAsia" w:ascii="宋体" w:hAnsi="宋体" w:cs="宋体"/>
                <w:i w:val="0"/>
                <w:iCs w:val="0"/>
                <w:color w:val="000000"/>
                <w:kern w:val="0"/>
                <w:sz w:val="24"/>
                <w:szCs w:val="24"/>
                <w:u w:val="none"/>
                <w:lang w:val="en-US" w:eastAsia="zh-CN" w:bidi="ar"/>
              </w:rPr>
              <w:t>4</w:t>
            </w:r>
          </w:p>
        </w:tc>
        <w:tc>
          <w:tcPr>
            <w:tcW w:w="708" w:type="pct"/>
            <w:shd w:val="clear" w:color="auto" w:fill="auto"/>
            <w:vAlign w:val="center"/>
          </w:tcPr>
          <w:p w14:paraId="270FFE7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▲荧光成像分析系统</w:t>
            </w:r>
          </w:p>
        </w:tc>
        <w:tc>
          <w:tcPr>
            <w:tcW w:w="2708" w:type="pct"/>
            <w:shd w:val="clear" w:color="auto" w:fill="auto"/>
            <w:vAlign w:val="center"/>
          </w:tcPr>
          <w:p w14:paraId="7C51A5F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一、显微系统：</w:t>
            </w:r>
          </w:p>
          <w:p w14:paraId="1E2A21F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●1、观察模式：包含荧光、相衬、明场、暗场、斜射、偏光、实时原位荧光观察；</w:t>
            </w:r>
          </w:p>
          <w:p w14:paraId="5E8ACB0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2、光学系统：无限远光学系统；</w:t>
            </w:r>
          </w:p>
          <w:p w14:paraId="68DB13F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3、观察镜筒：铰链式三目观察镜筒，可接驳成像系统，45°倾斜，瞳距48-86mm，眼点可调，分光比100：0，0：100；</w:t>
            </w:r>
          </w:p>
          <w:p w14:paraId="519DB0D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4、目镜：超宽视野目镜10X（视场数Ф23mm），高眼点，屈光度可调；</w:t>
            </w:r>
          </w:p>
          <w:p w14:paraId="7764A3F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■5、物镜：齐焦距离为国际标准</w:t>
            </w:r>
            <w:r>
              <w:rPr>
                <w:rFonts w:hint="eastAsia"/>
                <w:lang w:val="en-US" w:eastAsia="zh-CN"/>
              </w:rPr>
              <w:t>≥</w:t>
            </w:r>
            <w:r>
              <w:rPr>
                <w:rFonts w:hint="eastAsia" w:ascii="宋体" w:hAnsi="宋体" w:eastAsia="宋体" w:cs="宋体"/>
                <w:i w:val="0"/>
                <w:iCs w:val="0"/>
                <w:color w:val="000000"/>
                <w:kern w:val="0"/>
                <w:sz w:val="24"/>
                <w:szCs w:val="24"/>
                <w:u w:val="none"/>
                <w:lang w:val="en-US" w:eastAsia="zh-CN" w:bidi="ar"/>
              </w:rPr>
              <w:t>45mm，配置</w:t>
            </w:r>
            <w:r>
              <w:rPr>
                <w:rFonts w:hint="eastAsia"/>
                <w:lang w:val="en-US" w:eastAsia="zh-CN"/>
              </w:rPr>
              <w:t>≥</w:t>
            </w:r>
            <w:r>
              <w:rPr>
                <w:rFonts w:hint="eastAsia" w:ascii="宋体" w:hAnsi="宋体" w:eastAsia="宋体" w:cs="宋体"/>
                <w:i w:val="0"/>
                <w:iCs w:val="0"/>
                <w:color w:val="000000"/>
                <w:kern w:val="0"/>
                <w:sz w:val="24"/>
                <w:szCs w:val="24"/>
                <w:u w:val="none"/>
                <w:lang w:val="en-US" w:eastAsia="zh-CN" w:bidi="ar"/>
              </w:rPr>
              <w:t>5颗无限远半复荧光相衬物镜、参数必须满足以下要求</w:t>
            </w:r>
            <w:r>
              <w:rPr>
                <w:rFonts w:hint="eastAsia" w:ascii="宋体" w:hAnsi="宋体" w:eastAsia="宋体" w:cs="宋体"/>
                <w:b/>
                <w:bCs/>
                <w:i w:val="0"/>
                <w:iCs w:val="0"/>
                <w:color w:val="000000"/>
                <w:kern w:val="0"/>
                <w:sz w:val="24"/>
                <w:szCs w:val="24"/>
                <w:u w:val="none"/>
                <w:lang w:val="en-US" w:eastAsia="zh-CN" w:bidi="ar"/>
              </w:rPr>
              <w:t>（投标文件中须提供实物图片证明反映5.1-5.5的技术参数）</w:t>
            </w:r>
            <w:r>
              <w:rPr>
                <w:rFonts w:hint="eastAsia" w:ascii="宋体" w:hAnsi="宋体" w:eastAsia="宋体" w:cs="宋体"/>
                <w:i w:val="0"/>
                <w:iCs w:val="0"/>
                <w:color w:val="000000"/>
                <w:kern w:val="0"/>
                <w:sz w:val="24"/>
                <w:szCs w:val="24"/>
                <w:u w:val="none"/>
                <w:lang w:val="en-US" w:eastAsia="zh-CN" w:bidi="ar"/>
              </w:rPr>
              <w:t>：</w:t>
            </w:r>
          </w:p>
          <w:p w14:paraId="1F0635F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5.1无限远长工作距离半复消色差相衬物镜4X，数值孔径≥0.15，工作距离≥18mm；</w:t>
            </w:r>
          </w:p>
          <w:p w14:paraId="7598A78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5.2无限远长工作距离半复消色差相衬物镜10X，数值孔径≥0.3，工作距离≥11.2mm；</w:t>
            </w:r>
          </w:p>
          <w:p w14:paraId="22D441F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5.3无限远长工作距离半复消色差相衬物镜20X，数值孔径≥0.45，工作距离≥7.5mm；</w:t>
            </w:r>
          </w:p>
          <w:p w14:paraId="5063DDC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5.4无限远长工作距离半复消色差相衬物镜40X，数值孔径≥0.6,工作距离可调3.0-4.2mm；</w:t>
            </w:r>
          </w:p>
          <w:p w14:paraId="170F2A6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5.5无限远长工作距离半复消色差相衬物镜60X，数值孔径≥0.6,工作距离可调1.5-2.2mm；</w:t>
            </w:r>
          </w:p>
          <w:p w14:paraId="0B616C5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6、物镜转换器：五孔编码物镜转换器；</w:t>
            </w:r>
          </w:p>
          <w:p w14:paraId="1A73D94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7、透射照明系统：</w:t>
            </w:r>
          </w:p>
          <w:p w14:paraId="4CE2A9A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●7.1预对中相衬环板，所有物镜使用同一个相衬环，无需反复切换</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（投标文件</w:t>
            </w:r>
            <w:r>
              <w:rPr>
                <w:rFonts w:hint="eastAsia" w:asciiTheme="minorEastAsia" w:hAnsiTheme="minorEastAsia" w:eastAsiaTheme="minorEastAsia" w:cstheme="minorEastAsia"/>
                <w:b/>
                <w:bCs/>
                <w:color w:val="000000" w:themeColor="text1"/>
                <w:kern w:val="0"/>
                <w:sz w:val="24"/>
                <w:szCs w:val="24"/>
                <w:lang w:val="en-US" w:eastAsia="zh-CN" w:bidi="ar"/>
                <w14:textFill>
                  <w14:solidFill>
                    <w14:schemeClr w14:val="tx1"/>
                  </w14:solidFill>
                </w14:textFill>
              </w:rPr>
              <w:t>中须</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提供产品彩页或官网功能截图或技术白皮书作为证明文件）</w:t>
            </w:r>
            <w:r>
              <w:rPr>
                <w:rFonts w:hint="eastAsia" w:ascii="宋体" w:hAnsi="宋体" w:eastAsia="宋体" w:cs="宋体"/>
                <w:i w:val="0"/>
                <w:iCs w:val="0"/>
                <w:color w:val="000000"/>
                <w:kern w:val="0"/>
                <w:sz w:val="24"/>
                <w:szCs w:val="24"/>
                <w:u w:val="none"/>
                <w:lang w:val="en-US" w:eastAsia="zh-CN" w:bidi="ar"/>
              </w:rPr>
              <w:t>；</w:t>
            </w:r>
          </w:p>
          <w:p w14:paraId="054E69A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7.2具有防耀眼模式，避免荧光切换至明场时，强光伤害眼睛；</w:t>
            </w:r>
          </w:p>
          <w:p w14:paraId="582D72C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★7.3光强智能适应调节，透射照明系统，宽光谱LED光源。依据GB/T9468-2008、GB/T7922-2023检测，色温4000K-5000K；显色指数≥90，光路均匀，30°分布光强/60°分布光强≥0.9</w:t>
            </w:r>
            <w:r>
              <w:rPr>
                <w:rFonts w:hint="eastAsia" w:ascii="宋体" w:hAnsi="宋体" w:eastAsia="宋体" w:cs="宋体"/>
                <w:b/>
                <w:bCs/>
                <w:i w:val="0"/>
                <w:iCs w:val="0"/>
                <w:color w:val="000000"/>
                <w:kern w:val="0"/>
                <w:sz w:val="24"/>
                <w:szCs w:val="24"/>
                <w:u w:val="none"/>
                <w:lang w:val="en-US" w:eastAsia="zh-CN" w:bidi="ar"/>
              </w:rPr>
              <w:t>（投标文件中须提供CMA标识的检测报告扫描件）</w:t>
            </w:r>
            <w:r>
              <w:rPr>
                <w:rFonts w:hint="eastAsia" w:ascii="宋体" w:hAnsi="宋体" w:eastAsia="宋体" w:cs="宋体"/>
                <w:i w:val="0"/>
                <w:iCs w:val="0"/>
                <w:color w:val="000000"/>
                <w:kern w:val="0"/>
                <w:sz w:val="24"/>
                <w:szCs w:val="24"/>
                <w:u w:val="none"/>
                <w:lang w:val="en-US" w:eastAsia="zh-CN" w:bidi="ar"/>
              </w:rPr>
              <w:t>；</w:t>
            </w:r>
          </w:p>
          <w:p w14:paraId="29F04E3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全电动反射照明器：5通道全电动反射照明系统，荧光成像软件控制各荧光通道切换，内部吸光材料，确保光路不受干扰</w:t>
            </w:r>
            <w:r>
              <w:rPr>
                <w:rFonts w:hint="eastAsia" w:ascii="宋体" w:hAnsi="宋体" w:eastAsia="宋体" w:cs="宋体"/>
                <w:b/>
                <w:bCs/>
                <w:i w:val="0"/>
                <w:iCs w:val="0"/>
                <w:color w:val="000000"/>
                <w:kern w:val="0"/>
                <w:sz w:val="24"/>
                <w:szCs w:val="24"/>
                <w:u w:val="none"/>
                <w:lang w:val="en-US" w:eastAsia="zh-CN" w:bidi="ar"/>
              </w:rPr>
              <w:t>（投标文件需提供照明器内部荧光通道及吸光材料实拍图佐证）</w:t>
            </w:r>
            <w:r>
              <w:rPr>
                <w:rFonts w:hint="eastAsia" w:ascii="宋体" w:hAnsi="宋体" w:eastAsia="宋体" w:cs="宋体"/>
                <w:i w:val="0"/>
                <w:iCs w:val="0"/>
                <w:color w:val="000000"/>
                <w:kern w:val="0"/>
                <w:sz w:val="24"/>
                <w:szCs w:val="24"/>
                <w:u w:val="none"/>
                <w:lang w:val="en-US" w:eastAsia="zh-CN" w:bidi="ar"/>
              </w:rPr>
              <w:t>。同时装4个不同波段的荧光模块含荧光挡板，配置如下波段荧光模组</w:t>
            </w:r>
          </w:p>
          <w:p w14:paraId="4869405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FL-DAPI       EX：365/50；EM:445/50；DM405</w:t>
            </w:r>
          </w:p>
          <w:p w14:paraId="53D868D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FL-FITC       EX：475/40；EM:530/50；DM500</w:t>
            </w:r>
          </w:p>
          <w:p w14:paraId="00ED9DF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Alexa Fluor594  EX：560/40；EM:635/60；DM600</w:t>
            </w:r>
          </w:p>
          <w:p w14:paraId="3D8AFE0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FL-TRITC       EX：545/20；EM:605/60；DM562</w:t>
            </w:r>
          </w:p>
          <w:p w14:paraId="732C115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9、调焦系统：粗微调同轴，可设置松紧，微调格值</w:t>
            </w:r>
            <w:r>
              <w:rPr>
                <w:rFonts w:hint="eastAsia"/>
                <w:lang w:val="en-US" w:eastAsia="zh-CN"/>
              </w:rPr>
              <w:t>≥</w:t>
            </w:r>
            <w:r>
              <w:rPr>
                <w:rFonts w:hint="eastAsia" w:ascii="宋体" w:hAnsi="宋体" w:eastAsia="宋体" w:cs="宋体"/>
                <w:i w:val="0"/>
                <w:iCs w:val="0"/>
                <w:color w:val="000000"/>
                <w:kern w:val="0"/>
                <w:sz w:val="24"/>
                <w:szCs w:val="24"/>
                <w:u w:val="none"/>
                <w:lang w:val="en-US" w:eastAsia="zh-CN" w:bidi="ar"/>
              </w:rPr>
              <w:t>1μm；</w:t>
            </w:r>
          </w:p>
          <w:p w14:paraId="770F988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●10、载物台：平板载物台</w:t>
            </w:r>
            <w:r>
              <w:rPr>
                <w:rFonts w:hint="eastAsia"/>
                <w:lang w:val="en-US" w:eastAsia="zh-CN"/>
              </w:rPr>
              <w:t>≥</w:t>
            </w:r>
            <w:r>
              <w:rPr>
                <w:rFonts w:hint="eastAsia" w:ascii="宋体" w:hAnsi="宋体" w:eastAsia="宋体" w:cs="宋体"/>
                <w:i w:val="0"/>
                <w:iCs w:val="0"/>
                <w:color w:val="000000"/>
                <w:kern w:val="0"/>
                <w:sz w:val="24"/>
                <w:szCs w:val="24"/>
                <w:u w:val="none"/>
                <w:lang w:val="en-US" w:eastAsia="zh-CN" w:bidi="ar"/>
              </w:rPr>
              <w:t>260*200mm，钢丝传动移动尺（无齿条结构，避免划伤），行程≥110*75mm，兼容多种微型实验板，多孔板夹和载物台夹；配置用于各种尺寸载玻片及Φ35-58mm培养皿的托架；用于Φ90mm培养皿及110*60mm方形培养皿的托架</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（投标文件</w:t>
            </w:r>
            <w:r>
              <w:rPr>
                <w:rFonts w:hint="eastAsia" w:asciiTheme="minorEastAsia" w:hAnsiTheme="minorEastAsia" w:eastAsiaTheme="minorEastAsia" w:cstheme="minorEastAsia"/>
                <w:b/>
                <w:bCs/>
                <w:color w:val="000000" w:themeColor="text1"/>
                <w:kern w:val="0"/>
                <w:sz w:val="24"/>
                <w:szCs w:val="24"/>
                <w:lang w:val="en-US" w:eastAsia="zh-CN" w:bidi="ar"/>
                <w14:textFill>
                  <w14:solidFill>
                    <w14:schemeClr w14:val="tx1"/>
                  </w14:solidFill>
                </w14:textFill>
              </w:rPr>
              <w:t>中须</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提供产品彩页或官网功能截图或技术白皮书作为证明文件）</w:t>
            </w:r>
            <w:r>
              <w:rPr>
                <w:rFonts w:hint="eastAsia" w:ascii="宋体" w:hAnsi="宋体" w:eastAsia="宋体" w:cs="宋体"/>
                <w:i w:val="0"/>
                <w:iCs w:val="0"/>
                <w:color w:val="000000"/>
                <w:kern w:val="0"/>
                <w:sz w:val="24"/>
                <w:szCs w:val="24"/>
                <w:u w:val="none"/>
                <w:lang w:val="en-US" w:eastAsia="zh-CN" w:bidi="ar"/>
              </w:rPr>
              <w:t>；</w:t>
            </w:r>
          </w:p>
          <w:p w14:paraId="2CD186F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●11、智能管理：改变物镜放大倍率时，面板主动显示当前物镜倍率，且控制电路会自动调节光强至最合适且具有一键荧光暂停功能</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（投标文件</w:t>
            </w:r>
            <w:r>
              <w:rPr>
                <w:rFonts w:hint="eastAsia" w:asciiTheme="minorEastAsia" w:hAnsiTheme="minorEastAsia" w:eastAsiaTheme="minorEastAsia" w:cstheme="minorEastAsia"/>
                <w:b/>
                <w:bCs/>
                <w:color w:val="000000" w:themeColor="text1"/>
                <w:kern w:val="0"/>
                <w:sz w:val="24"/>
                <w:szCs w:val="24"/>
                <w:lang w:val="en-US" w:eastAsia="zh-CN" w:bidi="ar"/>
                <w14:textFill>
                  <w14:solidFill>
                    <w14:schemeClr w14:val="tx1"/>
                  </w14:solidFill>
                </w14:textFill>
              </w:rPr>
              <w:t>中须</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提供产品彩页或官网功能截图或技术白皮书作为证明文件）</w:t>
            </w:r>
            <w:r>
              <w:rPr>
                <w:rFonts w:hint="eastAsia" w:ascii="宋体" w:hAnsi="宋体" w:cs="宋体"/>
                <w:i w:val="0"/>
                <w:iCs w:val="0"/>
                <w:color w:val="000000"/>
                <w:kern w:val="0"/>
                <w:sz w:val="24"/>
                <w:szCs w:val="24"/>
                <w:u w:val="none"/>
                <w:lang w:val="en-US" w:eastAsia="zh-CN" w:bidi="ar"/>
              </w:rPr>
              <w:t>。</w:t>
            </w:r>
          </w:p>
          <w:p w14:paraId="1DE0AA3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二、成像系统</w:t>
            </w:r>
          </w:p>
          <w:p w14:paraId="19D5CA4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1、显微成像硬件必须与显微镜</w:t>
            </w:r>
            <w:r>
              <w:rPr>
                <w:rFonts w:hint="eastAsia" w:ascii="宋体" w:hAnsi="宋体" w:cs="宋体"/>
                <w:i w:val="0"/>
                <w:iCs w:val="0"/>
                <w:color w:val="000000"/>
                <w:kern w:val="0"/>
                <w:sz w:val="24"/>
                <w:szCs w:val="24"/>
                <w:u w:val="none"/>
                <w:lang w:val="en-US" w:eastAsia="zh-CN" w:bidi="ar"/>
              </w:rPr>
              <w:t>相互兼容</w:t>
            </w:r>
            <w:r>
              <w:rPr>
                <w:rFonts w:hint="eastAsia" w:ascii="宋体" w:hAnsi="宋体" w:eastAsia="宋体" w:cs="宋体"/>
                <w:i w:val="0"/>
                <w:iCs w:val="0"/>
                <w:color w:val="000000"/>
                <w:kern w:val="0"/>
                <w:sz w:val="24"/>
                <w:szCs w:val="24"/>
                <w:u w:val="none"/>
                <w:lang w:val="en-US" w:eastAsia="zh-CN" w:bidi="ar"/>
              </w:rPr>
              <w:t>。</w:t>
            </w:r>
          </w:p>
          <w:p w14:paraId="4B234A6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2、芯片尺寸：≥1.1"2000万像素大靶面尺寸专用荧光成像系统</w:t>
            </w:r>
            <w:r>
              <w:rPr>
                <w:rFonts w:hint="eastAsia" w:ascii="宋体" w:hAnsi="宋体" w:cs="宋体"/>
                <w:i w:val="0"/>
                <w:iCs w:val="0"/>
                <w:color w:val="000000"/>
                <w:kern w:val="0"/>
                <w:sz w:val="24"/>
                <w:szCs w:val="24"/>
                <w:u w:val="none"/>
                <w:lang w:val="en-US" w:eastAsia="zh-CN" w:bidi="ar"/>
              </w:rPr>
              <w:t>；</w:t>
            </w:r>
          </w:p>
          <w:p w14:paraId="0C79AAD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3、像元尺寸：≥2.64*2.64(μm)</w:t>
            </w:r>
            <w:r>
              <w:rPr>
                <w:rFonts w:hint="eastAsia" w:ascii="宋体" w:hAnsi="宋体" w:cs="宋体"/>
                <w:i w:val="0"/>
                <w:iCs w:val="0"/>
                <w:color w:val="000000"/>
                <w:kern w:val="0"/>
                <w:sz w:val="24"/>
                <w:szCs w:val="24"/>
                <w:u w:val="none"/>
                <w:lang w:val="en-US" w:eastAsia="zh-CN" w:bidi="ar"/>
              </w:rPr>
              <w:t>；</w:t>
            </w:r>
          </w:p>
          <w:p w14:paraId="4F1B10D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4、帧率@分辨率：15fps@5472*3648</w:t>
            </w:r>
            <w:r>
              <w:rPr>
                <w:rFonts w:hint="eastAsia" w:ascii="宋体" w:hAnsi="宋体" w:cs="宋体"/>
                <w:i w:val="0"/>
                <w:iCs w:val="0"/>
                <w:color w:val="000000"/>
                <w:kern w:val="0"/>
                <w:sz w:val="24"/>
                <w:szCs w:val="24"/>
                <w:u w:val="none"/>
                <w:lang w:val="en-US" w:eastAsia="zh-CN" w:bidi="ar"/>
              </w:rPr>
              <w:t>；</w:t>
            </w:r>
          </w:p>
          <w:p w14:paraId="30482CB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5、图片格式：TIFF/JPG/PNG/DICOM</w:t>
            </w:r>
            <w:r>
              <w:rPr>
                <w:rFonts w:hint="eastAsia" w:ascii="宋体" w:hAnsi="宋体" w:cs="宋体"/>
                <w:i w:val="0"/>
                <w:iCs w:val="0"/>
                <w:color w:val="000000"/>
                <w:kern w:val="0"/>
                <w:sz w:val="24"/>
                <w:szCs w:val="24"/>
                <w:u w:val="none"/>
                <w:lang w:val="en-US" w:eastAsia="zh-CN" w:bidi="ar"/>
              </w:rPr>
              <w:t>；</w:t>
            </w:r>
          </w:p>
          <w:p w14:paraId="5D3A177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6、数据接口：USB3.0</w:t>
            </w:r>
            <w:r>
              <w:rPr>
                <w:rFonts w:hint="eastAsia" w:ascii="宋体" w:hAnsi="宋体" w:cs="宋体"/>
                <w:i w:val="0"/>
                <w:iCs w:val="0"/>
                <w:color w:val="000000"/>
                <w:kern w:val="0"/>
                <w:sz w:val="24"/>
                <w:szCs w:val="24"/>
                <w:u w:val="none"/>
                <w:lang w:val="en-US" w:eastAsia="zh-CN" w:bidi="ar"/>
              </w:rPr>
              <w:t>；</w:t>
            </w:r>
          </w:p>
          <w:p w14:paraId="5FBEB1C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■7、软件控制电动荧光切换模块可实现多通道层扫融合</w:t>
            </w:r>
            <w:r>
              <w:rPr>
                <w:rFonts w:hint="eastAsia" w:ascii="宋体" w:hAnsi="宋体" w:eastAsia="宋体" w:cs="宋体"/>
                <w:b/>
                <w:bCs/>
                <w:i w:val="0"/>
                <w:iCs w:val="0"/>
                <w:color w:val="000000"/>
                <w:kern w:val="0"/>
                <w:sz w:val="24"/>
                <w:szCs w:val="24"/>
                <w:u w:val="none"/>
                <w:lang w:val="en-US" w:eastAsia="zh-CN" w:bidi="ar"/>
              </w:rPr>
              <w:t>（投标文件中需提供软件界面截图资料说明电动软件控制及多通道荧光合成功能此项参数）；</w:t>
            </w:r>
          </w:p>
          <w:p w14:paraId="390E22F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■8、自定义每颗物镜的比例尺设定，自动识别不同倍数，自动添加比例尺</w:t>
            </w:r>
            <w:r>
              <w:rPr>
                <w:rFonts w:hint="eastAsia" w:ascii="宋体" w:hAnsi="宋体" w:eastAsia="宋体" w:cs="宋体"/>
                <w:b/>
                <w:bCs/>
                <w:i w:val="0"/>
                <w:iCs w:val="0"/>
                <w:color w:val="000000"/>
                <w:kern w:val="0"/>
                <w:sz w:val="24"/>
                <w:szCs w:val="24"/>
                <w:u w:val="none"/>
                <w:lang w:val="en-US" w:eastAsia="zh-CN" w:bidi="ar"/>
              </w:rPr>
              <w:t>（投标文件中提供各倍数物镜比例尺自定义设定的软件截图资料说明该功能）；</w:t>
            </w:r>
          </w:p>
          <w:p w14:paraId="7BD1F5F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9、图像采集：单帧捕获、视频录像、延时录像、帧拍摄、帧拍摄成录像；</w:t>
            </w:r>
          </w:p>
          <w:p w14:paraId="6BD5020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10、实时景深融合：对不同焦平面的光学显微图像（同一视场）的图像进行融合，可以实现在高倍显微镜下对大落差样品表面的整体观察；</w:t>
            </w:r>
          </w:p>
          <w:p w14:paraId="17EC8C2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11、暗场/荧光模式：用户根据实际暗场/荧光模式调节图像的黑平衡参数；</w:t>
            </w:r>
          </w:p>
          <w:p w14:paraId="2CF48E3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12、比例尺：通过校核显微镜和成像装置,在图片中自动生成比例尺和日期,实现显微镜图片的数字化管理和精确量化；</w:t>
            </w:r>
          </w:p>
          <w:p w14:paraId="478DFB3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13、参数保存：可根据用户需求设置</w:t>
            </w:r>
            <w:r>
              <w:rPr>
                <w:rFonts w:hint="eastAsia" w:ascii="宋体" w:hAnsi="宋体" w:cs="宋体"/>
                <w:i w:val="0"/>
                <w:iCs w:val="0"/>
                <w:color w:val="000000"/>
                <w:kern w:val="0"/>
                <w:sz w:val="24"/>
                <w:szCs w:val="24"/>
                <w:u w:val="none"/>
                <w:lang w:val="en-US" w:eastAsia="zh-CN" w:bidi="ar"/>
              </w:rPr>
              <w:t>至少</w:t>
            </w:r>
            <w:r>
              <w:rPr>
                <w:rFonts w:hint="eastAsia" w:ascii="宋体" w:hAnsi="宋体" w:eastAsia="宋体" w:cs="宋体"/>
                <w:i w:val="0"/>
                <w:iCs w:val="0"/>
                <w:color w:val="000000"/>
                <w:kern w:val="0"/>
                <w:sz w:val="24"/>
                <w:szCs w:val="24"/>
                <w:u w:val="none"/>
                <w:lang w:val="en-US" w:eastAsia="zh-CN" w:bidi="ar"/>
              </w:rPr>
              <w:t>10000个参数保存，针对不同样本，任意调用。</w:t>
            </w:r>
          </w:p>
          <w:p w14:paraId="097AC13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三、操作系统：</w:t>
            </w:r>
          </w:p>
          <w:p w14:paraId="1780362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1.处理器CPU：X86架构，最高主频≥2.5GHz，核数≥10核，末级缓存≥20MB，10线程；功耗不低于65W</w:t>
            </w:r>
            <w:r>
              <w:rPr>
                <w:rFonts w:hint="eastAsia" w:ascii="宋体" w:hAnsi="宋体" w:cs="宋体"/>
                <w:i w:val="0"/>
                <w:iCs w:val="0"/>
                <w:color w:val="000000"/>
                <w:kern w:val="0"/>
                <w:sz w:val="24"/>
                <w:szCs w:val="24"/>
                <w:u w:val="none"/>
                <w:lang w:val="en-US" w:eastAsia="zh-CN" w:bidi="ar"/>
              </w:rPr>
              <w:t>；</w:t>
            </w:r>
          </w:p>
          <w:p w14:paraId="5A3CFB3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2.内存：≥16GB DDR4内存</w:t>
            </w:r>
            <w:r>
              <w:rPr>
                <w:rFonts w:hint="eastAsia" w:ascii="宋体" w:hAnsi="宋体" w:cs="宋体"/>
                <w:i w:val="0"/>
                <w:iCs w:val="0"/>
                <w:color w:val="000000"/>
                <w:kern w:val="0"/>
                <w:sz w:val="24"/>
                <w:szCs w:val="24"/>
                <w:u w:val="none"/>
                <w:lang w:val="en-US" w:eastAsia="zh-CN" w:bidi="ar"/>
              </w:rPr>
              <w:t>；</w:t>
            </w:r>
          </w:p>
          <w:p w14:paraId="7800100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3.硬盘：≥512 GB M.2 PCIe SSD硬盘；</w:t>
            </w:r>
          </w:p>
          <w:p w14:paraId="429E277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4.光驱：无光驱；</w:t>
            </w:r>
          </w:p>
          <w:p w14:paraId="44009AF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5.显卡：集成显卡；</w:t>
            </w:r>
          </w:p>
          <w:p w14:paraId="4A1DDE9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6.外部I/O接口：≥8个USB接口（其中USB3.2≥4个），音频接口≥5个，≥1个RJ-45，≥1个PS/2键鼠combo接口；</w:t>
            </w:r>
          </w:p>
          <w:p w14:paraId="7A06D16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7.键盘/鼠标：USB有线抗菌防水键盘，具备液体导流槽；USB有线鼠标</w:t>
            </w:r>
            <w:r>
              <w:rPr>
                <w:rFonts w:hint="eastAsia" w:ascii="宋体" w:hAnsi="宋体" w:cs="宋体"/>
                <w:i w:val="0"/>
                <w:iCs w:val="0"/>
                <w:color w:val="000000"/>
                <w:kern w:val="0"/>
                <w:sz w:val="24"/>
                <w:szCs w:val="24"/>
                <w:u w:val="none"/>
                <w:lang w:val="en-US" w:eastAsia="zh-CN" w:bidi="ar"/>
              </w:rPr>
              <w:t>；</w:t>
            </w:r>
          </w:p>
          <w:p w14:paraId="7618D13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8.主机：机箱≤20L，可立可卧设计；</w:t>
            </w:r>
          </w:p>
          <w:p w14:paraId="5C7A4F8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9.其他要求：前面板顶部开关键.Reset键.前置网络指示灯；后面板具备串并口专用扩展位；</w:t>
            </w:r>
          </w:p>
          <w:p w14:paraId="63DC45D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10.机箱电源：≥180W节能电源；</w:t>
            </w:r>
          </w:p>
          <w:p w14:paraId="4AF5194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11.显示器：≥23.8寸液晶显示器</w:t>
            </w:r>
            <w:r>
              <w:rPr>
                <w:rFonts w:hint="eastAsia" w:ascii="宋体" w:hAnsi="宋体" w:cs="宋体"/>
                <w:i w:val="0"/>
                <w:iCs w:val="0"/>
                <w:color w:val="000000"/>
                <w:kern w:val="0"/>
                <w:sz w:val="24"/>
                <w:szCs w:val="24"/>
                <w:u w:val="none"/>
                <w:lang w:val="en-US" w:eastAsia="zh-CN" w:bidi="ar"/>
              </w:rPr>
              <w:t>；</w:t>
            </w:r>
          </w:p>
          <w:p w14:paraId="64E5973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12.操作系统：安装正版操作系统</w:t>
            </w:r>
            <w:r>
              <w:rPr>
                <w:rFonts w:hint="eastAsia" w:ascii="宋体" w:hAnsi="宋体" w:cs="宋体"/>
                <w:i w:val="0"/>
                <w:iCs w:val="0"/>
                <w:color w:val="000000"/>
                <w:kern w:val="0"/>
                <w:sz w:val="24"/>
                <w:szCs w:val="24"/>
                <w:u w:val="none"/>
                <w:lang w:val="en-US" w:eastAsia="zh-CN" w:bidi="ar"/>
              </w:rPr>
              <w:t>；</w:t>
            </w:r>
          </w:p>
          <w:p w14:paraId="2558A7B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13.满足MTBF 测试：MTBF(m1)≥100万小时</w:t>
            </w:r>
            <w:r>
              <w:rPr>
                <w:rFonts w:hint="eastAsia" w:ascii="宋体" w:hAnsi="宋体" w:cs="宋体"/>
                <w:i w:val="0"/>
                <w:iCs w:val="0"/>
                <w:color w:val="000000"/>
                <w:kern w:val="0"/>
                <w:sz w:val="24"/>
                <w:szCs w:val="24"/>
                <w:u w:val="none"/>
                <w:lang w:val="en-US" w:eastAsia="zh-CN" w:bidi="ar"/>
              </w:rPr>
              <w:t>。</w:t>
            </w:r>
          </w:p>
        </w:tc>
        <w:tc>
          <w:tcPr>
            <w:tcW w:w="418" w:type="pct"/>
            <w:shd w:val="clear" w:color="auto" w:fill="auto"/>
            <w:noWrap/>
            <w:vAlign w:val="center"/>
          </w:tcPr>
          <w:p w14:paraId="5B9E18F9">
            <w:pPr>
              <w:keepNext w:val="0"/>
              <w:keepLines w:val="0"/>
              <w:widowControl/>
              <w:suppressLineNumbers w:val="0"/>
              <w:jc w:val="center"/>
              <w:textAlignment w:val="center"/>
              <w:rPr>
                <w:rFonts w:hint="eastAsia" w:ascii="宋体" w:hAnsi="宋体" w:eastAsia="宋体" w:cs="宋体"/>
                <w:lang w:val="en-US" w:eastAsia="zh-CN"/>
              </w:rPr>
            </w:pPr>
            <w:r>
              <w:rPr>
                <w:rFonts w:hint="eastAsia" w:ascii="宋体" w:hAnsi="宋体" w:cs="宋体"/>
                <w:i w:val="0"/>
                <w:iCs w:val="0"/>
                <w:color w:val="000000"/>
                <w:kern w:val="0"/>
                <w:sz w:val="24"/>
                <w:szCs w:val="24"/>
                <w:u w:val="none"/>
                <w:lang w:val="en-US" w:eastAsia="zh-CN" w:bidi="ar"/>
              </w:rPr>
              <w:t>1</w:t>
            </w:r>
          </w:p>
        </w:tc>
        <w:tc>
          <w:tcPr>
            <w:tcW w:w="399" w:type="pct"/>
            <w:noWrap/>
            <w:vAlign w:val="center"/>
          </w:tcPr>
          <w:p w14:paraId="5BD8C1EE">
            <w:pPr>
              <w:pStyle w:val="4"/>
              <w:jc w:val="center"/>
            </w:pPr>
          </w:p>
        </w:tc>
        <w:tc>
          <w:tcPr>
            <w:tcW w:w="387" w:type="pct"/>
            <w:noWrap/>
            <w:vAlign w:val="center"/>
          </w:tcPr>
          <w:p w14:paraId="35FDBEB1">
            <w:pPr>
              <w:pStyle w:val="4"/>
              <w:jc w:val="center"/>
              <w:rPr>
                <w:rFonts w:hint="eastAsia" w:ascii="宋体" w:hAnsi="宋体" w:eastAsia="宋体" w:cs="宋体"/>
              </w:rPr>
            </w:pPr>
          </w:p>
        </w:tc>
      </w:tr>
      <w:tr w14:paraId="2C0F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376" w:type="pct"/>
            <w:noWrap/>
            <w:vAlign w:val="center"/>
          </w:tcPr>
          <w:p w14:paraId="67D3A937">
            <w:pPr>
              <w:pStyle w:val="4"/>
              <w:jc w:val="center"/>
              <w:rPr>
                <w:rFonts w:hint="default" w:ascii="宋体" w:hAnsi="宋体" w:eastAsia="宋体" w:cs="宋体"/>
                <w:lang w:val="en-US" w:eastAsia="zh-CN"/>
              </w:rPr>
            </w:pPr>
            <w:r>
              <w:rPr>
                <w:rFonts w:hint="eastAsia" w:ascii="宋体" w:hAnsi="宋体" w:eastAsia="宋体" w:cs="宋体"/>
                <w:lang w:val="en-US" w:eastAsia="zh-CN"/>
              </w:rPr>
              <w:t>5</w:t>
            </w:r>
          </w:p>
        </w:tc>
        <w:tc>
          <w:tcPr>
            <w:tcW w:w="708" w:type="pct"/>
            <w:shd w:val="clear" w:color="auto" w:fill="auto"/>
            <w:vAlign w:val="center"/>
          </w:tcPr>
          <w:p w14:paraId="40D291B0">
            <w:pPr>
              <w:pStyle w:val="4"/>
              <w:jc w:val="center"/>
              <w:rPr>
                <w:rFonts w:hint="eastAsia" w:ascii="宋体" w:hAnsi="宋体" w:eastAsia="宋体" w:cs="宋体"/>
                <w:lang w:val="en-US" w:eastAsia="zh-CN"/>
              </w:rPr>
            </w:pPr>
            <w:r>
              <w:rPr>
                <w:rFonts w:hint="eastAsia" w:ascii="宋体" w:hAnsi="宋体" w:eastAsia="宋体" w:cs="宋体"/>
                <w:lang w:val="en-US" w:eastAsia="zh-CN"/>
              </w:rPr>
              <w:t>传感电路制备装置</w:t>
            </w:r>
          </w:p>
        </w:tc>
        <w:tc>
          <w:tcPr>
            <w:tcW w:w="2708" w:type="pct"/>
            <w:shd w:val="clear" w:color="auto" w:fill="auto"/>
            <w:vAlign w:val="center"/>
          </w:tcPr>
          <w:p w14:paraId="45DB84C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1、制备区域≥140*200mm，基底厚度＜5mm；</w:t>
            </w:r>
          </w:p>
          <w:p w14:paraId="76BC18E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2、重复定位精度：±20um；</w:t>
            </w:r>
          </w:p>
          <w:p w14:paraId="76CFD44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3、环境净化系统：支持PM2.5、挥发性气体净化；</w:t>
            </w:r>
          </w:p>
          <w:p w14:paraId="15CF068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4、自动清洁喷头系统：支持打印喷头的清洁；</w:t>
            </w:r>
          </w:p>
          <w:p w14:paraId="2978CA5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■5、点胶模块：支持点胶气动直写功能，14G～34G标准孔径点胶针头可选</w:t>
            </w:r>
            <w:r>
              <w:rPr>
                <w:rFonts w:hint="eastAsia" w:ascii="宋体" w:hAnsi="宋体" w:eastAsia="宋体" w:cs="宋体"/>
                <w:b/>
                <w:bCs/>
                <w:i w:val="0"/>
                <w:iCs w:val="0"/>
                <w:color w:val="000000"/>
                <w:kern w:val="0"/>
                <w:sz w:val="24"/>
                <w:szCs w:val="24"/>
                <w:u w:val="none"/>
                <w:lang w:val="en-US" w:eastAsia="zh-CN" w:bidi="ar"/>
              </w:rPr>
              <w:t>（投标文件中须提供软件功能截图证明反映此项技术参数）</w:t>
            </w:r>
            <w:r>
              <w:rPr>
                <w:rFonts w:hint="eastAsia" w:ascii="宋体" w:hAnsi="宋体" w:eastAsia="宋体" w:cs="宋体"/>
                <w:i w:val="0"/>
                <w:iCs w:val="0"/>
                <w:color w:val="000000"/>
                <w:kern w:val="0"/>
                <w:sz w:val="24"/>
                <w:szCs w:val="24"/>
                <w:u w:val="none"/>
                <w:lang w:val="en-US" w:eastAsia="zh-CN" w:bidi="ar"/>
              </w:rPr>
              <w:t>；</w:t>
            </w:r>
          </w:p>
          <w:p w14:paraId="1172720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■6、刮涂模块：支持刮涂功能，刮涂刀片宽度</w:t>
            </w:r>
            <w:r>
              <w:rPr>
                <w:rFonts w:hint="eastAsia"/>
                <w:lang w:val="en-US" w:eastAsia="zh-CN"/>
              </w:rPr>
              <w:t>≥</w:t>
            </w:r>
            <w:r>
              <w:rPr>
                <w:rFonts w:hint="eastAsia" w:ascii="宋体" w:hAnsi="宋体" w:eastAsia="宋体" w:cs="宋体"/>
                <w:i w:val="0"/>
                <w:iCs w:val="0"/>
                <w:color w:val="000000"/>
                <w:kern w:val="0"/>
                <w:sz w:val="24"/>
                <w:szCs w:val="24"/>
                <w:u w:val="none"/>
                <w:lang w:val="en-US" w:eastAsia="zh-CN" w:bidi="ar"/>
              </w:rPr>
              <w:t xml:space="preserve">40mm </w:t>
            </w:r>
            <w:r>
              <w:rPr>
                <w:rFonts w:hint="eastAsia" w:ascii="宋体" w:hAnsi="宋体" w:eastAsia="宋体" w:cs="宋体"/>
                <w:b/>
                <w:bCs/>
                <w:i w:val="0"/>
                <w:iCs w:val="0"/>
                <w:color w:val="000000"/>
                <w:kern w:val="0"/>
                <w:sz w:val="24"/>
                <w:szCs w:val="24"/>
                <w:u w:val="none"/>
                <w:lang w:val="en-US" w:eastAsia="zh-CN" w:bidi="ar"/>
              </w:rPr>
              <w:t>（投标文件中须提供软件功能截图证明反映此项技术参数）</w:t>
            </w:r>
            <w:r>
              <w:rPr>
                <w:rFonts w:hint="eastAsia" w:ascii="宋体" w:hAnsi="宋体" w:eastAsia="宋体" w:cs="宋体"/>
                <w:i w:val="0"/>
                <w:iCs w:val="0"/>
                <w:color w:val="000000"/>
                <w:kern w:val="0"/>
                <w:sz w:val="24"/>
                <w:szCs w:val="24"/>
                <w:u w:val="none"/>
                <w:lang w:val="en-US" w:eastAsia="zh-CN" w:bidi="ar"/>
              </w:rPr>
              <w:t>；</w:t>
            </w:r>
          </w:p>
          <w:p w14:paraId="6D1CF3C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●7、打印观测系统：集成高分辨率工业相机，可观察薄膜表面打印图形状况</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（投标文件</w:t>
            </w:r>
            <w:r>
              <w:rPr>
                <w:rFonts w:hint="eastAsia" w:asciiTheme="minorEastAsia" w:hAnsiTheme="minorEastAsia" w:eastAsiaTheme="minorEastAsia" w:cstheme="minorEastAsia"/>
                <w:b/>
                <w:bCs/>
                <w:color w:val="000000" w:themeColor="text1"/>
                <w:kern w:val="0"/>
                <w:sz w:val="24"/>
                <w:szCs w:val="24"/>
                <w:lang w:val="en-US" w:eastAsia="zh-CN" w:bidi="ar"/>
                <w14:textFill>
                  <w14:solidFill>
                    <w14:schemeClr w14:val="tx1"/>
                  </w14:solidFill>
                </w14:textFill>
              </w:rPr>
              <w:t>中须</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提供产品彩页或官网功能截图或技术白皮书作为证明文件）</w:t>
            </w:r>
            <w:r>
              <w:rPr>
                <w:rFonts w:hint="eastAsia" w:ascii="宋体" w:hAnsi="宋体" w:eastAsia="宋体" w:cs="宋体"/>
                <w:i w:val="0"/>
                <w:iCs w:val="0"/>
                <w:color w:val="000000"/>
                <w:kern w:val="0"/>
                <w:sz w:val="24"/>
                <w:szCs w:val="24"/>
                <w:u w:val="none"/>
                <w:lang w:val="en-US" w:eastAsia="zh-CN" w:bidi="ar"/>
              </w:rPr>
              <w:t>；</w:t>
            </w:r>
          </w:p>
          <w:p w14:paraId="15F6DE7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8、原点打印定位系统：集成高分辨率工业相机，支持异层打印时喷头、点胶针头的定位；</w:t>
            </w:r>
          </w:p>
          <w:p w14:paraId="1781767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●9、墨滴观测系统：集成高分辨率高速工业相机，可观测喷头在闪喷时墨滴的形态</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（投标文件</w:t>
            </w:r>
            <w:r>
              <w:rPr>
                <w:rFonts w:hint="eastAsia" w:asciiTheme="minorEastAsia" w:hAnsiTheme="minorEastAsia" w:eastAsiaTheme="minorEastAsia" w:cstheme="minorEastAsia"/>
                <w:b/>
                <w:bCs/>
                <w:color w:val="000000" w:themeColor="text1"/>
                <w:kern w:val="0"/>
                <w:sz w:val="24"/>
                <w:szCs w:val="24"/>
                <w:lang w:val="en-US" w:eastAsia="zh-CN" w:bidi="ar"/>
                <w14:textFill>
                  <w14:solidFill>
                    <w14:schemeClr w14:val="tx1"/>
                  </w14:solidFill>
                </w14:textFill>
              </w:rPr>
              <w:t>中须</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提供产品彩页或官网功能截图或技术白皮书作为证明文件）</w:t>
            </w:r>
            <w:r>
              <w:rPr>
                <w:rFonts w:hint="eastAsia"/>
                <w:lang w:eastAsia="zh-CN"/>
              </w:rPr>
              <w:t>；</w:t>
            </w:r>
          </w:p>
          <w:p w14:paraId="5AB765D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10、喷头控制系统：支持控制单孔喷头电压，支持喷头加热功能，最高加热到60℃；</w:t>
            </w:r>
          </w:p>
          <w:p w14:paraId="1FFECCB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11、真空吸附和加热板模块：可提供真空吸附功能保证薄膜表面平面度，支持最高加热90℃；</w:t>
            </w:r>
          </w:p>
          <w:p w14:paraId="042523B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12、加热后处理模块：支持选配内置紫外固化灯后处理；</w:t>
            </w:r>
          </w:p>
          <w:p w14:paraId="0FDC9BC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●13、喷墨打印模块、点胶模块、刮涂模块一体化集成</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（投标文件</w:t>
            </w:r>
            <w:r>
              <w:rPr>
                <w:rFonts w:hint="eastAsia" w:asciiTheme="minorEastAsia" w:hAnsiTheme="minorEastAsia" w:eastAsiaTheme="minorEastAsia" w:cstheme="minorEastAsia"/>
                <w:b/>
                <w:bCs/>
                <w:color w:val="000000" w:themeColor="text1"/>
                <w:kern w:val="0"/>
                <w:sz w:val="24"/>
                <w:szCs w:val="24"/>
                <w:lang w:val="en-US" w:eastAsia="zh-CN" w:bidi="ar"/>
                <w14:textFill>
                  <w14:solidFill>
                    <w14:schemeClr w14:val="tx1"/>
                  </w14:solidFill>
                </w14:textFill>
              </w:rPr>
              <w:t>中须</w:t>
            </w:r>
            <w:r>
              <w:rPr>
                <w:rFonts w:hint="eastAsia" w:asciiTheme="minorEastAsia" w:hAnsiTheme="minorEastAsia" w:eastAsiaTheme="minorEastAsia" w:cstheme="minorEastAsia"/>
                <w:b/>
                <w:bCs/>
                <w:color w:val="000000" w:themeColor="text1"/>
                <w:kern w:val="0"/>
                <w:sz w:val="24"/>
                <w:szCs w:val="24"/>
                <w:lang w:bidi="ar"/>
                <w14:textFill>
                  <w14:solidFill>
                    <w14:schemeClr w14:val="tx1"/>
                  </w14:solidFill>
                </w14:textFill>
              </w:rPr>
              <w:t>提供产品彩页或官网功能截图或技术白皮书作为证明文件）</w:t>
            </w:r>
            <w:r>
              <w:rPr>
                <w:rFonts w:hint="eastAsia" w:ascii="宋体" w:hAnsi="宋体" w:eastAsia="宋体" w:cs="宋体"/>
                <w:i w:val="0"/>
                <w:iCs w:val="0"/>
                <w:color w:val="000000"/>
                <w:kern w:val="0"/>
                <w:sz w:val="24"/>
                <w:szCs w:val="24"/>
                <w:u w:val="none"/>
                <w:lang w:val="en-US" w:eastAsia="zh-CN" w:bidi="ar"/>
              </w:rPr>
              <w:t>；</w:t>
            </w:r>
          </w:p>
          <w:p w14:paraId="2335499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14、支持 Bitmap、GIF、JPEG、PNG、PCX、PNM图形文件输入，支持导入Gerber文件，支持电子器件、电路系统图形设计，支持打印功能，支持墨水波形文件独立设定</w:t>
            </w:r>
            <w:r>
              <w:rPr>
                <w:rFonts w:hint="eastAsia" w:ascii="宋体" w:hAnsi="宋体" w:cs="宋体"/>
                <w:i w:val="0"/>
                <w:iCs w:val="0"/>
                <w:color w:val="000000"/>
                <w:kern w:val="0"/>
                <w:sz w:val="24"/>
                <w:szCs w:val="24"/>
                <w:u w:val="none"/>
                <w:lang w:val="en-US" w:eastAsia="zh-CN" w:bidi="ar"/>
              </w:rPr>
              <w:t>。</w:t>
            </w:r>
          </w:p>
          <w:p w14:paraId="68471B3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配置：</w:t>
            </w:r>
          </w:p>
          <w:p w14:paraId="31498A5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1.主机  1台</w:t>
            </w:r>
            <w:r>
              <w:rPr>
                <w:rFonts w:hint="eastAsia" w:ascii="宋体" w:hAnsi="宋体" w:cs="宋体"/>
                <w:i w:val="0"/>
                <w:iCs w:val="0"/>
                <w:color w:val="000000"/>
                <w:kern w:val="0"/>
                <w:sz w:val="24"/>
                <w:szCs w:val="24"/>
                <w:u w:val="none"/>
                <w:lang w:val="en-US" w:eastAsia="zh-CN" w:bidi="ar"/>
              </w:rPr>
              <w:t>；</w:t>
            </w:r>
          </w:p>
          <w:p w14:paraId="6B35DD0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2.配套全部耗材  1套</w:t>
            </w:r>
            <w:r>
              <w:rPr>
                <w:rFonts w:hint="eastAsia" w:ascii="宋体" w:hAnsi="宋体" w:cs="宋体"/>
                <w:i w:val="0"/>
                <w:iCs w:val="0"/>
                <w:color w:val="000000"/>
                <w:kern w:val="0"/>
                <w:sz w:val="24"/>
                <w:szCs w:val="24"/>
                <w:u w:val="none"/>
                <w:lang w:val="en-US" w:eastAsia="zh-CN" w:bidi="ar"/>
              </w:rPr>
              <w:t>；</w:t>
            </w:r>
          </w:p>
          <w:p w14:paraId="340D6E1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3.定制教学课件制备方案 1套</w:t>
            </w:r>
            <w:r>
              <w:rPr>
                <w:rFonts w:hint="eastAsia" w:ascii="宋体" w:hAnsi="宋体" w:cs="宋体"/>
                <w:i w:val="0"/>
                <w:iCs w:val="0"/>
                <w:color w:val="000000"/>
                <w:kern w:val="0"/>
                <w:sz w:val="24"/>
                <w:szCs w:val="24"/>
                <w:u w:val="none"/>
                <w:lang w:val="en-US" w:eastAsia="zh-CN" w:bidi="ar"/>
              </w:rPr>
              <w:t>；</w:t>
            </w:r>
          </w:p>
          <w:p w14:paraId="16746EF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4.操作系统：CPU 2GHz，硬盘</w:t>
            </w:r>
            <w:r>
              <w:rPr>
                <w:rFonts w:hint="eastAsia"/>
                <w:lang w:val="en-US" w:eastAsia="zh-CN"/>
              </w:rPr>
              <w:t>≥</w:t>
            </w:r>
            <w:r>
              <w:rPr>
                <w:rFonts w:hint="eastAsia" w:ascii="宋体" w:hAnsi="宋体" w:eastAsia="宋体" w:cs="宋体"/>
                <w:i w:val="0"/>
                <w:iCs w:val="0"/>
                <w:color w:val="000000"/>
                <w:kern w:val="0"/>
                <w:sz w:val="24"/>
                <w:szCs w:val="24"/>
                <w:u w:val="none"/>
                <w:lang w:val="en-US" w:eastAsia="zh-CN" w:bidi="ar"/>
              </w:rPr>
              <w:t>10GB ，</w:t>
            </w:r>
            <w:r>
              <w:rPr>
                <w:rFonts w:hint="eastAsia"/>
                <w:lang w:val="en-US" w:eastAsia="zh-CN"/>
              </w:rPr>
              <w:t>≥</w:t>
            </w:r>
            <w:r>
              <w:rPr>
                <w:rFonts w:hint="eastAsia" w:ascii="宋体" w:hAnsi="宋体" w:eastAsia="宋体" w:cs="宋体"/>
                <w:i w:val="0"/>
                <w:iCs w:val="0"/>
                <w:color w:val="000000"/>
                <w:kern w:val="0"/>
                <w:sz w:val="24"/>
                <w:szCs w:val="24"/>
                <w:u w:val="none"/>
                <w:lang w:val="en-US" w:eastAsia="zh-CN" w:bidi="ar"/>
              </w:rPr>
              <w:t>8GB 内存，无线网卡 1台</w:t>
            </w:r>
            <w:r>
              <w:rPr>
                <w:rFonts w:hint="eastAsia" w:ascii="宋体" w:hAnsi="宋体" w:cs="宋体"/>
                <w:i w:val="0"/>
                <w:iCs w:val="0"/>
                <w:color w:val="000000"/>
                <w:kern w:val="0"/>
                <w:sz w:val="24"/>
                <w:szCs w:val="24"/>
                <w:u w:val="none"/>
                <w:lang w:val="en-US" w:eastAsia="zh-CN" w:bidi="ar"/>
              </w:rPr>
              <w:t>；</w:t>
            </w:r>
          </w:p>
          <w:p w14:paraId="3DBAFEF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5.</w:t>
            </w:r>
            <w:r>
              <w:rPr>
                <w:rFonts w:hint="eastAsia" w:ascii="宋体" w:hAnsi="宋体" w:eastAsia="宋体" w:cs="宋体"/>
                <w:i w:val="0"/>
                <w:iCs w:val="0"/>
                <w:color w:val="000000"/>
                <w:kern w:val="0"/>
                <w:sz w:val="24"/>
                <w:szCs w:val="24"/>
                <w:u w:val="none"/>
                <w:lang w:val="en-US" w:eastAsia="zh-CN" w:bidi="ar"/>
              </w:rPr>
              <w:t>专用柔性电路</w:t>
            </w:r>
            <w:r>
              <w:rPr>
                <w:rFonts w:hint="default" w:ascii="宋体" w:hAnsi="宋体" w:eastAsia="宋体" w:cs="宋体"/>
                <w:i w:val="0"/>
                <w:iCs w:val="0"/>
                <w:color w:val="000000"/>
                <w:kern w:val="0"/>
                <w:sz w:val="24"/>
                <w:szCs w:val="24"/>
                <w:u w:val="none"/>
                <w:lang w:val="en-US" w:eastAsia="zh-CN" w:bidi="ar"/>
              </w:rPr>
              <w:t>固化灯 1台</w:t>
            </w:r>
            <w:r>
              <w:rPr>
                <w:rFonts w:hint="eastAsia" w:ascii="宋体" w:hAnsi="宋体" w:cs="宋体"/>
                <w:i w:val="0"/>
                <w:iCs w:val="0"/>
                <w:color w:val="000000"/>
                <w:kern w:val="0"/>
                <w:sz w:val="24"/>
                <w:szCs w:val="24"/>
                <w:u w:val="none"/>
                <w:lang w:val="en-US" w:eastAsia="zh-CN" w:bidi="ar"/>
              </w:rPr>
              <w:t>。</w:t>
            </w:r>
          </w:p>
        </w:tc>
        <w:tc>
          <w:tcPr>
            <w:tcW w:w="418" w:type="pct"/>
            <w:shd w:val="clear" w:color="auto" w:fill="auto"/>
            <w:noWrap/>
            <w:vAlign w:val="center"/>
          </w:tcPr>
          <w:p w14:paraId="6EE8692D">
            <w:pPr>
              <w:pStyle w:val="4"/>
              <w:jc w:val="center"/>
              <w:rPr>
                <w:rFonts w:hint="eastAsia" w:ascii="宋体" w:hAnsi="宋体" w:eastAsia="宋体" w:cs="宋体"/>
                <w:lang w:val="en-US" w:eastAsia="zh-CN"/>
              </w:rPr>
            </w:pPr>
            <w:r>
              <w:rPr>
                <w:rFonts w:hint="eastAsia" w:ascii="宋体" w:hAnsi="宋体" w:eastAsia="宋体" w:cs="宋体"/>
                <w:lang w:val="en-US" w:eastAsia="zh-CN"/>
              </w:rPr>
              <w:t>1</w:t>
            </w:r>
          </w:p>
        </w:tc>
        <w:tc>
          <w:tcPr>
            <w:tcW w:w="399" w:type="pct"/>
            <w:noWrap/>
            <w:vAlign w:val="center"/>
          </w:tcPr>
          <w:p w14:paraId="1A53497D">
            <w:pPr>
              <w:pStyle w:val="4"/>
              <w:jc w:val="center"/>
            </w:pPr>
          </w:p>
        </w:tc>
        <w:tc>
          <w:tcPr>
            <w:tcW w:w="387" w:type="pct"/>
            <w:noWrap/>
            <w:vAlign w:val="center"/>
          </w:tcPr>
          <w:p w14:paraId="33E3F093">
            <w:pPr>
              <w:pStyle w:val="4"/>
              <w:jc w:val="center"/>
              <w:rPr>
                <w:rFonts w:hint="eastAsia" w:ascii="宋体" w:hAnsi="宋体" w:eastAsia="宋体" w:cs="宋体"/>
              </w:rPr>
            </w:pPr>
          </w:p>
        </w:tc>
      </w:tr>
      <w:bookmarkEnd w:id="0"/>
    </w:tbl>
    <w:p w14:paraId="027D5381">
      <w:pPr>
        <w:pStyle w:val="3"/>
        <w:ind w:firstLine="0" w:firstLineChars="0"/>
      </w:pPr>
      <w:r>
        <w:rPr>
          <w:rFonts w:hint="eastAsia"/>
        </w:rPr>
        <w:t>三、安装调试、售后服务要求</w:t>
      </w:r>
    </w:p>
    <w:p w14:paraId="72E9EF24">
      <w:pPr>
        <w:spacing w:line="360" w:lineRule="auto"/>
        <w:ind w:firstLine="480" w:firstLineChars="200"/>
        <w:rPr>
          <w:rFonts w:hint="eastAsia" w:ascii="宋体" w:hAnsi="宋体"/>
          <w:bCs/>
          <w:color w:val="000000"/>
          <w:szCs w:val="24"/>
          <w:lang w:val="en-US" w:eastAsia="zh-CN"/>
        </w:rPr>
      </w:pPr>
      <w:r>
        <w:rPr>
          <w:rFonts w:hint="eastAsia" w:ascii="宋体" w:hAnsi="宋体"/>
          <w:bCs/>
          <w:color w:val="000000"/>
          <w:szCs w:val="24"/>
          <w:lang w:val="en-US" w:eastAsia="zh-CN"/>
        </w:rPr>
        <w:t>1、安装调试：</w:t>
      </w:r>
    </w:p>
    <w:p w14:paraId="4BA47C0C">
      <w:pPr>
        <w:spacing w:line="360" w:lineRule="auto"/>
        <w:ind w:firstLine="480" w:firstLineChars="200"/>
        <w:rPr>
          <w:rFonts w:hint="eastAsia" w:ascii="宋体" w:hAnsi="宋体"/>
          <w:bCs/>
          <w:color w:val="000000"/>
          <w:szCs w:val="24"/>
          <w:lang w:val="en-US" w:eastAsia="zh-CN"/>
        </w:rPr>
      </w:pPr>
      <w:r>
        <w:rPr>
          <w:rFonts w:hint="eastAsia" w:ascii="宋体" w:hAnsi="宋体"/>
          <w:bCs/>
          <w:color w:val="000000"/>
          <w:szCs w:val="24"/>
          <w:lang w:val="en-US" w:eastAsia="zh-CN"/>
        </w:rPr>
        <w:t>（1）协助安装调试前的准备工作，提供相关要求并作相应的指导。</w:t>
      </w:r>
    </w:p>
    <w:p w14:paraId="181F6878">
      <w:pPr>
        <w:spacing w:line="360" w:lineRule="auto"/>
        <w:ind w:firstLine="480" w:firstLineChars="200"/>
        <w:rPr>
          <w:rFonts w:hint="eastAsia" w:ascii="宋体" w:hAnsi="宋体"/>
          <w:bCs/>
          <w:color w:val="000000"/>
          <w:szCs w:val="24"/>
          <w:lang w:val="en-US" w:eastAsia="zh-CN"/>
        </w:rPr>
      </w:pPr>
      <w:r>
        <w:rPr>
          <w:rFonts w:hint="eastAsia" w:ascii="宋体" w:hAnsi="宋体"/>
          <w:bCs/>
          <w:color w:val="000000"/>
          <w:szCs w:val="24"/>
          <w:lang w:val="en-US" w:eastAsia="zh-CN"/>
        </w:rPr>
        <w:t>（2）货物到达用户指定交货地点后，产品制造商在接到用户通知后一周内进行安装调试，直至验收通过，并就货物的性能、原理、操作、保养和维护等对用户技术人员（至少3人）进行免费培训。</w:t>
      </w:r>
    </w:p>
    <w:p w14:paraId="5454D942">
      <w:pPr>
        <w:spacing w:line="360" w:lineRule="auto"/>
        <w:ind w:firstLine="480" w:firstLineChars="200"/>
        <w:rPr>
          <w:rFonts w:hint="eastAsia" w:ascii="宋体" w:hAnsi="宋体"/>
          <w:bCs/>
          <w:color w:val="000000"/>
          <w:szCs w:val="24"/>
          <w:highlight w:val="none"/>
          <w:lang w:val="en-US" w:eastAsia="zh-CN"/>
        </w:rPr>
      </w:pPr>
      <w:r>
        <w:rPr>
          <w:rFonts w:hint="eastAsia" w:ascii="宋体" w:hAnsi="宋体"/>
          <w:bCs/>
          <w:color w:val="000000"/>
          <w:szCs w:val="24"/>
          <w:lang w:val="en-US" w:eastAsia="zh-CN"/>
        </w:rPr>
        <w:t>（3）中标人确</w:t>
      </w:r>
      <w:r>
        <w:rPr>
          <w:rFonts w:hint="eastAsia" w:ascii="宋体" w:hAnsi="宋体"/>
          <w:bCs/>
          <w:color w:val="000000"/>
          <w:szCs w:val="24"/>
          <w:highlight w:val="none"/>
          <w:lang w:val="en-US" w:eastAsia="zh-CN"/>
        </w:rPr>
        <w:t>保供货、安装调试人员能够严格按供货及安装期限计划进校安装调试。中标人需加强对供货、安装调试人员的现场安全管理，因中标人原因而影响供货及安装期限的，责任由中标人自负。</w:t>
      </w:r>
    </w:p>
    <w:p w14:paraId="5FD97720">
      <w:pPr>
        <w:spacing w:line="360" w:lineRule="auto"/>
        <w:ind w:firstLine="480" w:firstLineChars="200"/>
        <w:rPr>
          <w:rFonts w:hint="eastAsia" w:ascii="宋体" w:hAnsi="宋体"/>
          <w:bCs/>
          <w:color w:val="000000"/>
          <w:szCs w:val="24"/>
          <w:lang w:val="en-US" w:eastAsia="zh-CN"/>
        </w:rPr>
      </w:pPr>
      <w:r>
        <w:rPr>
          <w:rFonts w:hint="eastAsia" w:ascii="宋体" w:hAnsi="宋体"/>
          <w:bCs/>
          <w:color w:val="000000"/>
          <w:szCs w:val="24"/>
          <w:highlight w:val="none"/>
          <w:lang w:val="en-US" w:eastAsia="zh-CN"/>
        </w:rPr>
        <w:t>（4）本项目供货及安装期限为合同签订后60个日历日内供安装货完毕并</w:t>
      </w:r>
      <w:r>
        <w:rPr>
          <w:rFonts w:hint="eastAsia" w:ascii="宋体" w:hAnsi="宋体"/>
          <w:bCs/>
          <w:color w:val="000000"/>
          <w:szCs w:val="24"/>
          <w:lang w:val="en-US" w:eastAsia="zh-CN"/>
        </w:rPr>
        <w:t>经学校实验室和本科教学主管部门初步验收合格。如无法在限定时间内完成，按合同延期交付条款处理</w:t>
      </w:r>
      <w:r>
        <w:rPr>
          <w:rFonts w:hint="eastAsia" w:ascii="宋体" w:hAnsi="宋体"/>
          <w:bCs/>
          <w:color w:val="000000"/>
          <w:szCs w:val="24"/>
        </w:rPr>
        <w:t>。</w:t>
      </w:r>
    </w:p>
    <w:p w14:paraId="676DAEF6">
      <w:pPr>
        <w:spacing w:line="360" w:lineRule="auto"/>
        <w:ind w:firstLine="480" w:firstLineChars="200"/>
        <w:rPr>
          <w:rFonts w:hint="eastAsia" w:ascii="宋体" w:hAnsi="宋体"/>
          <w:bCs/>
          <w:color w:val="000000"/>
          <w:szCs w:val="24"/>
          <w:lang w:val="en-US" w:eastAsia="zh-CN"/>
        </w:rPr>
      </w:pPr>
      <w:r>
        <w:rPr>
          <w:rFonts w:hint="eastAsia" w:ascii="宋体" w:hAnsi="宋体"/>
          <w:bCs/>
          <w:color w:val="000000"/>
          <w:szCs w:val="24"/>
          <w:lang w:val="en-US" w:eastAsia="zh-CN"/>
        </w:rPr>
        <w:t>2、售后服务：</w:t>
      </w:r>
    </w:p>
    <w:p w14:paraId="50B196FA">
      <w:pPr>
        <w:spacing w:line="360" w:lineRule="auto"/>
        <w:ind w:firstLine="480" w:firstLineChars="200"/>
        <w:rPr>
          <w:rFonts w:hint="eastAsia" w:ascii="宋体" w:hAnsi="宋体"/>
          <w:bCs/>
          <w:color w:val="000000"/>
          <w:szCs w:val="24"/>
          <w:lang w:val="en-US" w:eastAsia="zh-CN"/>
        </w:rPr>
      </w:pPr>
      <w:r>
        <w:rPr>
          <w:rFonts w:hint="eastAsia" w:ascii="宋体" w:hAnsi="宋体"/>
          <w:bCs/>
          <w:color w:val="000000"/>
          <w:szCs w:val="24"/>
          <w:lang w:val="en-US" w:eastAsia="zh-CN"/>
        </w:rPr>
        <w:t>（1）产品制造商应在4小时内对用户的维修要求作出响应，三个工作日内到达现场维修。</w:t>
      </w:r>
    </w:p>
    <w:p w14:paraId="0155FDAC">
      <w:pPr>
        <w:spacing w:line="360" w:lineRule="auto"/>
        <w:ind w:firstLine="480" w:firstLineChars="200"/>
        <w:rPr>
          <w:rFonts w:hint="eastAsia" w:ascii="宋体" w:hAnsi="宋体"/>
          <w:bCs/>
          <w:color w:val="000000"/>
          <w:szCs w:val="24"/>
          <w:lang w:val="en-US" w:eastAsia="zh-CN"/>
        </w:rPr>
      </w:pPr>
      <w:r>
        <w:rPr>
          <w:rFonts w:hint="eastAsia" w:ascii="宋体" w:hAnsi="宋体"/>
          <w:bCs/>
          <w:color w:val="000000"/>
          <w:szCs w:val="24"/>
          <w:lang w:val="en-US" w:eastAsia="zh-CN"/>
        </w:rPr>
        <w:t>（2）如遇软件升级问题，在硬件支持的前提下，提供免费升级。</w:t>
      </w:r>
    </w:p>
    <w:p w14:paraId="0C40382B">
      <w:pPr>
        <w:pStyle w:val="3"/>
        <w:ind w:firstLine="0" w:firstLineChars="0"/>
      </w:pPr>
      <w:r>
        <w:rPr>
          <w:rFonts w:hint="eastAsia"/>
        </w:rPr>
        <w:t>四、报价要求</w:t>
      </w:r>
    </w:p>
    <w:p w14:paraId="29C52167">
      <w:pPr>
        <w:spacing w:line="360" w:lineRule="auto"/>
        <w:ind w:firstLine="480" w:firstLineChars="200"/>
        <w:rPr>
          <w:rFonts w:hint="eastAsia" w:ascii="宋体" w:hAnsi="宋体"/>
          <w:bCs/>
          <w:color w:val="000000"/>
          <w:szCs w:val="24"/>
        </w:rPr>
      </w:pPr>
      <w:r>
        <w:rPr>
          <w:rFonts w:hint="eastAsia" w:ascii="宋体" w:hAnsi="宋体"/>
          <w:bCs/>
          <w:color w:val="000000"/>
          <w:szCs w:val="24"/>
        </w:rPr>
        <w:t>本项目须报投标总价，投标总价包含完成所投包别项目产生的一切费用（仪器设备安装调试所需要的人工、材料、工具等均由中标人负责提供，所需费用包含在投标总报价内），履约期间采购人不再追加任何费用，投标人自行考虑报价风险。</w:t>
      </w:r>
    </w:p>
    <w:p w14:paraId="77E87CDD">
      <w:pPr>
        <w:pStyle w:val="3"/>
        <w:ind w:firstLine="0" w:firstLineChars="0"/>
        <w:rPr>
          <w:rFonts w:hint="eastAsia"/>
        </w:rPr>
      </w:pPr>
      <w:r>
        <w:rPr>
          <w:rFonts w:hint="eastAsia"/>
          <w:lang w:val="en-US" w:eastAsia="zh-CN"/>
        </w:rPr>
        <w:t>五</w:t>
      </w:r>
      <w:r>
        <w:rPr>
          <w:rFonts w:hint="eastAsia"/>
        </w:rPr>
        <w:t>、其他要求</w:t>
      </w:r>
    </w:p>
    <w:p w14:paraId="25BEFAAE">
      <w:pPr>
        <w:spacing w:line="360" w:lineRule="auto"/>
        <w:ind w:firstLine="480" w:firstLineChars="200"/>
      </w:pPr>
      <w:r>
        <w:rPr>
          <w:rFonts w:hint="eastAsia" w:ascii="宋体" w:hAnsi="宋体" w:eastAsia="宋体"/>
          <w:bCs/>
          <w:color w:val="000000"/>
          <w:szCs w:val="24"/>
          <w:lang w:val="en-US" w:eastAsia="zh-CN"/>
        </w:rPr>
        <w:t>为确保产品系统符合使用要求，合同签订后采购人有权要求中标人对投标文件响应情况进行测试，如发现有虚假响应，采购人有权解除合同并报政府采购监管部门处理，由此引起的一切责任由中标人自行承担。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82016" w:usb3="00000000" w:csb0="00040001" w:csb1="00000000"/>
  </w:font>
  <w:font w:name="方正黑体_GBK">
    <w:altName w:val="微软雅黑"/>
    <w:panose1 w:val="00000000000000000000"/>
    <w:charset w:val="86"/>
    <w:family w:val="script"/>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微软简标宋">
    <w:altName w:val="微软雅黑"/>
    <w:panose1 w:val="00000000000000000000"/>
    <w:charset w:val="86"/>
    <w:family w:val="auto"/>
    <w:pitch w:val="default"/>
    <w:sig w:usb0="00000000" w:usb1="00000000" w:usb2="00000000" w:usb3="00000000" w:csb0="00000000"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F26EC1"/>
    <w:multiLevelType w:val="singleLevel"/>
    <w:tmpl w:val="07F26EC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7C1800"/>
    <w:rsid w:val="357C18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宋体" w:cs="@仿宋_GB2312"/>
      <w:kern w:val="2"/>
      <w:sz w:val="24"/>
      <w:lang w:val="en-US" w:eastAsia="zh-CN" w:bidi="ar-SA"/>
    </w:rPr>
  </w:style>
  <w:style w:type="paragraph" w:styleId="2">
    <w:name w:val="heading 1"/>
    <w:basedOn w:val="1"/>
    <w:next w:val="1"/>
    <w:link w:val="11"/>
    <w:qFormat/>
    <w:uiPriority w:val="9"/>
    <w:pPr>
      <w:keepNext/>
      <w:keepLines/>
      <w:spacing w:line="360" w:lineRule="auto"/>
      <w:jc w:val="center"/>
      <w:outlineLvl w:val="0"/>
    </w:pPr>
    <w:rPr>
      <w:rFonts w:eastAsia="方正小标宋_GBK"/>
      <w:bCs/>
      <w:kern w:val="44"/>
      <w:sz w:val="44"/>
      <w:szCs w:val="44"/>
    </w:rPr>
  </w:style>
  <w:style w:type="paragraph" w:styleId="3">
    <w:name w:val="heading 2"/>
    <w:basedOn w:val="1"/>
    <w:next w:val="1"/>
    <w:qFormat/>
    <w:uiPriority w:val="0"/>
    <w:pPr>
      <w:keepNext/>
      <w:keepLines/>
      <w:spacing w:before="240" w:line="360" w:lineRule="auto"/>
      <w:ind w:firstLine="640" w:firstLineChars="200"/>
      <w:jc w:val="left"/>
      <w:outlineLvl w:val="1"/>
    </w:pPr>
    <w:rPr>
      <w:rFonts w:ascii="Arial" w:hAnsi="Arial" w:eastAsia="方正黑体_GBK" w:cs="Arial"/>
      <w:bCs/>
      <w:sz w:val="28"/>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spacing w:after="120"/>
    </w:pPr>
    <w:rPr>
      <w:rFonts w:ascii="@微软简标宋" w:hAnsi="@微软简标宋" w:eastAsia="@微软简标宋" w:cs="@微软简标宋"/>
      <w:szCs w:val="24"/>
    </w:rPr>
  </w:style>
  <w:style w:type="paragraph" w:styleId="5">
    <w:name w:val="Body Text Indent"/>
    <w:basedOn w:val="1"/>
    <w:unhideWhenUsed/>
    <w:qFormat/>
    <w:uiPriority w:val="99"/>
    <w:pPr>
      <w:ind w:firstLine="645"/>
    </w:pPr>
    <w:rPr>
      <w:rFonts w:ascii="楷体_GB2312" w:eastAsia="楷体_GB2312"/>
      <w:sz w:val="32"/>
    </w:rPr>
  </w:style>
  <w:style w:type="paragraph" w:styleId="6">
    <w:name w:val="footer"/>
    <w:basedOn w:val="1"/>
    <w:unhideWhenUsed/>
    <w:qFormat/>
    <w:uiPriority w:val="0"/>
    <w:pPr>
      <w:tabs>
        <w:tab w:val="center" w:pos="4153"/>
        <w:tab w:val="right" w:pos="8306"/>
      </w:tabs>
      <w:snapToGrid w:val="0"/>
      <w:jc w:val="left"/>
    </w:pPr>
    <w:rPr>
      <w:sz w:val="18"/>
      <w:szCs w:val="18"/>
    </w:rPr>
  </w:style>
  <w:style w:type="paragraph" w:styleId="7">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Body Text First Indent 2"/>
    <w:basedOn w:val="5"/>
    <w:unhideWhenUsed/>
    <w:qFormat/>
    <w:uiPriority w:val="99"/>
    <w:pPr>
      <w:ind w:left="420" w:firstLine="420" w:firstLineChars="200"/>
    </w:pPr>
    <w:rPr>
      <w:rFonts w:ascii="Times New Roman" w:cs="Times New Roman"/>
    </w:rPr>
  </w:style>
  <w:style w:type="character" w:customStyle="1" w:styleId="11">
    <w:name w:val="标题 1 字符"/>
    <w:link w:val="2"/>
    <w:qFormat/>
    <w:uiPriority w:val="9"/>
    <w:rPr>
      <w:rFonts w:eastAsia="方正小标宋_GBK"/>
      <w:bCs/>
      <w:kern w:val="44"/>
      <w:sz w:val="44"/>
      <w:szCs w:val="44"/>
    </w:rPr>
  </w:style>
  <w:style w:type="paragraph" w:customStyle="1" w:styleId="12">
    <w:name w:val="D&amp;L"/>
    <w:basedOn w:val="7"/>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3">
    <w:name w:val="xl31"/>
    <w:basedOn w:val="1"/>
    <w:qFormat/>
    <w:uiPriority w:val="0"/>
    <w:pPr>
      <w:widowControl/>
      <w:spacing w:before="100" w:beforeAutospacing="1" w:after="100" w:afterAutospacing="1"/>
      <w:jc w:val="center"/>
    </w:pPr>
    <w:rPr>
      <w:b/>
      <w:bCs/>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2026-09-14T04:12:00Z</dcterms:created>
  <dc:creator>安天</dc:creator>
  <cp:lastModifiedBy>安天</cp:lastModifiedBy>
  <dcterms:modified xsi:type="dcterms:W3CDTF">2026-09-14T04:13:39Z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96B47B27A3584184B49DE82F1E83A14F_11</vt:lpwstr>
  </property>
  <property fmtid="{D5CDD505-2E9C-101B-9397-08002B2CF9AE}" pid="4" name="KSOTemplateDocerSaveRecord">
    <vt:lpwstr>eyJoZGlkIjoiN2YzNjBkOTgyNWQ1YTMxYzM3MzMwNWFiODNmOWIzYWMiLCJ1c2VySWQiOiIyOTgxMTI1OTkifQ==</vt:lpwstr>
  </property>
</Properties>
</file>