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C58AC">
      <w:pPr>
        <w:pStyle w:val="2"/>
        <w:jc w:val="center"/>
        <w:rPr>
          <w:rFonts w:hint="eastAsia" w:ascii="宋体" w:hAnsi="宋体"/>
        </w:rPr>
      </w:pPr>
      <w:r>
        <w:rPr>
          <w:rFonts w:hint="eastAsia" w:ascii="宋体" w:hAnsi="宋体"/>
          <w:szCs w:val="36"/>
        </w:rPr>
        <w:t>采购需求</w:t>
      </w:r>
    </w:p>
    <w:p w14:paraId="24063CDA">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57D61E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7FA5C50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797567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0" w:name="_Hlk33586079"/>
      <w:r>
        <w:rPr>
          <w:rFonts w:hint="eastAsia" w:ascii="宋体" w:hAnsi="宋体"/>
          <w:szCs w:val="21"/>
        </w:rPr>
        <w:t>采购人（代理机构）在编制招标文件时必须将采购的主要标的（包括核心产品）标注“▲”</w:t>
      </w:r>
      <w:bookmarkEnd w:id="0"/>
      <w:r>
        <w:rPr>
          <w:rFonts w:hint="eastAsia" w:ascii="宋体" w:hAnsi="宋体"/>
          <w:szCs w:val="21"/>
        </w:rPr>
        <w:t>。</w:t>
      </w:r>
    </w:p>
    <w:p w14:paraId="7F9FC161">
      <w:pPr>
        <w:adjustRightInd w:val="0"/>
        <w:snapToGrid w:val="0"/>
        <w:spacing w:before="124" w:beforeLines="40" w:after="124" w:afterLines="40" w:line="400" w:lineRule="exact"/>
        <w:ind w:firstLine="420" w:firstLineChars="200"/>
        <w:jc w:val="left"/>
        <w:rPr>
          <w:rFonts w:hint="eastAsia" w:ascii="宋体" w:hAnsi="宋体"/>
          <w:szCs w:val="21"/>
          <w:highlight w:val="yellow"/>
        </w:rPr>
      </w:pPr>
    </w:p>
    <w:p w14:paraId="136A2580">
      <w:pPr>
        <w:pStyle w:val="3"/>
      </w:pPr>
    </w:p>
    <w:p w14:paraId="3B411F64">
      <w:pPr>
        <w:adjustRightInd w:val="0"/>
        <w:snapToGrid w:val="0"/>
        <w:spacing w:before="124" w:beforeLines="40" w:after="124" w:afterLines="40" w:line="400" w:lineRule="exact"/>
        <w:jc w:val="left"/>
        <w:rPr>
          <w:rFonts w:hint="eastAsia" w:ascii="宋体" w:hAnsi="宋体"/>
          <w:szCs w:val="21"/>
        </w:rPr>
      </w:pPr>
    </w:p>
    <w:p w14:paraId="52F3C7FC">
      <w:pPr>
        <w:numPr>
          <w:ilvl w:val="0"/>
          <w:numId w:val="1"/>
        </w:numPr>
        <w:spacing w:line="360" w:lineRule="auto"/>
        <w:ind w:firstLine="437"/>
        <w:outlineLvl w:val="1"/>
        <w:rPr>
          <w:rFonts w:hint="eastAsia" w:ascii="宋体" w:hAnsi="宋体" w:cs="宋体"/>
          <w:b/>
          <w:szCs w:val="21"/>
        </w:rPr>
      </w:pPr>
      <w:bookmarkStart w:id="1" w:name="_Toc2554"/>
      <w:bookmarkStart w:id="2" w:name="_Toc32151"/>
      <w:r>
        <w:rPr>
          <w:rFonts w:hint="eastAsia" w:ascii="宋体" w:hAnsi="宋体" w:cs="宋体"/>
          <w:b/>
          <w:szCs w:val="21"/>
        </w:rPr>
        <w:br w:type="page"/>
      </w:r>
      <w:r>
        <w:rPr>
          <w:rFonts w:hint="eastAsia" w:ascii="宋体" w:hAnsi="宋体" w:cs="宋体"/>
          <w:b/>
          <w:szCs w:val="21"/>
        </w:rPr>
        <w:t>采购需求前附表</w:t>
      </w:r>
      <w:bookmarkEnd w:id="1"/>
      <w:bookmarkEnd w:id="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08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BFFB369">
            <w:pPr>
              <w:pStyle w:val="7"/>
              <w:pBdr>
                <w:bottom w:val="none" w:color="auto" w:sz="0" w:space="0"/>
              </w:pBdr>
              <w:tabs>
                <w:tab w:val="clear" w:pos="4153"/>
                <w:tab w:val="clear" w:pos="8306"/>
              </w:tabs>
              <w:adjustRightInd/>
              <w:spacing w:line="240" w:lineRule="auto"/>
              <w:textAlignment w:val="auto"/>
              <w:rPr>
                <w:rFonts w:ascii="宋体" w:hAnsi="宋体" w:eastAsia="宋体"/>
                <w:b/>
                <w:kern w:val="2"/>
                <w:sz w:val="21"/>
                <w:szCs w:val="21"/>
              </w:rPr>
            </w:pPr>
            <w:r>
              <w:rPr>
                <w:rFonts w:hint="eastAsia" w:ascii="宋体" w:hAnsi="宋体" w:eastAsia="宋体"/>
                <w:b/>
                <w:kern w:val="2"/>
                <w:sz w:val="21"/>
                <w:szCs w:val="21"/>
              </w:rPr>
              <w:t>序号</w:t>
            </w:r>
          </w:p>
        </w:tc>
        <w:tc>
          <w:tcPr>
            <w:tcW w:w="1192" w:type="pct"/>
            <w:noWrap w:val="0"/>
            <w:vAlign w:val="center"/>
          </w:tcPr>
          <w:p w14:paraId="1DC56F35">
            <w:pPr>
              <w:pStyle w:val="8"/>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条款名称</w:t>
            </w:r>
          </w:p>
        </w:tc>
        <w:tc>
          <w:tcPr>
            <w:tcW w:w="3217" w:type="pct"/>
            <w:noWrap w:val="0"/>
            <w:vAlign w:val="center"/>
          </w:tcPr>
          <w:p w14:paraId="2AA21BBF">
            <w:pPr>
              <w:pStyle w:val="8"/>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内容、说明与要求</w:t>
            </w:r>
          </w:p>
        </w:tc>
      </w:tr>
      <w:tr w14:paraId="0E2C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CAA08E3">
            <w:pPr>
              <w:pStyle w:val="7"/>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1</w:t>
            </w:r>
          </w:p>
        </w:tc>
        <w:tc>
          <w:tcPr>
            <w:tcW w:w="1192" w:type="pct"/>
            <w:noWrap w:val="0"/>
            <w:vAlign w:val="center"/>
          </w:tcPr>
          <w:p w14:paraId="514DE7AE">
            <w:pPr>
              <w:pStyle w:val="8"/>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付款方式</w:t>
            </w:r>
          </w:p>
        </w:tc>
        <w:tc>
          <w:tcPr>
            <w:tcW w:w="3217" w:type="pct"/>
            <w:noWrap w:val="0"/>
            <w:vAlign w:val="center"/>
          </w:tcPr>
          <w:p w14:paraId="2C2D9E78">
            <w:pPr>
              <w:pStyle w:val="8"/>
              <w:widowControl w:val="0"/>
              <w:spacing w:before="0" w:beforeAutospacing="0" w:after="0" w:afterAutospacing="0" w:line="360" w:lineRule="auto"/>
              <w:jc w:val="both"/>
              <w:rPr>
                <w:rFonts w:hint="eastAsia" w:ascii="宋体" w:hAnsi="宋体" w:eastAsia="宋体"/>
                <w:b w:val="0"/>
                <w:sz w:val="21"/>
                <w:szCs w:val="21"/>
                <w:highlight w:val="none"/>
                <w:u w:val="single"/>
                <w:lang w:val="en-US" w:eastAsia="zh-CN"/>
              </w:rPr>
            </w:pPr>
            <w:r>
              <w:rPr>
                <w:rFonts w:hint="eastAsia" w:ascii="宋体" w:hAnsi="宋体" w:eastAsia="宋体"/>
                <w:b w:val="0"/>
                <w:sz w:val="21"/>
                <w:szCs w:val="21"/>
                <w:highlight w:val="none"/>
                <w:u w:val="single"/>
                <w:lang w:val="en-US" w:eastAsia="zh-CN"/>
              </w:rPr>
              <w:t>（1）中标人非政府采购中小企业扶持政策条件的：货到验收后支付货款的70%，安装后验收完成，支付全部合同款。</w:t>
            </w:r>
          </w:p>
          <w:p w14:paraId="5216B2F2">
            <w:pPr>
              <w:pStyle w:val="8"/>
              <w:widowControl w:val="0"/>
              <w:spacing w:before="0" w:beforeAutospacing="0" w:after="0" w:afterAutospacing="0" w:line="360" w:lineRule="auto"/>
              <w:jc w:val="both"/>
              <w:rPr>
                <w:rFonts w:hint="eastAsia" w:ascii="宋体" w:hAnsi="宋体" w:eastAsia="宋体"/>
                <w:b w:val="0"/>
                <w:sz w:val="21"/>
                <w:szCs w:val="21"/>
                <w:highlight w:val="none"/>
                <w:u w:val="single"/>
                <w:lang w:val="en-US" w:eastAsia="zh-CN"/>
              </w:rPr>
            </w:pPr>
            <w:r>
              <w:rPr>
                <w:rFonts w:hint="eastAsia" w:ascii="宋体" w:hAnsi="宋体" w:eastAsia="宋体"/>
                <w:b w:val="0"/>
                <w:sz w:val="21"/>
                <w:szCs w:val="21"/>
                <w:highlight w:val="none"/>
                <w:u w:val="single"/>
                <w:lang w:val="en-US" w:eastAsia="zh-CN"/>
              </w:rPr>
              <w:t>（2）中标人为符合政府采购中小企业扶持政策条件的：合同签订后中标人须向采购人提交银行或保险公司或担保公司等金融机构出具的金额为合同总价40%的预付款保函作为担保，采购人收到上述等额担保后，支付给中标人合同总价40%的预付款，货到安装后验收完成，支付全部合同款的60%。</w:t>
            </w:r>
          </w:p>
          <w:p w14:paraId="59230ECD">
            <w:pPr>
              <w:pStyle w:val="8"/>
              <w:widowControl w:val="0"/>
              <w:spacing w:before="0" w:beforeAutospacing="0" w:after="0" w:afterAutospacing="0" w:line="360" w:lineRule="auto"/>
              <w:jc w:val="both"/>
              <w:rPr>
                <w:rFonts w:ascii="宋体" w:hAnsi="宋体" w:eastAsia="宋体"/>
                <w:b w:val="0"/>
                <w:sz w:val="21"/>
                <w:szCs w:val="21"/>
                <w:highlight w:val="none"/>
                <w:u w:val="single"/>
              </w:rPr>
            </w:pPr>
            <w:r>
              <w:rPr>
                <w:rFonts w:hint="eastAsia" w:ascii="宋体" w:hAnsi="宋体" w:eastAsia="宋体"/>
                <w:b/>
                <w:bCs w:val="0"/>
                <w:sz w:val="21"/>
                <w:szCs w:val="21"/>
                <w:highlight w:val="none"/>
                <w:u w:val="single"/>
              </w:rPr>
              <w:t>上述要求不允许负偏离。否则，按无效投标文件处理。</w:t>
            </w:r>
          </w:p>
        </w:tc>
      </w:tr>
      <w:tr w14:paraId="4928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DE4EE23">
            <w:pPr>
              <w:pStyle w:val="7"/>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2</w:t>
            </w:r>
          </w:p>
        </w:tc>
        <w:tc>
          <w:tcPr>
            <w:tcW w:w="1192" w:type="pct"/>
            <w:noWrap w:val="0"/>
            <w:vAlign w:val="center"/>
          </w:tcPr>
          <w:p w14:paraId="0EAFC86D">
            <w:pPr>
              <w:pStyle w:val="8"/>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供货及安装地点</w:t>
            </w:r>
          </w:p>
        </w:tc>
        <w:tc>
          <w:tcPr>
            <w:tcW w:w="3217" w:type="pct"/>
            <w:noWrap w:val="0"/>
            <w:vAlign w:val="center"/>
          </w:tcPr>
          <w:p w14:paraId="44EEDA60">
            <w:pPr>
              <w:pStyle w:val="8"/>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val="0"/>
                <w:color w:val="auto"/>
                <w:sz w:val="21"/>
                <w:szCs w:val="21"/>
                <w:highlight w:val="none"/>
                <w:lang w:val="en-US" w:eastAsia="zh-CN"/>
              </w:rPr>
              <w:t>安徽省女子监狱</w:t>
            </w:r>
            <w:r>
              <w:rPr>
                <w:rFonts w:hint="eastAsia" w:ascii="宋体" w:hAnsi="宋体" w:eastAsia="宋体"/>
                <w:b w:val="0"/>
                <w:color w:val="auto"/>
                <w:sz w:val="21"/>
                <w:szCs w:val="21"/>
                <w:highlight w:val="none"/>
              </w:rPr>
              <w:t>，采购人指定地点</w:t>
            </w:r>
            <w:r>
              <w:rPr>
                <w:rFonts w:hint="eastAsia" w:ascii="宋体" w:hAnsi="宋体" w:eastAsia="宋体"/>
                <w:b w:val="0"/>
                <w:color w:val="auto"/>
                <w:sz w:val="21"/>
                <w:szCs w:val="21"/>
                <w:highlight w:val="none"/>
                <w:lang w:eastAsia="zh-CN"/>
              </w:rPr>
              <w:t>。</w:t>
            </w:r>
          </w:p>
        </w:tc>
      </w:tr>
      <w:tr w14:paraId="304B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8C3D320">
            <w:pPr>
              <w:pStyle w:val="7"/>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3</w:t>
            </w:r>
          </w:p>
        </w:tc>
        <w:tc>
          <w:tcPr>
            <w:tcW w:w="1192" w:type="pct"/>
            <w:noWrap w:val="0"/>
            <w:vAlign w:val="center"/>
          </w:tcPr>
          <w:p w14:paraId="15F675E5">
            <w:pPr>
              <w:pStyle w:val="8"/>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供货及安装期限</w:t>
            </w:r>
          </w:p>
        </w:tc>
        <w:tc>
          <w:tcPr>
            <w:tcW w:w="3217" w:type="pct"/>
            <w:noWrap w:val="0"/>
            <w:vAlign w:val="center"/>
          </w:tcPr>
          <w:p w14:paraId="12D78365">
            <w:pPr>
              <w:pStyle w:val="8"/>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cs="宋体"/>
                <w:sz w:val="21"/>
                <w:szCs w:val="21"/>
                <w:lang w:val="en-US" w:eastAsia="zh-CN"/>
              </w:rPr>
              <w:t>合同签订后45个日历天完成供货、安装</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调试、验收工作</w:t>
            </w:r>
          </w:p>
        </w:tc>
      </w:tr>
      <w:tr w14:paraId="02F1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F146C21">
            <w:pPr>
              <w:pStyle w:val="7"/>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4</w:t>
            </w:r>
          </w:p>
        </w:tc>
        <w:tc>
          <w:tcPr>
            <w:tcW w:w="1192" w:type="pct"/>
            <w:noWrap w:val="0"/>
            <w:vAlign w:val="center"/>
          </w:tcPr>
          <w:p w14:paraId="281428DF">
            <w:pPr>
              <w:pStyle w:val="8"/>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质保期</w:t>
            </w:r>
          </w:p>
        </w:tc>
        <w:tc>
          <w:tcPr>
            <w:tcW w:w="3217" w:type="pct"/>
            <w:noWrap w:val="0"/>
            <w:vAlign w:val="center"/>
          </w:tcPr>
          <w:p w14:paraId="5DD8E33A">
            <w:pPr>
              <w:pStyle w:val="8"/>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val="0"/>
                <w:sz w:val="21"/>
                <w:szCs w:val="21"/>
                <w:highlight w:val="none"/>
              </w:rPr>
              <w:t>验收合格之日起</w:t>
            </w:r>
            <w:r>
              <w:rPr>
                <w:rFonts w:hint="eastAsia" w:ascii="宋体" w:hAnsi="宋体" w:eastAsia="宋体"/>
                <w:b w:val="0"/>
                <w:sz w:val="21"/>
                <w:szCs w:val="21"/>
                <w:highlight w:val="none"/>
                <w:lang w:val="en-US" w:eastAsia="zh-CN"/>
              </w:rPr>
              <w:t>2</w:t>
            </w:r>
            <w:r>
              <w:rPr>
                <w:rFonts w:hint="eastAsia" w:ascii="宋体" w:hAnsi="宋体" w:eastAsia="宋体"/>
                <w:b w:val="0"/>
                <w:sz w:val="21"/>
                <w:szCs w:val="21"/>
                <w:highlight w:val="none"/>
              </w:rPr>
              <w:t>年（如技术参数中另有要求，以技术参数中的要求为准）</w:t>
            </w:r>
          </w:p>
        </w:tc>
      </w:tr>
      <w:tr w14:paraId="7A2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977CDBE">
            <w:pPr>
              <w:pStyle w:val="7"/>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5</w:t>
            </w:r>
          </w:p>
        </w:tc>
        <w:tc>
          <w:tcPr>
            <w:tcW w:w="1192" w:type="pct"/>
            <w:noWrap w:val="0"/>
            <w:vAlign w:val="center"/>
          </w:tcPr>
          <w:p w14:paraId="1A4C679E">
            <w:pPr>
              <w:pStyle w:val="8"/>
              <w:widowControl w:val="0"/>
              <w:spacing w:before="0" w:beforeAutospacing="0" w:after="0" w:afterAutospacing="0" w:line="360" w:lineRule="auto"/>
              <w:rPr>
                <w:rFonts w:hint="default" w:ascii="宋体" w:hAnsi="宋体" w:eastAsia="宋体"/>
                <w:b/>
                <w:bCs w:val="0"/>
                <w:sz w:val="21"/>
                <w:szCs w:val="21"/>
                <w:lang w:val="en-US" w:eastAsia="zh-CN"/>
              </w:rPr>
            </w:pPr>
            <w:r>
              <w:rPr>
                <w:rFonts w:hint="eastAsia" w:ascii="宋体" w:hAnsi="宋体" w:eastAsia="宋体"/>
                <w:b/>
                <w:bCs w:val="0"/>
                <w:sz w:val="21"/>
                <w:szCs w:val="21"/>
                <w:lang w:val="en-US" w:eastAsia="zh-CN"/>
              </w:rPr>
              <w:t>针对“货物需求及技术参数要求”指标项的说明</w:t>
            </w:r>
          </w:p>
        </w:tc>
        <w:tc>
          <w:tcPr>
            <w:tcW w:w="3217" w:type="pct"/>
            <w:noWrap w:val="0"/>
            <w:vAlign w:val="center"/>
          </w:tcPr>
          <w:p w14:paraId="575542A7">
            <w:pPr>
              <w:pStyle w:val="8"/>
              <w:widowControl w:val="0"/>
              <w:spacing w:before="0" w:beforeAutospacing="0" w:after="0" w:afterAutospacing="0" w:line="360" w:lineRule="auto"/>
              <w:jc w:val="both"/>
              <w:rPr>
                <w:rFonts w:hint="default" w:ascii="宋体" w:hAnsi="宋体" w:eastAsia="宋体"/>
                <w:b w:val="0"/>
                <w:sz w:val="21"/>
                <w:szCs w:val="21"/>
                <w:lang w:val="en-US" w:eastAsia="zh-CN"/>
              </w:rPr>
            </w:pPr>
            <w:r>
              <w:rPr>
                <w:rFonts w:hint="eastAsia" w:ascii="宋体" w:hAnsi="宋体" w:eastAsia="宋体"/>
                <w:b w:val="0"/>
                <w:sz w:val="21"/>
                <w:szCs w:val="21"/>
                <w:lang w:val="en-US" w:eastAsia="zh-CN"/>
              </w:rPr>
              <w:t>适用于03包：</w:t>
            </w:r>
          </w:p>
          <w:p w14:paraId="02CE612F">
            <w:pPr>
              <w:pStyle w:val="8"/>
              <w:widowControl w:val="0"/>
              <w:spacing w:before="0" w:beforeAutospacing="0" w:after="0" w:afterAutospacing="0" w:line="360" w:lineRule="auto"/>
              <w:jc w:val="both"/>
              <w:rPr>
                <w:rFonts w:hint="eastAsia" w:ascii="宋体" w:hAnsi="宋体" w:eastAsia="宋体"/>
                <w:b w:val="0"/>
                <w:sz w:val="21"/>
                <w:szCs w:val="21"/>
                <w:lang w:val="en-US" w:eastAsia="zh-CN"/>
              </w:rPr>
            </w:pPr>
            <w:r>
              <w:rPr>
                <w:rFonts w:hint="eastAsia" w:ascii="宋体" w:hAnsi="宋体" w:eastAsia="宋体"/>
                <w:b w:val="0"/>
                <w:sz w:val="21"/>
                <w:szCs w:val="21"/>
                <w:lang w:val="en-US" w:eastAsia="zh-CN"/>
              </w:rPr>
              <w:t>无标识项为重要指标项，评分条款，具体评分细则详见第四章评标方法和标准。</w:t>
            </w:r>
          </w:p>
          <w:p w14:paraId="3DC53C39">
            <w:pPr>
              <w:pStyle w:val="8"/>
              <w:widowControl w:val="0"/>
              <w:spacing w:before="0" w:beforeAutospacing="0" w:after="0" w:afterAutospacing="0" w:line="360" w:lineRule="auto"/>
              <w:jc w:val="both"/>
              <w:rPr>
                <w:rFonts w:hint="eastAsia" w:ascii="宋体" w:hAnsi="宋体" w:eastAsia="宋体"/>
                <w:b w:val="0"/>
                <w:sz w:val="21"/>
                <w:szCs w:val="21"/>
                <w:lang w:val="en-US" w:eastAsia="zh-CN"/>
              </w:rPr>
            </w:pPr>
            <w:r>
              <w:rPr>
                <w:rFonts w:hint="eastAsia" w:ascii="宋体" w:hAnsi="宋体" w:eastAsia="宋体"/>
                <w:b w:val="0"/>
                <w:sz w:val="21"/>
                <w:szCs w:val="21"/>
                <w:lang w:val="en-US" w:eastAsia="zh-CN"/>
              </w:rPr>
              <w:t>注：无标识项的指标，投标文件中需提供相关证明材料扫描件，证明材料包括：医疗器械注册证、技术彩页、技术白皮书、官网截图等，提供其中之一即可（“技术参数及要求”中已明确证明材料要求的，以“技术参数及要求”中的要求为准），未提供或提供的证明材料不满足指标要求的视为负偏离（为便于评审，建议投标人对证明材料中的关键参数进行标注）。由评标委员会在详细评审阶段进行评分。</w:t>
            </w:r>
          </w:p>
          <w:p w14:paraId="639D0F8E">
            <w:pPr>
              <w:pStyle w:val="8"/>
              <w:widowControl w:val="0"/>
              <w:spacing w:before="0" w:beforeAutospacing="0" w:after="0" w:afterAutospacing="0" w:line="360" w:lineRule="auto"/>
              <w:jc w:val="both"/>
              <w:rPr>
                <w:rFonts w:hint="eastAsia" w:ascii="宋体" w:hAnsi="宋体" w:eastAsia="宋体"/>
                <w:b w:val="0"/>
                <w:sz w:val="21"/>
                <w:szCs w:val="21"/>
                <w:lang w:val="en-US" w:eastAsia="zh-CN"/>
              </w:rPr>
            </w:pPr>
            <w:r>
              <w:rPr>
                <w:rFonts w:hint="eastAsia" w:ascii="宋体" w:hAnsi="宋体" w:eastAsia="宋体"/>
                <w:b w:val="0"/>
                <w:sz w:val="21"/>
                <w:szCs w:val="21"/>
                <w:lang w:val="en-US" w:eastAsia="zh-CN"/>
              </w:rPr>
              <w:t>所有技术参数及要求采购人验收时将逐条核对，如发现与实际情况不符、虚假响应等，采购人有权终止合同并报相关监管部门，由此产生的一切责任与后果均由中标供应商承担。</w:t>
            </w:r>
          </w:p>
        </w:tc>
      </w:tr>
    </w:tbl>
    <w:p w14:paraId="16C09D12">
      <w:pPr>
        <w:pStyle w:val="3"/>
        <w:numPr>
          <w:ilvl w:val="0"/>
          <w:numId w:val="0"/>
        </w:numPr>
        <w:rPr>
          <w:rFonts w:hint="eastAsia"/>
        </w:rPr>
      </w:pPr>
    </w:p>
    <w:p w14:paraId="6E732B1A">
      <w:pPr>
        <w:spacing w:line="360" w:lineRule="auto"/>
        <w:outlineLvl w:val="9"/>
        <w:rPr>
          <w:rFonts w:hint="eastAsia" w:ascii="宋体" w:hAnsi="宋体" w:cs="宋体"/>
          <w:b/>
          <w:bCs/>
          <w:szCs w:val="21"/>
        </w:rPr>
      </w:pPr>
      <w:bookmarkStart w:id="3" w:name="_Toc7671"/>
      <w:bookmarkStart w:id="4" w:name="_Toc5944"/>
    </w:p>
    <w:p w14:paraId="497EEA56">
      <w:pPr>
        <w:spacing w:line="360" w:lineRule="auto"/>
        <w:ind w:firstLine="437"/>
        <w:outlineLvl w:val="1"/>
        <w:rPr>
          <w:rFonts w:hint="eastAsia" w:ascii="宋体" w:hAnsi="宋体" w:cs="宋体"/>
          <w:b/>
          <w:bCs/>
          <w:szCs w:val="21"/>
        </w:rPr>
      </w:pPr>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3"/>
      <w:bookmarkEnd w:id="4"/>
    </w:p>
    <w:p w14:paraId="42FFC3BB">
      <w:pPr>
        <w:pStyle w:val="3"/>
        <w:rPr>
          <w:rFonts w:hint="eastAsia" w:hAnsi="宋体" w:cs="宋体"/>
          <w:b/>
          <w:bCs/>
          <w:szCs w:val="21"/>
          <w:lang w:val="en-US" w:eastAsia="zh-CN"/>
        </w:rPr>
      </w:pPr>
      <w:bookmarkStart w:id="5" w:name="_Toc7421"/>
      <w:bookmarkStart w:id="6" w:name="_Toc4843"/>
      <w:r>
        <w:rPr>
          <w:rFonts w:hint="eastAsia" w:hAnsi="宋体" w:cs="宋体"/>
          <w:b/>
          <w:bCs/>
          <w:szCs w:val="21"/>
          <w:lang w:val="en-US" w:eastAsia="zh-CN"/>
        </w:rPr>
        <w:t>03包</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1"/>
        <w:gridCol w:w="752"/>
        <w:gridCol w:w="4760"/>
        <w:gridCol w:w="752"/>
        <w:gridCol w:w="752"/>
        <w:gridCol w:w="752"/>
      </w:tblGrid>
      <w:tr w14:paraId="3DBE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DD49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CA6EF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2793" w:type="pct"/>
            <w:tcBorders>
              <w:top w:val="single" w:color="000000" w:sz="4" w:space="0"/>
              <w:left w:val="single" w:color="000000" w:sz="4" w:space="0"/>
              <w:bottom w:val="single" w:color="000000" w:sz="4" w:space="0"/>
              <w:right w:val="single" w:color="000000" w:sz="4" w:space="0"/>
            </w:tcBorders>
            <w:noWrap w:val="0"/>
            <w:vAlign w:val="center"/>
          </w:tcPr>
          <w:p w14:paraId="6DE31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主要技术参数</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4921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F23E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75E0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所属行业</w:t>
            </w:r>
          </w:p>
        </w:tc>
      </w:tr>
      <w:tr w14:paraId="76BD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41" w:type="pct"/>
            <w:tcBorders>
              <w:top w:val="single" w:color="000000" w:sz="4" w:space="0"/>
              <w:left w:val="single" w:color="000000" w:sz="4" w:space="0"/>
              <w:bottom w:val="single" w:color="000000" w:sz="4" w:space="0"/>
              <w:right w:val="single" w:color="000000" w:sz="4" w:space="0"/>
            </w:tcBorders>
            <w:noWrap w:val="0"/>
            <w:vAlign w:val="center"/>
          </w:tcPr>
          <w:p w14:paraId="1341D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6B55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监狱医院运送医疗物资用四轮平板电动车</w:t>
            </w:r>
          </w:p>
        </w:tc>
        <w:tc>
          <w:tcPr>
            <w:tcW w:w="2793" w:type="pct"/>
            <w:tcBorders>
              <w:top w:val="single" w:color="000000" w:sz="4" w:space="0"/>
              <w:left w:val="single" w:color="000000" w:sz="4" w:space="0"/>
              <w:bottom w:val="single" w:color="000000" w:sz="4" w:space="0"/>
              <w:right w:val="single" w:color="000000" w:sz="4" w:space="0"/>
            </w:tcBorders>
            <w:noWrap w:val="0"/>
            <w:vAlign w:val="center"/>
          </w:tcPr>
          <w:p w14:paraId="1B12B3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1、技术参数：长*宽*高 (mm) ≥3550*1400*1800；</w:t>
            </w:r>
          </w:p>
          <w:p w14:paraId="7DCAA8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2、三人连排矮靠背座椅（皮革面料+高回弹PU）；</w:t>
            </w:r>
          </w:p>
          <w:p w14:paraId="02B46A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3、斗： ≥  1800*1350*300（栏杆）全金属材质+框架式护栏结构+钢制顶棚 ；</w:t>
            </w:r>
          </w:p>
          <w:p w14:paraId="535A64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4、大灯+转向灯+刹车灯+倒车灯+LED警示灯+喇叭+倒车影像+倒车报警器，含警灯喊话器；</w:t>
            </w:r>
          </w:p>
          <w:p w14:paraId="748703F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5、48V 3.5KW 交流串励电机；</w:t>
            </w:r>
          </w:p>
          <w:p w14:paraId="265CE1B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6、48V 210AH h火炬免维护电池；</w:t>
            </w:r>
          </w:p>
          <w:p w14:paraId="707B1D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7、电控具有智能控制器自保护功能，防电磁干扰、防飞车、启动延时和倒车减速等安全保护功能；</w:t>
            </w:r>
          </w:p>
          <w:p w14:paraId="67A6CAE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8、充电机为高频智能48/30A充电机，充电器设有断路保护装置，蓄电池充电完毕后可自动断电，有效保护蓄电池，延长蓄电池的使用寿命；</w:t>
            </w:r>
          </w:p>
          <w:p w14:paraId="4EADDE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9、驾驶室采用模具冲压成型金属车身半封闭式驾驶室，前挡风玻璃采用弧形双层夹胶玻璃，左右侧、后挡风玻璃采用钢化玻璃，</w:t>
            </w:r>
          </w:p>
          <w:p w14:paraId="36429E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10、收音机，仪表，雨刮器，双大灯。</w:t>
            </w:r>
          </w:p>
          <w:p w14:paraId="4A0776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11、可以根据客户需要定制喷色方案；</w:t>
            </w:r>
          </w:p>
          <w:p w14:paraId="3EF13F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12、前桥独立悬挂、螺旋弹簧；后桥整体式后桥、带主减速及差速器；车架框架式结构，主梁采用内撑加强结构；</w:t>
            </w:r>
          </w:p>
          <w:p w14:paraId="02592C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13、铝合金轮毂，子午线12寸真空轮胎；</w:t>
            </w:r>
          </w:p>
          <w:p w14:paraId="243357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14、电动真空助力+前碟后鼓式双回路液压系统+驻车制动装置；</w:t>
            </w:r>
          </w:p>
          <w:p w14:paraId="48D2E75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15、汽车方向盘、齿轮齿条式方向机、客车方向管柱+EPS电子助力；钢板弹簧悬挂；</w:t>
            </w:r>
          </w:p>
          <w:p w14:paraId="6D73DE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16、无级变速（电机直接驱动）；</w:t>
            </w:r>
          </w:p>
          <w:p w14:paraId="737A2B2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17、防水阻燃线束+YH橡胶主电源线+汽车保险盒系统</w:t>
            </w:r>
          </w:p>
        </w:tc>
        <w:tc>
          <w:tcPr>
            <w:tcW w:w="441" w:type="pct"/>
            <w:tcBorders>
              <w:top w:val="single" w:color="000000" w:sz="4" w:space="0"/>
              <w:left w:val="single" w:color="000000" w:sz="4" w:space="0"/>
              <w:bottom w:val="single" w:color="000000" w:sz="4" w:space="0"/>
              <w:right w:val="single" w:color="000000" w:sz="4" w:space="0"/>
            </w:tcBorders>
            <w:noWrap/>
            <w:vAlign w:val="center"/>
          </w:tcPr>
          <w:p w14:paraId="5BCEE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41" w:type="pct"/>
            <w:tcBorders>
              <w:top w:val="single" w:color="000000" w:sz="4" w:space="0"/>
              <w:left w:val="single" w:color="000000" w:sz="4" w:space="0"/>
              <w:bottom w:val="single" w:color="000000" w:sz="4" w:space="0"/>
              <w:right w:val="single" w:color="000000" w:sz="4" w:space="0"/>
            </w:tcBorders>
            <w:noWrap/>
            <w:vAlign w:val="center"/>
          </w:tcPr>
          <w:p w14:paraId="56A7F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noWrap/>
            <w:vAlign w:val="center"/>
          </w:tcPr>
          <w:p w14:paraId="0772D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w:t>
            </w:r>
          </w:p>
        </w:tc>
      </w:tr>
    </w:tbl>
    <w:p w14:paraId="33AAF45D">
      <w:pPr>
        <w:spacing w:line="360" w:lineRule="auto"/>
        <w:ind w:firstLine="437"/>
        <w:outlineLvl w:val="1"/>
        <w:rPr>
          <w:rFonts w:hint="eastAsia" w:ascii="宋体" w:hAnsi="宋体" w:cs="宋体"/>
          <w:b/>
          <w:bCs/>
          <w:szCs w:val="21"/>
        </w:rPr>
      </w:pPr>
      <w:r>
        <w:rPr>
          <w:rFonts w:hint="eastAsia" w:ascii="宋体" w:hAnsi="宋体" w:cs="宋体"/>
          <w:b/>
          <w:bCs/>
          <w:szCs w:val="21"/>
        </w:rPr>
        <w:t>三、报价要求</w:t>
      </w:r>
      <w:bookmarkEnd w:id="5"/>
      <w:bookmarkEnd w:id="6"/>
    </w:p>
    <w:p w14:paraId="65E8F4BD">
      <w:pPr>
        <w:spacing w:line="360" w:lineRule="auto"/>
        <w:ind w:firstLine="437"/>
        <w:rPr>
          <w:rFonts w:hint="eastAsia" w:ascii="宋体" w:hAnsi="宋体" w:cs="宋体"/>
          <w:bCs/>
          <w:szCs w:val="21"/>
        </w:rPr>
      </w:pPr>
      <w:r>
        <w:rPr>
          <w:rFonts w:hint="eastAsia" w:ascii="宋体" w:hAnsi="宋体" w:eastAsia="宋体" w:cs="宋体"/>
          <w:spacing w:val="-2"/>
          <w:sz w:val="24"/>
          <w:szCs w:val="24"/>
          <w:highlight w:val="none"/>
        </w:rPr>
        <w:t>本项目报总价，</w:t>
      </w:r>
      <w:r>
        <w:rPr>
          <w:rFonts w:hint="eastAsia" w:ascii="宋体" w:hAnsi="宋体" w:eastAsia="宋体" w:cs="宋体"/>
          <w:spacing w:val="-2"/>
          <w:sz w:val="24"/>
          <w:szCs w:val="24"/>
          <w:highlight w:val="none"/>
          <w:lang w:val="en-US" w:eastAsia="zh-CN"/>
        </w:rPr>
        <w:t>采用总价包干，</w:t>
      </w:r>
      <w:r>
        <w:rPr>
          <w:rFonts w:hint="eastAsia" w:ascii="宋体" w:hAnsi="宋体" w:eastAsia="宋体" w:cs="宋体"/>
          <w:spacing w:val="-2"/>
          <w:sz w:val="24"/>
          <w:szCs w:val="24"/>
          <w:highlight w:val="none"/>
        </w:rPr>
        <w:t>总价包含为完成所投包别范围内所需的一切费用。所报总价不得超过所投包别对应最高限价，</w:t>
      </w:r>
      <w:r>
        <w:rPr>
          <w:rFonts w:hint="eastAsia" w:ascii="宋体" w:hAnsi="宋体" w:eastAsia="宋体" w:cs="宋体"/>
          <w:b/>
          <w:bCs/>
          <w:spacing w:val="-2"/>
          <w:sz w:val="24"/>
          <w:szCs w:val="24"/>
          <w:highlight w:val="none"/>
        </w:rPr>
        <w:t>否则投标无效</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采购人后期不再追加任何费用，请投标人谨慎报价。</w:t>
      </w:r>
    </w:p>
    <w:p w14:paraId="05CE9324">
      <w:pPr>
        <w:spacing w:line="360" w:lineRule="auto"/>
        <w:ind w:firstLine="437"/>
        <w:outlineLvl w:val="1"/>
        <w:rPr>
          <w:rFonts w:hint="eastAsia" w:ascii="宋体" w:hAnsi="宋体" w:cs="宋体"/>
          <w:b/>
          <w:bCs/>
          <w:szCs w:val="21"/>
        </w:rPr>
      </w:pPr>
      <w:bookmarkStart w:id="7" w:name="_Toc14698"/>
      <w:bookmarkStart w:id="8" w:name="_Toc15293"/>
      <w:r>
        <w:rPr>
          <w:rFonts w:hint="eastAsia" w:ascii="宋体" w:hAnsi="宋体" w:cs="宋体"/>
          <w:b/>
          <w:bCs/>
          <w:szCs w:val="21"/>
        </w:rPr>
        <w:t>四、其他要求</w:t>
      </w:r>
      <w:bookmarkEnd w:id="7"/>
      <w:bookmarkEnd w:id="8"/>
    </w:p>
    <w:p w14:paraId="0AF05C35">
      <w:pPr>
        <w:spacing w:line="360" w:lineRule="auto"/>
        <w:ind w:firstLine="437"/>
        <w:rPr>
          <w:rFonts w:hint="eastAsia" w:ascii="宋体" w:hAnsi="宋体" w:cs="宋体"/>
          <w:bCs/>
          <w:szCs w:val="21"/>
        </w:rPr>
      </w:pPr>
      <w:r>
        <w:rPr>
          <w:rFonts w:hint="eastAsia" w:ascii="宋体" w:hAnsi="宋体" w:eastAsia="宋体" w:cs="宋体"/>
          <w:sz w:val="24"/>
          <w:szCs w:val="24"/>
          <w:lang w:val="en-US" w:eastAsia="zh-CN"/>
        </w:rPr>
        <w:t>合同签订后45个日历天完成供货、安装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调试、验收工作。</w:t>
      </w:r>
    </w:p>
    <w:p w14:paraId="7852E4A0">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264E"/>
    <w:multiLevelType w:val="singleLevel"/>
    <w:tmpl w:val="12EC26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9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iPriority w:val="0"/>
    <w:rPr>
      <w:rFonts w:ascii="宋体" w:hAnsi="Arial"/>
      <w:sz w:val="28"/>
      <w:szCs w:val="20"/>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2025-04-22T03:26:27Z</dcterms:created>
  <dc:creator>546user1</dc:creator>
  <cp:lastModifiedBy>546user1</cp:lastModifiedBy>
  <dcterms:modified xsi:type="dcterms:W3CDTF">2025-04-22T03:26:57Z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eyJoZGlkIjoiYWRiMWY1YzVlNGQ3ZGMyMDFmOGVjOGI4OWI2NzNmMGUifQ==</vt:lpwstr>
  </property>
  <property fmtid="{D5CDD505-2E9C-101B-9397-08002B2CF9AE}" pid="4" name="ICV">
    <vt:lpwstr>0DCCA4A1F88B4FF7917B66F885A0CEA6_12</vt:lpwstr>
  </property>
</Properties>
</file>