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36FA0">
      <w:pPr>
        <w:pStyle w:val="2"/>
        <w:ind w:leftChars="100"/>
        <w:jc w:val="center"/>
        <w:rPr>
          <w:rFonts w:hint="eastAsia" w:ascii="宋体" w:hAnsi="宋体"/>
        </w:rPr>
      </w:pPr>
      <w:bookmarkStart w:id="0" w:name="_Toc17929"/>
      <w:bookmarkStart w:id="1" w:name="_Toc6022"/>
      <w:r>
        <w:rPr>
          <w:rFonts w:hint="eastAsia" w:ascii="宋体" w:hAnsi="宋体"/>
          <w:szCs w:val="36"/>
        </w:rPr>
        <w:t xml:space="preserve">第三章 </w:t>
      </w:r>
      <w:r>
        <w:rPr>
          <w:rFonts w:hint="eastAsia" w:ascii="宋体" w:hAnsi="宋体"/>
          <w:b w:val="0"/>
          <w:bCs w:val="0"/>
        </w:rPr>
        <w:t xml:space="preserve"> </w:t>
      </w:r>
      <w:r>
        <w:rPr>
          <w:rFonts w:hint="eastAsia" w:ascii="宋体" w:hAnsi="宋体"/>
          <w:szCs w:val="36"/>
        </w:rPr>
        <w:t>采购需求</w:t>
      </w:r>
      <w:bookmarkEnd w:id="0"/>
      <w:bookmarkEnd w:id="1"/>
    </w:p>
    <w:p w14:paraId="3BA53917">
      <w:pPr>
        <w:spacing w:before="124" w:beforeLines="40" w:after="124" w:afterLines="40" w:line="400" w:lineRule="exact"/>
        <w:ind w:firstLine="420" w:firstLineChars="200"/>
        <w:jc w:val="left"/>
        <w:rPr>
          <w:rFonts w:hint="eastAsia" w:ascii="宋体" w:hAnsi="宋体"/>
          <w:szCs w:val="21"/>
        </w:rPr>
      </w:pPr>
      <w:r>
        <w:rPr>
          <w:rFonts w:hint="eastAsia" w:ascii="宋体" w:hAnsi="宋体"/>
          <w:szCs w:val="21"/>
        </w:rPr>
        <w:t>前注：</w:t>
      </w:r>
    </w:p>
    <w:p w14:paraId="0AAB0BDD">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本采购需求中提出的技术方案仅为参考，如无明确限制，投标供应商可以进行优化，提供满足采购人实际需要的更优（或者性能实质上不低于的）技术方案或者设备配置，且此方案或配置须经评标委员会评审认可；</w:t>
      </w:r>
      <w:r>
        <w:rPr>
          <w:rFonts w:hint="eastAsia" w:ascii="宋体" w:hAnsi="宋体"/>
          <w:szCs w:val="21"/>
        </w:rPr>
        <w:cr/>
      </w:r>
      <w:r>
        <w:rPr>
          <w:rFonts w:hint="eastAsia" w:ascii="宋体" w:hAnsi="宋体"/>
          <w:szCs w:val="21"/>
        </w:rPr>
        <w:t xml:space="preserve">    2.投标供应商应当在投标文件中列出完成本项目并通过验收所需的所有各项服务等明细表及全部费用。中标供应商必须确保整体通过采购人及有关主管部门验收；投标供应商应自行踏勘项目现场，如投标供应商因未及时踏勘现场而导致的报价缺项漏项废标</w:t>
      </w:r>
      <w:r>
        <w:rPr>
          <w:rFonts w:hint="eastAsia" w:ascii="宋体" w:hAnsi="宋体"/>
          <w:szCs w:val="21"/>
          <w:lang w:eastAsia="zh-CN"/>
        </w:rPr>
        <w:t>或</w:t>
      </w:r>
      <w:r>
        <w:rPr>
          <w:rFonts w:hint="eastAsia" w:ascii="宋体" w:hAnsi="宋体"/>
          <w:szCs w:val="21"/>
        </w:rPr>
        <w:t>中标后无法完工，投标供应商自行承担一切后果；</w:t>
      </w:r>
    </w:p>
    <w:p w14:paraId="613DBF2C">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3.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3336666">
      <w:pPr>
        <w:adjustRightInd w:val="0"/>
        <w:snapToGrid w:val="0"/>
        <w:spacing w:line="360" w:lineRule="auto"/>
        <w:ind w:firstLine="422" w:firstLineChars="200"/>
        <w:jc w:val="left"/>
        <w:rPr>
          <w:rFonts w:hint="eastAsia" w:ascii="宋体" w:hAnsi="宋体" w:eastAsia="宋体" w:cs="Times New Roman"/>
          <w:b/>
          <w:bCs/>
          <w:sz w:val="21"/>
          <w:szCs w:val="21"/>
        </w:rPr>
      </w:pPr>
      <w:r>
        <w:rPr>
          <w:rFonts w:hint="eastAsia" w:ascii="宋体" w:hAnsi="宋体" w:eastAsia="宋体" w:cs="Times New Roman"/>
          <w:b/>
          <w:bCs/>
          <w:sz w:val="21"/>
          <w:szCs w:val="21"/>
        </w:rPr>
        <w:t>4.本章中标注“▲”的产品为主要标的（包括核心产品）。</w:t>
      </w:r>
      <w:bookmarkStart w:id="2" w:name="_Hlk33586079"/>
      <w:r>
        <w:rPr>
          <w:rFonts w:hint="eastAsia" w:ascii="宋体" w:hAnsi="宋体" w:eastAsia="宋体" w:cs="Times New Roman"/>
          <w:b/>
          <w:bCs/>
          <w:sz w:val="21"/>
          <w:szCs w:val="21"/>
        </w:rPr>
        <w:t>采购人（代理机构）在编制招标文件时必须将采购的主要标的（包括核心产品）标注“▲”</w:t>
      </w:r>
      <w:bookmarkEnd w:id="2"/>
      <w:r>
        <w:rPr>
          <w:rFonts w:hint="eastAsia" w:ascii="宋体" w:hAnsi="宋体" w:eastAsia="宋体" w:cs="Times New Roman"/>
          <w:b/>
          <w:bCs/>
          <w:sz w:val="21"/>
          <w:szCs w:val="21"/>
        </w:rPr>
        <w:t>。</w:t>
      </w:r>
    </w:p>
    <w:p w14:paraId="6C520FAC">
      <w:pPr>
        <w:adjustRightInd w:val="0"/>
        <w:snapToGrid w:val="0"/>
        <w:spacing w:line="360" w:lineRule="auto"/>
        <w:ind w:firstLine="422" w:firstLineChars="200"/>
        <w:jc w:val="left"/>
        <w:rPr>
          <w:rFonts w:hint="eastAsia" w:ascii="宋体" w:hAnsi="宋体" w:eastAsia="宋体" w:cs="Times New Roman"/>
          <w:b/>
          <w:bCs/>
          <w:sz w:val="21"/>
          <w:szCs w:val="21"/>
          <w:lang w:eastAsia="zh-CN"/>
        </w:rPr>
      </w:pPr>
      <w:bookmarkStart w:id="3" w:name="_Hlk130665727"/>
      <w:r>
        <w:rPr>
          <w:rFonts w:hint="eastAsia" w:ascii="宋体" w:hAnsi="宋体" w:cs="Times New Roman"/>
          <w:b/>
          <w:bCs/>
          <w:sz w:val="21"/>
          <w:szCs w:val="21"/>
          <w:lang w:val="en-US" w:eastAsia="zh-CN"/>
        </w:rPr>
        <w:t>5</w:t>
      </w:r>
      <w:r>
        <w:rPr>
          <w:rFonts w:hint="eastAsia" w:ascii="宋体" w:hAnsi="宋体" w:eastAsia="宋体" w:cs="Times New Roman"/>
          <w:b/>
          <w:bCs/>
          <w:sz w:val="21"/>
          <w:szCs w:val="21"/>
        </w:rPr>
        <w:t>.本章中标注“★”的技术参数，为采购产品的重要技术参数，招标文件采购需求中要求了提供具体证明材料类型的须按照要求提供，未明确要求提供具体证明材料类型的，投标人须在投标文件中自行提供相关证明材料（包括不限于产品彩页或操作界面截图或产品技术白皮书或产品检测报告等，但提供的证明材料须经评标委员会评审并认可）</w:t>
      </w:r>
      <w:r>
        <w:rPr>
          <w:rFonts w:hint="eastAsia" w:ascii="宋体" w:hAnsi="宋体" w:eastAsia="宋体" w:cs="Times New Roman"/>
          <w:b/>
          <w:bCs/>
          <w:sz w:val="21"/>
          <w:szCs w:val="21"/>
          <w:lang w:eastAsia="zh-CN"/>
        </w:rPr>
        <w:t>。</w:t>
      </w:r>
    </w:p>
    <w:p w14:paraId="0A7FBA82">
      <w:pPr>
        <w:adjustRightInd w:val="0"/>
        <w:snapToGrid w:val="0"/>
        <w:spacing w:line="360" w:lineRule="auto"/>
        <w:ind w:firstLine="422" w:firstLineChars="200"/>
        <w:jc w:val="left"/>
        <w:rPr>
          <w:rFonts w:hint="eastAsia" w:ascii="宋体" w:hAnsi="宋体" w:eastAsia="宋体" w:cs="Times New Roman"/>
          <w:b/>
          <w:bCs/>
          <w:sz w:val="21"/>
          <w:szCs w:val="21"/>
        </w:rPr>
      </w:pPr>
      <w:r>
        <w:rPr>
          <w:rFonts w:hint="eastAsia" w:ascii="宋体" w:hAnsi="宋体" w:cs="Times New Roman"/>
          <w:b/>
          <w:bCs/>
          <w:sz w:val="21"/>
          <w:szCs w:val="21"/>
          <w:lang w:val="en-US" w:eastAsia="zh-CN"/>
        </w:rPr>
        <w:t>6</w:t>
      </w:r>
      <w:r>
        <w:rPr>
          <w:rFonts w:hint="eastAsia" w:ascii="宋体" w:hAnsi="宋体" w:eastAsia="宋体" w:cs="Times New Roman"/>
          <w:b/>
          <w:bCs/>
          <w:sz w:val="21"/>
          <w:szCs w:val="21"/>
          <w:lang w:val="en-US" w:eastAsia="zh-CN"/>
        </w:rPr>
        <w:t>.</w:t>
      </w:r>
      <w:r>
        <w:rPr>
          <w:rFonts w:hint="eastAsia" w:ascii="宋体" w:hAnsi="宋体" w:eastAsia="宋体" w:cs="Times New Roman"/>
          <w:b/>
          <w:bCs/>
          <w:sz w:val="21"/>
          <w:szCs w:val="21"/>
        </w:rPr>
        <w:t>本章中</w:t>
      </w:r>
      <w:r>
        <w:rPr>
          <w:rFonts w:hint="eastAsia" w:ascii="宋体" w:hAnsi="宋体" w:eastAsia="宋体" w:cs="Times New Roman"/>
          <w:b/>
          <w:bCs/>
          <w:sz w:val="21"/>
          <w:szCs w:val="21"/>
          <w:lang w:val="en-US" w:eastAsia="zh-CN"/>
        </w:rPr>
        <w:t>未做</w:t>
      </w:r>
      <w:r>
        <w:rPr>
          <w:rFonts w:hint="eastAsia" w:ascii="宋体" w:hAnsi="宋体" w:eastAsia="宋体" w:cs="Times New Roman"/>
          <w:b/>
          <w:bCs/>
          <w:sz w:val="21"/>
          <w:szCs w:val="21"/>
        </w:rPr>
        <w:t>标注的技术参数</w:t>
      </w:r>
      <w:r>
        <w:rPr>
          <w:rFonts w:hint="eastAsia" w:ascii="宋体" w:hAnsi="宋体" w:cs="Times New Roman"/>
          <w:b/>
          <w:bCs/>
          <w:sz w:val="21"/>
          <w:szCs w:val="21"/>
          <w:lang w:eastAsia="zh-CN"/>
        </w:rPr>
        <w:t>（无标识项）</w:t>
      </w:r>
      <w:r>
        <w:rPr>
          <w:rFonts w:hint="eastAsia" w:ascii="宋体" w:hAnsi="宋体" w:eastAsia="宋体" w:cs="Times New Roman"/>
          <w:b/>
          <w:bCs/>
          <w:sz w:val="21"/>
          <w:szCs w:val="21"/>
        </w:rPr>
        <w:t>，</w:t>
      </w:r>
      <w:r>
        <w:rPr>
          <w:rFonts w:hint="eastAsia" w:ascii="宋体" w:hAnsi="宋体" w:eastAsia="宋体" w:cs="Times New Roman"/>
          <w:b/>
          <w:bCs/>
          <w:sz w:val="21"/>
          <w:szCs w:val="21"/>
          <w:lang w:val="en-US" w:eastAsia="zh-CN"/>
        </w:rPr>
        <w:t>为采购产品的一般技术参数，如</w:t>
      </w:r>
      <w:r>
        <w:rPr>
          <w:rFonts w:hint="eastAsia" w:ascii="宋体" w:hAnsi="宋体" w:eastAsia="宋体" w:cs="Times New Roman"/>
          <w:b/>
          <w:bCs/>
          <w:sz w:val="21"/>
          <w:szCs w:val="21"/>
        </w:rPr>
        <w:t>招标文件采购需求中要求</w:t>
      </w:r>
      <w:r>
        <w:rPr>
          <w:rFonts w:hint="eastAsia" w:ascii="宋体" w:hAnsi="宋体" w:eastAsia="宋体" w:cs="Times New Roman"/>
          <w:b/>
          <w:bCs/>
          <w:sz w:val="21"/>
          <w:szCs w:val="21"/>
          <w:lang w:val="en-US" w:eastAsia="zh-CN"/>
        </w:rPr>
        <w:t>提供相应的证明材料的须按要求提供，否则视为负偏离，</w:t>
      </w:r>
      <w:r>
        <w:rPr>
          <w:rFonts w:hint="eastAsia" w:ascii="宋体" w:hAnsi="宋体" w:eastAsia="宋体" w:cs="Times New Roman"/>
          <w:b/>
          <w:bCs/>
          <w:sz w:val="21"/>
          <w:szCs w:val="21"/>
        </w:rPr>
        <w:t>未明确要求</w:t>
      </w:r>
      <w:r>
        <w:rPr>
          <w:rFonts w:hint="eastAsia" w:ascii="宋体" w:hAnsi="宋体" w:eastAsia="宋体" w:cs="Times New Roman"/>
          <w:b/>
          <w:bCs/>
          <w:sz w:val="21"/>
          <w:szCs w:val="21"/>
          <w:lang w:val="en-US" w:eastAsia="zh-CN"/>
        </w:rPr>
        <w:t>的投标人须在技术参数响应表中内如实响应。</w:t>
      </w:r>
    </w:p>
    <w:bookmarkEnd w:id="3"/>
    <w:p w14:paraId="1FB78718">
      <w:pPr>
        <w:pStyle w:val="4"/>
      </w:pPr>
    </w:p>
    <w:p w14:paraId="4A70C685">
      <w:pPr>
        <w:numPr>
          <w:ilvl w:val="0"/>
          <w:numId w:val="0"/>
        </w:numPr>
        <w:spacing w:line="360" w:lineRule="auto"/>
        <w:outlineLvl w:val="1"/>
        <w:rPr>
          <w:rFonts w:hint="eastAsia" w:ascii="宋体" w:hAnsi="宋体" w:cs="宋体"/>
          <w:b/>
          <w:bCs/>
          <w:szCs w:val="21"/>
        </w:rPr>
      </w:pPr>
      <w:bookmarkStart w:id="4" w:name="_Toc2554"/>
      <w:bookmarkStart w:id="5" w:name="_Toc32151"/>
      <w:r>
        <w:rPr>
          <w:rFonts w:hint="eastAsia" w:ascii="宋体" w:hAnsi="宋体" w:cs="宋体"/>
          <w:b/>
          <w:szCs w:val="21"/>
        </w:rPr>
        <w:br w:type="page"/>
      </w:r>
      <w:r>
        <w:rPr>
          <w:rFonts w:hint="eastAsia" w:ascii="宋体" w:hAnsi="宋体" w:eastAsia="宋体" w:cs="宋体"/>
          <w:b/>
          <w:bCs/>
          <w:kern w:val="2"/>
          <w:sz w:val="28"/>
          <w:szCs w:val="28"/>
          <w:lang w:val="en-US" w:eastAsia="zh-CN" w:bidi="ar-SA"/>
        </w:rPr>
        <w:t>一、采购需求前附表</w:t>
      </w:r>
      <w:bookmarkEnd w:id="4"/>
      <w:bookmarkEnd w:id="5"/>
      <w:bookmarkStart w:id="6" w:name="_Toc5944"/>
      <w:bookmarkStart w:id="7" w:name="_Toc7671"/>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2266"/>
        <w:gridCol w:w="6466"/>
      </w:tblGrid>
      <w:tr w14:paraId="17BB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pct"/>
            <w:noWrap w:val="0"/>
            <w:vAlign w:val="center"/>
          </w:tcPr>
          <w:p w14:paraId="49BC8D61">
            <w:pPr>
              <w:spacing w:line="360" w:lineRule="auto"/>
              <w:jc w:val="center"/>
              <w:rPr>
                <w:rFonts w:hint="eastAsia" w:ascii="宋体" w:hAnsi="宋体"/>
                <w:b/>
                <w:szCs w:val="21"/>
              </w:rPr>
            </w:pPr>
            <w:r>
              <w:rPr>
                <w:rFonts w:hint="eastAsia" w:ascii="宋体" w:hAnsi="宋体"/>
                <w:b/>
                <w:szCs w:val="21"/>
              </w:rPr>
              <w:t>序号</w:t>
            </w:r>
          </w:p>
        </w:tc>
        <w:tc>
          <w:tcPr>
            <w:tcW w:w="1176" w:type="pct"/>
            <w:noWrap w:val="0"/>
            <w:vAlign w:val="center"/>
          </w:tcPr>
          <w:p w14:paraId="32241609">
            <w:pPr>
              <w:spacing w:line="360" w:lineRule="auto"/>
              <w:jc w:val="center"/>
              <w:rPr>
                <w:rFonts w:hint="eastAsia"/>
                <w:b/>
                <w:szCs w:val="21"/>
              </w:rPr>
            </w:pPr>
            <w:r>
              <w:rPr>
                <w:rFonts w:hint="eastAsia" w:ascii="宋体" w:hAnsi="宋体"/>
                <w:b/>
                <w:szCs w:val="21"/>
              </w:rPr>
              <w:t>条款名称</w:t>
            </w:r>
          </w:p>
        </w:tc>
        <w:tc>
          <w:tcPr>
            <w:tcW w:w="3356" w:type="pct"/>
            <w:noWrap w:val="0"/>
            <w:vAlign w:val="center"/>
          </w:tcPr>
          <w:p w14:paraId="40D172A9">
            <w:pPr>
              <w:spacing w:line="360" w:lineRule="auto"/>
              <w:jc w:val="center"/>
              <w:rPr>
                <w:rFonts w:hint="eastAsia"/>
                <w:b/>
                <w:szCs w:val="21"/>
              </w:rPr>
            </w:pPr>
            <w:r>
              <w:rPr>
                <w:rFonts w:hint="eastAsia"/>
                <w:b/>
                <w:szCs w:val="21"/>
              </w:rPr>
              <w:t>内容、说明与要求</w:t>
            </w:r>
          </w:p>
        </w:tc>
      </w:tr>
      <w:tr w14:paraId="17D9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3626A9A2">
            <w:pPr>
              <w:pStyle w:val="10"/>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1</w:t>
            </w:r>
          </w:p>
        </w:tc>
        <w:tc>
          <w:tcPr>
            <w:tcW w:w="0" w:type="auto"/>
            <w:shd w:val="clear" w:color="auto" w:fill="auto"/>
            <w:vAlign w:val="center"/>
          </w:tcPr>
          <w:p w14:paraId="35153152">
            <w:pPr>
              <w:pStyle w:val="11"/>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付款方式</w:t>
            </w:r>
          </w:p>
        </w:tc>
        <w:tc>
          <w:tcPr>
            <w:tcW w:w="0" w:type="auto"/>
            <w:shd w:val="clear" w:color="auto" w:fill="auto"/>
            <w:vAlign w:val="center"/>
          </w:tcPr>
          <w:p w14:paraId="4198DD24">
            <w:pPr>
              <w:pStyle w:val="11"/>
              <w:widowControl w:val="0"/>
              <w:spacing w:before="0" w:beforeAutospacing="0" w:after="0" w:afterAutospacing="0" w:line="360" w:lineRule="auto"/>
              <w:jc w:val="left"/>
              <w:rPr>
                <w:rFonts w:hint="eastAsia" w:ascii="宋体" w:hAnsi="宋体" w:eastAsia="宋体"/>
                <w:b w:val="0"/>
                <w:sz w:val="24"/>
                <w:highlight w:val="none"/>
                <w:lang w:val="en-US" w:eastAsia="zh-CN"/>
              </w:rPr>
            </w:pPr>
            <w:r>
              <w:rPr>
                <w:rFonts w:hint="eastAsia" w:ascii="宋体" w:hAnsi="宋体" w:eastAsia="宋体"/>
                <w:b w:val="0"/>
                <w:sz w:val="24"/>
                <w:highlight w:val="none"/>
                <w:lang w:val="en-US" w:eastAsia="zh-CN"/>
              </w:rPr>
              <w:t>本项目</w:t>
            </w:r>
            <w:r>
              <w:rPr>
                <w:rFonts w:hint="eastAsia" w:ascii="宋体" w:hAnsi="宋体" w:eastAsia="宋体"/>
                <w:b w:val="0"/>
                <w:sz w:val="24"/>
                <w:highlight w:val="none"/>
              </w:rPr>
              <w:t>货到安装验收合格，提供产品的使用、操作及维修人员的培训，并能独立操作且使用部门签字确认后，采购人支付全部货款</w:t>
            </w:r>
            <w:r>
              <w:rPr>
                <w:rFonts w:hint="eastAsia" w:ascii="宋体" w:hAnsi="宋体" w:eastAsia="宋体"/>
                <w:b w:val="0"/>
                <w:sz w:val="24"/>
                <w:highlight w:val="none"/>
                <w:lang w:eastAsia="zh-CN"/>
              </w:rPr>
              <w:t>。</w:t>
            </w:r>
          </w:p>
        </w:tc>
      </w:tr>
      <w:tr w14:paraId="3A83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7E7026AE">
            <w:pPr>
              <w:pStyle w:val="10"/>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2</w:t>
            </w:r>
          </w:p>
        </w:tc>
        <w:tc>
          <w:tcPr>
            <w:tcW w:w="0" w:type="auto"/>
            <w:shd w:val="clear" w:color="auto" w:fill="auto"/>
            <w:vAlign w:val="center"/>
          </w:tcPr>
          <w:p w14:paraId="1450BE53">
            <w:pPr>
              <w:pStyle w:val="11"/>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供货及安装地点</w:t>
            </w:r>
          </w:p>
        </w:tc>
        <w:tc>
          <w:tcPr>
            <w:tcW w:w="0" w:type="auto"/>
            <w:shd w:val="clear" w:color="auto" w:fill="auto"/>
            <w:vAlign w:val="center"/>
          </w:tcPr>
          <w:p w14:paraId="4D4CAAFF">
            <w:pPr>
              <w:pStyle w:val="11"/>
              <w:widowControl w:val="0"/>
              <w:spacing w:before="0" w:beforeAutospacing="0" w:after="0" w:afterAutospacing="0" w:line="360" w:lineRule="auto"/>
              <w:jc w:val="left"/>
              <w:rPr>
                <w:rFonts w:hint="default" w:ascii="宋体" w:hAnsi="宋体" w:eastAsia="宋体"/>
                <w:b w:val="0"/>
                <w:sz w:val="24"/>
                <w:highlight w:val="none"/>
                <w:lang w:val="en-US" w:eastAsia="zh-CN"/>
              </w:rPr>
            </w:pPr>
            <w:r>
              <w:rPr>
                <w:rFonts w:hint="eastAsia" w:ascii="宋体" w:hAnsi="宋体" w:eastAsia="宋体" w:cs="Times New Roman"/>
                <w:b w:val="0"/>
                <w:bCs/>
                <w:color w:val="auto"/>
                <w:kern w:val="0"/>
                <w:sz w:val="24"/>
                <w:szCs w:val="28"/>
                <w:highlight w:val="none"/>
                <w:lang w:val="en-US" w:eastAsia="zh-CN" w:bidi="ar-SA"/>
              </w:rPr>
              <w:t>上海交通大学医学院附属仁济医院安徽医院</w:t>
            </w:r>
          </w:p>
        </w:tc>
      </w:tr>
      <w:tr w14:paraId="6D9F3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10855F30">
            <w:pPr>
              <w:pStyle w:val="10"/>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3</w:t>
            </w:r>
          </w:p>
        </w:tc>
        <w:tc>
          <w:tcPr>
            <w:tcW w:w="0" w:type="auto"/>
            <w:shd w:val="clear" w:color="auto" w:fill="auto"/>
            <w:vAlign w:val="center"/>
          </w:tcPr>
          <w:p w14:paraId="07B2F467">
            <w:pPr>
              <w:pStyle w:val="11"/>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供货及安装期限</w:t>
            </w:r>
          </w:p>
        </w:tc>
        <w:tc>
          <w:tcPr>
            <w:tcW w:w="0" w:type="auto"/>
            <w:shd w:val="clear" w:color="auto" w:fill="auto"/>
            <w:vAlign w:val="center"/>
          </w:tcPr>
          <w:p w14:paraId="73E1307B">
            <w:pPr>
              <w:pStyle w:val="11"/>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cs="Times New Roman"/>
                <w:b w:val="0"/>
                <w:bCs/>
                <w:color w:val="auto"/>
                <w:kern w:val="0"/>
                <w:sz w:val="24"/>
                <w:szCs w:val="28"/>
                <w:highlight w:val="none"/>
                <w:lang w:val="en-US" w:eastAsia="zh-CN" w:bidi="ar-SA"/>
              </w:rPr>
              <w:t>合同签订后，30个日历天内完成交货、安装、调试等工作</w:t>
            </w:r>
          </w:p>
        </w:tc>
      </w:tr>
      <w:tr w14:paraId="3A96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03210456">
            <w:pPr>
              <w:pStyle w:val="10"/>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4</w:t>
            </w:r>
          </w:p>
        </w:tc>
        <w:tc>
          <w:tcPr>
            <w:tcW w:w="0" w:type="auto"/>
            <w:shd w:val="clear" w:color="auto" w:fill="auto"/>
            <w:vAlign w:val="center"/>
          </w:tcPr>
          <w:p w14:paraId="79CE0148">
            <w:pPr>
              <w:pStyle w:val="11"/>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免费质保期</w:t>
            </w:r>
          </w:p>
        </w:tc>
        <w:tc>
          <w:tcPr>
            <w:tcW w:w="0" w:type="auto"/>
            <w:shd w:val="clear" w:color="auto" w:fill="auto"/>
            <w:vAlign w:val="center"/>
          </w:tcPr>
          <w:p w14:paraId="08B1552D">
            <w:pPr>
              <w:pStyle w:val="11"/>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cs="Times New Roman"/>
                <w:b w:val="0"/>
                <w:bCs/>
                <w:color w:val="auto"/>
                <w:kern w:val="0"/>
                <w:sz w:val="24"/>
                <w:szCs w:val="28"/>
                <w:highlight w:val="none"/>
                <w:lang w:val="en-US" w:eastAsia="zh-CN" w:bidi="ar-SA"/>
              </w:rPr>
              <w:t>自验收合格之日起整机原厂质保不少于</w:t>
            </w:r>
            <w:r>
              <w:rPr>
                <w:rFonts w:hint="eastAsia" w:cs="Times New Roman"/>
                <w:b w:val="0"/>
                <w:bCs/>
                <w:color w:val="auto"/>
                <w:kern w:val="0"/>
                <w:sz w:val="24"/>
                <w:szCs w:val="28"/>
                <w:highlight w:val="none"/>
                <w:lang w:val="en-US" w:eastAsia="zh-CN" w:bidi="ar-SA"/>
              </w:rPr>
              <w:t>5年</w:t>
            </w:r>
            <w:r>
              <w:rPr>
                <w:rFonts w:hint="eastAsia" w:ascii="宋体" w:hAnsi="宋体" w:eastAsia="宋体" w:cs="Times New Roman"/>
                <w:b w:val="0"/>
                <w:bCs/>
                <w:color w:val="auto"/>
                <w:kern w:val="0"/>
                <w:sz w:val="24"/>
                <w:szCs w:val="28"/>
                <w:highlight w:val="none"/>
                <w:lang w:val="en-US" w:eastAsia="zh-CN" w:bidi="ar-SA"/>
              </w:rPr>
              <w:t>。</w:t>
            </w:r>
          </w:p>
        </w:tc>
      </w:tr>
      <w:tr w14:paraId="190E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5CB99696">
            <w:pPr>
              <w:pStyle w:val="10"/>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5</w:t>
            </w:r>
          </w:p>
        </w:tc>
        <w:tc>
          <w:tcPr>
            <w:tcW w:w="0" w:type="auto"/>
            <w:shd w:val="clear" w:color="auto" w:fill="auto"/>
            <w:vAlign w:val="center"/>
          </w:tcPr>
          <w:p w14:paraId="3AAE0CDD">
            <w:pPr>
              <w:pStyle w:val="11"/>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医疗器械注册证（或医疗器械备案材料）</w:t>
            </w:r>
          </w:p>
        </w:tc>
        <w:tc>
          <w:tcPr>
            <w:tcW w:w="0" w:type="auto"/>
            <w:shd w:val="clear" w:color="auto" w:fill="auto"/>
            <w:vAlign w:val="center"/>
          </w:tcPr>
          <w:p w14:paraId="056BF87B">
            <w:pPr>
              <w:pStyle w:val="11"/>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color w:val="auto"/>
                <w:sz w:val="24"/>
                <w:highlight w:val="none"/>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bl>
    <w:p w14:paraId="72CD8976">
      <w:pPr>
        <w:pStyle w:val="6"/>
        <w:rPr>
          <w:rFonts w:hint="eastAsia" w:ascii="宋体" w:hAnsi="宋体" w:eastAsia="宋体" w:cs="Times New Roman"/>
          <w:b w:val="0"/>
          <w:bCs/>
          <w:smallCaps w:val="0"/>
          <w:color w:val="auto"/>
          <w:kern w:val="0"/>
          <w:sz w:val="24"/>
          <w:szCs w:val="28"/>
          <w:lang w:val="en-US" w:eastAsia="zh-CN" w:bidi="ar-SA"/>
        </w:rPr>
      </w:pPr>
    </w:p>
    <w:p w14:paraId="7B5AF880">
      <w:pPr>
        <w:spacing w:line="360" w:lineRule="auto"/>
        <w:rPr>
          <w:rFonts w:hint="eastAsia" w:ascii="宋体" w:hAnsi="宋体" w:eastAsia="宋体" w:cs="Times New Roman"/>
          <w:b w:val="0"/>
          <w:bCs/>
          <w:smallCaps w:val="0"/>
          <w:color w:val="auto"/>
          <w:kern w:val="0"/>
          <w:sz w:val="24"/>
          <w:szCs w:val="28"/>
          <w:lang w:val="en-US" w:eastAsia="zh-CN" w:bidi="ar-SA"/>
        </w:rPr>
      </w:pPr>
      <w:r>
        <w:rPr>
          <w:rFonts w:hint="eastAsia" w:ascii="宋体" w:hAnsi="宋体" w:eastAsia="宋体" w:cs="Times New Roman"/>
          <w:b w:val="0"/>
          <w:bCs/>
          <w:smallCaps w:val="0"/>
          <w:color w:val="auto"/>
          <w:kern w:val="0"/>
          <w:sz w:val="24"/>
          <w:szCs w:val="28"/>
          <w:lang w:val="en-US" w:eastAsia="zh-CN" w:bidi="ar-SA"/>
        </w:rPr>
        <w:t>注：上述商务条款必须全部满足，否则作无效标处理。</w:t>
      </w:r>
    </w:p>
    <w:p w14:paraId="54FBA78F">
      <w:pPr>
        <w:outlineLvl w:val="1"/>
        <w:rPr>
          <w:rFonts w:hint="eastAsia" w:ascii="宋体" w:hAnsi="宋体" w:cs="宋体"/>
          <w:b/>
          <w:bCs/>
          <w:sz w:val="28"/>
          <w:szCs w:val="28"/>
          <w:lang w:val="en-US" w:eastAsia="zh-CN"/>
        </w:rPr>
      </w:pPr>
      <w:r>
        <w:rPr>
          <w:rFonts w:hint="eastAsia" w:ascii="宋体" w:hAnsi="宋体" w:eastAsia="宋体" w:cs="宋体"/>
          <w:b/>
          <w:bCs/>
          <w:kern w:val="2"/>
          <w:sz w:val="28"/>
          <w:szCs w:val="28"/>
          <w:lang w:val="en-US" w:eastAsia="zh-CN" w:bidi="ar-SA"/>
        </w:rPr>
        <w:t>二、</w:t>
      </w:r>
      <w:r>
        <w:rPr>
          <w:rFonts w:hint="eastAsia" w:ascii="宋体" w:hAnsi="宋体" w:cs="宋体"/>
          <w:b/>
          <w:sz w:val="28"/>
          <w:szCs w:val="28"/>
        </w:rPr>
        <w:t>货物</w:t>
      </w:r>
      <w:r>
        <w:rPr>
          <w:rFonts w:hint="eastAsia" w:ascii="宋体" w:hAnsi="宋体" w:cs="宋体"/>
          <w:b/>
          <w:bCs/>
          <w:sz w:val="28"/>
          <w:szCs w:val="28"/>
        </w:rPr>
        <w:t>需求</w:t>
      </w:r>
      <w:bookmarkEnd w:id="6"/>
      <w:bookmarkEnd w:id="7"/>
      <w:r>
        <w:rPr>
          <w:rFonts w:hint="eastAsia" w:ascii="宋体" w:hAnsi="宋体" w:cs="宋体"/>
          <w:b/>
          <w:bCs/>
          <w:sz w:val="28"/>
          <w:szCs w:val="28"/>
          <w:lang w:val="en-US" w:eastAsia="zh-CN"/>
        </w:rPr>
        <w:t>一览表</w:t>
      </w:r>
    </w:p>
    <w:tbl>
      <w:tblPr>
        <w:tblStyle w:val="7"/>
        <w:tblW w:w="41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5"/>
        <w:gridCol w:w="1676"/>
        <w:gridCol w:w="2162"/>
        <w:gridCol w:w="1235"/>
        <w:gridCol w:w="1057"/>
      </w:tblGrid>
      <w:tr w14:paraId="2BBD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204" w:type="pct"/>
            <w:noWrap w:val="0"/>
            <w:vAlign w:val="center"/>
          </w:tcPr>
          <w:p w14:paraId="1DBA14B5">
            <w:pPr>
              <w:widowControl/>
              <w:jc w:val="center"/>
              <w:rPr>
                <w:rFonts w:hint="default" w:ascii="宋体" w:hAnsi="宋体" w:eastAsia="宋体" w:cs="宋体"/>
                <w:b/>
                <w:bCs/>
                <w:snapToGrid w:val="0"/>
                <w:color w:val="000000"/>
                <w:kern w:val="0"/>
                <w:szCs w:val="21"/>
                <w:highlight w:val="none"/>
                <w:lang w:val="en-US" w:eastAsia="zh-CN" w:bidi="ar"/>
              </w:rPr>
            </w:pPr>
            <w:r>
              <w:rPr>
                <w:rFonts w:hint="eastAsia" w:ascii="宋体" w:hAnsi="宋体" w:cs="宋体"/>
                <w:b/>
                <w:bCs/>
                <w:snapToGrid w:val="0"/>
                <w:color w:val="000000"/>
                <w:kern w:val="0"/>
                <w:szCs w:val="21"/>
                <w:highlight w:val="none"/>
                <w:lang w:val="en-US" w:eastAsia="zh-CN" w:bidi="ar"/>
              </w:rPr>
              <w:t>货物名称</w:t>
            </w:r>
          </w:p>
        </w:tc>
        <w:tc>
          <w:tcPr>
            <w:tcW w:w="1037" w:type="pct"/>
            <w:noWrap w:val="0"/>
            <w:vAlign w:val="center"/>
          </w:tcPr>
          <w:p w14:paraId="0CAD113D">
            <w:pPr>
              <w:widowControl/>
              <w:jc w:val="center"/>
              <w:rPr>
                <w:rFonts w:hint="eastAsia" w:ascii="宋体" w:hAnsi="宋体" w:cs="宋体"/>
                <w:b/>
                <w:bCs/>
                <w:snapToGrid w:val="0"/>
                <w:color w:val="000000"/>
                <w:kern w:val="0"/>
                <w:szCs w:val="21"/>
                <w:highlight w:val="none"/>
                <w:lang w:bidi="ar"/>
              </w:rPr>
            </w:pPr>
            <w:r>
              <w:rPr>
                <w:rFonts w:hint="eastAsia" w:ascii="宋体" w:hAnsi="宋体" w:cs="宋体"/>
                <w:b/>
                <w:bCs/>
                <w:snapToGrid w:val="0"/>
                <w:color w:val="000000"/>
                <w:kern w:val="0"/>
                <w:szCs w:val="21"/>
                <w:highlight w:val="none"/>
                <w:lang w:val="en-US" w:eastAsia="zh-CN" w:bidi="ar"/>
              </w:rPr>
              <w:t>数量（单位）</w:t>
            </w:r>
          </w:p>
        </w:tc>
        <w:tc>
          <w:tcPr>
            <w:tcW w:w="1338" w:type="pct"/>
            <w:noWrap w:val="0"/>
            <w:vAlign w:val="center"/>
          </w:tcPr>
          <w:p w14:paraId="5FB32590">
            <w:pPr>
              <w:widowControl/>
              <w:jc w:val="center"/>
              <w:rPr>
                <w:rFonts w:hint="default" w:ascii="宋体" w:hAnsi="宋体" w:cs="宋体"/>
                <w:b/>
                <w:bCs/>
                <w:snapToGrid w:val="0"/>
                <w:color w:val="000000"/>
                <w:kern w:val="0"/>
                <w:szCs w:val="21"/>
                <w:highlight w:val="none"/>
                <w:lang w:val="en-US" w:eastAsia="zh-CN" w:bidi="ar"/>
              </w:rPr>
            </w:pPr>
            <w:r>
              <w:rPr>
                <w:rFonts w:hint="eastAsia" w:ascii="宋体" w:hAnsi="宋体" w:eastAsia="宋体" w:cs="宋体"/>
                <w:b/>
                <w:bCs/>
                <w:snapToGrid w:val="0"/>
                <w:color w:val="000000"/>
                <w:kern w:val="0"/>
                <w:szCs w:val="21"/>
                <w:highlight w:val="none"/>
                <w:lang w:val="en-US" w:eastAsia="zh-CN" w:bidi="ar"/>
              </w:rPr>
              <w:t>最高限价</w:t>
            </w:r>
          </w:p>
        </w:tc>
        <w:tc>
          <w:tcPr>
            <w:tcW w:w="764" w:type="pct"/>
            <w:noWrap w:val="0"/>
            <w:vAlign w:val="center"/>
          </w:tcPr>
          <w:p w14:paraId="18F589BF">
            <w:pPr>
              <w:widowControl/>
              <w:jc w:val="center"/>
              <w:rPr>
                <w:rFonts w:hint="eastAsia" w:ascii="宋体" w:hAnsi="宋体" w:cs="宋体"/>
                <w:b/>
                <w:bCs/>
                <w:snapToGrid w:val="0"/>
                <w:color w:val="000000"/>
                <w:kern w:val="0"/>
                <w:szCs w:val="21"/>
                <w:highlight w:val="none"/>
                <w:lang w:bidi="ar"/>
              </w:rPr>
            </w:pPr>
            <w:r>
              <w:rPr>
                <w:rFonts w:hint="eastAsia" w:ascii="宋体" w:hAnsi="宋体" w:cs="宋体"/>
                <w:b/>
                <w:bCs/>
                <w:snapToGrid w:val="0"/>
                <w:color w:val="000000"/>
                <w:kern w:val="0"/>
                <w:szCs w:val="21"/>
                <w:highlight w:val="none"/>
                <w:lang w:val="en-US" w:eastAsia="zh-CN" w:bidi="ar"/>
              </w:rPr>
              <w:t>所属行业</w:t>
            </w:r>
          </w:p>
        </w:tc>
        <w:tc>
          <w:tcPr>
            <w:tcW w:w="654" w:type="pct"/>
            <w:noWrap w:val="0"/>
            <w:vAlign w:val="center"/>
          </w:tcPr>
          <w:p w14:paraId="637C1F3E">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val="en-US" w:eastAsia="zh-CN" w:bidi="ar"/>
              </w:rPr>
              <w:t>备注</w:t>
            </w:r>
          </w:p>
        </w:tc>
      </w:tr>
      <w:tr w14:paraId="759C8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204" w:type="pct"/>
            <w:noWrap w:val="0"/>
            <w:vAlign w:val="center"/>
          </w:tcPr>
          <w:p w14:paraId="3D3FC3FD">
            <w:pPr>
              <w:spacing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▲中央监护系统（一拖25）</w:t>
            </w:r>
          </w:p>
        </w:tc>
        <w:tc>
          <w:tcPr>
            <w:tcW w:w="1037" w:type="pct"/>
            <w:noWrap w:val="0"/>
            <w:vAlign w:val="center"/>
          </w:tcPr>
          <w:p w14:paraId="723C0607">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1套</w:t>
            </w:r>
          </w:p>
        </w:tc>
        <w:tc>
          <w:tcPr>
            <w:tcW w:w="1338" w:type="pct"/>
            <w:noWrap w:val="0"/>
            <w:vAlign w:val="center"/>
          </w:tcPr>
          <w:p w14:paraId="60AEF1C0">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250万</w:t>
            </w:r>
            <w:r>
              <w:rPr>
                <w:rFonts w:hint="eastAsia" w:ascii="宋体" w:hAnsi="宋体" w:eastAsia="宋体" w:cs="宋体"/>
                <w:szCs w:val="21"/>
                <w:highlight w:val="none"/>
                <w:lang w:val="en-US" w:eastAsia="zh-CN"/>
              </w:rPr>
              <w:t>元</w:t>
            </w:r>
            <w:r>
              <w:rPr>
                <w:rFonts w:hint="eastAsia" w:ascii="宋体" w:hAnsi="宋体" w:cs="宋体"/>
                <w:szCs w:val="21"/>
                <w:highlight w:val="none"/>
                <w:lang w:val="en-US" w:eastAsia="zh-CN"/>
              </w:rPr>
              <w:t>/套</w:t>
            </w:r>
          </w:p>
        </w:tc>
        <w:tc>
          <w:tcPr>
            <w:tcW w:w="764" w:type="pct"/>
            <w:noWrap w:val="0"/>
            <w:vAlign w:val="center"/>
          </w:tcPr>
          <w:p w14:paraId="145643F9">
            <w:pPr>
              <w:spacing w:line="360"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工业</w:t>
            </w:r>
          </w:p>
        </w:tc>
        <w:tc>
          <w:tcPr>
            <w:tcW w:w="654" w:type="pct"/>
            <w:noWrap w:val="0"/>
            <w:vAlign w:val="center"/>
          </w:tcPr>
          <w:p w14:paraId="3FD6CB4B">
            <w:pPr>
              <w:spacing w:line="360" w:lineRule="auto"/>
              <w:jc w:val="center"/>
              <w:rPr>
                <w:rFonts w:hint="eastAsia" w:ascii="宋体" w:hAnsi="宋体" w:eastAsia="宋体" w:cs="宋体"/>
                <w:szCs w:val="21"/>
                <w:lang w:val="en-US" w:eastAsia="zh-CN"/>
              </w:rPr>
            </w:pPr>
          </w:p>
        </w:tc>
      </w:tr>
    </w:tbl>
    <w:p w14:paraId="060BBD7C">
      <w:pPr>
        <w:spacing w:line="360" w:lineRule="auto"/>
        <w:outlineLvl w:val="1"/>
        <w:rPr>
          <w:rFonts w:hint="eastAsia" w:ascii="宋体" w:hAnsi="宋体" w:cs="宋体"/>
          <w:i/>
          <w:color w:val="FF0000"/>
          <w:szCs w:val="21"/>
          <w:highlight w:val="yellow"/>
        </w:rPr>
        <w:sectPr>
          <w:headerReference r:id="rId5" w:type="default"/>
          <w:pgSz w:w="11907" w:h="16840"/>
          <w:pgMar w:top="1440" w:right="1247" w:bottom="1440" w:left="1247" w:header="851" w:footer="992" w:gutter="0"/>
          <w:pgNumType w:fmt="decimal"/>
          <w:cols w:space="720" w:num="1"/>
          <w:docGrid w:linePitch="303" w:charSpace="0"/>
        </w:sectPr>
      </w:pPr>
    </w:p>
    <w:p w14:paraId="568D976C">
      <w:pPr>
        <w:numPr>
          <w:ilvl w:val="0"/>
          <w:numId w:val="0"/>
        </w:numPr>
        <w:spacing w:line="360" w:lineRule="auto"/>
        <w:outlineLvl w:val="1"/>
        <w:rPr>
          <w:rFonts w:hint="eastAsia" w:ascii="宋体" w:hAnsi="宋体" w:cs="宋体"/>
          <w:b/>
          <w:bCs/>
          <w:sz w:val="28"/>
          <w:szCs w:val="28"/>
          <w:lang w:val="en-US" w:eastAsia="zh-CN"/>
        </w:rPr>
      </w:pPr>
      <w:r>
        <w:rPr>
          <w:rFonts w:hint="eastAsia" w:ascii="宋体" w:hAnsi="宋体" w:eastAsia="宋体" w:cs="宋体"/>
          <w:b/>
          <w:bCs/>
          <w:kern w:val="2"/>
          <w:sz w:val="28"/>
          <w:szCs w:val="28"/>
          <w:lang w:val="en-US" w:eastAsia="zh-CN" w:bidi="ar-SA"/>
        </w:rPr>
        <w:t>三、</w:t>
      </w:r>
      <w:r>
        <w:rPr>
          <w:rFonts w:hint="eastAsia" w:ascii="宋体" w:hAnsi="宋体" w:cs="宋体"/>
          <w:b/>
          <w:bCs/>
          <w:sz w:val="28"/>
          <w:szCs w:val="28"/>
          <w:lang w:val="en-US" w:eastAsia="zh-CN"/>
        </w:rPr>
        <w:t>技术参数及要求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2300"/>
        <w:gridCol w:w="5713"/>
      </w:tblGrid>
      <w:tr w14:paraId="6618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39" w:type="pct"/>
            <w:noWrap w:val="0"/>
            <w:vAlign w:val="center"/>
          </w:tcPr>
          <w:p w14:paraId="1DB432E6">
            <w:pPr>
              <w:widowControl/>
              <w:jc w:val="center"/>
              <w:rPr>
                <w:rFonts w:hint="eastAsia" w:ascii="宋体" w:hAnsi="宋体" w:cs="宋体"/>
                <w:b/>
                <w:bCs/>
                <w:szCs w:val="21"/>
              </w:rPr>
            </w:pPr>
            <w:r>
              <w:rPr>
                <w:rFonts w:hint="eastAsia" w:ascii="宋体" w:hAnsi="宋体" w:cs="宋体"/>
                <w:b/>
                <w:bCs/>
                <w:snapToGrid w:val="0"/>
                <w:color w:val="000000"/>
                <w:kern w:val="0"/>
                <w:szCs w:val="21"/>
                <w:lang w:bidi="ar"/>
              </w:rPr>
              <w:t>标识符号</w:t>
            </w:r>
          </w:p>
        </w:tc>
        <w:tc>
          <w:tcPr>
            <w:tcW w:w="1194" w:type="pct"/>
            <w:noWrap w:val="0"/>
            <w:vAlign w:val="center"/>
          </w:tcPr>
          <w:p w14:paraId="5D566607">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标识含义</w:t>
            </w:r>
          </w:p>
        </w:tc>
        <w:tc>
          <w:tcPr>
            <w:tcW w:w="2966" w:type="pct"/>
            <w:noWrap w:val="0"/>
            <w:vAlign w:val="center"/>
          </w:tcPr>
          <w:p w14:paraId="1F3CDF48">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相关要求</w:t>
            </w:r>
          </w:p>
        </w:tc>
      </w:tr>
      <w:tr w14:paraId="6944C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9" w:type="pct"/>
            <w:noWrap w:val="0"/>
            <w:vAlign w:val="center"/>
          </w:tcPr>
          <w:p w14:paraId="483CAD15">
            <w:pPr>
              <w:spacing w:line="360" w:lineRule="auto"/>
              <w:jc w:val="center"/>
              <w:rPr>
                <w:rFonts w:hint="eastAsia" w:ascii="宋体" w:hAnsi="宋体" w:cs="宋体"/>
                <w:szCs w:val="21"/>
              </w:rPr>
            </w:pPr>
            <w:r>
              <w:rPr>
                <w:rFonts w:hint="eastAsia" w:ascii="宋体" w:hAnsi="宋体" w:cs="宋体"/>
                <w:szCs w:val="21"/>
              </w:rPr>
              <w:t>★</w:t>
            </w:r>
          </w:p>
        </w:tc>
        <w:tc>
          <w:tcPr>
            <w:tcW w:w="1194" w:type="pct"/>
            <w:noWrap w:val="0"/>
            <w:vAlign w:val="center"/>
          </w:tcPr>
          <w:p w14:paraId="7C5C46D1">
            <w:pPr>
              <w:spacing w:line="360" w:lineRule="auto"/>
              <w:jc w:val="center"/>
              <w:rPr>
                <w:rFonts w:hint="eastAsia" w:ascii="宋体" w:hAnsi="宋体" w:cs="宋体"/>
                <w:szCs w:val="21"/>
              </w:rPr>
            </w:pPr>
            <w:r>
              <w:rPr>
                <w:rFonts w:hint="eastAsia" w:ascii="宋体" w:hAnsi="宋体" w:cs="宋体"/>
                <w:szCs w:val="21"/>
              </w:rPr>
              <w:t>重要技术参数</w:t>
            </w:r>
          </w:p>
        </w:tc>
        <w:tc>
          <w:tcPr>
            <w:tcW w:w="2966" w:type="pct"/>
            <w:noWrap w:val="0"/>
            <w:vAlign w:val="center"/>
          </w:tcPr>
          <w:p w14:paraId="0FC5CEA5">
            <w:pPr>
              <w:spacing w:line="360" w:lineRule="auto"/>
              <w:jc w:val="center"/>
              <w:rPr>
                <w:rFonts w:hint="eastAsia" w:ascii="宋体" w:hAnsi="宋体" w:cs="宋体"/>
                <w:szCs w:val="21"/>
              </w:rPr>
            </w:pPr>
            <w:r>
              <w:rPr>
                <w:rFonts w:hint="eastAsia" w:ascii="宋体" w:hAnsi="宋体" w:cs="宋体"/>
                <w:szCs w:val="21"/>
              </w:rPr>
              <w:t>评审项</w:t>
            </w:r>
          </w:p>
        </w:tc>
      </w:tr>
      <w:tr w14:paraId="3899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9" w:type="pct"/>
            <w:noWrap w:val="0"/>
            <w:vAlign w:val="center"/>
          </w:tcPr>
          <w:p w14:paraId="4F15802C">
            <w:pPr>
              <w:spacing w:line="360" w:lineRule="auto"/>
              <w:jc w:val="center"/>
              <w:rPr>
                <w:rFonts w:hint="eastAsia" w:ascii="宋体" w:hAnsi="宋体" w:cs="宋体"/>
                <w:szCs w:val="21"/>
              </w:rPr>
            </w:pPr>
          </w:p>
        </w:tc>
        <w:tc>
          <w:tcPr>
            <w:tcW w:w="1194" w:type="pct"/>
            <w:noWrap w:val="0"/>
            <w:vAlign w:val="center"/>
          </w:tcPr>
          <w:p w14:paraId="2B42E529">
            <w:pPr>
              <w:spacing w:line="360" w:lineRule="auto"/>
              <w:jc w:val="center"/>
              <w:rPr>
                <w:rFonts w:hint="eastAsia" w:ascii="宋体" w:hAnsi="宋体" w:cs="宋体"/>
                <w:szCs w:val="21"/>
              </w:rPr>
            </w:pPr>
            <w:r>
              <w:rPr>
                <w:rFonts w:hint="eastAsia" w:ascii="宋体" w:hAnsi="宋体" w:cs="宋体"/>
                <w:szCs w:val="21"/>
              </w:rPr>
              <w:t>无标识项</w:t>
            </w:r>
          </w:p>
        </w:tc>
        <w:tc>
          <w:tcPr>
            <w:tcW w:w="2966" w:type="pct"/>
            <w:noWrap w:val="0"/>
            <w:vAlign w:val="center"/>
          </w:tcPr>
          <w:p w14:paraId="7EE9B464">
            <w:pPr>
              <w:spacing w:line="360" w:lineRule="auto"/>
              <w:jc w:val="left"/>
              <w:rPr>
                <w:rFonts w:hint="eastAsia" w:ascii="宋体" w:hAnsi="宋体" w:eastAsia="宋体" w:cs="宋体"/>
                <w:szCs w:val="21"/>
                <w:lang w:eastAsia="zh-CN"/>
              </w:rPr>
            </w:pPr>
            <w:r>
              <w:rPr>
                <w:rFonts w:hint="eastAsia" w:ascii="宋体" w:hAnsi="宋体" w:cs="宋体"/>
                <w:szCs w:val="21"/>
              </w:rPr>
              <w:t>评审项</w:t>
            </w:r>
            <w:r>
              <w:rPr>
                <w:rFonts w:hint="eastAsia" w:ascii="宋体" w:hAnsi="宋体" w:cs="宋体"/>
                <w:szCs w:val="21"/>
                <w:lang w:eastAsia="zh-CN"/>
              </w:rPr>
              <w:t>（针对无标识</w:t>
            </w:r>
            <w:r>
              <w:rPr>
                <w:rFonts w:hint="eastAsia" w:ascii="宋体" w:hAnsi="宋体" w:cs="宋体"/>
                <w:szCs w:val="21"/>
                <w:lang w:val="en-US" w:eastAsia="zh-CN"/>
              </w:rPr>
              <w:t>项</w:t>
            </w:r>
            <w:r>
              <w:rPr>
                <w:rFonts w:hint="eastAsia" w:ascii="宋体" w:hAnsi="宋体" w:cs="宋体"/>
                <w:szCs w:val="21"/>
                <w:lang w:eastAsia="zh-CN"/>
              </w:rPr>
              <w:t>评审时：如某项参数仅存在一级序号时，则以一级序号为最小单位计算条目数量（即为一项）；如某项参数同时存在一级序号和二级序号时，则以二级序号为最小单位计算条目数量（即为一项）；如某项参数存在多级序号时，则以最后一级序号为最小单位计算条目数量（即为一项）。）</w:t>
            </w:r>
          </w:p>
        </w:tc>
      </w:tr>
    </w:tbl>
    <w:p w14:paraId="4AD4715A">
      <w:pPr>
        <w:jc w:val="center"/>
        <w:rPr>
          <w:rFonts w:ascii="宋体" w:hAnsi="宋体" w:eastAsia="宋体"/>
          <w:b/>
          <w:color w:val="000000" w:themeColor="text1"/>
          <w:sz w:val="32"/>
          <w:szCs w:val="36"/>
          <w14:textFill>
            <w14:solidFill>
              <w14:schemeClr w14:val="tx1"/>
            </w14:solidFill>
          </w14:textFill>
        </w:rPr>
      </w:pPr>
      <w:r>
        <w:rPr>
          <w:rFonts w:hint="eastAsia" w:ascii="宋体" w:hAnsi="宋体" w:eastAsia="宋体"/>
          <w:b/>
          <w:color w:val="000000" w:themeColor="text1"/>
          <w:sz w:val="32"/>
          <w:szCs w:val="36"/>
          <w14:textFill>
            <w14:solidFill>
              <w14:schemeClr w14:val="tx1"/>
            </w14:solidFill>
          </w14:textFill>
        </w:rPr>
        <w:t>中央站技术参数（</w:t>
      </w:r>
      <w:r>
        <w:rPr>
          <w:rFonts w:hint="eastAsia" w:ascii="宋体" w:hAnsi="宋体" w:eastAsia="宋体"/>
          <w:b/>
          <w:color w:val="000000" w:themeColor="text1"/>
          <w:sz w:val="32"/>
          <w:szCs w:val="36"/>
          <w:lang w:val="en-US" w:eastAsia="zh-CN"/>
          <w14:textFill>
            <w14:solidFill>
              <w14:schemeClr w14:val="tx1"/>
            </w14:solidFill>
          </w14:textFill>
        </w:rPr>
        <w:t>一拖25</w:t>
      </w:r>
      <w:r>
        <w:rPr>
          <w:rFonts w:hint="eastAsia" w:ascii="宋体" w:hAnsi="宋体" w:eastAsia="宋体"/>
          <w:b/>
          <w:color w:val="000000" w:themeColor="text1"/>
          <w:sz w:val="32"/>
          <w:szCs w:val="36"/>
          <w14:textFill>
            <w14:solidFill>
              <w14:schemeClr w14:val="tx1"/>
            </w14:solidFill>
          </w14:textFill>
        </w:rPr>
        <w:t>）</w:t>
      </w:r>
    </w:p>
    <w:p w14:paraId="28292817">
      <w:pPr>
        <w:numPr>
          <w:ilvl w:val="0"/>
          <w:numId w:val="1"/>
        </w:numPr>
        <w:ind w:left="425" w:leftChars="0" w:hanging="425" w:firstLineChars="0"/>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中央站支持≥64床病人集中管理，可实现病人接收/解除/转移、NIBP远程控制等。</w:t>
      </w:r>
    </w:p>
    <w:p w14:paraId="59D8A3AA">
      <w:pPr>
        <w:numPr>
          <w:ilvl w:val="0"/>
          <w:numId w:val="1"/>
        </w:numPr>
        <w:ind w:left="425" w:leftChars="0" w:hanging="425" w:firstLineChars="0"/>
        <w:rPr>
          <w:rFonts w:hint="eastAsia" w:ascii="宋体" w:hAnsi="宋体" w:eastAsia="宋体"/>
          <w:color w:val="000000" w:themeColor="text1"/>
          <w:lang w:eastAsia="zh-CN"/>
          <w14:textFill>
            <w14:solidFill>
              <w14:schemeClr w14:val="tx1"/>
            </w14:solidFill>
          </w14:textFill>
        </w:rPr>
      </w:pPr>
      <w:r>
        <w:rPr>
          <w:rFonts w:ascii="宋体" w:hAnsi="宋体" w:eastAsia="宋体"/>
          <w:color w:val="000000" w:themeColor="text1"/>
          <w14:textFill>
            <w14:solidFill>
              <w14:schemeClr w14:val="tx1"/>
            </w14:solidFill>
          </w14:textFill>
        </w:rPr>
        <w:t>中央站显示器≥27英寸，单屏可显示≥36位患者数据</w:t>
      </w:r>
      <w:r>
        <w:rPr>
          <w:rFonts w:hint="eastAsia" w:ascii="宋体" w:hAnsi="宋体"/>
          <w:color w:val="000000" w:themeColor="text1"/>
          <w:lang w:eastAsia="zh-CN"/>
          <w14:textFill>
            <w14:solidFill>
              <w14:schemeClr w14:val="tx1"/>
            </w14:solidFill>
          </w14:textFill>
        </w:rPr>
        <w:t>。</w:t>
      </w:r>
    </w:p>
    <w:p w14:paraId="43D33E98">
      <w:pPr>
        <w:numPr>
          <w:ilvl w:val="0"/>
          <w:numId w:val="1"/>
        </w:numPr>
        <w:ind w:left="425" w:leftChars="0" w:hanging="425" w:firstLineChars="0"/>
        <w:rPr>
          <w:rFonts w:hint="eastAsia" w:ascii="宋体" w:hAnsi="宋体" w:eastAsia="宋体"/>
          <w:color w:val="000000" w:themeColor="text1"/>
          <w:lang w:eastAsia="zh-CN"/>
          <w14:textFill>
            <w14:solidFill>
              <w14:schemeClr w14:val="tx1"/>
            </w14:solidFill>
          </w14:textFill>
        </w:rPr>
      </w:pPr>
      <w:r>
        <w:rPr>
          <w:rFonts w:ascii="宋体" w:hAnsi="宋体" w:eastAsia="宋体"/>
          <w:color w:val="000000" w:themeColor="text1"/>
          <w14:textFill>
            <w14:solidFill>
              <w14:schemeClr w14:val="tx1"/>
            </w14:solidFill>
          </w14:textFill>
        </w:rPr>
        <w:t>支持单个观察床同屏显示≥12道波形、≥16个参数</w:t>
      </w:r>
      <w:r>
        <w:rPr>
          <w:rFonts w:hint="eastAsia" w:ascii="宋体" w:hAnsi="宋体"/>
          <w:color w:val="000000" w:themeColor="text1"/>
          <w:lang w:eastAsia="zh-CN"/>
          <w14:textFill>
            <w14:solidFill>
              <w14:schemeClr w14:val="tx1"/>
            </w14:solidFill>
          </w14:textFill>
        </w:rPr>
        <w:t>。</w:t>
      </w:r>
    </w:p>
    <w:p w14:paraId="39AD6EEE">
      <w:pPr>
        <w:numPr>
          <w:ilvl w:val="0"/>
          <w:numId w:val="1"/>
        </w:numPr>
        <w:ind w:left="425" w:leftChars="0" w:hanging="425" w:firstLineChars="0"/>
        <w:rPr>
          <w:rFonts w:hint="eastAsia" w:ascii="宋体" w:hAnsi="宋体" w:eastAsia="宋体"/>
          <w:color w:val="000000" w:themeColor="text1"/>
          <w:lang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具备</w:t>
      </w:r>
      <w:r>
        <w:rPr>
          <w:rFonts w:ascii="宋体" w:hAnsi="宋体" w:eastAsia="宋体"/>
          <w:color w:val="000000" w:themeColor="text1"/>
          <w14:textFill>
            <w14:solidFill>
              <w14:schemeClr w14:val="tx1"/>
            </w14:solidFill>
          </w14:textFill>
        </w:rPr>
        <w:t>集中显示所有连接的监护设备的</w:t>
      </w:r>
      <w:r>
        <w:rPr>
          <w:rFonts w:hint="eastAsia" w:ascii="宋体" w:hAnsi="宋体" w:eastAsia="宋体"/>
          <w:color w:val="000000" w:themeColor="text1"/>
          <w:lang w:eastAsia="zh-CN"/>
          <w14:textFill>
            <w14:solidFill>
              <w14:schemeClr w14:val="tx1"/>
            </w14:solidFill>
          </w14:textFill>
        </w:rPr>
        <w:t>使用情况</w:t>
      </w:r>
      <w:r>
        <w:rPr>
          <w:rFonts w:ascii="宋体" w:hAnsi="宋体" w:eastAsia="宋体"/>
          <w:color w:val="000000" w:themeColor="text1"/>
          <w14:textFill>
            <w14:solidFill>
              <w14:schemeClr w14:val="tx1"/>
            </w14:solidFill>
          </w14:textFill>
        </w:rPr>
        <w:t>，支持统计和输出设备在各科室内的</w:t>
      </w:r>
      <w:r>
        <w:rPr>
          <w:rFonts w:hint="eastAsia" w:ascii="宋体" w:hAnsi="宋体" w:eastAsia="宋体"/>
          <w:color w:val="000000" w:themeColor="text1"/>
          <w:lang w:eastAsia="zh-CN"/>
          <w14:textFill>
            <w14:solidFill>
              <w14:schemeClr w14:val="tx1"/>
            </w14:solidFill>
          </w14:textFill>
        </w:rPr>
        <w:t>监护情况</w:t>
      </w:r>
      <w:r>
        <w:rPr>
          <w:rFonts w:ascii="宋体" w:hAnsi="宋体" w:eastAsia="宋体"/>
          <w:color w:val="000000" w:themeColor="text1"/>
          <w14:textFill>
            <w14:solidFill>
              <w14:schemeClr w14:val="tx1"/>
            </w14:solidFill>
          </w14:textFill>
        </w:rPr>
        <w:t>，并将设备的基本信息（如序列号，工作状态等）并以表格的形式进行导出</w:t>
      </w:r>
      <w:r>
        <w:rPr>
          <w:rFonts w:hint="eastAsia" w:ascii="宋体" w:hAnsi="宋体"/>
          <w:color w:val="000000" w:themeColor="text1"/>
          <w:lang w:eastAsia="zh-CN"/>
          <w14:textFill>
            <w14:solidFill>
              <w14:schemeClr w14:val="tx1"/>
            </w14:solidFill>
          </w14:textFill>
        </w:rPr>
        <w:t>。</w:t>
      </w:r>
    </w:p>
    <w:p w14:paraId="4D857B80">
      <w:pPr>
        <w:numPr>
          <w:ilvl w:val="0"/>
          <w:numId w:val="1"/>
        </w:numPr>
        <w:ind w:left="425" w:leftChars="0" w:hanging="425" w:firstLineChars="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具备</w:t>
      </w:r>
      <w:r>
        <w:rPr>
          <w:rFonts w:ascii="宋体" w:hAnsi="宋体" w:eastAsia="宋体"/>
          <w:color w:val="000000" w:themeColor="text1"/>
          <w14:textFill>
            <w14:solidFill>
              <w14:schemeClr w14:val="tx1"/>
            </w14:solidFill>
          </w14:textFill>
        </w:rPr>
        <w:t>通过SNMP协议接口输出设备的信息到第三方信息系统和通过客户端接入远程查看设备信息</w:t>
      </w:r>
    </w:p>
    <w:p w14:paraId="5B78E8CB">
      <w:pPr>
        <w:numPr>
          <w:ilvl w:val="0"/>
          <w:numId w:val="1"/>
        </w:numPr>
        <w:ind w:left="425" w:leftChars="0" w:hanging="425" w:firstLineChars="0"/>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显示</w:t>
      </w:r>
      <w:r>
        <w:rPr>
          <w:rFonts w:hint="eastAsia" w:ascii="宋体" w:hAnsi="宋体" w:eastAsia="宋体"/>
          <w:color w:val="000000" w:themeColor="text1"/>
          <w:lang w:val="en-US" w:eastAsia="zh-CN"/>
          <w14:textFill>
            <w14:solidFill>
              <w14:schemeClr w14:val="tx1"/>
            </w14:solidFill>
          </w14:textFill>
        </w:rPr>
        <w:t>具备相关功能</w:t>
      </w:r>
      <w:r>
        <w:rPr>
          <w:rFonts w:ascii="宋体" w:hAnsi="宋体" w:eastAsia="宋体"/>
          <w:color w:val="000000" w:themeColor="text1"/>
          <w14:textFill>
            <w14:solidFill>
              <w14:schemeClr w14:val="tx1"/>
            </w14:solidFill>
          </w14:textFill>
        </w:rPr>
        <w:t>的</w:t>
      </w:r>
      <w:r>
        <w:rPr>
          <w:rFonts w:hint="eastAsia" w:ascii="宋体" w:hAnsi="宋体" w:eastAsia="宋体"/>
          <w:color w:val="000000" w:themeColor="text1"/>
          <w14:textFill>
            <w14:solidFill>
              <w14:schemeClr w14:val="tx1"/>
            </w14:solidFill>
          </w14:textFill>
        </w:rPr>
        <w:t>输注泵产品用药信息、呼吸机产品上的参数波形、床旁超声产品的超声检查图片。</w:t>
      </w:r>
    </w:p>
    <w:p w14:paraId="49977C8E">
      <w:pPr>
        <w:numPr>
          <w:ilvl w:val="0"/>
          <w:numId w:val="1"/>
        </w:numPr>
        <w:ind w:left="425" w:leftChars="0" w:hanging="425" w:firstLineChars="0"/>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具备远程手机/Pad浏览APP，可安装在手机或Pad上，支持院内及院外浏览病人数据，支持事件提醒功能。</w:t>
      </w:r>
    </w:p>
    <w:p w14:paraId="3ADD265C">
      <w:pPr>
        <w:numPr>
          <w:ilvl w:val="0"/>
          <w:numId w:val="1"/>
        </w:numPr>
        <w:ind w:left="425" w:leftChars="0" w:hanging="425" w:firstLineChars="0"/>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具备</w:t>
      </w:r>
      <w:r>
        <w:rPr>
          <w:rFonts w:ascii="宋体" w:hAnsi="宋体" w:eastAsia="宋体"/>
          <w:color w:val="000000" w:themeColor="text1"/>
          <w14:textFill>
            <w14:solidFill>
              <w14:schemeClr w14:val="tx1"/>
            </w14:solidFill>
          </w14:textFill>
        </w:rPr>
        <w:t>移动终端报警管理软件，支持在Android平台运行，支持对来自中心监护系统的报警进行接收，转发和查看</w:t>
      </w:r>
      <w:r>
        <w:rPr>
          <w:rFonts w:hint="eastAsia" w:ascii="宋体" w:hAnsi="宋体"/>
          <w:color w:val="000000" w:themeColor="text1"/>
          <w:lang w:eastAsia="zh-CN"/>
          <w14:textFill>
            <w14:solidFill>
              <w14:schemeClr w14:val="tx1"/>
            </w14:solidFill>
          </w14:textFill>
        </w:rPr>
        <w:t>。</w:t>
      </w:r>
    </w:p>
    <w:p w14:paraId="51157D40">
      <w:pPr>
        <w:numPr>
          <w:ilvl w:val="0"/>
          <w:numId w:val="1"/>
        </w:numPr>
        <w:ind w:left="425" w:leftChars="0" w:hanging="425" w:firstLineChars="0"/>
        <w:rPr>
          <w:rFonts w:hint="eastAsia"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支持</w:t>
      </w:r>
      <w:r>
        <w:rPr>
          <w:rFonts w:ascii="宋体" w:hAnsi="宋体" w:eastAsia="宋体"/>
          <w:color w:val="000000" w:themeColor="text1"/>
          <w:highlight w:val="none"/>
          <w14:textFill>
            <w14:solidFill>
              <w14:schemeClr w14:val="tx1"/>
            </w14:solidFill>
          </w14:textFill>
        </w:rPr>
        <w:t>HL7数据输出，</w:t>
      </w:r>
      <w:r>
        <w:rPr>
          <w:rFonts w:hint="eastAsia" w:ascii="宋体" w:hAnsi="宋体" w:eastAsia="宋体"/>
          <w:color w:val="000000" w:themeColor="text1"/>
          <w:highlight w:val="none"/>
          <w14:textFill>
            <w14:solidFill>
              <w14:schemeClr w14:val="tx1"/>
            </w14:solidFill>
          </w14:textFill>
        </w:rPr>
        <w:t>与医院在用信息系统实现互联互通</w:t>
      </w:r>
      <w:r>
        <w:rPr>
          <w:rFonts w:hint="eastAsia" w:ascii="宋体" w:hAnsi="宋体"/>
          <w:color w:val="000000" w:themeColor="text1"/>
          <w:highlight w:val="none"/>
          <w:lang w:eastAsia="zh-CN"/>
          <w14:textFill>
            <w14:solidFill>
              <w14:schemeClr w14:val="tx1"/>
            </w14:solidFill>
          </w14:textFill>
        </w:rPr>
        <w:t>。</w:t>
      </w:r>
    </w:p>
    <w:p w14:paraId="4072D452">
      <w:pPr>
        <w:numPr>
          <w:ilvl w:val="0"/>
          <w:numId w:val="1"/>
        </w:numPr>
        <w:ind w:left="425" w:leftChars="0" w:hanging="425" w:firstLineChars="0"/>
        <w:rPr>
          <w:rFonts w:hint="eastAsia" w:ascii="宋体" w:hAnsi="宋体" w:eastAsia="宋体"/>
          <w:color w:val="000000" w:themeColor="text1"/>
          <w:lang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具备</w:t>
      </w:r>
      <w:r>
        <w:rPr>
          <w:rFonts w:ascii="宋体" w:hAnsi="宋体" w:eastAsia="宋体"/>
          <w:color w:val="000000" w:themeColor="text1"/>
          <w14:textFill>
            <w14:solidFill>
              <w14:schemeClr w14:val="tx1"/>
            </w14:solidFill>
          </w14:textFill>
        </w:rPr>
        <w:t>数据断网续传功能，至少保证断网48小时内，数据不会丢失</w:t>
      </w:r>
      <w:r>
        <w:rPr>
          <w:rFonts w:hint="eastAsia" w:ascii="宋体" w:hAnsi="宋体"/>
          <w:color w:val="000000" w:themeColor="text1"/>
          <w:lang w:eastAsia="zh-CN"/>
          <w14:textFill>
            <w14:solidFill>
              <w14:schemeClr w14:val="tx1"/>
            </w14:solidFill>
          </w14:textFill>
        </w:rPr>
        <w:t>。</w:t>
      </w:r>
    </w:p>
    <w:p w14:paraId="2BB8A081">
      <w:pPr>
        <w:numPr>
          <w:ilvl w:val="0"/>
          <w:numId w:val="1"/>
        </w:numPr>
        <w:ind w:left="425" w:leftChars="0" w:hanging="425" w:firstLineChars="0"/>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eastAsia="宋体"/>
          <w:color w:val="000000" w:themeColor="text1"/>
          <w:highlight w:val="none"/>
          <w:lang w:val="en-US" w:eastAsia="zh-CN"/>
          <w14:textFill>
            <w14:solidFill>
              <w14:schemeClr w14:val="tx1"/>
            </w14:solidFill>
          </w14:textFill>
        </w:rPr>
        <w:t>具备</w:t>
      </w:r>
      <w:r>
        <w:rPr>
          <w:rFonts w:ascii="宋体" w:hAnsi="宋体" w:eastAsia="宋体"/>
          <w:color w:val="000000" w:themeColor="text1"/>
          <w:highlight w:val="none"/>
          <w14:textFill>
            <w14:solidFill>
              <w14:schemeClr w14:val="tx1"/>
            </w14:solidFill>
          </w14:textFill>
        </w:rPr>
        <w:t>中央站集中配置和升级网络中的监护仪</w:t>
      </w:r>
      <w:r>
        <w:rPr>
          <w:rFonts w:hint="eastAsia" w:ascii="宋体" w:hAnsi="宋体" w:eastAsia="宋体"/>
          <w:color w:val="000000" w:themeColor="text1"/>
          <w:highlight w:val="none"/>
          <w14:textFill>
            <w14:solidFill>
              <w14:schemeClr w14:val="tx1"/>
            </w14:solidFill>
          </w14:textFill>
        </w:rPr>
        <w:t>系统功能</w:t>
      </w:r>
      <w:r>
        <w:rPr>
          <w:rFonts w:hint="eastAsia" w:ascii="宋体" w:hAnsi="宋体"/>
          <w:color w:val="000000" w:themeColor="text1"/>
          <w:highlight w:val="none"/>
          <w:lang w:eastAsia="zh-CN"/>
          <w14:textFill>
            <w14:solidFill>
              <w14:schemeClr w14:val="tx1"/>
            </w14:solidFill>
          </w14:textFill>
        </w:rPr>
        <w:t>。</w:t>
      </w:r>
    </w:p>
    <w:p w14:paraId="139DA05A">
      <w:pPr>
        <w:numPr>
          <w:ilvl w:val="0"/>
          <w:numId w:val="1"/>
        </w:numPr>
        <w:ind w:left="425" w:leftChars="0" w:hanging="425" w:firstLineChars="0"/>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highlight w:val="none"/>
          <w14:textFill>
            <w14:solidFill>
              <w14:schemeClr w14:val="tx1"/>
            </w14:solidFill>
          </w14:textFill>
        </w:rPr>
        <w:t>具备报警集中设置功能，</w:t>
      </w:r>
      <w:r>
        <w:rPr>
          <w:rFonts w:hint="eastAsia" w:ascii="宋体" w:hAnsi="宋体"/>
          <w:color w:val="000000" w:themeColor="text1"/>
          <w:highlight w:val="none"/>
          <w:lang w:val="en-US" w:eastAsia="zh-CN"/>
          <w14:textFill>
            <w14:solidFill>
              <w14:schemeClr w14:val="tx1"/>
            </w14:solidFill>
          </w14:textFill>
        </w:rPr>
        <w:t>支持</w:t>
      </w:r>
      <w:r>
        <w:rPr>
          <w:rFonts w:ascii="宋体" w:hAnsi="宋体" w:eastAsia="宋体"/>
          <w:strike w:val="0"/>
          <w:dstrike w:val="0"/>
          <w:color w:val="000000" w:themeColor="text1"/>
          <w:highlight w:val="none"/>
          <w14:textFill>
            <w14:solidFill>
              <w14:schemeClr w14:val="tx1"/>
            </w14:solidFill>
          </w14:textFill>
        </w:rPr>
        <w:t>同一菜单中对病人的所有监测参数的报警开关及报警限进行设置</w:t>
      </w:r>
      <w:r>
        <w:rPr>
          <w:rFonts w:ascii="宋体" w:hAnsi="宋体" w:eastAsia="宋体"/>
          <w:strike w:val="0"/>
          <w:color w:val="000000" w:themeColor="text1"/>
          <w:highlight w:val="none"/>
          <w14:textFill>
            <w14:solidFill>
              <w14:schemeClr w14:val="tx1"/>
            </w14:solidFill>
          </w14:textFill>
        </w:rPr>
        <w:t>。</w:t>
      </w:r>
    </w:p>
    <w:p w14:paraId="211D4981">
      <w:pPr>
        <w:numPr>
          <w:ilvl w:val="0"/>
          <w:numId w:val="1"/>
        </w:numPr>
        <w:ind w:left="425" w:leftChars="0" w:hanging="425" w:firstLineChars="0"/>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highlight w:val="none"/>
          <w14:textFill>
            <w14:solidFill>
              <w14:schemeClr w14:val="tx1"/>
            </w14:solidFill>
          </w14:textFill>
        </w:rPr>
        <w:t>具备</w:t>
      </w:r>
      <w:r>
        <w:rPr>
          <w:rFonts w:hint="eastAsia" w:ascii="宋体" w:hAnsi="宋体" w:eastAsia="宋体"/>
          <w:color w:val="000000" w:themeColor="text1"/>
          <w:highlight w:val="none"/>
          <w14:textFill>
            <w14:solidFill>
              <w14:schemeClr w14:val="tx1"/>
            </w14:solidFill>
          </w14:textFill>
        </w:rPr>
        <w:t>报警记录、打印</w:t>
      </w:r>
      <w:r>
        <w:rPr>
          <w:rFonts w:hint="eastAsia" w:ascii="宋体" w:hAnsi="宋体"/>
          <w:color w:val="000000" w:themeColor="text1"/>
          <w:highlight w:val="none"/>
          <w:lang w:eastAsia="zh-CN"/>
          <w14:textFill>
            <w14:solidFill>
              <w14:schemeClr w14:val="tx1"/>
            </w14:solidFill>
          </w14:textFill>
        </w:rPr>
        <w:t>、</w:t>
      </w:r>
      <w:r>
        <w:rPr>
          <w:rFonts w:ascii="宋体" w:hAnsi="宋体" w:eastAsia="宋体"/>
          <w:color w:val="000000" w:themeColor="text1"/>
          <w:highlight w:val="none"/>
          <w14:textFill>
            <w14:solidFill>
              <w14:schemeClr w14:val="tx1"/>
            </w14:solidFill>
          </w14:textFill>
        </w:rPr>
        <w:t>统计功能，</w:t>
      </w:r>
      <w:r>
        <w:rPr>
          <w:rFonts w:ascii="宋体" w:hAnsi="宋体" w:eastAsia="宋体"/>
          <w:strike w:val="0"/>
          <w:dstrike w:val="0"/>
          <w:color w:val="000000" w:themeColor="text1"/>
          <w:highlight w:val="none"/>
          <w14:textFill>
            <w14:solidFill>
              <w14:schemeClr w14:val="tx1"/>
            </w14:solidFill>
          </w14:textFill>
        </w:rPr>
        <w:t>可对科室内报警情况进行分析，辅助调整报警限</w:t>
      </w:r>
      <w:r>
        <w:rPr>
          <w:rFonts w:ascii="宋体" w:hAnsi="宋体" w:eastAsia="宋体"/>
          <w:strike w:val="0"/>
          <w:color w:val="000000" w:themeColor="text1"/>
          <w:highlight w:val="none"/>
          <w14:textFill>
            <w14:solidFill>
              <w14:schemeClr w14:val="tx1"/>
            </w14:solidFill>
          </w14:textFill>
        </w:rPr>
        <w:t>。</w:t>
      </w:r>
    </w:p>
    <w:p w14:paraId="7B99A52A">
      <w:pPr>
        <w:numPr>
          <w:ilvl w:val="0"/>
          <w:numId w:val="1"/>
        </w:numPr>
        <w:ind w:left="425" w:leftChars="0" w:hanging="425" w:firstLineChars="0"/>
        <w:rPr>
          <w:rFonts w:hint="eastAsia" w:ascii="宋体" w:hAnsi="宋体" w:eastAsia="宋体"/>
          <w:color w:val="000000" w:themeColor="text1"/>
          <w:lang w:eastAsia="zh-CN"/>
          <w14:textFill>
            <w14:solidFill>
              <w14:schemeClr w14:val="tx1"/>
            </w14:solidFill>
          </w14:textFill>
        </w:rPr>
      </w:pPr>
      <w:r>
        <w:rPr>
          <w:rFonts w:hint="eastAsia" w:ascii="等线" w:hAnsi="等线" w:eastAsia="等线"/>
          <w:color w:val="000000" w:themeColor="text1"/>
          <w14:textFill>
            <w14:solidFill>
              <w14:schemeClr w14:val="tx1"/>
            </w14:solidFill>
          </w14:textFill>
        </w:rPr>
        <w:t>★</w:t>
      </w:r>
      <w:r>
        <w:rPr>
          <w:rFonts w:hint="eastAsia" w:ascii="宋体" w:hAnsi="宋体" w:eastAsia="宋体"/>
          <w:color w:val="000000" w:themeColor="text1"/>
          <w:lang w:val="en-US" w:eastAsia="zh-CN"/>
          <w14:textFill>
            <w14:solidFill>
              <w14:schemeClr w14:val="tx1"/>
            </w14:solidFill>
          </w14:textFill>
        </w:rPr>
        <w:t>具备</w:t>
      </w:r>
      <w:r>
        <w:rPr>
          <w:rFonts w:ascii="宋体" w:hAnsi="宋体" w:eastAsia="宋体"/>
          <w:color w:val="000000" w:themeColor="text1"/>
          <w14:textFill>
            <w14:solidFill>
              <w14:schemeClr w14:val="tx1"/>
            </w14:solidFill>
          </w14:textFill>
        </w:rPr>
        <w:t>接收</w:t>
      </w:r>
      <w:r>
        <w:rPr>
          <w:rFonts w:hint="eastAsia" w:ascii="宋体" w:hAnsi="宋体" w:eastAsia="宋体"/>
          <w:color w:val="000000" w:themeColor="text1"/>
          <w:lang w:val="en-US" w:eastAsia="zh-CN"/>
          <w14:textFill>
            <w14:solidFill>
              <w14:schemeClr w14:val="tx1"/>
            </w14:solidFill>
          </w14:textFill>
        </w:rPr>
        <w:t>相关功能</w:t>
      </w:r>
      <w:r>
        <w:rPr>
          <w:rFonts w:ascii="宋体" w:hAnsi="宋体" w:eastAsia="宋体"/>
          <w:color w:val="000000" w:themeColor="text1"/>
          <w14:textFill>
            <w14:solidFill>
              <w14:schemeClr w14:val="tx1"/>
            </w14:solidFill>
          </w14:textFill>
        </w:rPr>
        <w:t>除颤（MED）产品的自检报告并提供异常报警</w:t>
      </w:r>
      <w:r>
        <w:rPr>
          <w:rFonts w:hint="eastAsia" w:ascii="宋体" w:hAnsi="宋体" w:eastAsia="宋体"/>
          <w:color w:val="000000" w:themeColor="text1"/>
          <w:lang w:eastAsia="zh-CN"/>
          <w14:textFill>
            <w14:solidFill>
              <w14:schemeClr w14:val="tx1"/>
            </w14:solidFill>
          </w14:textFill>
        </w:rPr>
        <w:t>。</w:t>
      </w:r>
    </w:p>
    <w:p w14:paraId="621996C7">
      <w:pPr>
        <w:pStyle w:val="3"/>
        <w:numPr>
          <w:ilvl w:val="0"/>
          <w:numId w:val="1"/>
        </w:numPr>
        <w:ind w:left="425" w:leftChars="0" w:hanging="425" w:firstLineChars="0"/>
        <w:rPr>
          <w:rFonts w:ascii="宋体" w:hAnsi="宋体" w:eastAsia="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支持</w:t>
      </w:r>
      <w:r>
        <w:rPr>
          <w:rFonts w:ascii="宋体" w:hAnsi="宋体" w:eastAsia="宋体"/>
          <w:color w:val="000000" w:themeColor="text1"/>
          <w14:textFill>
            <w14:solidFill>
              <w14:schemeClr w14:val="tx1"/>
            </w14:solidFill>
          </w14:textFill>
        </w:rPr>
        <w:t>趋势数据存储</w:t>
      </w:r>
      <w:r>
        <w:rPr>
          <w:rFonts w:hint="eastAsia" w:ascii="宋体" w:hAnsi="宋体"/>
          <w:color w:val="000000" w:themeColor="text1"/>
          <w:lang w:val="en-US" w:eastAsia="zh-CN"/>
          <w14:textFill>
            <w14:solidFill>
              <w14:schemeClr w14:val="tx1"/>
            </w14:solidFill>
          </w14:textFill>
        </w:rPr>
        <w:t>≥240小时；支持</w:t>
      </w:r>
      <w:r>
        <w:rPr>
          <w:rFonts w:ascii="宋体" w:hAnsi="宋体" w:eastAsia="宋体"/>
          <w:color w:val="000000" w:themeColor="text1"/>
          <w14:textFill>
            <w14:solidFill>
              <w14:schemeClr w14:val="tx1"/>
            </w14:solidFill>
          </w14:textFill>
        </w:rPr>
        <w:t>全息波形数据存储</w:t>
      </w:r>
      <w:r>
        <w:rPr>
          <w:rFonts w:hint="eastAsia" w:ascii="宋体" w:hAnsi="宋体"/>
          <w:color w:val="000000" w:themeColor="text1"/>
          <w:lang w:val="en-US" w:eastAsia="zh-CN"/>
          <w14:textFill>
            <w14:solidFill>
              <w14:schemeClr w14:val="tx1"/>
            </w14:solidFill>
          </w14:textFill>
        </w:rPr>
        <w:t>≥240小时；支持</w:t>
      </w:r>
      <w:r>
        <w:rPr>
          <w:rFonts w:ascii="宋体" w:hAnsi="宋体" w:eastAsia="宋体"/>
          <w:color w:val="000000" w:themeColor="text1"/>
          <w14:textFill>
            <w14:solidFill>
              <w14:schemeClr w14:val="tx1"/>
            </w14:solidFill>
          </w14:textFill>
        </w:rPr>
        <w:t>ST片段数据存储</w:t>
      </w:r>
      <w:r>
        <w:rPr>
          <w:rFonts w:hint="eastAsia" w:ascii="宋体" w:hAnsi="宋体"/>
          <w:color w:val="000000" w:themeColor="text1"/>
          <w:lang w:val="en-US" w:eastAsia="zh-CN"/>
          <w14:textFill>
            <w14:solidFill>
              <w14:schemeClr w14:val="tx1"/>
            </w14:solidFill>
          </w14:textFill>
        </w:rPr>
        <w:t>≥240小时；支持</w:t>
      </w:r>
      <w:r>
        <w:rPr>
          <w:rFonts w:ascii="宋体" w:hAnsi="宋体" w:eastAsia="宋体"/>
          <w:color w:val="000000" w:themeColor="text1"/>
          <w14:textFill>
            <w14:solidFill>
              <w14:schemeClr w14:val="tx1"/>
            </w14:solidFill>
          </w14:textFill>
        </w:rPr>
        <w:t>事件存储</w:t>
      </w:r>
      <w:r>
        <w:rPr>
          <w:rFonts w:hint="eastAsia" w:ascii="宋体" w:hAnsi="宋体"/>
          <w:color w:val="000000" w:themeColor="text1"/>
          <w:lang w:val="en-US" w:eastAsia="zh-CN"/>
          <w14:textFill>
            <w14:solidFill>
              <w14:schemeClr w14:val="tx1"/>
            </w14:solidFill>
          </w14:textFill>
        </w:rPr>
        <w:t>≥3000条；支持存储报警时的参数及报警前后16秒波形</w:t>
      </w:r>
      <w:r>
        <w:rPr>
          <w:rFonts w:ascii="宋体" w:hAnsi="宋体" w:eastAsia="宋体"/>
          <w:color w:val="000000" w:themeColor="text1"/>
          <w14:textFill>
            <w14:solidFill>
              <w14:schemeClr w14:val="tx1"/>
            </w14:solidFill>
          </w14:textFill>
        </w:rPr>
        <w:t>。</w:t>
      </w:r>
    </w:p>
    <w:p w14:paraId="2578CECC">
      <w:pPr>
        <w:numPr>
          <w:ilvl w:val="0"/>
          <w:numId w:val="1"/>
        </w:numPr>
        <w:ind w:left="425" w:leftChars="0" w:hanging="425" w:firstLineChars="0"/>
        <w:rPr>
          <w:rFonts w:hint="eastAsia" w:ascii="宋体" w:hAnsi="宋体" w:eastAsia="宋体"/>
          <w:color w:val="000000" w:themeColor="text1"/>
          <w:lang w:eastAsia="zh-CN"/>
          <w14:textFill>
            <w14:solidFill>
              <w14:schemeClr w14:val="tx1"/>
            </w14:solidFill>
          </w14:textFill>
        </w:rPr>
      </w:pPr>
      <w:r>
        <w:rPr>
          <w:rFonts w:ascii="宋体" w:hAnsi="宋体" w:eastAsia="宋体"/>
          <w:color w:val="000000" w:themeColor="text1"/>
          <w14:textFill>
            <w14:solidFill>
              <w14:schemeClr w14:val="tx1"/>
            </w14:solidFill>
          </w14:textFill>
        </w:rPr>
        <w:t>支持生命体征趋势、报警事件统计与报告打印</w:t>
      </w:r>
      <w:r>
        <w:rPr>
          <w:rFonts w:hint="eastAsia" w:ascii="宋体" w:hAnsi="宋体"/>
          <w:color w:val="000000" w:themeColor="text1"/>
          <w:lang w:eastAsia="zh-CN"/>
          <w14:textFill>
            <w14:solidFill>
              <w14:schemeClr w14:val="tx1"/>
            </w14:solidFill>
          </w14:textFill>
        </w:rPr>
        <w:t>。</w:t>
      </w:r>
    </w:p>
    <w:p w14:paraId="45599F12">
      <w:pPr>
        <w:numPr>
          <w:ilvl w:val="0"/>
          <w:numId w:val="1"/>
        </w:numPr>
        <w:ind w:left="425" w:leftChars="0" w:hanging="425" w:firstLineChars="0"/>
        <w:rPr>
          <w:rFonts w:ascii="宋体" w:hAnsi="宋体" w:eastAsia="宋体"/>
          <w:b w:val="0"/>
          <w:bCs w:val="0"/>
          <w:color w:val="000000" w:themeColor="text1"/>
          <w:sz w:val="18"/>
          <w14:textFill>
            <w14:solidFill>
              <w14:schemeClr w14:val="tx1"/>
            </w14:solidFill>
          </w14:textFill>
        </w:rPr>
      </w:pPr>
      <w:r>
        <w:rPr>
          <w:rFonts w:ascii="宋体" w:hAnsi="宋体" w:eastAsia="宋体"/>
          <w:b w:val="0"/>
          <w:bCs w:val="0"/>
          <w:color w:val="000000" w:themeColor="text1"/>
          <w14:textFill>
            <w14:solidFill>
              <w14:schemeClr w14:val="tx1"/>
            </w14:solidFill>
          </w14:textFill>
        </w:rPr>
        <w:t>支持 24 小时心电统计分析，含 HR、ST、QT/QTc、心律失常、起搏统计</w:t>
      </w:r>
      <w:r>
        <w:rPr>
          <w:rFonts w:hint="eastAsia" w:ascii="宋体" w:hAnsi="宋体"/>
          <w:b w:val="0"/>
          <w:bCs w:val="0"/>
          <w:color w:val="000000" w:themeColor="text1"/>
          <w:lang w:val="en-US" w:eastAsia="zh-CN"/>
          <w14:textFill>
            <w14:solidFill>
              <w14:schemeClr w14:val="tx1"/>
            </w14:solidFill>
          </w14:textFill>
        </w:rPr>
        <w:t>等</w:t>
      </w:r>
      <w:r>
        <w:rPr>
          <w:rFonts w:ascii="宋体" w:hAnsi="宋体" w:eastAsia="宋体"/>
          <w:b w:val="0"/>
          <w:bCs w:val="0"/>
          <w:color w:val="000000" w:themeColor="text1"/>
          <w14:textFill>
            <w14:solidFill>
              <w14:schemeClr w14:val="tx1"/>
            </w14:solidFill>
          </w14:textFill>
        </w:rPr>
        <w:t>。</w:t>
      </w:r>
    </w:p>
    <w:p w14:paraId="5EFB3D2A">
      <w:pPr>
        <w:numPr>
          <w:ilvl w:val="0"/>
          <w:numId w:val="1"/>
        </w:numPr>
        <w:ind w:left="425" w:leftChars="0" w:hanging="425" w:firstLineChars="0"/>
        <w:rPr>
          <w:rFonts w:hint="eastAsia" w:ascii="宋体" w:hAnsi="宋体" w:eastAsia="宋体"/>
          <w:b w:val="0"/>
          <w:bCs w:val="0"/>
          <w:strike w:val="0"/>
          <w:dstrike w:val="0"/>
          <w:color w:val="000000" w:themeColor="text1"/>
          <w:highlight w:val="none"/>
          <w14:textFill>
            <w14:solidFill>
              <w14:schemeClr w14:val="tx1"/>
            </w14:solidFill>
          </w14:textFill>
        </w:rPr>
      </w:pPr>
      <w:r>
        <w:rPr>
          <w:rFonts w:hint="eastAsia" w:ascii="宋体" w:hAnsi="宋体" w:eastAsia="宋体"/>
          <w:b w:val="0"/>
          <w:bCs w:val="0"/>
          <w:strike w:val="0"/>
          <w:dstrike w:val="0"/>
          <w:color w:val="000000" w:themeColor="text1"/>
          <w:highlight w:val="none"/>
          <w14:textFill>
            <w14:solidFill>
              <w14:schemeClr w14:val="tx1"/>
            </w14:solidFill>
          </w14:textFill>
        </w:rPr>
        <w:t>★当病人生命体征基础值异常或病人状态出现趋势性变化时，针对HR/RR, SpO2，RR和动脉压监测，监护仪支持根据病人的参数趋势变化，自动推送该参数的报警限需要进行调整的建议，同时提供该参数的趋势变化与报警限对比图供临床参考分析。</w:t>
      </w:r>
    </w:p>
    <w:p w14:paraId="385C896D">
      <w:pPr>
        <w:numPr>
          <w:ilvl w:val="0"/>
          <w:numId w:val="1"/>
        </w:numPr>
        <w:ind w:left="425" w:leftChars="0" w:hanging="425" w:firstLineChars="0"/>
        <w:rPr>
          <w:rFonts w:hint="eastAsia" w:ascii="宋体" w:hAnsi="宋体" w:eastAsia="宋体"/>
          <w:b w:val="0"/>
          <w:bCs w:val="0"/>
          <w:strike w:val="0"/>
          <w:dstrike w:val="0"/>
          <w:color w:val="000000" w:themeColor="text1"/>
          <w:highlight w:val="none"/>
          <w14:textFill>
            <w14:solidFill>
              <w14:schemeClr w14:val="tx1"/>
            </w14:solidFill>
          </w14:textFill>
        </w:rPr>
      </w:pPr>
      <w:r>
        <w:rPr>
          <w:rFonts w:hint="eastAsia" w:ascii="宋体" w:hAnsi="宋体" w:eastAsia="宋体"/>
          <w:b w:val="0"/>
          <w:bCs w:val="0"/>
          <w:strike w:val="0"/>
          <w:dstrike w:val="0"/>
          <w:color w:val="000000" w:themeColor="text1"/>
          <w:highlight w:val="none"/>
          <w14:textFill>
            <w14:solidFill>
              <w14:schemeClr w14:val="tx1"/>
            </w14:solidFill>
          </w14:textFill>
        </w:rPr>
        <w:t>具有特殊报警音，当监护仪在病人发生致命性参数报警时，发出特殊的报警音进行提示病人处于危急状态</w:t>
      </w:r>
      <w:r>
        <w:rPr>
          <w:rFonts w:hint="eastAsia" w:ascii="宋体" w:hAnsi="宋体" w:eastAsia="宋体"/>
          <w:b w:val="0"/>
          <w:bCs w:val="0"/>
          <w:strike w:val="0"/>
          <w:dstrike w:val="0"/>
          <w:color w:val="000000" w:themeColor="text1"/>
          <w:highlight w:val="none"/>
          <w:lang w:eastAsia="zh-CN"/>
          <w14:textFill>
            <w14:solidFill>
              <w14:schemeClr w14:val="tx1"/>
            </w14:solidFill>
          </w14:textFill>
        </w:rPr>
        <w:t>。</w:t>
      </w:r>
    </w:p>
    <w:p w14:paraId="59DAB08D">
      <w:pPr>
        <w:numPr>
          <w:ilvl w:val="0"/>
          <w:numId w:val="1"/>
        </w:numPr>
        <w:ind w:left="425" w:leftChars="0" w:hanging="425" w:firstLineChars="0"/>
        <w:rPr>
          <w:rFonts w:hint="eastAsia" w:ascii="宋体" w:hAnsi="宋体" w:eastAsia="宋体"/>
          <w:b w:val="0"/>
          <w:bCs w:val="0"/>
          <w:strike w:val="0"/>
          <w:dstrike w:val="0"/>
          <w:color w:val="000000" w:themeColor="text1"/>
          <w:highlight w:val="none"/>
          <w14:textFill>
            <w14:solidFill>
              <w14:schemeClr w14:val="tx1"/>
            </w14:solidFill>
          </w14:textFill>
        </w:rPr>
      </w:pPr>
      <w:r>
        <w:rPr>
          <w:rFonts w:hint="eastAsia" w:ascii="宋体" w:hAnsi="宋体" w:eastAsia="宋体"/>
          <w:b w:val="0"/>
          <w:bCs w:val="0"/>
          <w:strike w:val="0"/>
          <w:dstrike w:val="0"/>
          <w:color w:val="000000" w:themeColor="text1"/>
          <w:highlight w:val="none"/>
          <w14:textFill>
            <w14:solidFill>
              <w14:schemeClr w14:val="tx1"/>
            </w14:solidFill>
          </w14:textFill>
        </w:rPr>
        <w:t>具备参数组合报警功能，提供≥10个自定义预设组合报警</w:t>
      </w:r>
      <w:r>
        <w:rPr>
          <w:rFonts w:hint="eastAsia" w:ascii="宋体" w:hAnsi="宋体" w:eastAsia="宋体"/>
          <w:b w:val="0"/>
          <w:bCs w:val="0"/>
          <w:strike w:val="0"/>
          <w:dstrike w:val="0"/>
          <w:color w:val="000000" w:themeColor="text1"/>
          <w:highlight w:val="none"/>
          <w:lang w:eastAsia="zh-CN"/>
          <w14:textFill>
            <w14:solidFill>
              <w14:schemeClr w14:val="tx1"/>
            </w14:solidFill>
          </w14:textFill>
        </w:rPr>
        <w:t>。</w:t>
      </w:r>
    </w:p>
    <w:p w14:paraId="5C02EFB2">
      <w:pPr>
        <w:numPr>
          <w:ilvl w:val="0"/>
          <w:numId w:val="1"/>
        </w:numPr>
        <w:ind w:left="425" w:leftChars="0" w:hanging="425" w:firstLineChars="0"/>
        <w:rPr>
          <w:rFonts w:hint="eastAsia" w:ascii="宋体" w:hAnsi="宋体" w:eastAsia="宋体"/>
          <w:b w:val="0"/>
          <w:bCs w:val="0"/>
          <w:strike w:val="0"/>
          <w:dstrike w:val="0"/>
          <w:color w:val="000000" w:themeColor="text1"/>
          <w:highlight w:val="none"/>
          <w14:textFill>
            <w14:solidFill>
              <w14:schemeClr w14:val="tx1"/>
            </w14:solidFill>
          </w14:textFill>
        </w:rPr>
      </w:pPr>
      <w:r>
        <w:rPr>
          <w:rFonts w:hint="eastAsia" w:ascii="宋体" w:hAnsi="宋体" w:eastAsia="宋体"/>
          <w:b w:val="0"/>
          <w:bCs w:val="0"/>
          <w:strike w:val="0"/>
          <w:dstrike w:val="0"/>
          <w:color w:val="000000" w:themeColor="text1"/>
          <w:highlight w:val="none"/>
          <w14:textFill>
            <w14:solidFill>
              <w14:schemeClr w14:val="tx1"/>
            </w14:solidFill>
          </w14:textFill>
        </w:rPr>
        <w:t>具备血流动力学</w:t>
      </w:r>
      <w:r>
        <w:rPr>
          <w:rFonts w:hint="eastAsia" w:ascii="宋体" w:hAnsi="宋体" w:eastAsia="宋体"/>
          <w:b w:val="0"/>
          <w:bCs w:val="0"/>
          <w:strike w:val="0"/>
          <w:dstrike w:val="0"/>
          <w:color w:val="000000" w:themeColor="text1"/>
          <w:highlight w:val="none"/>
          <w:lang w:eastAsia="zh-CN"/>
          <w14:textFill>
            <w14:solidFill>
              <w14:schemeClr w14:val="tx1"/>
            </w14:solidFill>
          </w14:textFill>
        </w:rPr>
        <w:t>、</w:t>
      </w:r>
      <w:r>
        <w:rPr>
          <w:rFonts w:hint="eastAsia" w:ascii="宋体" w:hAnsi="宋体" w:eastAsia="宋体"/>
          <w:b w:val="0"/>
          <w:bCs w:val="0"/>
          <w:strike w:val="0"/>
          <w:dstrike w:val="0"/>
          <w:color w:val="000000" w:themeColor="text1"/>
          <w:highlight w:val="none"/>
          <w14:textFill>
            <w14:solidFill>
              <w14:schemeClr w14:val="tx1"/>
            </w14:solidFill>
          </w14:textFill>
        </w:rPr>
        <w:t>药物计算</w:t>
      </w:r>
      <w:r>
        <w:rPr>
          <w:rFonts w:hint="eastAsia" w:ascii="宋体" w:hAnsi="宋体" w:eastAsia="宋体"/>
          <w:b w:val="0"/>
          <w:bCs w:val="0"/>
          <w:strike w:val="0"/>
          <w:dstrike w:val="0"/>
          <w:color w:val="000000" w:themeColor="text1"/>
          <w:highlight w:val="none"/>
          <w:lang w:eastAsia="zh-CN"/>
          <w14:textFill>
            <w14:solidFill>
              <w14:schemeClr w14:val="tx1"/>
            </w14:solidFill>
          </w14:textFill>
        </w:rPr>
        <w:t>、</w:t>
      </w:r>
      <w:r>
        <w:rPr>
          <w:rFonts w:hint="eastAsia" w:ascii="宋体" w:hAnsi="宋体" w:eastAsia="宋体"/>
          <w:b w:val="0"/>
          <w:bCs w:val="0"/>
          <w:strike w:val="0"/>
          <w:dstrike w:val="0"/>
          <w:color w:val="000000" w:themeColor="text1"/>
          <w:highlight w:val="none"/>
          <w14:textFill>
            <w14:solidFill>
              <w14:schemeClr w14:val="tx1"/>
            </w14:solidFill>
          </w14:textFill>
        </w:rPr>
        <w:t>氧合计算</w:t>
      </w:r>
      <w:r>
        <w:rPr>
          <w:rFonts w:hint="eastAsia" w:ascii="宋体" w:hAnsi="宋体" w:eastAsia="宋体"/>
          <w:b w:val="0"/>
          <w:bCs w:val="0"/>
          <w:strike w:val="0"/>
          <w:dstrike w:val="0"/>
          <w:color w:val="000000" w:themeColor="text1"/>
          <w:highlight w:val="none"/>
          <w:lang w:eastAsia="zh-CN"/>
          <w14:textFill>
            <w14:solidFill>
              <w14:schemeClr w14:val="tx1"/>
            </w14:solidFill>
          </w14:textFill>
        </w:rPr>
        <w:t>、</w:t>
      </w:r>
      <w:r>
        <w:rPr>
          <w:rFonts w:hint="eastAsia" w:ascii="宋体" w:hAnsi="宋体" w:eastAsia="宋体"/>
          <w:b w:val="0"/>
          <w:bCs w:val="0"/>
          <w:strike w:val="0"/>
          <w:dstrike w:val="0"/>
          <w:color w:val="000000" w:themeColor="text1"/>
          <w:highlight w:val="none"/>
          <w14:textFill>
            <w14:solidFill>
              <w14:schemeClr w14:val="tx1"/>
            </w14:solidFill>
          </w14:textFill>
        </w:rPr>
        <w:t>通气计算和肾功能计算功能</w:t>
      </w:r>
      <w:r>
        <w:rPr>
          <w:rFonts w:hint="eastAsia" w:ascii="宋体" w:hAnsi="宋体" w:eastAsia="宋体"/>
          <w:b w:val="0"/>
          <w:bCs w:val="0"/>
          <w:strike w:val="0"/>
          <w:dstrike w:val="0"/>
          <w:color w:val="000000" w:themeColor="text1"/>
          <w:highlight w:val="none"/>
          <w:lang w:eastAsia="zh-CN"/>
          <w14:textFill>
            <w14:solidFill>
              <w14:schemeClr w14:val="tx1"/>
            </w14:solidFill>
          </w14:textFill>
        </w:rPr>
        <w:t>。</w:t>
      </w:r>
    </w:p>
    <w:p w14:paraId="3D59B96D">
      <w:pPr>
        <w:numPr>
          <w:ilvl w:val="0"/>
          <w:numId w:val="1"/>
        </w:numPr>
        <w:ind w:left="425" w:leftChars="0" w:hanging="425" w:firstLineChars="0"/>
        <w:rPr>
          <w:rFonts w:hint="eastAsia" w:ascii="宋体" w:hAnsi="宋体" w:eastAsia="宋体"/>
          <w:b w:val="0"/>
          <w:bCs w:val="0"/>
          <w:strike w:val="0"/>
          <w:dstrike w:val="0"/>
          <w:color w:val="000000" w:themeColor="text1"/>
          <w:highlight w:val="none"/>
          <w14:textFill>
            <w14:solidFill>
              <w14:schemeClr w14:val="tx1"/>
            </w14:solidFill>
          </w14:textFill>
        </w:rPr>
      </w:pPr>
      <w:r>
        <w:rPr>
          <w:rFonts w:hint="eastAsia" w:ascii="宋体" w:hAnsi="宋体" w:eastAsia="宋体"/>
          <w:b w:val="0"/>
          <w:bCs w:val="0"/>
          <w:strike w:val="0"/>
          <w:dstrike w:val="0"/>
          <w:color w:val="000000" w:themeColor="text1"/>
          <w:highlight w:val="none"/>
          <w14:textFill>
            <w14:solidFill>
              <w14:schemeClr w14:val="tx1"/>
            </w14:solidFill>
          </w14:textFill>
        </w:rPr>
        <w:t>支持≥100小时趋势表和趋势图回顾，</w:t>
      </w:r>
      <w:r>
        <w:rPr>
          <w:rFonts w:hint="eastAsia" w:ascii="宋体" w:hAnsi="宋体" w:eastAsia="宋体"/>
          <w:b w:val="0"/>
          <w:bCs w:val="0"/>
          <w:strike w:val="0"/>
          <w:dstrike w:val="0"/>
          <w:color w:val="000000" w:themeColor="text1"/>
          <w:highlight w:val="none"/>
          <w:lang w:eastAsia="zh-CN"/>
          <w14:textFill>
            <w14:solidFill>
              <w14:schemeClr w14:val="tx1"/>
            </w14:solidFill>
          </w14:textFill>
        </w:rPr>
        <w:t>分辨率≤</w:t>
      </w:r>
      <w:r>
        <w:rPr>
          <w:rFonts w:hint="eastAsia" w:ascii="宋体" w:hAnsi="宋体" w:eastAsia="宋体"/>
          <w:b w:val="0"/>
          <w:bCs w:val="0"/>
          <w:strike w:val="0"/>
          <w:dstrike w:val="0"/>
          <w:color w:val="000000" w:themeColor="text1"/>
          <w:highlight w:val="none"/>
          <w:lang w:val="en-US" w:eastAsia="zh-CN"/>
          <w14:textFill>
            <w14:solidFill>
              <w14:schemeClr w14:val="tx1"/>
            </w14:solidFill>
          </w14:textFill>
        </w:rPr>
        <w:t>1分钟</w:t>
      </w:r>
      <w:r>
        <w:rPr>
          <w:rFonts w:hint="eastAsia" w:ascii="宋体" w:hAnsi="宋体" w:eastAsia="宋体"/>
          <w:b w:val="0"/>
          <w:bCs w:val="0"/>
          <w:strike w:val="0"/>
          <w:dstrike w:val="0"/>
          <w:color w:val="000000" w:themeColor="text1"/>
          <w:highlight w:val="none"/>
          <w:lang w:eastAsia="zh-CN"/>
          <w14:textFill>
            <w14:solidFill>
              <w14:schemeClr w14:val="tx1"/>
            </w14:solidFill>
          </w14:textFill>
        </w:rPr>
        <w:t>。</w:t>
      </w:r>
    </w:p>
    <w:p w14:paraId="6A16A0B2">
      <w:pPr>
        <w:numPr>
          <w:ilvl w:val="0"/>
          <w:numId w:val="1"/>
        </w:numPr>
        <w:ind w:left="425" w:leftChars="0" w:hanging="425" w:firstLineChars="0"/>
        <w:rPr>
          <w:rFonts w:hint="eastAsia" w:ascii="宋体" w:hAnsi="宋体" w:eastAsia="宋体"/>
          <w:b w:val="0"/>
          <w:bCs w:val="0"/>
          <w:strike w:val="0"/>
          <w:dstrike w:val="0"/>
          <w:color w:val="000000" w:themeColor="text1"/>
          <w:highlight w:val="none"/>
          <w14:textFill>
            <w14:solidFill>
              <w14:schemeClr w14:val="tx1"/>
            </w14:solidFill>
          </w14:textFill>
        </w:rPr>
      </w:pPr>
      <w:r>
        <w:rPr>
          <w:rFonts w:hint="eastAsia" w:ascii="宋体" w:hAnsi="宋体" w:eastAsia="宋体"/>
          <w:b w:val="0"/>
          <w:bCs w:val="0"/>
          <w:strike w:val="0"/>
          <w:dstrike w:val="0"/>
          <w:color w:val="000000" w:themeColor="text1"/>
          <w:highlight w:val="none"/>
          <w14:textFill>
            <w14:solidFill>
              <w14:schemeClr w14:val="tx1"/>
            </w14:solidFill>
          </w14:textFill>
        </w:rPr>
        <w:t>支持≥800条事件回顾。每条报警事件支持存储≥30秒三道相关波形，以及报警触发时所有测量参数值</w:t>
      </w:r>
      <w:r>
        <w:rPr>
          <w:rFonts w:hint="eastAsia" w:ascii="宋体" w:hAnsi="宋体" w:eastAsia="宋体"/>
          <w:b w:val="0"/>
          <w:bCs w:val="0"/>
          <w:strike w:val="0"/>
          <w:dstrike w:val="0"/>
          <w:color w:val="000000" w:themeColor="text1"/>
          <w:highlight w:val="none"/>
          <w:lang w:eastAsia="zh-CN"/>
          <w14:textFill>
            <w14:solidFill>
              <w14:schemeClr w14:val="tx1"/>
            </w14:solidFill>
          </w14:textFill>
        </w:rPr>
        <w:t>。</w:t>
      </w:r>
    </w:p>
    <w:p w14:paraId="41503F64">
      <w:pPr>
        <w:numPr>
          <w:ilvl w:val="0"/>
          <w:numId w:val="1"/>
        </w:numPr>
        <w:ind w:left="425" w:leftChars="0" w:hanging="425" w:firstLineChars="0"/>
        <w:rPr>
          <w:rFonts w:hint="eastAsia" w:ascii="宋体" w:hAnsi="宋体" w:eastAsia="宋体"/>
          <w:b w:val="0"/>
          <w:bCs w:val="0"/>
          <w:strike w:val="0"/>
          <w:dstrike w:val="0"/>
          <w:color w:val="000000" w:themeColor="text1"/>
          <w:highlight w:val="none"/>
          <w14:textFill>
            <w14:solidFill>
              <w14:schemeClr w14:val="tx1"/>
            </w14:solidFill>
          </w14:textFill>
        </w:rPr>
      </w:pPr>
      <w:r>
        <w:rPr>
          <w:rFonts w:hint="eastAsia" w:ascii="宋体" w:hAnsi="宋体" w:eastAsia="宋体"/>
          <w:b w:val="0"/>
          <w:bCs w:val="0"/>
          <w:strike w:val="0"/>
          <w:dstrike w:val="0"/>
          <w:color w:val="000000" w:themeColor="text1"/>
          <w:highlight w:val="none"/>
          <w14:textFill>
            <w14:solidFill>
              <w14:schemeClr w14:val="tx1"/>
            </w14:solidFill>
          </w14:textFill>
        </w:rPr>
        <w:t>具备≥40小时全息波形的存储与回顾功能</w:t>
      </w:r>
      <w:r>
        <w:rPr>
          <w:rFonts w:hint="eastAsia" w:ascii="宋体" w:hAnsi="宋体" w:eastAsia="宋体"/>
          <w:b w:val="0"/>
          <w:bCs w:val="0"/>
          <w:strike w:val="0"/>
          <w:dstrike w:val="0"/>
          <w:color w:val="000000" w:themeColor="text1"/>
          <w:highlight w:val="none"/>
          <w:lang w:eastAsia="zh-CN"/>
          <w14:textFill>
            <w14:solidFill>
              <w14:schemeClr w14:val="tx1"/>
            </w14:solidFill>
          </w14:textFill>
        </w:rPr>
        <w:t>。</w:t>
      </w:r>
    </w:p>
    <w:p w14:paraId="3FC80D3B">
      <w:pPr>
        <w:numPr>
          <w:ilvl w:val="0"/>
          <w:numId w:val="1"/>
        </w:numPr>
        <w:ind w:left="425" w:leftChars="0" w:hanging="425" w:firstLineChars="0"/>
        <w:rPr>
          <w:rFonts w:hint="eastAsia" w:ascii="宋体" w:hAnsi="宋体" w:eastAsia="宋体"/>
          <w:b w:val="0"/>
          <w:bCs w:val="0"/>
          <w:strike w:val="0"/>
          <w:dstrike w:val="0"/>
          <w:color w:val="000000" w:themeColor="text1"/>
          <w:highlight w:val="none"/>
          <w14:textFill>
            <w14:solidFill>
              <w14:schemeClr w14:val="tx1"/>
            </w14:solidFill>
          </w14:textFill>
        </w:rPr>
      </w:pPr>
      <w:r>
        <w:rPr>
          <w:rFonts w:hint="eastAsia" w:ascii="宋体" w:hAnsi="宋体" w:eastAsia="宋体"/>
          <w:b w:val="0"/>
          <w:bCs w:val="0"/>
          <w:strike w:val="0"/>
          <w:dstrike w:val="0"/>
          <w:color w:val="000000" w:themeColor="text1"/>
          <w:highlight w:val="none"/>
          <w14:textFill>
            <w14:solidFill>
              <w14:schemeClr w14:val="tx1"/>
            </w14:solidFill>
          </w14:textFill>
        </w:rPr>
        <w:t>支持≥120小时（</w:t>
      </w:r>
      <w:r>
        <w:rPr>
          <w:rFonts w:hint="eastAsia" w:ascii="宋体" w:hAnsi="宋体" w:eastAsia="宋体"/>
          <w:b w:val="0"/>
          <w:bCs w:val="0"/>
          <w:strike w:val="0"/>
          <w:dstrike w:val="0"/>
          <w:color w:val="000000" w:themeColor="text1"/>
          <w:highlight w:val="none"/>
          <w:lang w:eastAsia="zh-CN"/>
          <w14:textFill>
            <w14:solidFill>
              <w14:schemeClr w14:val="tx1"/>
            </w14:solidFill>
          </w14:textFill>
        </w:rPr>
        <w:t>分辨率≤</w:t>
      </w:r>
      <w:r>
        <w:rPr>
          <w:rFonts w:hint="eastAsia" w:ascii="宋体" w:hAnsi="宋体" w:eastAsia="宋体"/>
          <w:b w:val="0"/>
          <w:bCs w:val="0"/>
          <w:strike w:val="0"/>
          <w:dstrike w:val="0"/>
          <w:color w:val="000000" w:themeColor="text1"/>
          <w:highlight w:val="none"/>
          <w:lang w:val="en-US" w:eastAsia="zh-CN"/>
          <w14:textFill>
            <w14:solidFill>
              <w14:schemeClr w14:val="tx1"/>
            </w14:solidFill>
          </w14:textFill>
        </w:rPr>
        <w:t>1分钟</w:t>
      </w:r>
      <w:r>
        <w:rPr>
          <w:rFonts w:hint="eastAsia" w:ascii="宋体" w:hAnsi="宋体" w:eastAsia="宋体"/>
          <w:b w:val="0"/>
          <w:bCs w:val="0"/>
          <w:strike w:val="0"/>
          <w:dstrike w:val="0"/>
          <w:color w:val="000000" w:themeColor="text1"/>
          <w:highlight w:val="none"/>
          <w14:textFill>
            <w14:solidFill>
              <w14:schemeClr w14:val="tx1"/>
            </w14:solidFill>
          </w14:textFill>
        </w:rPr>
        <w:t>）ST模板存储与回顾</w:t>
      </w:r>
      <w:r>
        <w:rPr>
          <w:rFonts w:hint="eastAsia" w:ascii="宋体" w:hAnsi="宋体" w:eastAsia="宋体"/>
          <w:b w:val="0"/>
          <w:bCs w:val="0"/>
          <w:strike w:val="0"/>
          <w:dstrike w:val="0"/>
          <w:color w:val="000000" w:themeColor="text1"/>
          <w:highlight w:val="none"/>
          <w:lang w:eastAsia="zh-CN"/>
          <w14:textFill>
            <w14:solidFill>
              <w14:schemeClr w14:val="tx1"/>
            </w14:solidFill>
          </w14:textFill>
        </w:rPr>
        <w:t>。</w:t>
      </w:r>
    </w:p>
    <w:p w14:paraId="7BAF9AF2">
      <w:pPr>
        <w:numPr>
          <w:ilvl w:val="0"/>
          <w:numId w:val="1"/>
        </w:numPr>
        <w:ind w:left="425" w:leftChars="0" w:hanging="425" w:firstLineChars="0"/>
        <w:rPr>
          <w:rFonts w:hint="eastAsia" w:ascii="宋体" w:hAnsi="宋体" w:eastAsia="宋体"/>
          <w:b w:val="0"/>
          <w:bCs w:val="0"/>
          <w:strike w:val="0"/>
          <w:dstrike w:val="0"/>
          <w:color w:val="000000" w:themeColor="text1"/>
          <w:highlight w:val="none"/>
          <w14:textFill>
            <w14:solidFill>
              <w14:schemeClr w14:val="tx1"/>
            </w14:solidFill>
          </w14:textFill>
        </w:rPr>
      </w:pPr>
      <w:r>
        <w:rPr>
          <w:rFonts w:hint="eastAsia" w:ascii="宋体" w:hAnsi="宋体" w:eastAsia="宋体"/>
          <w:b w:val="0"/>
          <w:bCs w:val="0"/>
          <w:strike w:val="0"/>
          <w:dstrike w:val="0"/>
          <w:color w:val="000000" w:themeColor="text1"/>
          <w:highlight w:val="none"/>
          <w14:textFill>
            <w14:solidFill>
              <w14:schemeClr w14:val="tx1"/>
            </w14:solidFill>
          </w14:textFill>
        </w:rPr>
        <w:t>支持与除颤监护仪，遥测混合联通至中心监护系统，实现护士站的集中管理</w:t>
      </w:r>
      <w:r>
        <w:rPr>
          <w:rFonts w:hint="eastAsia" w:ascii="宋体" w:hAnsi="宋体" w:eastAsia="宋体"/>
          <w:b w:val="0"/>
          <w:bCs w:val="0"/>
          <w:strike w:val="0"/>
          <w:dstrike w:val="0"/>
          <w:color w:val="000000" w:themeColor="text1"/>
          <w:highlight w:val="none"/>
          <w:lang w:eastAsia="zh-CN"/>
          <w14:textFill>
            <w14:solidFill>
              <w14:schemeClr w14:val="tx1"/>
            </w14:solidFill>
          </w14:textFill>
        </w:rPr>
        <w:t>。</w:t>
      </w:r>
    </w:p>
    <w:p w14:paraId="1AE3275D">
      <w:pPr>
        <w:numPr>
          <w:ilvl w:val="0"/>
          <w:numId w:val="1"/>
        </w:numPr>
        <w:ind w:left="425" w:leftChars="0" w:hanging="425" w:firstLineChars="0"/>
        <w:rPr>
          <w:rFonts w:hint="eastAsia" w:ascii="宋体" w:hAnsi="宋体" w:eastAsia="宋体"/>
          <w:b w:val="0"/>
          <w:bCs w:val="0"/>
          <w:strike w:val="0"/>
          <w:dstrike w:val="0"/>
          <w:color w:val="000000" w:themeColor="text1"/>
          <w:highlight w:val="none"/>
          <w14:textFill>
            <w14:solidFill>
              <w14:schemeClr w14:val="tx1"/>
            </w14:solidFill>
          </w14:textFill>
        </w:rPr>
      </w:pPr>
      <w:r>
        <w:rPr>
          <w:rFonts w:hint="eastAsia" w:ascii="宋体" w:hAnsi="宋体" w:eastAsia="宋体"/>
          <w:b w:val="0"/>
          <w:bCs w:val="0"/>
          <w:strike w:val="0"/>
          <w:dstrike w:val="0"/>
          <w:color w:val="000000" w:themeColor="text1"/>
          <w:highlight w:val="none"/>
          <w14:textFill>
            <w14:solidFill>
              <w14:schemeClr w14:val="tx1"/>
            </w14:solidFill>
          </w14:textFill>
        </w:rPr>
        <w:t>监护仪的报警可升级通过手表实时分发给医护人员，保障患者安全</w:t>
      </w:r>
      <w:r>
        <w:rPr>
          <w:rFonts w:hint="eastAsia" w:ascii="宋体" w:hAnsi="宋体" w:eastAsia="宋体"/>
          <w:b w:val="0"/>
          <w:bCs w:val="0"/>
          <w:strike w:val="0"/>
          <w:dstrike w:val="0"/>
          <w:color w:val="000000" w:themeColor="text1"/>
          <w:highlight w:val="none"/>
          <w:lang w:eastAsia="zh-CN"/>
          <w14:textFill>
            <w14:solidFill>
              <w14:schemeClr w14:val="tx1"/>
            </w14:solidFill>
          </w14:textFill>
        </w:rPr>
        <w:t>。</w:t>
      </w:r>
    </w:p>
    <w:p w14:paraId="5899BF08">
      <w:pPr>
        <w:numPr>
          <w:ilvl w:val="0"/>
          <w:numId w:val="1"/>
        </w:numPr>
        <w:ind w:left="425" w:leftChars="0" w:hanging="425" w:firstLineChars="0"/>
        <w:rPr>
          <w:rFonts w:hint="eastAsia" w:ascii="宋体" w:hAnsi="宋体" w:eastAsia="宋体"/>
          <w:b w:val="0"/>
          <w:bCs w:val="0"/>
          <w:strike w:val="0"/>
          <w:dstrike w:val="0"/>
          <w:color w:val="000000" w:themeColor="text1"/>
          <w:highlight w:val="none"/>
          <w14:textFill>
            <w14:solidFill>
              <w14:schemeClr w14:val="tx1"/>
            </w14:solidFill>
          </w14:textFill>
        </w:rPr>
      </w:pPr>
      <w:r>
        <w:rPr>
          <w:rFonts w:hint="eastAsia" w:ascii="宋体" w:hAnsi="宋体" w:eastAsia="宋体"/>
          <w:b w:val="0"/>
          <w:bCs w:val="0"/>
          <w:strike w:val="0"/>
          <w:dstrike w:val="0"/>
          <w:color w:val="000000" w:themeColor="text1"/>
          <w:highlight w:val="none"/>
          <w14:textFill>
            <w14:solidFill>
              <w14:schemeClr w14:val="tx1"/>
            </w14:solidFill>
          </w14:textFill>
        </w:rPr>
        <w:t>监护仪可与</w:t>
      </w:r>
      <w:r>
        <w:rPr>
          <w:rFonts w:hint="eastAsia" w:ascii="宋体" w:hAnsi="宋体" w:eastAsia="宋体"/>
          <w:b w:val="0"/>
          <w:bCs w:val="0"/>
          <w:strike w:val="0"/>
          <w:dstrike w:val="0"/>
          <w:color w:val="000000" w:themeColor="text1"/>
          <w:highlight w:val="none"/>
          <w:lang w:val="en-US" w:eastAsia="zh-CN"/>
          <w14:textFill>
            <w14:solidFill>
              <w14:schemeClr w14:val="tx1"/>
            </w14:solidFill>
          </w14:textFill>
        </w:rPr>
        <w:t>具备该功能的</w:t>
      </w:r>
      <w:r>
        <w:rPr>
          <w:rFonts w:hint="eastAsia" w:ascii="宋体" w:hAnsi="宋体" w:eastAsia="宋体"/>
          <w:b w:val="0"/>
          <w:bCs w:val="0"/>
          <w:strike w:val="0"/>
          <w:dstrike w:val="0"/>
          <w:color w:val="000000" w:themeColor="text1"/>
          <w:highlight w:val="none"/>
          <w14:textFill>
            <w14:solidFill>
              <w14:schemeClr w14:val="tx1"/>
            </w14:solidFill>
          </w14:textFill>
        </w:rPr>
        <w:t>呼吸机以及输注泵通过无线方式融合显示在中央站界面</w:t>
      </w:r>
      <w:r>
        <w:rPr>
          <w:rFonts w:hint="eastAsia" w:ascii="宋体" w:hAnsi="宋体" w:eastAsia="宋体"/>
          <w:b w:val="0"/>
          <w:bCs w:val="0"/>
          <w:strike w:val="0"/>
          <w:dstrike w:val="0"/>
          <w:color w:val="000000" w:themeColor="text1"/>
          <w:highlight w:val="none"/>
          <w:lang w:eastAsia="zh-CN"/>
          <w14:textFill>
            <w14:solidFill>
              <w14:schemeClr w14:val="tx1"/>
            </w14:solidFill>
          </w14:textFill>
        </w:rPr>
        <w:t>。</w:t>
      </w:r>
    </w:p>
    <w:p w14:paraId="0E8C162A">
      <w:pPr>
        <w:rPr>
          <w:rFonts w:hint="eastAsia" w:ascii="宋体" w:hAnsi="宋体" w:eastAsia="宋体"/>
          <w:b/>
          <w:strike/>
          <w:dstrike w:val="0"/>
          <w:color w:val="000000" w:themeColor="text1"/>
          <w:highlight w:val="cyan"/>
          <w14:textFill>
            <w14:solidFill>
              <w14:schemeClr w14:val="tx1"/>
            </w14:solidFill>
          </w14:textFill>
        </w:rPr>
      </w:pPr>
    </w:p>
    <w:p w14:paraId="730183DC">
      <w:pPr>
        <w:rPr>
          <w:rFonts w:hint="eastAsia" w:ascii="宋体" w:hAnsi="宋体" w:eastAsia="宋体"/>
          <w:b/>
          <w:strike w:val="0"/>
          <w:dstrike w:val="0"/>
          <w:color w:val="000000" w:themeColor="text1"/>
          <w:sz w:val="24"/>
          <w:szCs w:val="28"/>
          <w:highlight w:val="none"/>
          <w14:textFill>
            <w14:solidFill>
              <w14:schemeClr w14:val="tx1"/>
            </w14:solidFill>
          </w14:textFill>
        </w:rPr>
      </w:pPr>
      <w:r>
        <w:rPr>
          <w:rFonts w:hint="eastAsia" w:ascii="宋体" w:hAnsi="宋体" w:eastAsia="宋体"/>
          <w:b/>
          <w:strike w:val="0"/>
          <w:dstrike w:val="0"/>
          <w:color w:val="000000" w:themeColor="text1"/>
          <w:sz w:val="24"/>
          <w:szCs w:val="28"/>
          <w:highlight w:val="none"/>
          <w14:textFill>
            <w14:solidFill>
              <w14:schemeClr w14:val="tx1"/>
            </w14:solidFill>
          </w14:textFill>
        </w:rPr>
        <w:t>监护仪技术参数（2</w:t>
      </w:r>
      <w:r>
        <w:rPr>
          <w:rFonts w:ascii="宋体" w:hAnsi="宋体" w:eastAsia="宋体"/>
          <w:b/>
          <w:strike w:val="0"/>
          <w:dstrike w:val="0"/>
          <w:color w:val="000000" w:themeColor="text1"/>
          <w:sz w:val="24"/>
          <w:szCs w:val="28"/>
          <w:highlight w:val="none"/>
          <w14:textFill>
            <w14:solidFill>
              <w14:schemeClr w14:val="tx1"/>
            </w14:solidFill>
          </w14:textFill>
        </w:rPr>
        <w:t>5</w:t>
      </w:r>
      <w:r>
        <w:rPr>
          <w:rFonts w:hint="eastAsia" w:ascii="宋体" w:hAnsi="宋体" w:eastAsia="宋体"/>
          <w:b/>
          <w:strike w:val="0"/>
          <w:dstrike w:val="0"/>
          <w:color w:val="000000" w:themeColor="text1"/>
          <w:sz w:val="24"/>
          <w:szCs w:val="28"/>
          <w:highlight w:val="none"/>
          <w14:textFill>
            <w14:solidFill>
              <w14:schemeClr w14:val="tx1"/>
            </w14:solidFill>
          </w14:textFill>
        </w:rPr>
        <w:t>台）</w:t>
      </w:r>
    </w:p>
    <w:p w14:paraId="2A6C871E">
      <w:pPr>
        <w:pStyle w:val="12"/>
        <w:numPr>
          <w:ilvl w:val="0"/>
          <w:numId w:val="2"/>
        </w:numPr>
        <w:ind w:left="630" w:leftChars="0" w:firstLineChars="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★监护仪</w:t>
      </w:r>
      <w:r>
        <w:rPr>
          <w:rFonts w:hint="eastAsia" w:ascii="宋体" w:hAnsi="宋体"/>
          <w:color w:val="000000" w:themeColor="text1"/>
          <w:lang w:val="en-US" w:eastAsia="zh-CN"/>
          <w14:textFill>
            <w14:solidFill>
              <w14:schemeClr w14:val="tx1"/>
            </w14:solidFill>
          </w14:textFill>
        </w:rPr>
        <w:t>需具有</w:t>
      </w:r>
      <w:r>
        <w:rPr>
          <w:rFonts w:hint="eastAsia" w:ascii="宋体" w:hAnsi="宋体" w:eastAsia="宋体"/>
          <w:color w:val="000000" w:themeColor="text1"/>
          <w14:textFill>
            <w14:solidFill>
              <w14:schemeClr w14:val="tx1"/>
            </w14:solidFill>
          </w14:textFill>
        </w:rPr>
        <w:t>国家药品监督管理局（NMPA）第三类医疗器械注册证书</w:t>
      </w:r>
      <w:r>
        <w:rPr>
          <w:rFonts w:hint="eastAsia" w:ascii="宋体" w:hAnsi="宋体"/>
          <w:color w:val="000000" w:themeColor="text1"/>
          <w:lang w:eastAsia="zh-CN"/>
          <w14:textFill>
            <w14:solidFill>
              <w14:schemeClr w14:val="tx1"/>
            </w14:solidFill>
          </w14:textFill>
        </w:rPr>
        <w:t>。</w:t>
      </w:r>
    </w:p>
    <w:p w14:paraId="43F6C5C1">
      <w:pPr>
        <w:pStyle w:val="12"/>
        <w:numPr>
          <w:ilvl w:val="0"/>
          <w:numId w:val="2"/>
        </w:numPr>
        <w:ind w:left="630" w:leftChars="0" w:firstLineChars="0"/>
        <w:rPr>
          <w:rFonts w:hint="eastAsia" w:ascii="宋体" w:hAnsi="宋体" w:eastAsia="宋体"/>
          <w:b/>
          <w:strike w:val="0"/>
          <w:dstrike w:val="0"/>
          <w:color w:val="000000" w:themeColor="text1"/>
          <w:sz w:val="24"/>
          <w:szCs w:val="28"/>
          <w:highlight w:val="none"/>
          <w14:textFill>
            <w14:solidFill>
              <w14:schemeClr w14:val="tx1"/>
            </w14:solidFill>
          </w14:textFill>
        </w:rPr>
      </w:pPr>
      <w:r>
        <w:rPr>
          <w:rFonts w:hint="eastAsia" w:ascii="宋体" w:hAnsi="宋体" w:eastAsia="宋体"/>
          <w:color w:val="000000" w:themeColor="text1"/>
          <w14:textFill>
            <w14:solidFill>
              <w14:schemeClr w14:val="tx1"/>
            </w14:solidFill>
          </w14:textFill>
        </w:rPr>
        <w:t>使用年限≥</w:t>
      </w:r>
      <w:r>
        <w:rPr>
          <w:rFonts w:ascii="宋体" w:hAnsi="宋体" w:eastAsia="宋体"/>
          <w:color w:val="000000" w:themeColor="text1"/>
          <w14:textFill>
            <w14:solidFill>
              <w14:schemeClr w14:val="tx1"/>
            </w14:solidFill>
          </w14:textFill>
        </w:rPr>
        <w:t>10年</w:t>
      </w:r>
    </w:p>
    <w:p w14:paraId="1E9B93DC">
      <w:pPr>
        <w:pStyle w:val="12"/>
        <w:numPr>
          <w:ilvl w:val="0"/>
          <w:numId w:val="2"/>
        </w:numPr>
        <w:ind w:left="630" w:leftChars="0" w:firstLineChars="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14:textFill>
            <w14:solidFill>
              <w14:schemeClr w14:val="tx1"/>
            </w14:solidFill>
          </w14:textFill>
        </w:rPr>
        <w:t>模块化插件式床边监护仪，主机、显示屏和插件槽一体化设计，主机模块插槽数≥</w:t>
      </w:r>
      <w:r>
        <w:rPr>
          <w:rFonts w:ascii="宋体" w:hAnsi="宋体" w:eastAsia="宋体"/>
          <w:color w:val="000000" w:themeColor="text1"/>
          <w14:textFill>
            <w14:solidFill>
              <w14:schemeClr w14:val="tx1"/>
            </w14:solidFill>
          </w14:textFill>
        </w:rPr>
        <w:t>6个</w:t>
      </w:r>
      <w:r>
        <w:rPr>
          <w:rFonts w:hint="eastAsia" w:ascii="宋体" w:hAnsi="宋体" w:eastAsia="宋体"/>
          <w:color w:val="000000" w:themeColor="text1"/>
          <w14:textFill>
            <w14:solidFill>
              <w14:schemeClr w14:val="tx1"/>
            </w14:solidFill>
          </w14:textFill>
        </w:rPr>
        <w:t>（非电池插槽）</w:t>
      </w:r>
      <w:r>
        <w:rPr>
          <w:rFonts w:ascii="宋体" w:hAnsi="宋体" w:eastAsia="宋体"/>
          <w:color w:val="000000" w:themeColor="text1"/>
          <w14:textFill>
            <w14:solidFill>
              <w14:schemeClr w14:val="tx1"/>
            </w14:solidFill>
          </w14:textFill>
        </w:rPr>
        <w:t>，且模块支持插入任意插槽</w:t>
      </w:r>
      <w:r>
        <w:rPr>
          <w:rFonts w:hint="eastAsia" w:ascii="宋体" w:hAnsi="宋体"/>
          <w:b/>
          <w:bCs/>
          <w:color w:val="000000" w:themeColor="text1"/>
          <w:highlight w:val="none"/>
          <w:lang w:eastAsia="zh-CN"/>
          <w14:textFill>
            <w14:solidFill>
              <w14:schemeClr w14:val="tx1"/>
            </w14:solidFill>
          </w14:textFill>
        </w:rPr>
        <w:t>（</w:t>
      </w:r>
      <w:r>
        <w:rPr>
          <w:rFonts w:ascii="宋体" w:hAnsi="宋体" w:eastAsia="宋体"/>
          <w:b/>
          <w:bCs/>
          <w:color w:val="000000" w:themeColor="text1"/>
          <w:highlight w:val="none"/>
          <w14:textFill>
            <w14:solidFill>
              <w14:schemeClr w14:val="tx1"/>
            </w14:solidFill>
          </w14:textFill>
        </w:rPr>
        <w:t>提供主机照片或说明书证明材料</w:t>
      </w:r>
      <w:r>
        <w:rPr>
          <w:rFonts w:hint="eastAsia" w:ascii="宋体" w:hAnsi="宋体"/>
          <w:b/>
          <w:bCs/>
          <w:color w:val="000000" w:themeColor="text1"/>
          <w:highlight w:val="none"/>
          <w:lang w:eastAsia="zh-CN"/>
          <w14:textFill>
            <w14:solidFill>
              <w14:schemeClr w14:val="tx1"/>
            </w14:solidFill>
          </w14:textFill>
        </w:rPr>
        <w:t>）</w:t>
      </w:r>
      <w:r>
        <w:rPr>
          <w:rFonts w:hint="eastAsia" w:ascii="宋体" w:hAnsi="宋体"/>
          <w:color w:val="000000" w:themeColor="text1"/>
          <w:highlight w:val="none"/>
          <w:lang w:eastAsia="zh-CN"/>
          <w14:textFill>
            <w14:solidFill>
              <w14:schemeClr w14:val="tx1"/>
            </w14:solidFill>
          </w14:textFill>
        </w:rPr>
        <w:t>。</w:t>
      </w:r>
    </w:p>
    <w:p w14:paraId="51842D85">
      <w:pPr>
        <w:pStyle w:val="12"/>
        <w:numPr>
          <w:ilvl w:val="0"/>
          <w:numId w:val="2"/>
        </w:numPr>
        <w:ind w:left="630" w:leftChars="0" w:firstLineChars="0"/>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监护仪主机（非辅助插件箱）每个槽位均具备插件模块红外通讯接口以及金属硬件通讯接口（非供电接口）</w:t>
      </w:r>
      <w:r>
        <w:rPr>
          <w:rFonts w:hint="eastAsia" w:ascii="宋体" w:hAnsi="宋体"/>
          <w:b/>
          <w:bCs/>
          <w:color w:val="000000" w:themeColor="text1"/>
          <w:highlight w:val="none"/>
          <w:lang w:eastAsia="zh-CN"/>
          <w14:textFill>
            <w14:solidFill>
              <w14:schemeClr w14:val="tx1"/>
            </w14:solidFill>
          </w14:textFill>
        </w:rPr>
        <w:t>（</w:t>
      </w:r>
      <w:r>
        <w:rPr>
          <w:rFonts w:ascii="宋体" w:hAnsi="宋体" w:eastAsia="宋体"/>
          <w:b/>
          <w:bCs/>
          <w:color w:val="000000" w:themeColor="text1"/>
          <w:highlight w:val="none"/>
          <w14:textFill>
            <w14:solidFill>
              <w14:schemeClr w14:val="tx1"/>
            </w14:solidFill>
          </w14:textFill>
        </w:rPr>
        <w:t>提供监护仪主机插槽图片证明</w:t>
      </w:r>
      <w:r>
        <w:rPr>
          <w:rFonts w:hint="eastAsia" w:ascii="宋体" w:hAnsi="宋体"/>
          <w:b/>
          <w:bCs/>
          <w:color w:val="000000" w:themeColor="text1"/>
          <w:highlight w:val="none"/>
          <w:lang w:eastAsia="zh-CN"/>
          <w14:textFill>
            <w14:solidFill>
              <w14:schemeClr w14:val="tx1"/>
            </w14:solidFill>
          </w14:textFill>
        </w:rPr>
        <w:t>）</w:t>
      </w:r>
      <w:r>
        <w:rPr>
          <w:rFonts w:hint="eastAsia" w:ascii="宋体" w:hAnsi="宋体"/>
          <w:color w:val="000000" w:themeColor="text1"/>
          <w:highlight w:val="none"/>
          <w:lang w:eastAsia="zh-CN"/>
          <w14:textFill>
            <w14:solidFill>
              <w14:schemeClr w14:val="tx1"/>
            </w14:solidFill>
          </w14:textFill>
        </w:rPr>
        <w:t>。</w:t>
      </w:r>
    </w:p>
    <w:p w14:paraId="56D335E9">
      <w:pPr>
        <w:pStyle w:val="12"/>
        <w:numPr>
          <w:ilvl w:val="0"/>
          <w:numId w:val="2"/>
        </w:numPr>
        <w:ind w:left="630" w:leftChars="0" w:firstLineChars="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14:textFill>
            <w14:solidFill>
              <w14:schemeClr w14:val="tx1"/>
            </w14:solidFill>
          </w14:textFill>
        </w:rPr>
        <w:t>≥</w:t>
      </w:r>
      <w:r>
        <w:rPr>
          <w:rFonts w:ascii="宋体" w:hAnsi="宋体" w:eastAsia="宋体"/>
          <w:color w:val="000000" w:themeColor="text1"/>
          <w14:textFill>
            <w14:solidFill>
              <w14:schemeClr w14:val="tx1"/>
            </w14:solidFill>
          </w14:textFill>
        </w:rPr>
        <w:t>18英寸彩色电容触摸屏，高分辨率≥1920×1080像素，≥12通道显示，显示屏亮度自动调节，屏幕支持手势滑动操作，支持穿戴医用防护手套</w:t>
      </w:r>
      <w:r>
        <w:rPr>
          <w:rFonts w:hint="eastAsia" w:ascii="宋体" w:hAnsi="宋体"/>
          <w:color w:val="000000" w:themeColor="text1"/>
          <w:lang w:val="en-US" w:eastAsia="zh-CN"/>
          <w14:textFill>
            <w14:solidFill>
              <w14:schemeClr w14:val="tx1"/>
            </w14:solidFill>
          </w14:textFill>
        </w:rPr>
        <w:t>滑动</w:t>
      </w:r>
      <w:r>
        <w:rPr>
          <w:rFonts w:ascii="宋体" w:hAnsi="宋体" w:eastAsia="宋体"/>
          <w:color w:val="000000" w:themeColor="text1"/>
          <w14:textFill>
            <w14:solidFill>
              <w14:schemeClr w14:val="tx1"/>
            </w14:solidFill>
          </w14:textFill>
        </w:rPr>
        <w:t>操作</w:t>
      </w:r>
      <w:r>
        <w:rPr>
          <w:rFonts w:hint="eastAsia" w:ascii="宋体" w:hAnsi="宋体"/>
          <w:color w:val="000000" w:themeColor="text1"/>
          <w:lang w:eastAsia="zh-CN"/>
          <w14:textFill>
            <w14:solidFill>
              <w14:schemeClr w14:val="tx1"/>
            </w14:solidFill>
          </w14:textFill>
        </w:rPr>
        <w:t>。</w:t>
      </w:r>
    </w:p>
    <w:p w14:paraId="7FC80960">
      <w:pPr>
        <w:pStyle w:val="12"/>
        <w:numPr>
          <w:ilvl w:val="0"/>
          <w:numId w:val="2"/>
        </w:numPr>
        <w:ind w:left="630" w:leftChars="0" w:firstLineChars="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内置高能锂电池，供电时间≥</w:t>
      </w:r>
      <w:r>
        <w:rPr>
          <w:rFonts w:ascii="宋体" w:hAnsi="宋体" w:eastAsia="宋体"/>
          <w:color w:val="000000" w:themeColor="text1"/>
          <w14:textFill>
            <w14:solidFill>
              <w14:schemeClr w14:val="tx1"/>
            </w14:solidFill>
          </w14:textFill>
        </w:rPr>
        <w:t>2小时</w:t>
      </w:r>
    </w:p>
    <w:p w14:paraId="381CB0FF">
      <w:pPr>
        <w:pStyle w:val="12"/>
        <w:numPr>
          <w:ilvl w:val="0"/>
          <w:numId w:val="2"/>
        </w:numPr>
        <w:ind w:left="630" w:leftChars="0" w:firstLineChars="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配置≥</w:t>
      </w:r>
      <w:r>
        <w:rPr>
          <w:rFonts w:ascii="宋体" w:hAnsi="宋体" w:eastAsia="宋体"/>
          <w:color w:val="000000" w:themeColor="text1"/>
          <w14:textFill>
            <w14:solidFill>
              <w14:schemeClr w14:val="tx1"/>
            </w14:solidFill>
          </w14:textFill>
        </w:rPr>
        <w:t>4个USB</w:t>
      </w:r>
      <w:r>
        <w:rPr>
          <w:rFonts w:hint="eastAsia" w:ascii="宋体" w:hAnsi="宋体"/>
          <w:color w:val="000000" w:themeColor="text1"/>
          <w:lang w:val="en-US" w:eastAsia="zh-CN"/>
          <w14:textFill>
            <w14:solidFill>
              <w14:schemeClr w14:val="tx1"/>
            </w14:solidFill>
          </w14:textFill>
        </w:rPr>
        <w:t>内置</w:t>
      </w:r>
      <w:r>
        <w:rPr>
          <w:rFonts w:ascii="宋体" w:hAnsi="宋体" w:eastAsia="宋体"/>
          <w:color w:val="000000" w:themeColor="text1"/>
          <w14:textFill>
            <w14:solidFill>
              <w14:schemeClr w14:val="tx1"/>
            </w14:solidFill>
          </w14:textFill>
        </w:rPr>
        <w:t>接口，支持连接鼠标、键盘、条码扫描枪和遥控器等USB设备</w:t>
      </w:r>
    </w:p>
    <w:p w14:paraId="79D7E0FD">
      <w:pPr>
        <w:rPr>
          <w:rFonts w:ascii="宋体" w:hAnsi="宋体" w:eastAsia="宋体"/>
          <w:color w:val="000000" w:themeColor="text1"/>
          <w14:textFill>
            <w14:solidFill>
              <w14:schemeClr w14:val="tx1"/>
            </w14:solidFill>
          </w14:textFill>
        </w:rPr>
      </w:pPr>
    </w:p>
    <w:p w14:paraId="7FE963C4">
      <w:pPr>
        <w:pStyle w:val="12"/>
        <w:numPr>
          <w:ilvl w:val="0"/>
          <w:numId w:val="2"/>
        </w:numPr>
        <w:ind w:left="630" w:leftChars="0" w:firstLineChars="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基本功能模块支持心电，呼吸，心率，无创血压，血氧饱和度，脉搏，双通道体温和双通道有创血压的同时监测</w:t>
      </w:r>
      <w:r>
        <w:rPr>
          <w:rFonts w:hint="eastAsia" w:ascii="宋体" w:hAnsi="宋体"/>
          <w:color w:val="000000" w:themeColor="text1"/>
          <w:lang w:eastAsia="zh-CN"/>
          <w14:textFill>
            <w14:solidFill>
              <w14:schemeClr w14:val="tx1"/>
            </w14:solidFill>
          </w14:textFill>
        </w:rPr>
        <w:t>。</w:t>
      </w:r>
    </w:p>
    <w:p w14:paraId="37A55642">
      <w:pPr>
        <w:pStyle w:val="12"/>
        <w:numPr>
          <w:ilvl w:val="0"/>
          <w:numId w:val="2"/>
        </w:numPr>
        <w:ind w:left="630" w:leftChars="0" w:firstLineChars="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★基本功能模块支持从监护仪拔出后作为一个独立的监护仪支持病人的无缝转移，插入监护仪模块插槽作为主机模块，</w:t>
      </w:r>
      <w:r>
        <w:rPr>
          <w:rFonts w:hint="eastAsia" w:ascii="宋体" w:hAnsi="宋体"/>
          <w:color w:val="000000" w:themeColor="text1"/>
          <w:lang w:val="en-US" w:eastAsia="zh-CN"/>
          <w14:textFill>
            <w14:solidFill>
              <w14:schemeClr w14:val="tx1"/>
            </w14:solidFill>
          </w14:textFill>
        </w:rPr>
        <w:t>配置</w:t>
      </w:r>
      <w:r>
        <w:rPr>
          <w:rFonts w:hint="eastAsia" w:ascii="宋体" w:hAnsi="宋体" w:eastAsia="宋体"/>
          <w:color w:val="000000" w:themeColor="text1"/>
          <w14:textFill>
            <w14:solidFill>
              <w14:schemeClr w14:val="tx1"/>
            </w14:solidFill>
          </w14:textFill>
        </w:rPr>
        <w:t>独立操作显示屏，屏幕尺寸≥</w:t>
      </w:r>
      <w:r>
        <w:rPr>
          <w:rFonts w:ascii="宋体" w:hAnsi="宋体" w:eastAsia="宋体"/>
          <w:color w:val="000000" w:themeColor="text1"/>
          <w14:textFill>
            <w14:solidFill>
              <w14:schemeClr w14:val="tx1"/>
            </w14:solidFill>
          </w14:textFill>
        </w:rPr>
        <w:t>5英寸，内置锂电池供电≥4小时，无风扇设计</w:t>
      </w:r>
      <w:r>
        <w:rPr>
          <w:rFonts w:hint="eastAsia" w:ascii="宋体" w:hAnsi="宋体"/>
          <w:color w:val="000000" w:themeColor="text1"/>
          <w:lang w:eastAsia="zh-CN"/>
          <w14:textFill>
            <w14:solidFill>
              <w14:schemeClr w14:val="tx1"/>
            </w14:solidFill>
          </w14:textFill>
        </w:rPr>
        <w:t>。</w:t>
      </w:r>
    </w:p>
    <w:p w14:paraId="3C38E4B4">
      <w:pPr>
        <w:pStyle w:val="12"/>
        <w:numPr>
          <w:ilvl w:val="0"/>
          <w:numId w:val="2"/>
        </w:numPr>
        <w:ind w:left="630" w:leftChars="0" w:firstLineChars="0"/>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ECG支持3/5导心电监测</w:t>
      </w:r>
      <w:r>
        <w:rPr>
          <w:rFonts w:hint="eastAsia" w:ascii="宋体" w:hAnsi="宋体"/>
          <w:color w:val="000000" w:themeColor="text1"/>
          <w:lang w:eastAsia="zh-CN"/>
          <w14:textFill>
            <w14:solidFill>
              <w14:schemeClr w14:val="tx1"/>
            </w14:solidFill>
          </w14:textFill>
        </w:rPr>
        <w:t>。</w:t>
      </w:r>
    </w:p>
    <w:p w14:paraId="6DAAA847">
      <w:pPr>
        <w:pStyle w:val="12"/>
        <w:numPr>
          <w:ilvl w:val="0"/>
          <w:numId w:val="2"/>
        </w:numPr>
        <w:ind w:left="630" w:leftChars="0" w:firstLineChars="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w:t>
      </w:r>
      <w:r>
        <w:rPr>
          <w:rFonts w:hint="eastAsia" w:ascii="宋体" w:hAnsi="宋体" w:eastAsia="宋体"/>
          <w:color w:val="000000" w:themeColor="text1"/>
          <w:highlight w:val="none"/>
          <w:lang w:val="en-US" w:eastAsia="zh-CN"/>
          <w14:textFill>
            <w14:solidFill>
              <w14:schemeClr w14:val="tx1"/>
            </w14:solidFill>
          </w14:textFill>
        </w:rPr>
        <w:t>具备</w:t>
      </w:r>
      <w:r>
        <w:rPr>
          <w:rFonts w:hint="eastAsia" w:ascii="宋体" w:hAnsi="宋体" w:eastAsia="宋体"/>
          <w:color w:val="000000" w:themeColor="text1"/>
          <w:highlight w:val="none"/>
          <w14:textFill>
            <w14:solidFill>
              <w14:schemeClr w14:val="tx1"/>
            </w14:solidFill>
          </w14:textFill>
        </w:rPr>
        <w:t>室上性心动过速和</w:t>
      </w:r>
      <w:r>
        <w:rPr>
          <w:rFonts w:ascii="宋体" w:hAnsi="宋体" w:eastAsia="宋体"/>
          <w:color w:val="000000" w:themeColor="text1"/>
          <w:highlight w:val="none"/>
          <w14:textFill>
            <w14:solidFill>
              <w14:schemeClr w14:val="tx1"/>
            </w14:solidFill>
          </w14:textFill>
        </w:rPr>
        <w:t>SVCs/min等室上性心律失常分析</w:t>
      </w:r>
      <w:r>
        <w:rPr>
          <w:rFonts w:hint="eastAsia" w:ascii="宋体" w:hAnsi="宋体"/>
          <w:color w:val="000000" w:themeColor="text1"/>
          <w:highlight w:val="none"/>
          <w:lang w:val="en-US" w:eastAsia="zh-CN"/>
          <w14:textFill>
            <w14:solidFill>
              <w14:schemeClr w14:val="tx1"/>
            </w14:solidFill>
          </w14:textFill>
        </w:rPr>
        <w:t>功能</w:t>
      </w:r>
      <w:r>
        <w:rPr>
          <w:rFonts w:hint="eastAsia" w:ascii="宋体" w:hAnsi="宋体"/>
          <w:color w:val="000000" w:themeColor="text1"/>
          <w:highlight w:val="none"/>
          <w:lang w:eastAsia="zh-CN"/>
          <w14:textFill>
            <w14:solidFill>
              <w14:schemeClr w14:val="tx1"/>
            </w14:solidFill>
          </w14:textFill>
        </w:rPr>
        <w:t>（</w:t>
      </w:r>
      <w:r>
        <w:rPr>
          <w:rFonts w:ascii="宋体" w:hAnsi="宋体" w:eastAsia="宋体"/>
          <w:color w:val="000000" w:themeColor="text1"/>
          <w:highlight w:val="none"/>
          <w14:textFill>
            <w14:solidFill>
              <w14:schemeClr w14:val="tx1"/>
            </w14:solidFill>
          </w14:textFill>
        </w:rPr>
        <w:t>提供产品说明书证明材料</w:t>
      </w:r>
      <w:r>
        <w:rPr>
          <w:rFonts w:hint="eastAsia" w:ascii="宋体" w:hAnsi="宋体"/>
          <w:color w:val="000000" w:themeColor="text1"/>
          <w:highlight w:val="none"/>
          <w:lang w:eastAsia="zh-CN"/>
          <w14:textFill>
            <w14:solidFill>
              <w14:schemeClr w14:val="tx1"/>
            </w14:solidFill>
          </w14:textFill>
        </w:rPr>
        <w:t>）。</w:t>
      </w:r>
    </w:p>
    <w:p w14:paraId="4706924B">
      <w:pPr>
        <w:pStyle w:val="12"/>
        <w:numPr>
          <w:ilvl w:val="0"/>
          <w:numId w:val="2"/>
        </w:numPr>
        <w:ind w:left="630" w:leftChars="0" w:firstLineChars="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w:t>
      </w:r>
      <w:r>
        <w:rPr>
          <w:rFonts w:ascii="宋体" w:hAnsi="宋体" w:eastAsia="宋体"/>
          <w:color w:val="000000" w:themeColor="text1"/>
          <w14:textFill>
            <w14:solidFill>
              <w14:schemeClr w14:val="tx1"/>
            </w14:solidFill>
          </w14:textFill>
        </w:rPr>
        <w:t>心电支持≥4个分析导联实时动态同步分析，并非多个导联波形同屏显示及12导联静息分析，</w:t>
      </w:r>
      <w:r>
        <w:rPr>
          <w:rFonts w:hint="eastAsia"/>
          <w:lang w:eastAsia="zh-CN"/>
        </w:rPr>
        <w:t>（相关技术资料证明材料）</w:t>
      </w:r>
      <w:r>
        <w:rPr>
          <w:rFonts w:hint="eastAsia" w:ascii="宋体" w:hAnsi="宋体"/>
          <w:color w:val="000000" w:themeColor="text1"/>
          <w:highlight w:val="none"/>
          <w:lang w:eastAsia="zh-CN"/>
          <w14:textFill>
            <w14:solidFill>
              <w14:schemeClr w14:val="tx1"/>
            </w14:solidFill>
          </w14:textFill>
        </w:rPr>
        <w:t>。</w:t>
      </w:r>
    </w:p>
    <w:p w14:paraId="622733AA">
      <w:pPr>
        <w:pStyle w:val="12"/>
        <w:numPr>
          <w:ilvl w:val="0"/>
          <w:numId w:val="2"/>
        </w:numPr>
        <w:ind w:left="630" w:leftChars="0" w:firstLineChars="0"/>
        <w:rPr>
          <w:rFonts w:ascii="宋体" w:hAnsi="宋体" w:eastAsia="宋体"/>
          <w:color w:val="000000" w:themeColor="text1"/>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具备</w:t>
      </w:r>
      <w:r>
        <w:rPr>
          <w:rFonts w:ascii="宋体" w:hAnsi="宋体" w:eastAsia="宋体"/>
          <w:color w:val="000000" w:themeColor="text1"/>
          <w:highlight w:val="none"/>
          <w14:textFill>
            <w14:solidFill>
              <w14:schemeClr w14:val="tx1"/>
            </w14:solidFill>
          </w14:textFill>
        </w:rPr>
        <w:t>S</w:t>
      </w:r>
      <w:r>
        <w:rPr>
          <w:rFonts w:ascii="宋体" w:hAnsi="宋体" w:eastAsia="宋体"/>
          <w:color w:val="000000" w:themeColor="text1"/>
          <w14:textFill>
            <w14:solidFill>
              <w14:schemeClr w14:val="tx1"/>
            </w14:solidFill>
          </w14:textFill>
        </w:rPr>
        <w:t xml:space="preserve">T段分析功能，适用于成人，小儿和新生儿，支持在专门的窗口中分组显示心脏前壁，下壁和侧壁的ST实时片段和参考片段 </w:t>
      </w:r>
      <w:r>
        <w:rPr>
          <w:rFonts w:hint="eastAsia" w:ascii="宋体" w:hAnsi="宋体"/>
          <w:color w:val="000000" w:themeColor="text1"/>
          <w:lang w:eastAsia="zh-CN"/>
          <w14:textFill>
            <w14:solidFill>
              <w14:schemeClr w14:val="tx1"/>
            </w14:solidFill>
          </w14:textFill>
        </w:rPr>
        <w:t>。</w:t>
      </w:r>
    </w:p>
    <w:p w14:paraId="14F5FA98">
      <w:pPr>
        <w:pStyle w:val="12"/>
        <w:numPr>
          <w:ilvl w:val="0"/>
          <w:numId w:val="2"/>
        </w:numPr>
        <w:ind w:left="630" w:leftChars="0" w:firstLineChars="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支持</w:t>
      </w:r>
      <w:r>
        <w:rPr>
          <w:rFonts w:ascii="宋体" w:hAnsi="宋体" w:eastAsia="宋体"/>
          <w:color w:val="000000" w:themeColor="text1"/>
          <w14:textFill>
            <w14:solidFill>
              <w14:schemeClr w14:val="tx1"/>
            </w14:solidFill>
          </w14:textFill>
        </w:rPr>
        <w:t>RR呼吸率测量，测量范围：1～200rpm</w:t>
      </w:r>
      <w:r>
        <w:rPr>
          <w:rFonts w:hint="eastAsia" w:ascii="宋体" w:hAnsi="宋体"/>
          <w:color w:val="000000" w:themeColor="text1"/>
          <w:lang w:eastAsia="zh-CN"/>
          <w14:textFill>
            <w14:solidFill>
              <w14:schemeClr w14:val="tx1"/>
            </w14:solidFill>
          </w14:textFill>
        </w:rPr>
        <w:t>。</w:t>
      </w:r>
    </w:p>
    <w:p w14:paraId="3B9B5A08">
      <w:pPr>
        <w:pStyle w:val="12"/>
        <w:numPr>
          <w:ilvl w:val="0"/>
          <w:numId w:val="2"/>
        </w:numPr>
        <w:ind w:left="630" w:leftChars="0" w:firstLineChars="0"/>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QT和QTc实时监测参数测量范围：200～800 ms</w:t>
      </w:r>
      <w:r>
        <w:rPr>
          <w:rFonts w:hint="eastAsia" w:ascii="宋体" w:hAnsi="宋体"/>
          <w:color w:val="000000" w:themeColor="text1"/>
          <w:lang w:eastAsia="zh-CN"/>
          <w14:textFill>
            <w14:solidFill>
              <w14:schemeClr w14:val="tx1"/>
            </w14:solidFill>
          </w14:textFill>
        </w:rPr>
        <w:t>。</w:t>
      </w:r>
    </w:p>
    <w:p w14:paraId="51D9C351">
      <w:pPr>
        <w:pStyle w:val="12"/>
        <w:numPr>
          <w:ilvl w:val="0"/>
          <w:numId w:val="2"/>
        </w:numPr>
        <w:ind w:left="630" w:leftChars="0" w:firstLineChars="0"/>
        <w:rPr>
          <w:rFonts w:ascii="宋体" w:hAnsi="宋体" w:eastAsia="宋体"/>
          <w:color w:val="000000" w:themeColor="text1"/>
          <w14:textFill>
            <w14:solidFill>
              <w14:schemeClr w14:val="tx1"/>
            </w14:solidFill>
          </w14:textFill>
        </w:rPr>
      </w:pPr>
      <w:r>
        <w:rPr>
          <w:rFonts w:hint="eastAsia"/>
          <w:lang w:eastAsia="zh-CN"/>
        </w:rPr>
        <w:t>无创血压测量模式≥5种，包括手动、自动间隔、连续、序列、整点等。</w:t>
      </w:r>
    </w:p>
    <w:p w14:paraId="2A26CF2C">
      <w:pPr>
        <w:pStyle w:val="12"/>
        <w:numPr>
          <w:ilvl w:val="0"/>
          <w:numId w:val="2"/>
        </w:numPr>
        <w:ind w:left="630" w:leftChars="0" w:firstLineChars="0"/>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NIBP 成人病人类型收缩压测量：25～290mmHg</w:t>
      </w:r>
      <w:r>
        <w:rPr>
          <w:rFonts w:hint="eastAsia" w:ascii="宋体" w:hAnsi="宋体"/>
          <w:color w:val="000000" w:themeColor="text1"/>
          <w:lang w:eastAsia="zh-CN"/>
          <w14:textFill>
            <w14:solidFill>
              <w14:schemeClr w14:val="tx1"/>
            </w14:solidFill>
          </w14:textFill>
        </w:rPr>
        <w:t>。</w:t>
      </w:r>
    </w:p>
    <w:p w14:paraId="2DE68F2C">
      <w:pPr>
        <w:pStyle w:val="12"/>
        <w:numPr>
          <w:ilvl w:val="0"/>
          <w:numId w:val="2"/>
        </w:numPr>
        <w:ind w:left="630" w:leftChars="0" w:firstLineChars="0"/>
        <w:rPr>
          <w:rFonts w:ascii="宋体" w:hAnsi="宋体" w:eastAsia="宋体"/>
          <w:color w:val="000000" w:themeColor="text1"/>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具备</w:t>
      </w:r>
      <w:r>
        <w:rPr>
          <w:rFonts w:ascii="宋体" w:hAnsi="宋体" w:eastAsia="宋体"/>
          <w:color w:val="000000" w:themeColor="text1"/>
          <w:highlight w:val="none"/>
          <w14:textFill>
            <w14:solidFill>
              <w14:schemeClr w14:val="tx1"/>
            </w14:solidFill>
          </w14:textFill>
        </w:rPr>
        <w:t>指套</w:t>
      </w:r>
      <w:r>
        <w:rPr>
          <w:rFonts w:ascii="宋体" w:hAnsi="宋体" w:eastAsia="宋体"/>
          <w:color w:val="000000" w:themeColor="text1"/>
          <w14:textFill>
            <w14:solidFill>
              <w14:schemeClr w14:val="tx1"/>
            </w14:solidFill>
          </w14:textFill>
        </w:rPr>
        <w:t>式血氧探头，支持浸泡清洁与消毒，防水等级IPX7</w:t>
      </w:r>
      <w:r>
        <w:rPr>
          <w:rFonts w:hint="eastAsia" w:ascii="宋体" w:hAnsi="宋体"/>
          <w:color w:val="000000" w:themeColor="text1"/>
          <w:lang w:eastAsia="zh-CN"/>
          <w14:textFill>
            <w14:solidFill>
              <w14:schemeClr w14:val="tx1"/>
            </w14:solidFill>
          </w14:textFill>
        </w:rPr>
        <w:t>。</w:t>
      </w:r>
    </w:p>
    <w:p w14:paraId="010F49B4">
      <w:pPr>
        <w:pStyle w:val="12"/>
        <w:numPr>
          <w:ilvl w:val="0"/>
          <w:numId w:val="2"/>
        </w:numPr>
        <w:ind w:left="630" w:leftChars="0" w:firstLineChars="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支持双通道有创压</w:t>
      </w:r>
      <w:r>
        <w:rPr>
          <w:rFonts w:ascii="宋体" w:hAnsi="宋体" w:eastAsia="宋体"/>
          <w:color w:val="000000" w:themeColor="text1"/>
          <w14:textFill>
            <w14:solidFill>
              <w14:schemeClr w14:val="tx1"/>
            </w14:solidFill>
          </w14:textFill>
        </w:rPr>
        <w:t>IBP监测</w:t>
      </w:r>
      <w:r>
        <w:rPr>
          <w:rFonts w:ascii="宋体" w:hAnsi="宋体" w:eastAsia="宋体"/>
          <w:color w:val="000000" w:themeColor="text1"/>
          <w:highlight w:val="none"/>
          <w14:textFill>
            <w14:solidFill>
              <w14:schemeClr w14:val="tx1"/>
            </w14:solidFill>
          </w14:textFill>
        </w:rPr>
        <w:t>，支持多达</w:t>
      </w:r>
      <w:r>
        <w:rPr>
          <w:rFonts w:hint="eastAsia" w:ascii="宋体" w:hAnsi="宋体" w:eastAsia="宋体"/>
          <w:color w:val="000000" w:themeColor="text1"/>
          <w:highlight w:val="none"/>
          <w14:textFill>
            <w14:solidFill>
              <w14:schemeClr w14:val="tx1"/>
            </w14:solidFill>
          </w14:textFill>
        </w:rPr>
        <w:t>≥</w:t>
      </w:r>
      <w:r>
        <w:rPr>
          <w:rFonts w:ascii="宋体" w:hAnsi="宋体" w:eastAsia="宋体"/>
          <w:color w:val="000000" w:themeColor="text1"/>
          <w:highlight w:val="none"/>
          <w14:textFill>
            <w14:solidFill>
              <w14:schemeClr w14:val="tx1"/>
            </w14:solidFill>
          </w14:textFill>
        </w:rPr>
        <w:t>8通道有创压监测</w:t>
      </w:r>
      <w:r>
        <w:rPr>
          <w:rFonts w:hint="eastAsia" w:ascii="宋体" w:hAnsi="宋体"/>
          <w:color w:val="000000" w:themeColor="text1"/>
          <w:highlight w:val="none"/>
          <w:lang w:eastAsia="zh-CN"/>
          <w14:textFill>
            <w14:solidFill>
              <w14:schemeClr w14:val="tx1"/>
            </w14:solidFill>
          </w14:textFill>
        </w:rPr>
        <w:t>。</w:t>
      </w:r>
    </w:p>
    <w:p w14:paraId="428B3324">
      <w:pPr>
        <w:pStyle w:val="12"/>
        <w:numPr>
          <w:ilvl w:val="0"/>
          <w:numId w:val="2"/>
        </w:numPr>
        <w:ind w:left="630" w:leftChars="0" w:firstLineChars="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有创压适用于成人，小儿和新生儿，有创压测量范围：</w:t>
      </w:r>
      <w:r>
        <w:rPr>
          <w:rFonts w:ascii="宋体" w:hAnsi="宋体" w:eastAsia="宋体"/>
          <w:color w:val="000000" w:themeColor="text1"/>
          <w14:textFill>
            <w14:solidFill>
              <w14:schemeClr w14:val="tx1"/>
            </w14:solidFill>
          </w14:textFill>
        </w:rPr>
        <w:t>-50～360mmHg</w:t>
      </w:r>
      <w:r>
        <w:rPr>
          <w:rFonts w:hint="eastAsia" w:ascii="宋体" w:hAnsi="宋体"/>
          <w:color w:val="000000" w:themeColor="text1"/>
          <w:lang w:eastAsia="zh-CN"/>
          <w14:textFill>
            <w14:solidFill>
              <w14:schemeClr w14:val="tx1"/>
            </w14:solidFill>
          </w14:textFill>
        </w:rPr>
        <w:t>。</w:t>
      </w:r>
    </w:p>
    <w:p w14:paraId="7135C11F">
      <w:pPr>
        <w:pStyle w:val="12"/>
        <w:numPr>
          <w:ilvl w:val="0"/>
          <w:numId w:val="2"/>
        </w:numPr>
        <w:ind w:left="630" w:leftChars="0" w:firstLineChars="0"/>
        <w:rPr>
          <w:rFonts w:ascii="宋体" w:hAnsi="宋体" w:eastAsia="宋体"/>
          <w:strike w:val="0"/>
          <w:color w:val="000000" w:themeColor="text1"/>
          <w:highlight w:val="none"/>
          <w14:textFill>
            <w14:solidFill>
              <w14:schemeClr w14:val="tx1"/>
            </w14:solidFill>
          </w14:textFill>
        </w:rPr>
      </w:pPr>
      <w:r>
        <w:rPr>
          <w:rFonts w:hint="eastAsia" w:ascii="宋体" w:hAnsi="宋体"/>
          <w:strike w:val="0"/>
          <w:dstrike w:val="0"/>
          <w:color w:val="000000" w:themeColor="text1"/>
          <w:highlight w:val="none"/>
          <w:lang w:eastAsia="zh-CN"/>
          <w14:textFill>
            <w14:solidFill>
              <w14:schemeClr w14:val="tx1"/>
            </w14:solidFill>
          </w14:textFill>
        </w:rPr>
        <w:t>支持多达≥6道IBP波形叠加显示。</w:t>
      </w:r>
    </w:p>
    <w:p w14:paraId="48D95EE4">
      <w:pPr>
        <w:pStyle w:val="12"/>
        <w:numPr>
          <w:ilvl w:val="0"/>
          <w:numId w:val="0"/>
        </w:numPr>
        <w:ind w:left="210" w:leftChars="0"/>
        <w:rPr>
          <w:rFonts w:ascii="宋体" w:hAnsi="宋体" w:eastAsia="宋体"/>
          <w:color w:val="000000" w:themeColor="text1"/>
          <w14:textFill>
            <w14:solidFill>
              <w14:schemeClr w14:val="tx1"/>
            </w14:solidFill>
          </w14:textFill>
        </w:rPr>
      </w:pPr>
    </w:p>
    <w:p w14:paraId="03495F43">
      <w:pPr>
        <w:rPr>
          <w:rFonts w:hint="eastAsia" w:ascii="宋体" w:hAnsi="宋体" w:eastAsia="宋体" w:cs="Times New Roman"/>
          <w:b/>
          <w:strike w:val="0"/>
          <w:dstrike w:val="0"/>
          <w:color w:val="000000" w:themeColor="text1"/>
          <w:sz w:val="24"/>
          <w:szCs w:val="28"/>
          <w:highlight w:val="none"/>
          <w14:textFill>
            <w14:solidFill>
              <w14:schemeClr w14:val="tx1"/>
            </w14:solidFill>
          </w14:textFill>
        </w:rPr>
      </w:pPr>
      <w:r>
        <w:rPr>
          <w:rFonts w:hint="eastAsia" w:ascii="宋体" w:hAnsi="宋体" w:eastAsia="宋体" w:cs="Times New Roman"/>
          <w:b/>
          <w:strike w:val="0"/>
          <w:dstrike w:val="0"/>
          <w:color w:val="000000" w:themeColor="text1"/>
          <w:sz w:val="24"/>
          <w:szCs w:val="28"/>
          <w:highlight w:val="none"/>
          <w:lang w:val="en-US" w:eastAsia="zh-CN"/>
          <w14:textFill>
            <w14:solidFill>
              <w14:schemeClr w14:val="tx1"/>
            </w14:solidFill>
          </w14:textFill>
        </w:rPr>
        <w:t>转运</w:t>
      </w:r>
      <w:r>
        <w:rPr>
          <w:rFonts w:hint="eastAsia" w:ascii="宋体" w:hAnsi="宋体" w:eastAsia="宋体" w:cs="Times New Roman"/>
          <w:b/>
          <w:strike w:val="0"/>
          <w:dstrike w:val="0"/>
          <w:color w:val="000000" w:themeColor="text1"/>
          <w:sz w:val="24"/>
          <w:szCs w:val="28"/>
          <w:highlight w:val="none"/>
          <w14:textFill>
            <w14:solidFill>
              <w14:schemeClr w14:val="tx1"/>
            </w14:solidFill>
          </w14:textFill>
        </w:rPr>
        <w:t>核磁呼吸机参数</w:t>
      </w:r>
    </w:p>
    <w:p w14:paraId="30D84FA7">
      <w:pPr>
        <w:pStyle w:val="12"/>
        <w:numPr>
          <w:ilvl w:val="0"/>
          <w:numId w:val="3"/>
        </w:numPr>
        <w:ind w:left="630" w:leftChars="0" w:firstLineChars="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★适用于磁共振（MRI）环境，可耐受磁场强度最大为50mT。（提供产品注册证）</w:t>
      </w:r>
    </w:p>
    <w:p w14:paraId="757489FE">
      <w:pPr>
        <w:pStyle w:val="12"/>
        <w:numPr>
          <w:ilvl w:val="0"/>
          <w:numId w:val="3"/>
        </w:numPr>
        <w:ind w:left="630" w:leftChars="0" w:firstLineChars="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适用于成人、小儿患者通气辅助及呼吸支持。</w:t>
      </w:r>
    </w:p>
    <w:p w14:paraId="591AB0FD">
      <w:pPr>
        <w:pStyle w:val="12"/>
        <w:numPr>
          <w:ilvl w:val="0"/>
          <w:numId w:val="3"/>
        </w:numPr>
        <w:ind w:left="630" w:leftChars="0" w:firstLineChars="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★具有≥8英寸触摸显示屏，可同时显示波形和监测参数。</w:t>
      </w:r>
    </w:p>
    <w:p w14:paraId="2B0CC48C">
      <w:pPr>
        <w:pStyle w:val="12"/>
        <w:numPr>
          <w:ilvl w:val="0"/>
          <w:numId w:val="3"/>
        </w:numPr>
        <w:ind w:left="630" w:leftChars="0" w:firstLineChars="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标配模式：控制/辅助通气模式A/C和同步间歇指令通气SIMV；持续气道正压通气模式/压力支持通气CPAP/PSV、双水平气道正压通气（如BIPAP或DuoLevel或BiLevel）、压力调节容量控制通气（如AUTOFLOW或PRVC等）、压力调节容量控制-同步间歇指令通气模式（PRVC-SIMV）、心肺复苏通气模式（如CPRV，CPRmode等）</w:t>
      </w:r>
    </w:p>
    <w:p w14:paraId="11458266">
      <w:pPr>
        <w:pStyle w:val="12"/>
        <w:numPr>
          <w:ilvl w:val="0"/>
          <w:numId w:val="3"/>
        </w:numPr>
        <w:ind w:left="630" w:leftChars="0" w:firstLineChars="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高级模式：容量支持通气VS、气道压力释放通气APRV；自适应分钟通气（如AMV或ASV等以Otis公式患者最小呼吸做功为通气目标的智能通气模式）</w:t>
      </w:r>
    </w:p>
    <w:p w14:paraId="3F8F8378">
      <w:pPr>
        <w:pStyle w:val="12"/>
        <w:numPr>
          <w:ilvl w:val="0"/>
          <w:numId w:val="3"/>
        </w:numPr>
        <w:ind w:left="630" w:leftChars="0" w:firstLineChars="0"/>
        <w:rPr>
          <w:rFonts w:hint="eastAsia" w:ascii="宋体" w:hAnsi="宋体" w:eastAsia="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具备</w:t>
      </w:r>
      <w:r>
        <w:rPr>
          <w:rFonts w:hint="eastAsia" w:ascii="宋体" w:hAnsi="宋体" w:eastAsia="宋体"/>
          <w:color w:val="000000" w:themeColor="text1"/>
          <w14:textFill>
            <w14:solidFill>
              <w14:schemeClr w14:val="tx1"/>
            </w14:solidFill>
          </w14:textFill>
        </w:rPr>
        <w:t>氧气消耗监测功能，</w:t>
      </w:r>
      <w:r>
        <w:rPr>
          <w:rFonts w:hint="eastAsia" w:ascii="宋体" w:hAnsi="宋体"/>
          <w:color w:val="000000" w:themeColor="text1"/>
          <w:lang w:val="en-US" w:eastAsia="zh-CN"/>
          <w14:textFill>
            <w14:solidFill>
              <w14:schemeClr w14:val="tx1"/>
            </w14:solidFill>
          </w14:textFill>
        </w:rPr>
        <w:t>支持</w:t>
      </w:r>
      <w:r>
        <w:rPr>
          <w:rFonts w:hint="eastAsia" w:ascii="宋体" w:hAnsi="宋体" w:eastAsia="宋体"/>
          <w:color w:val="000000" w:themeColor="text1"/>
          <w14:textFill>
            <w14:solidFill>
              <w14:schemeClr w14:val="tx1"/>
            </w14:solidFill>
          </w14:textFill>
        </w:rPr>
        <w:t xml:space="preserve">实时显示氧气瓶剩余使用时间。 </w:t>
      </w:r>
    </w:p>
    <w:p w14:paraId="02430918">
      <w:pPr>
        <w:pStyle w:val="12"/>
        <w:numPr>
          <w:ilvl w:val="0"/>
          <w:numId w:val="3"/>
        </w:numPr>
        <w:ind w:left="630" w:leftChars="0" w:firstLineChars="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报警：磁场强度、潮气量、通气量、压力、呼吸频率、窒息、氧浓度、氧气不足、电量不足、管路脱落、机器故障等。</w:t>
      </w:r>
    </w:p>
    <w:p w14:paraId="65A7523F">
      <w:pP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br w:type="page"/>
      </w:r>
    </w:p>
    <w:p w14:paraId="78360171">
      <w:pPr>
        <w:pStyle w:val="12"/>
        <w:numPr>
          <w:ilvl w:val="0"/>
          <w:numId w:val="0"/>
        </w:numPr>
        <w:rPr>
          <w:rFonts w:ascii="宋体" w:hAnsi="宋体" w:eastAsia="宋体"/>
          <w:color w:val="000000" w:themeColor="text1"/>
          <w14:textFill>
            <w14:solidFill>
              <w14:schemeClr w14:val="tx1"/>
            </w14:solidFill>
          </w14:textFill>
        </w:rPr>
      </w:pPr>
    </w:p>
    <w:tbl>
      <w:tblPr>
        <w:tblStyle w:val="8"/>
        <w:tblpPr w:leftFromText="180" w:rightFromText="180" w:vertAnchor="text" w:horzAnchor="page" w:tblpX="2034" w:tblpY="6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3194"/>
        <w:gridCol w:w="1132"/>
        <w:gridCol w:w="1705"/>
      </w:tblGrid>
      <w:tr w14:paraId="090F0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Pr>
          <w:p w14:paraId="43A58E7F">
            <w:pPr>
              <w:jc w:val="center"/>
              <w:rPr>
                <w:rFonts w:hint="default"/>
                <w:vertAlign w:val="baseline"/>
                <w:lang w:val="en-US" w:eastAsia="zh-CN"/>
              </w:rPr>
            </w:pPr>
            <w:r>
              <w:rPr>
                <w:rFonts w:hint="eastAsia"/>
                <w:vertAlign w:val="baseline"/>
                <w:lang w:val="en-US" w:eastAsia="zh-CN"/>
              </w:rPr>
              <w:t>序号</w:t>
            </w:r>
          </w:p>
        </w:tc>
        <w:tc>
          <w:tcPr>
            <w:tcW w:w="3194" w:type="dxa"/>
          </w:tcPr>
          <w:p w14:paraId="7DFA506A">
            <w:pPr>
              <w:jc w:val="center"/>
              <w:rPr>
                <w:rFonts w:hint="default"/>
                <w:vertAlign w:val="baseline"/>
                <w:lang w:val="en-US" w:eastAsia="zh-CN"/>
              </w:rPr>
            </w:pPr>
            <w:r>
              <w:rPr>
                <w:rFonts w:hint="eastAsia"/>
                <w:vertAlign w:val="baseline"/>
                <w:lang w:val="en-US" w:eastAsia="zh-CN"/>
              </w:rPr>
              <w:t>产品名称</w:t>
            </w:r>
          </w:p>
        </w:tc>
        <w:tc>
          <w:tcPr>
            <w:tcW w:w="1132" w:type="dxa"/>
          </w:tcPr>
          <w:p w14:paraId="3975D3BE">
            <w:pPr>
              <w:jc w:val="center"/>
              <w:rPr>
                <w:rFonts w:hint="default"/>
                <w:vertAlign w:val="baseline"/>
                <w:lang w:val="en-US" w:eastAsia="zh-CN"/>
              </w:rPr>
            </w:pPr>
            <w:r>
              <w:rPr>
                <w:rFonts w:hint="eastAsia"/>
                <w:vertAlign w:val="baseline"/>
                <w:lang w:val="en-US" w:eastAsia="zh-CN"/>
              </w:rPr>
              <w:t>数量</w:t>
            </w:r>
          </w:p>
        </w:tc>
        <w:tc>
          <w:tcPr>
            <w:tcW w:w="1705" w:type="dxa"/>
          </w:tcPr>
          <w:p w14:paraId="6B62A2E7">
            <w:pPr>
              <w:jc w:val="center"/>
              <w:rPr>
                <w:rFonts w:hint="default"/>
                <w:vertAlign w:val="baseline"/>
                <w:lang w:val="en-US" w:eastAsia="zh-CN"/>
              </w:rPr>
            </w:pPr>
            <w:r>
              <w:rPr>
                <w:rFonts w:hint="eastAsia"/>
                <w:vertAlign w:val="baseline"/>
                <w:lang w:val="en-US" w:eastAsia="zh-CN"/>
              </w:rPr>
              <w:t>备注</w:t>
            </w:r>
          </w:p>
        </w:tc>
      </w:tr>
      <w:tr w14:paraId="057AB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Pr>
          <w:p w14:paraId="76464B3B">
            <w:pPr>
              <w:jc w:val="center"/>
              <w:rPr>
                <w:rFonts w:hint="default"/>
                <w:vertAlign w:val="baseline"/>
                <w:lang w:val="en-US" w:eastAsia="zh-CN"/>
              </w:rPr>
            </w:pPr>
            <w:r>
              <w:rPr>
                <w:rFonts w:hint="eastAsia"/>
                <w:vertAlign w:val="baseline"/>
                <w:lang w:val="en-US" w:eastAsia="zh-CN"/>
              </w:rPr>
              <w:t>1</w:t>
            </w:r>
          </w:p>
        </w:tc>
        <w:tc>
          <w:tcPr>
            <w:tcW w:w="3194" w:type="dxa"/>
          </w:tcPr>
          <w:p w14:paraId="7FD4EEE8">
            <w:pPr>
              <w:jc w:val="center"/>
              <w:rPr>
                <w:rFonts w:hint="default"/>
                <w:vertAlign w:val="baseline"/>
                <w:lang w:val="en-US" w:eastAsia="zh-CN"/>
              </w:rPr>
            </w:pPr>
            <w:r>
              <w:rPr>
                <w:rFonts w:hint="eastAsia"/>
                <w:vertAlign w:val="baseline"/>
                <w:lang w:val="en-US" w:eastAsia="zh-CN"/>
              </w:rPr>
              <w:t>中央监护系统（含中央站显示屏）</w:t>
            </w:r>
          </w:p>
        </w:tc>
        <w:tc>
          <w:tcPr>
            <w:tcW w:w="1132" w:type="dxa"/>
          </w:tcPr>
          <w:p w14:paraId="0EF89C97">
            <w:pPr>
              <w:jc w:val="center"/>
              <w:rPr>
                <w:rFonts w:hint="default"/>
                <w:vertAlign w:val="baseline"/>
                <w:lang w:val="en-US" w:eastAsia="zh-CN"/>
              </w:rPr>
            </w:pPr>
            <w:r>
              <w:rPr>
                <w:rFonts w:hint="eastAsia"/>
                <w:vertAlign w:val="baseline"/>
                <w:lang w:val="en-US" w:eastAsia="zh-CN"/>
              </w:rPr>
              <w:t>1套</w:t>
            </w:r>
          </w:p>
        </w:tc>
        <w:tc>
          <w:tcPr>
            <w:tcW w:w="1705" w:type="dxa"/>
          </w:tcPr>
          <w:p w14:paraId="3A21BD08">
            <w:pPr>
              <w:jc w:val="center"/>
              <w:rPr>
                <w:rFonts w:hint="default"/>
                <w:vertAlign w:val="baseline"/>
                <w:lang w:val="en-US" w:eastAsia="zh-CN"/>
              </w:rPr>
            </w:pPr>
          </w:p>
        </w:tc>
      </w:tr>
      <w:tr w14:paraId="3663D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Pr>
          <w:p w14:paraId="4870F9DD">
            <w:pPr>
              <w:jc w:val="center"/>
              <w:rPr>
                <w:rFonts w:hint="default"/>
                <w:vertAlign w:val="baseline"/>
                <w:lang w:val="en-US" w:eastAsia="zh-CN"/>
              </w:rPr>
            </w:pPr>
            <w:r>
              <w:rPr>
                <w:rFonts w:hint="eastAsia"/>
                <w:vertAlign w:val="baseline"/>
                <w:lang w:val="en-US" w:eastAsia="zh-CN"/>
              </w:rPr>
              <w:t>2</w:t>
            </w:r>
          </w:p>
        </w:tc>
        <w:tc>
          <w:tcPr>
            <w:tcW w:w="3194" w:type="dxa"/>
          </w:tcPr>
          <w:p w14:paraId="507870E4">
            <w:pPr>
              <w:jc w:val="center"/>
              <w:rPr>
                <w:rFonts w:hint="eastAsia"/>
                <w:vertAlign w:val="baseline"/>
                <w:lang w:val="en-US" w:eastAsia="zh-CN"/>
              </w:rPr>
            </w:pPr>
            <w:r>
              <w:rPr>
                <w:rFonts w:hint="eastAsia" w:ascii="宋体" w:hAnsi="宋体" w:eastAsia="宋体" w:cs="宋体"/>
                <w:b w:val="0"/>
                <w:bCs/>
                <w:color w:val="000000" w:themeColor="text1"/>
                <w14:textFill>
                  <w14:solidFill>
                    <w14:schemeClr w14:val="tx1"/>
                  </w14:solidFill>
                </w14:textFill>
              </w:rPr>
              <w:t>≥</w:t>
            </w:r>
            <w:r>
              <w:rPr>
                <w:rFonts w:hint="eastAsia"/>
                <w:vertAlign w:val="baseline"/>
                <w:lang w:val="en-US" w:eastAsia="zh-CN"/>
              </w:rPr>
              <w:t>100寸显示器</w:t>
            </w:r>
          </w:p>
        </w:tc>
        <w:tc>
          <w:tcPr>
            <w:tcW w:w="1132" w:type="dxa"/>
          </w:tcPr>
          <w:p w14:paraId="0B5FAE11">
            <w:pPr>
              <w:jc w:val="center"/>
              <w:rPr>
                <w:rFonts w:hint="default"/>
                <w:vertAlign w:val="baseline"/>
                <w:lang w:val="en-US" w:eastAsia="zh-CN"/>
              </w:rPr>
            </w:pPr>
            <w:r>
              <w:rPr>
                <w:rFonts w:hint="eastAsia"/>
                <w:vertAlign w:val="baseline"/>
                <w:lang w:val="en-US" w:eastAsia="zh-CN"/>
              </w:rPr>
              <w:t>3套</w:t>
            </w:r>
          </w:p>
        </w:tc>
        <w:tc>
          <w:tcPr>
            <w:tcW w:w="1705" w:type="dxa"/>
          </w:tcPr>
          <w:p w14:paraId="3FEF23FF">
            <w:pPr>
              <w:jc w:val="center"/>
              <w:rPr>
                <w:rFonts w:hint="default"/>
                <w:vertAlign w:val="baseline"/>
                <w:lang w:val="en-US" w:eastAsia="zh-CN"/>
              </w:rPr>
            </w:pPr>
          </w:p>
        </w:tc>
      </w:tr>
      <w:tr w14:paraId="467B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top"/>
          </w:tcPr>
          <w:p w14:paraId="6EF0EA7D">
            <w:pPr>
              <w:jc w:val="center"/>
              <w:rPr>
                <w:rFonts w:hint="default"/>
                <w:vertAlign w:val="baseline"/>
                <w:lang w:val="en-US" w:eastAsia="zh-CN"/>
              </w:rPr>
            </w:pPr>
            <w:r>
              <w:rPr>
                <w:rFonts w:hint="eastAsia"/>
                <w:vertAlign w:val="baseline"/>
                <w:lang w:val="en-US" w:eastAsia="zh-CN"/>
              </w:rPr>
              <w:t>3</w:t>
            </w:r>
          </w:p>
        </w:tc>
        <w:tc>
          <w:tcPr>
            <w:tcW w:w="3194" w:type="dxa"/>
          </w:tcPr>
          <w:p w14:paraId="50076F62">
            <w:pPr>
              <w:jc w:val="center"/>
              <w:rPr>
                <w:rFonts w:hint="default"/>
                <w:vertAlign w:val="baseline"/>
                <w:lang w:val="en-US" w:eastAsia="zh-CN"/>
              </w:rPr>
            </w:pPr>
            <w:r>
              <w:rPr>
                <w:rFonts w:hint="eastAsia"/>
                <w:vertAlign w:val="baseline"/>
                <w:lang w:val="en-US" w:eastAsia="zh-CN"/>
              </w:rPr>
              <w:t>病人监护仪</w:t>
            </w:r>
          </w:p>
        </w:tc>
        <w:tc>
          <w:tcPr>
            <w:tcW w:w="1132" w:type="dxa"/>
          </w:tcPr>
          <w:p w14:paraId="1C59C241">
            <w:pPr>
              <w:jc w:val="center"/>
              <w:rPr>
                <w:rFonts w:hint="default"/>
                <w:vertAlign w:val="baseline"/>
                <w:lang w:val="en-US" w:eastAsia="zh-CN"/>
              </w:rPr>
            </w:pPr>
            <w:r>
              <w:rPr>
                <w:rFonts w:hint="eastAsia"/>
                <w:vertAlign w:val="baseline"/>
                <w:lang w:val="en-US" w:eastAsia="zh-CN"/>
              </w:rPr>
              <w:t>25套</w:t>
            </w:r>
          </w:p>
        </w:tc>
        <w:tc>
          <w:tcPr>
            <w:tcW w:w="1705" w:type="dxa"/>
          </w:tcPr>
          <w:p w14:paraId="4CA28840">
            <w:pPr>
              <w:jc w:val="center"/>
              <w:rPr>
                <w:rFonts w:hint="default"/>
                <w:vertAlign w:val="baseline"/>
                <w:lang w:val="en-US" w:eastAsia="zh-CN"/>
              </w:rPr>
            </w:pPr>
          </w:p>
        </w:tc>
      </w:tr>
      <w:tr w14:paraId="43CF2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shd w:val="clear" w:color="auto" w:fill="auto"/>
            <w:vAlign w:val="top"/>
          </w:tcPr>
          <w:p w14:paraId="7A07FE5C">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4</w:t>
            </w:r>
          </w:p>
        </w:tc>
        <w:tc>
          <w:tcPr>
            <w:tcW w:w="3194" w:type="dxa"/>
          </w:tcPr>
          <w:p w14:paraId="54196921">
            <w:pPr>
              <w:jc w:val="center"/>
              <w:rPr>
                <w:rFonts w:hint="eastAsia"/>
                <w:vertAlign w:val="baseline"/>
                <w:lang w:val="en-US" w:eastAsia="zh-CN"/>
              </w:rPr>
            </w:pPr>
            <w:r>
              <w:rPr>
                <w:rFonts w:hint="eastAsia"/>
                <w:vertAlign w:val="baseline"/>
                <w:lang w:val="en-US" w:eastAsia="zh-CN"/>
              </w:rPr>
              <w:t>呼吸力学监测</w:t>
            </w:r>
          </w:p>
        </w:tc>
        <w:tc>
          <w:tcPr>
            <w:tcW w:w="1132" w:type="dxa"/>
          </w:tcPr>
          <w:p w14:paraId="02BD77A4">
            <w:pPr>
              <w:jc w:val="center"/>
              <w:rPr>
                <w:rFonts w:hint="default"/>
                <w:vertAlign w:val="baseline"/>
                <w:lang w:val="en-US" w:eastAsia="zh-CN"/>
              </w:rPr>
            </w:pPr>
            <w:r>
              <w:rPr>
                <w:rFonts w:hint="eastAsia"/>
                <w:vertAlign w:val="baseline"/>
                <w:lang w:val="en-US" w:eastAsia="zh-CN"/>
              </w:rPr>
              <w:t>2套</w:t>
            </w:r>
          </w:p>
        </w:tc>
        <w:tc>
          <w:tcPr>
            <w:tcW w:w="1705" w:type="dxa"/>
          </w:tcPr>
          <w:p w14:paraId="08314001">
            <w:pPr>
              <w:jc w:val="center"/>
              <w:rPr>
                <w:rFonts w:hint="default"/>
                <w:vertAlign w:val="baseline"/>
                <w:lang w:val="en-US" w:eastAsia="zh-CN"/>
              </w:rPr>
            </w:pPr>
            <w:r>
              <w:rPr>
                <w:rFonts w:hint="default"/>
                <w:vertAlign w:val="baseline"/>
                <w:lang w:val="en-US" w:eastAsia="zh-CN"/>
              </w:rPr>
              <w:t>模块或单机</w:t>
            </w:r>
          </w:p>
        </w:tc>
      </w:tr>
      <w:tr w14:paraId="6A3CD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shd w:val="clear" w:color="auto" w:fill="auto"/>
            <w:vAlign w:val="top"/>
          </w:tcPr>
          <w:p w14:paraId="7622627B">
            <w:pPr>
              <w:jc w:val="center"/>
              <w:rPr>
                <w:rFonts w:hint="default" w:ascii="Times New Roman" w:hAnsi="Times New Roman" w:eastAsia="宋体" w:cs="Times New Roman"/>
                <w:kern w:val="2"/>
                <w:sz w:val="21"/>
                <w:szCs w:val="22"/>
                <w:vertAlign w:val="baseline"/>
                <w:lang w:val="en-US" w:eastAsia="zh-CN" w:bidi="ar-SA"/>
              </w:rPr>
            </w:pPr>
            <w:r>
              <w:rPr>
                <w:rFonts w:hint="eastAsia"/>
                <w:vertAlign w:val="baseline"/>
                <w:lang w:val="en-US" w:eastAsia="zh-CN"/>
              </w:rPr>
              <w:t>5</w:t>
            </w:r>
          </w:p>
        </w:tc>
        <w:tc>
          <w:tcPr>
            <w:tcW w:w="3194" w:type="dxa"/>
          </w:tcPr>
          <w:p w14:paraId="7553FD09">
            <w:pPr>
              <w:jc w:val="center"/>
              <w:rPr>
                <w:rFonts w:hint="default"/>
                <w:vertAlign w:val="baseline"/>
                <w:lang w:val="en-US" w:eastAsia="zh-CN"/>
              </w:rPr>
            </w:pPr>
            <w:r>
              <w:rPr>
                <w:rFonts w:hint="eastAsia"/>
                <w:vertAlign w:val="baseline"/>
                <w:lang w:val="en-US" w:eastAsia="zh-CN"/>
              </w:rPr>
              <w:t>转运监护模块</w:t>
            </w:r>
          </w:p>
        </w:tc>
        <w:tc>
          <w:tcPr>
            <w:tcW w:w="1132" w:type="dxa"/>
          </w:tcPr>
          <w:p w14:paraId="472516FD">
            <w:pPr>
              <w:jc w:val="center"/>
              <w:rPr>
                <w:rFonts w:hint="default"/>
                <w:vertAlign w:val="baseline"/>
                <w:lang w:val="en-US" w:eastAsia="zh-CN"/>
              </w:rPr>
            </w:pPr>
            <w:r>
              <w:rPr>
                <w:rFonts w:hint="eastAsia"/>
                <w:vertAlign w:val="baseline"/>
                <w:lang w:val="en-US" w:eastAsia="zh-CN"/>
              </w:rPr>
              <w:t>4套</w:t>
            </w:r>
          </w:p>
        </w:tc>
        <w:tc>
          <w:tcPr>
            <w:tcW w:w="1705" w:type="dxa"/>
          </w:tcPr>
          <w:p w14:paraId="1504ABBC">
            <w:pPr>
              <w:jc w:val="center"/>
              <w:rPr>
                <w:rFonts w:hint="default"/>
                <w:vertAlign w:val="baseline"/>
                <w:lang w:val="en-US" w:eastAsia="zh-CN"/>
              </w:rPr>
            </w:pPr>
            <w:r>
              <w:rPr>
                <w:rFonts w:hint="eastAsia"/>
                <w:vertAlign w:val="baseline"/>
                <w:lang w:val="en-US" w:eastAsia="zh-CN"/>
              </w:rPr>
              <w:t>单机或模块</w:t>
            </w:r>
          </w:p>
        </w:tc>
      </w:tr>
      <w:tr w14:paraId="4BAC7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shd w:val="clear" w:color="auto" w:fill="auto"/>
            <w:vAlign w:val="top"/>
          </w:tcPr>
          <w:p w14:paraId="124F9099">
            <w:pPr>
              <w:jc w:val="center"/>
              <w:rPr>
                <w:rFonts w:hint="default" w:ascii="Times New Roman" w:hAnsi="Times New Roman" w:eastAsia="宋体" w:cs="Times New Roman"/>
                <w:kern w:val="2"/>
                <w:sz w:val="21"/>
                <w:szCs w:val="22"/>
                <w:vertAlign w:val="baseline"/>
                <w:lang w:val="en-US" w:eastAsia="zh-CN" w:bidi="ar-SA"/>
              </w:rPr>
            </w:pPr>
            <w:r>
              <w:rPr>
                <w:rFonts w:hint="eastAsia"/>
                <w:vertAlign w:val="baseline"/>
                <w:lang w:val="en-US" w:eastAsia="zh-CN"/>
              </w:rPr>
              <w:t>6</w:t>
            </w:r>
          </w:p>
        </w:tc>
        <w:tc>
          <w:tcPr>
            <w:tcW w:w="3194" w:type="dxa"/>
          </w:tcPr>
          <w:p w14:paraId="3E9BECB6">
            <w:pPr>
              <w:jc w:val="center"/>
              <w:rPr>
                <w:rFonts w:hint="default"/>
                <w:vertAlign w:val="baseline"/>
                <w:lang w:val="en-US" w:eastAsia="zh-CN"/>
              </w:rPr>
            </w:pPr>
            <w:r>
              <w:rPr>
                <w:rFonts w:hint="eastAsia"/>
                <w:vertAlign w:val="baseline"/>
                <w:lang w:val="en-US" w:eastAsia="zh-CN"/>
              </w:rPr>
              <w:t>呼末CO2功能</w:t>
            </w:r>
          </w:p>
        </w:tc>
        <w:tc>
          <w:tcPr>
            <w:tcW w:w="1132" w:type="dxa"/>
          </w:tcPr>
          <w:p w14:paraId="3B5155F3">
            <w:pPr>
              <w:jc w:val="center"/>
              <w:rPr>
                <w:rFonts w:hint="default"/>
                <w:vertAlign w:val="baseline"/>
                <w:lang w:val="en-US" w:eastAsia="zh-CN"/>
              </w:rPr>
            </w:pPr>
            <w:r>
              <w:rPr>
                <w:rFonts w:hint="eastAsia"/>
                <w:vertAlign w:val="baseline"/>
                <w:lang w:val="en-US" w:eastAsia="zh-CN"/>
              </w:rPr>
              <w:t>4套</w:t>
            </w:r>
          </w:p>
        </w:tc>
        <w:tc>
          <w:tcPr>
            <w:tcW w:w="1705" w:type="dxa"/>
          </w:tcPr>
          <w:p w14:paraId="44B05385">
            <w:pPr>
              <w:jc w:val="center"/>
              <w:rPr>
                <w:rFonts w:hint="default"/>
                <w:vertAlign w:val="baseline"/>
                <w:lang w:val="en-US" w:eastAsia="zh-CN"/>
              </w:rPr>
            </w:pPr>
            <w:r>
              <w:rPr>
                <w:rFonts w:hint="eastAsia"/>
                <w:vertAlign w:val="baseline"/>
                <w:lang w:val="en-US" w:eastAsia="zh-CN"/>
              </w:rPr>
              <w:t>单机或模块</w:t>
            </w:r>
          </w:p>
        </w:tc>
      </w:tr>
      <w:tr w14:paraId="21D83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shd w:val="clear" w:color="auto" w:fill="auto"/>
            <w:vAlign w:val="top"/>
          </w:tcPr>
          <w:p w14:paraId="42966310">
            <w:pPr>
              <w:jc w:val="center"/>
              <w:rPr>
                <w:rFonts w:hint="default" w:ascii="Times New Roman" w:hAnsi="Times New Roman" w:eastAsia="宋体" w:cs="Times New Roman"/>
                <w:kern w:val="2"/>
                <w:sz w:val="21"/>
                <w:szCs w:val="22"/>
                <w:vertAlign w:val="baseline"/>
                <w:lang w:val="en-US" w:eastAsia="zh-CN" w:bidi="ar-SA"/>
              </w:rPr>
            </w:pPr>
            <w:r>
              <w:rPr>
                <w:rFonts w:hint="eastAsia"/>
                <w:vertAlign w:val="baseline"/>
                <w:lang w:val="en-US" w:eastAsia="zh-CN"/>
              </w:rPr>
              <w:t>7</w:t>
            </w:r>
          </w:p>
        </w:tc>
        <w:tc>
          <w:tcPr>
            <w:tcW w:w="3194" w:type="dxa"/>
          </w:tcPr>
          <w:p w14:paraId="1D575454">
            <w:pPr>
              <w:jc w:val="center"/>
              <w:rPr>
                <w:rFonts w:hint="default"/>
                <w:vertAlign w:val="baseline"/>
                <w:lang w:val="en-US" w:eastAsia="zh-CN"/>
              </w:rPr>
            </w:pPr>
            <w:r>
              <w:rPr>
                <w:rFonts w:hint="eastAsia"/>
                <w:vertAlign w:val="baseline"/>
                <w:lang w:val="en-US" w:eastAsia="zh-CN"/>
              </w:rPr>
              <w:t>PICCO功能</w:t>
            </w:r>
          </w:p>
        </w:tc>
        <w:tc>
          <w:tcPr>
            <w:tcW w:w="1132" w:type="dxa"/>
          </w:tcPr>
          <w:p w14:paraId="4A18ECE0">
            <w:pPr>
              <w:jc w:val="center"/>
              <w:rPr>
                <w:rFonts w:hint="default"/>
                <w:vertAlign w:val="baseline"/>
                <w:lang w:val="en-US" w:eastAsia="zh-CN"/>
              </w:rPr>
            </w:pPr>
            <w:r>
              <w:rPr>
                <w:rFonts w:hint="eastAsia"/>
                <w:vertAlign w:val="baseline"/>
                <w:lang w:val="en-US" w:eastAsia="zh-CN"/>
              </w:rPr>
              <w:t>4套</w:t>
            </w:r>
          </w:p>
        </w:tc>
        <w:tc>
          <w:tcPr>
            <w:tcW w:w="1705" w:type="dxa"/>
          </w:tcPr>
          <w:p w14:paraId="6558EEE8">
            <w:pPr>
              <w:jc w:val="center"/>
              <w:rPr>
                <w:rFonts w:hint="default"/>
                <w:vertAlign w:val="baseline"/>
                <w:lang w:val="en-US" w:eastAsia="zh-CN"/>
              </w:rPr>
            </w:pPr>
            <w:r>
              <w:rPr>
                <w:rFonts w:hint="eastAsia"/>
                <w:vertAlign w:val="baseline"/>
                <w:lang w:val="en-US" w:eastAsia="zh-CN"/>
              </w:rPr>
              <w:t>单机或模块</w:t>
            </w:r>
          </w:p>
        </w:tc>
      </w:tr>
      <w:tr w14:paraId="5D81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shd w:val="clear" w:color="auto" w:fill="auto"/>
            <w:vAlign w:val="top"/>
          </w:tcPr>
          <w:p w14:paraId="1D0A3DBC">
            <w:pPr>
              <w:jc w:val="center"/>
              <w:rPr>
                <w:rFonts w:hint="default" w:ascii="Times New Roman" w:hAnsi="Times New Roman" w:eastAsia="宋体" w:cs="Times New Roman"/>
                <w:kern w:val="2"/>
                <w:sz w:val="21"/>
                <w:szCs w:val="22"/>
                <w:vertAlign w:val="baseline"/>
                <w:lang w:val="en-US" w:eastAsia="zh-CN" w:bidi="ar-SA"/>
              </w:rPr>
            </w:pPr>
            <w:r>
              <w:rPr>
                <w:rFonts w:hint="eastAsia"/>
                <w:vertAlign w:val="baseline"/>
                <w:lang w:val="en-US" w:eastAsia="zh-CN"/>
              </w:rPr>
              <w:t>8</w:t>
            </w:r>
          </w:p>
        </w:tc>
        <w:tc>
          <w:tcPr>
            <w:tcW w:w="3194" w:type="dxa"/>
          </w:tcPr>
          <w:p w14:paraId="50A2FF72">
            <w:pPr>
              <w:jc w:val="center"/>
              <w:rPr>
                <w:rFonts w:hint="default"/>
                <w:vertAlign w:val="baseline"/>
                <w:lang w:val="en-US" w:eastAsia="zh-CN"/>
              </w:rPr>
            </w:pPr>
            <w:r>
              <w:rPr>
                <w:rFonts w:hint="eastAsia"/>
                <w:vertAlign w:val="baseline"/>
                <w:lang w:val="en-US" w:eastAsia="zh-CN"/>
              </w:rPr>
              <w:t>Swan-ganz漂浮导管功能</w:t>
            </w:r>
          </w:p>
        </w:tc>
        <w:tc>
          <w:tcPr>
            <w:tcW w:w="1132" w:type="dxa"/>
          </w:tcPr>
          <w:p w14:paraId="29F0EEFD">
            <w:pPr>
              <w:jc w:val="center"/>
              <w:rPr>
                <w:rFonts w:hint="default"/>
                <w:vertAlign w:val="baseline"/>
                <w:lang w:val="en-US" w:eastAsia="zh-CN"/>
              </w:rPr>
            </w:pPr>
            <w:r>
              <w:rPr>
                <w:rFonts w:hint="eastAsia"/>
                <w:vertAlign w:val="baseline"/>
                <w:lang w:val="en-US" w:eastAsia="zh-CN"/>
              </w:rPr>
              <w:t>1套</w:t>
            </w:r>
          </w:p>
        </w:tc>
        <w:tc>
          <w:tcPr>
            <w:tcW w:w="1705" w:type="dxa"/>
          </w:tcPr>
          <w:p w14:paraId="33BBF060">
            <w:pPr>
              <w:jc w:val="center"/>
              <w:rPr>
                <w:rFonts w:hint="default"/>
                <w:vertAlign w:val="baseline"/>
                <w:lang w:val="en-US" w:eastAsia="zh-CN"/>
              </w:rPr>
            </w:pPr>
            <w:r>
              <w:rPr>
                <w:rFonts w:hint="eastAsia"/>
                <w:vertAlign w:val="baseline"/>
                <w:lang w:val="en-US" w:eastAsia="zh-CN"/>
              </w:rPr>
              <w:t>单机或模块</w:t>
            </w:r>
          </w:p>
        </w:tc>
      </w:tr>
      <w:tr w14:paraId="178F8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shd w:val="clear" w:color="auto" w:fill="auto"/>
            <w:vAlign w:val="top"/>
          </w:tcPr>
          <w:p w14:paraId="56D5ADAF">
            <w:pPr>
              <w:jc w:val="center"/>
              <w:rPr>
                <w:rFonts w:hint="default" w:ascii="Times New Roman" w:hAnsi="Times New Roman" w:eastAsia="宋体" w:cs="Times New Roman"/>
                <w:kern w:val="2"/>
                <w:sz w:val="21"/>
                <w:szCs w:val="22"/>
                <w:vertAlign w:val="baseline"/>
                <w:lang w:val="en-US" w:eastAsia="zh-CN" w:bidi="ar-SA"/>
              </w:rPr>
            </w:pPr>
            <w:r>
              <w:rPr>
                <w:rFonts w:hint="eastAsia"/>
                <w:vertAlign w:val="baseline"/>
                <w:lang w:val="en-US" w:eastAsia="zh-CN"/>
              </w:rPr>
              <w:t>9</w:t>
            </w:r>
          </w:p>
        </w:tc>
        <w:tc>
          <w:tcPr>
            <w:tcW w:w="3194" w:type="dxa"/>
            <w:shd w:val="clear" w:color="auto" w:fill="auto"/>
            <w:vAlign w:val="top"/>
          </w:tcPr>
          <w:p w14:paraId="36857C71">
            <w:pPr>
              <w:jc w:val="center"/>
              <w:rPr>
                <w:rFonts w:hint="eastAsia" w:asciiTheme="minorHAnsi" w:hAnsiTheme="minorHAnsi" w:eastAsiaTheme="minorEastAsia" w:cstheme="minorBidi"/>
                <w:kern w:val="2"/>
                <w:sz w:val="21"/>
                <w:szCs w:val="22"/>
                <w:vertAlign w:val="baseline"/>
                <w:lang w:val="en-US" w:eastAsia="zh-CN" w:bidi="ar-SA"/>
              </w:rPr>
            </w:pPr>
            <w:r>
              <w:rPr>
                <w:rFonts w:ascii="宋体" w:hAnsi="宋体" w:eastAsia="宋体"/>
                <w:color w:val="000000" w:themeColor="text1"/>
                <w14:textFill>
                  <w14:solidFill>
                    <w14:schemeClr w14:val="tx1"/>
                  </w14:solidFill>
                </w14:textFill>
              </w:rPr>
              <w:t>FloTrac</w:t>
            </w:r>
          </w:p>
        </w:tc>
        <w:tc>
          <w:tcPr>
            <w:tcW w:w="1132" w:type="dxa"/>
            <w:shd w:val="clear" w:color="auto" w:fill="auto"/>
            <w:vAlign w:val="top"/>
          </w:tcPr>
          <w:p w14:paraId="34347540">
            <w:pPr>
              <w:jc w:val="center"/>
              <w:rPr>
                <w:rFonts w:hint="eastAsia" w:asciiTheme="minorHAnsi" w:hAnsiTheme="minorHAnsi" w:eastAsiaTheme="minorEastAsia" w:cstheme="minorBidi"/>
                <w:kern w:val="2"/>
                <w:sz w:val="21"/>
                <w:szCs w:val="22"/>
                <w:vertAlign w:val="baseline"/>
                <w:lang w:val="en-US" w:eastAsia="zh-CN" w:bidi="ar-SA"/>
              </w:rPr>
            </w:pPr>
            <w:r>
              <w:rPr>
                <w:rFonts w:hint="eastAsia"/>
                <w:vertAlign w:val="baseline"/>
                <w:lang w:val="en-US" w:eastAsia="zh-CN"/>
              </w:rPr>
              <w:t>1套</w:t>
            </w:r>
          </w:p>
        </w:tc>
        <w:tc>
          <w:tcPr>
            <w:tcW w:w="1705" w:type="dxa"/>
            <w:shd w:val="clear" w:color="auto" w:fill="auto"/>
            <w:vAlign w:val="top"/>
          </w:tcPr>
          <w:p w14:paraId="6370E8F1">
            <w:pPr>
              <w:jc w:val="center"/>
              <w:rPr>
                <w:rFonts w:hint="eastAsia" w:asciiTheme="minorHAnsi" w:hAnsiTheme="minorHAnsi" w:eastAsiaTheme="minorEastAsia" w:cstheme="minorBidi"/>
                <w:kern w:val="2"/>
                <w:sz w:val="21"/>
                <w:szCs w:val="22"/>
                <w:vertAlign w:val="baseline"/>
                <w:lang w:val="en-US" w:eastAsia="zh-CN" w:bidi="ar-SA"/>
              </w:rPr>
            </w:pPr>
            <w:r>
              <w:rPr>
                <w:rFonts w:hint="eastAsia"/>
                <w:vertAlign w:val="baseline"/>
                <w:lang w:val="en-US" w:eastAsia="zh-CN"/>
              </w:rPr>
              <w:t>单机或模块</w:t>
            </w:r>
          </w:p>
        </w:tc>
      </w:tr>
      <w:tr w14:paraId="5EA16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shd w:val="clear" w:color="auto" w:fill="auto"/>
            <w:vAlign w:val="top"/>
          </w:tcPr>
          <w:p w14:paraId="7A9D09A6">
            <w:pPr>
              <w:jc w:val="center"/>
              <w:rPr>
                <w:rFonts w:hint="default" w:ascii="Times New Roman" w:hAnsi="Times New Roman" w:eastAsia="宋体" w:cs="Times New Roman"/>
                <w:kern w:val="2"/>
                <w:sz w:val="21"/>
                <w:szCs w:val="22"/>
                <w:vertAlign w:val="baseline"/>
                <w:lang w:val="en-US" w:eastAsia="zh-CN" w:bidi="ar-SA"/>
              </w:rPr>
            </w:pPr>
            <w:r>
              <w:rPr>
                <w:rFonts w:hint="eastAsia"/>
                <w:vertAlign w:val="baseline"/>
                <w:lang w:val="en-US" w:eastAsia="zh-CN"/>
              </w:rPr>
              <w:t>10</w:t>
            </w:r>
          </w:p>
        </w:tc>
        <w:tc>
          <w:tcPr>
            <w:tcW w:w="3194" w:type="dxa"/>
            <w:shd w:val="clear" w:color="auto" w:fill="auto"/>
            <w:vAlign w:val="top"/>
          </w:tcPr>
          <w:p w14:paraId="0494567D">
            <w:pPr>
              <w:jc w:val="center"/>
              <w:rPr>
                <w:rFonts w:hint="eastAsia" w:asciiTheme="minorHAnsi" w:hAnsiTheme="minorHAnsi" w:eastAsiaTheme="minorEastAsia" w:cstheme="minorBidi"/>
                <w:kern w:val="2"/>
                <w:sz w:val="21"/>
                <w:szCs w:val="22"/>
                <w:vertAlign w:val="baseline"/>
                <w:lang w:val="en-US" w:eastAsia="zh-CN" w:bidi="ar-SA"/>
              </w:rPr>
            </w:pPr>
            <w:r>
              <w:rPr>
                <w:rFonts w:hint="eastAsia"/>
                <w:vertAlign w:val="baseline"/>
                <w:lang w:val="en-US" w:eastAsia="zh-CN"/>
              </w:rPr>
              <w:t>BIS功能</w:t>
            </w:r>
          </w:p>
        </w:tc>
        <w:tc>
          <w:tcPr>
            <w:tcW w:w="1132" w:type="dxa"/>
            <w:shd w:val="clear" w:color="auto" w:fill="auto"/>
            <w:vAlign w:val="top"/>
          </w:tcPr>
          <w:p w14:paraId="29810D10">
            <w:pPr>
              <w:jc w:val="center"/>
              <w:rPr>
                <w:rFonts w:hint="eastAsia" w:asciiTheme="minorHAnsi" w:hAnsiTheme="minorHAnsi" w:eastAsiaTheme="minorEastAsia" w:cstheme="minorBidi"/>
                <w:kern w:val="2"/>
                <w:sz w:val="21"/>
                <w:szCs w:val="22"/>
                <w:vertAlign w:val="baseline"/>
                <w:lang w:val="en-US" w:eastAsia="zh-CN" w:bidi="ar-SA"/>
              </w:rPr>
            </w:pPr>
            <w:r>
              <w:rPr>
                <w:rFonts w:hint="eastAsia"/>
                <w:vertAlign w:val="baseline"/>
                <w:lang w:val="en-US" w:eastAsia="zh-CN"/>
              </w:rPr>
              <w:t>4套</w:t>
            </w:r>
          </w:p>
        </w:tc>
        <w:tc>
          <w:tcPr>
            <w:tcW w:w="1705" w:type="dxa"/>
            <w:shd w:val="clear" w:color="auto" w:fill="auto"/>
            <w:vAlign w:val="top"/>
          </w:tcPr>
          <w:p w14:paraId="0763E952">
            <w:pPr>
              <w:jc w:val="center"/>
              <w:rPr>
                <w:rFonts w:hint="eastAsia" w:asciiTheme="minorHAnsi" w:hAnsiTheme="minorHAnsi" w:eastAsiaTheme="minorEastAsia" w:cstheme="minorBidi"/>
                <w:kern w:val="2"/>
                <w:sz w:val="21"/>
                <w:szCs w:val="22"/>
                <w:vertAlign w:val="baseline"/>
                <w:lang w:val="en-US" w:eastAsia="zh-CN" w:bidi="ar-SA"/>
              </w:rPr>
            </w:pPr>
            <w:r>
              <w:rPr>
                <w:rFonts w:hint="eastAsia"/>
                <w:vertAlign w:val="baseline"/>
                <w:lang w:val="en-US" w:eastAsia="zh-CN"/>
              </w:rPr>
              <w:t>单机或模块</w:t>
            </w:r>
          </w:p>
        </w:tc>
      </w:tr>
      <w:tr w14:paraId="17A04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shd w:val="clear" w:color="auto" w:fill="auto"/>
            <w:vAlign w:val="top"/>
          </w:tcPr>
          <w:p w14:paraId="56912E6C">
            <w:pPr>
              <w:jc w:val="center"/>
              <w:rPr>
                <w:rFonts w:hint="default" w:ascii="Times New Roman" w:hAnsi="Times New Roman" w:eastAsia="宋体" w:cs="Times New Roman"/>
                <w:kern w:val="2"/>
                <w:sz w:val="21"/>
                <w:szCs w:val="22"/>
                <w:vertAlign w:val="baseline"/>
                <w:lang w:val="en-US" w:eastAsia="zh-CN" w:bidi="ar-SA"/>
              </w:rPr>
            </w:pPr>
            <w:r>
              <w:rPr>
                <w:rFonts w:hint="eastAsia"/>
                <w:vertAlign w:val="baseline"/>
                <w:lang w:val="en-US" w:eastAsia="zh-CN"/>
              </w:rPr>
              <w:t>11</w:t>
            </w:r>
          </w:p>
        </w:tc>
        <w:tc>
          <w:tcPr>
            <w:tcW w:w="3194" w:type="dxa"/>
          </w:tcPr>
          <w:p w14:paraId="44EFE508">
            <w:pPr>
              <w:jc w:val="center"/>
              <w:rPr>
                <w:rFonts w:hint="default"/>
                <w:vertAlign w:val="baseline"/>
                <w:lang w:val="en-US" w:eastAsia="zh-CN"/>
              </w:rPr>
            </w:pPr>
            <w:r>
              <w:rPr>
                <w:rFonts w:hint="eastAsia"/>
                <w:vertAlign w:val="baseline"/>
                <w:lang w:val="en-US" w:eastAsia="zh-CN"/>
              </w:rPr>
              <w:t>基础模块（无创压、血氧、心电）</w:t>
            </w:r>
          </w:p>
        </w:tc>
        <w:tc>
          <w:tcPr>
            <w:tcW w:w="1132" w:type="dxa"/>
          </w:tcPr>
          <w:p w14:paraId="06014401">
            <w:pPr>
              <w:jc w:val="center"/>
              <w:rPr>
                <w:rFonts w:hint="default"/>
                <w:vertAlign w:val="baseline"/>
                <w:lang w:val="en-US" w:eastAsia="zh-CN"/>
              </w:rPr>
            </w:pPr>
            <w:r>
              <w:rPr>
                <w:rFonts w:hint="eastAsia"/>
                <w:vertAlign w:val="baseline"/>
                <w:lang w:val="en-US" w:eastAsia="zh-CN"/>
              </w:rPr>
              <w:t>25套</w:t>
            </w:r>
          </w:p>
        </w:tc>
        <w:tc>
          <w:tcPr>
            <w:tcW w:w="1705" w:type="dxa"/>
          </w:tcPr>
          <w:p w14:paraId="3BDBA7A7">
            <w:pPr>
              <w:jc w:val="center"/>
              <w:rPr>
                <w:rFonts w:hint="eastAsia"/>
                <w:vertAlign w:val="baseline"/>
                <w:lang w:val="en-US" w:eastAsia="zh-CN"/>
              </w:rPr>
            </w:pPr>
          </w:p>
        </w:tc>
      </w:tr>
      <w:tr w14:paraId="7CDD8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shd w:val="clear" w:color="auto" w:fill="auto"/>
            <w:vAlign w:val="top"/>
          </w:tcPr>
          <w:p w14:paraId="53A1DA2B">
            <w:pPr>
              <w:jc w:val="center"/>
              <w:rPr>
                <w:rFonts w:hint="default" w:ascii="Times New Roman" w:hAnsi="Times New Roman" w:eastAsia="宋体" w:cs="Times New Roman"/>
                <w:kern w:val="2"/>
                <w:sz w:val="21"/>
                <w:szCs w:val="22"/>
                <w:vertAlign w:val="baseline"/>
                <w:lang w:val="en-US" w:eastAsia="zh-CN" w:bidi="ar-SA"/>
              </w:rPr>
            </w:pPr>
            <w:r>
              <w:rPr>
                <w:rFonts w:hint="eastAsia"/>
                <w:vertAlign w:val="baseline"/>
                <w:lang w:val="en-US" w:eastAsia="zh-CN"/>
              </w:rPr>
              <w:t>12</w:t>
            </w:r>
          </w:p>
        </w:tc>
        <w:tc>
          <w:tcPr>
            <w:tcW w:w="3194" w:type="dxa"/>
          </w:tcPr>
          <w:p w14:paraId="2E550CAC">
            <w:pPr>
              <w:jc w:val="center"/>
              <w:rPr>
                <w:rFonts w:hint="default"/>
                <w:vertAlign w:val="baseline"/>
                <w:lang w:val="en-US" w:eastAsia="zh-CN"/>
              </w:rPr>
            </w:pPr>
            <w:r>
              <w:rPr>
                <w:rFonts w:hint="eastAsia"/>
                <w:vertAlign w:val="baseline"/>
                <w:lang w:val="en-US" w:eastAsia="zh-CN"/>
              </w:rPr>
              <w:t>双有创模块</w:t>
            </w:r>
          </w:p>
        </w:tc>
        <w:tc>
          <w:tcPr>
            <w:tcW w:w="1132" w:type="dxa"/>
          </w:tcPr>
          <w:p w14:paraId="29F9D80C">
            <w:pPr>
              <w:jc w:val="center"/>
              <w:rPr>
                <w:rFonts w:hint="default"/>
                <w:vertAlign w:val="baseline"/>
                <w:lang w:val="en-US" w:eastAsia="zh-CN"/>
              </w:rPr>
            </w:pPr>
            <w:r>
              <w:rPr>
                <w:rFonts w:hint="eastAsia"/>
                <w:vertAlign w:val="baseline"/>
                <w:lang w:val="en-US" w:eastAsia="zh-CN"/>
              </w:rPr>
              <w:t>25套</w:t>
            </w:r>
          </w:p>
        </w:tc>
        <w:tc>
          <w:tcPr>
            <w:tcW w:w="1705" w:type="dxa"/>
          </w:tcPr>
          <w:p w14:paraId="486491D8">
            <w:pPr>
              <w:jc w:val="center"/>
              <w:rPr>
                <w:rFonts w:hint="eastAsia"/>
                <w:vertAlign w:val="baseline"/>
                <w:lang w:val="en-US" w:eastAsia="zh-CN"/>
              </w:rPr>
            </w:pPr>
          </w:p>
        </w:tc>
      </w:tr>
      <w:tr w14:paraId="6BE2F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shd w:val="clear" w:color="auto" w:fill="auto"/>
            <w:vAlign w:val="top"/>
          </w:tcPr>
          <w:p w14:paraId="5E684BCB">
            <w:pPr>
              <w:jc w:val="center"/>
              <w:rPr>
                <w:rFonts w:hint="default" w:ascii="Times New Roman" w:hAnsi="Times New Roman" w:eastAsia="宋体" w:cs="Times New Roman"/>
                <w:kern w:val="2"/>
                <w:sz w:val="21"/>
                <w:szCs w:val="22"/>
                <w:vertAlign w:val="baseline"/>
                <w:lang w:val="en-US" w:eastAsia="zh-CN" w:bidi="ar-SA"/>
              </w:rPr>
            </w:pPr>
            <w:r>
              <w:rPr>
                <w:rFonts w:hint="eastAsia"/>
                <w:vertAlign w:val="baseline"/>
                <w:lang w:val="en-US" w:eastAsia="zh-CN"/>
              </w:rPr>
              <w:t>13</w:t>
            </w:r>
          </w:p>
        </w:tc>
        <w:tc>
          <w:tcPr>
            <w:tcW w:w="3194" w:type="dxa"/>
          </w:tcPr>
          <w:p w14:paraId="63A0D129">
            <w:pPr>
              <w:jc w:val="center"/>
              <w:rPr>
                <w:rFonts w:hint="default"/>
                <w:vertAlign w:val="baseline"/>
                <w:lang w:val="en-US" w:eastAsia="zh-CN"/>
              </w:rPr>
            </w:pPr>
            <w:r>
              <w:rPr>
                <w:rFonts w:hint="eastAsia"/>
                <w:vertAlign w:val="baseline"/>
                <w:lang w:val="en-US" w:eastAsia="zh-CN"/>
              </w:rPr>
              <w:t>体温模块</w:t>
            </w:r>
          </w:p>
        </w:tc>
        <w:tc>
          <w:tcPr>
            <w:tcW w:w="1132" w:type="dxa"/>
          </w:tcPr>
          <w:p w14:paraId="5CA1DCAC">
            <w:pPr>
              <w:jc w:val="center"/>
              <w:rPr>
                <w:rFonts w:hint="default"/>
                <w:vertAlign w:val="baseline"/>
                <w:lang w:val="en-US" w:eastAsia="zh-CN"/>
              </w:rPr>
            </w:pPr>
            <w:r>
              <w:rPr>
                <w:rFonts w:hint="eastAsia"/>
                <w:vertAlign w:val="baseline"/>
                <w:lang w:val="en-US" w:eastAsia="zh-CN"/>
              </w:rPr>
              <w:t>25套</w:t>
            </w:r>
          </w:p>
        </w:tc>
        <w:tc>
          <w:tcPr>
            <w:tcW w:w="1705" w:type="dxa"/>
          </w:tcPr>
          <w:p w14:paraId="32597CBD">
            <w:pPr>
              <w:jc w:val="center"/>
              <w:rPr>
                <w:rFonts w:hint="eastAsia"/>
                <w:vertAlign w:val="baseline"/>
                <w:lang w:val="en-US" w:eastAsia="zh-CN"/>
              </w:rPr>
            </w:pPr>
          </w:p>
        </w:tc>
      </w:tr>
      <w:tr w14:paraId="254B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shd w:val="clear" w:color="auto" w:fill="auto"/>
            <w:vAlign w:val="top"/>
          </w:tcPr>
          <w:p w14:paraId="18A27853">
            <w:pPr>
              <w:jc w:val="center"/>
              <w:rPr>
                <w:rFonts w:hint="default" w:ascii="Times New Roman" w:hAnsi="Times New Roman" w:eastAsia="宋体" w:cs="Times New Roman"/>
                <w:kern w:val="2"/>
                <w:sz w:val="21"/>
                <w:szCs w:val="22"/>
                <w:vertAlign w:val="baseline"/>
                <w:lang w:val="en-US" w:eastAsia="zh-CN" w:bidi="ar-SA"/>
              </w:rPr>
            </w:pPr>
            <w:r>
              <w:rPr>
                <w:rFonts w:hint="eastAsia"/>
                <w:vertAlign w:val="baseline"/>
                <w:lang w:val="en-US" w:eastAsia="zh-CN"/>
              </w:rPr>
              <w:t>14</w:t>
            </w:r>
          </w:p>
        </w:tc>
        <w:tc>
          <w:tcPr>
            <w:tcW w:w="3194" w:type="dxa"/>
            <w:vAlign w:val="top"/>
          </w:tcPr>
          <w:p w14:paraId="709B1057">
            <w:pPr>
              <w:jc w:val="center"/>
              <w:rPr>
                <w:rFonts w:hint="default"/>
                <w:vertAlign w:val="baseline"/>
                <w:lang w:val="en-US" w:eastAsia="zh-CN"/>
              </w:rPr>
            </w:pPr>
            <w:r>
              <w:rPr>
                <w:rFonts w:hint="eastAsia"/>
                <w:vertAlign w:val="baseline"/>
                <w:lang w:val="en-US" w:eastAsia="zh-CN"/>
              </w:rPr>
              <w:t>5导心电缆线</w:t>
            </w:r>
          </w:p>
        </w:tc>
        <w:tc>
          <w:tcPr>
            <w:tcW w:w="1132" w:type="dxa"/>
            <w:vAlign w:val="top"/>
          </w:tcPr>
          <w:p w14:paraId="3879AFDA">
            <w:pPr>
              <w:jc w:val="center"/>
              <w:rPr>
                <w:rFonts w:hint="eastAsia"/>
                <w:vertAlign w:val="baseline"/>
                <w:lang w:val="en-US" w:eastAsia="zh-CN"/>
              </w:rPr>
            </w:pPr>
            <w:r>
              <w:rPr>
                <w:rFonts w:hint="eastAsia"/>
                <w:vertAlign w:val="baseline"/>
                <w:lang w:val="en-US" w:eastAsia="zh-CN"/>
              </w:rPr>
              <w:t>50套</w:t>
            </w:r>
          </w:p>
        </w:tc>
        <w:tc>
          <w:tcPr>
            <w:tcW w:w="1705" w:type="dxa"/>
          </w:tcPr>
          <w:p w14:paraId="4C46F4A5">
            <w:pPr>
              <w:jc w:val="center"/>
              <w:rPr>
                <w:rFonts w:hint="default"/>
                <w:vertAlign w:val="baseline"/>
                <w:lang w:val="en-US" w:eastAsia="zh-CN"/>
              </w:rPr>
            </w:pPr>
          </w:p>
        </w:tc>
      </w:tr>
      <w:tr w14:paraId="15974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87" w:type="dxa"/>
            <w:shd w:val="clear" w:color="auto" w:fill="auto"/>
            <w:vAlign w:val="top"/>
          </w:tcPr>
          <w:p w14:paraId="263802C7">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15</w:t>
            </w:r>
          </w:p>
        </w:tc>
        <w:tc>
          <w:tcPr>
            <w:tcW w:w="3194" w:type="dxa"/>
            <w:vAlign w:val="top"/>
          </w:tcPr>
          <w:p w14:paraId="5A317F5D">
            <w:pPr>
              <w:jc w:val="center"/>
              <w:rPr>
                <w:rFonts w:hint="eastAsia"/>
                <w:vertAlign w:val="baseline"/>
                <w:lang w:val="en-US" w:eastAsia="zh-CN"/>
              </w:rPr>
            </w:pPr>
            <w:r>
              <w:rPr>
                <w:rFonts w:hint="eastAsia"/>
                <w:vertAlign w:val="baseline"/>
                <w:lang w:val="en-US" w:eastAsia="zh-CN"/>
              </w:rPr>
              <w:t>12导联线</w:t>
            </w:r>
          </w:p>
        </w:tc>
        <w:tc>
          <w:tcPr>
            <w:tcW w:w="1132" w:type="dxa"/>
            <w:vAlign w:val="top"/>
          </w:tcPr>
          <w:p w14:paraId="5937E596">
            <w:pPr>
              <w:jc w:val="center"/>
            </w:pPr>
            <w:r>
              <w:rPr>
                <w:rFonts w:hint="eastAsia"/>
                <w:vertAlign w:val="baseline"/>
                <w:lang w:val="en-US" w:eastAsia="zh-CN"/>
              </w:rPr>
              <w:t>2套</w:t>
            </w:r>
          </w:p>
        </w:tc>
        <w:tc>
          <w:tcPr>
            <w:tcW w:w="1705" w:type="dxa"/>
          </w:tcPr>
          <w:p w14:paraId="5026363C">
            <w:pPr>
              <w:jc w:val="center"/>
              <w:rPr>
                <w:rFonts w:hint="default"/>
                <w:vertAlign w:val="baseline"/>
                <w:lang w:val="en-US" w:eastAsia="zh-CN"/>
              </w:rPr>
            </w:pPr>
          </w:p>
        </w:tc>
      </w:tr>
      <w:tr w14:paraId="27D14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shd w:val="clear" w:color="auto" w:fill="auto"/>
            <w:vAlign w:val="top"/>
          </w:tcPr>
          <w:p w14:paraId="27F4CEF6">
            <w:pPr>
              <w:jc w:val="center"/>
              <w:rPr>
                <w:rFonts w:hint="default" w:ascii="Times New Roman" w:hAnsi="Times New Roman" w:eastAsia="宋体" w:cs="Times New Roman"/>
                <w:kern w:val="2"/>
                <w:sz w:val="21"/>
                <w:szCs w:val="22"/>
                <w:vertAlign w:val="baseline"/>
                <w:lang w:val="en-US" w:eastAsia="zh-CN" w:bidi="ar-SA"/>
              </w:rPr>
            </w:pPr>
            <w:r>
              <w:rPr>
                <w:rFonts w:hint="eastAsia"/>
                <w:vertAlign w:val="baseline"/>
                <w:lang w:val="en-US" w:eastAsia="zh-CN"/>
              </w:rPr>
              <w:t>16</w:t>
            </w:r>
          </w:p>
        </w:tc>
        <w:tc>
          <w:tcPr>
            <w:tcW w:w="3194" w:type="dxa"/>
            <w:vAlign w:val="top"/>
          </w:tcPr>
          <w:p w14:paraId="24ADC9FA">
            <w:pPr>
              <w:jc w:val="center"/>
              <w:rPr>
                <w:rFonts w:hint="default"/>
                <w:vertAlign w:val="baseline"/>
                <w:lang w:val="en-US" w:eastAsia="zh-CN"/>
              </w:rPr>
            </w:pPr>
            <w:r>
              <w:rPr>
                <w:rFonts w:hint="eastAsia"/>
                <w:vertAlign w:val="baseline"/>
                <w:lang w:val="en-US" w:eastAsia="zh-CN"/>
              </w:rPr>
              <w:t>无创血压导气管</w:t>
            </w:r>
          </w:p>
        </w:tc>
        <w:tc>
          <w:tcPr>
            <w:tcW w:w="1132" w:type="dxa"/>
            <w:vAlign w:val="top"/>
          </w:tcPr>
          <w:p w14:paraId="01C6DE8D">
            <w:pPr>
              <w:jc w:val="center"/>
              <w:rPr>
                <w:rFonts w:hint="eastAsia"/>
                <w:vertAlign w:val="baseline"/>
                <w:lang w:val="en-US" w:eastAsia="zh-CN"/>
              </w:rPr>
            </w:pPr>
            <w:r>
              <w:rPr>
                <w:rFonts w:hint="eastAsia"/>
                <w:vertAlign w:val="baseline"/>
                <w:lang w:val="en-US" w:eastAsia="zh-CN"/>
              </w:rPr>
              <w:t>50套</w:t>
            </w:r>
          </w:p>
        </w:tc>
        <w:tc>
          <w:tcPr>
            <w:tcW w:w="1705" w:type="dxa"/>
          </w:tcPr>
          <w:p w14:paraId="2CC36CE6">
            <w:pPr>
              <w:jc w:val="center"/>
              <w:rPr>
                <w:rFonts w:hint="default"/>
                <w:vertAlign w:val="baseline"/>
                <w:lang w:val="en-US" w:eastAsia="zh-CN"/>
              </w:rPr>
            </w:pPr>
          </w:p>
        </w:tc>
      </w:tr>
      <w:tr w14:paraId="07A0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shd w:val="clear" w:color="auto" w:fill="auto"/>
            <w:vAlign w:val="top"/>
          </w:tcPr>
          <w:p w14:paraId="16FC25C2">
            <w:pPr>
              <w:jc w:val="center"/>
              <w:rPr>
                <w:rFonts w:hint="default" w:ascii="Times New Roman" w:hAnsi="Times New Roman" w:eastAsia="宋体" w:cs="Times New Roman"/>
                <w:kern w:val="2"/>
                <w:sz w:val="21"/>
                <w:szCs w:val="22"/>
                <w:vertAlign w:val="baseline"/>
                <w:lang w:val="en-US" w:eastAsia="zh-CN" w:bidi="ar-SA"/>
              </w:rPr>
            </w:pPr>
            <w:r>
              <w:rPr>
                <w:rFonts w:hint="eastAsia"/>
                <w:vertAlign w:val="baseline"/>
                <w:lang w:val="en-US" w:eastAsia="zh-CN"/>
              </w:rPr>
              <w:t>17</w:t>
            </w:r>
          </w:p>
        </w:tc>
        <w:tc>
          <w:tcPr>
            <w:tcW w:w="3194" w:type="dxa"/>
            <w:vAlign w:val="top"/>
          </w:tcPr>
          <w:p w14:paraId="481F8D4F">
            <w:pPr>
              <w:jc w:val="center"/>
              <w:rPr>
                <w:rFonts w:hint="default"/>
                <w:vertAlign w:val="baseline"/>
                <w:lang w:val="en-US" w:eastAsia="zh-CN"/>
              </w:rPr>
            </w:pPr>
            <w:r>
              <w:rPr>
                <w:rFonts w:hint="eastAsia"/>
                <w:vertAlign w:val="baseline"/>
                <w:lang w:val="en-US" w:eastAsia="zh-CN"/>
              </w:rPr>
              <w:t>成人无创血压袖带</w:t>
            </w:r>
          </w:p>
        </w:tc>
        <w:tc>
          <w:tcPr>
            <w:tcW w:w="1132" w:type="dxa"/>
            <w:vAlign w:val="top"/>
          </w:tcPr>
          <w:p w14:paraId="404C590F">
            <w:pPr>
              <w:jc w:val="center"/>
              <w:rPr>
                <w:rFonts w:hint="eastAsia"/>
                <w:vertAlign w:val="baseline"/>
                <w:lang w:val="en-US" w:eastAsia="zh-CN"/>
              </w:rPr>
            </w:pPr>
            <w:r>
              <w:rPr>
                <w:rFonts w:hint="eastAsia"/>
                <w:vertAlign w:val="baseline"/>
                <w:lang w:val="en-US" w:eastAsia="zh-CN"/>
              </w:rPr>
              <w:t>50套</w:t>
            </w:r>
          </w:p>
        </w:tc>
        <w:tc>
          <w:tcPr>
            <w:tcW w:w="1705" w:type="dxa"/>
          </w:tcPr>
          <w:p w14:paraId="21F54CED">
            <w:pPr>
              <w:jc w:val="center"/>
              <w:rPr>
                <w:rFonts w:hint="default"/>
                <w:vertAlign w:val="baseline"/>
                <w:lang w:val="en-US" w:eastAsia="zh-CN"/>
              </w:rPr>
            </w:pPr>
          </w:p>
        </w:tc>
      </w:tr>
      <w:tr w14:paraId="1B8E2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shd w:val="clear" w:color="auto" w:fill="auto"/>
            <w:vAlign w:val="top"/>
          </w:tcPr>
          <w:p w14:paraId="2F2461B7">
            <w:pPr>
              <w:jc w:val="center"/>
              <w:rPr>
                <w:rFonts w:hint="default" w:ascii="Times New Roman" w:hAnsi="Times New Roman" w:eastAsia="宋体" w:cs="Times New Roman"/>
                <w:kern w:val="2"/>
                <w:sz w:val="21"/>
                <w:szCs w:val="22"/>
                <w:vertAlign w:val="baseline"/>
                <w:lang w:val="en-US" w:eastAsia="zh-CN" w:bidi="ar-SA"/>
              </w:rPr>
            </w:pPr>
            <w:r>
              <w:rPr>
                <w:rFonts w:hint="eastAsia"/>
                <w:vertAlign w:val="baseline"/>
                <w:lang w:val="en-US" w:eastAsia="zh-CN"/>
              </w:rPr>
              <w:t>18</w:t>
            </w:r>
          </w:p>
        </w:tc>
        <w:tc>
          <w:tcPr>
            <w:tcW w:w="3194" w:type="dxa"/>
            <w:vAlign w:val="top"/>
          </w:tcPr>
          <w:p w14:paraId="3A0ECDA8">
            <w:pPr>
              <w:jc w:val="center"/>
              <w:rPr>
                <w:rFonts w:hint="eastAsia"/>
                <w:vertAlign w:val="baseline"/>
                <w:lang w:val="en-US" w:eastAsia="zh-CN"/>
              </w:rPr>
            </w:pPr>
            <w:r>
              <w:rPr>
                <w:rFonts w:hint="eastAsia"/>
                <w:vertAlign w:val="baseline"/>
                <w:lang w:val="en-US" w:eastAsia="zh-CN"/>
              </w:rPr>
              <w:t>成人SpO2探头</w:t>
            </w:r>
          </w:p>
        </w:tc>
        <w:tc>
          <w:tcPr>
            <w:tcW w:w="1132" w:type="dxa"/>
            <w:vAlign w:val="top"/>
          </w:tcPr>
          <w:p w14:paraId="7337FF86">
            <w:pPr>
              <w:jc w:val="center"/>
              <w:rPr>
                <w:rFonts w:hint="eastAsia"/>
                <w:vertAlign w:val="baseline"/>
                <w:lang w:val="en-US" w:eastAsia="zh-CN"/>
              </w:rPr>
            </w:pPr>
            <w:r>
              <w:rPr>
                <w:rFonts w:hint="eastAsia"/>
                <w:vertAlign w:val="baseline"/>
                <w:lang w:val="en-US" w:eastAsia="zh-CN"/>
              </w:rPr>
              <w:t>50套</w:t>
            </w:r>
          </w:p>
        </w:tc>
        <w:tc>
          <w:tcPr>
            <w:tcW w:w="1705" w:type="dxa"/>
          </w:tcPr>
          <w:p w14:paraId="449BF89D">
            <w:pPr>
              <w:jc w:val="center"/>
              <w:rPr>
                <w:rFonts w:hint="default"/>
                <w:vertAlign w:val="baseline"/>
                <w:lang w:val="en-US" w:eastAsia="zh-CN"/>
              </w:rPr>
            </w:pPr>
          </w:p>
        </w:tc>
      </w:tr>
      <w:tr w14:paraId="04E3C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top"/>
          </w:tcPr>
          <w:p w14:paraId="50AA0824">
            <w:pPr>
              <w:jc w:val="center"/>
              <w:rPr>
                <w:rFonts w:hint="default"/>
                <w:vertAlign w:val="baseline"/>
                <w:lang w:val="en-US" w:eastAsia="zh-CN"/>
              </w:rPr>
            </w:pPr>
            <w:r>
              <w:rPr>
                <w:rFonts w:hint="eastAsia"/>
                <w:vertAlign w:val="baseline"/>
                <w:lang w:val="en-US" w:eastAsia="zh-CN"/>
              </w:rPr>
              <w:t>19</w:t>
            </w:r>
          </w:p>
        </w:tc>
        <w:tc>
          <w:tcPr>
            <w:tcW w:w="3194" w:type="dxa"/>
            <w:vAlign w:val="top"/>
          </w:tcPr>
          <w:p w14:paraId="5063E561">
            <w:pPr>
              <w:jc w:val="center"/>
              <w:rPr>
                <w:rFonts w:hint="default"/>
                <w:vertAlign w:val="baseline"/>
                <w:lang w:val="en-US" w:eastAsia="zh-CN"/>
              </w:rPr>
            </w:pPr>
            <w:r>
              <w:rPr>
                <w:rFonts w:hint="eastAsia"/>
                <w:vertAlign w:val="baseline"/>
                <w:lang w:val="en-US" w:eastAsia="zh-CN"/>
              </w:rPr>
              <w:t>小儿SpO2探头</w:t>
            </w:r>
          </w:p>
        </w:tc>
        <w:tc>
          <w:tcPr>
            <w:tcW w:w="1132" w:type="dxa"/>
            <w:vAlign w:val="top"/>
          </w:tcPr>
          <w:p w14:paraId="56F77B92">
            <w:pPr>
              <w:jc w:val="center"/>
              <w:rPr>
                <w:rFonts w:hint="default"/>
                <w:vertAlign w:val="baseline"/>
                <w:lang w:val="en-US" w:eastAsia="zh-CN"/>
              </w:rPr>
            </w:pPr>
            <w:r>
              <w:rPr>
                <w:rFonts w:hint="eastAsia"/>
                <w:vertAlign w:val="baseline"/>
                <w:lang w:val="en-US" w:eastAsia="zh-CN"/>
              </w:rPr>
              <w:t>10个</w:t>
            </w:r>
          </w:p>
        </w:tc>
        <w:tc>
          <w:tcPr>
            <w:tcW w:w="1705" w:type="dxa"/>
          </w:tcPr>
          <w:p w14:paraId="6485D89E">
            <w:pPr>
              <w:jc w:val="center"/>
              <w:rPr>
                <w:rFonts w:hint="default"/>
                <w:vertAlign w:val="baseline"/>
                <w:lang w:val="en-US" w:eastAsia="zh-CN"/>
              </w:rPr>
            </w:pPr>
          </w:p>
        </w:tc>
      </w:tr>
      <w:tr w14:paraId="6D1CD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top"/>
          </w:tcPr>
          <w:p w14:paraId="65655436">
            <w:pPr>
              <w:jc w:val="center"/>
              <w:rPr>
                <w:rFonts w:hint="default"/>
                <w:vertAlign w:val="baseline"/>
                <w:lang w:val="en-US" w:eastAsia="zh-CN"/>
              </w:rPr>
            </w:pPr>
            <w:r>
              <w:rPr>
                <w:rFonts w:hint="eastAsia"/>
                <w:vertAlign w:val="baseline"/>
                <w:lang w:val="en-US" w:eastAsia="zh-CN"/>
              </w:rPr>
              <w:t>20</w:t>
            </w:r>
          </w:p>
        </w:tc>
        <w:tc>
          <w:tcPr>
            <w:tcW w:w="3194" w:type="dxa"/>
            <w:vAlign w:val="top"/>
          </w:tcPr>
          <w:p w14:paraId="71F5B96E">
            <w:pPr>
              <w:jc w:val="center"/>
              <w:rPr>
                <w:rFonts w:hint="default"/>
                <w:vertAlign w:val="baseline"/>
                <w:lang w:val="en-US" w:eastAsia="zh-CN"/>
              </w:rPr>
            </w:pPr>
            <w:r>
              <w:rPr>
                <w:rFonts w:hint="eastAsia"/>
                <w:vertAlign w:val="baseline"/>
                <w:lang w:val="en-US" w:eastAsia="zh-CN"/>
              </w:rPr>
              <w:t>磁共振转运呼吸机</w:t>
            </w:r>
          </w:p>
        </w:tc>
        <w:tc>
          <w:tcPr>
            <w:tcW w:w="1132" w:type="dxa"/>
            <w:vAlign w:val="top"/>
          </w:tcPr>
          <w:p w14:paraId="644DDB4F">
            <w:pPr>
              <w:jc w:val="center"/>
              <w:rPr>
                <w:rFonts w:hint="default"/>
                <w:vertAlign w:val="baseline"/>
                <w:lang w:val="en-US" w:eastAsia="zh-CN"/>
              </w:rPr>
            </w:pPr>
            <w:r>
              <w:rPr>
                <w:rFonts w:hint="eastAsia"/>
                <w:vertAlign w:val="baseline"/>
                <w:lang w:val="en-US" w:eastAsia="zh-CN"/>
              </w:rPr>
              <w:t>1台</w:t>
            </w:r>
          </w:p>
        </w:tc>
        <w:tc>
          <w:tcPr>
            <w:tcW w:w="1705" w:type="dxa"/>
          </w:tcPr>
          <w:p w14:paraId="25E1E68A">
            <w:pPr>
              <w:jc w:val="center"/>
              <w:rPr>
                <w:rFonts w:hint="default"/>
                <w:vertAlign w:val="baseline"/>
                <w:lang w:val="en-US" w:eastAsia="zh-CN"/>
              </w:rPr>
            </w:pPr>
          </w:p>
        </w:tc>
      </w:tr>
    </w:tbl>
    <w:p w14:paraId="39DB85AD">
      <w:pPr>
        <w:jc w:val="left"/>
        <w:outlineLvl w:val="1"/>
        <w:rPr>
          <w:rFonts w:hint="default"/>
          <w:b/>
          <w:bCs/>
          <w:sz w:val="24"/>
          <w:szCs w:val="32"/>
          <w:lang w:val="en-US" w:eastAsia="zh-CN"/>
        </w:rPr>
      </w:pPr>
      <w:r>
        <w:rPr>
          <w:rFonts w:hint="eastAsia"/>
          <w:b/>
          <w:bCs/>
          <w:sz w:val="24"/>
          <w:szCs w:val="32"/>
          <w:lang w:val="en-US" w:eastAsia="zh-CN"/>
        </w:rPr>
        <w:t>四、配置清单</w:t>
      </w:r>
    </w:p>
    <w:p w14:paraId="431E859A">
      <w:pPr>
        <w:jc w:val="center"/>
        <w:rPr>
          <w:rFonts w:hint="eastAsia"/>
          <w:sz w:val="24"/>
          <w:szCs w:val="32"/>
          <w:lang w:val="en-US" w:eastAsia="zh-CN"/>
        </w:rPr>
      </w:pPr>
    </w:p>
    <w:p w14:paraId="63E8BF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sz w:val="24"/>
          <w:szCs w:val="24"/>
          <w:lang w:val="en-US" w:eastAsia="zh-CN"/>
        </w:rPr>
        <w:sectPr>
          <w:pgSz w:w="11907" w:h="16840"/>
          <w:pgMar w:top="1440" w:right="1247" w:bottom="1440" w:left="1247" w:header="851" w:footer="992" w:gutter="0"/>
          <w:pgNumType w:fmt="decimal"/>
          <w:cols w:space="720" w:num="1"/>
          <w:docGrid w:linePitch="303" w:charSpace="0"/>
        </w:sectPr>
      </w:pPr>
    </w:p>
    <w:p w14:paraId="46935384">
      <w:pPr>
        <w:spacing w:line="360" w:lineRule="auto"/>
        <w:outlineLvl w:val="1"/>
        <w:rPr>
          <w:rFonts w:hint="eastAsia" w:ascii="宋体" w:hAnsi="宋体"/>
          <w:b/>
          <w:bCs/>
          <w:sz w:val="24"/>
          <w:szCs w:val="18"/>
          <w:highlight w:val="none"/>
        </w:rPr>
      </w:pPr>
      <w:r>
        <w:rPr>
          <w:rFonts w:hint="eastAsia" w:ascii="宋体" w:hAnsi="宋体"/>
          <w:b/>
          <w:bCs/>
          <w:sz w:val="24"/>
          <w:szCs w:val="18"/>
          <w:highlight w:val="none"/>
          <w:lang w:val="en-US" w:eastAsia="zh-CN"/>
        </w:rPr>
        <w:t>五、</w:t>
      </w:r>
      <w:r>
        <w:rPr>
          <w:rFonts w:hint="eastAsia" w:ascii="宋体" w:hAnsi="宋体"/>
          <w:b/>
          <w:bCs/>
          <w:sz w:val="24"/>
          <w:szCs w:val="18"/>
          <w:highlight w:val="none"/>
        </w:rPr>
        <w:t>其他要求</w:t>
      </w:r>
    </w:p>
    <w:p w14:paraId="4000EF86">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b/>
          <w:bCs/>
          <w:color w:val="000000"/>
          <w:sz w:val="24"/>
          <w:szCs w:val="24"/>
          <w:highlight w:val="none"/>
        </w:rPr>
      </w:pPr>
      <w:r>
        <w:rPr>
          <w:rFonts w:hint="eastAsia" w:ascii="宋体" w:hAnsi="宋体" w:cs="宋体"/>
          <w:b w:val="0"/>
          <w:bCs w:val="0"/>
          <w:color w:val="000000"/>
          <w:sz w:val="24"/>
          <w:szCs w:val="24"/>
          <w:highlight w:val="none"/>
          <w:lang w:val="en-US" w:eastAsia="zh-CN"/>
        </w:rPr>
        <w:t>1.</w:t>
      </w:r>
      <w:r>
        <w:rPr>
          <w:rFonts w:ascii="宋体" w:hAnsi="宋体" w:eastAsia="宋体" w:cs="宋体"/>
          <w:b w:val="0"/>
          <w:bCs w:val="0"/>
          <w:color w:val="000000"/>
          <w:sz w:val="24"/>
          <w:szCs w:val="24"/>
          <w:highlight w:val="none"/>
        </w:rPr>
        <w:t>整机原厂</w:t>
      </w:r>
      <w:r>
        <w:rPr>
          <w:rFonts w:hint="eastAsia" w:ascii="宋体" w:hAnsi="宋体" w:cs="宋体"/>
          <w:b w:val="0"/>
          <w:bCs w:val="0"/>
          <w:color w:val="000000"/>
          <w:sz w:val="24"/>
          <w:szCs w:val="24"/>
          <w:highlight w:val="none"/>
          <w:lang w:val="en-US" w:eastAsia="zh-CN"/>
        </w:rPr>
        <w:t>质保5年</w:t>
      </w:r>
      <w:r>
        <w:rPr>
          <w:rFonts w:ascii="宋体" w:hAnsi="宋体" w:eastAsia="宋体" w:cs="宋体"/>
          <w:b w:val="0"/>
          <w:bCs w:val="0"/>
          <w:color w:val="000000"/>
          <w:sz w:val="24"/>
          <w:szCs w:val="24"/>
          <w:highlight w:val="none"/>
        </w:rPr>
        <w:t>，保修期自设备安装完毕，双方签署本次集中采购统一格式的验收报告后开始计算。保修期间要确保系统的正常运行，提供周期维护保养（PM）≥4 次，保修期内保证在接到设备故障报修通知后，维修工程师</w:t>
      </w:r>
      <w:r>
        <w:rPr>
          <w:rFonts w:hint="eastAsia" w:ascii="宋体" w:hAnsi="宋体" w:cs="宋体"/>
          <w:b w:val="0"/>
          <w:bCs w:val="0"/>
          <w:color w:val="000000"/>
          <w:sz w:val="24"/>
          <w:szCs w:val="24"/>
          <w:highlight w:val="none"/>
          <w:lang w:val="en-US" w:eastAsia="zh-CN"/>
        </w:rPr>
        <w:t>1</w:t>
      </w:r>
      <w:r>
        <w:rPr>
          <w:rFonts w:ascii="宋体" w:hAnsi="宋体" w:eastAsia="宋体" w:cs="宋体"/>
          <w:b w:val="0"/>
          <w:bCs w:val="0"/>
          <w:color w:val="000000"/>
          <w:sz w:val="24"/>
          <w:szCs w:val="24"/>
          <w:highlight w:val="none"/>
        </w:rPr>
        <w:t>小时内响应，24小时内到达现场检修，保修期内外（包括休息日和节假日） 均能派出维修工程师到达现场维修</w:t>
      </w:r>
      <w:r>
        <w:rPr>
          <w:rFonts w:hint="eastAsia" w:ascii="宋体" w:hAnsi="宋体" w:cs="宋体"/>
          <w:b w:val="0"/>
          <w:bCs w:val="0"/>
          <w:color w:val="000000"/>
          <w:sz w:val="24"/>
          <w:szCs w:val="24"/>
          <w:highlight w:val="none"/>
          <w:lang w:eastAsia="zh-CN"/>
        </w:rPr>
        <w:t>，如在3天内无法修复</w:t>
      </w:r>
      <w:r>
        <w:rPr>
          <w:rFonts w:hint="eastAsia" w:ascii="宋体" w:hAnsi="宋体" w:cs="宋体"/>
          <w:b w:val="0"/>
          <w:bCs w:val="0"/>
          <w:color w:val="000000"/>
          <w:sz w:val="24"/>
          <w:szCs w:val="24"/>
          <w:highlight w:val="none"/>
          <w:lang w:val="en-US" w:eastAsia="zh-CN"/>
        </w:rPr>
        <w:t>机器</w:t>
      </w:r>
      <w:r>
        <w:rPr>
          <w:rFonts w:hint="eastAsia" w:ascii="宋体" w:hAnsi="宋体" w:cs="宋体"/>
          <w:b w:val="0"/>
          <w:bCs w:val="0"/>
          <w:color w:val="000000"/>
          <w:sz w:val="24"/>
          <w:szCs w:val="24"/>
          <w:highlight w:val="none"/>
          <w:lang w:eastAsia="zh-CN"/>
        </w:rPr>
        <w:t>提供与该设备相同的备用机</w:t>
      </w:r>
      <w:r>
        <w:rPr>
          <w:rFonts w:ascii="宋体" w:hAnsi="宋体" w:eastAsia="宋体" w:cs="宋体"/>
          <w:b w:val="0"/>
          <w:bCs w:val="0"/>
          <w:color w:val="000000"/>
          <w:sz w:val="24"/>
          <w:szCs w:val="24"/>
          <w:highlight w:val="none"/>
        </w:rPr>
        <w:t>。</w:t>
      </w:r>
      <w:r>
        <w:rPr>
          <w:rFonts w:ascii="宋体" w:hAnsi="宋体" w:eastAsia="宋体" w:cs="宋体"/>
          <w:b/>
          <w:bCs/>
          <w:color w:val="000000"/>
          <w:sz w:val="24"/>
          <w:szCs w:val="24"/>
          <w:highlight w:val="none"/>
        </w:rPr>
        <w:t>投标人在投标文件中承诺中标后提供由制造商针对设备整机加盖制造商公章的售后服务承诺书，承诺书涵盖以上内容。如未能提供，则采购人有权解除合同，并上报监管部门，且中标人须承担由此产生的一切责任。</w:t>
      </w:r>
      <w:r>
        <w:rPr>
          <w:rFonts w:hint="eastAsia" w:ascii="宋体" w:hAnsi="宋体" w:eastAsia="宋体" w:cs="宋体"/>
          <w:b/>
          <w:bCs w:val="0"/>
          <w:strike w:val="0"/>
          <w:dstrike w:val="0"/>
          <w:sz w:val="24"/>
          <w:szCs w:val="24"/>
          <w:highlight w:val="none"/>
          <w:lang w:val="en-US" w:eastAsia="zh-CN"/>
        </w:rPr>
        <w:t>（投标人提供承诺，格式</w:t>
      </w:r>
      <w:r>
        <w:rPr>
          <w:rFonts w:hint="eastAsia" w:ascii="宋体" w:hAnsi="宋体" w:cs="宋体"/>
          <w:b/>
          <w:bCs w:val="0"/>
          <w:strike w:val="0"/>
          <w:dstrike w:val="0"/>
          <w:sz w:val="24"/>
          <w:szCs w:val="24"/>
          <w:highlight w:val="none"/>
          <w:lang w:val="en-US" w:eastAsia="zh-CN"/>
        </w:rPr>
        <w:t>详见</w:t>
      </w:r>
      <w:r>
        <w:rPr>
          <w:rFonts w:hint="eastAsia" w:ascii="宋体" w:hAnsi="宋体" w:eastAsia="宋体" w:cs="宋体"/>
          <w:b/>
          <w:bCs w:val="0"/>
          <w:strike w:val="0"/>
          <w:dstrike w:val="0"/>
          <w:sz w:val="24"/>
          <w:szCs w:val="24"/>
          <w:highlight w:val="none"/>
          <w:lang w:val="en-US" w:eastAsia="zh-CN"/>
        </w:rPr>
        <w:t>第六章投标文件格式</w:t>
      </w:r>
      <w:r>
        <w:rPr>
          <w:rFonts w:hint="eastAsia" w:ascii="宋体" w:hAnsi="宋体" w:cs="宋体"/>
          <w:b/>
          <w:bCs w:val="0"/>
          <w:strike w:val="0"/>
          <w:dstrike w:val="0"/>
          <w:sz w:val="24"/>
          <w:szCs w:val="24"/>
          <w:highlight w:val="none"/>
          <w:lang w:val="en-US" w:eastAsia="zh-CN"/>
        </w:rPr>
        <w:t>“十三、其他要求承诺函”</w:t>
      </w:r>
      <w:r>
        <w:rPr>
          <w:rFonts w:hint="eastAsia" w:ascii="宋体" w:hAnsi="宋体" w:eastAsia="宋体" w:cs="宋体"/>
          <w:b/>
          <w:bCs w:val="0"/>
          <w:strike w:val="0"/>
          <w:dstrike w:val="0"/>
          <w:sz w:val="24"/>
          <w:szCs w:val="24"/>
          <w:highlight w:val="none"/>
          <w:lang w:val="en-US" w:eastAsia="zh-CN"/>
        </w:rPr>
        <w:t>）</w:t>
      </w:r>
    </w:p>
    <w:p w14:paraId="1A97319E">
      <w:pPr>
        <w:pStyle w:val="3"/>
        <w:keepNext w:val="0"/>
        <w:keepLines w:val="0"/>
        <w:pageBreakBefore w:val="0"/>
        <w:numPr>
          <w:ilvl w:val="0"/>
          <w:numId w:val="0"/>
        </w:numPr>
        <w:kinsoku/>
        <w:wordWrap/>
        <w:overflowPunct/>
        <w:topLinePunct w:val="0"/>
        <w:autoSpaceDE/>
        <w:autoSpaceDN/>
        <w:bidi w:val="0"/>
        <w:adjustRightInd/>
        <w:snapToGrid/>
        <w:ind w:firstLine="480" w:firstLineChars="200"/>
        <w:textAlignment w:val="auto"/>
        <w:rPr>
          <w:rFonts w:hint="default" w:ascii="宋体" w:hAnsi="宋体" w:eastAsia="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2.备品备件供货与价格：备件保证为原厂备件，备件价格不高于市场价。</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7621D39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szCs w:val="18"/>
          <w:highlight w:val="none"/>
        </w:rPr>
      </w:pPr>
      <w:r>
        <w:rPr>
          <w:rFonts w:hint="eastAsia" w:ascii="宋体" w:hAnsi="宋体"/>
          <w:sz w:val="24"/>
          <w:szCs w:val="18"/>
          <w:highlight w:val="none"/>
          <w:lang w:val="en-US" w:eastAsia="zh-CN"/>
        </w:rPr>
        <w:t>3.</w:t>
      </w:r>
      <w:r>
        <w:rPr>
          <w:rFonts w:hint="eastAsia" w:ascii="宋体" w:hAnsi="宋体"/>
          <w:sz w:val="24"/>
          <w:szCs w:val="18"/>
          <w:highlight w:val="none"/>
        </w:rPr>
        <w:t>对采购人的技术操作人员、设备科管理人员进行分期分批（不少于3 次）的正规的整套设备操作、维修、检测等内容的技术培训。提供操作说明书（含中英文）及维修说明书，并提供专用维修工具1套。（费用包含在投标总价中）</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69AF11F3">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18"/>
          <w:highlight w:val="none"/>
        </w:rPr>
      </w:pPr>
      <w:r>
        <w:rPr>
          <w:rFonts w:hint="eastAsia" w:ascii="宋体" w:hAnsi="宋体"/>
          <w:sz w:val="24"/>
          <w:szCs w:val="18"/>
          <w:highlight w:val="none"/>
          <w:lang w:val="en-US" w:eastAsia="zh-CN"/>
        </w:rPr>
        <w:t>4.</w:t>
      </w:r>
      <w:r>
        <w:rPr>
          <w:rFonts w:hint="eastAsia" w:ascii="宋体" w:hAnsi="宋体"/>
          <w:sz w:val="24"/>
          <w:szCs w:val="18"/>
          <w:highlight w:val="none"/>
        </w:rPr>
        <w:t>与医院在用信息系统实现互联互通（如产生第三方对接开发费用，由中标人负责），包含在总价内。</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5672C3BF">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olor w:val="FF0000"/>
          <w:sz w:val="24"/>
          <w:szCs w:val="18"/>
          <w:highlight w:val="none"/>
        </w:rPr>
      </w:pPr>
      <w:r>
        <w:rPr>
          <w:rFonts w:hint="eastAsia" w:ascii="宋体" w:hAnsi="宋体"/>
          <w:sz w:val="24"/>
          <w:szCs w:val="18"/>
          <w:highlight w:val="none"/>
          <w:lang w:val="en-US" w:eastAsia="zh-CN"/>
        </w:rPr>
        <w:t>5.</w:t>
      </w:r>
      <w:r>
        <w:rPr>
          <w:rFonts w:hint="eastAsia" w:ascii="宋体" w:hAnsi="宋体"/>
          <w:sz w:val="24"/>
          <w:szCs w:val="18"/>
          <w:highlight w:val="none"/>
        </w:rPr>
        <w:t>投标人须承诺具备并提供</w:t>
      </w:r>
      <w:r>
        <w:rPr>
          <w:rFonts w:hint="eastAsia" w:ascii="宋体" w:hAnsi="宋体"/>
          <w:sz w:val="24"/>
          <w:szCs w:val="18"/>
          <w:highlight w:val="none"/>
          <w:lang w:val="en-US" w:eastAsia="zh-CN"/>
        </w:rPr>
        <w:t>第三章采购需求《四、配置要求》中的全部</w:t>
      </w:r>
      <w:r>
        <w:rPr>
          <w:rFonts w:hint="eastAsia" w:ascii="宋体" w:hAnsi="宋体"/>
          <w:sz w:val="24"/>
          <w:szCs w:val="18"/>
          <w:highlight w:val="none"/>
        </w:rPr>
        <w:t>内容。</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75371B3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18"/>
          <w:highlight w:val="none"/>
        </w:rPr>
      </w:pPr>
      <w:r>
        <w:rPr>
          <w:rFonts w:hint="eastAsia" w:ascii="宋体" w:hAnsi="宋体"/>
          <w:sz w:val="24"/>
          <w:highlight w:val="none"/>
          <w:lang w:val="en-US" w:eastAsia="zh-CN"/>
        </w:rPr>
        <w:t>6.</w:t>
      </w:r>
      <w:r>
        <w:rPr>
          <w:rFonts w:hint="eastAsia" w:ascii="宋体" w:hAnsi="宋体"/>
          <w:sz w:val="24"/>
          <w:highlight w:val="none"/>
        </w:rPr>
        <w:t>中标后，按照投标人所投技术参数验收，如有虚假应标，无偿退货，</w:t>
      </w:r>
      <w:r>
        <w:rPr>
          <w:rFonts w:ascii="宋体" w:hAnsi="宋体"/>
          <w:sz w:val="24"/>
          <w:highlight w:val="none"/>
        </w:rPr>
        <w:t>采购人有权解除合同，并上报监管部门，且中标人须承担由此产生的一切责任。</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205F7018">
      <w:pPr>
        <w:pStyle w:val="12"/>
        <w:numPr>
          <w:ilvl w:val="0"/>
          <w:numId w:val="0"/>
        </w:numPr>
        <w:ind w:leftChars="0"/>
        <w:rPr>
          <w:rFonts w:hint="eastAsia" w:ascii="宋体" w:hAnsi="宋体" w:eastAsia="宋体" w:cs="宋体"/>
          <w:color w:val="000000" w:themeColor="text1"/>
          <w:sz w:val="24"/>
          <w:szCs w:val="24"/>
          <w14:textFill>
            <w14:solidFill>
              <w14:schemeClr w14:val="tx1"/>
            </w14:solidFill>
          </w14:textFill>
        </w:rPr>
      </w:pPr>
    </w:p>
    <w:p w14:paraId="3749BC11">
      <w:r>
        <w:rPr>
          <w:rFonts w:hint="default" w:ascii="宋体" w:hAnsi="宋体" w:eastAsia="宋体" w:cs="宋体"/>
          <w:b/>
          <w:strike w:val="0"/>
          <w:dstrike w:val="0"/>
          <w:sz w:val="32"/>
          <w:szCs w:val="32"/>
          <w:u w:val="double"/>
          <w:lang w:val="en-US" w:eastAsia="zh-CN"/>
        </w:rPr>
        <w:t>注：上述其他要求条款必须全部满足并按要求承诺，否则作无效标处理</w:t>
      </w:r>
      <w:r>
        <w:rPr>
          <w:rFonts w:hint="eastAsia" w:ascii="宋体" w:hAnsi="宋体" w:cs="宋体"/>
          <w:b/>
          <w:strike w:val="0"/>
          <w:dstrike w:val="0"/>
          <w:sz w:val="32"/>
          <w:szCs w:val="32"/>
          <w:u w:val="double"/>
          <w:lang w:val="en-US" w:eastAsia="zh-CN"/>
        </w:rPr>
        <w:t>，承诺函格式详见第六章投标文件格式“十三、其他要求承诺函””。</w:t>
      </w:r>
      <w:bookmarkStart w:id="8" w:name="_GoBack"/>
      <w:bookmarkEnd w:id="8"/>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757D3">
    <w:pPr>
      <w:pStyle w:val="5"/>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196A90"/>
    <w:multiLevelType w:val="singleLevel"/>
    <w:tmpl w:val="CC196A90"/>
    <w:lvl w:ilvl="0" w:tentative="0">
      <w:start w:val="1"/>
      <w:numFmt w:val="decimal"/>
      <w:lvlText w:val="%1."/>
      <w:lvlJc w:val="left"/>
      <w:pPr>
        <w:ind w:left="425" w:hanging="425"/>
      </w:pPr>
      <w:rPr>
        <w:rFonts w:hint="default"/>
        <w:strike w:val="0"/>
        <w:dstrike w:val="0"/>
      </w:rPr>
    </w:lvl>
  </w:abstractNum>
  <w:abstractNum w:abstractNumId="1">
    <w:nsid w:val="D2F73FBF"/>
    <w:multiLevelType w:val="multilevel"/>
    <w:tmpl w:val="D2F73FBF"/>
    <w:lvl w:ilvl="0" w:tentative="0">
      <w:start w:val="1"/>
      <w:numFmt w:val="decimal"/>
      <w:lvlText w:val="%1."/>
      <w:lvlJc w:val="left"/>
      <w:pPr>
        <w:ind w:left="630" w:hanging="420"/>
      </w:pPr>
    </w:lvl>
    <w:lvl w:ilvl="1" w:tentative="0">
      <w:start w:val="0"/>
      <w:numFmt w:val="bullet"/>
      <w:lvlText w:val="★"/>
      <w:lvlJc w:val="left"/>
      <w:pPr>
        <w:ind w:left="780" w:hanging="360"/>
      </w:pPr>
      <w:rPr>
        <w:rFonts w:hint="eastAsia" w:ascii="宋体" w:hAnsi="宋体" w:eastAsia="宋体" w:cstheme="minorBidi"/>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9C717BE"/>
    <w:multiLevelType w:val="multilevel"/>
    <w:tmpl w:val="19C717BE"/>
    <w:lvl w:ilvl="0" w:tentative="0">
      <w:start w:val="1"/>
      <w:numFmt w:val="decimal"/>
      <w:lvlText w:val="%1."/>
      <w:lvlJc w:val="left"/>
      <w:pPr>
        <w:ind w:left="630" w:hanging="420"/>
      </w:pPr>
    </w:lvl>
    <w:lvl w:ilvl="1" w:tentative="0">
      <w:start w:val="0"/>
      <w:numFmt w:val="bullet"/>
      <w:lvlText w:val="★"/>
      <w:lvlJc w:val="left"/>
      <w:pPr>
        <w:ind w:left="780" w:hanging="360"/>
      </w:pPr>
      <w:rPr>
        <w:rFonts w:hint="eastAsia" w:ascii="宋体" w:hAnsi="宋体" w:eastAsia="宋体" w:cstheme="minorBidi"/>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EA739C"/>
    <w:rsid w:val="1EEA7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tLeast"/>
      <w:outlineLvl w:val="0"/>
    </w:pPr>
    <w:rPr>
      <w:b/>
      <w:bCs/>
      <w:kern w:val="44"/>
      <w:sz w:val="44"/>
      <w:szCs w:val="44"/>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annotation text"/>
    <w:basedOn w:val="1"/>
    <w:qFormat/>
    <w:uiPriority w:val="0"/>
    <w:pPr>
      <w:jc w:val="left"/>
    </w:pPr>
    <w:rPr>
      <w:szCs w:val="20"/>
    </w:rPr>
  </w:style>
  <w:style w:type="paragraph" w:styleId="4">
    <w:name w:val="Body Text"/>
    <w:basedOn w:val="1"/>
    <w:qFormat/>
    <w:uiPriority w:val="0"/>
    <w:rPr>
      <w:rFonts w:ascii="宋体" w:hAnsi="Arial"/>
      <w:sz w:val="28"/>
      <w:szCs w:val="20"/>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toc 2"/>
    <w:basedOn w:val="1"/>
    <w:next w:val="1"/>
    <w:qFormat/>
    <w:uiPriority w:val="39"/>
    <w:pPr>
      <w:ind w:left="210"/>
      <w:jc w:val="left"/>
    </w:pPr>
    <w:rPr>
      <w:smallCaps/>
      <w:sz w:val="18"/>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D&amp;L"/>
    <w:basedOn w:val="5"/>
    <w:qFormat/>
    <w:uiPriority w:val="99"/>
    <w:pPr>
      <w:pBdr>
        <w:bottom w:val="thinThickSmallGap" w:color="auto" w:sz="18" w:space="1"/>
      </w:pBdr>
      <w:adjustRightInd w:val="0"/>
      <w:snapToGrid/>
      <w:spacing w:line="240" w:lineRule="atLeast"/>
      <w:textAlignment w:val="baseline"/>
    </w:pPr>
    <w:rPr>
      <w:kern w:val="0"/>
      <w:sz w:val="24"/>
      <w:szCs w:val="20"/>
    </w:rPr>
  </w:style>
  <w:style w:type="paragraph" w:customStyle="1" w:styleId="11">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2026-04-16T03:13:00Z</dcterms:created>
  <dc:creator>代理机构</dc:creator>
  <cp:lastModifiedBy>代理机构</cp:lastModifiedBy>
  <dcterms:modified xsi:type="dcterms:W3CDTF">2026-04-16T03:14:38Z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3886D6D60EC34F44B4CA437BE690A427_11</vt:lpwstr>
  </property>
  <property fmtid="{D5CDD505-2E9C-101B-9397-08002B2CF9AE}" pid="4" name="KSOTemplateDocerSaveRecord">
    <vt:lpwstr>eyJoZGlkIjoiM2RmYjc5NmM5NWFiZTcyODYwM2QwOGYxMGNkMjE3ZTMiLCJ1c2VySWQiOiI0MDgzOTM3NDMifQ==</vt:lpwstr>
  </property>
</Properties>
</file>