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highlight w:val="none"/>
        </w:rPr>
      </w:pPr>
      <w:bookmarkStart w:id="19" w:name="_GoBack"/>
      <w:bookmarkEnd w:id="19"/>
      <w:r>
        <w:rPr>
          <w:rStyle w:val="13"/>
          <w:rFonts w:hint="eastAsia"/>
          <w:highlight w:val="none"/>
        </w:rPr>
        <w:t>采购需求</w:t>
      </w:r>
    </w:p>
    <w:p w14:paraId="798C4083">
      <w:pPr>
        <w:spacing w:line="360" w:lineRule="auto"/>
        <w:rPr>
          <w:rFonts w:hint="eastAsia" w:ascii="宋体" w:hAnsi="宋体"/>
          <w:b/>
          <w:highlight w:val="none"/>
        </w:rPr>
      </w:pPr>
      <w:r>
        <w:rPr>
          <w:rFonts w:hint="eastAsia" w:ascii="宋体" w:hAnsi="宋体"/>
          <w:b/>
          <w:highlight w:val="none"/>
        </w:rPr>
        <w:t>前注：</w:t>
      </w:r>
    </w:p>
    <w:p w14:paraId="1493DD00">
      <w:pPr>
        <w:spacing w:line="360" w:lineRule="auto"/>
        <w:ind w:firstLine="435"/>
        <w:rPr>
          <w:rFonts w:hint="eastAsia" w:ascii="宋体" w:hAnsi="宋体" w:cs="宋体"/>
          <w:szCs w:val="18"/>
          <w:highlight w:val="none"/>
        </w:rPr>
      </w:pPr>
      <w:bookmarkStart w:id="0" w:name="_Hlk16461016"/>
      <w:r>
        <w:rPr>
          <w:rFonts w:hint="eastAsia" w:ascii="宋体" w:hAnsi="宋体" w:cs="宋体"/>
          <w:highlight w:val="none"/>
        </w:rPr>
        <w:t>1.</w:t>
      </w:r>
      <w:r>
        <w:rPr>
          <w:rFonts w:hint="eastAsia" w:ascii="宋体" w:hAnsi="宋体" w:cs="宋体"/>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highlight w:val="none"/>
        </w:rPr>
      </w:pPr>
      <w:r>
        <w:rPr>
          <w:rFonts w:hint="eastAsia" w:ascii="宋体" w:hAnsi="宋体" w:cs="宋体"/>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highlight w:val="none"/>
        </w:rPr>
      </w:pPr>
      <w:r>
        <w:rPr>
          <w:rFonts w:hint="eastAsia" w:ascii="宋体" w:hAnsi="宋体" w:cs="宋体"/>
          <w:szCs w:val="18"/>
          <w:highlight w:val="none"/>
        </w:rPr>
        <w:t>3.下列采购需求中：标注</w:t>
      </w:r>
      <w:r>
        <w:rPr>
          <w:rFonts w:hint="eastAsia" w:ascii="宋体" w:hAnsi="宋体" w:cs="宋体"/>
          <w:szCs w:val="24"/>
          <w:highlight w:val="none"/>
        </w:rPr>
        <w:t>▲</w:t>
      </w:r>
      <w:r>
        <w:rPr>
          <w:rFonts w:hint="eastAsia" w:ascii="宋体" w:hAnsi="宋体" w:cs="宋体"/>
          <w:szCs w:val="18"/>
          <w:highlight w:val="none"/>
        </w:rPr>
        <w:t>的产品（核心产品），投标人在投标文件《主要中标标的承诺函》中填写名称、品牌、规格、型号、数量、单价等信息。</w:t>
      </w:r>
    </w:p>
    <w:p w14:paraId="6EDECB03">
      <w:pPr>
        <w:pStyle w:val="4"/>
        <w:ind w:firstLine="560"/>
        <w:rPr>
          <w:highlight w:val="none"/>
        </w:rPr>
      </w:pPr>
      <w:bookmarkStart w:id="1" w:name="_Toc337877615"/>
      <w:bookmarkStart w:id="2" w:name="_Toc1452677390"/>
      <w:bookmarkStart w:id="3" w:name="_Toc2025078090"/>
      <w:bookmarkStart w:id="4" w:name="_Toc1064185329"/>
      <w:bookmarkStart w:id="5" w:name="_Toc1437377518_WPSOffice_Level2"/>
      <w:bookmarkStart w:id="6" w:name="_Toc292361325"/>
      <w:bookmarkStart w:id="7" w:name="_Toc1899401549"/>
      <w:bookmarkStart w:id="8" w:name="_Toc382548620"/>
      <w:r>
        <w:rPr>
          <w:rFonts w:hint="eastAsia"/>
          <w:highlight w:val="none"/>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4"/>
              <w:pBdr>
                <w:bottom w:val="none" w:color="auto" w:sz="0" w:space="0"/>
              </w:pBdr>
              <w:tabs>
                <w:tab w:val="clear" w:pos="4153"/>
                <w:tab w:val="clear" w:pos="8306"/>
              </w:tabs>
              <w:adjustRightInd/>
              <w:spacing w:line="240" w:lineRule="auto"/>
              <w:textAlignment w:val="auto"/>
              <w:rPr>
                <w:rFonts w:hint="eastAsia" w:ascii="宋体" w:hAnsi="宋体" w:cs="宋体"/>
                <w:b/>
                <w:kern w:val="2"/>
                <w:highlight w:val="none"/>
              </w:rPr>
            </w:pPr>
            <w:r>
              <w:rPr>
                <w:rFonts w:hint="eastAsia" w:ascii="宋体" w:hAnsi="宋体" w:cs="宋体"/>
                <w:b/>
                <w:kern w:val="2"/>
                <w:highlight w:val="none"/>
              </w:rPr>
              <w:t>序号</w:t>
            </w:r>
          </w:p>
        </w:tc>
        <w:tc>
          <w:tcPr>
            <w:tcW w:w="2054" w:type="dxa"/>
            <w:vAlign w:val="center"/>
          </w:tcPr>
          <w:p w14:paraId="6B663E2A">
            <w:pPr>
              <w:pStyle w:val="15"/>
              <w:widowControl w:val="0"/>
              <w:spacing w:before="0" w:beforeAutospacing="0" w:after="0" w:afterAutospacing="0" w:line="360" w:lineRule="auto"/>
              <w:rPr>
                <w:rFonts w:hint="eastAsia" w:ascii="宋体" w:hAnsi="宋体" w:cs="宋体"/>
                <w:bCs w:val="0"/>
                <w:sz w:val="24"/>
                <w:highlight w:val="none"/>
              </w:rPr>
            </w:pPr>
            <w:r>
              <w:rPr>
                <w:rFonts w:hint="eastAsia" w:ascii="宋体" w:hAnsi="宋体" w:cs="宋体"/>
                <w:bCs w:val="0"/>
                <w:sz w:val="24"/>
                <w:highlight w:val="none"/>
              </w:rPr>
              <w:t>条款名称</w:t>
            </w:r>
          </w:p>
        </w:tc>
        <w:tc>
          <w:tcPr>
            <w:tcW w:w="5544" w:type="dxa"/>
            <w:vAlign w:val="center"/>
          </w:tcPr>
          <w:p w14:paraId="4C6BBD14">
            <w:pPr>
              <w:pStyle w:val="15"/>
              <w:widowControl w:val="0"/>
              <w:spacing w:before="0" w:beforeAutospacing="0" w:after="0" w:afterAutospacing="0" w:line="360" w:lineRule="auto"/>
              <w:rPr>
                <w:rFonts w:hint="eastAsia" w:ascii="宋体" w:hAnsi="宋体" w:cs="宋体"/>
                <w:bCs w:val="0"/>
                <w:sz w:val="24"/>
                <w:highlight w:val="none"/>
              </w:rPr>
            </w:pPr>
            <w:r>
              <w:rPr>
                <w:rFonts w:hint="eastAsia" w:ascii="宋体" w:hAnsi="宋体" w:cs="宋体"/>
                <w:bCs w:val="0"/>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1</w:t>
            </w:r>
          </w:p>
        </w:tc>
        <w:tc>
          <w:tcPr>
            <w:tcW w:w="2054" w:type="dxa"/>
            <w:vAlign w:val="center"/>
          </w:tcPr>
          <w:p w14:paraId="295FB5A5">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color w:val="000000" w:themeColor="text1"/>
                <w:sz w:val="24"/>
                <w:highlight w:val="none"/>
                <w14:textFill>
                  <w14:solidFill>
                    <w14:schemeClr w14:val="tx1"/>
                  </w14:solidFill>
                </w14:textFill>
              </w:rPr>
              <w:t>付款方式</w:t>
            </w:r>
          </w:p>
        </w:tc>
        <w:tc>
          <w:tcPr>
            <w:tcW w:w="5544" w:type="dxa"/>
            <w:vAlign w:val="center"/>
          </w:tcPr>
          <w:p w14:paraId="540FDC97">
            <w:pPr>
              <w:autoSpaceDE w:val="0"/>
              <w:autoSpaceDN w:val="0"/>
              <w:adjustRightInd w:val="0"/>
              <w:spacing w:line="360" w:lineRule="auto"/>
              <w:jc w:val="left"/>
              <w:rPr>
                <w:rFonts w:hint="eastAsia" w:asciiTheme="majorEastAsia" w:hAnsiTheme="majorEastAsia" w:eastAsiaTheme="majorEastAsia"/>
                <w:szCs w:val="24"/>
                <w:highlight w:val="none"/>
              </w:rPr>
            </w:pPr>
            <w:r>
              <w:rPr>
                <w:rFonts w:hint="eastAsia" w:asciiTheme="majorEastAsia" w:hAnsiTheme="majorEastAsia" w:eastAsiaTheme="majorEastAsia"/>
                <w:szCs w:val="24"/>
                <w:highlight w:val="none"/>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w:t>
            </w:r>
          </w:p>
          <w:p w14:paraId="36966E86">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（1）预付款保函形式： ☑银行保函 ☑担保机构担保</w:t>
            </w:r>
          </w:p>
          <w:p w14:paraId="1CD80D26">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（2）预付款保函递交要求：</w:t>
            </w:r>
          </w:p>
          <w:p w14:paraId="78BF2BF1">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②如采用担保机构担保，应为具有备案资质的融资担保机构出具的见索即付无条件担保，且应将原件交至采购人保管。</w:t>
            </w:r>
          </w:p>
          <w:p w14:paraId="162126BF">
            <w:pPr>
              <w:widowControl/>
              <w:spacing w:line="360" w:lineRule="auto"/>
              <w:jc w:val="left"/>
              <w:rPr>
                <w:rFonts w:hint="eastAsia" w:ascii="宋体" w:hAnsi="宋体" w:cs="宋体"/>
                <w:bCs/>
                <w:highlight w:val="none"/>
              </w:rPr>
            </w:pPr>
            <w:r>
              <w:rPr>
                <w:rFonts w:hint="eastAsia" w:ascii="宋体" w:hAnsi="宋体" w:cs="宋体"/>
                <w:b/>
                <w:color w:val="000000" w:themeColor="text1"/>
                <w:highlight w:val="none"/>
                <w14:textFill>
                  <w14:solidFill>
                    <w14:schemeClr w14:val="tx1"/>
                  </w14:solidFill>
                </w14:textFill>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2</w:t>
            </w:r>
          </w:p>
        </w:tc>
        <w:tc>
          <w:tcPr>
            <w:tcW w:w="2054" w:type="dxa"/>
            <w:vAlign w:val="center"/>
          </w:tcPr>
          <w:p w14:paraId="7AF6938C">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供货及安装地点</w:t>
            </w:r>
          </w:p>
        </w:tc>
        <w:tc>
          <w:tcPr>
            <w:tcW w:w="5544" w:type="dxa"/>
            <w:vAlign w:val="center"/>
          </w:tcPr>
          <w:p w14:paraId="60874FC7">
            <w:pPr>
              <w:pStyle w:val="15"/>
              <w:widowControl w:val="0"/>
              <w:spacing w:before="0" w:beforeAutospacing="0" w:after="0" w:afterAutospacing="0" w:line="360" w:lineRule="auto"/>
              <w:jc w:val="left"/>
              <w:rPr>
                <w:rFonts w:hint="eastAsia" w:ascii="宋体" w:hAnsi="宋体" w:cs="宋体"/>
                <w:b w:val="0"/>
                <w:sz w:val="24"/>
                <w:highlight w:val="none"/>
              </w:rPr>
            </w:pPr>
            <w:r>
              <w:rPr>
                <w:rFonts w:hint="eastAsia" w:ascii="宋体" w:hAnsi="宋体" w:cs="宋体"/>
                <w:b w:val="0"/>
                <w:sz w:val="24"/>
                <w:highlight w:val="none"/>
              </w:rPr>
              <w:t>安徽大学</w:t>
            </w:r>
            <w:bookmarkStart w:id="9" w:name="放置地址"/>
            <w:r>
              <w:rPr>
                <w:rFonts w:hint="eastAsia" w:ascii="宋体" w:hAnsi="宋体" w:cs="宋体"/>
                <w:b w:val="0"/>
                <w:sz w:val="24"/>
                <w:highlight w:val="none"/>
              </w:rPr>
              <w:t>磬苑校区材料科学大楼E楼一层-</w:t>
            </w:r>
            <w:bookmarkEnd w:id="9"/>
            <w:r>
              <w:rPr>
                <w:rFonts w:hint="eastAsia" w:ascii="宋体" w:hAnsi="宋体" w:cs="宋体"/>
                <w:b w:val="0"/>
                <w:sz w:val="24"/>
                <w:highlight w:val="none"/>
              </w:rPr>
              <w:t>屏蔽室。</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3</w:t>
            </w:r>
          </w:p>
        </w:tc>
        <w:tc>
          <w:tcPr>
            <w:tcW w:w="2054" w:type="dxa"/>
            <w:vAlign w:val="center"/>
          </w:tcPr>
          <w:p w14:paraId="5A289E54">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供货及安装期限</w:t>
            </w:r>
          </w:p>
        </w:tc>
        <w:tc>
          <w:tcPr>
            <w:tcW w:w="5544" w:type="dxa"/>
            <w:vAlign w:val="center"/>
          </w:tcPr>
          <w:p w14:paraId="634ED800">
            <w:pPr>
              <w:pStyle w:val="15"/>
              <w:widowControl w:val="0"/>
              <w:spacing w:before="0" w:beforeAutospacing="0" w:after="0" w:afterAutospacing="0" w:line="360" w:lineRule="auto"/>
              <w:jc w:val="left"/>
              <w:rPr>
                <w:rFonts w:hint="eastAsia" w:ascii="宋体" w:hAnsi="宋体" w:cs="宋体"/>
                <w:b w:val="0"/>
                <w:sz w:val="24"/>
                <w:highlight w:val="none"/>
              </w:rPr>
            </w:pPr>
            <w:r>
              <w:rPr>
                <w:rFonts w:hint="eastAsia" w:ascii="宋体" w:hAnsi="宋体" w:cs="宋体"/>
                <w:b w:val="0"/>
                <w:sz w:val="24"/>
                <w:highlight w:val="none"/>
              </w:rPr>
              <w:t>合同签订后120天内完成安装调试。</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4</w:t>
            </w:r>
          </w:p>
        </w:tc>
        <w:tc>
          <w:tcPr>
            <w:tcW w:w="2054" w:type="dxa"/>
            <w:vAlign w:val="center"/>
          </w:tcPr>
          <w:p w14:paraId="17BE67D7">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免费质保期</w:t>
            </w:r>
          </w:p>
        </w:tc>
        <w:tc>
          <w:tcPr>
            <w:tcW w:w="5544" w:type="dxa"/>
            <w:vAlign w:val="center"/>
          </w:tcPr>
          <w:p w14:paraId="3866FB31">
            <w:pPr>
              <w:pStyle w:val="5"/>
              <w:rPr>
                <w:rFonts w:hint="eastAsia" w:ascii="宋体" w:hAnsi="宋体" w:eastAsia="宋体" w:cs="宋体"/>
                <w:bCs/>
                <w:highlight w:val="none"/>
              </w:rPr>
            </w:pPr>
            <w:r>
              <w:rPr>
                <w:rFonts w:hint="eastAsia" w:ascii="宋体" w:hAnsi="宋体" w:eastAsia="宋体" w:cs="宋体"/>
                <w:bCs/>
                <w:highlight w:val="none"/>
              </w:rPr>
              <w:t>验收合格之日起2年。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bookmarkStart w:id="10" w:name="_Toc1191965283_WPSOffice_Level2"/>
            <w:bookmarkStart w:id="11" w:name="_Toc626387511"/>
            <w:bookmarkStart w:id="12" w:name="_Toc58935147"/>
            <w:bookmarkStart w:id="13" w:name="_Toc1715351726"/>
            <w:bookmarkStart w:id="14" w:name="_Toc369119811"/>
            <w:bookmarkStart w:id="15" w:name="_Toc1693477008"/>
            <w:bookmarkStart w:id="16" w:name="_Toc717369146"/>
            <w:bookmarkStart w:id="17" w:name="_Toc302804901"/>
            <w:r>
              <w:rPr>
                <w:rFonts w:hint="eastAsia" w:ascii="宋体" w:hAnsi="宋体" w:cs="宋体"/>
                <w:bCs/>
                <w:kern w:val="2"/>
                <w:highlight w:val="none"/>
              </w:rPr>
              <w:t>5</w:t>
            </w:r>
          </w:p>
        </w:tc>
        <w:tc>
          <w:tcPr>
            <w:tcW w:w="2054" w:type="dxa"/>
            <w:vAlign w:val="center"/>
          </w:tcPr>
          <w:p w14:paraId="2110F92E">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本项目采购标的所属行业</w:t>
            </w:r>
          </w:p>
        </w:tc>
        <w:tc>
          <w:tcPr>
            <w:tcW w:w="5544" w:type="dxa"/>
            <w:vAlign w:val="center"/>
          </w:tcPr>
          <w:p w14:paraId="327123A1">
            <w:pPr>
              <w:pStyle w:val="15"/>
              <w:widowControl w:val="0"/>
              <w:spacing w:before="0" w:beforeAutospacing="0" w:after="0" w:afterAutospacing="0" w:line="360" w:lineRule="auto"/>
              <w:jc w:val="both"/>
              <w:rPr>
                <w:rFonts w:hint="eastAsia" w:ascii="宋体" w:hAnsi="宋体" w:cs="宋体"/>
                <w:b w:val="0"/>
                <w:sz w:val="24"/>
                <w:highlight w:val="none"/>
              </w:rPr>
            </w:pPr>
            <w:r>
              <w:rPr>
                <w:rFonts w:hint="eastAsia" w:ascii="宋体" w:hAnsi="宋体" w:cs="宋体"/>
                <w:b w:val="0"/>
                <w:sz w:val="24"/>
                <w:highlight w:val="none"/>
                <w:lang w:val="en-US" w:eastAsia="zh-CN"/>
              </w:rPr>
              <w:t>工业</w:t>
            </w:r>
            <w:r>
              <w:rPr>
                <w:rFonts w:hint="eastAsia" w:ascii="宋体" w:hAnsi="宋体" w:cs="宋体"/>
                <w:b w:val="0"/>
                <w:sz w:val="24"/>
                <w:highlight w:val="none"/>
              </w:rPr>
              <w:t>。</w:t>
            </w:r>
          </w:p>
        </w:tc>
      </w:tr>
    </w:tbl>
    <w:p w14:paraId="0766B42F">
      <w:pPr>
        <w:pStyle w:val="4"/>
        <w:ind w:firstLine="560"/>
        <w:rPr>
          <w:highlight w:val="none"/>
        </w:rPr>
      </w:pPr>
      <w:r>
        <w:rPr>
          <w:rFonts w:hint="eastAsia"/>
          <w:highlight w:val="none"/>
        </w:rPr>
        <w:t>二、货物需求</w:t>
      </w:r>
      <w:bookmarkEnd w:id="10"/>
      <w:bookmarkEnd w:id="11"/>
      <w:bookmarkEnd w:id="12"/>
      <w:bookmarkEnd w:id="13"/>
      <w:bookmarkEnd w:id="14"/>
      <w:bookmarkEnd w:id="15"/>
      <w:bookmarkEnd w:id="16"/>
      <w:bookmarkEnd w:id="17"/>
    </w:p>
    <w:p w14:paraId="0A1B1B36">
      <w:pPr>
        <w:pStyle w:val="9"/>
        <w:spacing w:line="500" w:lineRule="exact"/>
        <w:ind w:left="0"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（一）货物指标重要性表述</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标识重要性</w:t>
            </w:r>
          </w:p>
        </w:tc>
        <w:tc>
          <w:tcPr>
            <w:tcW w:w="1579" w:type="dxa"/>
            <w:vAlign w:val="center"/>
          </w:tcPr>
          <w:p w14:paraId="1EE33D4C">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标识符号</w:t>
            </w:r>
          </w:p>
        </w:tc>
        <w:tc>
          <w:tcPr>
            <w:tcW w:w="5069" w:type="dxa"/>
            <w:vAlign w:val="center"/>
          </w:tcPr>
          <w:p w14:paraId="0EB35C7C">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关键性指标项</w:t>
            </w:r>
          </w:p>
        </w:tc>
        <w:tc>
          <w:tcPr>
            <w:tcW w:w="1579" w:type="dxa"/>
            <w:vAlign w:val="center"/>
          </w:tcPr>
          <w:p w14:paraId="0FBDA46A">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6335D211">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重要指标项</w:t>
            </w:r>
          </w:p>
        </w:tc>
        <w:tc>
          <w:tcPr>
            <w:tcW w:w="1579" w:type="dxa"/>
            <w:vAlign w:val="center"/>
          </w:tcPr>
          <w:p w14:paraId="65DB68E0">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2D535382">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评分项，每满足一项得2分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hint="eastAsia" w:ascii="宋体" w:hAnsi="宋体" w:cs="宋体"/>
                <w:szCs w:val="18"/>
                <w:highlight w:val="none"/>
              </w:rPr>
            </w:pPr>
            <w:r>
              <w:rPr>
                <w:rFonts w:hint="eastAsia" w:cs="宋体" w:asciiTheme="majorEastAsia" w:hAnsiTheme="majorEastAsia" w:eastAsiaTheme="majorEastAsia"/>
                <w:szCs w:val="24"/>
                <w:highlight w:val="none"/>
              </w:rPr>
              <w:t>一般指标项</w:t>
            </w:r>
          </w:p>
        </w:tc>
        <w:tc>
          <w:tcPr>
            <w:tcW w:w="1579" w:type="dxa"/>
            <w:vAlign w:val="center"/>
          </w:tcPr>
          <w:p w14:paraId="5BDA4C44">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2ED7CA10">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评分项，每满足一项得1分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rFonts w:hint="eastAsia"/>
                <w:szCs w:val="28"/>
                <w:highlight w:val="none"/>
              </w:rPr>
            </w:pPr>
            <w:r>
              <w:rPr>
                <w:rFonts w:hint="eastAsia" w:ascii="宋体" w:hAnsi="宋体" w:cs="宋体"/>
                <w:szCs w:val="18"/>
                <w:highlight w:val="none"/>
              </w:rPr>
              <w:t>无标识项</w:t>
            </w:r>
          </w:p>
        </w:tc>
        <w:tc>
          <w:tcPr>
            <w:tcW w:w="1579" w:type="dxa"/>
            <w:vAlign w:val="center"/>
          </w:tcPr>
          <w:p w14:paraId="10A03B12">
            <w:pPr>
              <w:spacing w:line="360" w:lineRule="auto"/>
              <w:jc w:val="center"/>
              <w:rPr>
                <w:rFonts w:hint="eastAsia"/>
                <w:szCs w:val="28"/>
                <w:highlight w:val="none"/>
              </w:rPr>
            </w:pPr>
          </w:p>
        </w:tc>
        <w:tc>
          <w:tcPr>
            <w:tcW w:w="5069" w:type="dxa"/>
            <w:vAlign w:val="center"/>
          </w:tcPr>
          <w:p w14:paraId="6E06D7A3">
            <w:pPr>
              <w:spacing w:line="360" w:lineRule="auto"/>
              <w:jc w:val="center"/>
              <w:rPr>
                <w:rFonts w:hint="eastAsia" w:ascii="宋体" w:hAnsi="宋体" w:cs="宋体"/>
                <w:szCs w:val="24"/>
                <w:highlight w:val="none"/>
              </w:rPr>
            </w:pPr>
            <w:r>
              <w:rPr>
                <w:rFonts w:hint="eastAsia" w:ascii="宋体" w:hAnsi="宋体" w:cs="宋体"/>
                <w:szCs w:val="24"/>
                <w:highlight w:val="none"/>
              </w:rPr>
              <w:t>有2项及以上不满足要求或未响应的，将导致投标无效</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5EA02D7B">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1、关键指标项（标识符号★）应在投标文件中提供检测报告、仿真文件、程序代码、官网截图、产品说明书、产品彩页等任意一种证明材料等，未提供或不满足该指标项将导致投标被拒绝。</w:t>
            </w:r>
          </w:p>
          <w:p w14:paraId="1CF23E2A">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2、如某项标识中包含多条技术参数或要求，则该项标识所含内容均需满足或优于招标文件要求，否则不予认可。</w:t>
            </w:r>
          </w:p>
          <w:p w14:paraId="201B695C">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某项标识同时存在一级标识和二级标识时，则以二级标识为最小单位计算条目数量（即为一项）；如某项标识同时存在二级标识和三级标识时，则以三级标识为最小单位计算条目数量（即为一项），以此类推。</w:t>
            </w:r>
          </w:p>
          <w:p w14:paraId="6EB8F8C9">
            <w:pPr>
              <w:pStyle w:val="9"/>
              <w:spacing w:line="500" w:lineRule="exact"/>
              <w:ind w:lef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、关于参数评审的相关要求：</w:t>
            </w:r>
          </w:p>
          <w:p w14:paraId="235501A6">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①投标人必须对“★”项、“■”项和、“●”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highlight w:val="none"/>
              </w:rPr>
              <w:t>对应</w:t>
            </w:r>
            <w:r>
              <w:rPr>
                <w:rFonts w:ascii="宋体" w:hAnsi="宋体" w:eastAsia="宋体" w:cs="宋体"/>
                <w:sz w:val="24"/>
                <w:szCs w:val="24"/>
                <w:highlight w:val="none"/>
              </w:rPr>
              <w:t>的评审标准被否决投标或不得分），如发现虚假响应参数的按无效投标处理。</w:t>
            </w:r>
          </w:p>
          <w:p w14:paraId="1F2DAB18">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③除采购需求清单中明确约定在投标文件（或投标时）提供检测或检验或测试报告等证明材料外，其他材料均为合同签订后提供。</w:t>
            </w:r>
          </w:p>
          <w:p w14:paraId="33BAFCB1">
            <w:pPr>
              <w:pStyle w:val="9"/>
              <w:spacing w:line="500" w:lineRule="exact"/>
              <w:ind w:left="0" w:firstLine="0" w:firstLineChars="0"/>
              <w:rPr>
                <w:rFonts w:hint="eastAsia" w:ascii="宋体" w:hAnsi="宋体" w:eastAsia="宋体" w:cs="宋体"/>
                <w:bCs/>
                <w:sz w:val="24"/>
                <w:szCs w:val="24"/>
                <w:highlight w:val="none"/>
              </w:rPr>
            </w:pPr>
            <w:r>
              <w:rPr>
                <w:rFonts w:ascii="宋体" w:hAnsi="宋体" w:eastAsia="宋体" w:cs="宋体"/>
                <w:sz w:val="24"/>
                <w:szCs w:val="24"/>
                <w:highlight w:val="none"/>
              </w:rPr>
              <w:t>④采购人有权要求合同签订后，验收时中标人对所投产品功能参数进行逐项演示，如发现有与投标文件描述不符或弄虚作假行为，中标人承担违约责任。</w:t>
            </w:r>
          </w:p>
        </w:tc>
      </w:tr>
    </w:tbl>
    <w:p w14:paraId="36A91013">
      <w:pPr>
        <w:pStyle w:val="9"/>
        <w:ind w:left="0"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（二）货物指标要求</w:t>
      </w:r>
    </w:p>
    <w:tbl>
      <w:tblPr>
        <w:tblStyle w:val="10"/>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hint="eastAsia" w:ascii="宋体" w:hAnsi="宋体" w:eastAsia="宋体" w:cs="宋体"/>
                <w:highlight w:val="none"/>
              </w:rPr>
            </w:pPr>
            <w:r>
              <w:rPr>
                <w:rFonts w:hint="eastAsia" w:ascii="宋体" w:hAnsi="宋体" w:eastAsia="宋体" w:cs="宋体"/>
                <w:highlight w:val="none"/>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hint="eastAsia" w:ascii="宋体" w:hAnsi="宋体" w:eastAsia="宋体" w:cs="宋体"/>
                <w:highlight w:val="none"/>
              </w:rPr>
            </w:pPr>
            <w:r>
              <w:rPr>
                <w:rFonts w:hint="eastAsia" w:ascii="宋体" w:hAnsi="宋体" w:eastAsia="宋体" w:cs="宋体"/>
                <w:highlight w:val="none"/>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hint="eastAsia" w:ascii="宋体" w:hAnsi="宋体" w:eastAsia="宋体" w:cs="宋体"/>
                <w:highlight w:val="none"/>
              </w:rPr>
            </w:pPr>
            <w:r>
              <w:rPr>
                <w:rFonts w:hint="eastAsia" w:ascii="宋体" w:hAnsi="宋体" w:eastAsia="宋体" w:cs="宋体"/>
                <w:highlight w:val="none"/>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hint="eastAsia" w:ascii="宋体" w:hAnsi="宋体" w:eastAsia="宋体" w:cs="宋体"/>
                <w:highlight w:val="none"/>
              </w:rPr>
            </w:pPr>
            <w:r>
              <w:rPr>
                <w:rFonts w:hint="eastAsia" w:ascii="宋体" w:hAnsi="宋体" w:eastAsia="宋体" w:cs="宋体"/>
                <w:highlight w:val="none"/>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hint="eastAsia" w:ascii="宋体" w:hAnsi="宋体" w:eastAsia="宋体" w:cs="宋体"/>
                <w:highlight w:val="none"/>
              </w:rPr>
            </w:pPr>
            <w:r>
              <w:rPr>
                <w:rFonts w:hint="eastAsia" w:ascii="宋体" w:hAnsi="宋体" w:eastAsia="宋体" w:cs="宋体"/>
                <w:highlight w:val="none"/>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szCs w:val="18"/>
                <w:highlight w:val="none"/>
              </w:rPr>
            </w:pPr>
            <w:r>
              <w:rPr>
                <w:rFonts w:hint="eastAsia" w:ascii="宋体" w:hAnsi="宋体" w:cs="宋体"/>
                <w:szCs w:val="18"/>
                <w:highlight w:val="none"/>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cs="宋体"/>
                <w:bCs/>
                <w:color w:val="auto"/>
                <w:szCs w:val="18"/>
                <w:highlight w:val="none"/>
              </w:rPr>
            </w:pPr>
            <w:r>
              <w:rPr>
                <w:rFonts w:hint="eastAsia" w:asciiTheme="majorEastAsia" w:hAnsiTheme="majorEastAsia" w:eastAsiaTheme="majorEastAsia"/>
                <w:color w:val="auto"/>
                <w:szCs w:val="24"/>
                <w:highlight w:val="none"/>
              </w:rPr>
              <w:t>▲</w:t>
            </w:r>
            <w:r>
              <w:rPr>
                <w:rFonts w:hint="eastAsia" w:asciiTheme="majorEastAsia" w:hAnsiTheme="majorEastAsia" w:eastAsiaTheme="majorEastAsia"/>
                <w:bCs/>
                <w:color w:val="auto"/>
                <w:szCs w:val="24"/>
                <w:highlight w:val="none"/>
              </w:rPr>
              <w:t>高性能芯片辐射性能测量系统</w:t>
            </w:r>
          </w:p>
        </w:tc>
        <w:tc>
          <w:tcPr>
            <w:tcW w:w="3103" w:type="pct"/>
            <w:tcBorders>
              <w:top w:val="single" w:color="000000" w:sz="4" w:space="0"/>
              <w:left w:val="single" w:color="000000" w:sz="4" w:space="0"/>
              <w:bottom w:val="single" w:color="000000" w:sz="4" w:space="0"/>
              <w:right w:val="single" w:color="000000" w:sz="4" w:space="0"/>
            </w:tcBorders>
          </w:tcPr>
          <w:p w14:paraId="61E99C46">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bookmarkStart w:id="18" w:name="_Hlk212628910"/>
            <w:r>
              <w:rPr>
                <w:rFonts w:ascii="Times New Roman" w:hAnsi="Times New Roman" w:eastAsiaTheme="majorEastAsia"/>
                <w:color w:val="auto"/>
                <w:szCs w:val="24"/>
                <w:highlight w:val="none"/>
              </w:rPr>
              <w:t>屏蔽装置</w:t>
            </w:r>
          </w:p>
          <w:p w14:paraId="0D2A9EE5">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1.1、屏蔽装置尺寸：不大于3m×3m×2.8m（</w:t>
            </w:r>
            <w:r>
              <w:rPr>
                <w:rFonts w:hint="eastAsia" w:ascii="Times New Roman" w:hAnsi="Times New Roman" w:cs="Times New Roman" w:eastAsiaTheme="majorEastAsia"/>
                <w:color w:val="auto"/>
                <w:szCs w:val="24"/>
                <w:highlight w:val="none"/>
              </w:rPr>
              <w:t>长</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宽</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高</w:t>
            </w:r>
            <w:r>
              <w:rPr>
                <w:rFonts w:ascii="Times New Roman" w:hAnsi="Times New Roman" w:cs="Times New Roman" w:eastAsiaTheme="majorEastAsia"/>
                <w:color w:val="auto"/>
                <w:szCs w:val="24"/>
                <w:highlight w:val="none"/>
              </w:rPr>
              <w:t>）；</w:t>
            </w:r>
          </w:p>
          <w:p w14:paraId="345A6F30">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1.2、屏蔽门：自动开合，尺寸不小于1m×2m（</w:t>
            </w:r>
            <w:r>
              <w:rPr>
                <w:rFonts w:hint="eastAsia" w:ascii="Times New Roman" w:hAnsi="Times New Roman" w:cs="Times New Roman" w:eastAsiaTheme="majorEastAsia"/>
                <w:color w:val="auto"/>
                <w:szCs w:val="24"/>
                <w:highlight w:val="none"/>
              </w:rPr>
              <w:t>宽</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高</w:t>
            </w:r>
            <w:r>
              <w:rPr>
                <w:rFonts w:ascii="Times New Roman" w:hAnsi="Times New Roman" w:cs="Times New Roman" w:eastAsiaTheme="majorEastAsia"/>
                <w:color w:val="auto"/>
                <w:szCs w:val="24"/>
                <w:highlight w:val="none"/>
              </w:rPr>
              <w:t>）；</w:t>
            </w:r>
          </w:p>
          <w:p w14:paraId="1D7622A6">
            <w:pPr>
              <w:spacing w:line="276" w:lineRule="auto"/>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1.3、频率范围：至少包含10GHz-500GHz，并具有扩展至更高频率的能力；</w:t>
            </w:r>
          </w:p>
          <w:p w14:paraId="6C89C6B6">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1.4、屏蔽性能：</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100dB@10GHz～18GHz，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80dB@18GHz～40GHz；</w:t>
            </w:r>
          </w:p>
          <w:p w14:paraId="6143BF33">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1.5、吸波材料：洁净型吸波材料，阻燃等级</w:t>
            </w:r>
            <w:r>
              <w:rPr>
                <w:rFonts w:hint="eastAsia" w:ascii="Times New Roman" w:hAnsi="Times New Roman" w:cs="Times New Roman" w:eastAsiaTheme="majorEastAsia"/>
                <w:color w:val="auto"/>
                <w:szCs w:val="24"/>
                <w:highlight w:val="none"/>
              </w:rPr>
              <w:t>符合GB8624-2012《建筑材料及制品燃烧性能分级》，</w:t>
            </w:r>
            <w:r>
              <w:rPr>
                <w:rFonts w:ascii="Times New Roman" w:hAnsi="Times New Roman" w:cs="Times New Roman" w:eastAsiaTheme="majorEastAsia"/>
                <w:color w:val="auto"/>
                <w:szCs w:val="24"/>
                <w:highlight w:val="none"/>
              </w:rPr>
              <w:t>不低于B1；</w:t>
            </w:r>
          </w:p>
          <w:p w14:paraId="710ACABA">
            <w:pPr>
              <w:widowControl/>
              <w:jc w:val="left"/>
              <w:textAlignment w:val="cente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1.6、接口板：信号接口板至少应具有2.92法兰接头4个，</w:t>
            </w:r>
            <w:r>
              <w:rPr>
                <w:rFonts w:hint="eastAsia" w:ascii="Times New Roman" w:hAnsi="Times New Roman" w:cs="Times New Roman" w:eastAsiaTheme="majorEastAsia"/>
                <w:color w:val="auto"/>
                <w:szCs w:val="24"/>
                <w:highlight w:val="none"/>
              </w:rPr>
              <w:t>1.85</w:t>
            </w:r>
            <w:r>
              <w:rPr>
                <w:rFonts w:ascii="Times New Roman" w:hAnsi="Times New Roman" w:cs="Times New Roman" w:eastAsiaTheme="majorEastAsia"/>
                <w:color w:val="auto"/>
                <w:szCs w:val="24"/>
                <w:highlight w:val="none"/>
              </w:rPr>
              <w:t>法兰接头</w:t>
            </w:r>
            <w:r>
              <w:rPr>
                <w:rFonts w:hint="eastAsia" w:ascii="Times New Roman" w:hAnsi="Times New Roman" w:cs="Times New Roman" w:eastAsiaTheme="majorEastAsia"/>
                <w:color w:val="auto"/>
                <w:szCs w:val="24"/>
                <w:highlight w:val="none"/>
              </w:rPr>
              <w:t>4</w:t>
            </w:r>
            <w:r>
              <w:rPr>
                <w:rFonts w:ascii="Times New Roman" w:hAnsi="Times New Roman" w:cs="Times New Roman" w:eastAsiaTheme="majorEastAsia"/>
                <w:color w:val="auto"/>
                <w:szCs w:val="24"/>
                <w:highlight w:val="none"/>
              </w:rPr>
              <w:t>个及直通波导管1只；</w:t>
            </w:r>
          </w:p>
          <w:p w14:paraId="0567849A">
            <w:pPr>
              <w:widowControl/>
              <w:jc w:val="left"/>
              <w:textAlignment w:val="cente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1.7、辅助设施：系统所需的照明、温湿度传感设备、通风、供电、监控、消防警报系统等。</w:t>
            </w:r>
          </w:p>
          <w:p w14:paraId="657C300A">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机械装置</w:t>
            </w:r>
          </w:p>
          <w:p w14:paraId="6F82B09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2.1、采集运动机构：采集机构可完成至少支持以下两种采集模式：</w:t>
            </w:r>
          </w:p>
          <w:p w14:paraId="318B7074">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2.1.1、三维球面扫描，扫描半径在3-550mm自适应调节；方位角转动范围不小于</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120°；俯仰角转动范围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180°；重复定位精度小于0.01°；转动速度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10°/s；</w:t>
            </w:r>
          </w:p>
          <w:p w14:paraId="05E3B293">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2.1.2、 平面扫描，扫描范围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500mm×500mm，扫描机构末端定位精度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0.05mm，重复定位精度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0.03mm；扫描速度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10mm/s；</w:t>
            </w:r>
          </w:p>
          <w:p w14:paraId="448BE6CE">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探头组配置：</w:t>
            </w:r>
          </w:p>
          <w:p w14:paraId="5118F841">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探头组需连续不间断覆盖10GHz-500GHz</w:t>
            </w:r>
            <w:r>
              <w:rPr>
                <w:rFonts w:hint="eastAsia" w:ascii="Times New Roman" w:hAnsi="Times New Roman" w:cs="Times New Roman" w:eastAsiaTheme="majorEastAsia"/>
                <w:color w:val="auto"/>
                <w:szCs w:val="24"/>
                <w:highlight w:val="none"/>
              </w:rPr>
              <w:t>；</w:t>
            </w:r>
          </w:p>
          <w:p w14:paraId="469074F2">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■其中低频探头应直接覆盖10GHz-67GHz；</w:t>
            </w:r>
          </w:p>
          <w:p w14:paraId="499DA8D8">
            <w:pPr>
              <w:numPr>
                <w:ilvl w:val="0"/>
                <w:numId w:val="1"/>
              </w:numPr>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探针台</w:t>
            </w:r>
          </w:p>
          <w:p w14:paraId="2A4C2003">
            <w:pPr>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4.1、针座平台：Z轴行程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20mm，针座平台需包含</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档快速升降位置调节，分别为0/150μm/3mm，重复定位精度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1μm，带自锁功能。</w:t>
            </w:r>
          </w:p>
          <w:p w14:paraId="1DF8F804">
            <w:pPr>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4.2、载物台：载物台支持4英寸及6英寸。X-Y轴行程</w:t>
            </w:r>
            <w:r>
              <w:rPr>
                <w:rFonts w:hint="eastAsia" w:ascii="Times New Roman" w:hAnsi="Times New Roman" w:cs="Times New Roman" w:eastAsiaTheme="majorEastAsia"/>
                <w:color w:val="auto"/>
                <w:szCs w:val="24"/>
                <w:highlight w:val="none"/>
              </w:rPr>
              <w:t>≥150</w:t>
            </w:r>
            <w:r>
              <w:rPr>
                <w:rFonts w:ascii="Times New Roman" w:hAnsi="Times New Roman" w:cs="Times New Roman" w:eastAsiaTheme="majorEastAsia"/>
                <w:color w:val="auto"/>
                <w:szCs w:val="24"/>
                <w:highlight w:val="none"/>
              </w:rPr>
              <w:t>mm×</w:t>
            </w:r>
            <w:r>
              <w:rPr>
                <w:rFonts w:hint="eastAsia" w:ascii="Times New Roman" w:hAnsi="Times New Roman" w:cs="Times New Roman" w:eastAsiaTheme="majorEastAsia"/>
                <w:color w:val="auto"/>
                <w:szCs w:val="24"/>
                <w:highlight w:val="none"/>
              </w:rPr>
              <w:t>150</w:t>
            </w:r>
            <w:r>
              <w:rPr>
                <w:rFonts w:ascii="Times New Roman" w:hAnsi="Times New Roman" w:cs="Times New Roman" w:eastAsiaTheme="majorEastAsia"/>
                <w:color w:val="auto"/>
                <w:szCs w:val="24"/>
                <w:highlight w:val="none"/>
              </w:rPr>
              <w:t>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2μm，Z轴行程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1μm，水平旋转</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15°，微调精度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0.01°；垂直方向旋转</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0.01°，承重</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250g。同时可替换非金属测试治具；</w:t>
            </w:r>
          </w:p>
          <w:p w14:paraId="323AE79C">
            <w:pPr>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4.3、探针座：X-Y-Z</w:t>
            </w:r>
            <w:r>
              <w:rPr>
                <w:rFonts w:hint="eastAsia" w:ascii="Times New Roman" w:hAnsi="Times New Roman" w:cs="Times New Roman" w:eastAsiaTheme="majorEastAsia"/>
                <w:color w:val="auto"/>
                <w:szCs w:val="24"/>
                <w:highlight w:val="none"/>
              </w:rPr>
              <w:t>轴</w:t>
            </w:r>
            <w:r>
              <w:rPr>
                <w:rFonts w:ascii="Times New Roman" w:hAnsi="Times New Roman" w:cs="Times New Roman" w:eastAsiaTheme="majorEastAsia"/>
                <w:color w:val="auto"/>
                <w:szCs w:val="24"/>
                <w:highlight w:val="none"/>
              </w:rPr>
              <w:t>行程</w:t>
            </w:r>
            <w:r>
              <w:rPr>
                <w:rFonts w:hint="eastAsia" w:ascii="Times New Roman" w:hAnsi="Times New Roman" w:cs="Times New Roman" w:eastAsiaTheme="majorEastAsia"/>
                <w:color w:val="auto"/>
                <w:szCs w:val="24"/>
                <w:highlight w:val="none"/>
              </w:rPr>
              <w:t>均≥</w:t>
            </w:r>
            <w:r>
              <w:rPr>
                <w:rFonts w:ascii="Times New Roman" w:hAnsi="Times New Roman" w:cs="Times New Roman" w:eastAsiaTheme="majorEastAsia"/>
                <w:color w:val="auto"/>
                <w:szCs w:val="24"/>
                <w:highlight w:val="none"/>
              </w:rPr>
              <w:t>12mm</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支持探针角度调节，移动精度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1μm，探针角度调节</w:t>
            </w:r>
            <w:r>
              <w:rPr>
                <w:rFonts w:hint="eastAsia" w:ascii="Times New Roman" w:hAnsi="Times New Roman" w:cs="Times New Roman" w:eastAsiaTheme="majorEastAsia"/>
                <w:color w:val="auto"/>
                <w:szCs w:val="24"/>
                <w:highlight w:val="none"/>
              </w:rPr>
              <w:t>范围大于±</w:t>
            </w:r>
            <w:r>
              <w:rPr>
                <w:rFonts w:ascii="Times New Roman" w:hAnsi="Times New Roman" w:cs="Times New Roman" w:eastAsiaTheme="majorEastAsia"/>
                <w:color w:val="auto"/>
                <w:szCs w:val="24"/>
                <w:highlight w:val="none"/>
              </w:rPr>
              <w:t>10°，精度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0.01°；探针吸附方式：磁力吸附或真空吸附</w:t>
            </w:r>
            <w:r>
              <w:rPr>
                <w:rFonts w:hint="eastAsia" w:ascii="Times New Roman" w:hAnsi="Times New Roman" w:cs="Times New Roman" w:eastAsiaTheme="majorEastAsia"/>
                <w:color w:val="auto"/>
                <w:szCs w:val="24"/>
                <w:highlight w:val="none"/>
              </w:rPr>
              <w:t>。</w:t>
            </w:r>
          </w:p>
          <w:p w14:paraId="5B60A6C7">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4.4、探针：连续覆盖频率DC-500GHz，包含校准片。</w:t>
            </w:r>
          </w:p>
          <w:p w14:paraId="235916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4.4.1、频率范围：覆盖DC-110 GHz，接头类型：1.0mm 连接器；</w:t>
            </w:r>
          </w:p>
          <w:p w14:paraId="34870B6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4.4.2、频率范围：覆盖110 GHz-170 GHz，接头类型：WR-6.5波导接口；</w:t>
            </w:r>
          </w:p>
          <w:p w14:paraId="2FA0B26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4.4.3、频率范围：覆盖140 GHz-220 GHz，接头类型：WR-5.1波导接口；</w:t>
            </w:r>
          </w:p>
          <w:p w14:paraId="2FD6954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4.4.4、频率范围：覆盖220 GHz-325 GHz，接头类型：WR-3.4波导接口；</w:t>
            </w:r>
          </w:p>
          <w:p w14:paraId="25034F3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4.4.5、频率范围：覆盖325 GHz-500 GHz，接头类型：WR-2.2波导接口。</w:t>
            </w:r>
          </w:p>
          <w:p w14:paraId="53C50932">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4.5、光学成像系统</w:t>
            </w:r>
          </w:p>
          <w:p w14:paraId="3E5E533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4.5.1、</w:t>
            </w:r>
            <w:r>
              <w:rPr>
                <w:rFonts w:hint="eastAsia" w:ascii="Times New Roman" w:hAnsi="Times New Roman" w:cs="Times New Roman" w:eastAsiaTheme="majorEastAsia"/>
                <w:color w:val="auto"/>
                <w:szCs w:val="24"/>
                <w:highlight w:val="none"/>
              </w:rPr>
              <w:t>变倍比</w:t>
            </w:r>
            <w:r>
              <w:rPr>
                <w:rFonts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lang w:val="en"/>
              </w:rPr>
              <w:t>≥</w:t>
            </w:r>
            <w:r>
              <w:rPr>
                <w:rFonts w:hint="eastAsia" w:ascii="Times New Roman" w:hAnsi="Times New Roman" w:cs="Times New Roman" w:eastAsiaTheme="majorEastAsia"/>
                <w:color w:val="auto"/>
                <w:szCs w:val="24"/>
                <w:highlight w:val="none"/>
              </w:rPr>
              <w:t>0.58</w:t>
            </w:r>
            <w:r>
              <w:rPr>
                <w:rFonts w:ascii="Times New Roman" w:hAnsi="Times New Roman" w:cs="Times New Roman" w:eastAsiaTheme="majorEastAsia"/>
                <w:color w:val="auto"/>
                <w:szCs w:val="24"/>
                <w:highlight w:val="none"/>
              </w:rPr>
              <w:t>X-</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X；</w:t>
            </w:r>
          </w:p>
          <w:p w14:paraId="5FE37F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2</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分辨率</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μm；</w:t>
            </w:r>
          </w:p>
          <w:p w14:paraId="208700E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、CCD像素：</w:t>
            </w:r>
            <w:r>
              <w:rPr>
                <w:rFonts w:ascii="Times New Roman" w:hAnsi="Times New Roman" w:cs="Times New Roman" w:eastAsiaTheme="majorEastAsia"/>
                <w:color w:val="auto"/>
                <w:szCs w:val="24"/>
                <w:highlight w:val="none"/>
                <w:lang w:val="en"/>
              </w:rPr>
              <w:t>≥</w:t>
            </w:r>
            <w:r>
              <w:rPr>
                <w:rFonts w:ascii="Times New Roman" w:hAnsi="Times New Roman" w:cs="Times New Roman" w:eastAsiaTheme="majorEastAsia"/>
                <w:color w:val="auto"/>
                <w:szCs w:val="24"/>
                <w:highlight w:val="none"/>
              </w:rPr>
              <w:t>1200万像素；</w:t>
            </w:r>
          </w:p>
          <w:p w14:paraId="7A45102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4</w:t>
            </w:r>
            <w:r>
              <w:rPr>
                <w:rFonts w:ascii="Times New Roman" w:hAnsi="Times New Roman" w:cs="Times New Roman" w:eastAsiaTheme="majorEastAsia"/>
                <w:color w:val="auto"/>
                <w:szCs w:val="24"/>
                <w:highlight w:val="none"/>
              </w:rPr>
              <w:t>、支持LED可调光源；</w:t>
            </w:r>
          </w:p>
          <w:p w14:paraId="76D70CB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5</w:t>
            </w:r>
            <w:r>
              <w:rPr>
                <w:rFonts w:ascii="Times New Roman" w:hAnsi="Times New Roman" w:cs="Times New Roman" w:eastAsiaTheme="majorEastAsia"/>
                <w:color w:val="auto"/>
                <w:szCs w:val="24"/>
                <w:highlight w:val="none"/>
              </w:rPr>
              <w:t>、支持可视化及样品拍照记录、录像存储和导出功能；</w:t>
            </w:r>
          </w:p>
          <w:p w14:paraId="09E1070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6</w:t>
            </w:r>
            <w:r>
              <w:rPr>
                <w:rFonts w:ascii="Times New Roman" w:hAnsi="Times New Roman" w:cs="Times New Roman" w:eastAsiaTheme="majorEastAsia"/>
                <w:color w:val="auto"/>
                <w:szCs w:val="24"/>
                <w:highlight w:val="none"/>
              </w:rPr>
              <w:t>、移动行程：X-Y-Z行程：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w:t>
            </w:r>
          </w:p>
          <w:p w14:paraId="33ABF25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、支持R轴，便于快速移动显微镜，行程</w:t>
            </w:r>
            <w:r>
              <w:rPr>
                <w:rFonts w:hint="eastAsia" w:ascii="Times New Roman" w:hAnsi="Times New Roman" w:cs="Times New Roman" w:eastAsiaTheme="majorEastAsia"/>
                <w:color w:val="auto"/>
                <w:szCs w:val="24"/>
                <w:highlight w:val="none"/>
              </w:rPr>
              <w:t>≥180</w:t>
            </w:r>
            <w:r>
              <w:rPr>
                <w:rFonts w:ascii="Times New Roman" w:hAnsi="Times New Roman" w:cs="Times New Roman" w:eastAsiaTheme="majorEastAsia"/>
                <w:color w:val="auto"/>
                <w:szCs w:val="24"/>
                <w:highlight w:val="none"/>
              </w:rPr>
              <w:t>°；</w:t>
            </w:r>
          </w:p>
          <w:p w14:paraId="1716A73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4.6、隔振台</w:t>
            </w:r>
          </w:p>
          <w:p w14:paraId="62A82AF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4.6.1、主动隔振台：台面尺寸</w:t>
            </w:r>
            <w:r>
              <w:rPr>
                <w:rFonts w:hint="eastAsia" w:ascii="Times New Roman" w:hAnsi="Times New Roman" w:cs="Times New Roman" w:eastAsiaTheme="majorEastAsia"/>
                <w:color w:val="auto"/>
                <w:szCs w:val="24"/>
                <w:highlight w:val="none"/>
              </w:rPr>
              <w:t>与探针台匹配</w:t>
            </w:r>
            <w:r>
              <w:rPr>
                <w:rFonts w:ascii="Times New Roman" w:hAnsi="Times New Roman" w:cs="Times New Roman" w:eastAsiaTheme="majorEastAsia"/>
                <w:color w:val="auto"/>
                <w:szCs w:val="24"/>
                <w:highlight w:val="none"/>
              </w:rPr>
              <w:t>；</w:t>
            </w:r>
          </w:p>
          <w:p w14:paraId="78E1767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w:t>
            </w:r>
            <w:r>
              <w:rPr>
                <w:rFonts w:hint="eastAsia" w:ascii="Times New Roman" w:hAnsi="Times New Roman" w:cs="Times New Roman" w:eastAsiaTheme="majorEastAsia"/>
                <w:color w:val="auto"/>
                <w:szCs w:val="24"/>
                <w:highlight w:val="none"/>
              </w:rPr>
              <w:t>2</w:t>
            </w:r>
            <w:r>
              <w:rPr>
                <w:rFonts w:ascii="Times New Roman" w:hAnsi="Times New Roman" w:cs="Times New Roman" w:eastAsiaTheme="majorEastAsia"/>
                <w:color w:val="auto"/>
                <w:szCs w:val="24"/>
                <w:highlight w:val="none"/>
              </w:rPr>
              <w:t>、主动隔振带宽：0.8-300Hz；</w:t>
            </w:r>
          </w:p>
          <w:p w14:paraId="0679ECD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、台面稳定性：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3μm；</w:t>
            </w:r>
          </w:p>
          <w:p w14:paraId="77DE428A">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测试主机</w:t>
            </w:r>
          </w:p>
          <w:p w14:paraId="508D0A03">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5.1、频率范围：至少覆盖10MHz-67GHz；</w:t>
            </w:r>
          </w:p>
          <w:p w14:paraId="682A51F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5.2、主机测试端口数：4端口；</w:t>
            </w:r>
          </w:p>
          <w:p w14:paraId="156CF4E5">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5.3、网分测试端口动态范围保证值（10Hz中频带宽）：</w:t>
            </w:r>
          </w:p>
          <w:p w14:paraId="03965E0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87dB</w:t>
            </w:r>
          </w:p>
          <w:p w14:paraId="76D4329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MHz~500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110dB</w:t>
            </w:r>
          </w:p>
          <w:p w14:paraId="41810AA5">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500 MHz~4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127dB</w:t>
            </w:r>
          </w:p>
          <w:p w14:paraId="3FC5A34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 GHz~14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130dB</w:t>
            </w:r>
          </w:p>
          <w:p w14:paraId="469EA3C5">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14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129dB</w:t>
            </w:r>
          </w:p>
          <w:p w14:paraId="56A05A8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GHz~40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120dB</w:t>
            </w:r>
          </w:p>
          <w:p w14:paraId="5358653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40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116dB</w:t>
            </w:r>
          </w:p>
          <w:p w14:paraId="6B2971C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107dB</w:t>
            </w:r>
          </w:p>
          <w:p w14:paraId="14620EE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106 dB</w:t>
            </w:r>
          </w:p>
          <w:p w14:paraId="19F5A50D">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5.4、幅度迹线噪声保证值（1kHz中频带宽）</w:t>
            </w:r>
          </w:p>
          <w:p w14:paraId="148B940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0.050 dB</w:t>
            </w:r>
          </w:p>
          <w:p w14:paraId="1AA025F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MHz~100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0.004 dB</w:t>
            </w:r>
          </w:p>
          <w:p w14:paraId="057974F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100 MHz~500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0.002 dB</w:t>
            </w:r>
          </w:p>
          <w:p w14:paraId="3807D85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500 MHz~1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0.003 dB</w:t>
            </w:r>
          </w:p>
          <w:p w14:paraId="33E9977B">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0.002 dB</w:t>
            </w:r>
          </w:p>
          <w:p w14:paraId="7385B6E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0.003 dB</w:t>
            </w:r>
          </w:p>
          <w:p w14:paraId="3CF6DC5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0.030 dB</w:t>
            </w:r>
          </w:p>
          <w:p w14:paraId="12CB25D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5.5、相位迹线噪声保证值（1kHz中频带宽）</w:t>
            </w:r>
          </w:p>
          <w:p w14:paraId="6C5626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0.40°</w:t>
            </w:r>
          </w:p>
          <w:p w14:paraId="75D817F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0.02°</w:t>
            </w:r>
          </w:p>
          <w:p w14:paraId="07A5CEB8">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w:t>
            </w:r>
          </w:p>
          <w:p w14:paraId="0E0F70C8">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0.20°</w:t>
            </w:r>
          </w:p>
          <w:p w14:paraId="5A45FA4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5.6、相位噪声（1 GHz载波）典型值：</w:t>
            </w:r>
          </w:p>
          <w:p w14:paraId="1267FDD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 kHz：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-112dBc；</w:t>
            </w:r>
          </w:p>
          <w:p w14:paraId="7A77935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kHz：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-122dBc；</w:t>
            </w:r>
          </w:p>
          <w:p w14:paraId="456F7F5F">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5.7、测试端口最大输出功率保证值（具备前面板跳线）：</w:t>
            </w:r>
          </w:p>
          <w:p w14:paraId="49A5FCE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2460472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MHz~14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237BDAE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14 GHz~20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＋12 dBm</w:t>
            </w:r>
          </w:p>
          <w:p w14:paraId="3071B8B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20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＋11 dBm</w:t>
            </w:r>
          </w:p>
          <w:p w14:paraId="36112C0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GHz~30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6B2984C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30 GHz~32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＋7 dBm</w:t>
            </w:r>
          </w:p>
          <w:p w14:paraId="2AC2E42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32 GHz~35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＋9 dBm</w:t>
            </w:r>
          </w:p>
          <w:p w14:paraId="4A1B87AB">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35 GHz~40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＋5 dBm</w:t>
            </w:r>
          </w:p>
          <w:p w14:paraId="0ACEAD8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＋4 dBm</w:t>
            </w:r>
          </w:p>
          <w:p w14:paraId="2740D6C5">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5.8、具备前面板跳线，最高可扩展至4端口110GHz</w:t>
            </w:r>
          </w:p>
          <w:p w14:paraId="6EED44B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5.9、中频带宽范围：至少包含1Hz-30MHz</w:t>
            </w:r>
          </w:p>
          <w:p w14:paraId="4438D24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5.10、最大扫描点数：</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200001点；</w:t>
            </w:r>
          </w:p>
          <w:p w14:paraId="3D18739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5.11、可支持第三方扩频进行频率扩展；</w:t>
            </w:r>
          </w:p>
          <w:p w14:paraId="55D0307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5.12、支持相自动夹具移除功能；</w:t>
            </w:r>
          </w:p>
          <w:p w14:paraId="7DB41D0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5.13、可升级内置脉冲源及脉冲调制器，用于脉冲体制测试。</w:t>
            </w:r>
          </w:p>
          <w:p w14:paraId="26C512C8">
            <w:pPr>
              <w:pStyle w:val="16"/>
              <w:numPr>
                <w:ilvl w:val="0"/>
                <w:numId w:val="2"/>
              </w:numPr>
              <w:spacing w:line="276" w:lineRule="auto"/>
              <w:ind w:firstLineChars="0"/>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扩频系统</w:t>
            </w:r>
          </w:p>
          <w:p w14:paraId="46DEEFC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6.1、67GHz-110GHz</w:t>
            </w:r>
          </w:p>
          <w:p w14:paraId="42C82E3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6.1.1、频率范围：至少覆盖67GHz-110GHz；</w:t>
            </w:r>
          </w:p>
          <w:p w14:paraId="514A402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8dBm（典型值）；</w:t>
            </w:r>
          </w:p>
          <w:p w14:paraId="3CBD518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110dB（典型值）； </w:t>
            </w:r>
          </w:p>
          <w:p w14:paraId="1ED80831">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50dB（典型值）；</w:t>
            </w:r>
          </w:p>
          <w:p w14:paraId="24F503A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4E8698A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 dB（典型值）；</w:t>
            </w:r>
          </w:p>
          <w:p w14:paraId="72049CF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0.1dB（典型值）；</w:t>
            </w:r>
          </w:p>
          <w:p w14:paraId="2A9E18D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2°（典型值）；</w:t>
            </w:r>
          </w:p>
          <w:p w14:paraId="68DF77A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0dBm（典型值）；</w:t>
            </w:r>
          </w:p>
          <w:p w14:paraId="071BD40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1dBm（典型值）；</w:t>
            </w:r>
          </w:p>
          <w:p w14:paraId="3DD0855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6.1.11、测试端口接口：WR10</w:t>
            </w:r>
            <w:r>
              <w:rPr>
                <w:rFonts w:hint="eastAsia" w:ascii="Times New Roman" w:hAnsi="Times New Roman" w:cs="Times New Roman" w:eastAsiaTheme="majorEastAsia"/>
                <w:color w:val="auto"/>
                <w:szCs w:val="24"/>
                <w:highlight w:val="none"/>
              </w:rPr>
              <w:t>；</w:t>
            </w:r>
          </w:p>
          <w:p w14:paraId="2B8A34A3">
            <w:pPr>
              <w:pStyle w:val="2"/>
              <w:jc w:val="left"/>
              <w:rPr>
                <w:rFonts w:ascii="Times New Roman" w:eastAsiaTheme="majorEastAsia"/>
                <w:color w:val="auto"/>
                <w:szCs w:val="24"/>
                <w:highlight w:val="none"/>
              </w:rPr>
            </w:pPr>
            <w:r>
              <w:rPr>
                <w:rFonts w:hint="eastAsia" w:ascii="Times New Roman" w:eastAsiaTheme="majorEastAsia"/>
                <w:color w:val="auto"/>
                <w:sz w:val="24"/>
                <w:szCs w:val="24"/>
                <w:highlight w:val="none"/>
              </w:rPr>
              <w:t>6.1.12、供电接口：Type-C</w:t>
            </w:r>
          </w:p>
          <w:p w14:paraId="4773141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6.1.1</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60mm×60mm×25mm</w:t>
            </w:r>
            <w:r>
              <w:rPr>
                <w:rFonts w:hint="eastAsia" w:ascii="Times New Roman" w:hAnsi="Times New Roman" w:cs="Times New Roman" w:eastAsiaTheme="majorEastAsia"/>
                <w:color w:val="auto"/>
                <w:szCs w:val="24"/>
                <w:highlight w:val="none"/>
              </w:rPr>
              <w:t>；</w:t>
            </w:r>
          </w:p>
          <w:p w14:paraId="778913F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6.2、110GHz-170GHz</w:t>
            </w:r>
          </w:p>
          <w:p w14:paraId="7A63959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6.2.1、频率范围：至少覆盖110GHz-170GHz；</w:t>
            </w:r>
          </w:p>
          <w:p w14:paraId="2077B69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5dBm（典型值）；</w:t>
            </w:r>
          </w:p>
          <w:p w14:paraId="4A735BF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105dB（典型值）； </w:t>
            </w:r>
          </w:p>
          <w:p w14:paraId="0A8D6E8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6.2.4、有效方向性和负载匹配：</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20DDAA0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6.2.5、有效方向性：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0359093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0.1dB（典型值）；</w:t>
            </w:r>
          </w:p>
          <w:p w14:paraId="2107C61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0.2dB（典型值）；</w:t>
            </w:r>
          </w:p>
          <w:p w14:paraId="1943F5A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2.5°（典型值）；</w:t>
            </w:r>
          </w:p>
          <w:p w14:paraId="51523D5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6B1D6AE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71B3B76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6.2.11、测试端口接口：WR6.5</w:t>
            </w:r>
            <w:r>
              <w:rPr>
                <w:rFonts w:hint="eastAsia" w:ascii="Times New Roman" w:hAnsi="Times New Roman" w:cs="Times New Roman" w:eastAsiaTheme="majorEastAsia"/>
                <w:color w:val="auto"/>
                <w:szCs w:val="24"/>
                <w:highlight w:val="none"/>
              </w:rPr>
              <w:t>；</w:t>
            </w:r>
          </w:p>
          <w:p w14:paraId="4864CB6E">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6.2.12、尺寸：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60mm×60mm×25mm</w:t>
            </w:r>
            <w:r>
              <w:rPr>
                <w:rFonts w:hint="eastAsia" w:ascii="Times New Roman" w:hAnsi="Times New Roman" w:cs="Times New Roman" w:eastAsiaTheme="majorEastAsia"/>
                <w:color w:val="auto"/>
                <w:szCs w:val="24"/>
                <w:highlight w:val="none"/>
              </w:rPr>
              <w:t>；</w:t>
            </w:r>
          </w:p>
          <w:p w14:paraId="06A6234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6.3、140GHz-220GHz</w:t>
            </w:r>
          </w:p>
          <w:p w14:paraId="42FB795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6.3.1、频率范围：至少覆盖140GHz-220GHz；</w:t>
            </w:r>
          </w:p>
          <w:p w14:paraId="50CC09BD">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0dBm（典型值）；</w:t>
            </w:r>
          </w:p>
          <w:p w14:paraId="12F1890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100dB（典型值）；</w:t>
            </w:r>
          </w:p>
          <w:p w14:paraId="54CDBF3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40dB（典型值）；</w:t>
            </w:r>
          </w:p>
          <w:p w14:paraId="4092763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6606624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0.1 dB（典型值）；                                </w:t>
            </w:r>
          </w:p>
          <w:p w14:paraId="6654187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0.2dB（典型值）；                                </w:t>
            </w:r>
          </w:p>
          <w:p w14:paraId="6F5049D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2.5°（典型值）； </w:t>
            </w:r>
          </w:p>
          <w:p w14:paraId="1295F39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3D2F947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7E7DBAC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6.3.11、测试端口接口：WR5.1</w:t>
            </w:r>
            <w:r>
              <w:rPr>
                <w:rFonts w:hint="eastAsia" w:ascii="Times New Roman" w:hAnsi="Times New Roman" w:cs="Times New Roman" w:eastAsiaTheme="majorEastAsia"/>
                <w:color w:val="auto"/>
                <w:szCs w:val="24"/>
                <w:highlight w:val="none"/>
              </w:rPr>
              <w:t>；</w:t>
            </w:r>
          </w:p>
          <w:p w14:paraId="5F35D18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p>
          <w:p w14:paraId="7603D17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6.4、220GHz-325GHz</w:t>
            </w:r>
          </w:p>
          <w:p w14:paraId="6AD22F44">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6.4.1、频率范围：至少覆盖220GHz-325GHz；</w:t>
            </w:r>
          </w:p>
          <w:p w14:paraId="7C12633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-5dBm（典型值）；</w:t>
            </w:r>
          </w:p>
          <w:p w14:paraId="0F09B8A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95dB（典型值）；</w:t>
            </w:r>
          </w:p>
          <w:p w14:paraId="142E076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35dB（典型值）；</w:t>
            </w:r>
          </w:p>
          <w:p w14:paraId="2EDD29C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25dB（典型值）；</w:t>
            </w:r>
          </w:p>
          <w:p w14:paraId="20A8FFA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0.15dB（典型值）；                                                                               </w:t>
            </w:r>
          </w:p>
          <w:p w14:paraId="62EA7EB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0.25dB（典型值）；   </w:t>
            </w:r>
          </w:p>
          <w:p w14:paraId="51C4847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0.15dB/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2.5°（典型值）</w:t>
            </w:r>
            <w:r>
              <w:rPr>
                <w:rFonts w:hint="eastAsia" w:ascii="Times New Roman" w:hAnsi="Times New Roman" w:cs="Times New Roman" w:eastAsiaTheme="majorEastAsia"/>
                <w:color w:val="auto"/>
                <w:szCs w:val="24"/>
                <w:highlight w:val="none"/>
              </w:rPr>
              <w:t>；</w:t>
            </w:r>
          </w:p>
          <w:p w14:paraId="7950082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630C0CB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76C9BBD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6.4.11、测试端口接口：WR3.4</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w:t>
            </w:r>
          </w:p>
          <w:p w14:paraId="3EB5BC6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p>
          <w:p w14:paraId="7AE8261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6.5、325GHz-500GHz</w:t>
            </w:r>
          </w:p>
          <w:p w14:paraId="1D87EAE1">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6.5.1、频率范围：至少覆盖325GHz-500GHz；</w:t>
            </w:r>
          </w:p>
          <w:p w14:paraId="389D3D9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-16dBm（典型值）；</w:t>
            </w:r>
          </w:p>
          <w:p w14:paraId="79A4A58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90dB（典型值）； </w:t>
            </w:r>
          </w:p>
          <w:p w14:paraId="171CAFF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0BCD668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25dB（典型值）；</w:t>
            </w:r>
          </w:p>
          <w:p w14:paraId="6EABD3E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0.2dB（典型值）；</w:t>
            </w:r>
          </w:p>
          <w:p w14:paraId="578D7CB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 dB（典型值）；</w:t>
            </w:r>
          </w:p>
          <w:p w14:paraId="44C2B4F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0.25dB/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3°（典型值）；</w:t>
            </w:r>
          </w:p>
          <w:p w14:paraId="2B327D8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416C4671">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0AA1628D">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6.5.11、测试端口接口：WR2.2</w:t>
            </w:r>
            <w:r>
              <w:rPr>
                <w:rFonts w:hint="eastAsia" w:ascii="Times New Roman" w:hAnsi="Times New Roman" w:cs="Times New Roman" w:eastAsiaTheme="majorEastAsia"/>
                <w:color w:val="auto"/>
                <w:szCs w:val="24"/>
                <w:highlight w:val="none"/>
              </w:rPr>
              <w:t>；</w:t>
            </w:r>
          </w:p>
          <w:p w14:paraId="62493DA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w:t>
            </w:r>
          </w:p>
          <w:p w14:paraId="6F5048C1">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系统指标</w:t>
            </w:r>
          </w:p>
          <w:p w14:paraId="2A7003D1">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7.1、支持球面近场、平面近场、远场及任意曲面测试；</w:t>
            </w:r>
          </w:p>
          <w:p w14:paraId="3F993BBD">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7.2、支持线极化、圆极化辐射性能及S参数的测量；</w:t>
            </w:r>
          </w:p>
          <w:p w14:paraId="048405F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7.3、球面近场扫描时间：10频点、5°采样间隔设置下的测试时间小于20min；</w:t>
            </w:r>
          </w:p>
          <w:p w14:paraId="0B0A20BF">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7.4、平面近场扫描时间：10频点、置信区域</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70°的测试时间小于20min；</w:t>
            </w:r>
          </w:p>
          <w:p w14:paraId="14DF97A6">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7.5、动态范围：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60dB@10GHz-500GHz；</w:t>
            </w:r>
          </w:p>
          <w:p w14:paraId="32F293E2">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7.6、增益最大测量误差：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0.3dB@10GHz-110GHz，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0.45dB@110GHz-260GHz，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0.75dB@260GHz-500GHz；</w:t>
            </w:r>
          </w:p>
          <w:p w14:paraId="47039B3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7.7、-20dB旁瓣电平精度：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1dB@10GHz-110GHz，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1.8dB@260GHz-500GHz；</w:t>
            </w:r>
          </w:p>
          <w:p w14:paraId="2BEF8E9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7.8、增益重复测量误差：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0.2dB@50GHz-110GHz，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0.6dB@260GHz-500GHz；</w:t>
            </w:r>
          </w:p>
          <w:p w14:paraId="426D2984">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7.9、波束宽度最大测试误差：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波束宽度×5%；</w:t>
            </w:r>
          </w:p>
          <w:p w14:paraId="1A69372E">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软件功能</w:t>
            </w:r>
          </w:p>
          <w:p w14:paraId="77018E3B">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8.1、设备自动化校准软件</w:t>
            </w:r>
          </w:p>
          <w:p w14:paraId="363D0D9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8.1.1、支持机械位置自动化校准功能；</w:t>
            </w:r>
          </w:p>
          <w:p w14:paraId="1A1D29E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8.1.2、支持射频通路自动化校准功能；</w:t>
            </w:r>
          </w:p>
          <w:p w14:paraId="1BA59219">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8.2、测试采集执行软件</w:t>
            </w:r>
          </w:p>
          <w:p w14:paraId="3BB570B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8.2.1、支持全自动测试功能，支持“启动—停止—暂停—继续”等状态管理；</w:t>
            </w:r>
          </w:p>
          <w:p w14:paraId="0E0E6C08">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8.2.2、支持设置点频、扫频（等间隔）或者任意频点组合，输入天线尺寸、采样频率、采样间隔、测试距离可自动或手动设置采样密度并自动估算采样时间；</w:t>
            </w:r>
          </w:p>
          <w:p w14:paraId="737EC45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8.2.3、支持实时显示：在测量过程中能够动态刷新采集的数据并进行可视化；</w:t>
            </w:r>
          </w:p>
          <w:p w14:paraId="56790D35">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8.2.4、支持自动化脚本：支持测试脚本或宏的定义与执行，实现复杂测试流程的自动化运行。</w:t>
            </w:r>
          </w:p>
          <w:p w14:paraId="5E4E0AB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8.2.5、支持运动控制：允许用户切换和指定主运动轴，以适配不同的测试场景。</w:t>
            </w:r>
          </w:p>
          <w:p w14:paraId="54B0A4D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8.3、数据分析与计算软件</w:t>
            </w:r>
          </w:p>
          <w:p w14:paraId="0DE42B0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8.3.1、支持S参数、增益、效率、轴比、2D/3D方向图、交叉极化、波瓣宽度、前后比等指标自动化计算；</w:t>
            </w:r>
          </w:p>
          <w:p w14:paraId="46657A5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8.3.2、支持单文件或多文件的测量数据后处理与对比分析；</w:t>
            </w:r>
          </w:p>
          <w:p w14:paraId="1390190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8.3.3、支持场变化算法多线程运算，单频点转换时间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200ms且远场角度转换精度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0.001°；</w:t>
            </w:r>
          </w:p>
          <w:p w14:paraId="3548BD0D">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■8.3.4、支持探头补偿算法。</w:t>
            </w:r>
          </w:p>
          <w:p w14:paraId="73ED39B9">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5</w:t>
            </w:r>
            <w:r>
              <w:rPr>
                <w:rFonts w:ascii="Times New Roman" w:hAnsi="Times New Roman" w:cs="Times New Roman" w:eastAsiaTheme="majorEastAsia"/>
                <w:color w:val="auto"/>
                <w:szCs w:val="24"/>
                <w:highlight w:val="none"/>
              </w:rPr>
              <w:t>、支持待测物背景干扰消除技术，能够实现不小于15dB的干扰消除能力。</w:t>
            </w:r>
          </w:p>
          <w:p w14:paraId="71851C1B">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6</w:t>
            </w:r>
            <w:r>
              <w:rPr>
                <w:rFonts w:ascii="Times New Roman" w:hAnsi="Times New Roman" w:cs="Times New Roman" w:eastAsiaTheme="majorEastAsia"/>
                <w:color w:val="auto"/>
                <w:szCs w:val="24"/>
                <w:highlight w:val="none"/>
              </w:rPr>
              <w:t>、支持自动生成测试报告，支持多种格式报告（如txt、word、excel及PDF）</w:t>
            </w:r>
          </w:p>
          <w:p w14:paraId="1B63C47D">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、支持数据安全与备份：提供数据加密与备份机制，保障实验数据的长期可用性与安全性。</w:t>
            </w:r>
          </w:p>
          <w:p w14:paraId="73CF5974">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设备清单</w:t>
            </w:r>
          </w:p>
          <w:p w14:paraId="20C99AD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设备需包含所需的全部硬件，软件，算法，包括但不限于（测试主机，射频扩展模块，校准件，配套电缆，可替换载台等）</w:t>
            </w:r>
          </w:p>
          <w:p w14:paraId="6CA9F8F4">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设备兼容性</w:t>
            </w:r>
          </w:p>
          <w:p w14:paraId="1FBEAB0B">
            <w:pPr>
              <w:jc w:val="left"/>
              <w:rPr>
                <w:rFonts w:hint="eastAsia" w:ascii="宋体" w:hAnsi="宋体" w:cs="宋体"/>
                <w:bCs/>
                <w:color w:val="auto"/>
                <w:szCs w:val="18"/>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承诺所投设备需与安徽大学现有仪表和平台兼容</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现有平台包括现有近远场微波暗室、网络分析仪、信号源、频谱仪</w:t>
            </w:r>
            <w:r>
              <w:rPr>
                <w:rFonts w:ascii="Times New Roman" w:hAnsi="Times New Roman" w:cs="Times New Roman" w:eastAsiaTheme="majorEastAsia"/>
                <w:color w:val="auto"/>
                <w:szCs w:val="24"/>
                <w:highlight w:val="none"/>
              </w:rPr>
              <w:t>）</w:t>
            </w:r>
            <w:bookmarkEnd w:id="18"/>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szCs w:val="18"/>
                <w:highlight w:val="none"/>
              </w:rPr>
            </w:pPr>
            <w:r>
              <w:rPr>
                <w:rFonts w:hint="eastAsia" w:ascii="宋体" w:hAnsi="宋体" w:cs="宋体"/>
                <w:szCs w:val="2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hint="eastAsia" w:ascii="宋体" w:hAnsi="宋体" w:eastAsia="宋体" w:cs="宋体"/>
                <w:highlight w:val="none"/>
              </w:rPr>
            </w:pPr>
            <w:r>
              <w:rPr>
                <w:rFonts w:hint="eastAsia" w:ascii="宋体" w:hAnsi="宋体" w:eastAsia="宋体" w:cs="宋体"/>
                <w:highlight w:val="none"/>
              </w:rPr>
              <w:t>套</w:t>
            </w:r>
          </w:p>
        </w:tc>
      </w:tr>
      <w:bookmarkEnd w:id="0"/>
    </w:tbl>
    <w:p w14:paraId="43941C68">
      <w:pPr>
        <w:autoSpaceDE w:val="0"/>
        <w:autoSpaceDN w:val="0"/>
        <w:adjustRightInd w:val="0"/>
        <w:spacing w:line="276" w:lineRule="auto"/>
        <w:jc w:val="left"/>
        <w:rPr>
          <w:rFonts w:hint="eastAsia" w:asciiTheme="majorEastAsia" w:hAnsiTheme="majorEastAsia" w:eastAsia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三、安装调试、培训、质保及售后服务要求</w:t>
      </w:r>
    </w:p>
    <w:p w14:paraId="6873FED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3.1 安装与调试</w:t>
      </w:r>
    </w:p>
    <w:p w14:paraId="17C59078">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安装与调试过程中需要的专用器具由中标人负责，采购人负责相应的现场协调等方面的配合工作，安装调试后需由第三方进行检测。安装、调试及第三方检测所产生费用由中标人承担。</w:t>
      </w:r>
    </w:p>
    <w:p w14:paraId="07B796F4">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3.2 培训内容</w:t>
      </w:r>
    </w:p>
    <w:p w14:paraId="78CB9389">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培训内容包括但不限于产品的工作原理、使用方法、安全注意事项、维修保养。在安装过程中需向采购人讲解系统的重点保护的设施以及操作注意事项等，在系统安装调试完成后，再进行操作事项的培训及后续保养注意的内容。</w:t>
      </w:r>
    </w:p>
    <w:p w14:paraId="2314C01B">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3.3 质保及售后</w:t>
      </w:r>
    </w:p>
    <w:p w14:paraId="60BF930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1）验收交付之日起2年内为质保期，测试软件终身免费升级；</w:t>
      </w:r>
    </w:p>
    <w:p w14:paraId="12039CB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2）因质量问题出现故障或不合格部分均由供方免费及时处理，发生的一切费用由中标人负担；</w:t>
      </w:r>
    </w:p>
    <w:p w14:paraId="2774AD6D">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3）在系统运行期间，系统故障的响应时间为4小时之内，于24小时内技术维护人员需到达现场并提供解决方案；</w:t>
      </w:r>
    </w:p>
    <w:p w14:paraId="0485B20F">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4）每年提供免费标定、校准及检修服务一次，服务时限两年；</w:t>
      </w:r>
    </w:p>
    <w:p w14:paraId="7489416B">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5）在设备最终验收前，中标人须为采购人相关技术人员组织并提供全面的设备操作、维护及故障处理专项培训；</w:t>
      </w:r>
    </w:p>
    <w:p w14:paraId="0D278654">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6） 中标人在保修期满后仍将为采购人提供维修/维护服务，采购人享受最优惠价格。</w:t>
      </w:r>
    </w:p>
    <w:p w14:paraId="7C777A72">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3.4 运输包装</w:t>
      </w:r>
    </w:p>
    <w:p w14:paraId="37B42F65">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高性能芯片辐射性能测量系统设备的运输及搬运由中标人提供，并承担所产生风险的全部责任。</w:t>
      </w:r>
    </w:p>
    <w:p w14:paraId="66A64F73">
      <w:pPr>
        <w:autoSpaceDE w:val="0"/>
        <w:autoSpaceDN w:val="0"/>
        <w:adjustRightInd w:val="0"/>
        <w:spacing w:line="276" w:lineRule="auto"/>
        <w:jc w:val="left"/>
        <w:rPr>
          <w:rFonts w:hint="eastAsia" w:asciiTheme="majorEastAsia" w:hAnsiTheme="majorEastAsia" w:eastAsia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四、报价要求</w:t>
      </w:r>
    </w:p>
    <w:p w14:paraId="4E7C4DF2">
      <w:pPr>
        <w:spacing w:line="360" w:lineRule="auto"/>
        <w:ind w:firstLine="480" w:firstLineChars="200"/>
        <w:rPr>
          <w:rStyle w:val="12"/>
          <w:rFonts w:hint="eastAsia" w:ascii="宋体" w:hAnsi="宋体" w:cs="Times New Roman"/>
          <w:bCs/>
          <w:color w:val="000000" w:themeColor="text1"/>
          <w:sz w:val="24"/>
          <w:szCs w:val="18"/>
          <w:highlight w:val="none"/>
          <w14:textFill>
            <w14:solidFill>
              <w14:schemeClr w14:val="tx1"/>
            </w14:solidFill>
          </w14:textFill>
        </w:rPr>
      </w:pPr>
      <w:r>
        <w:rPr>
          <w:rStyle w:val="12"/>
          <w:rFonts w:hint="eastAsia" w:ascii="宋体" w:hAnsi="宋体" w:cs="Times New Roman"/>
          <w:bCs/>
          <w:color w:val="000000" w:themeColor="text1"/>
          <w:sz w:val="24"/>
          <w:szCs w:val="18"/>
          <w:highlight w:val="none"/>
          <w14:textFill>
            <w14:solidFill>
              <w14:schemeClr w14:val="tx1"/>
            </w14:solidFill>
          </w14:textFill>
        </w:rPr>
        <w:t>明确报价要求：本项目固定总价报价并进行结算，投标所报价格包括设计、采购、制造、交货（包括运输、卸车至采购人指定地点）、售后服务的一切费用（如设计费、采购费、制造费、试验检测费、包装费、运输保险费、运输费、装卸费、安装费、调试费、培训、售后服务、其他技术服务及质量保证期服务费等）、管理费、利润和税费（含关税）等所有费用，履约期间采购人不再追加任何费用，投标人自行考虑报价风险。</w:t>
      </w:r>
    </w:p>
    <w:p w14:paraId="4561E621">
      <w:pPr>
        <w:spacing w:line="360" w:lineRule="auto"/>
        <w:rPr>
          <w:rFonts w:hint="eastAsia" w:ascii="宋体" w:hAnsi="宋体" w:cs="Times New Roman"/>
          <w:bCs/>
          <w:color w:val="000000" w:themeColor="text1"/>
          <w:szCs w:val="18"/>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五、</w:t>
      </w:r>
      <w:r>
        <w:rPr>
          <w:rFonts w:hint="eastAsia" w:asciiTheme="majorEastAsia" w:hAnsiTheme="majorEastAsia" w:eastAsiaTheme="majorEastAsia"/>
          <w:b/>
          <w:szCs w:val="24"/>
          <w:highlight w:val="none"/>
        </w:rPr>
        <w:t>其他要求</w:t>
      </w:r>
    </w:p>
    <w:p w14:paraId="23D45BD2">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Style w:val="12"/>
          <w:rFonts w:hint="eastAsia" w:ascii="宋体" w:hAnsi="宋体" w:cs="Times New Roman"/>
          <w:bCs/>
          <w:color w:val="000000" w:themeColor="text1"/>
          <w:sz w:val="24"/>
          <w:szCs w:val="18"/>
          <w:highlight w:val="none"/>
          <w14:textFill>
            <w14:solidFill>
              <w14:schemeClr w14:val="tx1"/>
            </w14:solidFill>
          </w14:textFill>
        </w:rPr>
        <w:t>关键指标项（标识符号★）应在</w:t>
      </w:r>
      <w:r>
        <w:rPr>
          <w:rStyle w:val="12"/>
          <w:rFonts w:hint="eastAsia" w:ascii="宋体" w:hAnsi="宋体" w:cs="Times New Roman"/>
          <w:b/>
          <w:bCs/>
          <w:color w:val="000000" w:themeColor="text1"/>
          <w:sz w:val="24"/>
          <w:szCs w:val="18"/>
          <w:highlight w:val="none"/>
          <w14:textFill>
            <w14:solidFill>
              <w14:schemeClr w14:val="tx1"/>
            </w14:solidFill>
          </w14:textFill>
        </w:rPr>
        <w:t>投标文件中提供检测报告、仿真文件、程序代码、官网截图、产品说明书、产品彩页等任意一种证明材料</w:t>
      </w:r>
      <w:r>
        <w:rPr>
          <w:rStyle w:val="12"/>
          <w:rFonts w:hint="eastAsia" w:ascii="宋体" w:hAnsi="宋体" w:cs="Times New Roman"/>
          <w:bCs/>
          <w:color w:val="000000" w:themeColor="text1"/>
          <w:sz w:val="24"/>
          <w:szCs w:val="18"/>
          <w:highlight w:val="none"/>
          <w14:textFill>
            <w14:solidFill>
              <w14:schemeClr w14:val="tx1"/>
            </w14:solidFill>
          </w14:textFill>
        </w:rPr>
        <w:t>等，未提供或不满足该指标项将导致投标被拒绝。</w:t>
      </w:r>
    </w:p>
    <w:p w14:paraId="1EE707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A57CD"/>
    <w:multiLevelType w:val="multilevel"/>
    <w:tmpl w:val="060A57CD"/>
    <w:lvl w:ilvl="0" w:tentative="0">
      <w:start w:val="7"/>
      <w:numFmt w:val="decimal"/>
      <w:lvlText w:val="%1、"/>
      <w:lvlJc w:val="left"/>
      <w:pPr>
        <w:ind w:left="720" w:hanging="720"/>
      </w:pPr>
      <w:rPr>
        <w:rFonts w:hint="default"/>
        <w:color w:val="auto"/>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2F284A78"/>
    <w:multiLevelType w:val="multilevel"/>
    <w:tmpl w:val="2F284A78"/>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611CA8"/>
    <w:multiLevelType w:val="multilevel"/>
    <w:tmpl w:val="77611CA8"/>
    <w:lvl w:ilvl="0" w:tentative="0">
      <w:start w:val="6"/>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01C12"/>
    <w:rsid w:val="0200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3">
    <w:name w:val="heading 1"/>
    <w:basedOn w:val="1"/>
    <w:next w:val="1"/>
    <w:link w:val="13"/>
    <w:qFormat/>
    <w:uiPriority w:val="9"/>
    <w:pPr>
      <w:keepNext/>
      <w:keepLines/>
      <w:spacing w:line="360" w:lineRule="auto"/>
      <w:jc w:val="center"/>
      <w:outlineLvl w:val="0"/>
    </w:pPr>
    <w:rPr>
      <w:rFonts w:eastAsia="方正小标宋_GBK"/>
      <w:bCs/>
      <w:kern w:val="44"/>
      <w:sz w:val="44"/>
      <w:szCs w:val="44"/>
    </w:rPr>
  </w:style>
  <w:style w:type="paragraph" w:styleId="4">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pPr>
    <w:rPr>
      <w:rFonts w:ascii="宋体" w:hAnsi="Times New Roman" w:eastAsia="宋体" w:cs="Times New Roman"/>
      <w:kern w:val="2"/>
      <w:sz w:val="34"/>
      <w:szCs w:val="22"/>
      <w:lang w:val="en-US" w:eastAsia="zh-CN" w:bidi="ar-SA"/>
    </w:r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styleId="12">
    <w:name w:val="annotation reference"/>
    <w:basedOn w:val="11"/>
    <w:semiHidden/>
    <w:unhideWhenUsed/>
    <w:qFormat/>
    <w:uiPriority w:val="99"/>
    <w:rPr>
      <w:sz w:val="21"/>
      <w:szCs w:val="21"/>
    </w:rPr>
  </w:style>
  <w:style w:type="character" w:customStyle="1" w:styleId="13">
    <w:name w:val="标题 1 字符"/>
    <w:link w:val="3"/>
    <w:qFormat/>
    <w:uiPriority w:val="9"/>
    <w:rPr>
      <w:rFonts w:eastAsia="方正小标宋_GBK"/>
      <w:bCs/>
      <w:kern w:val="44"/>
      <w:sz w:val="44"/>
      <w:szCs w:val="44"/>
    </w:rPr>
  </w:style>
  <w:style w:type="paragraph" w:customStyle="1" w:styleId="14">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 w:type="paragraph" w:styleId="16">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2025-12-04T09:12:00Z</dcterms:created>
  <dc:creator>安天</dc:creator>
  <cp:lastModifiedBy>安天</cp:lastModifiedBy>
  <dcterms:modified xsi:type="dcterms:W3CDTF">2025-12-04T09:13:00Z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C624F3653477440BA40359E546C6C356_11</vt:lpwstr>
  </property>
  <property fmtid="{D5CDD505-2E9C-101B-9397-08002B2CF9AE}" pid="4" name="KSOTemplateDocerSaveRecord">
    <vt:lpwstr>eyJoZGlkIjoiZGUxNDkwOGRhYjQwY2FkYjE0ODc4ZjJiZmU0ZGQ0MDYiLCJ1c2VySWQiOiIyODkwNDAzNDUifQ==</vt:lpwstr>
  </property>
</Properties>
</file>