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F9C66">
      <w:pPr>
        <w:spacing w:line="360" w:lineRule="auto"/>
        <w:jc w:val="center"/>
        <w:outlineLvl w:val="0"/>
        <w:rPr>
          <w:rFonts w:hint="eastAsia" w:asciiTheme="minorEastAsia" w:hAnsiTheme="minorEastAsia" w:eastAsiaTheme="minorEastAsia"/>
          <w:b/>
          <w:color w:val="auto"/>
          <w:sz w:val="28"/>
          <w:szCs w:val="28"/>
        </w:rPr>
      </w:pPr>
      <w:bookmarkStart w:id="0" w:name="_Toc21816"/>
      <w:r>
        <w:rPr>
          <w:rFonts w:hint="eastAsia" w:asciiTheme="minorEastAsia" w:hAnsiTheme="minorEastAsia" w:eastAsiaTheme="minorEastAsia"/>
          <w:b/>
          <w:color w:val="auto"/>
          <w:sz w:val="28"/>
          <w:szCs w:val="28"/>
        </w:rPr>
        <w:t xml:space="preserve"> 采购需求</w:t>
      </w:r>
      <w:bookmarkEnd w:id="0"/>
    </w:p>
    <w:p w14:paraId="2D642AC8">
      <w:pPr>
        <w:pStyle w:val="3"/>
        <w:rPr>
          <w:rFonts w:hint="eastAsia"/>
          <w:color w:val="auto"/>
        </w:rPr>
      </w:pPr>
      <w:bookmarkStart w:id="1" w:name="_Toc21798"/>
      <w:bookmarkStart w:id="2" w:name="_Toc4148"/>
      <w:bookmarkStart w:id="3" w:name="_Hlk23621890"/>
      <w:r>
        <w:rPr>
          <w:rFonts w:hint="eastAsia"/>
          <w:color w:val="auto"/>
        </w:rPr>
        <w:t>一、采购需求前附表</w:t>
      </w:r>
      <w:bookmarkEnd w:id="1"/>
      <w:bookmarkEnd w:id="2"/>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547"/>
        <w:gridCol w:w="6370"/>
      </w:tblGrid>
      <w:tr w14:paraId="301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7E0C9C63">
            <w:pPr>
              <w:pStyle w:val="7"/>
              <w:pBdr>
                <w:bottom w:val="none" w:color="auto" w:sz="0" w:space="0"/>
              </w:pBdr>
              <w:tabs>
                <w:tab w:val="clear" w:pos="4153"/>
                <w:tab w:val="clear" w:pos="8306"/>
              </w:tabs>
              <w:adjustRightInd/>
              <w:spacing w:line="240" w:lineRule="auto"/>
              <w:textAlignment w:val="auto"/>
              <w:rPr>
                <w:rFonts w:hint="eastAsia"/>
                <w:b/>
                <w:color w:val="auto"/>
                <w:kern w:val="2"/>
                <w:szCs w:val="24"/>
              </w:rPr>
            </w:pPr>
            <w:r>
              <w:rPr>
                <w:rFonts w:hint="eastAsia"/>
                <w:b/>
                <w:color w:val="auto"/>
                <w:kern w:val="2"/>
                <w:szCs w:val="24"/>
              </w:rPr>
              <w:t>序号</w:t>
            </w:r>
          </w:p>
        </w:tc>
        <w:tc>
          <w:tcPr>
            <w:tcW w:w="908" w:type="pct"/>
            <w:vAlign w:val="center"/>
          </w:tcPr>
          <w:p w14:paraId="177D49DC">
            <w:pPr>
              <w:pStyle w:val="8"/>
              <w:widowControl w:val="0"/>
              <w:spacing w:before="0" w:beforeAutospacing="0" w:after="0" w:afterAutospacing="0" w:line="360" w:lineRule="auto"/>
              <w:rPr>
                <w:rFonts w:hint="eastAsia"/>
                <w:bCs w:val="0"/>
                <w:color w:val="auto"/>
                <w:sz w:val="24"/>
                <w:szCs w:val="24"/>
              </w:rPr>
            </w:pPr>
            <w:r>
              <w:rPr>
                <w:rFonts w:hint="eastAsia"/>
                <w:bCs w:val="0"/>
                <w:color w:val="auto"/>
                <w:sz w:val="24"/>
                <w:szCs w:val="24"/>
              </w:rPr>
              <w:t>条款名称</w:t>
            </w:r>
          </w:p>
        </w:tc>
        <w:tc>
          <w:tcPr>
            <w:tcW w:w="3738" w:type="pct"/>
            <w:vAlign w:val="center"/>
          </w:tcPr>
          <w:p w14:paraId="3300DCBB">
            <w:pPr>
              <w:pStyle w:val="8"/>
              <w:widowControl w:val="0"/>
              <w:spacing w:before="0" w:beforeAutospacing="0" w:after="0" w:afterAutospacing="0" w:line="360" w:lineRule="auto"/>
              <w:rPr>
                <w:rFonts w:hint="eastAsia"/>
                <w:bCs w:val="0"/>
                <w:color w:val="auto"/>
                <w:sz w:val="24"/>
                <w:szCs w:val="24"/>
              </w:rPr>
            </w:pPr>
            <w:r>
              <w:rPr>
                <w:rFonts w:hint="eastAsia"/>
                <w:bCs w:val="0"/>
                <w:color w:val="auto"/>
                <w:sz w:val="24"/>
                <w:szCs w:val="24"/>
              </w:rPr>
              <w:t>内容、说明与要求</w:t>
            </w:r>
          </w:p>
        </w:tc>
      </w:tr>
      <w:tr w14:paraId="22A7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1F85478A">
            <w:pPr>
              <w:pStyle w:val="7"/>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1</w:t>
            </w:r>
          </w:p>
        </w:tc>
        <w:tc>
          <w:tcPr>
            <w:tcW w:w="908" w:type="pct"/>
            <w:shd w:val="clear" w:color="auto" w:fill="auto"/>
            <w:vAlign w:val="center"/>
          </w:tcPr>
          <w:p w14:paraId="78D4C476">
            <w:pPr>
              <w:pStyle w:val="8"/>
              <w:widowControl w:val="0"/>
              <w:spacing w:before="0" w:beforeAutospacing="0" w:after="0" w:afterAutospacing="0" w:line="360" w:lineRule="auto"/>
              <w:rPr>
                <w:rFonts w:hint="eastAsia"/>
                <w:b w:val="0"/>
                <w:color w:val="auto"/>
                <w:sz w:val="24"/>
                <w:szCs w:val="24"/>
              </w:rPr>
            </w:pPr>
            <w:r>
              <w:rPr>
                <w:rFonts w:hint="eastAsia"/>
                <w:b w:val="0"/>
                <w:color w:val="auto"/>
                <w:sz w:val="24"/>
                <w:szCs w:val="24"/>
              </w:rPr>
              <w:t>工期</w:t>
            </w:r>
          </w:p>
        </w:tc>
        <w:tc>
          <w:tcPr>
            <w:tcW w:w="3738" w:type="pct"/>
            <w:shd w:val="clear" w:color="auto" w:fill="auto"/>
            <w:vAlign w:val="center"/>
          </w:tcPr>
          <w:p w14:paraId="635CFAB7">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合同施工工期4</w:t>
            </w:r>
            <w:r>
              <w:rPr>
                <w:rFonts w:hint="eastAsia" w:cs="@仿宋_GB2312" w:asciiTheme="minorEastAsia" w:hAnsiTheme="minorEastAsia" w:eastAsiaTheme="minorEastAsia"/>
                <w:color w:val="auto"/>
                <w:kern w:val="2"/>
                <w:sz w:val="24"/>
                <w:szCs w:val="24"/>
                <w:lang w:val="en-US" w:eastAsia="zh-CN"/>
              </w:rPr>
              <w:t>5</w:t>
            </w:r>
            <w:r>
              <w:rPr>
                <w:rFonts w:hint="eastAsia" w:cs="@仿宋_GB2312" w:asciiTheme="minorEastAsia" w:hAnsiTheme="minorEastAsia" w:eastAsiaTheme="minorEastAsia"/>
                <w:color w:val="auto"/>
                <w:kern w:val="2"/>
                <w:sz w:val="24"/>
                <w:szCs w:val="24"/>
              </w:rPr>
              <w:t>日历天。工期一般为两段时间的相加（期间若有特殊情况需要停工的时间扣除）：第一段时间从开工令（或开工通知）发出时起至施工单位提交竣工验收申请时止；第二段时间从竣工验收后发出质量整改通知时起至整改回复合格时止。每超一天（不足一天按一天计），承包人须向发包人缴纳</w:t>
            </w:r>
            <w:r>
              <w:rPr>
                <w:rFonts w:hint="eastAsia" w:cs="@仿宋_GB2312" w:asciiTheme="minorEastAsia" w:hAnsiTheme="minorEastAsia" w:eastAsiaTheme="minorEastAsia"/>
                <w:color w:val="auto"/>
                <w:kern w:val="2"/>
                <w:sz w:val="24"/>
                <w:szCs w:val="24"/>
                <w:lang w:val="en-US" w:eastAsia="zh-CN"/>
              </w:rPr>
              <w:t>成交</w:t>
            </w:r>
            <w:r>
              <w:rPr>
                <w:rFonts w:hint="eastAsia" w:cs="@仿宋_GB2312" w:asciiTheme="minorEastAsia" w:hAnsiTheme="minorEastAsia" w:eastAsiaTheme="minorEastAsia"/>
                <w:color w:val="auto"/>
                <w:kern w:val="2"/>
                <w:sz w:val="24"/>
                <w:szCs w:val="24"/>
              </w:rPr>
              <w:t>金额的0.5%款额的违约金，超过15天的，除不予退还履约保证金外，从超期第16天开始，每天的违约金按</w:t>
            </w:r>
            <w:r>
              <w:rPr>
                <w:rFonts w:hint="eastAsia" w:cs="@仿宋_GB2312" w:asciiTheme="minorEastAsia" w:hAnsiTheme="minorEastAsia" w:eastAsiaTheme="minorEastAsia"/>
                <w:color w:val="auto"/>
                <w:kern w:val="2"/>
                <w:sz w:val="24"/>
                <w:szCs w:val="24"/>
                <w:lang w:val="en-US" w:eastAsia="zh-CN"/>
              </w:rPr>
              <w:t>成交</w:t>
            </w:r>
            <w:r>
              <w:rPr>
                <w:rFonts w:hint="eastAsia" w:cs="@仿宋_GB2312" w:asciiTheme="minorEastAsia" w:hAnsiTheme="minorEastAsia" w:eastAsiaTheme="minorEastAsia"/>
                <w:color w:val="auto"/>
                <w:kern w:val="2"/>
                <w:sz w:val="24"/>
                <w:szCs w:val="24"/>
              </w:rPr>
              <w:t>金额的1%计算。</w:t>
            </w:r>
          </w:p>
        </w:tc>
      </w:tr>
      <w:tr w14:paraId="7D5C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4314FA09">
            <w:pPr>
              <w:pStyle w:val="7"/>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2</w:t>
            </w:r>
          </w:p>
        </w:tc>
        <w:tc>
          <w:tcPr>
            <w:tcW w:w="908" w:type="pct"/>
            <w:shd w:val="clear" w:color="auto" w:fill="auto"/>
            <w:vAlign w:val="center"/>
          </w:tcPr>
          <w:p w14:paraId="0591215E">
            <w:pPr>
              <w:pStyle w:val="8"/>
              <w:widowControl w:val="0"/>
              <w:spacing w:before="0" w:beforeAutospacing="0" w:after="0" w:afterAutospacing="0" w:line="360" w:lineRule="auto"/>
              <w:rPr>
                <w:rFonts w:hint="eastAsia"/>
                <w:b w:val="0"/>
                <w:color w:val="auto"/>
                <w:sz w:val="24"/>
                <w:szCs w:val="24"/>
              </w:rPr>
            </w:pPr>
            <w:r>
              <w:rPr>
                <w:rFonts w:hint="eastAsia"/>
                <w:b w:val="0"/>
                <w:color w:val="auto"/>
                <w:sz w:val="24"/>
                <w:szCs w:val="24"/>
              </w:rPr>
              <w:t>付款方式</w:t>
            </w:r>
          </w:p>
        </w:tc>
        <w:tc>
          <w:tcPr>
            <w:tcW w:w="3738" w:type="pct"/>
            <w:shd w:val="clear" w:color="auto" w:fill="auto"/>
            <w:vAlign w:val="center"/>
          </w:tcPr>
          <w:p w14:paraId="6A427E10">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lang w:val="en-US" w:eastAsia="zh-CN"/>
              </w:rPr>
              <w:t>不支付工程进度款。工程竣工验收合格，并提交完整合格的竣工验收资料，经审计结束后据实支付（超过合同价不予支付），成交供应商转账支付结算审定款的3%至亳州学院（账号：34001888608053005277；开户行：中国建设银行股份有限公司亳州市分行，统一社会信用代码：123416004859573950；转账备注信息为：“亳州学院汤王大道校区2025年暑假学生公寓宿舍维修项目质保金”）后，支付结算审定款的100%。</w:t>
            </w:r>
            <w:r>
              <w:rPr>
                <w:rFonts w:hint="eastAsia" w:cs="@仿宋_GB2312" w:asciiTheme="minorEastAsia" w:hAnsiTheme="minorEastAsia" w:eastAsiaTheme="minorEastAsia"/>
                <w:color w:val="auto"/>
                <w:kern w:val="2"/>
                <w:sz w:val="24"/>
                <w:szCs w:val="24"/>
              </w:rPr>
              <w:t>缺陷责任期</w:t>
            </w:r>
            <w:r>
              <w:rPr>
                <w:rFonts w:hint="eastAsia" w:cs="@仿宋_GB2312" w:asciiTheme="minorEastAsia" w:hAnsiTheme="minorEastAsia" w:eastAsiaTheme="minorEastAsia"/>
                <w:color w:val="auto"/>
                <w:kern w:val="2"/>
                <w:sz w:val="24"/>
                <w:szCs w:val="24"/>
                <w:lang w:val="en-US" w:eastAsia="zh-CN"/>
              </w:rPr>
              <w:t>满后</w:t>
            </w:r>
            <w:r>
              <w:rPr>
                <w:rFonts w:hint="eastAsia" w:cs="@仿宋_GB2312" w:asciiTheme="minorEastAsia" w:hAnsiTheme="minorEastAsia" w:eastAsiaTheme="minorEastAsia"/>
                <w:color w:val="auto"/>
                <w:kern w:val="2"/>
                <w:sz w:val="24"/>
                <w:szCs w:val="24"/>
              </w:rPr>
              <w:t>，退还剩余的质量保证金</w:t>
            </w:r>
            <w:r>
              <w:rPr>
                <w:rFonts w:hint="eastAsia" w:cs="@仿宋_GB2312" w:asciiTheme="minorEastAsia" w:hAnsiTheme="minorEastAsia" w:eastAsiaTheme="minorEastAsia"/>
                <w:color w:val="auto"/>
                <w:kern w:val="2"/>
                <w:sz w:val="24"/>
                <w:szCs w:val="24"/>
                <w:lang w:eastAsia="zh-CN"/>
              </w:rPr>
              <w:t>。</w:t>
            </w:r>
          </w:p>
          <w:p w14:paraId="6393E348">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注：</w:t>
            </w:r>
          </w:p>
          <w:p w14:paraId="2F965E34">
            <w:pPr>
              <w:numPr>
                <w:ilvl w:val="0"/>
                <w:numId w:val="0"/>
              </w:numPr>
              <w:spacing w:line="360" w:lineRule="auto"/>
              <w:rPr>
                <w:rFonts w:hint="eastAsia" w:cs="@仿宋_GB2312" w:asciiTheme="minorEastAsia" w:hAnsiTheme="minorEastAsia" w:eastAsiaTheme="minorEastAsia"/>
                <w:b/>
                <w:bCs/>
                <w:color w:val="auto"/>
                <w:kern w:val="2"/>
                <w:sz w:val="24"/>
                <w:szCs w:val="24"/>
                <w:lang w:val="en-US" w:eastAsia="zh-CN"/>
              </w:rPr>
            </w:pPr>
            <w:r>
              <w:rPr>
                <w:rFonts w:hint="eastAsia" w:cs="@仿宋_GB2312" w:asciiTheme="minorEastAsia" w:hAnsiTheme="minorEastAsia" w:eastAsiaTheme="minorEastAsia"/>
                <w:b/>
                <w:bCs/>
                <w:color w:val="auto"/>
                <w:kern w:val="2"/>
                <w:sz w:val="24"/>
                <w:szCs w:val="24"/>
                <w:lang w:eastAsia="zh-CN"/>
              </w:rPr>
              <w:t>（</w:t>
            </w:r>
            <w:r>
              <w:rPr>
                <w:rFonts w:hint="eastAsia" w:cs="@仿宋_GB2312" w:asciiTheme="minorEastAsia" w:hAnsiTheme="minorEastAsia" w:eastAsiaTheme="minorEastAsia"/>
                <w:b/>
                <w:bCs/>
                <w:color w:val="auto"/>
                <w:kern w:val="2"/>
                <w:sz w:val="24"/>
                <w:szCs w:val="24"/>
                <w:lang w:val="en-US" w:eastAsia="zh-CN"/>
              </w:rPr>
              <w:t>1</w:t>
            </w:r>
            <w:r>
              <w:rPr>
                <w:rFonts w:hint="eastAsia" w:cs="@仿宋_GB2312" w:asciiTheme="minorEastAsia" w:hAnsiTheme="minorEastAsia" w:eastAsiaTheme="minorEastAsia"/>
                <w:b/>
                <w:bCs/>
                <w:color w:val="auto"/>
                <w:kern w:val="2"/>
                <w:sz w:val="24"/>
                <w:szCs w:val="24"/>
                <w:lang w:eastAsia="zh-CN"/>
              </w:rPr>
              <w:t>）</w:t>
            </w:r>
            <w:r>
              <w:rPr>
                <w:rFonts w:hint="eastAsia" w:cs="@仿宋_GB2312" w:asciiTheme="minorEastAsia" w:hAnsiTheme="minorEastAsia" w:eastAsiaTheme="minorEastAsia"/>
                <w:b/>
                <w:bCs/>
                <w:color w:val="auto"/>
                <w:kern w:val="2"/>
                <w:sz w:val="24"/>
                <w:szCs w:val="24"/>
              </w:rPr>
              <w:t>质量保证金缴纳</w:t>
            </w:r>
            <w:r>
              <w:rPr>
                <w:rFonts w:hint="eastAsia" w:cs="@仿宋_GB2312" w:asciiTheme="minorEastAsia" w:hAnsiTheme="minorEastAsia" w:eastAsiaTheme="minorEastAsia"/>
                <w:b/>
                <w:bCs/>
                <w:color w:val="auto"/>
                <w:kern w:val="2"/>
                <w:sz w:val="24"/>
                <w:szCs w:val="24"/>
                <w:lang w:val="en-US" w:eastAsia="zh-CN"/>
              </w:rPr>
              <w:t>形式：</w:t>
            </w:r>
          </w:p>
          <w:p w14:paraId="770F3673">
            <w:pPr>
              <w:numPr>
                <w:ilvl w:val="0"/>
                <w:numId w:val="0"/>
              </w:num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转账/电汇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支票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汇票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本票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 xml:space="preserve">保险 </w:t>
            </w:r>
            <w:r>
              <w:rPr>
                <w:rFonts w:hint="eastAsia" w:cs="@仿宋_GB2312" w:asciiTheme="minorEastAsia" w:hAnsiTheme="minorEastAsia" w:eastAsiaTheme="minorEastAsia"/>
                <w:b/>
                <w:bCs/>
                <w:color w:val="auto"/>
                <w:kern w:val="2"/>
                <w:sz w:val="24"/>
                <w:szCs w:val="24"/>
              </w:rPr>
              <w:sym w:font="Wingdings" w:char="00FE"/>
            </w:r>
            <w:r>
              <w:rPr>
                <w:rFonts w:hint="eastAsia" w:cs="@仿宋_GB2312" w:asciiTheme="minorEastAsia" w:hAnsiTheme="minorEastAsia" w:eastAsiaTheme="minorEastAsia"/>
                <w:b/>
                <w:bCs/>
                <w:color w:val="auto"/>
                <w:kern w:val="2"/>
                <w:sz w:val="24"/>
                <w:szCs w:val="24"/>
              </w:rPr>
              <w:t>保函</w:t>
            </w:r>
          </w:p>
          <w:p w14:paraId="7FC759C2">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（2）质量担保要求如下：</w:t>
            </w:r>
          </w:p>
          <w:p w14:paraId="318BD0EC">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①如采用银行保函，应为成交供应商对公账户银行出具的不可撤销、不可转让的见索即付独立保函；</w:t>
            </w:r>
          </w:p>
          <w:p w14:paraId="3DB60DD5">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②如采用担保机构担保，应为经安徽省地方金融监督管理局审查批准，依法取得融资担保业务经营许可证的融资担保机构出具的不可撤销、不可转让的见索即付独立保函；</w:t>
            </w:r>
          </w:p>
          <w:p w14:paraId="6620C011">
            <w:pPr>
              <w:spacing w:line="360" w:lineRule="auto"/>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color w:val="auto"/>
                <w:kern w:val="2"/>
                <w:sz w:val="24"/>
                <w:szCs w:val="24"/>
              </w:rPr>
              <w:t>③如采用保证保险，应为保险机构出具的不可撤销、不可转让的见索即付保证保险；</w:t>
            </w:r>
          </w:p>
          <w:p w14:paraId="7EC1A355">
            <w:pPr>
              <w:spacing w:line="360" w:lineRule="auto"/>
              <w:rPr>
                <w:rFonts w:hint="eastAsia"/>
                <w:color w:val="auto"/>
              </w:rPr>
            </w:pPr>
            <w:r>
              <w:rPr>
                <w:rFonts w:hint="eastAsia" w:cs="@仿宋_GB2312" w:asciiTheme="minorEastAsia" w:hAnsiTheme="minorEastAsia" w:eastAsiaTheme="minorEastAsia"/>
                <w:b/>
                <w:bCs/>
                <w:color w:val="auto"/>
                <w:kern w:val="2"/>
                <w:sz w:val="24"/>
                <w:szCs w:val="24"/>
              </w:rPr>
              <w:t>④以上各类机构出具的以担保函、保证保险承担责任的方式均须满足无条件见索即付条件，且受益人和收取单位须为采购人。</w:t>
            </w:r>
          </w:p>
        </w:tc>
      </w:tr>
      <w:tr w14:paraId="0F38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3" w:type="pct"/>
            <w:vAlign w:val="center"/>
          </w:tcPr>
          <w:p w14:paraId="545BDEFF">
            <w:pPr>
              <w:pStyle w:val="7"/>
              <w:pBdr>
                <w:bottom w:val="none" w:color="auto" w:sz="0" w:space="0"/>
              </w:pBdr>
              <w:tabs>
                <w:tab w:val="clear" w:pos="4153"/>
                <w:tab w:val="clear" w:pos="8306"/>
              </w:tabs>
              <w:adjustRightInd/>
              <w:spacing w:line="240" w:lineRule="auto"/>
              <w:textAlignment w:val="auto"/>
              <w:rPr>
                <w:rFonts w:hint="eastAsia"/>
                <w:bCs/>
                <w:color w:val="auto"/>
                <w:kern w:val="2"/>
                <w:szCs w:val="24"/>
              </w:rPr>
            </w:pPr>
            <w:r>
              <w:rPr>
                <w:rFonts w:hint="eastAsia"/>
                <w:bCs/>
                <w:color w:val="auto"/>
                <w:kern w:val="2"/>
                <w:szCs w:val="24"/>
              </w:rPr>
              <w:t>3</w:t>
            </w:r>
          </w:p>
        </w:tc>
        <w:tc>
          <w:tcPr>
            <w:tcW w:w="908" w:type="pct"/>
            <w:shd w:val="clear" w:color="auto" w:fill="auto"/>
            <w:vAlign w:val="center"/>
          </w:tcPr>
          <w:p w14:paraId="0DBE1732">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本项目采购标的名称及所属行业</w:t>
            </w:r>
          </w:p>
        </w:tc>
        <w:tc>
          <w:tcPr>
            <w:tcW w:w="3738" w:type="pct"/>
            <w:shd w:val="clear" w:color="auto" w:fill="auto"/>
            <w:vAlign w:val="center"/>
          </w:tcPr>
          <w:p w14:paraId="58C20733">
            <w:pPr>
              <w:spacing w:line="360" w:lineRule="auto"/>
              <w:rPr>
                <w:rFonts w:hint="eastAsia" w:cs="@仿宋_GB2312" w:asciiTheme="minorEastAsia" w:hAnsiTheme="minorEastAsia" w:eastAsiaTheme="minorEastAsia"/>
                <w:color w:val="auto"/>
                <w:kern w:val="2"/>
                <w:sz w:val="24"/>
                <w:szCs w:val="24"/>
                <w:lang w:eastAsia="zh-CN"/>
              </w:rPr>
            </w:pPr>
            <w:r>
              <w:rPr>
                <w:rFonts w:hint="eastAsia" w:cs="@仿宋_GB2312" w:asciiTheme="minorEastAsia" w:hAnsiTheme="minorEastAsia" w:eastAsiaTheme="minorEastAsia"/>
                <w:color w:val="auto"/>
                <w:kern w:val="2"/>
                <w:sz w:val="24"/>
                <w:szCs w:val="24"/>
              </w:rPr>
              <w:t>标的名称：</w:t>
            </w:r>
            <w:r>
              <w:rPr>
                <w:rFonts w:hint="eastAsia" w:cs="@仿宋_GB2312" w:asciiTheme="minorEastAsia" w:hAnsiTheme="minorEastAsia" w:eastAsiaTheme="minorEastAsia"/>
                <w:color w:val="auto"/>
                <w:kern w:val="2"/>
                <w:sz w:val="24"/>
                <w:szCs w:val="24"/>
                <w:lang w:eastAsia="zh-CN"/>
              </w:rPr>
              <w:t>亳州学院汤王大道校区2025年暑假学生公寓宿舍维修项目</w:t>
            </w:r>
          </w:p>
          <w:p w14:paraId="70E80EE9">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所属行业：建筑业</w:t>
            </w:r>
          </w:p>
        </w:tc>
      </w:tr>
      <w:bookmarkEnd w:id="3"/>
    </w:tbl>
    <w:p w14:paraId="48C838EC">
      <w:pPr>
        <w:pStyle w:val="3"/>
        <w:rPr>
          <w:rFonts w:hint="eastAsia"/>
          <w:color w:val="auto"/>
        </w:rPr>
      </w:pPr>
      <w:r>
        <w:rPr>
          <w:rFonts w:hint="eastAsia"/>
          <w:color w:val="auto"/>
        </w:rPr>
        <w:t>二、采购需求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22"/>
        <w:gridCol w:w="6614"/>
      </w:tblGrid>
      <w:tr w14:paraId="2072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422B39CC">
            <w:pPr>
              <w:spacing w:line="360" w:lineRule="auto"/>
              <w:jc w:val="center"/>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序号</w:t>
            </w:r>
          </w:p>
        </w:tc>
        <w:tc>
          <w:tcPr>
            <w:tcW w:w="658" w:type="pct"/>
            <w:vAlign w:val="center"/>
          </w:tcPr>
          <w:p w14:paraId="290EADE0">
            <w:pPr>
              <w:spacing w:line="360" w:lineRule="auto"/>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内容</w:t>
            </w:r>
          </w:p>
        </w:tc>
        <w:tc>
          <w:tcPr>
            <w:tcW w:w="3879" w:type="pct"/>
            <w:vAlign w:val="center"/>
          </w:tcPr>
          <w:p w14:paraId="4BDE82C5">
            <w:pPr>
              <w:spacing w:line="360" w:lineRule="auto"/>
              <w:ind w:firstLine="435"/>
              <w:jc w:val="center"/>
              <w:rPr>
                <w:rFonts w:hint="eastAsia" w:cs="@仿宋_GB2312" w:asciiTheme="minorEastAsia" w:hAnsiTheme="minorEastAsia" w:eastAsiaTheme="minorEastAsia"/>
                <w:b/>
                <w:color w:val="auto"/>
                <w:kern w:val="2"/>
                <w:sz w:val="24"/>
                <w:szCs w:val="24"/>
              </w:rPr>
            </w:pPr>
            <w:r>
              <w:rPr>
                <w:rFonts w:hint="eastAsia" w:cs="@仿宋_GB2312" w:asciiTheme="minorEastAsia" w:hAnsiTheme="minorEastAsia" w:eastAsiaTheme="minorEastAsia"/>
                <w:b/>
                <w:color w:val="auto"/>
                <w:kern w:val="2"/>
                <w:sz w:val="24"/>
                <w:szCs w:val="24"/>
              </w:rPr>
              <w:t>说明和要求</w:t>
            </w:r>
          </w:p>
        </w:tc>
      </w:tr>
      <w:tr w14:paraId="03A8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09AB83F8">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1</w:t>
            </w:r>
          </w:p>
        </w:tc>
        <w:tc>
          <w:tcPr>
            <w:tcW w:w="658" w:type="pct"/>
            <w:shd w:val="clear" w:color="auto" w:fill="auto"/>
            <w:vAlign w:val="center"/>
          </w:tcPr>
          <w:p w14:paraId="08E70BCC">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人员到岗及履约要求</w:t>
            </w:r>
          </w:p>
        </w:tc>
        <w:tc>
          <w:tcPr>
            <w:tcW w:w="3879" w:type="pct"/>
            <w:shd w:val="clear" w:color="auto" w:fill="auto"/>
            <w:vAlign w:val="center"/>
          </w:tcPr>
          <w:p w14:paraId="093A5DDF">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1、</w:t>
            </w:r>
            <w:r>
              <w:rPr>
                <w:rFonts w:cs="宋体" w:eastAsiaTheme="minorEastAsia"/>
                <w:color w:val="auto"/>
                <w:kern w:val="2"/>
                <w:sz w:val="24"/>
                <w:szCs w:val="24"/>
              </w:rPr>
              <w:t xml:space="preserve">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 </w:t>
            </w:r>
          </w:p>
          <w:p w14:paraId="4B4DB4F5">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2、</w:t>
            </w:r>
            <w:r>
              <w:rPr>
                <w:rFonts w:cs="宋体" w:eastAsiaTheme="minorEastAsia"/>
                <w:color w:val="auto"/>
                <w:kern w:val="2"/>
                <w:sz w:val="24"/>
                <w:szCs w:val="24"/>
              </w:rPr>
              <w:t xml:space="preserve">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 </w:t>
            </w:r>
          </w:p>
          <w:p w14:paraId="11148897">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rPr>
              <w:t>3、</w:t>
            </w:r>
            <w:r>
              <w:rPr>
                <w:rFonts w:cs="宋体" w:eastAsiaTheme="minorEastAsia"/>
                <w:color w:val="auto"/>
                <w:kern w:val="2"/>
                <w:sz w:val="24"/>
                <w:szCs w:val="24"/>
              </w:rPr>
              <w:t>成交供应商未能按照承诺到岗尽职的，采购人将视情 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51A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5D67D393">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2</w:t>
            </w:r>
          </w:p>
        </w:tc>
        <w:tc>
          <w:tcPr>
            <w:tcW w:w="658" w:type="pct"/>
            <w:shd w:val="clear" w:color="auto" w:fill="auto"/>
            <w:vAlign w:val="center"/>
          </w:tcPr>
          <w:p w14:paraId="3BF380EE">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材料要求</w:t>
            </w:r>
          </w:p>
        </w:tc>
        <w:tc>
          <w:tcPr>
            <w:tcW w:w="3879" w:type="pct"/>
            <w:shd w:val="clear" w:color="auto" w:fill="auto"/>
            <w:vAlign w:val="center"/>
          </w:tcPr>
          <w:p w14:paraId="083994E2">
            <w:pPr>
              <w:spacing w:line="360" w:lineRule="auto"/>
              <w:rPr>
                <w:rFonts w:hint="eastAsia" w:cs="@仿宋_GB2312" w:asciiTheme="minorEastAsia" w:hAnsiTheme="minorEastAsia" w:eastAsiaTheme="minorEastAsia"/>
                <w:color w:val="auto"/>
                <w:kern w:val="2"/>
                <w:sz w:val="24"/>
                <w:szCs w:val="24"/>
              </w:rPr>
            </w:pPr>
            <w:r>
              <w:rPr>
                <w:rFonts w:cs="宋体" w:eastAsiaTheme="minorEastAsia"/>
                <w:color w:val="auto"/>
                <w:kern w:val="2"/>
                <w:sz w:val="24"/>
                <w:szCs w:val="24"/>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002A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D199499">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3</w:t>
            </w:r>
          </w:p>
        </w:tc>
        <w:tc>
          <w:tcPr>
            <w:tcW w:w="658" w:type="pct"/>
            <w:shd w:val="clear" w:color="auto" w:fill="auto"/>
            <w:vAlign w:val="center"/>
          </w:tcPr>
          <w:p w14:paraId="2544F507">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工程施工重点难点</w:t>
            </w:r>
          </w:p>
        </w:tc>
        <w:tc>
          <w:tcPr>
            <w:tcW w:w="3879" w:type="pct"/>
            <w:shd w:val="clear" w:color="auto" w:fill="auto"/>
            <w:vAlign w:val="center"/>
          </w:tcPr>
          <w:p w14:paraId="32BC68BB">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lang w:val="en-US" w:eastAsia="zh-CN"/>
              </w:rPr>
              <w:t>/</w:t>
            </w:r>
            <w:r>
              <w:rPr>
                <w:rFonts w:cs="宋体" w:eastAsiaTheme="minorEastAsia"/>
                <w:color w:val="auto"/>
                <w:kern w:val="2"/>
                <w:sz w:val="24"/>
                <w:szCs w:val="24"/>
              </w:rPr>
              <w:t>。</w:t>
            </w:r>
          </w:p>
        </w:tc>
      </w:tr>
      <w:tr w14:paraId="733B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1A3444A7">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4</w:t>
            </w:r>
          </w:p>
        </w:tc>
        <w:tc>
          <w:tcPr>
            <w:tcW w:w="658" w:type="pct"/>
            <w:shd w:val="clear" w:color="auto" w:fill="auto"/>
            <w:vAlign w:val="center"/>
          </w:tcPr>
          <w:p w14:paraId="5BD2E83C">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报价须知</w:t>
            </w:r>
          </w:p>
        </w:tc>
        <w:tc>
          <w:tcPr>
            <w:tcW w:w="3879" w:type="pct"/>
            <w:shd w:val="clear" w:color="auto" w:fill="auto"/>
            <w:vAlign w:val="center"/>
          </w:tcPr>
          <w:p w14:paraId="1BE9061A">
            <w:pPr>
              <w:spacing w:line="360" w:lineRule="auto"/>
              <w:rPr>
                <w:rFonts w:hint="eastAsia" w:eastAsia="@微软简标宋"/>
                <w:color w:val="auto"/>
                <w:kern w:val="2"/>
                <w:sz w:val="24"/>
                <w:szCs w:val="24"/>
              </w:rPr>
            </w:pPr>
            <w:r>
              <w:rPr>
                <w:rFonts w:hint="eastAsia" w:cs="@仿宋_GB2312" w:asciiTheme="minorEastAsia" w:hAnsiTheme="minorEastAsia" w:eastAsiaTheme="minorEastAsia"/>
                <w:color w:val="auto"/>
                <w:kern w:val="2"/>
                <w:sz w:val="24"/>
                <w:szCs w:val="24"/>
              </w:rPr>
              <w:t>供应商最后报价均不得高于磋商文件（公告）列明的项目预算、最高投标限价，否则其响应文件将被认定为响应无效。</w:t>
            </w:r>
          </w:p>
        </w:tc>
      </w:tr>
      <w:tr w14:paraId="0680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6D4FA7D">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5</w:t>
            </w:r>
          </w:p>
        </w:tc>
        <w:tc>
          <w:tcPr>
            <w:tcW w:w="658" w:type="pct"/>
            <w:vAlign w:val="center"/>
          </w:tcPr>
          <w:p w14:paraId="0223B118">
            <w:pPr>
              <w:spacing w:line="360" w:lineRule="auto"/>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重要说明</w:t>
            </w:r>
          </w:p>
        </w:tc>
        <w:tc>
          <w:tcPr>
            <w:tcW w:w="3879" w:type="pct"/>
            <w:vAlign w:val="center"/>
          </w:tcPr>
          <w:p w14:paraId="7BB4EDF1">
            <w:pPr>
              <w:numPr>
                <w:ilvl w:val="0"/>
                <w:numId w:val="1"/>
              </w:numPr>
              <w:spacing w:line="360" w:lineRule="auto"/>
              <w:rPr>
                <w:rFonts w:hint="eastAsia" w:cs="宋体" w:eastAsiaTheme="minorEastAsia"/>
                <w:color w:val="auto"/>
                <w:kern w:val="2"/>
                <w:sz w:val="24"/>
                <w:szCs w:val="24"/>
              </w:rPr>
            </w:pPr>
            <w:r>
              <w:rPr>
                <w:rFonts w:cs="宋体" w:eastAsiaTheme="minorEastAsia"/>
                <w:color w:val="auto"/>
                <w:kern w:val="2"/>
                <w:sz w:val="24"/>
                <w:szCs w:val="24"/>
              </w:rPr>
              <w:t xml:space="preserve">本项目的磋商文件、工程量清单、澄清、修改、补充等 相关资料均通过电子服务系统发布，请供应商自行从网上下载，供应商应当及时查看有无相关澄清、修改、补充等内容。 </w:t>
            </w:r>
          </w:p>
          <w:p w14:paraId="2DD9799E">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2、</w:t>
            </w:r>
            <w:r>
              <w:rPr>
                <w:rFonts w:cs="宋体" w:eastAsiaTheme="minorEastAsia"/>
                <w:color w:val="auto"/>
                <w:kern w:val="2"/>
                <w:sz w:val="24"/>
                <w:szCs w:val="24"/>
              </w:rPr>
              <w:t>供应商在工程实施过程中用工行为，必须严格执行国家及地方政府的有关规定，依法签订劳动合同，并按规定及时足额支付工资。</w:t>
            </w:r>
          </w:p>
          <w:p w14:paraId="7581D85F">
            <w:pPr>
              <w:spacing w:line="360" w:lineRule="auto"/>
              <w:rPr>
                <w:rFonts w:hint="eastAsia" w:eastAsiaTheme="minorEastAsia"/>
                <w:color w:val="auto"/>
                <w:kern w:val="2"/>
                <w:sz w:val="24"/>
                <w:szCs w:val="24"/>
              </w:rPr>
            </w:pPr>
            <w:r>
              <w:rPr>
                <w:rFonts w:hint="eastAsia" w:cs="宋体" w:eastAsiaTheme="minorEastAsia"/>
                <w:color w:val="auto"/>
                <w:kern w:val="2"/>
                <w:sz w:val="24"/>
                <w:szCs w:val="24"/>
              </w:rPr>
              <w:t>3、</w:t>
            </w:r>
            <w:r>
              <w:rPr>
                <w:rFonts w:cs="宋体" w:eastAsiaTheme="minorEastAsia"/>
                <w:color w:val="auto"/>
                <w:kern w:val="2"/>
                <w:sz w:val="24"/>
                <w:szCs w:val="24"/>
              </w:rPr>
              <w:t>政府采购政策</w:t>
            </w:r>
            <w:r>
              <w:rPr>
                <w:rFonts w:hint="eastAsia" w:eastAsiaTheme="minorEastAsia"/>
                <w:color w:val="auto"/>
                <w:kern w:val="2"/>
                <w:sz w:val="24"/>
                <w:szCs w:val="24"/>
              </w:rPr>
              <w:t>：</w:t>
            </w:r>
          </w:p>
          <w:p w14:paraId="7F71DC9F">
            <w:pPr>
              <w:spacing w:line="360" w:lineRule="auto"/>
              <w:rPr>
                <w:rFonts w:hint="eastAsia" w:cs="宋体" w:eastAsiaTheme="minorEastAsia"/>
                <w:b/>
                <w:bCs/>
                <w:color w:val="auto"/>
                <w:kern w:val="2"/>
                <w:sz w:val="24"/>
                <w:szCs w:val="24"/>
              </w:rPr>
            </w:pPr>
            <w:r>
              <w:rPr>
                <w:rFonts w:hint="eastAsia" w:cs="宋体" w:eastAsiaTheme="minorEastAsia"/>
                <w:b/>
                <w:bCs/>
                <w:color w:val="auto"/>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03B60D4">
            <w:pPr>
              <w:spacing w:line="360" w:lineRule="auto"/>
              <w:rPr>
                <w:rFonts w:hint="eastAsia" w:cs="@仿宋_GB2312" w:asciiTheme="minorEastAsia" w:hAnsiTheme="minorEastAsia" w:eastAsiaTheme="minorEastAsia"/>
                <w:color w:val="auto"/>
                <w:kern w:val="2"/>
                <w:sz w:val="24"/>
                <w:szCs w:val="24"/>
              </w:rPr>
            </w:pPr>
            <w:r>
              <w:rPr>
                <w:rFonts w:hint="eastAsia" w:cs="宋体" w:eastAsiaTheme="minorEastAsia"/>
                <w:color w:val="auto"/>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1AD7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188B2E4">
            <w:pPr>
              <w:spacing w:line="360" w:lineRule="auto"/>
              <w:jc w:val="center"/>
              <w:rPr>
                <w:rFonts w:hint="eastAsia" w:cs="@仿宋_GB2312" w:asciiTheme="minorEastAsia" w:hAnsiTheme="minorEastAsia" w:eastAsiaTheme="minorEastAsia"/>
                <w:color w:val="auto"/>
                <w:kern w:val="2"/>
                <w:sz w:val="24"/>
                <w:szCs w:val="24"/>
              </w:rPr>
            </w:pPr>
            <w:r>
              <w:rPr>
                <w:rFonts w:hint="eastAsia" w:cs="@仿宋_GB2312" w:asciiTheme="minorEastAsia" w:hAnsiTheme="minorEastAsia" w:eastAsiaTheme="minorEastAsia"/>
                <w:color w:val="auto"/>
                <w:kern w:val="2"/>
                <w:sz w:val="24"/>
                <w:szCs w:val="24"/>
              </w:rPr>
              <w:t>3</w:t>
            </w:r>
          </w:p>
        </w:tc>
        <w:tc>
          <w:tcPr>
            <w:tcW w:w="658" w:type="pct"/>
            <w:vAlign w:val="center"/>
          </w:tcPr>
          <w:p w14:paraId="199EF94F">
            <w:pPr>
              <w:spacing w:line="360" w:lineRule="auto"/>
              <w:rPr>
                <w:rFonts w:hint="eastAsia" w:cs="@仿宋_GB2312" w:asciiTheme="minorEastAsia" w:hAnsiTheme="minorEastAsia" w:eastAsiaTheme="minorEastAsia"/>
                <w:color w:val="auto"/>
                <w:kern w:val="2"/>
                <w:sz w:val="24"/>
                <w:szCs w:val="24"/>
              </w:rPr>
            </w:pPr>
            <w:r>
              <w:rPr>
                <w:rFonts w:hint="eastAsia" w:cs="@仿宋_GB2312" w:eastAsiaTheme="minorEastAsia"/>
                <w:bCs/>
                <w:color w:val="auto"/>
                <w:kern w:val="2"/>
                <w:sz w:val="24"/>
                <w:szCs w:val="24"/>
              </w:rPr>
              <w:t>工程量清单、图纸等</w:t>
            </w:r>
          </w:p>
        </w:tc>
        <w:tc>
          <w:tcPr>
            <w:tcW w:w="3879" w:type="pct"/>
            <w:vAlign w:val="center"/>
          </w:tcPr>
          <w:p w14:paraId="3E39C8AC">
            <w:pPr>
              <w:spacing w:line="360" w:lineRule="auto"/>
              <w:rPr>
                <w:rFonts w:hint="eastAsia" w:cs="宋体" w:eastAsiaTheme="minorEastAsia"/>
                <w:color w:val="auto"/>
                <w:kern w:val="2"/>
                <w:sz w:val="24"/>
                <w:szCs w:val="24"/>
              </w:rPr>
            </w:pPr>
            <w:r>
              <w:rPr>
                <w:rFonts w:hint="eastAsia" w:cs="宋体" w:eastAsiaTheme="minorEastAsia"/>
                <w:color w:val="auto"/>
                <w:kern w:val="2"/>
                <w:sz w:val="24"/>
                <w:szCs w:val="24"/>
              </w:rPr>
              <w:t>详见附件</w:t>
            </w:r>
          </w:p>
        </w:tc>
      </w:tr>
    </w:tbl>
    <w:p w14:paraId="66D2E16D">
      <w:pPr>
        <w:pStyle w:val="3"/>
        <w:rPr>
          <w:rFonts w:hint="eastAsia"/>
          <w:color w:val="auto"/>
        </w:rPr>
      </w:pPr>
      <w:r>
        <w:rPr>
          <w:rFonts w:hint="eastAsia"/>
          <w:color w:val="auto"/>
        </w:rPr>
        <w:t>三、项目概况</w:t>
      </w:r>
    </w:p>
    <w:p w14:paraId="08BCADA8">
      <w:pPr>
        <w:spacing w:line="360" w:lineRule="auto"/>
        <w:ind w:firstLine="480" w:firstLineChars="200"/>
        <w:rPr>
          <w:rFonts w:hAnsi="Calibri"/>
          <w:color w:val="auto"/>
          <w:sz w:val="24"/>
          <w:szCs w:val="24"/>
        </w:rPr>
      </w:pPr>
      <w:r>
        <w:rPr>
          <w:rFonts w:hint="eastAsia" w:hAnsi="Calibri"/>
          <w:color w:val="auto"/>
          <w:sz w:val="24"/>
          <w:szCs w:val="24"/>
        </w:rPr>
        <w:t>该项目位于亳州学院主校区校园内，主要维修内容：维修1-6号公寓254间毕业生宿舍</w:t>
      </w:r>
      <w:r>
        <w:rPr>
          <w:rFonts w:hint="eastAsia" w:hAnsi="Calibri"/>
          <w:color w:val="auto"/>
          <w:sz w:val="24"/>
          <w:szCs w:val="24"/>
          <w:lang w:eastAsia="zh-CN"/>
        </w:rPr>
        <w:t>、</w:t>
      </w:r>
      <w:r>
        <w:rPr>
          <w:rFonts w:hint="eastAsia" w:hAnsi="Calibri"/>
          <w:color w:val="auto"/>
          <w:sz w:val="24"/>
          <w:szCs w:val="24"/>
          <w:lang w:val="en-US" w:eastAsia="zh-CN"/>
        </w:rPr>
        <w:t>部分中药学院搬迁宿舍</w:t>
      </w:r>
      <w:r>
        <w:rPr>
          <w:rFonts w:hint="eastAsia" w:hAnsi="Calibri"/>
          <w:color w:val="auto"/>
          <w:sz w:val="24"/>
          <w:szCs w:val="24"/>
        </w:rPr>
        <w:t>。主要</w:t>
      </w:r>
      <w:r>
        <w:rPr>
          <w:rFonts w:hint="eastAsia" w:hAnsi="Calibri"/>
          <w:color w:val="auto"/>
          <w:sz w:val="24"/>
          <w:szCs w:val="24"/>
          <w:lang w:val="en-US" w:eastAsia="zh-CN"/>
        </w:rPr>
        <w:t>维修内容</w:t>
      </w:r>
      <w:r>
        <w:rPr>
          <w:rFonts w:hint="eastAsia" w:hAnsi="Calibri"/>
          <w:color w:val="auto"/>
          <w:sz w:val="24"/>
          <w:szCs w:val="24"/>
        </w:rPr>
        <w:t>包括宿舍内破损</w:t>
      </w:r>
      <w:r>
        <w:rPr>
          <w:rFonts w:hint="eastAsia" w:hAnsi="Calibri"/>
          <w:color w:val="auto"/>
          <w:sz w:val="24"/>
          <w:szCs w:val="24"/>
          <w:lang w:val="en-US" w:eastAsia="zh-CN"/>
        </w:rPr>
        <w:t>的</w:t>
      </w:r>
      <w:r>
        <w:rPr>
          <w:rFonts w:hint="eastAsia" w:hAnsi="Calibri"/>
          <w:color w:val="auto"/>
          <w:sz w:val="24"/>
          <w:szCs w:val="24"/>
        </w:rPr>
        <w:t>卫生间瓷砖、吊顶</w:t>
      </w:r>
      <w:r>
        <w:rPr>
          <w:rFonts w:hint="eastAsia" w:hAnsi="Calibri"/>
          <w:color w:val="auto"/>
          <w:sz w:val="24"/>
          <w:szCs w:val="24"/>
          <w:lang w:val="en-US" w:eastAsia="zh-CN"/>
        </w:rPr>
        <w:t>及</w:t>
      </w:r>
      <w:r>
        <w:rPr>
          <w:rFonts w:hint="eastAsia" w:hAnsi="Calibri"/>
          <w:color w:val="auto"/>
          <w:sz w:val="24"/>
          <w:szCs w:val="24"/>
        </w:rPr>
        <w:t>进户门更换，柜子、书架、阳台栏杆、卫生间门除锈和喷漆，</w:t>
      </w:r>
      <w:r>
        <w:rPr>
          <w:rFonts w:hint="eastAsia" w:hAnsi="Calibri"/>
          <w:color w:val="auto"/>
          <w:sz w:val="24"/>
          <w:szCs w:val="24"/>
          <w:lang w:val="en-US" w:eastAsia="zh-CN"/>
        </w:rPr>
        <w:t>损坏、</w:t>
      </w:r>
      <w:r>
        <w:rPr>
          <w:rFonts w:hint="eastAsia" w:hAnsi="Calibri"/>
          <w:color w:val="auto"/>
          <w:sz w:val="24"/>
          <w:szCs w:val="24"/>
        </w:rPr>
        <w:t>丢失处蚊帐杆拆除及重新安装，破损窗帘拆除及重新安装，宿舍内、宿舍阳台全屋重新刮腻及喷漆；31个插座未改造</w:t>
      </w:r>
      <w:r>
        <w:rPr>
          <w:rFonts w:hint="eastAsia" w:hAnsi="Calibri"/>
          <w:color w:val="auto"/>
          <w:sz w:val="24"/>
          <w:szCs w:val="24"/>
          <w:lang w:val="en-US" w:eastAsia="zh-CN"/>
        </w:rPr>
        <w:t>的</w:t>
      </w:r>
      <w:r>
        <w:rPr>
          <w:rFonts w:hint="eastAsia" w:hAnsi="Calibri"/>
          <w:color w:val="auto"/>
          <w:sz w:val="24"/>
          <w:szCs w:val="24"/>
        </w:rPr>
        <w:t>宿舍进行改造等。内容详见方案、工程量清单或控制价清单。</w:t>
      </w:r>
    </w:p>
    <w:p w14:paraId="18E2F98C">
      <w:pPr>
        <w:pStyle w:val="3"/>
        <w:rPr>
          <w:rFonts w:hint="eastAsia"/>
          <w:color w:val="auto"/>
        </w:rPr>
      </w:pPr>
      <w:r>
        <w:rPr>
          <w:rFonts w:hint="eastAsia"/>
          <w:color w:val="auto"/>
        </w:rPr>
        <w:t>四、控制价</w:t>
      </w:r>
    </w:p>
    <w:p w14:paraId="4B5A36D4">
      <w:pPr>
        <w:spacing w:line="360" w:lineRule="auto"/>
        <w:ind w:firstLine="480" w:firstLineChars="200"/>
        <w:rPr>
          <w:rFonts w:hAnsi="Calibri"/>
          <w:color w:val="auto"/>
          <w:sz w:val="24"/>
          <w:szCs w:val="24"/>
        </w:rPr>
      </w:pPr>
      <w:r>
        <w:rPr>
          <w:rFonts w:hint="eastAsia" w:hAnsi="Calibri"/>
          <w:color w:val="auto"/>
          <w:sz w:val="24"/>
          <w:szCs w:val="24"/>
        </w:rPr>
        <w:t>该工程项目控制价（人民币）：80.148854万元（大写：捌拾万壹仟肆佰捌拾捌元伍角肆分整）。投标单位应自行踏勘现场，投标人的投标报价应是经过踏勘现场</w:t>
      </w:r>
      <w:r>
        <w:rPr>
          <w:rFonts w:hint="eastAsia" w:hAnsi="Calibri"/>
          <w:color w:val="auto"/>
          <w:sz w:val="24"/>
          <w:szCs w:val="24"/>
          <w:lang w:eastAsia="zh-CN"/>
        </w:rPr>
        <w:t>、</w:t>
      </w:r>
      <w:r>
        <w:rPr>
          <w:rFonts w:hint="eastAsia" w:hAnsi="Calibri"/>
          <w:color w:val="auto"/>
          <w:sz w:val="24"/>
          <w:szCs w:val="24"/>
        </w:rPr>
        <w:t>充分考虑风险后的报价。本工程采用固定总价方式报价，投标人按发包人提供的工程量清单格式报价，不分施工难易程度。</w:t>
      </w:r>
    </w:p>
    <w:p w14:paraId="33C4C432">
      <w:pPr>
        <w:pStyle w:val="3"/>
        <w:rPr>
          <w:rFonts w:hint="eastAsia"/>
          <w:color w:val="auto"/>
        </w:rPr>
      </w:pPr>
      <w:r>
        <w:rPr>
          <w:rFonts w:hint="eastAsia"/>
          <w:color w:val="auto"/>
        </w:rPr>
        <w:t>五、工程质量及有关要求</w:t>
      </w:r>
    </w:p>
    <w:p w14:paraId="786402D6">
      <w:pPr>
        <w:spacing w:line="360" w:lineRule="auto"/>
        <w:ind w:firstLine="480" w:firstLineChars="200"/>
        <w:rPr>
          <w:rFonts w:hint="eastAsia" w:cs="宋体"/>
          <w:color w:val="auto"/>
          <w:sz w:val="24"/>
          <w:szCs w:val="24"/>
        </w:rPr>
      </w:pPr>
      <w:bookmarkStart w:id="4" w:name="_Toc267251515"/>
      <w:bookmarkStart w:id="5" w:name="_Toc267251511"/>
      <w:bookmarkStart w:id="6" w:name="_Toc267251509"/>
      <w:bookmarkStart w:id="7" w:name="_Toc267251514"/>
      <w:bookmarkStart w:id="8" w:name="_Toc267251510"/>
      <w:bookmarkStart w:id="9" w:name="_Toc267251513"/>
      <w:r>
        <w:rPr>
          <w:rFonts w:hint="eastAsia" w:cs="宋体"/>
          <w:color w:val="auto"/>
          <w:sz w:val="24"/>
          <w:szCs w:val="24"/>
        </w:rPr>
        <w:t>（一）工程质量：合格。</w:t>
      </w:r>
    </w:p>
    <w:p w14:paraId="0C5A9411">
      <w:pPr>
        <w:spacing w:line="360" w:lineRule="auto"/>
        <w:ind w:firstLine="480" w:firstLineChars="200"/>
        <w:rPr>
          <w:rFonts w:hint="eastAsia" w:cs="宋体"/>
          <w:color w:val="auto"/>
          <w:sz w:val="24"/>
          <w:szCs w:val="24"/>
        </w:rPr>
      </w:pPr>
      <w:r>
        <w:rPr>
          <w:rFonts w:hint="eastAsia" w:cs="宋体"/>
          <w:color w:val="auto"/>
          <w:sz w:val="24"/>
          <w:szCs w:val="24"/>
        </w:rPr>
        <w:t>（二）要求：</w:t>
      </w:r>
    </w:p>
    <w:p w14:paraId="7673A70F">
      <w:pPr>
        <w:spacing w:line="360" w:lineRule="auto"/>
        <w:ind w:firstLine="480" w:firstLineChars="200"/>
        <w:rPr>
          <w:rFonts w:hint="eastAsia" w:cs="宋体"/>
          <w:color w:val="auto"/>
          <w:sz w:val="24"/>
          <w:szCs w:val="24"/>
        </w:rPr>
      </w:pPr>
      <w:r>
        <w:rPr>
          <w:rFonts w:hint="eastAsia" w:cs="宋体"/>
          <w:color w:val="auto"/>
          <w:sz w:val="24"/>
          <w:szCs w:val="24"/>
        </w:rPr>
        <w:t>1.管理人员配备要求：</w:t>
      </w:r>
    </w:p>
    <w:p w14:paraId="1663A126">
      <w:pPr>
        <w:spacing w:line="360" w:lineRule="auto"/>
        <w:ind w:firstLine="480" w:firstLineChars="200"/>
        <w:rPr>
          <w:rFonts w:hint="eastAsia" w:cs="宋体"/>
          <w:color w:val="auto"/>
          <w:sz w:val="24"/>
          <w:szCs w:val="24"/>
        </w:rPr>
      </w:pPr>
      <w:r>
        <w:rPr>
          <w:rFonts w:hint="eastAsia" w:cs="宋体"/>
          <w:color w:val="auto"/>
          <w:sz w:val="24"/>
          <w:szCs w:val="24"/>
        </w:rPr>
        <w:t>项目经理：项目经理具备建筑工程专业二级及以上注册建造师资格（证书注册单位必须是供应商本单位），且具有有效的安全生产考核合格证书。提供供应商为其缴纳2025年1月1日以来任意1个月的社保证明材料。</w:t>
      </w:r>
    </w:p>
    <w:p w14:paraId="74F48544">
      <w:pPr>
        <w:spacing w:line="360" w:lineRule="auto"/>
        <w:ind w:firstLine="480" w:firstLineChars="200"/>
        <w:rPr>
          <w:rFonts w:hint="eastAsia" w:cs="宋体"/>
          <w:color w:val="auto"/>
          <w:sz w:val="24"/>
          <w:szCs w:val="24"/>
        </w:rPr>
      </w:pPr>
      <w:r>
        <w:rPr>
          <w:rFonts w:hint="eastAsia" w:cs="宋体"/>
          <w:color w:val="auto"/>
          <w:sz w:val="24"/>
          <w:szCs w:val="24"/>
        </w:rPr>
        <w:t>其他管理人员：</w:t>
      </w:r>
      <w:r>
        <w:rPr>
          <w:rFonts w:hint="eastAsia" w:cs="宋体"/>
          <w:color w:val="auto"/>
          <w:sz w:val="24"/>
          <w:szCs w:val="24"/>
          <w:lang w:eastAsia="zh-CN"/>
        </w:rPr>
        <w:t>成交通知书</w:t>
      </w:r>
      <w:r>
        <w:rPr>
          <w:rFonts w:hint="eastAsia" w:cs="宋体"/>
          <w:color w:val="auto"/>
          <w:sz w:val="24"/>
          <w:szCs w:val="24"/>
        </w:rPr>
        <w:t>发出后3日内，</w:t>
      </w:r>
      <w:r>
        <w:rPr>
          <w:rFonts w:hint="eastAsia" w:cs="宋体"/>
          <w:color w:val="auto"/>
          <w:sz w:val="24"/>
          <w:szCs w:val="24"/>
          <w:lang w:eastAsia="zh-CN"/>
        </w:rPr>
        <w:t>成交供应商</w:t>
      </w:r>
      <w:r>
        <w:rPr>
          <w:rFonts w:hint="eastAsia" w:cs="宋体"/>
          <w:color w:val="auto"/>
          <w:sz w:val="24"/>
          <w:szCs w:val="24"/>
        </w:rPr>
        <w:t>须提交管理人员任命文件及相应人员资格证书、缴纳社保证明材料，管理人员中至少要包括：技术负责人、施工员、质检员、安全员。</w:t>
      </w:r>
    </w:p>
    <w:p w14:paraId="096451CD">
      <w:pPr>
        <w:spacing w:line="360" w:lineRule="auto"/>
        <w:ind w:firstLine="480" w:firstLineChars="200"/>
        <w:rPr>
          <w:rFonts w:hint="eastAsia" w:cs="宋体"/>
          <w:color w:val="auto"/>
          <w:sz w:val="24"/>
          <w:szCs w:val="24"/>
        </w:rPr>
      </w:pPr>
      <w:r>
        <w:rPr>
          <w:rFonts w:hint="eastAsia" w:cs="宋体"/>
          <w:color w:val="auto"/>
          <w:sz w:val="24"/>
          <w:szCs w:val="24"/>
        </w:rPr>
        <w:t>2.施工方案要求：</w:t>
      </w:r>
    </w:p>
    <w:p w14:paraId="7364FE78">
      <w:pPr>
        <w:spacing w:line="360" w:lineRule="auto"/>
        <w:ind w:firstLine="480" w:firstLineChars="200"/>
        <w:rPr>
          <w:rFonts w:hint="eastAsia" w:cs="宋体"/>
          <w:color w:val="auto"/>
          <w:sz w:val="24"/>
          <w:szCs w:val="24"/>
        </w:rPr>
      </w:pPr>
      <w:r>
        <w:rPr>
          <w:rFonts w:hint="eastAsia" w:cs="宋体"/>
          <w:color w:val="auto"/>
          <w:sz w:val="24"/>
          <w:szCs w:val="24"/>
        </w:rPr>
        <w:t>要求</w:t>
      </w:r>
      <w:r>
        <w:rPr>
          <w:rFonts w:hint="eastAsia" w:cs="宋体"/>
          <w:color w:val="auto"/>
          <w:sz w:val="24"/>
          <w:szCs w:val="24"/>
          <w:lang w:eastAsia="zh-CN"/>
        </w:rPr>
        <w:t>成交供应商</w:t>
      </w:r>
      <w:r>
        <w:rPr>
          <w:rFonts w:hint="eastAsia" w:cs="宋体"/>
          <w:color w:val="auto"/>
          <w:sz w:val="24"/>
          <w:szCs w:val="24"/>
        </w:rPr>
        <w:t>施工前编制施工方案提交监理单位审核、备案。【施工方案中，承包人须列出主要的施工工序要求、存在危险性的工程内容以及隐蔽工程清单。专项施工方案需要专家论证的，必须专家论证，论证费用由</w:t>
      </w:r>
      <w:r>
        <w:rPr>
          <w:rFonts w:hint="eastAsia" w:cs="宋体"/>
          <w:color w:val="auto"/>
          <w:sz w:val="24"/>
          <w:szCs w:val="24"/>
          <w:lang w:eastAsia="zh-CN"/>
        </w:rPr>
        <w:t>成交供应商</w:t>
      </w:r>
      <w:r>
        <w:rPr>
          <w:rFonts w:hint="eastAsia" w:cs="宋体"/>
          <w:color w:val="auto"/>
          <w:sz w:val="24"/>
          <w:szCs w:val="24"/>
        </w:rPr>
        <w:t>承担。】</w:t>
      </w:r>
    </w:p>
    <w:p w14:paraId="07AF01B1">
      <w:pPr>
        <w:spacing w:line="360" w:lineRule="auto"/>
        <w:ind w:firstLine="480" w:firstLineChars="200"/>
        <w:rPr>
          <w:rFonts w:hint="eastAsia" w:cs="宋体"/>
          <w:color w:val="auto"/>
          <w:sz w:val="24"/>
          <w:szCs w:val="24"/>
        </w:rPr>
      </w:pPr>
      <w:r>
        <w:rPr>
          <w:rFonts w:hint="eastAsia" w:cs="宋体"/>
          <w:color w:val="auto"/>
          <w:sz w:val="24"/>
          <w:szCs w:val="24"/>
        </w:rPr>
        <w:t>3.施工管理要求：</w:t>
      </w:r>
    </w:p>
    <w:p w14:paraId="372B78C7">
      <w:pPr>
        <w:spacing w:line="360" w:lineRule="auto"/>
        <w:ind w:firstLine="480" w:firstLineChars="200"/>
        <w:rPr>
          <w:rFonts w:hint="eastAsia" w:cs="宋体"/>
          <w:color w:val="auto"/>
          <w:sz w:val="24"/>
          <w:szCs w:val="24"/>
        </w:rPr>
      </w:pPr>
      <w:r>
        <w:rPr>
          <w:rFonts w:hint="eastAsia" w:cs="宋体"/>
          <w:color w:val="auto"/>
          <w:sz w:val="24"/>
          <w:szCs w:val="24"/>
          <w:lang w:val="en-US" w:eastAsia="zh-CN"/>
        </w:rPr>
        <w:t>（1）项目经理管理要求：</w:t>
      </w:r>
      <w:r>
        <w:rPr>
          <w:rFonts w:hint="eastAsia" w:cs="宋体"/>
          <w:color w:val="auto"/>
          <w:sz w:val="24"/>
          <w:szCs w:val="24"/>
        </w:rPr>
        <w:t>项目经理每月在施工现场每周不少于5天，每天在岗工作时间不得少于8小时。项目经理每缺勤一天，须支付给发包人违约金5000元；如遇特殊情况，需以书面形式征得发包人同意后方可离开。除不可抗力（重大的自然灾害，重大的社会非正常事件，政府行为），允许更换项目经理外，其他情况更换项目经理（包括项目经理不能负责履职，发包人有权要求更换项目经理），均视承包人违约，不退还履约保证金，并须缴纳</w:t>
      </w:r>
      <w:r>
        <w:rPr>
          <w:rFonts w:hint="eastAsia" w:cs="宋体"/>
          <w:color w:val="auto"/>
          <w:sz w:val="24"/>
          <w:szCs w:val="24"/>
          <w:lang w:val="en-US" w:eastAsia="zh-CN"/>
        </w:rPr>
        <w:t>2</w:t>
      </w:r>
      <w:r>
        <w:rPr>
          <w:rFonts w:hint="eastAsia" w:cs="宋体"/>
          <w:color w:val="auto"/>
          <w:sz w:val="24"/>
          <w:szCs w:val="24"/>
        </w:rPr>
        <w:t>0000元违约金，更换后的项目经理资格条件须符合规范要求并不低于原招标文件、投标文件规定的任职资格条件。</w:t>
      </w:r>
    </w:p>
    <w:p w14:paraId="42A79E36">
      <w:pPr>
        <w:spacing w:line="360" w:lineRule="auto"/>
        <w:ind w:firstLine="480" w:firstLineChars="200"/>
        <w:rPr>
          <w:rFonts w:hint="eastAsia" w:cs="宋体"/>
          <w:color w:val="auto"/>
          <w:sz w:val="24"/>
          <w:szCs w:val="24"/>
        </w:rPr>
      </w:pPr>
      <w:r>
        <w:rPr>
          <w:rFonts w:hint="eastAsia" w:cs="宋体"/>
          <w:color w:val="auto"/>
          <w:sz w:val="24"/>
          <w:szCs w:val="24"/>
        </w:rPr>
        <w:t>（2）项目管理其他人员要求：承包人提交项目施工现场主要管理人员任命文件超期（从</w:t>
      </w:r>
      <w:r>
        <w:rPr>
          <w:rFonts w:hint="eastAsia" w:cs="宋体"/>
          <w:color w:val="auto"/>
          <w:sz w:val="24"/>
          <w:szCs w:val="24"/>
          <w:lang w:eastAsia="zh-CN"/>
        </w:rPr>
        <w:t>成交通知书</w:t>
      </w:r>
      <w:r>
        <w:rPr>
          <w:rFonts w:hint="eastAsia" w:cs="宋体"/>
          <w:color w:val="auto"/>
          <w:sz w:val="24"/>
          <w:szCs w:val="24"/>
        </w:rPr>
        <w:t>发出后的次日算起，3日内），每超1天，须缴纳违约金1000元，超过5天，发包人有权单方面解除合同或取消</w:t>
      </w:r>
      <w:r>
        <w:rPr>
          <w:rFonts w:hint="eastAsia" w:cs="宋体"/>
          <w:color w:val="auto"/>
          <w:sz w:val="24"/>
          <w:szCs w:val="24"/>
          <w:lang w:eastAsia="zh-CN"/>
        </w:rPr>
        <w:t>成交</w:t>
      </w:r>
      <w:r>
        <w:rPr>
          <w:rFonts w:hint="eastAsia" w:cs="宋体"/>
          <w:color w:val="auto"/>
          <w:sz w:val="24"/>
          <w:szCs w:val="24"/>
        </w:rPr>
        <w:t>资格，并向有关部门报告给予处理。承包人主要施工管理人员离开施工现场须经发包人代表同意，否则以缺勤计算，项目管理其他人员（除项目经理外）每缺勤一天，每天每人次须缴违约金1000元。不能胜任工作的，发包人有权要求更换，且承包人必须更换，更换的人员要求不变。</w:t>
      </w:r>
    </w:p>
    <w:p w14:paraId="6CAC4207">
      <w:pPr>
        <w:spacing w:line="360" w:lineRule="auto"/>
        <w:ind w:firstLine="480" w:firstLineChars="200"/>
        <w:rPr>
          <w:rFonts w:hint="eastAsia" w:cs="宋体"/>
          <w:color w:val="auto"/>
          <w:sz w:val="24"/>
          <w:szCs w:val="24"/>
        </w:rPr>
      </w:pPr>
      <w:r>
        <w:rPr>
          <w:rFonts w:hint="eastAsia" w:cs="宋体"/>
          <w:color w:val="auto"/>
          <w:sz w:val="24"/>
          <w:szCs w:val="24"/>
        </w:rPr>
        <w:t>（3）施工主材进场管理要求：确认</w:t>
      </w:r>
      <w:r>
        <w:rPr>
          <w:rFonts w:hint="eastAsia" w:cs="宋体"/>
          <w:color w:val="auto"/>
          <w:sz w:val="24"/>
          <w:szCs w:val="24"/>
          <w:lang w:eastAsia="zh-CN"/>
        </w:rPr>
        <w:t>成交</w:t>
      </w:r>
      <w:r>
        <w:rPr>
          <w:rFonts w:hint="eastAsia" w:cs="宋体"/>
          <w:color w:val="auto"/>
          <w:sz w:val="24"/>
          <w:szCs w:val="24"/>
        </w:rPr>
        <w:t>后，7个日历天内将需要提供的主材样品提供给发包人验收封存，并提供施工方案、投标清单各一式两份（含电子版）。进场主材一律实行场外验收，承包人须事先报监理，不合格材料不允许进入校园。因承包人原因，需要额外场地费用等由承包人承担。</w:t>
      </w:r>
    </w:p>
    <w:p w14:paraId="5E283E70">
      <w:pPr>
        <w:spacing w:line="360" w:lineRule="auto"/>
        <w:ind w:firstLine="480" w:firstLineChars="200"/>
        <w:rPr>
          <w:rFonts w:hint="eastAsia" w:cs="宋体"/>
          <w:color w:val="auto"/>
          <w:sz w:val="24"/>
          <w:szCs w:val="24"/>
        </w:rPr>
      </w:pPr>
      <w:r>
        <w:rPr>
          <w:rFonts w:hint="eastAsia" w:cs="宋体"/>
          <w:color w:val="auto"/>
          <w:sz w:val="24"/>
          <w:szCs w:val="24"/>
        </w:rPr>
        <w:t>（4）隐蔽工程验收管理要求：承包人施工方案中须列出隐蔽工程清单</w:t>
      </w:r>
      <w:r>
        <w:rPr>
          <w:rFonts w:hint="eastAsia" w:cs="宋体"/>
          <w:color w:val="auto"/>
          <w:sz w:val="24"/>
          <w:szCs w:val="24"/>
          <w:lang w:val="en-US" w:eastAsia="zh-CN"/>
        </w:rPr>
        <w:t>（插座改造需要列出施工方法，满足消防安全要求）</w:t>
      </w:r>
      <w:r>
        <w:rPr>
          <w:rFonts w:hint="eastAsia" w:cs="宋体"/>
          <w:color w:val="auto"/>
          <w:sz w:val="24"/>
          <w:szCs w:val="24"/>
        </w:rPr>
        <w:t>，并经监理签字认可。隐蔽工程验收须提前24小时报告给监理，若不验收即隐蔽，则发包人不予认可工程量，承包人须恢复至隐蔽前状态，另外须支付给发包人违约金5000元，且不退还履约保证金。</w:t>
      </w:r>
    </w:p>
    <w:p w14:paraId="4DBA33C9">
      <w:pPr>
        <w:spacing w:line="360" w:lineRule="auto"/>
        <w:ind w:firstLine="480" w:firstLineChars="200"/>
        <w:rPr>
          <w:rFonts w:hint="eastAsia" w:cs="宋体"/>
          <w:color w:val="auto"/>
          <w:sz w:val="24"/>
          <w:szCs w:val="24"/>
        </w:rPr>
      </w:pPr>
      <w:r>
        <w:rPr>
          <w:rFonts w:hint="eastAsia" w:cs="宋体"/>
          <w:color w:val="auto"/>
          <w:sz w:val="24"/>
          <w:szCs w:val="24"/>
        </w:rPr>
        <w:t>（5）安全、文明施工管理要求：承包人负责施工现场的安全保卫工作，做好施工安全措施，为职工购买工伤保险等，确保施工安全并承担由此产生的一切费用。涉及到安全隐患的施工措施，必须做专项施工方案。承包人因安全措施不到位造成的一切风险事故（如第三人伤亡事故）和一切法律、经济责任均由承包人负责。施工过程中要文明施工，符合环保的有关要求，施工过程中产生的一切建筑垃圾等清理出场，承包人要严格执行安徽省及亳州市有关扬尘污染防治规定，采取有效扬尘治理措施。承包人违反相关规定或经检查达不到规定和要求的，承包人必须无条件整改到位，否则每次须支付给发包人违约金</w:t>
      </w:r>
      <w:r>
        <w:rPr>
          <w:rFonts w:hint="eastAsia" w:cs="宋体"/>
          <w:color w:val="auto"/>
          <w:sz w:val="24"/>
          <w:szCs w:val="24"/>
          <w:lang w:val="en-US" w:eastAsia="zh-CN"/>
        </w:rPr>
        <w:t>2000</w:t>
      </w:r>
      <w:r>
        <w:rPr>
          <w:rFonts w:hint="eastAsia" w:cs="宋体"/>
          <w:color w:val="auto"/>
          <w:sz w:val="24"/>
          <w:szCs w:val="24"/>
        </w:rPr>
        <w:t>元，另外因此原因，项目政府有关部门给予的所有罚款均由承包人承担。拒不整改的，发包人有权向主管部门报告，直至单方面解除合同。</w:t>
      </w:r>
    </w:p>
    <w:p w14:paraId="7CC8C51F">
      <w:pPr>
        <w:spacing w:line="360" w:lineRule="auto"/>
        <w:ind w:firstLine="480" w:firstLineChars="200"/>
        <w:rPr>
          <w:rFonts w:hint="eastAsia" w:cs="宋体"/>
          <w:color w:val="auto"/>
          <w:sz w:val="24"/>
          <w:szCs w:val="24"/>
        </w:rPr>
      </w:pPr>
      <w:r>
        <w:rPr>
          <w:rFonts w:hint="eastAsia" w:cs="宋体"/>
          <w:color w:val="auto"/>
          <w:sz w:val="24"/>
          <w:szCs w:val="24"/>
        </w:rPr>
        <w:t>（6）质量管理要求：施工过程中，承包人必须按规范施工。发包人或委托的监理发现工程质量问题，承包人无条件整改到位，不能按时整改的，每次须支付给发包人违约金5000元。拒不整改的，发包人有权向主管部门报告，直至单方面解除合同。</w:t>
      </w:r>
    </w:p>
    <w:p w14:paraId="12F9E8EE">
      <w:pPr>
        <w:spacing w:line="360" w:lineRule="auto"/>
        <w:ind w:firstLine="480" w:firstLineChars="200"/>
        <w:rPr>
          <w:rFonts w:hint="eastAsia" w:cs="宋体"/>
          <w:color w:val="auto"/>
          <w:sz w:val="24"/>
          <w:szCs w:val="24"/>
        </w:rPr>
      </w:pPr>
      <w:r>
        <w:rPr>
          <w:rFonts w:hint="eastAsia" w:cs="宋体"/>
          <w:color w:val="auto"/>
          <w:sz w:val="24"/>
          <w:szCs w:val="24"/>
        </w:rPr>
        <w:t>（7）农民工工资管理：劳动力必须满足现场施工需要，承包人按照国家规定按时发放农民工工资，不得拖欠农民工工资。否则由此产生的责任均由承包人承担。承包人须无条件服从发包人为保障农民工工资权益采取的一切管理措施。</w:t>
      </w:r>
    </w:p>
    <w:p w14:paraId="33B699C3">
      <w:pPr>
        <w:spacing w:line="360" w:lineRule="auto"/>
        <w:ind w:firstLine="480" w:firstLineChars="200"/>
        <w:rPr>
          <w:rFonts w:hint="eastAsia" w:cs="宋体"/>
          <w:color w:val="auto"/>
          <w:sz w:val="24"/>
          <w:szCs w:val="24"/>
        </w:rPr>
      </w:pPr>
      <w:r>
        <w:rPr>
          <w:rFonts w:hint="eastAsia" w:cs="宋体"/>
          <w:color w:val="auto"/>
          <w:sz w:val="24"/>
          <w:szCs w:val="24"/>
        </w:rPr>
        <w:t>（8）总包及分包规定：供应商不得在成交后将工程转包给其它施工单位。允许专业分包，但分包项目、内容及分包商须经发包人及监理单位同意和认可。</w:t>
      </w:r>
    </w:p>
    <w:p w14:paraId="1A7F81AB">
      <w:pPr>
        <w:spacing w:line="360" w:lineRule="auto"/>
        <w:ind w:firstLine="480" w:firstLineChars="200"/>
        <w:rPr>
          <w:rFonts w:hint="eastAsia" w:cs="宋体"/>
          <w:color w:val="auto"/>
          <w:sz w:val="24"/>
          <w:szCs w:val="24"/>
        </w:rPr>
      </w:pPr>
      <w:r>
        <w:rPr>
          <w:rFonts w:hint="eastAsia" w:cs="宋体"/>
          <w:color w:val="auto"/>
          <w:sz w:val="24"/>
          <w:szCs w:val="24"/>
        </w:rPr>
        <w:t>（9）水电计量管理：发包人提供施工用水、电力施工所必需的接驳点位，施工单位用水、用电一般应装表计量，水、电费按表记金额由施工单位直接向甲方缴纳（水费：2.55元/立方，电费：0.</w:t>
      </w:r>
      <w:r>
        <w:rPr>
          <w:rFonts w:hint="eastAsia" w:cs="宋体"/>
          <w:color w:val="auto"/>
          <w:sz w:val="24"/>
          <w:szCs w:val="24"/>
          <w:lang w:val="en-US" w:eastAsia="zh-CN"/>
        </w:rPr>
        <w:t>5703</w:t>
      </w:r>
      <w:r>
        <w:rPr>
          <w:rFonts w:hint="eastAsia" w:cs="宋体"/>
          <w:color w:val="auto"/>
          <w:sz w:val="24"/>
          <w:szCs w:val="24"/>
        </w:rPr>
        <w:t>元/度）；因不具备装表计量条件而无法装表计量的，水、电费按工程总价的7‰由建设单位在工程款中扣除或承包人另缴。</w:t>
      </w:r>
    </w:p>
    <w:p w14:paraId="45819CA0">
      <w:pPr>
        <w:spacing w:line="360" w:lineRule="auto"/>
        <w:ind w:firstLine="480" w:firstLineChars="200"/>
        <w:rPr>
          <w:rFonts w:hint="eastAsia" w:cs="宋体"/>
          <w:color w:val="auto"/>
          <w:sz w:val="24"/>
          <w:szCs w:val="24"/>
        </w:rPr>
      </w:pPr>
      <w:r>
        <w:rPr>
          <w:rFonts w:hint="eastAsia" w:cs="宋体"/>
          <w:color w:val="auto"/>
          <w:sz w:val="24"/>
          <w:szCs w:val="24"/>
        </w:rPr>
        <w:t>（10）成品保护要求：恢复因施工造成的损坏设施、设备（若有，如绿化、门窗、铺装、道路等不限于此）。施工结束后，须清场（建筑垃圾清出校园，施工现场整理干净，做好</w:t>
      </w:r>
      <w:r>
        <w:rPr>
          <w:rFonts w:hint="eastAsia" w:cs="宋体"/>
          <w:color w:val="auto"/>
          <w:sz w:val="24"/>
          <w:szCs w:val="24"/>
          <w:lang w:val="en-US" w:eastAsia="zh-CN"/>
        </w:rPr>
        <w:t>精品</w:t>
      </w:r>
      <w:r>
        <w:rPr>
          <w:rFonts w:hint="eastAsia" w:cs="宋体"/>
          <w:color w:val="auto"/>
          <w:sz w:val="24"/>
          <w:szCs w:val="24"/>
        </w:rPr>
        <w:t>保洁），然后方可</w:t>
      </w:r>
      <w:r>
        <w:rPr>
          <w:rFonts w:hint="eastAsia" w:cs="宋体"/>
          <w:color w:val="auto"/>
          <w:sz w:val="24"/>
          <w:szCs w:val="24"/>
          <w:lang w:val="en-US" w:eastAsia="zh-CN"/>
        </w:rPr>
        <w:t>申请</w:t>
      </w:r>
      <w:r>
        <w:rPr>
          <w:rFonts w:hint="eastAsia" w:cs="宋体"/>
          <w:color w:val="auto"/>
          <w:sz w:val="24"/>
          <w:szCs w:val="24"/>
        </w:rPr>
        <w:t>验收。</w:t>
      </w:r>
    </w:p>
    <w:p w14:paraId="6BCADC99">
      <w:pPr>
        <w:spacing w:line="360" w:lineRule="auto"/>
        <w:ind w:firstLine="480" w:firstLineChars="200"/>
        <w:rPr>
          <w:rFonts w:hint="eastAsia" w:cs="宋体"/>
          <w:color w:val="auto"/>
          <w:sz w:val="24"/>
          <w:szCs w:val="24"/>
        </w:rPr>
      </w:pPr>
      <w:r>
        <w:rPr>
          <w:rFonts w:hint="eastAsia" w:cs="宋体"/>
          <w:color w:val="auto"/>
          <w:sz w:val="24"/>
          <w:szCs w:val="24"/>
        </w:rPr>
        <w:t>（11）结算要求：施工结束后，发包人将委托第三方审核单位对工程进行竣工结算审核。以结算审核的审定金额作为支付工程总价款的依据。</w:t>
      </w:r>
    </w:p>
    <w:p w14:paraId="2E3D3437">
      <w:pPr>
        <w:spacing w:line="360" w:lineRule="auto"/>
        <w:ind w:firstLine="480" w:firstLineChars="200"/>
        <w:rPr>
          <w:rFonts w:hint="eastAsia" w:cs="宋体"/>
          <w:color w:val="auto"/>
          <w:sz w:val="24"/>
          <w:szCs w:val="24"/>
        </w:rPr>
      </w:pPr>
      <w:r>
        <w:rPr>
          <w:rFonts w:hint="eastAsia" w:cs="宋体"/>
          <w:color w:val="auto"/>
          <w:sz w:val="24"/>
          <w:szCs w:val="24"/>
        </w:rPr>
        <w:t>（12）违约金缴纳要求：承包人接到违约通知（业主或监理单位）后应主动缴纳违约金，否则发包人双倍从履约保证金或工程款中扣除。</w:t>
      </w:r>
    </w:p>
    <w:p w14:paraId="6078A0CC">
      <w:pPr>
        <w:pStyle w:val="3"/>
        <w:rPr>
          <w:rFonts w:hint="eastAsia" w:ascii="宋体" w:hAnsi="宋体" w:eastAsia="宋体"/>
          <w:color w:val="auto"/>
        </w:rPr>
      </w:pPr>
      <w:r>
        <w:rPr>
          <w:rFonts w:hint="eastAsia" w:ascii="宋体" w:hAnsi="宋体" w:eastAsia="宋体"/>
          <w:color w:val="auto"/>
        </w:rPr>
        <w:t>七、质保要求</w:t>
      </w:r>
    </w:p>
    <w:p w14:paraId="621A6028">
      <w:pPr>
        <w:spacing w:line="360" w:lineRule="auto"/>
        <w:ind w:firstLine="480" w:firstLineChars="200"/>
        <w:rPr>
          <w:rFonts w:hint="eastAsia" w:cs="宋体"/>
          <w:color w:val="auto"/>
          <w:sz w:val="24"/>
          <w:szCs w:val="24"/>
        </w:rPr>
      </w:pPr>
      <w:r>
        <w:rPr>
          <w:rFonts w:hint="eastAsia" w:cs="宋体"/>
          <w:color w:val="auto"/>
          <w:sz w:val="24"/>
          <w:szCs w:val="24"/>
        </w:rPr>
        <w:t>工程质保期为2年。质保期从工程竣工验收合格，发包人签字盖印时起，质保期内，发现质量问题，发包人以电话或短信或微信等且不限于此的任何一种方式通知承包人，承包人拒收书面通知或电话联系不上或没按规定时间（24小时内响应，48小时内实施）进行维修</w:t>
      </w:r>
      <w:r>
        <w:rPr>
          <w:rFonts w:hint="eastAsia" w:cs="宋体"/>
          <w:color w:val="auto"/>
          <w:sz w:val="24"/>
          <w:szCs w:val="24"/>
          <w:lang w:eastAsia="zh-CN"/>
        </w:rPr>
        <w:t>。</w:t>
      </w:r>
      <w:r>
        <w:rPr>
          <w:rFonts w:hint="eastAsia" w:cs="宋体"/>
          <w:color w:val="auto"/>
          <w:sz w:val="24"/>
          <w:szCs w:val="24"/>
        </w:rPr>
        <w:t>若是属于工程质量问题导致，施工方必须及时免费进行维修，并对因质量问题造成的其它损坏（如漏水泡坏墙面）也进行免费维修。发生紧急事故需抢修的，施工单位在接到事故通知后，应当立即到达事故现场抢修。发包人通知后，施工方不及时安排人员来校的，每次扣质量保证金200元，3次通知未及时维修的，除每次扣质量保证金以外，发包人将直接进行维修，维修费用从质量保证金扣除，质量保证金不够的，依法进行索赔。</w:t>
      </w:r>
    </w:p>
    <w:p w14:paraId="52556B58">
      <w:pPr>
        <w:pStyle w:val="3"/>
        <w:rPr>
          <w:rFonts w:hint="eastAsia" w:ascii="宋体" w:hAnsi="宋体" w:eastAsia="宋体"/>
          <w:color w:val="auto"/>
        </w:rPr>
      </w:pPr>
      <w:r>
        <w:rPr>
          <w:rFonts w:hint="eastAsia" w:ascii="宋体" w:hAnsi="宋体" w:eastAsia="宋体"/>
          <w:color w:val="auto"/>
          <w:lang w:val="en-US" w:eastAsia="zh-CN"/>
        </w:rPr>
        <w:t>七</w:t>
      </w:r>
      <w:r>
        <w:rPr>
          <w:rFonts w:hint="eastAsia" w:ascii="宋体" w:hAnsi="宋体" w:eastAsia="宋体"/>
          <w:color w:val="auto"/>
        </w:rPr>
        <w:t>、主要材料清单说明</w:t>
      </w:r>
    </w:p>
    <w:p w14:paraId="5F7759B1">
      <w:pPr>
        <w:spacing w:line="360" w:lineRule="auto"/>
        <w:ind w:firstLine="480" w:firstLineChars="200"/>
        <w:rPr>
          <w:rFonts w:hint="eastAsia" w:cs="宋体"/>
          <w:color w:val="auto"/>
          <w:sz w:val="24"/>
          <w:szCs w:val="24"/>
        </w:rPr>
      </w:pPr>
      <w:r>
        <w:rPr>
          <w:rFonts w:hint="eastAsia" w:cs="宋体"/>
          <w:color w:val="auto"/>
          <w:sz w:val="24"/>
          <w:szCs w:val="24"/>
        </w:rPr>
        <w:t>承包人须提供主要材料样品，样品由发包人封存，若承包人在投标时没有对施工主要材料另行约定品牌（另行约定品牌须提供该品牌与发包人提供品牌档次相同、质量相同或高于发包人提供的品牌档次或质量的政府行业主管部门提供的证明，否则，不能确定为</w:t>
      </w:r>
      <w:r>
        <w:rPr>
          <w:rFonts w:hint="eastAsia" w:cs="宋体"/>
          <w:color w:val="auto"/>
          <w:sz w:val="24"/>
          <w:szCs w:val="24"/>
          <w:lang w:val="en-US" w:eastAsia="zh-CN"/>
        </w:rPr>
        <w:t>成交</w:t>
      </w:r>
      <w:r>
        <w:rPr>
          <w:rFonts w:hint="eastAsia" w:cs="宋体"/>
          <w:color w:val="auto"/>
          <w:sz w:val="24"/>
          <w:szCs w:val="24"/>
        </w:rPr>
        <w:t>候选人），则视同认可发包的在清单和控制价说明中约定的材料品牌。</w:t>
      </w:r>
    </w:p>
    <w:p w14:paraId="633D86F3">
      <w:pPr>
        <w:pStyle w:val="3"/>
        <w:rPr>
          <w:rFonts w:hint="eastAsia" w:ascii="宋体" w:hAnsi="宋体" w:eastAsia="宋体"/>
          <w:color w:val="auto"/>
        </w:rPr>
      </w:pPr>
      <w:r>
        <w:rPr>
          <w:rFonts w:hint="eastAsia" w:ascii="宋体" w:hAnsi="宋体" w:eastAsia="宋体"/>
          <w:color w:val="auto"/>
          <w:lang w:val="en-US" w:eastAsia="zh-CN"/>
        </w:rPr>
        <w:t>八</w:t>
      </w:r>
      <w:r>
        <w:rPr>
          <w:rFonts w:hint="eastAsia" w:ascii="宋体" w:hAnsi="宋体" w:eastAsia="宋体"/>
          <w:color w:val="auto"/>
        </w:rPr>
        <w:t>、违约责任约定</w:t>
      </w:r>
    </w:p>
    <w:p w14:paraId="2ECD2E84">
      <w:pPr>
        <w:spacing w:line="360" w:lineRule="auto"/>
        <w:ind w:firstLine="480" w:firstLineChars="200"/>
        <w:rPr>
          <w:rFonts w:hint="eastAsia" w:cs="宋体"/>
          <w:color w:val="auto"/>
          <w:sz w:val="24"/>
          <w:szCs w:val="24"/>
        </w:rPr>
      </w:pPr>
      <w:r>
        <w:rPr>
          <w:rFonts w:hint="eastAsia" w:cs="宋体"/>
          <w:color w:val="auto"/>
          <w:sz w:val="24"/>
          <w:szCs w:val="24"/>
        </w:rPr>
        <w:t>（一）一般违约责任</w:t>
      </w:r>
    </w:p>
    <w:p w14:paraId="52E397EA">
      <w:pPr>
        <w:spacing w:line="360" w:lineRule="auto"/>
        <w:ind w:firstLine="480" w:firstLineChars="200"/>
        <w:rPr>
          <w:rFonts w:hint="eastAsia" w:cs="宋体"/>
          <w:color w:val="auto"/>
          <w:sz w:val="24"/>
          <w:szCs w:val="24"/>
        </w:rPr>
      </w:pPr>
      <w:r>
        <w:rPr>
          <w:rFonts w:hint="eastAsia" w:cs="宋体"/>
          <w:color w:val="auto"/>
          <w:sz w:val="24"/>
          <w:szCs w:val="24"/>
        </w:rPr>
        <w:t>1.承包人未完全履行合同，应无条件返工，由此造成的工料损失、工期延误等由承包人承担，或因承包人原因发生其它使合同无法履行的行为，承包人应承担违约责任，发包人可以单方解除合同，且不退还履约保证金。</w:t>
      </w:r>
    </w:p>
    <w:p w14:paraId="0C295DFE">
      <w:pPr>
        <w:spacing w:line="360" w:lineRule="auto"/>
        <w:ind w:firstLine="480" w:firstLineChars="200"/>
        <w:rPr>
          <w:rFonts w:hint="eastAsia" w:cs="宋体"/>
          <w:color w:val="auto"/>
          <w:sz w:val="24"/>
          <w:szCs w:val="24"/>
        </w:rPr>
      </w:pPr>
      <w:r>
        <w:rPr>
          <w:rFonts w:hint="eastAsia" w:cs="宋体"/>
          <w:color w:val="auto"/>
          <w:sz w:val="24"/>
          <w:szCs w:val="24"/>
        </w:rPr>
        <w:t>2.因承包人施工、保管不善造成的自有及拆除的设备和材料的丢失、毁损，由承包人负全部责任。</w:t>
      </w:r>
    </w:p>
    <w:p w14:paraId="24FD2983">
      <w:pPr>
        <w:spacing w:line="360" w:lineRule="auto"/>
        <w:ind w:firstLine="480" w:firstLineChars="200"/>
        <w:rPr>
          <w:rFonts w:hint="eastAsia" w:cs="宋体"/>
          <w:color w:val="auto"/>
          <w:sz w:val="24"/>
          <w:szCs w:val="24"/>
        </w:rPr>
      </w:pPr>
      <w:r>
        <w:rPr>
          <w:rFonts w:hint="eastAsia" w:cs="宋体"/>
          <w:color w:val="auto"/>
          <w:sz w:val="24"/>
          <w:szCs w:val="24"/>
        </w:rPr>
        <w:t>3.承包人工程质量不达标，承包人负责重新维修，直至达标，并承担违约责任。</w:t>
      </w:r>
    </w:p>
    <w:p w14:paraId="39081C85">
      <w:pPr>
        <w:spacing w:line="360" w:lineRule="auto"/>
        <w:ind w:firstLine="480" w:firstLineChars="200"/>
        <w:rPr>
          <w:rFonts w:hint="eastAsia" w:cs="宋体"/>
          <w:color w:val="auto"/>
          <w:sz w:val="24"/>
          <w:szCs w:val="24"/>
        </w:rPr>
      </w:pPr>
      <w:r>
        <w:rPr>
          <w:rFonts w:hint="eastAsia" w:cs="宋体"/>
          <w:color w:val="auto"/>
          <w:sz w:val="24"/>
          <w:szCs w:val="24"/>
        </w:rPr>
        <w:t>4.在履行合同过程中，发现承包人有转包、违法分包及挂靠等违法行为，发包人有权单方解除合同，且不退还履约保证金，并按有关规定报主管部门处理。</w:t>
      </w:r>
    </w:p>
    <w:p w14:paraId="70483C6A">
      <w:pPr>
        <w:spacing w:line="360" w:lineRule="auto"/>
        <w:ind w:firstLine="480" w:firstLineChars="200"/>
        <w:rPr>
          <w:rFonts w:hint="eastAsia" w:cs="宋体"/>
          <w:color w:val="auto"/>
          <w:sz w:val="24"/>
          <w:szCs w:val="24"/>
        </w:rPr>
      </w:pPr>
      <w:r>
        <w:rPr>
          <w:rFonts w:hint="eastAsia" w:cs="宋体"/>
          <w:color w:val="auto"/>
          <w:sz w:val="24"/>
          <w:szCs w:val="24"/>
        </w:rPr>
        <w:t>5.在履行合同过程中，因承包人原因造成合同解除，承包人所实施的工程量不予认可，不支付工程款。</w:t>
      </w:r>
    </w:p>
    <w:p w14:paraId="28C1DB1F">
      <w:pPr>
        <w:spacing w:line="360" w:lineRule="auto"/>
        <w:ind w:firstLine="480" w:firstLineChars="200"/>
        <w:rPr>
          <w:rFonts w:hint="eastAsia" w:cs="宋体"/>
          <w:color w:val="auto"/>
          <w:sz w:val="24"/>
          <w:szCs w:val="24"/>
        </w:rPr>
      </w:pPr>
      <w:r>
        <w:rPr>
          <w:rFonts w:hint="eastAsia" w:cs="宋体"/>
          <w:color w:val="auto"/>
          <w:sz w:val="24"/>
          <w:szCs w:val="24"/>
        </w:rPr>
        <w:t>（二）安全质量工期特殊约定</w:t>
      </w:r>
    </w:p>
    <w:p w14:paraId="7E0DD9E3">
      <w:pPr>
        <w:spacing w:line="360" w:lineRule="auto"/>
        <w:ind w:firstLine="480" w:firstLineChars="200"/>
        <w:rPr>
          <w:rFonts w:hint="eastAsia" w:cs="宋体"/>
          <w:color w:val="auto"/>
          <w:sz w:val="24"/>
          <w:szCs w:val="24"/>
        </w:rPr>
      </w:pPr>
      <w:r>
        <w:rPr>
          <w:rFonts w:hint="eastAsia" w:cs="宋体"/>
          <w:color w:val="auto"/>
          <w:sz w:val="24"/>
          <w:szCs w:val="24"/>
        </w:rPr>
        <w:t>发包人作为高校，必须保证正常的教学秩序和发包人的合法正当权益。故对承包人在工程安全、质量和工期方面不能按约定完成或在工程实施过程中，反复出现工程安全、质量以及拖延工期问题，发包人有权采取如下措施，承包人无条件服从：</w:t>
      </w:r>
    </w:p>
    <w:p w14:paraId="0B3DD38B">
      <w:pPr>
        <w:spacing w:line="360" w:lineRule="auto"/>
        <w:ind w:firstLine="480" w:firstLineChars="200"/>
        <w:rPr>
          <w:rFonts w:hint="eastAsia" w:cs="宋体"/>
          <w:color w:val="auto"/>
          <w:sz w:val="24"/>
          <w:szCs w:val="24"/>
        </w:rPr>
      </w:pPr>
      <w:r>
        <w:rPr>
          <w:rFonts w:hint="eastAsia" w:cs="宋体"/>
          <w:color w:val="auto"/>
          <w:sz w:val="24"/>
          <w:szCs w:val="24"/>
        </w:rPr>
        <w:t>1.发包人或委托的监理人发现安全、质量问题，承包人不能按期整改合格，累计出现两次，发包人有权</w:t>
      </w:r>
      <w:r>
        <w:rPr>
          <w:rFonts w:hint="eastAsia" w:cs="宋体"/>
          <w:color w:val="auto"/>
          <w:sz w:val="24"/>
          <w:szCs w:val="24"/>
          <w:lang w:val="en-US" w:eastAsia="zh-CN"/>
        </w:rPr>
        <w:t>切分工程量，</w:t>
      </w:r>
      <w:r>
        <w:rPr>
          <w:rFonts w:hint="eastAsia" w:cs="宋体"/>
          <w:color w:val="auto"/>
          <w:sz w:val="24"/>
          <w:szCs w:val="24"/>
        </w:rPr>
        <w:t>将承包人的施工内容直接委托给第三方实施，费用按承包人的报价结算给第三方，当发包方委托第三方的实际价格高于承包人的报价时，则费用按发包方委托第三方的实际价格结算给第三方，同时从承包人结算总价中扣除该款项，由第三方实施质保等义务。承包人已经实施的内容，按结算金额的70%予以支付，剩余不再支付，同时承包人须履约完成工程的质保义务。另外，发包人有权将承包人的违约情况报告给业务主管部门等相关单位，对承包人实施不限于征信等方面的违约处理。</w:t>
      </w:r>
    </w:p>
    <w:p w14:paraId="095B699C">
      <w:pPr>
        <w:spacing w:line="360" w:lineRule="auto"/>
        <w:ind w:firstLine="480" w:firstLineChars="200"/>
        <w:rPr>
          <w:rFonts w:hint="eastAsia" w:cs="宋体"/>
          <w:color w:val="auto"/>
          <w:sz w:val="24"/>
          <w:szCs w:val="24"/>
        </w:rPr>
      </w:pPr>
      <w:r>
        <w:rPr>
          <w:rFonts w:hint="eastAsia" w:cs="宋体"/>
          <w:color w:val="auto"/>
          <w:sz w:val="24"/>
          <w:szCs w:val="24"/>
        </w:rPr>
        <w:t>2.施工过程中，因承包人原因，不能按计划工期推进，又不能采取措施有效解决的，且不能满足发包人工期要求的，发包人有权</w:t>
      </w:r>
      <w:r>
        <w:rPr>
          <w:rFonts w:hint="eastAsia" w:cs="宋体"/>
          <w:color w:val="auto"/>
          <w:sz w:val="24"/>
          <w:szCs w:val="24"/>
          <w:lang w:val="en-US" w:eastAsia="zh-CN"/>
        </w:rPr>
        <w:t>切分工程量，</w:t>
      </w:r>
      <w:r>
        <w:rPr>
          <w:rFonts w:hint="eastAsia" w:cs="宋体"/>
          <w:color w:val="auto"/>
          <w:sz w:val="24"/>
          <w:szCs w:val="24"/>
        </w:rPr>
        <w:t>将承包人的施工内容直接委托给第三方实施，费用按承包人的报价结算给第三方，当发包方委托第三方的实际价格高于承包人的报价时，则费用按发包方委托第三方的实际价格结算给第三方，同时从承包人结算总价中扣除该款项，由第三方实施质保等义务。承包人已经实施的内容，按结算金额的70%予以支付，剩余不再支付，同时承包人须履约完成工程的质保义务。另外，发包人有权将承包人的违约情况报告给业务主管部门等相关单位，对承包人实施不限于征信等方面的违约处理。</w:t>
      </w:r>
    </w:p>
    <w:p w14:paraId="5E286EF4">
      <w:pPr>
        <w:pStyle w:val="3"/>
        <w:rPr>
          <w:rFonts w:hint="eastAsia" w:ascii="宋体" w:hAnsi="宋体" w:eastAsia="宋体"/>
          <w:color w:val="auto"/>
        </w:rPr>
      </w:pPr>
      <w:r>
        <w:rPr>
          <w:rFonts w:hint="eastAsia" w:ascii="宋体" w:hAnsi="宋体" w:eastAsia="宋体"/>
          <w:color w:val="auto"/>
          <w:lang w:val="en-US" w:eastAsia="zh-CN"/>
        </w:rPr>
        <w:t>九</w:t>
      </w:r>
      <w:r>
        <w:rPr>
          <w:rFonts w:hint="eastAsia" w:ascii="宋体" w:hAnsi="宋体" w:eastAsia="宋体"/>
          <w:color w:val="auto"/>
        </w:rPr>
        <w:t>、争议解决</w:t>
      </w:r>
    </w:p>
    <w:p w14:paraId="2F25417A">
      <w:pPr>
        <w:spacing w:line="360" w:lineRule="auto"/>
        <w:ind w:firstLine="480" w:firstLineChars="200"/>
        <w:rPr>
          <w:rFonts w:hint="eastAsia" w:cs="宋体"/>
          <w:color w:val="auto"/>
          <w:sz w:val="24"/>
          <w:szCs w:val="24"/>
        </w:rPr>
      </w:pPr>
      <w:r>
        <w:rPr>
          <w:rFonts w:hint="eastAsia" w:cs="宋体"/>
          <w:color w:val="auto"/>
          <w:sz w:val="24"/>
          <w:szCs w:val="24"/>
        </w:rPr>
        <w:t>因合同及合同有关事项发生的争议，按下列方式解决：向发包人所在地有管辖权的人民法院起诉</w:t>
      </w:r>
    </w:p>
    <w:bookmarkEnd w:id="4"/>
    <w:bookmarkEnd w:id="5"/>
    <w:bookmarkEnd w:id="6"/>
    <w:bookmarkEnd w:id="7"/>
    <w:bookmarkEnd w:id="8"/>
    <w:bookmarkEnd w:id="9"/>
    <w:p w14:paraId="1C8CE934">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6DBB1"/>
    <w:multiLevelType w:val="singleLevel"/>
    <w:tmpl w:val="6ED6DB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92C97"/>
    <w:rsid w:val="57C25A71"/>
    <w:rsid w:val="70AA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2"/>
    <w:basedOn w:val="1"/>
    <w:next w:val="1"/>
    <w:unhideWhenUsed/>
    <w:qFormat/>
    <w:uiPriority w:val="0"/>
    <w:pPr>
      <w:keepNext/>
      <w:keepLines/>
      <w:spacing w:before="140" w:after="140" w:line="416" w:lineRule="auto"/>
      <w:outlineLvl w:val="1"/>
    </w:pPr>
    <w:rPr>
      <w:b/>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hAnsi="Times New Roman" w:cs="Times New Roman"/>
      <w:sz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8">
    <w:name w:val="xl31"/>
    <w:basedOn w:val="1"/>
    <w:autoRedefine/>
    <w:qFormat/>
    <w:uiPriority w:val="0"/>
    <w:pPr>
      <w:widowControl/>
      <w:spacing w:before="100" w:beforeAutospacing="1" w:after="100" w:afterAutospacing="1"/>
      <w:jc w:val="center"/>
    </w:pPr>
    <w:rPr>
      <w:b/>
      <w:bCs/>
      <w:sz w:val="28"/>
      <w:szCs w:val="28"/>
    </w:rPr>
  </w:style>
  <w:style w:type="table" w:customStyle="1" w:styleId="9">
    <w:name w:val="网格型2"/>
    <w:basedOn w:val="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5805</Words>
  <Characters>5890</Characters>
  <Lines>0</Lines>
  <Paragraphs>0</Paragraphs>
  <TotalTime>0</TotalTime>
  <ScaleCrop>false</ScaleCrop>
  <LinksUpToDate>false</LinksUpToDate>
  <CharactersWithSpaces>5904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2025-07-03T10:35:00Z</dcterms:created>
  <dc:creator>123</dc:creator>
  <cp:lastModifiedBy>找不到✨</cp:lastModifiedBy>
  <dcterms:modified xsi:type="dcterms:W3CDTF">2025-07-03T11:28:33Z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eyJoZGlkIjoiN2YzNjBkOTgyNWQ1YTMxYzM3MzMwNWFiODNmOWIzYWMiLCJ1c2VySWQiOiIyOTgxMTI1OTkifQ==</vt:lpwstr>
  </property>
  <property fmtid="{D5CDD505-2E9C-101B-9397-08002B2CF9AE}" pid="4" name="ICV">
    <vt:lpwstr>9AFDC32E7D5C4C90A13382C9819BF26D_13</vt:lpwstr>
  </property>
</Properties>
</file>