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E538F2">
      <w:pPr>
        <w:bidi w:val="0"/>
        <w:jc w:val="center"/>
        <w:rPr>
          <w:rFonts w:hint="eastAsia" w:ascii="方正小标宋_GBK" w:hAnsi="方正小标宋_GBK" w:eastAsia="方正小标宋_GBK" w:cs="方正小标宋_GBK"/>
          <w:kern w:val="44"/>
          <w:sz w:val="44"/>
          <w:szCs w:val="44"/>
        </w:rPr>
      </w:pPr>
      <w:r>
        <w:rPr>
          <w:rStyle w:val="12"/>
          <w:rFonts w:hint="eastAsia"/>
        </w:rPr>
        <w:t>采购需求</w:t>
      </w:r>
    </w:p>
    <w:p w14:paraId="107B8A9C">
      <w:pPr>
        <w:spacing w:line="360" w:lineRule="auto"/>
        <w:rPr>
          <w:rFonts w:ascii="宋体" w:hAnsi="宋体" w:eastAsia="宋体"/>
          <w:b/>
          <w:sz w:val="24"/>
        </w:rPr>
      </w:pPr>
      <w:r>
        <w:rPr>
          <w:rFonts w:hint="eastAsia" w:ascii="宋体" w:hAnsi="宋体" w:eastAsia="宋体"/>
          <w:b/>
          <w:sz w:val="24"/>
        </w:rPr>
        <w:t>前注：</w:t>
      </w:r>
    </w:p>
    <w:p w14:paraId="4850D9EF">
      <w:pPr>
        <w:spacing w:line="360" w:lineRule="auto"/>
        <w:ind w:firstLine="435"/>
        <w:rPr>
          <w:rFonts w:hint="eastAsia" w:ascii="宋体" w:hAnsi="宋体" w:eastAsia="宋体" w:cs="宋体"/>
          <w:sz w:val="24"/>
          <w:szCs w:val="18"/>
        </w:rPr>
      </w:pPr>
      <w:bookmarkStart w:id="0" w:name="_Hlk16461016"/>
      <w:r>
        <w:rPr>
          <w:rFonts w:hint="eastAsia" w:ascii="宋体" w:hAnsi="宋体" w:eastAsia="宋体" w:cs="宋体"/>
          <w:sz w:val="24"/>
        </w:rPr>
        <w:t>1.</w:t>
      </w:r>
      <w:r>
        <w:rPr>
          <w:rFonts w:hint="eastAsia" w:ascii="宋体" w:hAnsi="宋体" w:eastAsia="宋体" w:cs="宋体"/>
          <w:sz w:val="24"/>
          <w:szCs w:val="18"/>
        </w:rPr>
        <w:t>根据《关于规范政府采购进口产品有关工作的通知》及政府采购管理部门的相关规定，下列采购需求中标注进口产品的货物（科研仪器设备）均已履行相关论证手续，经核准采购进口产品，但不限制满足招标文件要求的国内产品参与竞争。未标注进口产品的货物均为拒绝采购进口产品。</w:t>
      </w:r>
    </w:p>
    <w:p w14:paraId="4BBA2111">
      <w:pPr>
        <w:spacing w:line="360" w:lineRule="auto"/>
        <w:ind w:firstLine="435"/>
        <w:rPr>
          <w:rFonts w:hint="eastAsia" w:ascii="宋体" w:hAnsi="宋体" w:eastAsia="宋体" w:cs="宋体"/>
          <w:sz w:val="24"/>
          <w:szCs w:val="18"/>
        </w:rPr>
      </w:pPr>
      <w:r>
        <w:rPr>
          <w:rFonts w:hint="eastAsia" w:ascii="宋体" w:hAnsi="宋体" w:eastAsia="宋体" w:cs="宋体"/>
          <w:sz w:val="24"/>
          <w:szCs w:val="18"/>
        </w:rPr>
        <w:t>2.下列采购需求中：如属于《节能产品政府采购品目清单》中政府强制采购的节能产品，则投标人所投产品须具有市场监管总局公布的《参与实施政府采购节能产品认证机构目录》中的认证机构出具的、处于有效期内的节能产品认证证书。</w:t>
      </w:r>
    </w:p>
    <w:p w14:paraId="1B090E54"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sz w:val="24"/>
          <w:szCs w:val="18"/>
        </w:rPr>
      </w:pPr>
      <w:r>
        <w:rPr>
          <w:rFonts w:hint="eastAsia" w:ascii="宋体" w:hAnsi="宋体" w:eastAsia="宋体" w:cs="宋体"/>
          <w:sz w:val="24"/>
          <w:szCs w:val="18"/>
        </w:rPr>
        <w:t>3.下列采购需求中：标注</w:t>
      </w:r>
      <w:r>
        <w:rPr>
          <w:rFonts w:hint="eastAsia" w:ascii="宋体" w:hAnsi="宋体" w:eastAsia="宋体" w:cs="宋体"/>
          <w:sz w:val="24"/>
          <w:szCs w:val="24"/>
        </w:rPr>
        <w:t>▲</w:t>
      </w:r>
      <w:r>
        <w:rPr>
          <w:rFonts w:hint="eastAsia" w:ascii="宋体" w:hAnsi="宋体" w:eastAsia="宋体" w:cs="宋体"/>
          <w:sz w:val="24"/>
          <w:szCs w:val="18"/>
        </w:rPr>
        <w:t>的产品（核心产品），投标人在投标文件《主要中标标的承诺函》中填写名称、品牌、规格、型号、数量、单价等信息。</w:t>
      </w:r>
    </w:p>
    <w:p w14:paraId="5939B039">
      <w:pPr>
        <w:spacing w:line="360" w:lineRule="auto"/>
        <w:ind w:firstLine="437"/>
        <w:jc w:val="left"/>
        <w:rPr>
          <w:rFonts w:ascii="宋体" w:hAnsi="宋体" w:eastAsia="宋体"/>
          <w:b/>
          <w:sz w:val="24"/>
          <w:szCs w:val="18"/>
        </w:rPr>
      </w:pPr>
    </w:p>
    <w:p w14:paraId="7D76FF62">
      <w:pPr>
        <w:pStyle w:val="3"/>
        <w:bidi w:val="0"/>
      </w:pPr>
      <w:bookmarkStart w:id="1" w:name="_Toc382548620"/>
      <w:bookmarkStart w:id="2" w:name="_Toc1437377518_WPSOffice_Level2"/>
      <w:bookmarkStart w:id="3" w:name="_Toc2025078090"/>
      <w:bookmarkStart w:id="4" w:name="_Toc1064185329"/>
      <w:bookmarkStart w:id="5" w:name="_Toc1452677390"/>
      <w:bookmarkStart w:id="6" w:name="_Toc292361325"/>
      <w:bookmarkStart w:id="7" w:name="_Toc337877615"/>
      <w:bookmarkStart w:id="8" w:name="_Toc1899401549"/>
      <w:r>
        <w:rPr>
          <w:rFonts w:hint="eastAsia"/>
        </w:rPr>
        <w:t>一、采购需求前附表</w:t>
      </w:r>
      <w:bookmarkEnd w:id="1"/>
      <w:bookmarkEnd w:id="2"/>
      <w:bookmarkEnd w:id="3"/>
      <w:bookmarkEnd w:id="4"/>
      <w:bookmarkEnd w:id="5"/>
      <w:bookmarkEnd w:id="6"/>
      <w:bookmarkEnd w:id="7"/>
      <w:bookmarkEnd w:id="8"/>
    </w:p>
    <w:tbl>
      <w:tblPr>
        <w:tblStyle w:val="10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8"/>
        <w:gridCol w:w="2054"/>
        <w:gridCol w:w="5544"/>
      </w:tblGrid>
      <w:tr w14:paraId="4C0BED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1018" w:type="dxa"/>
            <w:noWrap w:val="0"/>
            <w:vAlign w:val="center"/>
          </w:tcPr>
          <w:p w14:paraId="5583524C">
            <w:pPr>
              <w:pStyle w:val="1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hint="eastAsia" w:ascii="宋体" w:hAnsi="宋体" w:eastAsia="宋体" w:cs="宋体"/>
                <w:b/>
                <w:kern w:val="2"/>
              </w:rPr>
            </w:pPr>
            <w:r>
              <w:rPr>
                <w:rFonts w:hint="eastAsia" w:ascii="宋体" w:hAnsi="宋体" w:eastAsia="宋体" w:cs="宋体"/>
                <w:b/>
                <w:kern w:val="2"/>
              </w:rPr>
              <w:t>序号</w:t>
            </w:r>
          </w:p>
        </w:tc>
        <w:tc>
          <w:tcPr>
            <w:tcW w:w="2054" w:type="dxa"/>
            <w:noWrap w:val="0"/>
            <w:vAlign w:val="center"/>
          </w:tcPr>
          <w:p w14:paraId="06F9AAE9">
            <w:pPr>
              <w:pStyle w:val="14"/>
              <w:widowControl w:val="0"/>
              <w:spacing w:before="0" w:beforeAutospacing="0" w:after="0" w:afterAutospacing="0" w:line="360" w:lineRule="auto"/>
              <w:rPr>
                <w:rFonts w:hint="eastAsia" w:ascii="宋体" w:hAnsi="宋体" w:eastAsia="宋体" w:cs="宋体"/>
                <w:bCs w:val="0"/>
                <w:sz w:val="24"/>
              </w:rPr>
            </w:pPr>
            <w:r>
              <w:rPr>
                <w:rFonts w:hint="eastAsia" w:ascii="宋体" w:hAnsi="宋体" w:eastAsia="宋体" w:cs="宋体"/>
                <w:bCs w:val="0"/>
                <w:sz w:val="24"/>
              </w:rPr>
              <w:t>条款名称</w:t>
            </w:r>
          </w:p>
        </w:tc>
        <w:tc>
          <w:tcPr>
            <w:tcW w:w="5544" w:type="dxa"/>
            <w:noWrap w:val="0"/>
            <w:vAlign w:val="center"/>
          </w:tcPr>
          <w:p w14:paraId="3434A097">
            <w:pPr>
              <w:pStyle w:val="14"/>
              <w:widowControl w:val="0"/>
              <w:spacing w:before="0" w:beforeAutospacing="0" w:after="0" w:afterAutospacing="0" w:line="360" w:lineRule="auto"/>
              <w:rPr>
                <w:rFonts w:hint="eastAsia" w:ascii="宋体" w:hAnsi="宋体" w:eastAsia="宋体" w:cs="宋体"/>
                <w:bCs w:val="0"/>
                <w:sz w:val="24"/>
              </w:rPr>
            </w:pPr>
            <w:r>
              <w:rPr>
                <w:rFonts w:hint="eastAsia" w:ascii="宋体" w:hAnsi="宋体" w:eastAsia="宋体" w:cs="宋体"/>
                <w:bCs w:val="0"/>
                <w:sz w:val="24"/>
              </w:rPr>
              <w:t>内容、说明与要求</w:t>
            </w:r>
          </w:p>
        </w:tc>
      </w:tr>
      <w:tr w14:paraId="35A9C3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18" w:type="dxa"/>
            <w:noWrap w:val="0"/>
            <w:vAlign w:val="center"/>
          </w:tcPr>
          <w:p w14:paraId="1E0592E9">
            <w:pPr>
              <w:pStyle w:val="1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hint="eastAsia" w:ascii="宋体" w:hAnsi="宋体" w:eastAsia="宋体" w:cs="宋体"/>
                <w:bCs/>
                <w:kern w:val="2"/>
              </w:rPr>
            </w:pPr>
            <w:r>
              <w:rPr>
                <w:rFonts w:hint="eastAsia" w:ascii="宋体" w:hAnsi="宋体" w:eastAsia="宋体" w:cs="宋体"/>
                <w:bCs/>
                <w:kern w:val="2"/>
              </w:rPr>
              <w:t>1</w:t>
            </w:r>
          </w:p>
        </w:tc>
        <w:tc>
          <w:tcPr>
            <w:tcW w:w="2054" w:type="dxa"/>
            <w:noWrap w:val="0"/>
            <w:vAlign w:val="center"/>
          </w:tcPr>
          <w:p w14:paraId="682757F0">
            <w:pPr>
              <w:pStyle w:val="14"/>
              <w:widowControl w:val="0"/>
              <w:spacing w:before="0" w:beforeAutospacing="0" w:after="0" w:afterAutospacing="0" w:line="360" w:lineRule="auto"/>
              <w:rPr>
                <w:rFonts w:hint="eastAsia" w:ascii="宋体" w:hAnsi="宋体" w:eastAsia="宋体" w:cs="宋体"/>
                <w:b w:val="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</w:rPr>
              <w:t>付款方式</w:t>
            </w:r>
          </w:p>
        </w:tc>
        <w:tc>
          <w:tcPr>
            <w:tcW w:w="5544" w:type="dxa"/>
            <w:noWrap w:val="0"/>
            <w:vAlign w:val="center"/>
          </w:tcPr>
          <w:p w14:paraId="239666B4">
            <w:pPr>
              <w:widowControl/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u w:val="none"/>
              </w:rPr>
              <w:t>1.合同生效后，采购人支付合同金额的40%作为预付款（中标人需提供等额预付款保函或其他担保措施，预付款保函需为见索即付保函）。</w:t>
            </w:r>
          </w:p>
          <w:p w14:paraId="75A58D7E">
            <w:pPr>
              <w:widowControl/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u w:val="single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u w:val="none"/>
              </w:rPr>
              <w:t>2.供货安装完成，项目验收合格后支付剩余款项。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u w:val="single"/>
              </w:rPr>
              <w:t xml:space="preserve">                       </w:t>
            </w:r>
          </w:p>
        </w:tc>
      </w:tr>
      <w:tr w14:paraId="489180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1018" w:type="dxa"/>
            <w:noWrap w:val="0"/>
            <w:vAlign w:val="center"/>
          </w:tcPr>
          <w:p w14:paraId="71A4935D">
            <w:pPr>
              <w:pStyle w:val="1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hint="eastAsia" w:ascii="宋体" w:hAnsi="宋体" w:eastAsia="宋体" w:cs="宋体"/>
                <w:bCs/>
                <w:kern w:val="2"/>
              </w:rPr>
            </w:pPr>
            <w:r>
              <w:rPr>
                <w:rFonts w:hint="eastAsia" w:ascii="宋体" w:hAnsi="宋体" w:eastAsia="宋体" w:cs="宋体"/>
                <w:bCs/>
                <w:kern w:val="2"/>
              </w:rPr>
              <w:t>2</w:t>
            </w:r>
          </w:p>
        </w:tc>
        <w:tc>
          <w:tcPr>
            <w:tcW w:w="2054" w:type="dxa"/>
            <w:noWrap w:val="0"/>
            <w:vAlign w:val="center"/>
          </w:tcPr>
          <w:p w14:paraId="44AD89FA">
            <w:pPr>
              <w:pStyle w:val="14"/>
              <w:widowControl w:val="0"/>
              <w:spacing w:before="0" w:beforeAutospacing="0" w:after="0" w:afterAutospacing="0" w:line="360" w:lineRule="auto"/>
              <w:rPr>
                <w:rFonts w:hint="eastAsia" w:ascii="宋体" w:hAnsi="宋体" w:eastAsia="宋体" w:cs="宋体"/>
                <w:b w:val="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</w:rPr>
              <w:t>供货及安装地点</w:t>
            </w:r>
          </w:p>
        </w:tc>
        <w:tc>
          <w:tcPr>
            <w:tcW w:w="5544" w:type="dxa"/>
            <w:noWrap w:val="0"/>
            <w:vAlign w:val="center"/>
          </w:tcPr>
          <w:p w14:paraId="14323E83">
            <w:pPr>
              <w:pStyle w:val="14"/>
              <w:widowControl w:val="0"/>
              <w:spacing w:before="0" w:beforeAutospacing="0" w:after="0" w:afterAutospacing="0"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u w:val="none"/>
              </w:rPr>
              <w:t xml:space="preserve">蚌埠医科大学，采购人指定地点。  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u w:val="single"/>
              </w:rPr>
              <w:t xml:space="preserve">       </w:t>
            </w:r>
          </w:p>
        </w:tc>
      </w:tr>
      <w:tr w14:paraId="4D02C3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1018" w:type="dxa"/>
            <w:noWrap w:val="0"/>
            <w:vAlign w:val="center"/>
          </w:tcPr>
          <w:p w14:paraId="7A86B707">
            <w:pPr>
              <w:pStyle w:val="1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hint="eastAsia" w:ascii="宋体" w:hAnsi="宋体" w:eastAsia="宋体" w:cs="宋体"/>
                <w:bCs/>
                <w:kern w:val="2"/>
              </w:rPr>
            </w:pPr>
            <w:r>
              <w:rPr>
                <w:rFonts w:hint="eastAsia" w:ascii="宋体" w:hAnsi="宋体" w:eastAsia="宋体" w:cs="宋体"/>
                <w:bCs/>
                <w:kern w:val="2"/>
              </w:rPr>
              <w:t>3</w:t>
            </w:r>
          </w:p>
        </w:tc>
        <w:tc>
          <w:tcPr>
            <w:tcW w:w="2054" w:type="dxa"/>
            <w:noWrap w:val="0"/>
            <w:vAlign w:val="center"/>
          </w:tcPr>
          <w:p w14:paraId="69797F03">
            <w:pPr>
              <w:pStyle w:val="14"/>
              <w:widowControl w:val="0"/>
              <w:spacing w:before="0" w:beforeAutospacing="0" w:after="0" w:afterAutospacing="0" w:line="360" w:lineRule="auto"/>
              <w:rPr>
                <w:rFonts w:hint="eastAsia" w:ascii="宋体" w:hAnsi="宋体" w:eastAsia="宋体" w:cs="宋体"/>
                <w:b w:val="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</w:rPr>
              <w:t>供货及安装期限</w:t>
            </w:r>
          </w:p>
        </w:tc>
        <w:tc>
          <w:tcPr>
            <w:tcW w:w="5544" w:type="dxa"/>
            <w:noWrap w:val="0"/>
            <w:vAlign w:val="center"/>
          </w:tcPr>
          <w:p w14:paraId="14E8649D">
            <w:pPr>
              <w:pStyle w:val="14"/>
              <w:widowControl w:val="0"/>
              <w:spacing w:before="0" w:beforeAutospacing="0" w:after="0" w:afterAutospacing="0"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u w:val="none"/>
              </w:rPr>
              <w:t xml:space="preserve">合同签订后 90 个工作日完成供货安装调试。 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u w:val="single"/>
              </w:rPr>
              <w:t xml:space="preserve">                           </w:t>
            </w:r>
          </w:p>
        </w:tc>
      </w:tr>
      <w:tr w14:paraId="0D5194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1018" w:type="dxa"/>
            <w:noWrap w:val="0"/>
            <w:vAlign w:val="center"/>
          </w:tcPr>
          <w:p w14:paraId="4C4423C2">
            <w:pPr>
              <w:pStyle w:val="1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hint="eastAsia" w:ascii="宋体" w:hAnsi="宋体" w:eastAsia="宋体" w:cs="宋体"/>
                <w:bCs/>
                <w:kern w:val="2"/>
              </w:rPr>
            </w:pPr>
            <w:r>
              <w:rPr>
                <w:rFonts w:hint="eastAsia" w:ascii="宋体" w:hAnsi="宋体" w:eastAsia="宋体" w:cs="宋体"/>
                <w:bCs/>
                <w:kern w:val="2"/>
              </w:rPr>
              <w:t>4</w:t>
            </w:r>
          </w:p>
        </w:tc>
        <w:tc>
          <w:tcPr>
            <w:tcW w:w="2054" w:type="dxa"/>
            <w:noWrap w:val="0"/>
            <w:vAlign w:val="center"/>
          </w:tcPr>
          <w:p w14:paraId="77BA1BBE">
            <w:pPr>
              <w:pStyle w:val="14"/>
              <w:widowControl w:val="0"/>
              <w:spacing w:before="0" w:beforeAutospacing="0" w:after="0" w:afterAutospacing="0" w:line="360" w:lineRule="auto"/>
              <w:rPr>
                <w:rFonts w:hint="eastAsia" w:ascii="宋体" w:hAnsi="宋体" w:eastAsia="宋体" w:cs="宋体"/>
                <w:b w:val="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</w:rPr>
              <w:t>免费质保期</w:t>
            </w:r>
          </w:p>
        </w:tc>
        <w:tc>
          <w:tcPr>
            <w:tcW w:w="5544" w:type="dxa"/>
            <w:noWrap w:val="0"/>
            <w:vAlign w:val="center"/>
          </w:tcPr>
          <w:p w14:paraId="45E52361">
            <w:pPr>
              <w:pStyle w:val="6"/>
              <w:bidi w:val="0"/>
              <w:rPr>
                <w:rFonts w:hint="eastAsia" w:ascii="宋体" w:hAnsi="宋体" w:eastAsia="宋体" w:cs="宋体"/>
                <w:b w:val="0"/>
                <w:bCs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u w:val="none"/>
                <w:lang w:eastAsia="zh-CN"/>
              </w:rPr>
              <w:t>验收合格之日起1年，更换后的零部件质保期从更换之日起计算。</w:t>
            </w:r>
          </w:p>
          <w:p w14:paraId="11FD1CD1">
            <w:pPr>
              <w:pStyle w:val="6"/>
              <w:bidi w:val="0"/>
              <w:rPr>
                <w:rFonts w:hint="eastAsia" w:ascii="宋体" w:hAnsi="宋体" w:eastAsia="宋体" w:cs="宋体"/>
                <w:b w:val="0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u w:val="none"/>
                <w:lang w:eastAsia="zh-CN"/>
              </w:rPr>
              <w:t>注：货物指标要求有特殊要求的，以货物指标要求为准。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u w:val="single"/>
              </w:rPr>
              <w:t xml:space="preserve">                    </w:t>
            </w:r>
          </w:p>
        </w:tc>
      </w:tr>
      <w:tr w14:paraId="69BA98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1018" w:type="dxa"/>
            <w:noWrap w:val="0"/>
            <w:vAlign w:val="center"/>
          </w:tcPr>
          <w:p w14:paraId="091BCCA5">
            <w:pPr>
              <w:pStyle w:val="1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hint="eastAsia" w:ascii="宋体" w:hAnsi="宋体" w:eastAsia="宋体" w:cs="宋体"/>
                <w:bCs/>
                <w:kern w:val="2"/>
              </w:rPr>
            </w:pPr>
            <w:r>
              <w:rPr>
                <w:rFonts w:hint="eastAsia" w:ascii="宋体" w:hAnsi="宋体" w:eastAsia="宋体" w:cs="宋体"/>
                <w:bCs/>
                <w:kern w:val="2"/>
              </w:rPr>
              <w:t>5</w:t>
            </w:r>
          </w:p>
        </w:tc>
        <w:tc>
          <w:tcPr>
            <w:tcW w:w="2054" w:type="dxa"/>
            <w:noWrap w:val="0"/>
            <w:vAlign w:val="center"/>
          </w:tcPr>
          <w:p w14:paraId="0709561E">
            <w:pPr>
              <w:pStyle w:val="14"/>
              <w:widowControl w:val="0"/>
              <w:spacing w:before="0" w:beforeAutospacing="0" w:after="0" w:afterAutospacing="0" w:line="360" w:lineRule="auto"/>
              <w:rPr>
                <w:rFonts w:hint="eastAsia" w:ascii="宋体" w:hAnsi="宋体" w:eastAsia="宋体" w:cs="宋体"/>
                <w:b w:val="0"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</w:rPr>
              <w:t>符合性审查业绩（如有）</w:t>
            </w:r>
          </w:p>
        </w:tc>
        <w:tc>
          <w:tcPr>
            <w:tcW w:w="5544" w:type="dxa"/>
            <w:noWrap w:val="0"/>
            <w:vAlign w:val="center"/>
          </w:tcPr>
          <w:p w14:paraId="5B9354E9">
            <w:pPr>
              <w:pStyle w:val="14"/>
              <w:widowControl w:val="0"/>
              <w:spacing w:before="0" w:beforeAutospacing="0" w:after="0" w:afterAutospacing="0"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lang w:val="en-US" w:eastAsia="zh-CN"/>
              </w:rPr>
              <w:t>无</w:t>
            </w:r>
          </w:p>
        </w:tc>
      </w:tr>
      <w:tr w14:paraId="2F4BB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  <w:jc w:val="center"/>
        </w:trPr>
        <w:tc>
          <w:tcPr>
            <w:tcW w:w="1018" w:type="dxa"/>
            <w:noWrap w:val="0"/>
            <w:vAlign w:val="center"/>
          </w:tcPr>
          <w:p w14:paraId="5688430F">
            <w:pPr>
              <w:pStyle w:val="13"/>
              <w:pBdr>
                <w:bottom w:val="none" w:color="auto" w:sz="0" w:space="0"/>
              </w:pBdr>
              <w:tabs>
                <w:tab w:val="clear" w:pos="4153"/>
                <w:tab w:val="clear" w:pos="8306"/>
              </w:tabs>
              <w:adjustRightInd/>
              <w:spacing w:line="240" w:lineRule="auto"/>
              <w:textAlignment w:val="auto"/>
              <w:rPr>
                <w:rFonts w:hint="eastAsia" w:ascii="宋体" w:hAnsi="宋体" w:eastAsia="宋体" w:cs="宋体"/>
                <w:bCs/>
                <w:kern w:val="2"/>
              </w:rPr>
            </w:pPr>
            <w:r>
              <w:rPr>
                <w:rFonts w:hint="eastAsia" w:ascii="宋体" w:hAnsi="宋体" w:eastAsia="宋体" w:cs="宋体"/>
                <w:bCs/>
                <w:kern w:val="2"/>
              </w:rPr>
              <w:t>6</w:t>
            </w:r>
          </w:p>
        </w:tc>
        <w:tc>
          <w:tcPr>
            <w:tcW w:w="2054" w:type="dxa"/>
            <w:noWrap w:val="0"/>
            <w:vAlign w:val="center"/>
          </w:tcPr>
          <w:p w14:paraId="7C56E712">
            <w:pPr>
              <w:jc w:val="center"/>
              <w:rPr>
                <w:rFonts w:hint="eastAsia" w:ascii="宋体" w:hAnsi="宋体" w:eastAsia="宋体" w:cs="宋体"/>
                <w:b/>
                <w:sz w:val="24"/>
              </w:rPr>
            </w:pPr>
            <w:r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  <w:t>本项目采购标的所属行业</w:t>
            </w:r>
          </w:p>
        </w:tc>
        <w:tc>
          <w:tcPr>
            <w:tcW w:w="5544" w:type="dxa"/>
            <w:noWrap w:val="0"/>
            <w:vAlign w:val="center"/>
          </w:tcPr>
          <w:p w14:paraId="3681A254">
            <w:pPr>
              <w:rPr>
                <w:rFonts w:hint="eastAsia" w:ascii="宋体" w:hAnsi="宋体" w:eastAsia="宋体" w:cs="宋体"/>
                <w:b w:val="0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2"/>
                <w:szCs w:val="22"/>
                <w:lang w:eastAsia="zh-CN"/>
              </w:rPr>
              <w:t>工业</w:t>
            </w:r>
          </w:p>
        </w:tc>
      </w:tr>
    </w:tbl>
    <w:p w14:paraId="1BEBDCD9">
      <w:pPr>
        <w:pStyle w:val="3"/>
        <w:bidi w:val="0"/>
        <w:rPr>
          <w:rFonts w:hint="eastAsia"/>
        </w:rPr>
      </w:pPr>
      <w:bookmarkStart w:id="9" w:name="_Toc1693477008"/>
      <w:bookmarkStart w:id="10" w:name="_Toc1715351726"/>
      <w:bookmarkStart w:id="11" w:name="_Toc1191965283_WPSOffice_Level2"/>
      <w:bookmarkStart w:id="12" w:name="_Toc626387511"/>
      <w:bookmarkStart w:id="13" w:name="_Toc302804901"/>
      <w:bookmarkStart w:id="14" w:name="_Toc369119811"/>
      <w:bookmarkStart w:id="15" w:name="_Toc717369146"/>
      <w:bookmarkStart w:id="16" w:name="_Toc58935147"/>
      <w:r>
        <w:rPr>
          <w:rFonts w:hint="eastAsia"/>
          <w:lang w:eastAsia="zh-CN"/>
        </w:rPr>
        <w:t>二、</w:t>
      </w:r>
      <w:r>
        <w:rPr>
          <w:rFonts w:hint="eastAsia"/>
        </w:rPr>
        <w:t>货物需求</w:t>
      </w:r>
      <w:bookmarkEnd w:id="9"/>
      <w:bookmarkEnd w:id="10"/>
      <w:bookmarkEnd w:id="11"/>
      <w:bookmarkEnd w:id="12"/>
      <w:bookmarkEnd w:id="13"/>
      <w:bookmarkEnd w:id="14"/>
      <w:bookmarkEnd w:id="15"/>
      <w:bookmarkEnd w:id="16"/>
    </w:p>
    <w:p w14:paraId="773AF7D6">
      <w:pPr>
        <w:pStyle w:val="9"/>
        <w:spacing w:line="500" w:lineRule="exact"/>
        <w:ind w:left="0" w:firstLine="482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（一）货物需求说明</w:t>
      </w:r>
    </w:p>
    <w:tbl>
      <w:tblPr>
        <w:tblStyle w:val="10"/>
        <w:tblW w:w="85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8"/>
        <w:gridCol w:w="1935"/>
        <w:gridCol w:w="4713"/>
      </w:tblGrid>
      <w:tr w14:paraId="4013AA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898" w:type="dxa"/>
            <w:noWrap w:val="0"/>
            <w:vAlign w:val="top"/>
          </w:tcPr>
          <w:p w14:paraId="04E20EDE">
            <w:pPr>
              <w:pStyle w:val="9"/>
              <w:spacing w:line="500" w:lineRule="exact"/>
              <w:ind w:left="0" w:firstLine="0" w:firstLineChars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需求内容类别</w:t>
            </w:r>
          </w:p>
        </w:tc>
        <w:tc>
          <w:tcPr>
            <w:tcW w:w="1935" w:type="dxa"/>
            <w:noWrap w:val="0"/>
            <w:vAlign w:val="top"/>
          </w:tcPr>
          <w:p w14:paraId="12870F36">
            <w:pPr>
              <w:pStyle w:val="9"/>
              <w:spacing w:line="500" w:lineRule="exact"/>
              <w:ind w:left="0" w:firstLine="0" w:firstLineChars="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标识符号</w:t>
            </w:r>
          </w:p>
        </w:tc>
        <w:tc>
          <w:tcPr>
            <w:tcW w:w="4713" w:type="dxa"/>
            <w:noWrap w:val="0"/>
            <w:vAlign w:val="top"/>
          </w:tcPr>
          <w:p w14:paraId="3A593536">
            <w:pPr>
              <w:pStyle w:val="9"/>
              <w:spacing w:line="500" w:lineRule="exact"/>
              <w:ind w:firstLine="480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投标要求</w:t>
            </w:r>
          </w:p>
        </w:tc>
      </w:tr>
      <w:tr w14:paraId="697FFB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98" w:type="dxa"/>
            <w:noWrap w:val="0"/>
            <w:vAlign w:val="center"/>
          </w:tcPr>
          <w:p w14:paraId="59671228">
            <w:pPr>
              <w:spacing w:line="360" w:lineRule="auto"/>
              <w:jc w:val="center"/>
              <w:rPr>
                <w:rFonts w:ascii="宋体" w:hAnsi="宋体" w:eastAsia="宋体" w:cs="@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关键性指标项</w:t>
            </w:r>
          </w:p>
        </w:tc>
        <w:tc>
          <w:tcPr>
            <w:tcW w:w="1935" w:type="dxa"/>
            <w:noWrap w:val="0"/>
            <w:vAlign w:val="center"/>
          </w:tcPr>
          <w:p w14:paraId="74AD2669">
            <w:pPr>
              <w:spacing w:line="360" w:lineRule="auto"/>
              <w:jc w:val="center"/>
              <w:rPr>
                <w:rFonts w:hint="eastAsia" w:ascii="宋体" w:hAnsi="宋体" w:eastAsia="宋体" w:cs="@仿宋_GB2312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■</w:t>
            </w:r>
          </w:p>
        </w:tc>
        <w:tc>
          <w:tcPr>
            <w:tcW w:w="4713" w:type="dxa"/>
            <w:noWrap w:val="0"/>
            <w:vAlign w:val="center"/>
          </w:tcPr>
          <w:p w14:paraId="09A2BE3A">
            <w:pPr>
              <w:spacing w:line="360" w:lineRule="auto"/>
              <w:jc w:val="left"/>
              <w:rPr>
                <w:rFonts w:hint="eastAsia" w:ascii="宋体" w:hAnsi="宋体" w:eastAsia="宋体" w:cs="@仿宋_GB2312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@仿宋_GB2312"/>
                <w:bCs/>
                <w:kern w:val="2"/>
                <w:sz w:val="24"/>
                <w:szCs w:val="24"/>
                <w:lang w:val="en-US" w:eastAsia="zh-CN" w:bidi="ar-SA"/>
              </w:rPr>
              <w:t>符合性审查项，技术参数及要求不满足招标文件要求的，投标无效，除明确要求提供证明材料外，以投标响应表填写的偏离说明为准。</w:t>
            </w:r>
          </w:p>
        </w:tc>
      </w:tr>
      <w:tr w14:paraId="211AB2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98" w:type="dxa"/>
            <w:noWrap w:val="0"/>
            <w:vAlign w:val="center"/>
          </w:tcPr>
          <w:p w14:paraId="7F0F3CD9">
            <w:pPr>
              <w:spacing w:line="360" w:lineRule="auto"/>
              <w:jc w:val="center"/>
              <w:rPr>
                <w:rFonts w:ascii="宋体" w:hAnsi="宋体" w:eastAsia="宋体" w:cs="@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重要指标项</w:t>
            </w:r>
          </w:p>
        </w:tc>
        <w:tc>
          <w:tcPr>
            <w:tcW w:w="1935" w:type="dxa"/>
            <w:noWrap w:val="0"/>
            <w:vAlign w:val="center"/>
          </w:tcPr>
          <w:p w14:paraId="0616BC66">
            <w:pPr>
              <w:spacing w:line="360" w:lineRule="auto"/>
              <w:jc w:val="center"/>
              <w:rPr>
                <w:rFonts w:hint="eastAsia" w:ascii="宋体" w:hAnsi="宋体" w:eastAsia="宋体" w:cs="@仿宋_GB2312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★</w:t>
            </w:r>
          </w:p>
        </w:tc>
        <w:tc>
          <w:tcPr>
            <w:tcW w:w="4713" w:type="dxa"/>
            <w:noWrap w:val="0"/>
            <w:vAlign w:val="center"/>
          </w:tcPr>
          <w:p w14:paraId="38F9834C">
            <w:pPr>
              <w:spacing w:line="360" w:lineRule="auto"/>
              <w:jc w:val="center"/>
              <w:rPr>
                <w:rFonts w:ascii="宋体" w:hAnsi="宋体" w:eastAsia="宋体" w:cs="@仿宋_GB2312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评分项，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每满足一项得4分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共 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项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。</w:t>
            </w:r>
          </w:p>
        </w:tc>
      </w:tr>
      <w:tr w14:paraId="0C72B9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98" w:type="dxa"/>
            <w:noWrap w:val="0"/>
            <w:vAlign w:val="center"/>
          </w:tcPr>
          <w:p w14:paraId="24AAB88F">
            <w:pPr>
              <w:spacing w:line="360" w:lineRule="auto"/>
              <w:jc w:val="center"/>
              <w:rPr>
                <w:rFonts w:ascii="宋体" w:hAnsi="宋体" w:eastAsia="宋体" w:cs="@仿宋_GB2312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无标识项</w:t>
            </w:r>
          </w:p>
        </w:tc>
        <w:tc>
          <w:tcPr>
            <w:tcW w:w="1935" w:type="dxa"/>
            <w:noWrap w:val="0"/>
            <w:vAlign w:val="center"/>
          </w:tcPr>
          <w:p w14:paraId="170CCDE5">
            <w:pPr>
              <w:spacing w:line="360" w:lineRule="auto"/>
              <w:jc w:val="center"/>
              <w:rPr>
                <w:rFonts w:ascii="宋体" w:hAnsi="宋体" w:eastAsia="宋体" w:cs="@仿宋_GB2312"/>
                <w:bCs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4713" w:type="dxa"/>
            <w:noWrap w:val="0"/>
            <w:vAlign w:val="center"/>
          </w:tcPr>
          <w:p w14:paraId="75D6218F">
            <w:pPr>
              <w:spacing w:line="360" w:lineRule="auto"/>
              <w:jc w:val="center"/>
              <w:rPr>
                <w:rFonts w:hint="eastAsia" w:ascii="宋体" w:hAnsi="宋体" w:eastAsia="宋体" w:cs="@仿宋_GB2312"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highlight w:val="none"/>
              </w:rPr>
              <w:t>条以上（不含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bCs/>
                <w:color w:val="auto"/>
                <w:sz w:val="24"/>
                <w:szCs w:val="24"/>
                <w:highlight w:val="none"/>
              </w:rPr>
              <w:t>条）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</w:rPr>
              <w:t>未响应或负偏离，将导致投标无效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highlight w:val="none"/>
                <w:lang w:val="en-US" w:eastAsia="zh-CN"/>
              </w:rPr>
              <w:t>除明确要求提供证明材料外，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lang w:val="en-US" w:eastAsia="zh-CN"/>
              </w:rPr>
              <w:t>以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lang w:eastAsia="zh-CN"/>
              </w:rPr>
              <w:t>投标响应表</w:t>
            </w:r>
            <w:r>
              <w:rPr>
                <w:rFonts w:hint="eastAsia" w:ascii="宋体" w:hAnsi="宋体" w:eastAsia="宋体" w:cs="宋体"/>
                <w:bCs/>
                <w:sz w:val="24"/>
                <w:szCs w:val="24"/>
                <w:lang w:val="en-US" w:eastAsia="zh-CN"/>
              </w:rPr>
              <w:t>填写的偏离说明为准。</w:t>
            </w:r>
            <w:r>
              <w:rPr>
                <w:rFonts w:hint="eastAsia"/>
                <w:lang w:eastAsia="zh-CN"/>
              </w:rPr>
              <w:t>。</w:t>
            </w:r>
          </w:p>
        </w:tc>
      </w:tr>
    </w:tbl>
    <w:p w14:paraId="2F9F4013">
      <w:pPr>
        <w:pStyle w:val="9"/>
        <w:ind w:left="0" w:firstLine="482"/>
        <w:rPr>
          <w:rFonts w:hint="eastAsia" w:ascii="宋体" w:hAnsi="宋体" w:eastAsia="宋体" w:cs="宋体"/>
          <w:b/>
          <w:bCs/>
          <w:sz w:val="24"/>
          <w:szCs w:val="24"/>
        </w:rPr>
      </w:pPr>
    </w:p>
    <w:p w14:paraId="5019E2AA">
      <w:pPr>
        <w:pStyle w:val="9"/>
        <w:ind w:left="0" w:firstLine="482"/>
        <w:rPr>
          <w:rFonts w:hint="default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（二）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货物需求清单</w:t>
      </w:r>
    </w:p>
    <w:tbl>
      <w:tblPr>
        <w:tblStyle w:val="10"/>
        <w:tblW w:w="436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3"/>
        <w:gridCol w:w="3726"/>
        <w:gridCol w:w="1226"/>
        <w:gridCol w:w="1801"/>
      </w:tblGrid>
      <w:tr w14:paraId="3F41A8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65" w:type="pct"/>
            <w:noWrap w:val="0"/>
            <w:vAlign w:val="center"/>
          </w:tcPr>
          <w:p w14:paraId="7B9ADF79">
            <w:pPr>
              <w:jc w:val="center"/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501" w:type="pct"/>
            <w:noWrap w:val="0"/>
            <w:vAlign w:val="center"/>
          </w:tcPr>
          <w:p w14:paraId="3766A384">
            <w:pPr>
              <w:jc w:val="center"/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</w:rPr>
              <w:t>货物名称</w:t>
            </w:r>
          </w:p>
        </w:tc>
        <w:tc>
          <w:tcPr>
            <w:tcW w:w="823" w:type="pct"/>
            <w:noWrap w:val="0"/>
            <w:vAlign w:val="center"/>
          </w:tcPr>
          <w:p w14:paraId="0205151C">
            <w:pPr>
              <w:jc w:val="center"/>
              <w:rPr>
                <w:rFonts w:hint="default" w:ascii="宋体" w:hAnsi="宋体" w:eastAsia="宋体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:lang w:val="en-US" w:eastAsia="zh-CN"/>
              </w:rPr>
              <w:t>数量</w:t>
            </w:r>
          </w:p>
        </w:tc>
        <w:tc>
          <w:tcPr>
            <w:tcW w:w="1209" w:type="pct"/>
            <w:noWrap w:val="0"/>
            <w:vAlign w:val="center"/>
          </w:tcPr>
          <w:p w14:paraId="5CC673FF">
            <w:pPr>
              <w:jc w:val="center"/>
              <w:rPr>
                <w:rFonts w:hint="default" w:ascii="宋体" w:hAnsi="宋体" w:eastAsia="宋体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bCs/>
                <w:sz w:val="24"/>
                <w:szCs w:val="24"/>
                <w:lang w:val="en-US" w:eastAsia="zh-CN"/>
              </w:rPr>
              <w:t>所属行业</w:t>
            </w:r>
          </w:p>
        </w:tc>
      </w:tr>
      <w:tr w14:paraId="3C3686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465" w:type="pct"/>
            <w:noWrap w:val="0"/>
            <w:vAlign w:val="center"/>
          </w:tcPr>
          <w:p w14:paraId="66437267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</w:t>
            </w:r>
          </w:p>
        </w:tc>
        <w:tc>
          <w:tcPr>
            <w:tcW w:w="2501" w:type="pct"/>
            <w:noWrap w:val="0"/>
            <w:vAlign w:val="center"/>
          </w:tcPr>
          <w:p w14:paraId="4F63FCB9"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</w:rPr>
              <w:t>▲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流式细胞分析仪</w:t>
            </w:r>
          </w:p>
        </w:tc>
        <w:tc>
          <w:tcPr>
            <w:tcW w:w="823" w:type="pct"/>
            <w:noWrap w:val="0"/>
            <w:vAlign w:val="center"/>
          </w:tcPr>
          <w:p w14:paraId="06486010">
            <w:pPr>
              <w:jc w:val="center"/>
              <w:rPr>
                <w:rFonts w:hint="eastAsia" w:ascii="宋体" w:hAnsi="宋体" w:eastAsia="宋体" w:cs="宋体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1台</w:t>
            </w:r>
          </w:p>
        </w:tc>
        <w:tc>
          <w:tcPr>
            <w:tcW w:w="1209" w:type="pct"/>
            <w:noWrap w:val="0"/>
            <w:vAlign w:val="center"/>
          </w:tcPr>
          <w:p w14:paraId="1F560376">
            <w:pPr>
              <w:jc w:val="center"/>
              <w:rPr>
                <w:rFonts w:hint="eastAsia" w:ascii="宋体" w:hAnsi="宋体" w:eastAsia="宋体" w:cs="宋体"/>
                <w:b/>
                <w:bCs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工业</w:t>
            </w:r>
          </w:p>
        </w:tc>
      </w:tr>
      <w:tr w14:paraId="1266A6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465" w:type="pct"/>
            <w:noWrap w:val="0"/>
            <w:vAlign w:val="center"/>
          </w:tcPr>
          <w:p w14:paraId="3F921B48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</w:t>
            </w:r>
          </w:p>
        </w:tc>
        <w:tc>
          <w:tcPr>
            <w:tcW w:w="2501" w:type="pct"/>
            <w:noWrap w:val="0"/>
            <w:vAlign w:val="center"/>
          </w:tcPr>
          <w:p w14:paraId="1C4A49C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生物学X射线辐照仪（进口）</w:t>
            </w:r>
          </w:p>
        </w:tc>
        <w:tc>
          <w:tcPr>
            <w:tcW w:w="823" w:type="pct"/>
            <w:noWrap w:val="0"/>
            <w:vAlign w:val="center"/>
          </w:tcPr>
          <w:p w14:paraId="33E5693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1台</w:t>
            </w:r>
          </w:p>
        </w:tc>
        <w:tc>
          <w:tcPr>
            <w:tcW w:w="1209" w:type="pct"/>
            <w:noWrap w:val="0"/>
            <w:vAlign w:val="center"/>
          </w:tcPr>
          <w:p w14:paraId="16EFF7E9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工业</w:t>
            </w:r>
          </w:p>
        </w:tc>
      </w:tr>
      <w:tr w14:paraId="44193D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465" w:type="pct"/>
            <w:noWrap w:val="0"/>
            <w:vAlign w:val="center"/>
          </w:tcPr>
          <w:p w14:paraId="0AB7EDC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3</w:t>
            </w:r>
          </w:p>
        </w:tc>
        <w:tc>
          <w:tcPr>
            <w:tcW w:w="2501" w:type="pct"/>
            <w:noWrap w:val="0"/>
            <w:vAlign w:val="center"/>
          </w:tcPr>
          <w:p w14:paraId="72BA38B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台式冷冻离心机（进口）</w:t>
            </w:r>
          </w:p>
        </w:tc>
        <w:tc>
          <w:tcPr>
            <w:tcW w:w="823" w:type="pct"/>
            <w:noWrap w:val="0"/>
            <w:vAlign w:val="center"/>
          </w:tcPr>
          <w:p w14:paraId="0736B8B3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2台</w:t>
            </w:r>
          </w:p>
        </w:tc>
        <w:tc>
          <w:tcPr>
            <w:tcW w:w="1209" w:type="pct"/>
            <w:noWrap w:val="0"/>
            <w:vAlign w:val="center"/>
          </w:tcPr>
          <w:p w14:paraId="51A5DAFB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工业</w:t>
            </w:r>
          </w:p>
        </w:tc>
      </w:tr>
      <w:tr w14:paraId="1471E2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65" w:type="pct"/>
            <w:noWrap w:val="0"/>
            <w:vAlign w:val="center"/>
          </w:tcPr>
          <w:p w14:paraId="1665CDC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4</w:t>
            </w:r>
          </w:p>
        </w:tc>
        <w:tc>
          <w:tcPr>
            <w:tcW w:w="2501" w:type="pct"/>
            <w:noWrap w:val="0"/>
            <w:vAlign w:val="center"/>
          </w:tcPr>
          <w:p w14:paraId="45B14BBF"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高性能生信分析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仪</w:t>
            </w:r>
          </w:p>
        </w:tc>
        <w:tc>
          <w:tcPr>
            <w:tcW w:w="823" w:type="pct"/>
            <w:noWrap w:val="0"/>
            <w:vAlign w:val="center"/>
          </w:tcPr>
          <w:p w14:paraId="28A2E43A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1209" w:type="pct"/>
            <w:noWrap w:val="0"/>
            <w:vAlign w:val="center"/>
          </w:tcPr>
          <w:p w14:paraId="35D3E70F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工业</w:t>
            </w:r>
          </w:p>
        </w:tc>
      </w:tr>
      <w:tr w14:paraId="54C547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465" w:type="pct"/>
            <w:noWrap w:val="0"/>
            <w:vAlign w:val="center"/>
          </w:tcPr>
          <w:p w14:paraId="25B56E69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5</w:t>
            </w:r>
          </w:p>
        </w:tc>
        <w:tc>
          <w:tcPr>
            <w:tcW w:w="2501" w:type="pct"/>
            <w:noWrap w:val="0"/>
            <w:vAlign w:val="center"/>
          </w:tcPr>
          <w:p w14:paraId="7570F80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荧光计</w:t>
            </w:r>
          </w:p>
        </w:tc>
        <w:tc>
          <w:tcPr>
            <w:tcW w:w="823" w:type="pct"/>
            <w:noWrap w:val="0"/>
            <w:vAlign w:val="center"/>
          </w:tcPr>
          <w:p w14:paraId="477EBF6B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1台</w:t>
            </w:r>
          </w:p>
        </w:tc>
        <w:tc>
          <w:tcPr>
            <w:tcW w:w="1209" w:type="pct"/>
            <w:noWrap w:val="0"/>
            <w:vAlign w:val="center"/>
          </w:tcPr>
          <w:p w14:paraId="35837678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工业</w:t>
            </w:r>
          </w:p>
        </w:tc>
      </w:tr>
      <w:tr w14:paraId="6BEA37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465" w:type="pct"/>
            <w:noWrap w:val="0"/>
            <w:vAlign w:val="center"/>
          </w:tcPr>
          <w:p w14:paraId="320BC3A5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6</w:t>
            </w:r>
          </w:p>
        </w:tc>
        <w:tc>
          <w:tcPr>
            <w:tcW w:w="2501" w:type="pct"/>
            <w:noWrap w:val="0"/>
            <w:vAlign w:val="center"/>
          </w:tcPr>
          <w:p w14:paraId="2AFDA460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8"/>
              </w:rPr>
              <w:t>二氧化碳培养装置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（进口）</w:t>
            </w:r>
          </w:p>
        </w:tc>
        <w:tc>
          <w:tcPr>
            <w:tcW w:w="823" w:type="pct"/>
            <w:noWrap w:val="0"/>
            <w:vAlign w:val="center"/>
          </w:tcPr>
          <w:p w14:paraId="38618181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1台</w:t>
            </w:r>
          </w:p>
        </w:tc>
        <w:tc>
          <w:tcPr>
            <w:tcW w:w="1209" w:type="pct"/>
            <w:noWrap w:val="0"/>
            <w:vAlign w:val="center"/>
          </w:tcPr>
          <w:p w14:paraId="1337E0FC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工业</w:t>
            </w:r>
          </w:p>
        </w:tc>
      </w:tr>
      <w:tr w14:paraId="3D1825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65" w:type="pct"/>
            <w:noWrap w:val="0"/>
            <w:vAlign w:val="center"/>
          </w:tcPr>
          <w:p w14:paraId="583FCF1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7</w:t>
            </w:r>
          </w:p>
        </w:tc>
        <w:tc>
          <w:tcPr>
            <w:tcW w:w="2501" w:type="pct"/>
            <w:noWrap w:val="0"/>
            <w:vAlign w:val="center"/>
          </w:tcPr>
          <w:p w14:paraId="53E6B54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科研楼纯水集中供水系统（1000L/H）</w:t>
            </w:r>
          </w:p>
        </w:tc>
        <w:tc>
          <w:tcPr>
            <w:tcW w:w="823" w:type="pct"/>
            <w:noWrap w:val="0"/>
            <w:vAlign w:val="center"/>
          </w:tcPr>
          <w:p w14:paraId="1D8028FA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1台</w:t>
            </w:r>
          </w:p>
        </w:tc>
        <w:tc>
          <w:tcPr>
            <w:tcW w:w="1209" w:type="pct"/>
            <w:noWrap w:val="0"/>
            <w:vAlign w:val="center"/>
          </w:tcPr>
          <w:p w14:paraId="2F1D0ED3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工业</w:t>
            </w:r>
          </w:p>
        </w:tc>
      </w:tr>
      <w:tr w14:paraId="133148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65" w:type="pct"/>
            <w:noWrap w:val="0"/>
            <w:vAlign w:val="center"/>
          </w:tcPr>
          <w:p w14:paraId="66804DFC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8</w:t>
            </w:r>
          </w:p>
        </w:tc>
        <w:tc>
          <w:tcPr>
            <w:tcW w:w="2501" w:type="pct"/>
            <w:noWrap w:val="0"/>
            <w:vAlign w:val="center"/>
          </w:tcPr>
          <w:p w14:paraId="0A2008A7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活细胞工作站更换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终端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、相机、培养加热板</w:t>
            </w:r>
          </w:p>
        </w:tc>
        <w:tc>
          <w:tcPr>
            <w:tcW w:w="823" w:type="pct"/>
            <w:noWrap w:val="0"/>
            <w:vAlign w:val="center"/>
          </w:tcPr>
          <w:p w14:paraId="54B9E689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1台</w:t>
            </w:r>
          </w:p>
        </w:tc>
        <w:tc>
          <w:tcPr>
            <w:tcW w:w="1209" w:type="pct"/>
            <w:noWrap w:val="0"/>
            <w:vAlign w:val="center"/>
          </w:tcPr>
          <w:p w14:paraId="1B087044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工业</w:t>
            </w:r>
          </w:p>
        </w:tc>
      </w:tr>
      <w:tr w14:paraId="381E05D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65" w:type="pct"/>
            <w:noWrap w:val="0"/>
            <w:vAlign w:val="center"/>
          </w:tcPr>
          <w:p w14:paraId="6FE3912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9</w:t>
            </w:r>
          </w:p>
        </w:tc>
        <w:tc>
          <w:tcPr>
            <w:tcW w:w="2501" w:type="pct"/>
            <w:noWrap w:val="0"/>
            <w:vAlign w:val="center"/>
          </w:tcPr>
          <w:p w14:paraId="08D888B9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大容量高速离心机50ml定角转子</w:t>
            </w:r>
          </w:p>
        </w:tc>
        <w:tc>
          <w:tcPr>
            <w:tcW w:w="823" w:type="pct"/>
            <w:noWrap w:val="0"/>
            <w:vAlign w:val="center"/>
          </w:tcPr>
          <w:p w14:paraId="30AF235A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1台</w:t>
            </w:r>
          </w:p>
        </w:tc>
        <w:tc>
          <w:tcPr>
            <w:tcW w:w="1209" w:type="pct"/>
            <w:noWrap w:val="0"/>
            <w:vAlign w:val="center"/>
          </w:tcPr>
          <w:p w14:paraId="0D22194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工业</w:t>
            </w:r>
          </w:p>
        </w:tc>
      </w:tr>
      <w:tr w14:paraId="0BB32D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65" w:type="pct"/>
            <w:noWrap w:val="0"/>
            <w:vAlign w:val="center"/>
          </w:tcPr>
          <w:p w14:paraId="5FC7F9D1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10</w:t>
            </w:r>
          </w:p>
        </w:tc>
        <w:tc>
          <w:tcPr>
            <w:tcW w:w="2501" w:type="pct"/>
            <w:noWrap w:val="0"/>
            <w:vAlign w:val="center"/>
          </w:tcPr>
          <w:p w14:paraId="73263CC5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bidi="ar"/>
              </w:rPr>
              <w:t>冰冻切片机刀头架更换</w:t>
            </w:r>
          </w:p>
        </w:tc>
        <w:tc>
          <w:tcPr>
            <w:tcW w:w="823" w:type="pct"/>
            <w:noWrap w:val="0"/>
            <w:vAlign w:val="center"/>
          </w:tcPr>
          <w:p w14:paraId="6E61ABB8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1台</w:t>
            </w:r>
          </w:p>
        </w:tc>
        <w:tc>
          <w:tcPr>
            <w:tcW w:w="1209" w:type="pct"/>
            <w:noWrap w:val="0"/>
            <w:vAlign w:val="center"/>
          </w:tcPr>
          <w:p w14:paraId="28AD14B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工业</w:t>
            </w:r>
          </w:p>
        </w:tc>
      </w:tr>
    </w:tbl>
    <w:p w14:paraId="3DDC1CE1">
      <w:pPr>
        <w:pStyle w:val="9"/>
        <w:ind w:left="0" w:firstLine="482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</w:p>
    <w:p w14:paraId="5E91694D">
      <w:pPr>
        <w:pStyle w:val="9"/>
        <w:ind w:left="0" w:firstLine="482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（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三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货物指标要求</w:t>
      </w:r>
    </w:p>
    <w:p w14:paraId="5434CF80">
      <w:pPr>
        <w:autoSpaceDE w:val="0"/>
        <w:autoSpaceDN w:val="0"/>
        <w:adjustRightInd w:val="0"/>
        <w:spacing w:line="276" w:lineRule="auto"/>
        <w:jc w:val="left"/>
        <w:rPr>
          <w:rFonts w:hint="eastAsia" w:ascii="宋体" w:hAnsi="宋体" w:eastAsia="宋体"/>
          <w:b/>
          <w:sz w:val="24"/>
          <w:szCs w:val="24"/>
        </w:rPr>
      </w:pPr>
    </w:p>
    <w:tbl>
      <w:tblPr>
        <w:tblStyle w:val="10"/>
        <w:tblW w:w="492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9"/>
        <w:gridCol w:w="1267"/>
        <w:gridCol w:w="5728"/>
        <w:gridCol w:w="722"/>
      </w:tblGrid>
      <w:tr w14:paraId="2179D5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04" w:type="pct"/>
            <w:noWrap w:val="0"/>
            <w:vAlign w:val="center"/>
          </w:tcPr>
          <w:p w14:paraId="7EBB42FB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序号</w:t>
            </w:r>
          </w:p>
        </w:tc>
        <w:tc>
          <w:tcPr>
            <w:tcW w:w="754" w:type="pct"/>
            <w:noWrap w:val="0"/>
            <w:vAlign w:val="center"/>
          </w:tcPr>
          <w:p w14:paraId="35F0A8A1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货物名称</w:t>
            </w:r>
          </w:p>
        </w:tc>
        <w:tc>
          <w:tcPr>
            <w:tcW w:w="3411" w:type="pct"/>
            <w:noWrap w:val="0"/>
            <w:vAlign w:val="center"/>
          </w:tcPr>
          <w:p w14:paraId="350FD38B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技术参数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  <w:lang w:val="en-US" w:eastAsia="zh-CN"/>
              </w:rPr>
              <w:t>及要求</w:t>
            </w:r>
          </w:p>
        </w:tc>
        <w:tc>
          <w:tcPr>
            <w:tcW w:w="429" w:type="pct"/>
            <w:noWrap w:val="0"/>
            <w:vAlign w:val="center"/>
          </w:tcPr>
          <w:p w14:paraId="62D5A433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数量</w:t>
            </w:r>
          </w:p>
        </w:tc>
      </w:tr>
      <w:tr w14:paraId="64EB3F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04" w:type="pct"/>
            <w:noWrap w:val="0"/>
            <w:vAlign w:val="center"/>
          </w:tcPr>
          <w:p w14:paraId="14017AFA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754" w:type="pct"/>
            <w:noWrap w:val="0"/>
            <w:vAlign w:val="center"/>
          </w:tcPr>
          <w:p w14:paraId="51F1B470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sz w:val="24"/>
                <w:szCs w:val="24"/>
                <w:highlight w:val="none"/>
              </w:rPr>
              <w:t>▲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流式细胞分析仪</w:t>
            </w:r>
          </w:p>
          <w:p w14:paraId="2343BB28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  <w:p w14:paraId="1DC0BD68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3411" w:type="pct"/>
            <w:noWrap w:val="0"/>
            <w:vAlign w:val="center"/>
          </w:tcPr>
          <w:p w14:paraId="1A918F9A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1.仪器性能要求： </w:t>
            </w:r>
          </w:p>
          <w:p w14:paraId="7452DFE8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1.1.仪器检测范围：配488 nm、638 nm、405 nm激光器，可以实现3激光检测12个色，同时包含前向角散射光检测通道和侧向角散射光检测通道； </w:t>
            </w:r>
          </w:p>
          <w:p w14:paraId="2FFEB776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★1.2.具备检测近红外长波荧光素的能力（波长≥900nm）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</w:t>
            </w:r>
            <w:r>
              <w:rPr>
                <w:rFonts w:hint="eastAsia" w:ascii="宋体" w:hAnsi="宋体" w:eastAsia="宋体" w:cs="宋体"/>
                <w:b/>
                <w:bCs/>
                <w:spacing w:val="2"/>
                <w:sz w:val="24"/>
                <w:szCs w:val="24"/>
                <w:highlight w:val="none"/>
              </w:rPr>
              <w:t>内需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提供公开发表的文献证明或</w:t>
            </w:r>
            <w:r>
              <w:rPr>
                <w:rFonts w:hint="eastAsia" w:ascii="宋体" w:hAnsi="宋体" w:eastAsia="宋体" w:cs="宋体"/>
                <w:b/>
                <w:bCs/>
                <w:spacing w:val="2"/>
                <w:sz w:val="24"/>
                <w:szCs w:val="24"/>
                <w:highlight w:val="none"/>
              </w:rPr>
              <w:t>提供</w:t>
            </w:r>
            <w:r>
              <w:rPr>
                <w:rFonts w:hint="eastAsia" w:ascii="宋体" w:hAnsi="宋体" w:eastAsia="宋体" w:cs="宋体"/>
                <w:b/>
                <w:bCs/>
                <w:spacing w:val="2"/>
                <w:sz w:val="24"/>
                <w:szCs w:val="24"/>
                <w:highlight w:val="none"/>
                <w:lang w:val="en-US" w:eastAsia="zh-CN"/>
              </w:rPr>
              <w:t>经国家认可的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的第三方检测机构出具的检验报告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证明文件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  <w:lang w:val="en-US" w:eastAsia="zh-CN"/>
              </w:rPr>
              <w:t>原件扫描件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）；</w:t>
            </w:r>
          </w:p>
          <w:p w14:paraId="26A9C8B5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1.3.全自动光路校准功能，无需人工调节，仪器全自动完成光路校准；滤光片一共13片，可以自由拔插，可以根据实验需求选择使用相应的滤光片，使得仪器的实际检测范围大于实际配置； </w:t>
            </w:r>
          </w:p>
          <w:p w14:paraId="1A503976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★1.4.采用超高灵敏度的光纤阵列检测器（FAPD）。荧光检测灵敏度：FITC≤9 MESF，PE≤5 MESF(</w:t>
            </w:r>
            <w:r>
              <w:rPr>
                <w:rFonts w:hint="eastAsia" w:ascii="宋体" w:hAnsi="宋体" w:eastAsia="宋体" w:cs="宋体"/>
                <w:b/>
                <w:bCs/>
                <w:spacing w:val="2"/>
                <w:sz w:val="24"/>
                <w:szCs w:val="24"/>
                <w:highlight w:val="none"/>
              </w:rPr>
              <w:t>投标文件内需提供具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有</w:t>
            </w:r>
            <w:r>
              <w:rPr>
                <w:rFonts w:hint="eastAsia" w:ascii="宋体" w:hAnsi="宋体" w:eastAsia="宋体" w:cs="宋体"/>
                <w:spacing w:val="-42"/>
                <w:sz w:val="24"/>
                <w:szCs w:val="24"/>
                <w:highlight w:val="none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经国家认可的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第三方检测机构出具的检验报告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扫描件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)。 </w:t>
            </w:r>
          </w:p>
          <w:p w14:paraId="19019C1C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1.5.为了满足不同的实验需求，各通道增益电压必须可调。同时，具备自动荧光补偿功能，通道增益电压改变时，无需重新使用单阳性样本调节补偿，仪器自动完成调节； </w:t>
            </w:r>
          </w:p>
          <w:p w14:paraId="526BC5B9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★1.6.细胞检测能力：能将80nm目标颗粒与噪音信号明显区分，并且采用WDM波分复用模块采用全带通滤光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提供产品彩页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扫描件或官网功能截图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作为证明文件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； </w:t>
            </w:r>
          </w:p>
          <w:p w14:paraId="6E1AED0E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1.7.数字采样频率≥25 Mhz； </w:t>
            </w:r>
          </w:p>
          <w:p w14:paraId="0F02CD0C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★1.8.采用蠕动泵（非真空泵、注射泵等任何其他方式）驱动的连续的上样方式，具备灵活的上样模式，可兼容1.5 mL、2 mL、5 mL等多规格试管上样。样本流速具有低速、中速、高速、自定义调节四种模式可选，流速范围：10 μL/min—240 μL/min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提供产品彩页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或官网功能截图或经国家认可的第三方检测机构出具的检测报告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作为证明文件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 xml:space="preserve">）； </w:t>
            </w:r>
          </w:p>
          <w:p w14:paraId="6B25054A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1.9.清洗模式：日常清洗，深度清洗；</w:t>
            </w:r>
          </w:p>
          <w:p w14:paraId="74AA3982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★1.10.软件系统：设备具有中英文软件，可实现离线补偿功能，可实现多台机器安装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提供产品彩页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或官网功能截图或经国家认可的第三方检测机构出具的检测报告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作为证明文件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； </w:t>
            </w:r>
          </w:p>
          <w:p w14:paraId="35AC4F71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1.11.补偿模式：全矩阵补偿，自动补偿和手动补偿； </w:t>
            </w:r>
          </w:p>
          <w:p w14:paraId="03354461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2.分析系统配置： </w:t>
            </w:r>
          </w:p>
          <w:p w14:paraId="28584379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■2.1.流式细胞分析仪主机一台（包含中英文软件）：配置488nm激光器(功率≥50 mW)、638 nm激光器(功率≥50 mW)、405 nm激光器(功率≥80 mW)，同时可以检测12色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提供产品彩页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或官网功能截图或经国家认可的第三方检测机构出具的检测报告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作为证明文件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;                                                                                                                                                                   2.2.原装数据处理工作站一套; </w:t>
            </w:r>
          </w:p>
          <w:p w14:paraId="0CDDDBE4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2.3.质控微球一瓶; </w:t>
            </w:r>
          </w:p>
          <w:p w14:paraId="460A2E0A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2.4.鞘液一桶; </w:t>
            </w:r>
          </w:p>
          <w:p w14:paraId="6C489593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2.5.洗液一瓶; </w:t>
            </w:r>
          </w:p>
          <w:p w14:paraId="5997871A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2.6.除泡液一瓶。</w:t>
            </w:r>
          </w:p>
          <w:p w14:paraId="26823B46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3.合同签订后供货前，采购人有权要求中标人提供所投同款机型进行指标验证，如与响应情况不符，中标人承担一切责任。</w:t>
            </w:r>
          </w:p>
        </w:tc>
        <w:tc>
          <w:tcPr>
            <w:tcW w:w="429" w:type="pct"/>
            <w:noWrap w:val="0"/>
            <w:vAlign w:val="center"/>
          </w:tcPr>
          <w:p w14:paraId="4311E400">
            <w:pPr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1台</w:t>
            </w:r>
          </w:p>
        </w:tc>
      </w:tr>
      <w:tr w14:paraId="51E19F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2" w:hRule="atLeast"/>
        </w:trPr>
        <w:tc>
          <w:tcPr>
            <w:tcW w:w="404" w:type="pct"/>
            <w:noWrap w:val="0"/>
            <w:vAlign w:val="center"/>
          </w:tcPr>
          <w:p w14:paraId="2DCA3851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754" w:type="pct"/>
            <w:noWrap w:val="0"/>
            <w:vAlign w:val="center"/>
          </w:tcPr>
          <w:p w14:paraId="2A6278EC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生物学X射线辐照仪（进口）</w:t>
            </w:r>
          </w:p>
          <w:p w14:paraId="0CA3DE47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3411" w:type="pct"/>
            <w:noWrap w:val="0"/>
            <w:vAlign w:val="center"/>
          </w:tcPr>
          <w:p w14:paraId="5A249B6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1.用于细胞、小鼠、大鼠、动物器官和组织、微生物、各类生物样品和材料的X射线辐照。能达到肿瘤清除、免疫抑制、骨髓移植、DNA损伤、饲养层细胞增殖抑制等生物学效果；</w:t>
            </w:r>
          </w:p>
          <w:p w14:paraId="6E705C0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■2.X射线球管最大电压≥225 kV, 最大功率≥4500W，固有过滤铍窗厚度≥2mm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提供产品彩页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官网截图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作为证明文件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；</w:t>
            </w:r>
          </w:p>
          <w:p w14:paraId="0E69392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3.X射线球管寿命≥3000小时；</w:t>
            </w:r>
          </w:p>
          <w:p w14:paraId="410A236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4.剂量率范围至少包含：0.01-80 Gy/min；最大单次辐照剂量≥999Gy，最大单次辐照时间≥99分钟59秒；</w:t>
            </w:r>
          </w:p>
          <w:p w14:paraId="0E9BBBD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★5.与铯137同位素对比，同样剂量情况下，细胞（或细菌）的死亡率比值≥1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提供实验证明材料或公开发表的文献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佐证）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；</w:t>
            </w:r>
          </w:p>
          <w:p w14:paraId="5D5D969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★6.同样剂量条件下，X射线辐照造成单链DNA和双链DNA的断裂能力均不低于铯137同位素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提供实验证明材料或公开发表的文献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佐证）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；</w:t>
            </w:r>
          </w:p>
          <w:p w14:paraId="62A76B8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7.对于C57BL/6小鼠的有效清髓剂量≤10Gy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提供实验证明材料或公开发表的文献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佐证）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；</w:t>
            </w:r>
          </w:p>
          <w:p w14:paraId="0109BFD9">
            <w:pPr>
              <w:pStyle w:val="5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★8.配备均一性辐照仓：需为碳化硼材质，能容纳1个过滤小鼠笼或4块细胞培养板；均一性辐照仓内小鼠个体的剂量均一性≥95% 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提供实验证明材料或公开发表的文献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佐证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；</w:t>
            </w:r>
          </w:p>
          <w:p w14:paraId="0B593C9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9.样品源距SSD范围15～50cm，为保证辐照剂量率和降低设备重量，铅房高度≤50cm；</w:t>
            </w:r>
          </w:p>
          <w:p w14:paraId="0E2D284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★10.样品不需旋转时，射线剂量对称性误差＜1%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提供实验证明材料或公开发表的文献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佐证）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；</w:t>
            </w:r>
          </w:p>
          <w:p w14:paraId="330A774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★11.控制系统采用可编程逻辑控制器（PLC），具有很好的耐用性和稳定性，耐干扰；通过触摸屏进行操作和控制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提供设备该部分实物照片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作为证明文件）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；</w:t>
            </w:r>
          </w:p>
          <w:p w14:paraId="361952B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12.系统智能检测机器状态，确定是否需要训机；</w:t>
            </w:r>
          </w:p>
          <w:p w14:paraId="3DBE90D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13.配置有“ Stop”控制键，可随时停止辐照进程；</w:t>
            </w:r>
          </w:p>
          <w:p w14:paraId="2BE7A19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14.具有账户管理功能，可以设定三级账户权限；可以存储多个辐照程序；</w:t>
            </w:r>
          </w:p>
          <w:p w14:paraId="38457FED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★15.软件系统可设置丰富的技术参数，至少包括辐照时间、辐照剂量、球管电压、球管电流、载物台位置、过滤片、反射体、局部辐照器等辐照条件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需提供软件设定此参数的截图照片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作为证明文件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）；</w:t>
            </w:r>
          </w:p>
          <w:p w14:paraId="058C27E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16.配有安全关联门锁，至少具备两重安全及故障报警装置；并配有专用开启钥匙；</w:t>
            </w:r>
          </w:p>
          <w:p w14:paraId="370A53C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17.具有延时启动功能，辐照程序启动前具有≥5秒的预警时间，确保安全；</w:t>
            </w:r>
          </w:p>
          <w:p w14:paraId="6FA5AEE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18.提供带有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孔径≤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0.22um滤膜的小鼠笼，用于小鼠的转运和辐照。要求能容纳≥5只小鼠，在转运和辐照过程中不用开盖，避免小鼠污染；</w:t>
            </w:r>
          </w:p>
          <w:p w14:paraId="0756160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19.配备高通量分隔式全身辐照鼠笼，可容纳不少于14只小鼠，要求小鼠分别在独立的隔间，不互相干扰；</w:t>
            </w:r>
          </w:p>
          <w:p w14:paraId="4F4EB38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20.配备小动物高通量局部辐照器，用于对小鼠的指定区域（如肿块）进行定位辐照，可同时对≥6只小鼠进行定位辐照，辐照区域范围连续可调，可调范围不小于0.5-2cm，位置精度误差＜0.5mm，小鼠间受到的辐照剂量差异小于6%；</w:t>
            </w:r>
          </w:p>
          <w:p w14:paraId="5AF5C64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21.仪器运行时，距离机器任何表面5cm处杂散剂量＜0.5μSv/h；</w:t>
            </w:r>
          </w:p>
          <w:p w14:paraId="05DBFF68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22.配备环境剂量监测仪，必须符合我国安全标准，超过2.5μSv/h(我国安全标准）即报警提示；</w:t>
            </w:r>
          </w:p>
          <w:p w14:paraId="638C9E7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23.配备电动旋转台，使样品可以在辐照时旋转；</w:t>
            </w:r>
          </w:p>
          <w:p w14:paraId="131043FD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24.设备为一体机，冷却系统、高压发生器、高压电缆等都在机器内部，占地小，并且避免放电安全隐患；</w:t>
            </w:r>
          </w:p>
          <w:p w14:paraId="0DE4064D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★25.冷却系统：采用内置两级水冷-风冷系统，可独立控制，水箱容积≥100L，并且不需要上下水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（投标文件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需提供实物测量照片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作为证明材料）；</w:t>
            </w:r>
          </w:p>
          <w:p w14:paraId="2D31A09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★26.设备总重量≤800KG，需配备脚轮，长或宽至少一面＜90cm，主机高度（包含脚轮）＜200cm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（投标文件内需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产品彩页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  <w:lang w:val="en-US" w:eastAsia="zh-CN"/>
              </w:rPr>
              <w:t>或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官网截图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作为证明材料）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；</w:t>
            </w:r>
          </w:p>
          <w:p w14:paraId="5BD28A8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27.配置：</w:t>
            </w:r>
          </w:p>
          <w:p w14:paraId="41E470E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27.1.Ｘ射线辐照仪1台；</w:t>
            </w:r>
          </w:p>
          <w:p w14:paraId="08CFFDF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27.2.均一性辐照仓1套；</w:t>
            </w:r>
          </w:p>
          <w:p w14:paraId="5CE7F49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27.3.二级冷却系统1套；</w:t>
            </w:r>
          </w:p>
          <w:p w14:paraId="33B611E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27.4.高通量分隔式辐照小动物笼1个；</w:t>
            </w:r>
          </w:p>
          <w:p w14:paraId="2ED33C3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27.5.小动物过滤辐照笼1个；</w:t>
            </w:r>
          </w:p>
          <w:p w14:paraId="5E4EF86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27.6.环境剂量监测仪1套；</w:t>
            </w:r>
          </w:p>
          <w:p w14:paraId="49067008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27.7.高通量小动物局部辐照器1套；</w:t>
            </w:r>
          </w:p>
          <w:p w14:paraId="1577504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27.8.铜过滤片1个；</w:t>
            </w:r>
          </w:p>
          <w:p w14:paraId="1A45F8D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27.9.铝过滤片1个；</w:t>
            </w:r>
          </w:p>
          <w:p w14:paraId="4A67AEF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27.10.电动旋转台1个；</w:t>
            </w:r>
          </w:p>
          <w:p w14:paraId="68AE6D5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■28.投标产品如为进口，则须提供产品制造厂商（或制造商的国内公司或产品合法代理商公司）出具的针对本项目的授权书扫描件，须体现项目编号和项目名称。</w:t>
            </w:r>
          </w:p>
        </w:tc>
        <w:tc>
          <w:tcPr>
            <w:tcW w:w="429" w:type="pct"/>
            <w:noWrap w:val="0"/>
            <w:vAlign w:val="center"/>
          </w:tcPr>
          <w:p w14:paraId="4D6EF236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1台</w:t>
            </w:r>
          </w:p>
        </w:tc>
      </w:tr>
      <w:tr w14:paraId="2C8D91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04" w:type="pct"/>
            <w:noWrap w:val="0"/>
            <w:vAlign w:val="center"/>
          </w:tcPr>
          <w:p w14:paraId="7579D31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</w:t>
            </w:r>
          </w:p>
        </w:tc>
        <w:tc>
          <w:tcPr>
            <w:tcW w:w="754" w:type="pct"/>
            <w:noWrap w:val="0"/>
            <w:vAlign w:val="center"/>
          </w:tcPr>
          <w:p w14:paraId="4F32225F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台式冷冻离心机（进口）</w:t>
            </w:r>
          </w:p>
          <w:p w14:paraId="5657A052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  <w:p w14:paraId="648306AF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3411" w:type="pct"/>
            <w:noWrap w:val="0"/>
            <w:vAlign w:val="center"/>
          </w:tcPr>
          <w:p w14:paraId="04CF5BA6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1.微处理机控制，数字显示，触摸屏按键操作；</w:t>
            </w:r>
          </w:p>
          <w:p w14:paraId="5C9DC961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2.所有转头都经过生物安全认证，所有转头都是铝制；</w:t>
            </w:r>
          </w:p>
          <w:p w14:paraId="7E68BBD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3.驱动系统：无碳刷感应马达，免维护；</w:t>
            </w:r>
          </w:p>
          <w:p w14:paraId="470775A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4.不平衡检测：内置加速度传感器，实现多维多角度不平衡检测；</w:t>
            </w:r>
          </w:p>
          <w:p w14:paraId="37853CB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5.温度设置范围：-10℃至40℃；</w:t>
            </w:r>
          </w:p>
          <w:p w14:paraId="28D11C84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6.温控系统：4分钟内温度降低到4℃；</w:t>
            </w:r>
          </w:p>
          <w:p w14:paraId="78FF8F0B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★7.加/减速率：≥10/11种独立控制模式，且采用UHT超离超平稳离心技术,减少样品扰动重悬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（投标文件内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需</w:t>
            </w:r>
            <w:r>
              <w:rPr>
                <w:rFonts w:hint="eastAsia" w:ascii="宋体" w:hAnsi="宋体" w:eastAsia="宋体" w:cs="宋体"/>
                <w:b/>
                <w:bCs/>
                <w:spacing w:val="-2"/>
                <w:sz w:val="24"/>
                <w:szCs w:val="24"/>
                <w:highlight w:val="none"/>
              </w:rPr>
              <w:t>提供产品彩页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或官网功能截图或经国家认可的第三方检测机构出具的检测报告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val="en-US" w:eastAsia="zh-CN"/>
              </w:rPr>
              <w:t>原件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  <w:lang w:eastAsia="zh-CN"/>
              </w:rPr>
              <w:t>扫描件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作为证明文件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；</w:t>
            </w:r>
          </w:p>
          <w:p w14:paraId="5C5CF6F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8.设置时间:可定时离心至99小时59分钟，另有连续离心、瞬时离心功能；</w:t>
            </w:r>
          </w:p>
          <w:p w14:paraId="4AAD349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9.程序储存：一键访问≥6个程序，储存≥99个程序；</w:t>
            </w:r>
          </w:p>
          <w:p w14:paraId="5312C11B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10.水平转头可以同时满足以下参数；</w:t>
            </w:r>
          </w:p>
          <w:p w14:paraId="5B9EE298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10.1.最高转速≥4,750rpm，最大离心力达≥5,250×g，最大容量≥3L；</w:t>
            </w:r>
          </w:p>
          <w:p w14:paraId="1533547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10.2.承载酶标板≥16块，且离心力 ≥4,000×g；</w:t>
            </w:r>
          </w:p>
          <w:p w14:paraId="00123CA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10.3.水平转头可以直接用于血袋的离心；</w:t>
            </w:r>
          </w:p>
          <w:p w14:paraId="52058D2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10.4.可以用于75cm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²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及25 cm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²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细胞培养瓶的分离；</w:t>
            </w:r>
          </w:p>
          <w:p w14:paraId="5A1DAB2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10.5.离心120个3ml/5ml离心管，96个7ml/10ml离心管，且最大离心力可达到5,250×g；</w:t>
            </w:r>
          </w:p>
          <w:p w14:paraId="44F3A55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11.供货配置：</w:t>
            </w:r>
          </w:p>
          <w:p w14:paraId="17A3A38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11.1.主机一台；</w:t>
            </w:r>
          </w:p>
          <w:p w14:paraId="2853D1A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11.2.水平转子一个，容量4x750ml，最大转速≥4750rpm，最大离心力≥5250xg，并配套15ml和50ml适配器一套；</w:t>
            </w:r>
          </w:p>
          <w:p w14:paraId="73722B7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11.3.酶标板转子一个，容量≥16块微孔板，最大转速≥4450rpm，最大离心力≥4060xg；</w:t>
            </w:r>
          </w:p>
          <w:p w14:paraId="5E9CF4A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12.软件要求:无需升级，具有英文操作语言；</w:t>
            </w:r>
          </w:p>
          <w:p w14:paraId="2ED6B1A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2"/>
                <w:sz w:val="24"/>
                <w:szCs w:val="24"/>
                <w:highlight w:val="none"/>
              </w:rPr>
              <w:t>■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13.</w:t>
            </w:r>
            <w:r>
              <w:rPr>
                <w:rFonts w:hint="eastAsia" w:ascii="宋体" w:hAnsi="宋体" w:eastAsia="宋体" w:cs="宋体"/>
                <w:b/>
                <w:bCs/>
                <w:spacing w:val="2"/>
                <w:sz w:val="24"/>
                <w:szCs w:val="24"/>
                <w:highlight w:val="none"/>
              </w:rPr>
              <w:t>投标产品如为进口，则须提供产品制</w:t>
            </w:r>
            <w:r>
              <w:rPr>
                <w:rFonts w:hint="eastAsia" w:ascii="宋体" w:hAnsi="宋体" w:eastAsia="宋体" w:cs="宋体"/>
                <w:b/>
                <w:bCs/>
                <w:spacing w:val="1"/>
                <w:sz w:val="24"/>
                <w:szCs w:val="24"/>
                <w:highlight w:val="none"/>
              </w:rPr>
              <w:t>造厂商（或制造商的国</w:t>
            </w:r>
            <w:r>
              <w:rPr>
                <w:rFonts w:hint="eastAsia" w:ascii="宋体" w:hAnsi="宋体" w:eastAsia="宋体" w:cs="宋体"/>
                <w:b/>
                <w:bCs/>
                <w:spacing w:val="2"/>
                <w:sz w:val="24"/>
                <w:szCs w:val="24"/>
                <w:highlight w:val="none"/>
              </w:rPr>
              <w:t>内公司或产品合法代理商公司）出具的针对本项目的授权书扫描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件，须体现项目编号和项目名称。</w:t>
            </w:r>
          </w:p>
        </w:tc>
        <w:tc>
          <w:tcPr>
            <w:tcW w:w="429" w:type="pct"/>
            <w:noWrap w:val="0"/>
            <w:vAlign w:val="center"/>
          </w:tcPr>
          <w:p w14:paraId="2368B37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2台</w:t>
            </w:r>
          </w:p>
        </w:tc>
      </w:tr>
      <w:tr w14:paraId="5DA63F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404" w:type="pct"/>
            <w:noWrap w:val="0"/>
            <w:vAlign w:val="center"/>
          </w:tcPr>
          <w:p w14:paraId="024D876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</w:t>
            </w:r>
          </w:p>
        </w:tc>
        <w:tc>
          <w:tcPr>
            <w:tcW w:w="754" w:type="pct"/>
            <w:noWrap w:val="0"/>
            <w:vAlign w:val="center"/>
          </w:tcPr>
          <w:p w14:paraId="413C14A5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高性能生信分析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仪</w:t>
            </w:r>
          </w:p>
        </w:tc>
        <w:tc>
          <w:tcPr>
            <w:tcW w:w="3411" w:type="pct"/>
            <w:noWrap w:val="0"/>
            <w:vAlign w:val="center"/>
          </w:tcPr>
          <w:p w14:paraId="5D5A3B0F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一.管理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  <w:lang w:val="en-US" w:eastAsia="zh-CN"/>
              </w:rPr>
              <w:t>设备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 xml:space="preserve"> 1台</w:t>
            </w:r>
          </w:p>
          <w:p w14:paraId="32493B6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1.架构：≥2U机架式服务器。</w:t>
            </w:r>
          </w:p>
          <w:p w14:paraId="3B1FC61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2.处理器：配置≥2颗中央处理器，单颗处理器性能：CPU主频：≥2.0GHz，核心数：≥10，TDP≥85W，缓存≥13 MB。</w:t>
            </w:r>
          </w:p>
          <w:p w14:paraId="40801B0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3.内存：配置≥4根32GB ECC 3200 MHz 内存，最大支持≥24根内存。</w:t>
            </w:r>
          </w:p>
          <w:p w14:paraId="3A8A78A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4.系统盘：配置不少于2块960GB SATA SSD硬盘，支持≥12块3.5寸硬盘。</w:t>
            </w:r>
          </w:p>
          <w:p w14:paraId="6D5A742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5.RAID卡：RAID卡高速缓存不低于1GB，RAID控制卡支持RAID 0/1/5/6，提供断电后数据永久保护。</w:t>
            </w:r>
          </w:p>
          <w:p w14:paraId="74371FB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6.网络：每个节点提供≥2个千兆网络接口。</w:t>
            </w:r>
          </w:p>
          <w:p w14:paraId="19FAD48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7.网络：每个节点配置≥1块单端口 10GB光口万兆高速网卡。</w:t>
            </w:r>
          </w:p>
          <w:p w14:paraId="1655ACD1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8.镜像保护：支持 BIOS、BMC 固件双镜像保护，运行异常时自动切换到备份镜像运行，提升系统稳定性。</w:t>
            </w:r>
          </w:p>
          <w:p w14:paraId="624B44B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9.电源：支持1+1冗余模式；配置≥2个700W冗余电源。</w:t>
            </w:r>
          </w:p>
          <w:p w14:paraId="5D851C1C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二．分布式存储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  <w:lang w:val="en-US" w:eastAsia="zh-CN"/>
              </w:rPr>
              <w:t>设备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 xml:space="preserve"> 1台</w:t>
            </w:r>
          </w:p>
          <w:p w14:paraId="2B95454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1.架构：≥4U机架式服务器。</w:t>
            </w:r>
          </w:p>
          <w:p w14:paraId="72BDAF9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2.处理器：配置≥2颗中央处理器，单颗处理器性能：CPU主频：≥2.1GHz，核心数：≥12，TDP≥120W，缓存≥18 MB。</w:t>
            </w:r>
          </w:p>
          <w:p w14:paraId="1CBDD3B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3.内存：配置≥8根32GB ECC 3200 MHz 内存，最大支持≥16根内存。</w:t>
            </w:r>
          </w:p>
          <w:p w14:paraId="660775B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4.系统盘：配置不少于2块960GB SATA SSD硬盘，支持≥12块3.5寸硬盘。</w:t>
            </w:r>
          </w:p>
          <w:p w14:paraId="27148E38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5.数据盘：配置不少于20块16TB 7200RPM企业级机械硬盘，支持≥24块3.5寸硬盘。</w:t>
            </w:r>
          </w:p>
          <w:p w14:paraId="1825CA6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6.缓存盘：配置不少于4块1.92TB 企业级SSD，支持≥24块3.5寸硬盘。</w:t>
            </w:r>
          </w:p>
          <w:p w14:paraId="4577555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7.RAID卡：RAID卡高速缓存不低于4GB，RAID控制卡支持RAID 0/1/5/6，提供断电后数据永久保护。</w:t>
            </w:r>
          </w:p>
          <w:p w14:paraId="07CF407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8.网络：每个节点提供≥2个千兆网络接口。</w:t>
            </w:r>
          </w:p>
          <w:p w14:paraId="05620C11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9.网络：每个节点配置≥2块双端口 10GB光口万兆高速网卡。</w:t>
            </w:r>
          </w:p>
          <w:p w14:paraId="0A2F1A4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10.镜像保护：支持 BIOS、BMC 固件双镜像保护，运行异常时自动切换到备份镜像运行，提升系统稳定性。</w:t>
            </w:r>
          </w:p>
          <w:p w14:paraId="391187B5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11.电源：支持1+1冗余模式；配置≥2个1200W冗余电源。</w:t>
            </w:r>
          </w:p>
          <w:p w14:paraId="2ABB4A06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三．算力计算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  <w:lang w:val="en-US" w:eastAsia="zh-CN"/>
              </w:rPr>
              <w:t>设备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 xml:space="preserve"> 2台</w:t>
            </w:r>
          </w:p>
          <w:p w14:paraId="58DED441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1.架构：≥4U机架式服务器自主研发</w:t>
            </w:r>
          </w:p>
          <w:p w14:paraId="53AB9CD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2.处理器：配置≥2颗中央处理器。单颗处理器性能： CPU主频：≥2.1GHz，核心数：≥36，TDP≥195W，缓存≥54 MB</w:t>
            </w:r>
          </w:p>
          <w:p w14:paraId="4C7C7A4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3.内存：配置≥16根64GB ECC 3200 MHz 内存，最大支持≥16根内存。</w:t>
            </w:r>
          </w:p>
          <w:p w14:paraId="27388FC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4.系统盘：配置不少于1块960GB SATA SSD硬盘</w:t>
            </w:r>
          </w:p>
          <w:p w14:paraId="38522C6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5.网络：每个节点提供≥2个千兆网络接口。</w:t>
            </w:r>
          </w:p>
          <w:p w14:paraId="0DAA998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6.网络：每个节点配置≥1块单端口 10GB光口万兆高速网卡。</w:t>
            </w:r>
          </w:p>
          <w:p w14:paraId="42EF97B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7.镜像保护：支持 BIOS、BMC 固件双镜像保护，运行异常时自动切换到备份镜像运行，提升系统稳定性。</w:t>
            </w:r>
          </w:p>
          <w:p w14:paraId="0BDD10B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8.电源：支持1+1冗余模式；配置≥2个1200W冗余电源。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br w:type="page"/>
            </w:r>
          </w:p>
          <w:p w14:paraId="51781701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四．UPS不间断电源 1套</w:t>
            </w:r>
          </w:p>
          <w:p w14:paraId="5DE69C3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1.功率：最高功率支持不低于2.4KW。 </w:t>
            </w:r>
          </w:p>
          <w:p w14:paraId="5238998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2.自动关机：包含不低于1套NMC卡，支持NMC卡拓展，支持自动关机。</w:t>
            </w:r>
          </w:p>
          <w:p w14:paraId="38D215DC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五．网络设备1套</w:t>
            </w:r>
          </w:p>
          <w:p w14:paraId="21C75F3C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5.1.万兆交换机1个</w:t>
            </w:r>
          </w:p>
          <w:p w14:paraId="471F1E68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1.端口：配置不低于8个万兆SFP+端口。</w:t>
            </w:r>
          </w:p>
          <w:p w14:paraId="4717A2C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2.支持DHCP服务器、DHCP中继、DHCP Snooping。</w:t>
            </w:r>
          </w:p>
          <w:p w14:paraId="1C3FDA6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3.支持VLAN、QoS、ACL、生成树、组播、IPv6。</w:t>
            </w:r>
          </w:p>
          <w:p w14:paraId="50450A4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4.支持RIP动态路由、静态路由、ARP代理。</w:t>
            </w:r>
          </w:p>
          <w:p w14:paraId="53115F07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5.2.企业级路由器1个</w:t>
            </w:r>
          </w:p>
          <w:p w14:paraId="12D736A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1.四核CPU，256MB DDRⅢ高速内存。</w:t>
            </w:r>
          </w:p>
          <w:p w14:paraId="6F27031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2.2个万兆SFP+光纤扩展口，4个10/100/1000M RJ45电口，可自定义端口类型。</w:t>
            </w:r>
          </w:p>
          <w:p w14:paraId="7879DF9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3.支持上网行为管理（应用限制/网站过滤/网页安全）。</w:t>
            </w:r>
          </w:p>
          <w:p w14:paraId="3943268F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5.3.千兆交换机1个</w:t>
            </w:r>
          </w:p>
          <w:p w14:paraId="6DE7EEB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1.端口：配置不低于24个10/100/1000M自适应RJ45端口。</w:t>
            </w:r>
          </w:p>
          <w:p w14:paraId="20D23E8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2.提供标准交换、VLAN隔离和网络克隆三种工作模式。</w:t>
            </w:r>
          </w:p>
          <w:p w14:paraId="3296A525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六．机柜和配件1套</w:t>
            </w:r>
          </w:p>
          <w:p w14:paraId="73AD52C7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6.1.机柜1个</w:t>
            </w:r>
          </w:p>
          <w:p w14:paraId="6082B5A8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1.容量：不低于42U。</w:t>
            </w:r>
          </w:p>
          <w:p w14:paraId="55E1CDD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2.托盘：不低于2块托盘。</w:t>
            </w:r>
          </w:p>
          <w:p w14:paraId="6D65588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3.宽度：不低于1000mm。</w:t>
            </w:r>
          </w:p>
          <w:p w14:paraId="0B148957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6.2.PDU电源 3个</w:t>
            </w:r>
          </w:p>
          <w:p w14:paraId="7B60C126">
            <w:pPr>
              <w:pStyle w:val="15"/>
              <w:spacing w:line="360" w:lineRule="auto"/>
              <w:ind w:firstLine="0" w:firstLineChars="0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1.接口≥ 8个。</w:t>
            </w:r>
          </w:p>
          <w:p w14:paraId="721ECD54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七．集群系统1套</w:t>
            </w:r>
          </w:p>
          <w:p w14:paraId="179AD2C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1.集成Slurm任务队列调度系统。</w:t>
            </w:r>
          </w:p>
          <w:p w14:paraId="1FBC8AC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2.集群集成自动化时间同步校准及用户文件同步。</w:t>
            </w:r>
          </w:p>
          <w:p w14:paraId="3F3D046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3.内置集群防火墙功能。</w:t>
            </w:r>
          </w:p>
          <w:p w14:paraId="7EA61121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4.可提供IB/RoCEv2等高性能网络接入。</w:t>
            </w:r>
          </w:p>
          <w:p w14:paraId="646A9CE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5.可接入NFS/Glusterfs/Lustre/Ceph等常规及并行文件存储系统。</w:t>
            </w:r>
          </w:p>
          <w:p w14:paraId="073DC7C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6.持异地多集群状态及任务监控。</w:t>
            </w:r>
          </w:p>
          <w:p w14:paraId="1268B89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7.内置自研PXE服务器实现计算节点全自动化安装。</w:t>
            </w:r>
          </w:p>
          <w:p w14:paraId="6A72DE8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8.支持对登陆节点用户使用的系统资源进行管控。</w:t>
            </w:r>
          </w:p>
          <w:p w14:paraId="75D9B99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9.可对集群计算任务资源使用状况进行细粒度监控。</w:t>
            </w:r>
          </w:p>
          <w:p w14:paraId="77F01D9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10.集群节点性能指标收集及监控。</w:t>
            </w:r>
          </w:p>
          <w:p w14:paraId="7094508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11.用户行为审计。</w:t>
            </w:r>
          </w:p>
          <w:p w14:paraId="53EC954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12.内置计算任务状态客户邮件通知系统。</w:t>
            </w:r>
          </w:p>
          <w:p w14:paraId="6ECE9581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13.集成集群基准测试套件及稳定性测试套件。</w:t>
            </w:r>
          </w:p>
          <w:p w14:paraId="2454E9B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八．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合同签订后供货前，采购人有权要求中标人提供所投同款机型进行指标验证，如与响应情况不符，中标人承担一切责任。</w:t>
            </w:r>
          </w:p>
        </w:tc>
        <w:tc>
          <w:tcPr>
            <w:tcW w:w="429" w:type="pct"/>
            <w:noWrap w:val="0"/>
            <w:vAlign w:val="center"/>
          </w:tcPr>
          <w:p w14:paraId="65ED2ACF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套</w:t>
            </w:r>
          </w:p>
        </w:tc>
      </w:tr>
      <w:tr w14:paraId="084D9C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04" w:type="pct"/>
            <w:noWrap w:val="0"/>
            <w:vAlign w:val="center"/>
          </w:tcPr>
          <w:p w14:paraId="61EFA053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</w:t>
            </w:r>
          </w:p>
        </w:tc>
        <w:tc>
          <w:tcPr>
            <w:tcW w:w="754" w:type="pct"/>
            <w:noWrap w:val="0"/>
            <w:vAlign w:val="center"/>
          </w:tcPr>
          <w:p w14:paraId="51167289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荧光计</w:t>
            </w:r>
          </w:p>
        </w:tc>
        <w:tc>
          <w:tcPr>
            <w:tcW w:w="3411" w:type="pct"/>
            <w:noWrap w:val="0"/>
            <w:vAlign w:val="center"/>
          </w:tcPr>
          <w:p w14:paraId="7147D77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1.精准区分DNA和RNA;</w:t>
            </w:r>
          </w:p>
          <w:p w14:paraId="1519666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2.最小样品量最低检测1μL样品（10 pg/μL DNA或12.5μg/mL蛋白）;</w:t>
            </w:r>
          </w:p>
          <w:p w14:paraId="0DCA39B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3.样品处理时间≥5秒内快速准确地定量DNA,RNA和蛋白（双核处理器）;</w:t>
            </w:r>
          </w:p>
          <w:p w14:paraId="42B8780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4.动态范围≥5个数量级;</w:t>
            </w:r>
          </w:p>
          <w:p w14:paraId="66385E7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5.光源蓝色LED（470nm），红色LED（635nm）;</w:t>
            </w:r>
          </w:p>
          <w:p w14:paraId="73BC0A3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6.激发通道蓝光：430-495nm，红光：600-645nm</w:t>
            </w:r>
          </w:p>
          <w:p w14:paraId="20155EB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7.发射通道绿光：510-580nm；红光665-720nm;</w:t>
            </w:r>
          </w:p>
          <w:p w14:paraId="1661028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8.检测器类型光电二极管;</w:t>
            </w:r>
          </w:p>
          <w:p w14:paraId="2AC946A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9.检测范围300-1000nm;</w:t>
            </w:r>
          </w:p>
          <w:p w14:paraId="5E9406B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10.操作界面≥5.7英寸大尺寸彩色触摸屏，直观的导航按钮;</w:t>
            </w:r>
          </w:p>
          <w:p w14:paraId="135E00F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11.界面系统语言灵活选择操作语言，包括英语，简体中文，法语，西班牙语，德语，意大利语及日语;</w:t>
            </w:r>
          </w:p>
          <w:p w14:paraId="3283CB3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12.配套2000个检测管，与荧光计配合使用。</w:t>
            </w:r>
          </w:p>
        </w:tc>
        <w:tc>
          <w:tcPr>
            <w:tcW w:w="429" w:type="pct"/>
            <w:noWrap w:val="0"/>
            <w:vAlign w:val="center"/>
          </w:tcPr>
          <w:p w14:paraId="7F372C80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1台</w:t>
            </w:r>
          </w:p>
        </w:tc>
      </w:tr>
      <w:tr w14:paraId="2E289A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04" w:type="pct"/>
            <w:noWrap w:val="0"/>
            <w:vAlign w:val="center"/>
          </w:tcPr>
          <w:p w14:paraId="6774DB96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</w:t>
            </w:r>
          </w:p>
        </w:tc>
        <w:tc>
          <w:tcPr>
            <w:tcW w:w="754" w:type="pct"/>
            <w:noWrap w:val="0"/>
            <w:vAlign w:val="center"/>
          </w:tcPr>
          <w:p w14:paraId="43076EB8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二氧化碳培养装置（进口）</w:t>
            </w:r>
          </w:p>
          <w:p w14:paraId="06E217DC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  <w:p w14:paraId="58DFEF12">
            <w:p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</w:p>
        </w:tc>
        <w:tc>
          <w:tcPr>
            <w:tcW w:w="3411" w:type="pct"/>
            <w:noWrap w:val="0"/>
            <w:vAlign w:val="center"/>
          </w:tcPr>
          <w:p w14:paraId="7C0C556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1.此设备能安装在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现有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激光共聚焦显微镜使用，包含整套的附件设备，包括连接适配器等；</w:t>
            </w:r>
          </w:p>
          <w:p w14:paraId="674556A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2.内置数字式二氧化碳混气装置；直接接入100%二氧化碳气体；</w:t>
            </w:r>
          </w:p>
          <w:p w14:paraId="56ECA01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3.温度控制方式：PID控制</w:t>
            </w:r>
          </w:p>
          <w:p w14:paraId="7804ABA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4.温度调节精度：≤0.1℃；</w:t>
            </w:r>
          </w:p>
          <w:p w14:paraId="0138E3C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5.温度设置方式：通过触控面板设置；</w:t>
            </w:r>
          </w:p>
          <w:p w14:paraId="435B9BF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6.温度设置范围：样品温度：30℃-40℃；顶板温度：10℃-65℃；水浴加热温度：10℃-50℃；载物台加热温度：10℃-50℃；物镜加热温度：10℃-45℃；</w:t>
            </w:r>
          </w:p>
          <w:p w14:paraId="20A232E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7.温度提升时间：温度从室温-50℃需要10分钟。</w:t>
            </w:r>
          </w:p>
          <w:p w14:paraId="5AAB568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8.控温精度：≤±0.3°C；</w:t>
            </w:r>
          </w:p>
          <w:p w14:paraId="5912404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9.具有加湿功能；</w:t>
            </w:r>
          </w:p>
          <w:p w14:paraId="7B7AE26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10.二氧化碳浓度设置范围：5%-20%；</w:t>
            </w:r>
          </w:p>
          <w:p w14:paraId="4593484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11.顶板具有防结露功能；</w:t>
            </w:r>
          </w:p>
          <w:p w14:paraId="66A2A77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12.二氧化碳浓度设置精度：≤±0.1°C；</w:t>
            </w:r>
          </w:p>
          <w:p w14:paraId="1B814B0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13.输入气体压力：0.1Mpa-0.15MPa；</w:t>
            </w:r>
          </w:p>
          <w:p w14:paraId="0651027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2"/>
                <w:sz w:val="24"/>
                <w:szCs w:val="24"/>
                <w:highlight w:val="none"/>
              </w:rPr>
              <w:t>■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1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  <w:t>.</w:t>
            </w:r>
            <w:r>
              <w:rPr>
                <w:rFonts w:hint="eastAsia" w:ascii="宋体" w:hAnsi="宋体" w:eastAsia="宋体" w:cs="宋体"/>
                <w:b/>
                <w:bCs/>
                <w:spacing w:val="2"/>
                <w:sz w:val="24"/>
                <w:szCs w:val="24"/>
                <w:highlight w:val="none"/>
              </w:rPr>
              <w:t>投标产品如为进口，则须提供产品制</w:t>
            </w:r>
            <w:r>
              <w:rPr>
                <w:rFonts w:hint="eastAsia" w:ascii="宋体" w:hAnsi="宋体" w:eastAsia="宋体" w:cs="宋体"/>
                <w:b/>
                <w:bCs/>
                <w:spacing w:val="1"/>
                <w:sz w:val="24"/>
                <w:szCs w:val="24"/>
                <w:highlight w:val="none"/>
              </w:rPr>
              <w:t>造厂商（或制造商的国</w:t>
            </w:r>
            <w:r>
              <w:rPr>
                <w:rFonts w:hint="eastAsia" w:ascii="宋体" w:hAnsi="宋体" w:eastAsia="宋体" w:cs="宋体"/>
                <w:b/>
                <w:bCs/>
                <w:spacing w:val="2"/>
                <w:sz w:val="24"/>
                <w:szCs w:val="24"/>
                <w:highlight w:val="none"/>
              </w:rPr>
              <w:t>内公司或产品合法代理商公司）出具的针对本项目的授权书扫描</w:t>
            </w:r>
            <w:r>
              <w:rPr>
                <w:rFonts w:hint="eastAsia" w:ascii="宋体" w:hAnsi="宋体" w:eastAsia="宋体" w:cs="宋体"/>
                <w:b/>
                <w:bCs/>
                <w:spacing w:val="-3"/>
                <w:sz w:val="24"/>
                <w:szCs w:val="24"/>
                <w:highlight w:val="none"/>
              </w:rPr>
              <w:t>件，须体现项目编号和项目名称。</w:t>
            </w:r>
          </w:p>
        </w:tc>
        <w:tc>
          <w:tcPr>
            <w:tcW w:w="429" w:type="pct"/>
            <w:noWrap w:val="0"/>
            <w:vAlign w:val="center"/>
          </w:tcPr>
          <w:p w14:paraId="05585EA1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1台</w:t>
            </w:r>
          </w:p>
        </w:tc>
      </w:tr>
      <w:tr w14:paraId="4EBBA0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04" w:type="pct"/>
            <w:noWrap w:val="0"/>
            <w:vAlign w:val="center"/>
          </w:tcPr>
          <w:p w14:paraId="6538D498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7</w:t>
            </w:r>
          </w:p>
        </w:tc>
        <w:tc>
          <w:tcPr>
            <w:tcW w:w="754" w:type="pct"/>
            <w:noWrap w:val="0"/>
            <w:vAlign w:val="center"/>
          </w:tcPr>
          <w:p w14:paraId="2C432E55">
            <w:pPr>
              <w:widowControl/>
              <w:spacing w:line="360" w:lineRule="auto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科研楼纯水集中供水系统（1000L/H）</w:t>
            </w:r>
          </w:p>
          <w:p w14:paraId="781C11E0">
            <w:pPr>
              <w:widowControl/>
              <w:spacing w:line="360" w:lineRule="auto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</w:pPr>
          </w:p>
          <w:p w14:paraId="7798D39F">
            <w:pPr>
              <w:widowControl/>
              <w:spacing w:line="360" w:lineRule="auto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</w:pPr>
          </w:p>
        </w:tc>
        <w:tc>
          <w:tcPr>
            <w:tcW w:w="3411" w:type="pct"/>
            <w:noWrap w:val="0"/>
            <w:vAlign w:val="center"/>
          </w:tcPr>
          <w:p w14:paraId="527C1A8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1.系统概述： </w:t>
            </w:r>
          </w:p>
          <w:p w14:paraId="10ED608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中央纯水系统集成预处理系统、二级RO反渗透系统、EDI模块、200升304不锈原水箱、500升不锈钢EDI纯水箱、纯水输送循环系统于一体，包括了从源水增压至纯水输送循环的全过程，产水量：1000升/小时，实现了在低成本下提供电阻率≥15MΩ.cm的高纯水，满足实验大楼中央供水及中等规模用水量的需求。同时系统可选装DI离子交换组件、UV紫外光氧化组件、UF超滤组件、MF微滤组件，实现纯水电阻率最高可达18.2MΩ.cm无菌、无热源的超纯水，出水水质完全符合GB6682-2008制定的Ⅰ级水质的最高标准。</w:t>
            </w:r>
          </w:p>
          <w:p w14:paraId="0651767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2.实验应用：</w:t>
            </w:r>
          </w:p>
          <w:p w14:paraId="0B568F1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用途：产水量：≥1000升/小时，实现了在低成本下提供电阻率≥15MΩ.cm的高纯水，满足实验大楼中央供水及中等规模用水量的需求。将出水水质提升到18.2MΩ.cm，满足HPLC、GC-MS、ICP-AES、ICP-MS、AAS、GF-AAS、TOC分析、IC、电化学、超痕量和痕量无机、有机物分析、分子生物、微生物学、PCR应用及分析、DNA序列分析、哺乳动物细胞培养、细胞和培养介质制备、单克隆抗体生产、电泳、凝胶分析等高端用水要求。</w:t>
            </w:r>
          </w:p>
          <w:p w14:paraId="54CDEF2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3.技术参数：</w:t>
            </w:r>
          </w:p>
          <w:p w14:paraId="2DCA5DED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3.1.原水要求：自来水，符合国家《生活饮用水卫生标准》，水温5-45℃，流量≥1.0 m3/h；压力≥2.0 kgf/cm2。系统以满足进水条件的自来水作为进水，生产制备纯水。</w:t>
            </w:r>
          </w:p>
          <w:p w14:paraId="247CA64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3.2. 源水进水管：用户应将源水进水管送至纯水系统源水进水口位置，进水管管径DN25；</w:t>
            </w:r>
          </w:p>
          <w:p w14:paraId="596AD7E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3.3.中央纯水系统技术参数：</w:t>
            </w:r>
          </w:p>
          <w:p w14:paraId="7324EF2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3.3.1.EDI产水量：≥1000升/小时</w:t>
            </w:r>
          </w:p>
          <w:p w14:paraId="0C722B7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3.3.2.EDI 电阻率: ≥ 15 MΩ•cm＠25℃ </w:t>
            </w:r>
          </w:p>
          <w:p w14:paraId="3389F601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3.3.3.电导率: &lt;0.067 µs/cm</w:t>
            </w:r>
          </w:p>
          <w:p w14:paraId="1F0BC4F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3.3.4.细菌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ab/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N/A</w:t>
            </w:r>
          </w:p>
          <w:p w14:paraId="346D258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3.3.5.颗粒物(&gt;0.2μm)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ab/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N/A</w:t>
            </w:r>
          </w:p>
          <w:p w14:paraId="63D50E9D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3.3.6.二级RO电导率: 1-5µs/cm</w:t>
            </w:r>
          </w:p>
          <w:p w14:paraId="60C210D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3.4.占地面积小，占地面积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≤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7m²</w:t>
            </w:r>
          </w:p>
          <w:p w14:paraId="493343F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3.5.功率＜10kw</w:t>
            </w:r>
          </w:p>
          <w:p w14:paraId="06E2E5D8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4.性能特点：</w:t>
            </w:r>
          </w:p>
          <w:p w14:paraId="615964C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4.1.中央纯水主机为一体式全封闭机箱设计，非工程机架式设备，占地面积小，占地面积约7m²。一体式主机包括了从源水增压至纯水输送循环的全过程，集成预处理系统、二级RO反渗透系统、EDI模块。</w:t>
            </w:r>
          </w:p>
          <w:p w14:paraId="43FF1E5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4.2.主机控制器采用PLC控制彩色触摸屏操作系统、程序可根据客户的实际要求订制、具有全面的监测及自动报警功能，可以对整个纯化过程的各种变量都提供实时的在线监测、控制和报警，包括缺水、漏水、水压、水箱水位、流速、各阶段纯水水质等，保证对全系统工作的有效管理；</w:t>
            </w:r>
          </w:p>
          <w:p w14:paraId="41A3077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4.3.中央纯水主机均经过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级纯化，包括石英砂、活性炭、软水树脂、微滤、一级陶氏反渗透（RO）、二级陶氏反渗透（RO）、抗结垢连续电流去离子EDI模块；主机可控EDI系统，包括电流，电压设定等；</w:t>
            </w:r>
          </w:p>
          <w:p w14:paraId="55851E4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4.4.外置不锈钢200L源水水箱500L纯水箱，减小使用空间面积。</w:t>
            </w:r>
          </w:p>
          <w:p w14:paraId="55F56D4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4.5.主机配有不少于3组在线式电导率检测器和1组在线式电阻率检测器，电导池灵敏常数:≤ 0.40cm-1, 电导池灵敏常数:≤0.01cm-1,可在自带的液晶显示屏上显示（1）进水电导率；（2）一级反渗透产水电导率；（3）二级反渗透产水电导率；（4）EDI产水电阻率；</w:t>
            </w:r>
          </w:p>
          <w:p w14:paraId="5B138C9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4.6.主机具备彩色触摸式智能大屏幕操作和数据记录功能，系统所有工作状态均由LCD触摸屏控制系统显示，所有实体物理和LCD触摸屏操作按键，均可一键操作，方便对系统的各泵、阀等动作元件进行启停控制。</w:t>
            </w:r>
          </w:p>
          <w:p w14:paraId="445F3F7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4.7.主机具备可靠的安全性能，严格执行水电分离设计原则，尽可能多地使用更加安全可靠的弱电、低压元件，具备诸如水质不合格报警、高/低压保护、高/低液位保护、电器过载保护、紫外失效报警、以及全方位漏水保护等功能，确保系统工作的安全性；  </w:t>
            </w:r>
          </w:p>
          <w:p w14:paraId="18061C5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pacing w:val="2"/>
                <w:sz w:val="24"/>
                <w:szCs w:val="24"/>
                <w:highlight w:val="none"/>
              </w:rPr>
              <w:t>■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5.配置要求：</w:t>
            </w:r>
          </w:p>
          <w:p w14:paraId="0BC40F4D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5.1.中央纯水主机（EDI产水量：≥1000升/小时） 1套 含耗材石英砂/活性炭/阳离子树脂/棉芯/反渗透膜；</w:t>
            </w:r>
          </w:p>
          <w:p w14:paraId="4AE8938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5.2.原水箱1套；</w:t>
            </w:r>
          </w:p>
          <w:p w14:paraId="40005B8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5.3.≥500L的分配系统 1套；</w:t>
            </w:r>
          </w:p>
          <w:p w14:paraId="123DC4F8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5.4.循环管路 1套；</w:t>
            </w:r>
          </w:p>
          <w:p w14:paraId="1BA6F1DC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5.5.楼层9层，取水口≥18个，每层≥2个，具体可以根据实际情况调整；</w:t>
            </w:r>
          </w:p>
          <w:p w14:paraId="5346B3BA">
            <w:pPr>
              <w:spacing w:line="360" w:lineRule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5.6.除以上配置外，报价内须包含此套设备正常运行的全部的主件、配件、管网、装机必配耗材及运输、安装调试等全部费用。</w:t>
            </w:r>
          </w:p>
        </w:tc>
        <w:tc>
          <w:tcPr>
            <w:tcW w:w="429" w:type="pct"/>
            <w:noWrap w:val="0"/>
            <w:vAlign w:val="center"/>
          </w:tcPr>
          <w:p w14:paraId="64201B4C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1台</w:t>
            </w:r>
          </w:p>
        </w:tc>
      </w:tr>
      <w:tr w14:paraId="2C2D18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04" w:type="pct"/>
            <w:noWrap w:val="0"/>
            <w:vAlign w:val="center"/>
          </w:tcPr>
          <w:p w14:paraId="0CC98F4A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8</w:t>
            </w:r>
          </w:p>
        </w:tc>
        <w:tc>
          <w:tcPr>
            <w:tcW w:w="754" w:type="pct"/>
            <w:noWrap w:val="0"/>
            <w:vAlign w:val="center"/>
          </w:tcPr>
          <w:p w14:paraId="5AE8FCF4">
            <w:pPr>
              <w:widowControl/>
              <w:spacing w:line="360" w:lineRule="auto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活细胞工作站更换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val="en-US" w:eastAsia="zh-CN" w:bidi="ar"/>
              </w:rPr>
              <w:t>终端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、相机、培养加热板</w:t>
            </w:r>
          </w:p>
          <w:p w14:paraId="045A0D68">
            <w:pPr>
              <w:widowControl/>
              <w:spacing w:line="360" w:lineRule="auto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</w:pPr>
          </w:p>
          <w:p w14:paraId="379EC95C">
            <w:pPr>
              <w:widowControl/>
              <w:spacing w:line="360" w:lineRule="auto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</w:pPr>
          </w:p>
        </w:tc>
        <w:tc>
          <w:tcPr>
            <w:tcW w:w="3411" w:type="pct"/>
            <w:noWrap w:val="0"/>
            <w:vAlign w:val="center"/>
          </w:tcPr>
          <w:p w14:paraId="7C5C7549"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24"/>
                <w:szCs w:val="24"/>
                <w:highlight w:val="none"/>
              </w:rPr>
              <w:t>■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更换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采购人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现有的活细胞工作站部件与现有的活细胞工作站匹配。</w:t>
            </w:r>
          </w:p>
          <w:p w14:paraId="1B32F3A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一.显微彩色成像系统</w:t>
            </w:r>
          </w:p>
          <w:p w14:paraId="2DC1B90A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1.彩色CMOS芯片尺寸≥1/2.1英寸；</w:t>
            </w:r>
          </w:p>
          <w:p w14:paraId="4B80ED1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2.物理像素≥830万，Ultra HD(4K)，像素点大小≥1.85μm×1.85μm；拍摄速度≥30幅/秒（分辨率3840×2160）；</w:t>
            </w:r>
          </w:p>
          <w:p w14:paraId="77879AC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3.相机自带图像采集系统，可利用HDMI直接连接显示器进行图像采集，无需额外配备电脑，相机带有主动降噪、主动锐化功能并可进行HDR模式采集；</w:t>
            </w:r>
          </w:p>
          <w:p w14:paraId="1FB2A6C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4.1～22×增益可调；</w:t>
            </w:r>
          </w:p>
          <w:p w14:paraId="69FFD0E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5.可通过显微镜机身或单独电源供电两种方式可供选择；</w:t>
            </w:r>
          </w:p>
          <w:p w14:paraId="18A50FC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6.HDMI/USB3.0 Type C/Ethernet/Micro-D多种数据传输接口；</w:t>
            </w:r>
          </w:p>
          <w:p w14:paraId="139969A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7.相机可利用Wi-Fi进行连接控制相机拍照。</w:t>
            </w:r>
          </w:p>
          <w:p w14:paraId="65B2D6C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二.显微单色成像系统</w:t>
            </w:r>
          </w:p>
          <w:p w14:paraId="02375D9F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1.显微数码专用制冷型CMOS，芯片尺寸≥1.1英寸；物理像素：≥700万，像素点大小≥4.5 μm x 4.5 μm；</w:t>
            </w:r>
          </w:p>
          <w:p w14:paraId="2BA37CE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2.动态范围：≥4420：1 （at gain 1×）；</w:t>
            </w:r>
          </w:p>
          <w:p w14:paraId="75C454DB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3.曝光时间：100μs至60s；</w:t>
            </w:r>
          </w:p>
          <w:p w14:paraId="710728D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 xml:space="preserve">4.光谱范围： 350～1000nm； </w:t>
            </w:r>
          </w:p>
          <w:p w14:paraId="772E25AD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5.拍摄速度：全幅拍摄≥73幅/秒（3216 × 2208）；</w:t>
            </w:r>
          </w:p>
          <w:p w14:paraId="73359301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6.满阱电子容量≥25,000 e⁻；</w:t>
            </w:r>
          </w:p>
          <w:p w14:paraId="32DCD98D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7.量子效率≥78% @ 520 nm。</w:t>
            </w:r>
          </w:p>
          <w:p w14:paraId="70B6D71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三.全电动显微镜软件功能升级模块</w:t>
            </w:r>
          </w:p>
          <w:p w14:paraId="6936D41F"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1.升级至3.10或以上版本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与现有的活细胞工作站可匹配。</w:t>
            </w:r>
          </w:p>
          <w:p w14:paraId="7CD4C19D">
            <w:p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2.适配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工作站的操作系统。</w:t>
            </w:r>
          </w:p>
          <w:p w14:paraId="7F4720D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3.具备基本的图像管理功能：编档图像优化处理（色彩管理，自动暴光，亮度、对比度调节等），标注，添加比例尺，长度、面积、周长等几何测量等；</w:t>
            </w:r>
          </w:p>
          <w:p w14:paraId="1262669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4.时间序列拍摄：可以对样品进行连续不间断拍摄，可以设置拍摄时间间隔以及拍摄时长，拍摄张数无上限；</w:t>
            </w:r>
          </w:p>
          <w:p w14:paraId="72A60568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5.多通道叠加：在多通道下可自动获得多种荧光和透射光图片的叠加图像；</w:t>
            </w:r>
          </w:p>
          <w:p w14:paraId="199A75E2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6.Z轴序列拍摄：可以对较厚样品进行Z轴连续拍摄，从而获得完整样品信息；</w:t>
            </w:r>
          </w:p>
          <w:p w14:paraId="0348E403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7.图像景深扩展：可以对多幅各层面聚焦图像进行自动处理，将不同层面清晰的部分合成在一张图片上；</w:t>
            </w:r>
          </w:p>
          <w:p w14:paraId="2F295CC5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8.自动拼图：样品指定区域自动拼图，多点图像采集，进行多视野自动拼接图像，支持多种算法进行实时无缝拼接和阴影校正。支持基于样品聚焦地图进行快速策略的全视野拼接；</w:t>
            </w:r>
          </w:p>
          <w:p w14:paraId="4E943D2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9.3D模式下支持多达五种的渲染模式效果：表面，透明，最大强度，阴影投射和混合渲染模式。可以轻松地动画窗口录制，不同角度旋转而生成视频文件。</w:t>
            </w:r>
          </w:p>
          <w:p w14:paraId="69532741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四.工作站：</w:t>
            </w:r>
          </w:p>
          <w:p w14:paraId="739BED59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不低于12核3.2GHZ处理器，2*32G DDR4内存，1*1.92T NVME+2*14T SATA硬盘，</w:t>
            </w:r>
          </w:p>
          <w:p w14:paraId="0D25F20D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16GB显卡，≥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32</w:t>
            </w: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英寸显示器，分辨率≥1440像素。</w:t>
            </w:r>
          </w:p>
          <w:p w14:paraId="04766AC8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五.培养箱加热盖板</w:t>
            </w:r>
          </w:p>
          <w:p w14:paraId="7DD4EF9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1.直流工作电压：24V</w:t>
            </w:r>
          </w:p>
          <w:p w14:paraId="6BD86551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2.功耗：最大0.5A</w:t>
            </w:r>
          </w:p>
          <w:p w14:paraId="6EF9A026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3.加热范围：保持环境温度，最高超出环境温度30℃</w:t>
            </w:r>
          </w:p>
          <w:p w14:paraId="4631678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4.尺寸(LxBxH)：205 x 132x18 mm</w:t>
            </w:r>
          </w:p>
          <w:p w14:paraId="1C0EA68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5.观测区域（LxB）：120x80 mm。</w:t>
            </w:r>
          </w:p>
          <w:p w14:paraId="52A26534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六.其他：包含人工升级费用及显微镜金属卤化物荧光光源连接光纤1条。</w:t>
            </w:r>
          </w:p>
        </w:tc>
        <w:tc>
          <w:tcPr>
            <w:tcW w:w="429" w:type="pct"/>
            <w:noWrap w:val="0"/>
            <w:vAlign w:val="center"/>
          </w:tcPr>
          <w:p w14:paraId="220A70D9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1台</w:t>
            </w:r>
          </w:p>
        </w:tc>
      </w:tr>
      <w:tr w14:paraId="388E60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04" w:type="pct"/>
            <w:noWrap w:val="0"/>
            <w:vAlign w:val="center"/>
          </w:tcPr>
          <w:p w14:paraId="0CC0ECB5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9</w:t>
            </w:r>
          </w:p>
        </w:tc>
        <w:tc>
          <w:tcPr>
            <w:tcW w:w="754" w:type="pct"/>
            <w:noWrap w:val="0"/>
            <w:vAlign w:val="center"/>
          </w:tcPr>
          <w:p w14:paraId="42747294">
            <w:pPr>
              <w:widowControl/>
              <w:spacing w:line="360" w:lineRule="auto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大容量高速离心机50ml定角转子</w:t>
            </w:r>
          </w:p>
        </w:tc>
        <w:tc>
          <w:tcPr>
            <w:tcW w:w="3411" w:type="pct"/>
            <w:noWrap w:val="0"/>
            <w:vAlign w:val="center"/>
          </w:tcPr>
          <w:p w14:paraId="32A36B77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配用于采购人现有的落地式大容量离心机使用</w:t>
            </w:r>
          </w:p>
          <w:p w14:paraId="3F58DD5E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定角转子一个：最大容量8x50ml；最高转速25000rpm,最大离心75600xg。</w:t>
            </w:r>
          </w:p>
        </w:tc>
        <w:tc>
          <w:tcPr>
            <w:tcW w:w="429" w:type="pct"/>
            <w:noWrap w:val="0"/>
            <w:vAlign w:val="center"/>
          </w:tcPr>
          <w:p w14:paraId="7021886A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1台</w:t>
            </w:r>
          </w:p>
        </w:tc>
      </w:tr>
      <w:tr w14:paraId="49539D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404" w:type="pct"/>
            <w:noWrap w:val="0"/>
            <w:vAlign w:val="center"/>
          </w:tcPr>
          <w:p w14:paraId="521D1528">
            <w:pPr>
              <w:widowControl/>
              <w:spacing w:line="360" w:lineRule="auto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10</w:t>
            </w:r>
          </w:p>
        </w:tc>
        <w:tc>
          <w:tcPr>
            <w:tcW w:w="754" w:type="pct"/>
            <w:noWrap w:val="0"/>
            <w:vAlign w:val="center"/>
          </w:tcPr>
          <w:p w14:paraId="4C067B94">
            <w:pPr>
              <w:widowControl/>
              <w:spacing w:line="360" w:lineRule="auto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highlight w:val="none"/>
                <w:lang w:bidi="ar"/>
              </w:rPr>
              <w:t>冰冻切片机刀头架更换</w:t>
            </w:r>
          </w:p>
        </w:tc>
        <w:tc>
          <w:tcPr>
            <w:tcW w:w="3411" w:type="pct"/>
            <w:noWrap w:val="0"/>
            <w:vAlign w:val="center"/>
          </w:tcPr>
          <w:p w14:paraId="134FF9F0"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配用于采购人现有的冰冻切片机使用。</w:t>
            </w:r>
          </w:p>
        </w:tc>
        <w:tc>
          <w:tcPr>
            <w:tcW w:w="429" w:type="pct"/>
            <w:noWrap w:val="0"/>
            <w:vAlign w:val="center"/>
          </w:tcPr>
          <w:p w14:paraId="3720AF16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</w:rPr>
              <w:t>1台</w:t>
            </w:r>
          </w:p>
        </w:tc>
      </w:tr>
      <w:tr w14:paraId="76A49B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5000" w:type="pct"/>
            <w:gridSpan w:val="4"/>
            <w:noWrap w:val="0"/>
            <w:vAlign w:val="center"/>
          </w:tcPr>
          <w:p w14:paraId="7F073877"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highlight w:val="none"/>
                <w:lang w:val="en-US" w:eastAsia="zh-CN"/>
              </w:rPr>
              <w:t>备注：上述参数允许正偏离</w:t>
            </w:r>
          </w:p>
        </w:tc>
      </w:tr>
    </w:tbl>
    <w:p w14:paraId="04465553">
      <w:pPr>
        <w:autoSpaceDE w:val="0"/>
        <w:autoSpaceDN w:val="0"/>
        <w:adjustRightInd w:val="0"/>
        <w:spacing w:line="276" w:lineRule="auto"/>
        <w:jc w:val="left"/>
        <w:rPr>
          <w:rFonts w:hint="eastAsia" w:ascii="宋体" w:hAnsi="宋体" w:eastAsia="宋体"/>
          <w:b/>
          <w:sz w:val="24"/>
          <w:szCs w:val="24"/>
        </w:rPr>
      </w:pPr>
    </w:p>
    <w:bookmarkEnd w:id="0"/>
    <w:p w14:paraId="0750DB65">
      <w:pPr>
        <w:autoSpaceDE w:val="0"/>
        <w:autoSpaceDN w:val="0"/>
        <w:adjustRightInd w:val="0"/>
        <w:spacing w:line="276" w:lineRule="auto"/>
        <w:jc w:val="left"/>
        <w:rPr>
          <w:rFonts w:ascii="宋体" w:hAnsi="宋体" w:eastAsia="宋体"/>
          <w:b/>
          <w:sz w:val="24"/>
          <w:szCs w:val="24"/>
        </w:rPr>
      </w:pPr>
      <w:r>
        <w:rPr>
          <w:rFonts w:hint="eastAsia" w:ascii="宋体" w:hAnsi="宋体" w:eastAsia="宋体"/>
          <w:b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/>
          <w:b/>
          <w:sz w:val="24"/>
          <w:szCs w:val="24"/>
        </w:rPr>
        <w:t>、报价要求</w:t>
      </w:r>
    </w:p>
    <w:p w14:paraId="2F93A5B2">
      <w:pPr>
        <w:autoSpaceDE w:val="0"/>
        <w:autoSpaceDN w:val="0"/>
        <w:adjustRightInd w:val="0"/>
        <w:ind w:firstLine="480" w:firstLineChars="200"/>
        <w:rPr>
          <w:rFonts w:ascii="宋体" w:hAnsi="宋体" w:eastAsia="宋体"/>
          <w:bCs/>
          <w:sz w:val="24"/>
          <w:szCs w:val="24"/>
        </w:rPr>
      </w:pPr>
      <w:r>
        <w:rPr>
          <w:rFonts w:hint="eastAsia" w:ascii="宋体" w:hAnsi="宋体" w:eastAsia="宋体"/>
          <w:bCs/>
          <w:sz w:val="24"/>
          <w:szCs w:val="24"/>
        </w:rPr>
        <w:t>本项目固定总价报价并进行结算，投标所报单价报价及总价包括设计、采购、制造、交货（包括运输、卸车至采购人指定地点）至售后服务的一切费用（如设计费、采购费、制造费、试验检测费、包装费、运输保险费、运输费、装卸费、安装费、调试费、培训、售后服务、其他技术服务及质量保证期服务费等）、管理费、利润和税费（含关税）等所有费用，中标后采购人不再另行支付任何费用。</w:t>
      </w:r>
    </w:p>
    <w:p w14:paraId="0BC8C4AB">
      <w:bookmarkStart w:id="17" w:name="_GoBack"/>
      <w:bookmarkEnd w:id="17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A1BD6E67-DC7A-4D8A-B73D-0B4242C1D3DF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9EC71D4A-47DA-4DF1-AEA6-CCDE113D9D90}"/>
  </w:font>
  <w:font w:name="@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7EE84C3D-015B-49E1-ABF0-5B25901AE9E8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020980A0-989D-45E0-9A6F-15A0E85EA7A9}"/>
  </w:font>
  <w:font w:name="方正黑体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@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C0437E"/>
    <w:rsid w:val="429113EF"/>
    <w:rsid w:val="76243C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iPriority="99" w:semiHidden="0" w:name="annotation text"/>
    <w:lsdException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@仿宋_GB2312" w:hAnsi="@仿宋_GB2312" w:eastAsia="@仿宋_GB2312" w:cs="@仿宋_GB2312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0"/>
    <w:pPr>
      <w:keepNext/>
      <w:keepLines/>
      <w:spacing w:before="340" w:beforeLines="0" w:beforeAutospacing="0" w:after="330" w:afterLines="0" w:afterAutospacing="0" w:line="576" w:lineRule="auto"/>
      <w:jc w:val="center"/>
      <w:outlineLvl w:val="0"/>
    </w:pPr>
    <w:rPr>
      <w:rFonts w:ascii="Arial" w:hAnsi="Arial" w:eastAsia="宋体" w:cs="Arial"/>
      <w:b/>
      <w:snapToGrid w:val="0"/>
      <w:color w:val="000000"/>
      <w:kern w:val="44"/>
      <w:sz w:val="36"/>
      <w:szCs w:val="21"/>
      <w:lang w:eastAsia="en-US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40" w:line="360" w:lineRule="auto"/>
      <w:ind w:firstLine="640" w:firstLineChars="200"/>
      <w:jc w:val="left"/>
      <w:outlineLvl w:val="1"/>
    </w:pPr>
    <w:rPr>
      <w:rFonts w:ascii="Arial" w:hAnsi="Arial" w:eastAsia="方正黑体_GBK" w:cs="Arial"/>
      <w:bCs/>
      <w:sz w:val="28"/>
      <w:szCs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2"/>
      <w:ind w:left="1162"/>
      <w:outlineLvl w:val="2"/>
    </w:pPr>
    <w:rPr>
      <w:rFonts w:ascii="Arial" w:hAnsi="Arial" w:eastAsia="宋体" w:cs="Arial"/>
      <w:b/>
      <w:bCs/>
      <w:snapToGrid w:val="0"/>
      <w:color w:val="000000"/>
      <w:kern w:val="0"/>
      <w:sz w:val="24"/>
      <w:szCs w:val="24"/>
      <w:lang w:eastAsia="en-US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annotation text"/>
    <w:basedOn w:val="1"/>
    <w:unhideWhenUsed/>
    <w:uiPriority w:val="99"/>
    <w:pPr>
      <w:jc w:val="left"/>
    </w:pPr>
  </w:style>
  <w:style w:type="paragraph" w:styleId="6">
    <w:name w:val="Body Text"/>
    <w:basedOn w:val="1"/>
    <w:qFormat/>
    <w:uiPriority w:val="0"/>
    <w:pPr>
      <w:spacing w:after="120"/>
    </w:pPr>
    <w:rPr>
      <w:rFonts w:ascii="@微软简标宋" w:hAnsi="@微软简标宋" w:eastAsia="@微软简标宋" w:cs="@微软简标宋"/>
      <w:szCs w:val="24"/>
    </w:rPr>
  </w:style>
  <w:style w:type="paragraph" w:styleId="7">
    <w:name w:val="Body Text Indent"/>
    <w:basedOn w:val="1"/>
    <w:unhideWhenUsed/>
    <w:uiPriority w:val="99"/>
    <w:pPr>
      <w:ind w:firstLine="645"/>
    </w:pPr>
    <w:rPr>
      <w:rFonts w:ascii="楷体_GB2312" w:eastAsia="楷体_GB2312"/>
      <w:sz w:val="32"/>
      <w:szCs w:val="20"/>
    </w:rPr>
  </w:style>
  <w:style w:type="paragraph" w:styleId="8">
    <w:name w:val="header"/>
    <w:basedOn w:val="1"/>
    <w:unhideWhenUsed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Body Text First Indent 2"/>
    <w:basedOn w:val="7"/>
    <w:unhideWhenUsed/>
    <w:uiPriority w:val="99"/>
    <w:pPr>
      <w:ind w:left="420" w:firstLine="420" w:firstLineChars="200"/>
    </w:pPr>
    <w:rPr>
      <w:rFonts w:ascii="Times New Roman" w:cs="Times New Roman"/>
    </w:rPr>
  </w:style>
  <w:style w:type="character" w:customStyle="1" w:styleId="12">
    <w:name w:val="标题 1 Char"/>
    <w:link w:val="2"/>
    <w:uiPriority w:val="0"/>
    <w:rPr>
      <w:rFonts w:ascii="Arial" w:hAnsi="Arial" w:eastAsia="宋体" w:cs="Arial"/>
      <w:b/>
      <w:snapToGrid w:val="0"/>
      <w:color w:val="000000"/>
      <w:kern w:val="44"/>
      <w:sz w:val="36"/>
      <w:szCs w:val="21"/>
      <w:lang w:eastAsia="en-US"/>
    </w:rPr>
  </w:style>
  <w:style w:type="paragraph" w:customStyle="1" w:styleId="13">
    <w:name w:val="D&amp;L"/>
    <w:basedOn w:val="8"/>
    <w:qFormat/>
    <w:uiPriority w:val="0"/>
    <w:pPr>
      <w:pBdr>
        <w:bottom w:val="thinThickSmallGap" w:color="auto" w:sz="18" w:space="1"/>
      </w:pBdr>
      <w:adjustRightInd w:val="0"/>
      <w:snapToGrid/>
      <w:spacing w:line="240" w:lineRule="atLeast"/>
      <w:textAlignment w:val="baseline"/>
    </w:pPr>
    <w:rPr>
      <w:kern w:val="0"/>
      <w:sz w:val="24"/>
      <w:szCs w:val="20"/>
    </w:rPr>
  </w:style>
  <w:style w:type="paragraph" w:customStyle="1" w:styleId="14">
    <w:name w:val="xl31"/>
    <w:basedOn w:val="1"/>
    <w:qFormat/>
    <w:uiPriority w:val="0"/>
    <w:pPr>
      <w:widowControl/>
      <w:spacing w:before="100" w:beforeAutospacing="1" w:after="100" w:afterAutospacing="1"/>
      <w:jc w:val="center"/>
    </w:pPr>
    <w:rPr>
      <w:b/>
      <w:bCs/>
      <w:kern w:val="0"/>
      <w:sz w:val="28"/>
      <w:szCs w:val="28"/>
    </w:rPr>
  </w:style>
  <w:style w:type="paragraph" w:styleId="15">
    <w:name w:val="List Paragraph"/>
    <w:basedOn w:val="1"/>
    <w:qFormat/>
    <w:uiPriority w:val="34"/>
    <w:pPr>
      <w:ind w:firstLine="420" w:firstLineChars="200"/>
    </w:pPr>
    <w:rPr>
      <w:rFonts w:ascii="Calibri" w:hAnsi="Calibri" w:eastAsia="宋体" w:cs="Times New Roman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19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2024-01-09T13:45:00Z</dcterms:created>
  <dc:creator>DELL</dc:creator>
  <cp:lastModifiedBy>张飞</cp:lastModifiedBy>
  <dcterms:modified xsi:type="dcterms:W3CDTF">2025-03-20T06:09:38Z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EAD469E0072847D2ACD29D822949A3D5_12</vt:lpwstr>
  </property>
  <property fmtid="{D5CDD505-2E9C-101B-9397-08002B2CF9AE}" pid="4" name="KSOTemplateDocerSaveRecord">
    <vt:lpwstr>eyJoZGlkIjoiZmY5ZmU2NjY5NjU3OTdkMzdiNTRiMjI4MDgxYWE5YWYiLCJ1c2VySWQiOiIyNzk1MTkyMTYifQ==</vt:lpwstr>
  </property>
</Properties>
</file>