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629A">
      <w:pPr>
        <w:jc w:val="center"/>
        <w:rPr>
          <w:rFonts w:ascii="方正小标宋_GBK" w:hAnsi="方正小标宋_GBK" w:eastAsia="方正小标宋_GBK" w:cs="方正小标宋_GBK"/>
          <w:kern w:val="44"/>
          <w:sz w:val="44"/>
          <w:szCs w:val="44"/>
        </w:rPr>
      </w:pPr>
      <w:r>
        <w:rPr>
          <w:rStyle w:val="12"/>
          <w:rFonts w:hint="eastAsia"/>
        </w:rPr>
        <w:t>采购需求</w:t>
      </w:r>
    </w:p>
    <w:p w14:paraId="1BD31BF7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前注：</w:t>
      </w:r>
    </w:p>
    <w:p w14:paraId="04D07D43">
      <w:pPr>
        <w:spacing w:line="360" w:lineRule="auto"/>
        <w:ind w:firstLine="435"/>
        <w:rPr>
          <w:rFonts w:ascii="宋体" w:hAnsi="宋体" w:eastAsia="宋体" w:cs="宋体"/>
          <w:sz w:val="24"/>
          <w:szCs w:val="18"/>
        </w:rPr>
      </w:pPr>
      <w:bookmarkStart w:id="0" w:name="_Hlk16461016"/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sz w:val="24"/>
          <w:szCs w:val="18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5A76BDEA">
      <w:pPr>
        <w:spacing w:line="360" w:lineRule="auto"/>
        <w:ind w:firstLine="435"/>
        <w:rPr>
          <w:rFonts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2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D25CDC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3.下列采购需求中：标注</w:t>
      </w: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18"/>
        </w:rPr>
        <w:t>的产品（核心产品），投标人在投标文件《主要中标标的承诺函》中填写名称、品牌、规格、型号、数量、单价等信息。</w:t>
      </w:r>
    </w:p>
    <w:p w14:paraId="42646449">
      <w:pPr>
        <w:spacing w:line="360" w:lineRule="auto"/>
        <w:ind w:firstLine="437"/>
        <w:jc w:val="left"/>
        <w:rPr>
          <w:rFonts w:ascii="宋体" w:hAnsi="宋体" w:eastAsia="宋体"/>
          <w:b/>
          <w:sz w:val="24"/>
          <w:szCs w:val="18"/>
        </w:rPr>
      </w:pPr>
    </w:p>
    <w:p w14:paraId="6C07E914">
      <w:pPr>
        <w:pStyle w:val="7"/>
        <w:ind w:firstLine="560"/>
      </w:pPr>
      <w:bookmarkStart w:id="1" w:name="_Toc292361325"/>
      <w:bookmarkStart w:id="2" w:name="_Toc1899401549"/>
      <w:bookmarkStart w:id="3" w:name="_Toc2025078090"/>
      <w:bookmarkStart w:id="4" w:name="_Toc1452677390"/>
      <w:bookmarkStart w:id="5" w:name="_Toc1437377518_WPSOffice_Level2"/>
      <w:bookmarkStart w:id="6" w:name="_Toc382548620"/>
      <w:bookmarkStart w:id="7" w:name="_Toc1064185329"/>
      <w:bookmarkStart w:id="8" w:name="_Toc337877615"/>
      <w:r>
        <w:rPr>
          <w:rFonts w:hint="eastAsia"/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54"/>
        <w:gridCol w:w="5544"/>
      </w:tblGrid>
      <w:tr w14:paraId="1999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48B31C44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序号</w:t>
            </w:r>
          </w:p>
        </w:tc>
        <w:tc>
          <w:tcPr>
            <w:tcW w:w="2054" w:type="dxa"/>
            <w:vAlign w:val="center"/>
          </w:tcPr>
          <w:p w14:paraId="654D0BE6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条款名称</w:t>
            </w:r>
          </w:p>
        </w:tc>
        <w:tc>
          <w:tcPr>
            <w:tcW w:w="5544" w:type="dxa"/>
            <w:vAlign w:val="center"/>
          </w:tcPr>
          <w:p w14:paraId="535E61B3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内容、说明与要求</w:t>
            </w:r>
          </w:p>
        </w:tc>
      </w:tr>
      <w:tr w14:paraId="33DE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7911E869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1</w:t>
            </w:r>
          </w:p>
        </w:tc>
        <w:tc>
          <w:tcPr>
            <w:tcW w:w="2054" w:type="dxa"/>
            <w:vAlign w:val="center"/>
          </w:tcPr>
          <w:p w14:paraId="632C4136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付款方式</w:t>
            </w:r>
          </w:p>
        </w:tc>
        <w:tc>
          <w:tcPr>
            <w:tcW w:w="5544" w:type="dxa"/>
            <w:vAlign w:val="center"/>
          </w:tcPr>
          <w:p w14:paraId="355B109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合同签订后，支付合同总价款的40%作为预付款，货到完成安装调试并经验收合格后支付剩余合同款。根据卖方提供合法、有效、完整的发票，由采购人按申报的资金支付方式，支付相应的合同价款。  </w:t>
            </w:r>
          </w:p>
        </w:tc>
      </w:tr>
      <w:tr w14:paraId="247E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59A0C43E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2</w:t>
            </w:r>
          </w:p>
        </w:tc>
        <w:tc>
          <w:tcPr>
            <w:tcW w:w="2054" w:type="dxa"/>
            <w:vAlign w:val="center"/>
          </w:tcPr>
          <w:p w14:paraId="03770412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供货及安装地点</w:t>
            </w:r>
          </w:p>
        </w:tc>
        <w:tc>
          <w:tcPr>
            <w:tcW w:w="5544" w:type="dxa"/>
            <w:vAlign w:val="center"/>
          </w:tcPr>
          <w:p w14:paraId="69F92A75">
            <w:pPr>
              <w:pStyle w:val="15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 xml:space="preserve">采购人指定地点  </w:t>
            </w:r>
          </w:p>
        </w:tc>
      </w:tr>
      <w:tr w14:paraId="1409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6E254E97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3</w:t>
            </w:r>
          </w:p>
        </w:tc>
        <w:tc>
          <w:tcPr>
            <w:tcW w:w="2054" w:type="dxa"/>
            <w:vAlign w:val="center"/>
          </w:tcPr>
          <w:p w14:paraId="101A076E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供货及安装期限</w:t>
            </w:r>
          </w:p>
        </w:tc>
        <w:tc>
          <w:tcPr>
            <w:tcW w:w="5544" w:type="dxa"/>
            <w:vAlign w:val="center"/>
          </w:tcPr>
          <w:p w14:paraId="40FA4F63">
            <w:pPr>
              <w:pStyle w:val="15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同合同履行期限。</w:t>
            </w:r>
          </w:p>
        </w:tc>
      </w:tr>
      <w:tr w14:paraId="4684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41C305EA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4</w:t>
            </w:r>
          </w:p>
        </w:tc>
        <w:tc>
          <w:tcPr>
            <w:tcW w:w="2054" w:type="dxa"/>
            <w:vAlign w:val="center"/>
          </w:tcPr>
          <w:p w14:paraId="13CD2723">
            <w:pPr>
              <w:pStyle w:val="15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免费质保期</w:t>
            </w:r>
          </w:p>
        </w:tc>
        <w:tc>
          <w:tcPr>
            <w:tcW w:w="5544" w:type="dxa"/>
            <w:vAlign w:val="center"/>
          </w:tcPr>
          <w:p w14:paraId="39E60B8D"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硬件设备1年，软件维护期5年。</w:t>
            </w:r>
          </w:p>
        </w:tc>
      </w:tr>
      <w:tr w14:paraId="3D9D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647A1F0D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5</w:t>
            </w:r>
          </w:p>
        </w:tc>
        <w:tc>
          <w:tcPr>
            <w:tcW w:w="2054" w:type="dxa"/>
            <w:vAlign w:val="center"/>
          </w:tcPr>
          <w:p w14:paraId="2C8792DA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本项目采购标的所属行业</w:t>
            </w:r>
          </w:p>
        </w:tc>
        <w:tc>
          <w:tcPr>
            <w:tcW w:w="5544" w:type="dxa"/>
            <w:vAlign w:val="center"/>
          </w:tcPr>
          <w:p w14:paraId="276B70B7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工业和软件和信息技术服务业</w:t>
            </w:r>
          </w:p>
        </w:tc>
      </w:tr>
    </w:tbl>
    <w:p w14:paraId="24548E49">
      <w:pPr>
        <w:pStyle w:val="7"/>
        <w:ind w:firstLine="560"/>
      </w:pPr>
      <w:bookmarkStart w:id="9" w:name="_Toc1693477008"/>
      <w:bookmarkStart w:id="10" w:name="_Toc717369146"/>
      <w:bookmarkStart w:id="11" w:name="_Toc58935147"/>
      <w:bookmarkStart w:id="12" w:name="_Toc1191965283_WPSOffice_Level2"/>
      <w:bookmarkStart w:id="13" w:name="_Toc369119811"/>
      <w:bookmarkStart w:id="14" w:name="_Toc302804901"/>
      <w:bookmarkStart w:id="15" w:name="_Toc1715351726"/>
      <w:bookmarkStart w:id="16" w:name="_Toc626387511"/>
      <w:r>
        <w:rPr>
          <w:rFonts w:hint="eastAsia"/>
          <w:lang w:eastAsia="zh-CN"/>
        </w:rPr>
        <w:t>二、</w:t>
      </w:r>
      <w:r>
        <w:rPr>
          <w:rFonts w:hint="eastAsia"/>
        </w:rPr>
        <w:t>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9F89A62">
      <w:pPr>
        <w:pStyle w:val="2"/>
        <w:spacing w:line="500" w:lineRule="exact"/>
        <w:ind w:left="0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（一）货物需求说明</w:t>
      </w:r>
    </w:p>
    <w:tbl>
      <w:tblPr>
        <w:tblStyle w:val="10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935"/>
        <w:gridCol w:w="4713"/>
      </w:tblGrid>
      <w:tr w14:paraId="29F6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</w:tcPr>
          <w:p w14:paraId="34FC9A0F">
            <w:pPr>
              <w:pStyle w:val="2"/>
              <w:spacing w:line="500" w:lineRule="exact"/>
              <w:ind w:lef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需求内容类别</w:t>
            </w:r>
          </w:p>
        </w:tc>
        <w:tc>
          <w:tcPr>
            <w:tcW w:w="1935" w:type="dxa"/>
          </w:tcPr>
          <w:p w14:paraId="07DB15E5">
            <w:pPr>
              <w:pStyle w:val="2"/>
              <w:spacing w:line="500" w:lineRule="exact"/>
              <w:ind w:lef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标识符号</w:t>
            </w:r>
          </w:p>
        </w:tc>
        <w:tc>
          <w:tcPr>
            <w:tcW w:w="4713" w:type="dxa"/>
          </w:tcPr>
          <w:p w14:paraId="5B2FF007">
            <w:pPr>
              <w:pStyle w:val="2"/>
              <w:spacing w:line="5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投标要求</w:t>
            </w:r>
          </w:p>
        </w:tc>
      </w:tr>
      <w:tr w14:paraId="33E1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vAlign w:val="center"/>
          </w:tcPr>
          <w:p w14:paraId="0B59885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关键性指标项</w:t>
            </w:r>
          </w:p>
        </w:tc>
        <w:tc>
          <w:tcPr>
            <w:tcW w:w="1935" w:type="dxa"/>
            <w:vAlign w:val="center"/>
          </w:tcPr>
          <w:p w14:paraId="792D0F2C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4713" w:type="dxa"/>
            <w:vAlign w:val="center"/>
          </w:tcPr>
          <w:p w14:paraId="3A06C5E8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不满足该指标项将导致投标被拒绝，除已明确要求的证明材料外，其他不予认可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B3C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vAlign w:val="center"/>
          </w:tcPr>
          <w:p w14:paraId="6E960CF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重要指标项</w:t>
            </w:r>
          </w:p>
        </w:tc>
        <w:tc>
          <w:tcPr>
            <w:tcW w:w="1935" w:type="dxa"/>
            <w:vAlign w:val="center"/>
          </w:tcPr>
          <w:p w14:paraId="1CBEF5D5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■</w:t>
            </w:r>
          </w:p>
        </w:tc>
        <w:tc>
          <w:tcPr>
            <w:tcW w:w="4713" w:type="dxa"/>
            <w:vAlign w:val="center"/>
          </w:tcPr>
          <w:p w14:paraId="2F883A2D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评分项，每满足一项得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  <w:tr w14:paraId="52E8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vAlign w:val="center"/>
          </w:tcPr>
          <w:p w14:paraId="786FD0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无标识项</w:t>
            </w:r>
          </w:p>
        </w:tc>
        <w:tc>
          <w:tcPr>
            <w:tcW w:w="1935" w:type="dxa"/>
            <w:vAlign w:val="center"/>
          </w:tcPr>
          <w:p w14:paraId="40F41DA9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3DC9C583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5条以上（不含5条）未响应或负偏离，将导致投标无效，除明确要求提供证明材料外，以投标响应表填写的偏离说明为准。</w:t>
            </w:r>
          </w:p>
        </w:tc>
      </w:tr>
    </w:tbl>
    <w:p w14:paraId="31F7644F">
      <w:pPr>
        <w:pStyle w:val="2"/>
        <w:ind w:left="0" w:firstLine="482"/>
        <w:rPr>
          <w:rFonts w:ascii="宋体" w:hAnsi="宋体" w:eastAsia="宋体" w:cs="宋体"/>
          <w:b/>
          <w:bCs/>
          <w:sz w:val="24"/>
          <w:szCs w:val="24"/>
        </w:rPr>
      </w:pPr>
    </w:p>
    <w:p w14:paraId="428DEA18">
      <w:pPr>
        <w:pStyle w:val="2"/>
        <w:ind w:left="0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（二）货物指标要求</w:t>
      </w:r>
    </w:p>
    <w:p w14:paraId="7C52874E">
      <w:pPr>
        <w:autoSpaceDE w:val="0"/>
        <w:autoSpaceDN w:val="0"/>
        <w:adjustRightInd w:val="0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一、项目基本情况</w:t>
      </w:r>
    </w:p>
    <w:p w14:paraId="10BA7A5C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本项目建设由 “数字化工厂综合实验平台”“深度学习算力支撑平台”等两大部分组成，数字化工厂实验平台将实现信息资源开放、共享，为铜陵学院的科研创新提供有力支撑。同时通过算力共享服务平台的实施，有助于推进信息化与科教融合，加快信息化发展，扩大网络和信息的价值再造效益。</w:t>
      </w:r>
    </w:p>
    <w:p w14:paraId="7C33E316">
      <w:pPr>
        <w:autoSpaceDE w:val="0"/>
        <w:autoSpaceDN w:val="0"/>
        <w:adjustRightInd w:val="0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二、技术方案或服务的内容、范围</w:t>
      </w:r>
    </w:p>
    <w:p w14:paraId="7A3E7125">
      <w:pPr>
        <w:autoSpaceDE w:val="0"/>
        <w:autoSpaceDN w:val="0"/>
        <w:adjustRightInd w:val="0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1.技术方案或服务内容、范围</w:t>
      </w:r>
    </w:p>
    <w:p w14:paraId="7AC73319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本项目建设由 “数字化工厂综合实验平台”“深度学习算力支撑平台”等两大部分组成，详细建设内容如下：</w:t>
      </w:r>
    </w:p>
    <w:p w14:paraId="41D6CB73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（一）数字化工厂综合实验平台  </w:t>
      </w:r>
    </w:p>
    <w:p w14:paraId="550DABAD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1.弹夹物料自动转运系统（包含复合AGV自动抓取，码放、转运弹夹）</w:t>
      </w:r>
    </w:p>
    <w:p w14:paraId="12F1017A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基于视觉的铜基材料产品表面缺陷检测平台（铜基材料产品表面视觉缺陷检测，检测算法开源，能够准确检测出外观缺陷、尺寸缺陷、表面处理缺陷、焊接缺陷、引脚缺陷、材料缺陷、装配缺陷、标识缺陷、光学缺陷、功能性缺陷、产品自动码放至弹夹）</w:t>
      </w:r>
    </w:p>
    <w:p w14:paraId="5548C032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3.智能仓储模拟系统（叉车AGV、自动搬运标准托盘，模拟原料、成品立体库、来回转运）</w:t>
      </w:r>
    </w:p>
    <w:p w14:paraId="7C9C38B0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4.自动化码垛系统（弹夹自动码垛，入托盘，辊筒对接）</w:t>
      </w:r>
    </w:p>
    <w:p w14:paraId="7241CE11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5.托盘辊筒AGV转运系统</w:t>
      </w:r>
    </w:p>
    <w:p w14:paraId="47986A35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6.以上5个系统由AGV将物料串联，载具回流。</w:t>
      </w:r>
    </w:p>
    <w:p w14:paraId="526E4753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7.整个系统要模拟原材料从检测到码垛到入库到上料全流程自动化。 </w:t>
      </w:r>
    </w:p>
    <w:p w14:paraId="57F9ED1D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8.需具备完整功能的MES系统、WMS系统、AGV业务系统。</w:t>
      </w:r>
    </w:p>
    <w:p w14:paraId="64B6AF2F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9.MES 需具备的功能模块包括：生产调度、排程优化、设备管理、物料管理、产品追溯、批次管理、在制品管理、库存控制、任务分配、移动监控、移动报表、集成接口、生产监控；</w:t>
      </w:r>
    </w:p>
    <w:p w14:paraId="3A08F1EC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10.WMS需具备的功能模块：出入库配置、库存管理、退货配置、日志管理、调拨配置；</w:t>
      </w:r>
    </w:p>
    <w:p w14:paraId="6A582245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11.AGV业务系统需具备的功能包括：AGV管理、库位管理、货架管理、物料管理、接驳管理、在制管理、任务管理、历史任务、报警管理、报警配置、PDA扫码、PDA手动任务</w:t>
      </w:r>
    </w:p>
    <w:p w14:paraId="3D0DF7A4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（二）深度学习算力支撑平台</w:t>
      </w:r>
    </w:p>
    <w:p w14:paraId="6F8BB101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1.深度学习工作站（2台）：部署于工程研究中心算法实验室，支持铜基材料缺陷检测模型训练。  </w:t>
      </w:r>
    </w:p>
    <w:p w14:paraId="749AD7D6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2.web服务器（2台）：部署于web服务与数据库服务，为数字化工厂综合实验平台相关应用系统部署与数据存储提供服务。  </w:t>
      </w:r>
    </w:p>
    <w:p w14:paraId="1E9825A4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3.GPU服务器（1台）：配置超算显卡，用于大规模工业数据并行计算。  </w:t>
      </w:r>
    </w:p>
    <w:p w14:paraId="106E5C3A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4.工业级交换机（1台）：支持相关协议，实现工作站、web服务器以及MES/WMS/AGV系统数据互通。</w:t>
      </w:r>
    </w:p>
    <w:p w14:paraId="2F7CC48A">
      <w:pPr>
        <w:autoSpaceDE w:val="0"/>
        <w:autoSpaceDN w:val="0"/>
        <w:adjustRightInd w:val="0"/>
        <w:ind w:firstLine="482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2.采购需求表</w:t>
      </w:r>
    </w:p>
    <w:tbl>
      <w:tblPr>
        <w:tblStyle w:val="10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57"/>
        <w:gridCol w:w="4342"/>
        <w:gridCol w:w="722"/>
        <w:gridCol w:w="731"/>
        <w:gridCol w:w="864"/>
      </w:tblGrid>
      <w:tr w14:paraId="2C9F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3F42A5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序号</w:t>
            </w:r>
          </w:p>
        </w:tc>
        <w:tc>
          <w:tcPr>
            <w:tcW w:w="1257" w:type="dxa"/>
            <w:vAlign w:val="center"/>
          </w:tcPr>
          <w:p w14:paraId="2FF7CF7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品目名称</w:t>
            </w:r>
          </w:p>
        </w:tc>
        <w:tc>
          <w:tcPr>
            <w:tcW w:w="4342" w:type="dxa"/>
            <w:vAlign w:val="center"/>
          </w:tcPr>
          <w:p w14:paraId="16CB34B1">
            <w:pPr>
              <w:autoSpaceDE w:val="0"/>
              <w:autoSpaceDN w:val="0"/>
              <w:adjustRightInd w:val="0"/>
              <w:ind w:firstLine="480" w:firstLineChars="20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技术参数要求</w:t>
            </w:r>
          </w:p>
        </w:tc>
        <w:tc>
          <w:tcPr>
            <w:tcW w:w="722" w:type="dxa"/>
            <w:vAlign w:val="center"/>
          </w:tcPr>
          <w:p w14:paraId="49EB863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数量</w:t>
            </w:r>
          </w:p>
        </w:tc>
        <w:tc>
          <w:tcPr>
            <w:tcW w:w="731" w:type="dxa"/>
            <w:vAlign w:val="center"/>
          </w:tcPr>
          <w:p w14:paraId="4C4DFA2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单位</w:t>
            </w:r>
          </w:p>
        </w:tc>
        <w:tc>
          <w:tcPr>
            <w:tcW w:w="864" w:type="dxa"/>
            <w:vAlign w:val="center"/>
          </w:tcPr>
          <w:p w14:paraId="75BE5EA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所属行业</w:t>
            </w:r>
          </w:p>
        </w:tc>
      </w:tr>
      <w:tr w14:paraId="3027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2" w:type="dxa"/>
            <w:gridSpan w:val="5"/>
            <w:vAlign w:val="center"/>
          </w:tcPr>
          <w:p w14:paraId="45C76260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一、 数字化工厂综合实验平台</w:t>
            </w:r>
          </w:p>
        </w:tc>
        <w:tc>
          <w:tcPr>
            <w:tcW w:w="864" w:type="dxa"/>
            <w:vAlign w:val="center"/>
          </w:tcPr>
          <w:p w14:paraId="7E5EFEE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 w14:paraId="63C1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BC0BD4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14:paraId="491B5AD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AGV调度系统</w:t>
            </w:r>
          </w:p>
        </w:tc>
        <w:tc>
          <w:tcPr>
            <w:tcW w:w="4342" w:type="dxa"/>
          </w:tcPr>
          <w:p w14:paraId="4399517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bookmarkStart w:id="17" w:name="OLE_LINK2"/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1.任务分配</w:t>
            </w:r>
          </w:p>
          <w:p w14:paraId="1ECE35B8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接收任务：从上层系统获取运输任务。</w:t>
            </w:r>
          </w:p>
          <w:p w14:paraId="72692A00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任务分配：根据AGV状态、路径和优先级，合理分配任务。</w:t>
            </w:r>
          </w:p>
          <w:p w14:paraId="490E06B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2.路径规划</w:t>
            </w:r>
          </w:p>
          <w:p w14:paraId="31774A8B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路径计算：为AGV规划最优路径，避开障碍。</w:t>
            </w:r>
          </w:p>
          <w:p w14:paraId="1AC65E0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动态调整：实时调整路径以应对突发情况。</w:t>
            </w:r>
          </w:p>
          <w:p w14:paraId="55DCD4C4">
            <w:pPr>
              <w:autoSpaceDE w:val="0"/>
              <w:autoSpaceDN w:val="0"/>
              <w:adjustRightInd w:val="0"/>
              <w:ind w:firstLine="48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地图管理：管理AGV地图，支持地图编辑和更新，支持多地图管理。</w:t>
            </w:r>
          </w:p>
          <w:p w14:paraId="3E754E1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3.交通管理</w:t>
            </w:r>
          </w:p>
          <w:p w14:paraId="141FCBFA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防撞控制：确保AGV之间不发生碰撞。</w:t>
            </w:r>
          </w:p>
          <w:p w14:paraId="30A4BF3F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拥堵管理：避免交通堵塞，保持高效运行。</w:t>
            </w:r>
          </w:p>
          <w:p w14:paraId="4233533F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4.状态监控</w:t>
            </w:r>
          </w:p>
          <w:p w14:paraId="7626391D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实时监控：跟踪AGV位置、状态和任务进度。</w:t>
            </w:r>
          </w:p>
          <w:p w14:paraId="0E1DF732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故障处理：及时发现并处理AGV故障。</w:t>
            </w:r>
          </w:p>
          <w:p w14:paraId="2EB944F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5.资源管理</w:t>
            </w:r>
          </w:p>
          <w:p w14:paraId="3AB8F9E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★AGV调度：合理分配AGV资源，提升利用率。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投标文件中提供承诺函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。</w:t>
            </w:r>
          </w:p>
          <w:p w14:paraId="3D414674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充电管理：自动调度AGV充电，确保续航。</w:t>
            </w:r>
            <w:bookmarkEnd w:id="17"/>
          </w:p>
        </w:tc>
        <w:tc>
          <w:tcPr>
            <w:tcW w:w="722" w:type="dxa"/>
            <w:vAlign w:val="center"/>
          </w:tcPr>
          <w:p w14:paraId="1D738DC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1AF0033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239EE70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软件和信息技术服务业</w:t>
            </w:r>
          </w:p>
        </w:tc>
      </w:tr>
      <w:tr w14:paraId="1697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50" w:type="dxa"/>
            <w:vAlign w:val="center"/>
          </w:tcPr>
          <w:p w14:paraId="1009180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14:paraId="3212FC1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弹夹复合机器人（配套行为识别摄像机）</w:t>
            </w:r>
          </w:p>
        </w:tc>
        <w:tc>
          <w:tcPr>
            <w:tcW w:w="4342" w:type="dxa"/>
          </w:tcPr>
          <w:p w14:paraId="73E6B1C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机器人：</w:t>
            </w:r>
          </w:p>
          <w:p w14:paraId="327412C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配2D视觉，配弹夹夹爪,机械臂重复抓取精度：±1mm,±1°，导航方式：激光SLAM导航,重复定位精度：±20mm,激光安全范围：360°。</w:t>
            </w:r>
          </w:p>
          <w:p w14:paraId="22C05C0D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行为识别摄像机：</w:t>
            </w:r>
          </w:p>
          <w:p w14:paraId="50A0D7D4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bookmarkStart w:id="18" w:name="OLE_LINK3"/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1.配置≥3颗镜头，≥1颗不低于400万像素CMOS传感器、≥2颗不低于200万CMOS传感器，内置GPU芯片；清晰度不小于1500TVL;宽动态能力不小于120dB。</w:t>
            </w:r>
          </w:p>
          <w:p w14:paraId="2F600FA0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2.支持人数异常报警功能，在设定区域内，目标人数大于、等于、小于或不等于设定值时，产生人数异常报警并抓图。支持间距异常报警功能，在设定区域内，人员间距小于设定值时，产生间距异常报警并抓图。</w:t>
            </w:r>
          </w:p>
          <w:p w14:paraId="2BFE936F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3.支持徘徊侦测报警功能，在设定区域内，人员行走总距离大于设定值时，产生徘徊侦测报警并抓图。</w:t>
            </w:r>
          </w:p>
          <w:bookmarkEnd w:id="18"/>
          <w:p w14:paraId="15130A65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■支持剧烈运动检测报警功能，在设定区域内，人员发生剧烈运动时，产生剧烈运动报警并抓图；支持奔跑侦测报警功能，在设定区域内，人员移动速度超过设定值时，产生奔跑报警并抓图。环境照度不高于0.11lx环境下，红外灯开启，样机高度不低于3米条件下，开启奔跑检测、穿越警戒线、滞留监测、离岗检测、剧烈运动、间距异常检测、人数异常检测、倒地检测、徘徊检测行为分析功能，行为识别准确率不低于98%。智能功能检测区域均可设置为10边形；支持手动标定、自动标定等标定方式，可自动或手动标定摄像机的高度、俯仰角、倾斜角信息。</w:t>
            </w:r>
          </w:p>
          <w:p w14:paraId="4022C055">
            <w:pPr>
              <w:autoSpaceDE w:val="0"/>
              <w:autoSpaceDN w:val="0"/>
              <w:adjustRightInd w:val="0"/>
              <w:ind w:firstLine="482" w:firstLineChars="2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提供第三方检测机构出具的具有CNAS或CMA标识的检测报告原件扫描件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或官网截图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。</w:t>
            </w:r>
          </w:p>
          <w:p w14:paraId="2E340B47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35F3347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5268678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63F8DC9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7BB2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3AE302F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257" w:type="dxa"/>
            <w:vAlign w:val="center"/>
          </w:tcPr>
          <w:p w14:paraId="591136A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电子料架钢结构件</w:t>
            </w:r>
          </w:p>
        </w:tc>
        <w:tc>
          <w:tcPr>
            <w:tcW w:w="4342" w:type="dxa"/>
            <w:vAlign w:val="center"/>
          </w:tcPr>
          <w:p w14:paraId="02E6D656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单层8储位</w:t>
            </w:r>
          </w:p>
        </w:tc>
        <w:tc>
          <w:tcPr>
            <w:tcW w:w="722" w:type="dxa"/>
            <w:vAlign w:val="center"/>
          </w:tcPr>
          <w:p w14:paraId="27A7298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6CB9411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4E9AC8F2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330B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3689D25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14:paraId="24A0674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辊筒AGV</w:t>
            </w:r>
          </w:p>
        </w:tc>
        <w:tc>
          <w:tcPr>
            <w:tcW w:w="4342" w:type="dxa"/>
            <w:vAlign w:val="center"/>
          </w:tcPr>
          <w:p w14:paraId="4453B0B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激光SLAM导航，负载大于等于1000kg,精确定位精度：±20mm，±1°,支持二维码辅助后精度可达到±10mm，激光安全范围：360°</w:t>
            </w:r>
          </w:p>
        </w:tc>
        <w:tc>
          <w:tcPr>
            <w:tcW w:w="722" w:type="dxa"/>
            <w:vAlign w:val="center"/>
          </w:tcPr>
          <w:p w14:paraId="117D901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294BB3E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4E533E08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1F8F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5E93A41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14:paraId="6D1298F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智能叉车</w:t>
            </w:r>
          </w:p>
        </w:tc>
        <w:tc>
          <w:tcPr>
            <w:tcW w:w="4342" w:type="dxa"/>
            <w:vAlign w:val="center"/>
          </w:tcPr>
          <w:p w14:paraId="39AA912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最大举升高度：≥2.0m,最小负载：≥1000KG,导航方式：激光SLAM导航,重复定位精度：±20mm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转弯半径：&lt;1500mm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通讯方式：2.4G/5G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激光安全范围：360°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持续运行时间：≥6h</w:t>
            </w:r>
          </w:p>
        </w:tc>
        <w:tc>
          <w:tcPr>
            <w:tcW w:w="722" w:type="dxa"/>
            <w:vAlign w:val="center"/>
          </w:tcPr>
          <w:p w14:paraId="003014F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36887FB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31303168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2CC8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0B518B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</w:t>
            </w:r>
          </w:p>
        </w:tc>
        <w:tc>
          <w:tcPr>
            <w:tcW w:w="1257" w:type="dxa"/>
            <w:vAlign w:val="center"/>
          </w:tcPr>
          <w:p w14:paraId="64C26EF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复合机器人/辊筒AGV充电桩</w:t>
            </w:r>
          </w:p>
        </w:tc>
        <w:tc>
          <w:tcPr>
            <w:tcW w:w="4342" w:type="dxa"/>
            <w:vAlign w:val="center"/>
          </w:tcPr>
          <w:p w14:paraId="29FF3408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自动充电，带过载、过充、短路保护 </w:t>
            </w:r>
          </w:p>
        </w:tc>
        <w:tc>
          <w:tcPr>
            <w:tcW w:w="722" w:type="dxa"/>
            <w:vAlign w:val="center"/>
          </w:tcPr>
          <w:p w14:paraId="2093285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4769B6A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6291D651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20E4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1C7CDE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1257" w:type="dxa"/>
            <w:vAlign w:val="center"/>
          </w:tcPr>
          <w:p w14:paraId="066A1E4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叉车充电桩</w:t>
            </w:r>
          </w:p>
        </w:tc>
        <w:tc>
          <w:tcPr>
            <w:tcW w:w="4342" w:type="dxa"/>
            <w:vAlign w:val="center"/>
          </w:tcPr>
          <w:p w14:paraId="32FFED2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自动充电，带过载、过充、短路保护</w:t>
            </w:r>
          </w:p>
        </w:tc>
        <w:tc>
          <w:tcPr>
            <w:tcW w:w="722" w:type="dxa"/>
            <w:vAlign w:val="center"/>
          </w:tcPr>
          <w:p w14:paraId="699CF41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574FFA0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4D7AA16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7701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7DDED2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</w:t>
            </w:r>
          </w:p>
        </w:tc>
        <w:tc>
          <w:tcPr>
            <w:tcW w:w="1257" w:type="dxa"/>
            <w:vAlign w:val="center"/>
          </w:tcPr>
          <w:p w14:paraId="147EC0C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拆码垛机械手</w:t>
            </w:r>
          </w:p>
        </w:tc>
        <w:tc>
          <w:tcPr>
            <w:tcW w:w="4342" w:type="dxa"/>
            <w:vAlign w:val="center"/>
          </w:tcPr>
          <w:p w14:paraId="0FA8341F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负载：≥30kg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臂展：≥1.8m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重复定位精度：≥0.05mm</w:t>
            </w:r>
          </w:p>
          <w:p w14:paraId="357D2491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★提供完整PLC源代码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（提供承诺函）</w:t>
            </w:r>
          </w:p>
        </w:tc>
        <w:tc>
          <w:tcPr>
            <w:tcW w:w="722" w:type="dxa"/>
            <w:vAlign w:val="center"/>
          </w:tcPr>
          <w:p w14:paraId="2ED1469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6F63FA1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33C21D8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0906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11FA3C9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center"/>
          </w:tcPr>
          <w:p w14:paraId="3E28F3D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对接工作台组件</w:t>
            </w:r>
          </w:p>
        </w:tc>
        <w:tc>
          <w:tcPr>
            <w:tcW w:w="4342" w:type="dxa"/>
            <w:vAlign w:val="center"/>
          </w:tcPr>
          <w:p w14:paraId="4D530F7A">
            <w:pPr>
              <w:autoSpaceDE w:val="0"/>
              <w:autoSpaceDN w:val="0"/>
              <w:adjustRightInd w:val="0"/>
              <w:ind w:firstLine="480" w:firstLineChars="200"/>
              <w:rPr>
                <w:rFonts w:hint="default" w:ascii="宋体" w:hAnsi="宋体" w:eastAsia="@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尺寸：800*600*700</w:t>
            </w:r>
            <w:r>
              <w:rPr>
                <w:rFonts w:hint="eastAsia"/>
              </w:rPr>
              <w:t>mm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±5%</w:t>
            </w:r>
          </w:p>
        </w:tc>
        <w:tc>
          <w:tcPr>
            <w:tcW w:w="722" w:type="dxa"/>
            <w:vAlign w:val="center"/>
          </w:tcPr>
          <w:p w14:paraId="161B61A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14:paraId="63F9F67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个</w:t>
            </w:r>
          </w:p>
        </w:tc>
        <w:tc>
          <w:tcPr>
            <w:tcW w:w="864" w:type="dxa"/>
            <w:vAlign w:val="center"/>
          </w:tcPr>
          <w:p w14:paraId="154BCEC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0AC2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F4808A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257" w:type="dxa"/>
            <w:vAlign w:val="center"/>
          </w:tcPr>
          <w:p w14:paraId="018FABA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安全围栏模块</w:t>
            </w:r>
          </w:p>
        </w:tc>
        <w:tc>
          <w:tcPr>
            <w:tcW w:w="4342" w:type="dxa"/>
            <w:vAlign w:val="center"/>
          </w:tcPr>
          <w:p w14:paraId="7EF64A79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带安全光栅和维修安全门,自动对接AGV</w:t>
            </w:r>
          </w:p>
        </w:tc>
        <w:tc>
          <w:tcPr>
            <w:tcW w:w="722" w:type="dxa"/>
            <w:vAlign w:val="center"/>
          </w:tcPr>
          <w:p w14:paraId="20698B1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70D06A5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5148AF51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695C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E07DB9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11</w:t>
            </w:r>
          </w:p>
        </w:tc>
        <w:tc>
          <w:tcPr>
            <w:tcW w:w="1257" w:type="dxa"/>
            <w:vAlign w:val="center"/>
          </w:tcPr>
          <w:p w14:paraId="7E11922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智能读码器</w:t>
            </w:r>
          </w:p>
        </w:tc>
        <w:tc>
          <w:tcPr>
            <w:tcW w:w="4342" w:type="dxa"/>
            <w:vAlign w:val="center"/>
          </w:tcPr>
          <w:p w14:paraId="38F13AC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读取二维码/条码</w:t>
            </w:r>
          </w:p>
        </w:tc>
        <w:tc>
          <w:tcPr>
            <w:tcW w:w="722" w:type="dxa"/>
            <w:vAlign w:val="center"/>
          </w:tcPr>
          <w:p w14:paraId="1FA816D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14:paraId="4677920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65F5A755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58E9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127B202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12</w:t>
            </w:r>
          </w:p>
        </w:tc>
        <w:tc>
          <w:tcPr>
            <w:tcW w:w="1257" w:type="dxa"/>
            <w:vAlign w:val="center"/>
          </w:tcPr>
          <w:p w14:paraId="1A5B868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货架钢结构件</w:t>
            </w:r>
          </w:p>
        </w:tc>
        <w:tc>
          <w:tcPr>
            <w:tcW w:w="4342" w:type="dxa"/>
            <w:vAlign w:val="center"/>
          </w:tcPr>
          <w:p w14:paraId="172C18CE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尺寸：6260*1000*2800mm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±5%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,90型立柱，单层称重2吨</w:t>
            </w:r>
          </w:p>
        </w:tc>
        <w:tc>
          <w:tcPr>
            <w:tcW w:w="722" w:type="dxa"/>
            <w:vAlign w:val="center"/>
          </w:tcPr>
          <w:p w14:paraId="04BCC5D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14:paraId="5155F9B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组</w:t>
            </w:r>
          </w:p>
        </w:tc>
        <w:tc>
          <w:tcPr>
            <w:tcW w:w="864" w:type="dxa"/>
            <w:vAlign w:val="center"/>
          </w:tcPr>
          <w:p w14:paraId="7ED443EF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49EB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345750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13</w:t>
            </w:r>
          </w:p>
        </w:tc>
        <w:tc>
          <w:tcPr>
            <w:tcW w:w="1257" w:type="dxa"/>
            <w:vAlign w:val="center"/>
          </w:tcPr>
          <w:p w14:paraId="31C08FD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辊筒输送线组件</w:t>
            </w:r>
          </w:p>
        </w:tc>
        <w:tc>
          <w:tcPr>
            <w:tcW w:w="4342" w:type="dxa"/>
            <w:vAlign w:val="center"/>
          </w:tcPr>
          <w:p w14:paraId="7984AFE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L=1500mm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±5%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，负载1吨，正反转,15m/min</w:t>
            </w:r>
          </w:p>
        </w:tc>
        <w:tc>
          <w:tcPr>
            <w:tcW w:w="722" w:type="dxa"/>
            <w:vAlign w:val="center"/>
          </w:tcPr>
          <w:p w14:paraId="10FFE0E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731" w:type="dxa"/>
            <w:vAlign w:val="center"/>
          </w:tcPr>
          <w:p w14:paraId="5307106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5952C715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6EE8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5CA635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14</w:t>
            </w:r>
          </w:p>
        </w:tc>
        <w:tc>
          <w:tcPr>
            <w:tcW w:w="1257" w:type="dxa"/>
            <w:vAlign w:val="center"/>
          </w:tcPr>
          <w:p w14:paraId="4AA2C3B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服务器</w:t>
            </w:r>
          </w:p>
        </w:tc>
        <w:tc>
          <w:tcPr>
            <w:tcW w:w="4342" w:type="dxa"/>
            <w:vAlign w:val="center"/>
          </w:tcPr>
          <w:p w14:paraId="7EEC1248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服务器配置：</w:t>
            </w:r>
          </w:p>
          <w:p w14:paraId="5D42DC12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至少6核12线程，内存至少64G，硬盘大于等于1T</w:t>
            </w:r>
          </w:p>
        </w:tc>
        <w:tc>
          <w:tcPr>
            <w:tcW w:w="722" w:type="dxa"/>
            <w:vAlign w:val="center"/>
          </w:tcPr>
          <w:p w14:paraId="669898F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20851EE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5237537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014C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AD1D9F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1257" w:type="dxa"/>
            <w:vAlign w:val="center"/>
          </w:tcPr>
          <w:p w14:paraId="3644BAD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AMS控制系统</w:t>
            </w:r>
          </w:p>
        </w:tc>
        <w:tc>
          <w:tcPr>
            <w:tcW w:w="4342" w:type="dxa"/>
            <w:vAlign w:val="center"/>
          </w:tcPr>
          <w:p w14:paraId="45C002B5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1.任务管理</w:t>
            </w:r>
          </w:p>
          <w:p w14:paraId="5102A075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任务管理同时支持手机APP端与PC端操作。</w:t>
            </w:r>
          </w:p>
          <w:p w14:paraId="1C4FB5E4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支持根据MES和WMS需求自动生成搬运任务，支持人为干预手动下点对点搬运任务。</w:t>
            </w:r>
          </w:p>
          <w:p w14:paraId="545C9A71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支持与RCS系统实时通讯，支持搬运任务的创建、暂停、取消等操作。</w:t>
            </w:r>
          </w:p>
          <w:p w14:paraId="41D6A03D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支持优化AGV任务，任务优先级调整和动态调度，优化资源，提升效率。</w:t>
            </w:r>
          </w:p>
          <w:p w14:paraId="20226A12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2.路径规划</w:t>
            </w:r>
          </w:p>
          <w:p w14:paraId="40BF63B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规划AGV行驶路径，避开障碍。</w:t>
            </w:r>
          </w:p>
          <w:p w14:paraId="64963EA2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支持动态路径调整和优化。</w:t>
            </w:r>
          </w:p>
          <w:p w14:paraId="3BB6A744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3.实时监控</w:t>
            </w:r>
          </w:p>
          <w:p w14:paraId="24F9350B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实时监控AGV状态，如位置、速度、电量，物料状态。</w:t>
            </w:r>
          </w:p>
          <w:p w14:paraId="5DB88523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提供可视化界面，支持远程监控。</w:t>
            </w:r>
          </w:p>
          <w:p w14:paraId="09BE5A66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4.故障管理</w:t>
            </w:r>
          </w:p>
          <w:p w14:paraId="349F1396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监控AGV故障，触发报警。</w:t>
            </w:r>
          </w:p>
          <w:p w14:paraId="4269AB7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支持故障诊断和记录。</w:t>
            </w:r>
          </w:p>
          <w:p w14:paraId="345E938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5.集成与接口</w:t>
            </w:r>
          </w:p>
          <w:p w14:paraId="08504866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与WMS、MES等系统集成，实现数据共享。</w:t>
            </w:r>
          </w:p>
          <w:p w14:paraId="0C2BEE2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提供标准接口，支持定制开发。</w:t>
            </w:r>
          </w:p>
          <w:p w14:paraId="65FD66DA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6.报警与通知</w:t>
            </w:r>
          </w:p>
          <w:p w14:paraId="3BDDEC68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实时监控异常，触发报警。</w:t>
            </w:r>
          </w:p>
          <w:p w14:paraId="03EB1E8C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支持多种通知方式，确保及时响应。</w:t>
            </w:r>
          </w:p>
          <w:p w14:paraId="23B153A6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7.系统管理</w:t>
            </w:r>
          </w:p>
          <w:p w14:paraId="5B031653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管理系统用户、权限和配置。</w:t>
            </w:r>
          </w:p>
          <w:p w14:paraId="7953246A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支持系统维护和升级。</w:t>
            </w:r>
          </w:p>
          <w:p w14:paraId="40CFDCCC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8.数据分析</w:t>
            </w:r>
          </w:p>
          <w:p w14:paraId="1C94B0B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分析AGV运行数据，优化调度和路径。</w:t>
            </w:r>
          </w:p>
          <w:p w14:paraId="6CAFBC5E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支持大数据分析和机器学习。</w:t>
            </w:r>
          </w:p>
          <w:p w14:paraId="25428CD1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9.远程控制</w:t>
            </w:r>
          </w:p>
          <w:p w14:paraId="1630F4A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支持远程控制AGV，进行手动操作。</w:t>
            </w:r>
          </w:p>
          <w:p w14:paraId="546DAF79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提供远程监控和诊断功能。</w:t>
            </w:r>
          </w:p>
          <w:p w14:paraId="4E66DE55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10.多AGV协同</w:t>
            </w:r>
          </w:p>
          <w:p w14:paraId="014D66C6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支持多AGV协同工作，提升整体效率。</w:t>
            </w:r>
          </w:p>
          <w:p w14:paraId="40F1D01A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支持任务分配和协同调度。</w:t>
            </w:r>
          </w:p>
          <w:p w14:paraId="1102711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★11.提供程序完整源代码与数据库；同时根据实验室业务拓展，免费提供一年内的软件定制开发</w:t>
            </w:r>
            <w:bookmarkStart w:id="19" w:name="OLE_LINK1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（提供承诺函）</w:t>
            </w:r>
            <w:bookmarkEnd w:id="19"/>
          </w:p>
        </w:tc>
        <w:tc>
          <w:tcPr>
            <w:tcW w:w="722" w:type="dxa"/>
            <w:vAlign w:val="center"/>
          </w:tcPr>
          <w:p w14:paraId="7332CB5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0C0BE56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57FC822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软件和信息技术服务业</w:t>
            </w:r>
          </w:p>
        </w:tc>
      </w:tr>
      <w:tr w14:paraId="6304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1B91AF1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1257" w:type="dxa"/>
            <w:vAlign w:val="center"/>
          </w:tcPr>
          <w:p w14:paraId="11DD783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WMS系统</w:t>
            </w:r>
          </w:p>
        </w:tc>
        <w:tc>
          <w:tcPr>
            <w:tcW w:w="4342" w:type="dxa"/>
            <w:vAlign w:val="center"/>
          </w:tcPr>
          <w:p w14:paraId="694E95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库存管理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实时监控库存，记录出入库操作。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支持库存盘点，确保账实一致。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2.入库管理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管理收货、质检、上架等入库流程。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支持多种入库方式，如采购入库、退货入库。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3.出库管理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管理订单处理、拣货、包装、发货等出库流程。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支持多种出库方式，如销售出库、调拨出库。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4.库位管理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管理仓库布局，优化库位分配。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支持库位查询和调整。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5.批次管理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管理产品批次，支持先进先出（FIFO）等策略。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记录批次信息，支持追溯。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6.质量管理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管理质检流程，记录质检结果。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支持不合格品处理。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7.报表分析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生成库存、出入库等报表，分析仓库运营。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提供可视化工具，支持决策。</w:t>
            </w:r>
          </w:p>
          <w:p w14:paraId="4D528DD6">
            <w:pPr>
              <w:pStyle w:val="2"/>
              <w:numPr>
                <w:ilvl w:val="255"/>
                <w:numId w:val="0"/>
              </w:num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8.提供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程序完整源代码与数据库；同时根据实验室业务拓展，免费提供一年内的软件定制开发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（提供承诺函）</w:t>
            </w:r>
          </w:p>
        </w:tc>
        <w:tc>
          <w:tcPr>
            <w:tcW w:w="722" w:type="dxa"/>
            <w:vAlign w:val="center"/>
          </w:tcPr>
          <w:p w14:paraId="34A4B70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6AF96AA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7FA7DDD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软件和信息技术服务业</w:t>
            </w:r>
          </w:p>
        </w:tc>
      </w:tr>
      <w:tr w14:paraId="2B8A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A7A863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17</w:t>
            </w:r>
          </w:p>
        </w:tc>
        <w:tc>
          <w:tcPr>
            <w:tcW w:w="1257" w:type="dxa"/>
            <w:vAlign w:val="center"/>
          </w:tcPr>
          <w:p w14:paraId="3DF5DEF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MES系统</w:t>
            </w:r>
          </w:p>
        </w:tc>
        <w:tc>
          <w:tcPr>
            <w:tcW w:w="4342" w:type="dxa"/>
            <w:vAlign w:val="center"/>
          </w:tcPr>
          <w:p w14:paraId="6173C5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生产调度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制定生产计划，优化资源分配。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实时监控生产进度，调整任务优先级。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2.数据采集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自动收集设备、工艺和质量数据。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支持手动录入数据。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3.质量管理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实时监控产品质量，记录缺陷。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支持质量追溯，分析质量问题。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4.设备管理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监控设备状态，安排维护计划。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记录设备故障，分析故障原因。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5.物料管理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跟踪物料使用，管理库存。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确保物料及时供应，避免短缺。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6.人员管理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分配生产任务，记录工时。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跟踪员工绩效，提供培训支持。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7.工艺管理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管理工艺参数，优化工艺流程。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记录工艺变更，确保一致性。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8.文档管理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管理生产相关文档，确保版本一致。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提供文档访问权限控制。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9.报表分析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生成生产报表，分析效率和质量。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提供可视化工具，支持决策。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10.追溯管理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记录生产全过程，支持产品追溯。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满足法规要求，提升质量。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11.集成与接口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与AMS、WMS等系统集成，实现数据共享。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提供标准接口，支持定制开发。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12.报警与通知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实时监控异常，触发报警。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支持多种通知方式，确保及时响应。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13.移动应用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提供移动端应用，支持远程监控。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支持移动数据采集和任务管理。</w:t>
            </w:r>
          </w:p>
          <w:p w14:paraId="67759E21">
            <w:pPr>
              <w:pStyle w:val="2"/>
              <w:numPr>
                <w:ilvl w:val="255"/>
                <w:numId w:val="0"/>
              </w:numPr>
            </w:pPr>
            <w:r>
              <w:rPr>
                <w:rFonts w:hint="eastAsia" w:ascii="宋体" w:hAnsi="宋体" w:eastAsia="宋体" w:cs="@仿宋_GB2312"/>
                <w:bCs/>
                <w:sz w:val="24"/>
                <w:szCs w:val="24"/>
              </w:rPr>
              <w:t>★14.提供程序完整源代码与数据库；同时根据实验室业务拓展，免费提供一年内的软件定制开发</w:t>
            </w:r>
            <w:r>
              <w:rPr>
                <w:rFonts w:hint="eastAsia" w:ascii="宋体" w:hAnsi="宋体" w:eastAsia="宋体" w:cs="@仿宋_GB2312"/>
                <w:b/>
                <w:bCs w:val="0"/>
                <w:sz w:val="24"/>
                <w:szCs w:val="24"/>
              </w:rPr>
              <w:t>（提供承诺函）</w:t>
            </w:r>
          </w:p>
        </w:tc>
        <w:tc>
          <w:tcPr>
            <w:tcW w:w="722" w:type="dxa"/>
            <w:vAlign w:val="center"/>
          </w:tcPr>
          <w:p w14:paraId="0BA0C03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10E0964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套</w:t>
            </w:r>
          </w:p>
        </w:tc>
        <w:tc>
          <w:tcPr>
            <w:tcW w:w="864" w:type="dxa"/>
            <w:vAlign w:val="center"/>
          </w:tcPr>
          <w:p w14:paraId="27407E5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软件和信息技术服务业</w:t>
            </w:r>
          </w:p>
        </w:tc>
      </w:tr>
      <w:tr w14:paraId="29BA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2" w:type="dxa"/>
            <w:gridSpan w:val="5"/>
            <w:vAlign w:val="center"/>
          </w:tcPr>
          <w:p w14:paraId="775C17B3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二、 深度学习算力支撑平台</w:t>
            </w:r>
          </w:p>
        </w:tc>
        <w:tc>
          <w:tcPr>
            <w:tcW w:w="864" w:type="dxa"/>
            <w:vAlign w:val="center"/>
          </w:tcPr>
          <w:p w14:paraId="093334C7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 w14:paraId="63D0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50" w:type="dxa"/>
            <w:vAlign w:val="center"/>
          </w:tcPr>
          <w:p w14:paraId="6416629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18</w:t>
            </w:r>
          </w:p>
        </w:tc>
        <w:tc>
          <w:tcPr>
            <w:tcW w:w="1257" w:type="dxa"/>
            <w:vAlign w:val="center"/>
          </w:tcPr>
          <w:p w14:paraId="1EF4026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工作站</w:t>
            </w:r>
          </w:p>
        </w:tc>
        <w:tc>
          <w:tcPr>
            <w:tcW w:w="4342" w:type="dxa"/>
          </w:tcPr>
          <w:p w14:paraId="41DFB996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1.架构：≥4U机架式服务器；</w:t>
            </w:r>
          </w:p>
          <w:p w14:paraId="39B583E5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2.处理器：配置≥2颗X86架构处理器。单颗CPU的主频≥2.4Hz、核数≥16；</w:t>
            </w:r>
          </w:p>
          <w:p w14:paraId="045C95E9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3.内存：配置≥4根32GB DDR4内存，内存插槽数≥32；</w:t>
            </w:r>
          </w:p>
          <w:p w14:paraId="16850224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4.硬盘：配置≥2块 960GB SSD硬盘，≥4块 4TB SATA硬盘；</w:t>
            </w:r>
          </w:p>
          <w:p w14:paraId="5CDE00A9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5.RAID卡：配置≥1张RAID卡，高速缓存不低于2GB，RAID控制卡支持RAID 0/1/5/6，支持NVMe SSD配置RAID组；</w:t>
            </w:r>
          </w:p>
          <w:p w14:paraId="3F25F15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6.网卡：配置≥2个双口万兆网卡（含模块），配置≥4个千兆网口；</w:t>
            </w:r>
          </w:p>
          <w:p w14:paraId="47FEFE90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7.GPU卡：显卡实配数量≥2，单卡FP32≥73Tflops,单卡显存≥24G，单卡CUDA 核心≥14000；</w:t>
            </w:r>
          </w:p>
          <w:p w14:paraId="106152A3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8.电源：配置≥4个2200W 80Plus铂金电源；</w:t>
            </w:r>
          </w:p>
          <w:p w14:paraId="022B31FB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■9.监控：支持服务器全方位性能监控 ，包括CPU温度、内存利用率、SWAP使用率，内存及SWAP使用明细；TCP重传率及套接字个数；UDP连接数；硬盘读写次数及读写时速率；出入风口温度；风扇转速；网络发送速率、接收速率等，运行时长、系统进程数等。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提供第三方检测机构出具的具有CNAS或CMA标识的检测报告原件扫描件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或官网截图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；</w:t>
            </w:r>
          </w:p>
          <w:p w14:paraId="5A7017E1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10.■供货时提供正版、永久激活授权的服务器操作系统，软件功能包括不限于支持基于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module的方式安装软件包，支持安全基线检测、关键文件/进程防护（防止核心业务文件被篡改、保护核心业务进程不被信息注入）、主机入侵检测（阻止勒索病毒加密行为）等。</w:t>
            </w:r>
            <w:r>
              <w:rPr>
                <w:rFonts w:ascii="宋体" w:hAnsi="宋体" w:eastAsia="宋体"/>
                <w:b/>
                <w:bCs w:val="0"/>
                <w:sz w:val="24"/>
                <w:szCs w:val="24"/>
              </w:rPr>
              <w:t>提供该操作系统技术白皮书中关于上述软件功能说明的截图证明；</w:t>
            </w:r>
          </w:p>
        </w:tc>
        <w:tc>
          <w:tcPr>
            <w:tcW w:w="722" w:type="dxa"/>
            <w:vAlign w:val="center"/>
          </w:tcPr>
          <w:p w14:paraId="4F9EB0C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14:paraId="7DC6C17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315FB6B8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7925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1E3673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</w:t>
            </w:r>
          </w:p>
        </w:tc>
        <w:tc>
          <w:tcPr>
            <w:tcW w:w="1257" w:type="dxa"/>
            <w:vAlign w:val="center"/>
          </w:tcPr>
          <w:p w14:paraId="60ED8217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Web服务器</w:t>
            </w:r>
          </w:p>
        </w:tc>
        <w:tc>
          <w:tcPr>
            <w:tcW w:w="4342" w:type="dxa"/>
          </w:tcPr>
          <w:p w14:paraId="0BBA3231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1.机型：2U机架式服务器，非OEM贴牌；</w:t>
            </w:r>
          </w:p>
          <w:p w14:paraId="501A5BDF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2.处理器：配置≥1颗X86架构处理器。单颗CPU的主频≥2.1Hz、核数≥12、AVX-512 FMA 单元数≥2；</w:t>
            </w:r>
          </w:p>
          <w:p w14:paraId="2DB0CBE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3.内存：配置≥32GB DDR4内存；支持≥32个DDR4内存插槽；</w:t>
            </w:r>
          </w:p>
          <w:p w14:paraId="54186DD5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4.■硬盘：配置2块480G SSD 固态硬盘；支持≥20块3.5寸硬盘或≥45块2.5寸硬盘，可选支持≥2个SATA M.2或≥2个E1.S盘（短RSSD），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提供官网截图或产品彩页或技术白皮书；</w:t>
            </w:r>
          </w:p>
          <w:p w14:paraId="3F6251D9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5.RAID：配置≥1张与服务器适配的RAID阵列卡（2G缓存），支持RAID0/1/5/10/50；</w:t>
            </w:r>
          </w:p>
          <w:p w14:paraId="2250A11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6.网口：配置≥2个千兆电口+2个万兆光口（不含模块）；支持≥1个OCP3.0网络模块，提供1Gb/10Gb/25Gb/40Gb/100Gb/200Gb多种网络接口选择；</w:t>
            </w:r>
          </w:p>
          <w:p w14:paraId="76169DE9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7.IO扩展：支持≥11个标准PCIe插槽，支持≥4个双宽GPU或≥8个单宽GPU，支持≥3个USB3.0接口，支持≥2个VGA接口；</w:t>
            </w:r>
          </w:p>
          <w:p w14:paraId="2EA3CCE1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8.电源风扇：配置单电源，满配冗余风扇，保证系统高可用性；</w:t>
            </w:r>
          </w:p>
        </w:tc>
        <w:tc>
          <w:tcPr>
            <w:tcW w:w="722" w:type="dxa"/>
            <w:vAlign w:val="center"/>
          </w:tcPr>
          <w:p w14:paraId="2B664E3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14:paraId="2A84031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48D9AF83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6646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B43269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</w:t>
            </w:r>
          </w:p>
        </w:tc>
        <w:tc>
          <w:tcPr>
            <w:tcW w:w="1257" w:type="dxa"/>
            <w:vAlign w:val="center"/>
          </w:tcPr>
          <w:p w14:paraId="6628AB1B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▲GPU服务器</w:t>
            </w:r>
          </w:p>
        </w:tc>
        <w:tc>
          <w:tcPr>
            <w:tcW w:w="4342" w:type="dxa"/>
          </w:tcPr>
          <w:p w14:paraId="1944A08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1.机型：≥4U机架式服务器，产品自主研发和生产，非OEM；</w:t>
            </w:r>
          </w:p>
          <w:p w14:paraId="12A7B430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2.处理器：配置2颗国产自主可控C86架构CPU，单颗物理核心≥32，主频率≥2.2GHz；</w:t>
            </w:r>
          </w:p>
          <w:p w14:paraId="3DD769DB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3.内存：配置≥1024GB DDR4内存，可支持≥32个DDR4内存插槽；</w:t>
            </w:r>
          </w:p>
          <w:p w14:paraId="111867D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4.硬盘：配置≥2块480GB SSD盘，≥4块3.84TB SSD盘；</w:t>
            </w:r>
          </w:p>
          <w:p w14:paraId="73647413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5.RAID：阵列卡缓存≥4G；</w:t>
            </w:r>
          </w:p>
          <w:p w14:paraId="2CFB157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6.网口：≥2 个千兆网口、≥2 个万兆网口（含模块）；</w:t>
            </w:r>
          </w:p>
          <w:p w14:paraId="217A9BF4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7.GPU卡：卡实配数量≥6，单卡FP8≥238Tflops,单卡显存≥48G，单卡CUDA 核心≥11000；</w:t>
            </w:r>
          </w:p>
          <w:p w14:paraId="19184631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8.电源风扇：配置2+2冗余电源，满配冗余风扇，保证系统高可用性； </w:t>
            </w:r>
          </w:p>
          <w:p w14:paraId="7A64280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9.监控：支持服务器全方位性能监控 ，包括CPU温度、内存利用率、SWAP使用率，内存及SWAP使用明细；TCP重传率及套接字个数；UDP连接数；硬盘读写次数及读写时速率；出入风口温度；风扇转速；网络发送速率、接收速率等，运行时长、系统进程数等。</w:t>
            </w:r>
          </w:p>
          <w:p w14:paraId="07D89A63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■10.管理：提供服务器管理软件，该软件信息安全性检测通过身份鉴别安全、访问控制安全、入侵防范安全、数据完整性安全等安全性测试，结果均满足国家标准 GB/T 25000.51-2016 规定的保密性、完整性的相关要求，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投标文件中提供第三方检测机构出具的具有CNAS或CMA标识的检测报告原件扫描件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或官网截图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2" w:type="dxa"/>
            <w:vAlign w:val="center"/>
          </w:tcPr>
          <w:p w14:paraId="58EC731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6F31BAF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27EF40CF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647E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DCB81E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21</w:t>
            </w:r>
          </w:p>
        </w:tc>
        <w:tc>
          <w:tcPr>
            <w:tcW w:w="1257" w:type="dxa"/>
            <w:vAlign w:val="center"/>
          </w:tcPr>
          <w:p w14:paraId="2506942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交换机</w:t>
            </w:r>
          </w:p>
        </w:tc>
        <w:tc>
          <w:tcPr>
            <w:tcW w:w="4342" w:type="dxa"/>
          </w:tcPr>
          <w:p w14:paraId="6E061716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1.千兆电口≥24个，万兆SFP+光口≥4个；Console口≥1个；交换容量≥ 672Gbps/6.72Tbps，包转发率≥171Mpps/309Mpps；</w:t>
            </w:r>
          </w:p>
          <w:p w14:paraId="077EB163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2.支持MAC地址≥16K；支持MAC地址自动学习；支持源MAC地址过滤；支持接口MAC地址学习个数限制；</w:t>
            </w:r>
          </w:p>
          <w:p w14:paraId="0FED1BE5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3.■支持智能交换机和普通交换机两种工作模式，可以根据不同的组网需要灵活的进行切换；支持平台跨广域网、NAT或APP远程管理智能交换机，并且可以修改交换机网络配置（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投标文件中提供第三方检测机构出具的具有CNAS或CMA标识的检测报告原件扫描件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或官网截图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）；</w:t>
            </w:r>
          </w:p>
        </w:tc>
        <w:tc>
          <w:tcPr>
            <w:tcW w:w="722" w:type="dxa"/>
            <w:vAlign w:val="center"/>
          </w:tcPr>
          <w:p w14:paraId="7B80909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0EFAC49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台</w:t>
            </w:r>
          </w:p>
        </w:tc>
        <w:tc>
          <w:tcPr>
            <w:tcW w:w="864" w:type="dxa"/>
            <w:vAlign w:val="center"/>
          </w:tcPr>
          <w:p w14:paraId="25C31E7D">
            <w:pPr>
              <w:autoSpaceDE w:val="0"/>
              <w:autoSpaceDN w:val="0"/>
              <w:adjustRightIn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工业</w:t>
            </w:r>
          </w:p>
        </w:tc>
      </w:tr>
      <w:tr w14:paraId="01BA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0EB64E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22</w:t>
            </w:r>
          </w:p>
        </w:tc>
        <w:tc>
          <w:tcPr>
            <w:tcW w:w="1257" w:type="dxa"/>
            <w:vAlign w:val="center"/>
          </w:tcPr>
          <w:p w14:paraId="4EBB82F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集成服务</w:t>
            </w:r>
          </w:p>
        </w:tc>
        <w:tc>
          <w:tcPr>
            <w:tcW w:w="4342" w:type="dxa"/>
            <w:vAlign w:val="center"/>
          </w:tcPr>
          <w:p w14:paraId="7FCA8E1E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项目全部的集成实施、安装、调试、培训等服务</w:t>
            </w:r>
          </w:p>
        </w:tc>
        <w:tc>
          <w:tcPr>
            <w:tcW w:w="722" w:type="dxa"/>
            <w:vAlign w:val="center"/>
          </w:tcPr>
          <w:p w14:paraId="7EB3E07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14:paraId="3BF94FB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</w:t>
            </w:r>
          </w:p>
        </w:tc>
        <w:tc>
          <w:tcPr>
            <w:tcW w:w="864" w:type="dxa"/>
            <w:vAlign w:val="center"/>
          </w:tcPr>
          <w:p w14:paraId="183AF418">
            <w:pPr>
              <w:autoSpaceDE w:val="0"/>
              <w:autoSpaceDN w:val="0"/>
              <w:adjustRightInd w:val="0"/>
              <w:ind w:firstLine="240" w:firstLineChars="1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/</w:t>
            </w:r>
          </w:p>
        </w:tc>
      </w:tr>
    </w:tbl>
    <w:p w14:paraId="190EFED1">
      <w:pPr>
        <w:autoSpaceDE w:val="0"/>
        <w:autoSpaceDN w:val="0"/>
        <w:adjustRightInd w:val="0"/>
        <w:rPr>
          <w:rFonts w:ascii="宋体" w:hAnsi="宋体" w:eastAsia="宋体"/>
          <w:bCs/>
          <w:sz w:val="24"/>
          <w:szCs w:val="24"/>
        </w:rPr>
      </w:pPr>
    </w:p>
    <w:p w14:paraId="59E9511A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三、投标人资格要求</w:t>
      </w:r>
    </w:p>
    <w:p w14:paraId="3EF0D258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应具备《政府采购法》第二十二条第一款规定的条件，需提供营业执照或事业单位法人证书或执业许可证（非企业专业服务机构）或个体工商户营业执照等证明文件（银行、保险、石油石化、电力、电信等有行业特殊情况的，视为其总公司的分支机构具备独立承担民事责任的能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 w14:paraId="3E39CB49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四、供货（安装、服务）周期：自合同起订之日起60个日历天完成供货并验收合格。</w:t>
      </w:r>
    </w:p>
    <w:p w14:paraId="3924A1A3">
      <w:pPr>
        <w:autoSpaceDE w:val="0"/>
        <w:autoSpaceDN w:val="0"/>
        <w:adjustRightInd w:val="0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五、付款方式：合同签订后，支付合同总价款的40%作为预付款，货到完成安装调试并经验收合格后支付剩余合同款。根据卖方提供合法、有效、完整的发票，由采购人按申报的资金支付方式，支付相应的合同价款。</w:t>
      </w:r>
    </w:p>
    <w:bookmarkEnd w:id="0"/>
    <w:p w14:paraId="3F9EB660"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AAE0D9-4011-4268-87D9-80D3896F8B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D78EE7-1FD1-4511-9924-C5143E269518}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1A036C-6022-4E49-A364-CDD1AC55CA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C492E22-0005-4AC6-A95B-3333210223CD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37B84"/>
    <w:multiLevelType w:val="singleLevel"/>
    <w:tmpl w:val="3F037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8A0904"/>
    <w:multiLevelType w:val="singleLevel"/>
    <w:tmpl w:val="468A0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6E25"/>
    <w:rsid w:val="3EC0437E"/>
    <w:rsid w:val="416965B3"/>
    <w:rsid w:val="5D7C25FC"/>
    <w:rsid w:val="6D9F616F"/>
    <w:rsid w:val="762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Times New Roman"/>
      <w:bCs/>
      <w:kern w:val="0"/>
      <w:sz w:val="28"/>
      <w:szCs w:val="32"/>
    </w:rPr>
  </w:style>
  <w:style w:type="paragraph" w:styleId="8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@仿宋_GB2312" w:hAnsi="@仿宋_GB2312" w:cs="@仿宋_GB2312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Char"/>
    <w:link w:val="6"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character" w:customStyle="1" w:styleId="13">
    <w:name w:val="标题 3 字符"/>
    <w:basedOn w:val="11"/>
    <w:link w:val="8"/>
    <w:autoRedefine/>
    <w:semiHidden/>
    <w:qFormat/>
    <w:uiPriority w:val="9"/>
    <w:rPr>
      <w:rFonts w:ascii="@仿宋_GB2312" w:hAnsi="@仿宋_GB2312" w:cs="@仿宋_GB2312" w:eastAsiaTheme="minorEastAsia"/>
      <w:b/>
      <w:bCs/>
      <w:sz w:val="32"/>
      <w:szCs w:val="32"/>
    </w:rPr>
  </w:style>
  <w:style w:type="paragraph" w:customStyle="1" w:styleId="14">
    <w:name w:val="D&amp;L"/>
    <w:basedOn w:val="9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5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2024-01-09T13:45:00Z</dcterms:created>
  <dc:creator>DELL</dc:creator>
  <cp:lastModifiedBy>张飞</cp:lastModifiedBy>
  <dcterms:modified xsi:type="dcterms:W3CDTF">2025-05-28T10:11:54Z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EAD469E0072847D2ACD29D822949A3D5_12</vt:lpwstr>
  </property>
  <property fmtid="{D5CDD505-2E9C-101B-9397-08002B2CF9AE}" pid="4" name="KSOTemplateDocerSaveRecord">
    <vt:lpwstr>eyJoZGlkIjoiZmY5ZmU2NjY5NjU3OTdkMzdiNTRiMjI4MDgxYWE5YWYiLCJ1c2VySWQiOiIyNzk1MTkyMTYifQ==</vt:lpwstr>
  </property>
</Properties>
</file>