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20AF4">
      <w:pPr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color w:val="auto"/>
          <w:sz w:val="28"/>
          <w:highlight w:val="none"/>
          <w:lang w:eastAsia="zh-CN"/>
        </w:rPr>
      </w:pPr>
      <w:bookmarkStart w:id="0" w:name="_Toc7672"/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采购需求</w:t>
      </w:r>
      <w:bookmarkEnd w:id="0"/>
    </w:p>
    <w:p w14:paraId="09AA8F25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30B0DD53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7849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ascii="宋体" w:hAnsi="宋体" w:eastAsia="宋体" w:cs="宋体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5AB0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3B39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3DB1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3.如采购人允许采用分包方式履行合同的，应当明确可以分包履行的相关内容。</w:t>
      </w:r>
    </w:p>
    <w:p w14:paraId="5FB7140E">
      <w:pPr>
        <w:spacing w:line="360" w:lineRule="auto"/>
        <w:ind w:firstLine="437"/>
        <w:outlineLvl w:val="2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1" w:name="_Toc21798"/>
      <w:bookmarkStart w:id="2" w:name="_Toc4148"/>
      <w:bookmarkStart w:id="3" w:name="_Hlk23621890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1"/>
      <w:bookmarkEnd w:id="2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33"/>
        <w:gridCol w:w="6125"/>
      </w:tblGrid>
      <w:tr w14:paraId="4C96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8" w:type="pct"/>
            <w:vAlign w:val="center"/>
          </w:tcPr>
          <w:p w14:paraId="041A60BB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958" w:type="pct"/>
            <w:vAlign w:val="center"/>
          </w:tcPr>
          <w:p w14:paraId="3EB5EB26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593" w:type="pct"/>
            <w:vAlign w:val="center"/>
          </w:tcPr>
          <w:p w14:paraId="36E4B264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28DF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8" w:type="pct"/>
            <w:vAlign w:val="center"/>
          </w:tcPr>
          <w:p w14:paraId="3D6DF856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958" w:type="pct"/>
            <w:vAlign w:val="center"/>
          </w:tcPr>
          <w:p w14:paraId="779FADAB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593" w:type="pct"/>
            <w:vAlign w:val="center"/>
          </w:tcPr>
          <w:p w14:paraId="6AADEC77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合同签订后，支付合同总价款的40%;培训8期后支付合同总价款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eastAsia="zh-CN"/>
              </w:rPr>
              <w:t>40%;培训结束验收合格后--次性支付20%尾款。每次付款前供应商都应当提供付款金额对应的合法发票。</w:t>
            </w:r>
          </w:p>
          <w:p w14:paraId="745AE3FC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</w:rPr>
              <w:t>上述要求不允许负偏离。否则，按无效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投标文件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</w:rPr>
              <w:t>处理。</w:t>
            </w:r>
          </w:p>
        </w:tc>
      </w:tr>
      <w:tr w14:paraId="1A0A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8" w:type="pct"/>
            <w:vAlign w:val="center"/>
          </w:tcPr>
          <w:p w14:paraId="416801E4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958" w:type="pct"/>
            <w:vAlign w:val="center"/>
          </w:tcPr>
          <w:p w14:paraId="69DCC408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服务地点</w:t>
            </w:r>
          </w:p>
        </w:tc>
        <w:tc>
          <w:tcPr>
            <w:tcW w:w="3593" w:type="pct"/>
            <w:vAlign w:val="center"/>
          </w:tcPr>
          <w:p w14:paraId="6A9602DA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eastAsia="zh-CN"/>
              </w:rPr>
              <w:t>安徽省商务厅</w:t>
            </w:r>
          </w:p>
          <w:p w14:paraId="255FDA13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</w:rPr>
              <w:t>上述要求不允许负偏离。否则，</w:t>
            </w:r>
            <w:bookmarkStart w:id="8" w:name="_GoBack"/>
            <w:bookmarkEnd w:id="8"/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</w:rPr>
              <w:t>按无效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投标文件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</w:rPr>
              <w:t>处理。</w:t>
            </w:r>
          </w:p>
        </w:tc>
      </w:tr>
      <w:tr w14:paraId="32FC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8" w:type="pct"/>
            <w:vAlign w:val="center"/>
          </w:tcPr>
          <w:p w14:paraId="120E84F7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958" w:type="pct"/>
            <w:vAlign w:val="center"/>
          </w:tcPr>
          <w:p w14:paraId="1833E8DF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3593" w:type="pct"/>
            <w:vAlign w:val="center"/>
          </w:tcPr>
          <w:p w14:paraId="2278A6B4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合同签订之日起至2025年1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月底，详见采购需求。</w:t>
            </w:r>
          </w:p>
          <w:p w14:paraId="4588BC04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</w:rPr>
              <w:t>上述要求不允许负偏离。否则，按无效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投标文件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</w:rPr>
              <w:t>处理。</w:t>
            </w:r>
          </w:p>
        </w:tc>
      </w:tr>
      <w:tr w14:paraId="3DFF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8" w:type="pct"/>
            <w:vAlign w:val="center"/>
          </w:tcPr>
          <w:p w14:paraId="51752E8B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  <w:lang w:val="en-US" w:eastAsia="zh-CN"/>
              </w:rPr>
              <w:t>4</w:t>
            </w:r>
          </w:p>
        </w:tc>
        <w:tc>
          <w:tcPr>
            <w:tcW w:w="958" w:type="pct"/>
            <w:vAlign w:val="center"/>
          </w:tcPr>
          <w:p w14:paraId="3D66FD96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本项目采购标的名称及所属行业</w:t>
            </w:r>
          </w:p>
        </w:tc>
        <w:tc>
          <w:tcPr>
            <w:tcW w:w="3593" w:type="pct"/>
            <w:vAlign w:val="center"/>
          </w:tcPr>
          <w:p w14:paraId="2A0A50D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标的名称：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2025年“加快培育外贸新动能促进外贸高质量发展”专题培训项目</w:t>
            </w:r>
          </w:p>
          <w:p w14:paraId="54D5EE1F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所属行业：其他未列明行业</w:t>
            </w:r>
          </w:p>
        </w:tc>
      </w:tr>
    </w:tbl>
    <w:p w14:paraId="7FCB5D84">
      <w:pPr>
        <w:numPr>
          <w:ilvl w:val="0"/>
          <w:numId w:val="0"/>
        </w:numPr>
        <w:spacing w:line="360" w:lineRule="auto"/>
        <w:ind w:firstLine="482" w:firstLineChars="200"/>
        <w:outlineLvl w:val="2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bookmarkStart w:id="4" w:name="_Toc16543"/>
      <w:bookmarkStart w:id="5" w:name="_Toc8753"/>
      <w:bookmarkStart w:id="6" w:name="_Hlk16461016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二、</w:t>
      </w:r>
      <w:bookmarkEnd w:id="4"/>
      <w:bookmarkEnd w:id="5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总体目标</w:t>
      </w:r>
    </w:p>
    <w:bookmarkEnd w:id="3"/>
    <w:bookmarkEnd w:id="6"/>
    <w:p w14:paraId="2E25F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全年拟线下培训企业数不少于1500家、人数不少于1700人；线上学习不少于50000人次。通过开展专题培训，落实落细稳外贸支持政策；引导有潜力和意愿从事进出口的企业，帮助中小外贸企业主动应对国际贸易形势的变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，积极参与“徽动全球”出海行动，为安徽外贸大省涵养外贸主体资源。</w:t>
      </w:r>
    </w:p>
    <w:p w14:paraId="52F74D6F">
      <w:pPr>
        <w:numPr>
          <w:ilvl w:val="0"/>
          <w:numId w:val="0"/>
        </w:numPr>
        <w:spacing w:line="360" w:lineRule="auto"/>
        <w:ind w:firstLine="482" w:firstLineChars="200"/>
        <w:outlineLvl w:val="2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三、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培训安排</w:t>
      </w:r>
    </w:p>
    <w:p w14:paraId="5D942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（一）线下培训（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val="en-US" w:eastAsia="zh-CN"/>
        </w:rPr>
        <w:t>12期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）</w:t>
      </w:r>
    </w:p>
    <w:p w14:paraId="24193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1.RCEP等国际经贸新规则专题培训班。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拟安排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2期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地点：合肥、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滁州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市，每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培训时间2.5天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天上午报到，第3天午餐后结束）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；线下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培训企业数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0家，人数不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，合计培训企业不少于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280家、人数不少于290人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。</w:t>
      </w:r>
    </w:p>
    <w:p w14:paraId="18C6A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highlight w:val="none"/>
        </w:rPr>
        <w:t>培训对象：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）我省RCEP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重点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进出口企业；（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已进行海关备案登记未发生进出口实绩的企业；（3）有潜力和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从事RCEP进出口的其他企业；（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市、县（市、区）商务部门外贸工作人员。</w:t>
      </w:r>
    </w:p>
    <w:p w14:paraId="5FCF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培训内容：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外贸形势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分析与预测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；（2）RCEP重点国别（泰国、越南、柬埔寨、印度尼西亚等）贸易情况、市场准入、重点产品税费、纠纷应对等介绍；（3）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RCEP对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我省外贸重点行业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的影响与机遇；（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）RCEP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原产地累积规则及政策介绍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中泰“两国双园”介绍推介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企业产业链供应链合作经验分享；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（7）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全面与进步跨太平洋伙伴关系协定（CPTPP）和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instrText xml:space="preserve"> HYPERLINK "https://www.baidu.com/s?wd=%E6%95%B0%E5%AD%97%E7%BB%8F%E6%B5%8E%E4%BC%99%E4%BC%B4%E5%85%B3%E7%B3%BB%E5%8D%8F%E5%AE%9A&amp;rsv_idx=2&amp;tn=baiduhome_pg&amp;usm=2&amp;ie=utf-8&amp;rsv_pq=9dfbf5ec00b8fbc5&amp;oq=depa%E6%98%AF%E4%BB%80%E4%B9%88%E7%BB%84%E7%BB%87&amp;rsv_t=8917lQ3G3S8x7gB6Q7zRCUF+hosDheGh66uV5MY2LYp45ZlVjAjoNZezZ+hUAdJmGvRH&amp;rsv_dl=re_dqa_generate&amp;sa=re_dqa_generate" \t "https://www.baidu.com/_self" </w:instrTex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数字经济伙伴关系协定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instrText xml:space="preserve"> HYPERLINK "https://www.baidu.com/s?wd=DEPA&amp;rsv_idx=2&amp;tn=baiduhome_pg&amp;usm=2&amp;ie=utf-8&amp;rsv_pq=9dfbf5ec00b8fbc5&amp;oq=depa%E6%98%AF%E4%BB%80%E4%B9%88%E7%BB%84%E7%BB%87&amp;rsv_t=f575Hrxk2HdolYvjX61Cmioq2IBrFVm8KLylFP0FAaF//9J/ydiAhQOqPL79X5+hnynA&amp;rsv_dl=re_dqa_generate&amp;sa=re_dqa_generate" \t "https://www.baidu.com/_self" </w:instrTex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DEPA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）对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我省经贸发展影响；（8）汇率风险管理与金融工具的应用；（9）开展“外综服平台服务地方”系列活动；（10）新形势下的海外参展模式与企业出海布局服务指引。</w:t>
      </w:r>
    </w:p>
    <w:p w14:paraId="659A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highlight w:val="none"/>
        </w:rPr>
        <w:t>师资安排：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邀请国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部委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国家相关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商协会、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长三角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外贸领域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、知名高校、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金融机构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领导、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专家学者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，以及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外贸平台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、大型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企业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集团与知名展览公司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负责人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授课。</w:t>
      </w:r>
    </w:p>
    <w:p w14:paraId="54F8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val="en-US" w:eastAsia="zh-CN"/>
        </w:rPr>
        <w:t>绿色贸易与外贸新动能培育专题培训班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拟安排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4期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，地点：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芜湖、安庆、马鞍山、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铜陵（池州）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每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培训时间2.5天（第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天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上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午报到，第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天午餐后结束）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培训企业数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家，人数不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0人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合计培训企业数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480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家、人数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560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人。</w:t>
      </w:r>
    </w:p>
    <w:p w14:paraId="352F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培训对象：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我省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进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出口企业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已进行海关备案登记未发生进出口实绩的企业；（3）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有进出口潜力和意愿的其他企业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市、县（市、区）商务主管部门外贸工作人员。</w:t>
      </w:r>
    </w:p>
    <w:p w14:paraId="597CCD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bookmarkStart w:id="7" w:name="_Toc30874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培训内容：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（1）2025年外贸形势分析与预测；（2）贸易壁垒对全球经济的影响与应对策略；（3）对俄经贸合作的机遇与风险应对；（4）“一带一路”新兴市场及欧美日经济走势分析；（5）贸易绿色化和数字化转型；（6）数智化技术赋能企业新出海；（7）外贸独立站建设与TikTok应用；（8）企业产业链供应链合作经验分享；（9）外向型产业出口机遇分析；（10）“两用”物项出口合规介绍；（11）RCEP整体情况介绍和企业如何把握机遇；（12）海关AEO认证与企业申请；（13）二手车出口；（14）‌海外市场拓展实践经验分享‌；（15）开展“外综服平台服务地方”系列活动；（16）中间品贸易；（17）出口信保支持政策；（18）APEC商务旅行卡办理介绍；（19）汇率风险管理与金融工具的应用；（20）新形势下的海外参展模式与企业出海布局服务指引。</w:t>
      </w:r>
      <w:bookmarkEnd w:id="7"/>
    </w:p>
    <w:p w14:paraId="520E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师资安排：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邀请国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部委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国家相关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商协会、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长三角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外贸领域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、知名高校、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金融机构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领导、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专家学者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，以及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外贸平台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、大型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企业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集团与知名展览公司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负责人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授课。</w:t>
      </w:r>
    </w:p>
    <w:p w14:paraId="6F83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val="en-US" w:eastAsia="zh-CN"/>
        </w:rPr>
        <w:t>3.产贸融合深化国际市场拓展专题培训班。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拟安排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3期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宣城（黄山）、亳州（阜阳）、蚌埠（淮南），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每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培训时间2.5天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天上午报到，第3天午餐后结束）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培训企业数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人数不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少于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合计培训企业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360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家、人数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420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人。</w:t>
      </w:r>
    </w:p>
    <w:p w14:paraId="013F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highlight w:val="none"/>
        </w:rPr>
        <w:t>培训对象：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我省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进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出口企业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已进行海关备案登记尚未发生外贸实绩的企业；（3）有进出口潜力和意愿的其他企业；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市、县（市、区）商务部门外贸工作人员。</w:t>
      </w:r>
    </w:p>
    <w:p w14:paraId="3BE9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bidi="ar"/>
        </w:rPr>
        <w:t>培训内容：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外贸形势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分析与预测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；（2）贸易壁垒对全球经济的影响与应对策略；（3）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数智化技术赋能企业新出海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；（4）绿色贸易政策解读及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企业实践案例分享；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（5）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二手车出口；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（6）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“保税+”业态的创新发展；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（7）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RCEP政策运用与东盟市场开拓；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（8）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全球产业链供应链演化趋势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国际合作；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9）开展“外综服平台服务地方”系列活动；（10）海关AEO认证与企业申请；（12）APEC商务旅行卡办理介绍；（11）汇率风险管理与金融工具的应用；（12）海外参展模式与企业出海布局服务指引。</w:t>
      </w:r>
    </w:p>
    <w:p w14:paraId="60E9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bidi="ar"/>
        </w:rPr>
        <w:t>师资安排：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邀请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长三角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外贸领域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、高等院校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和金融机构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领导、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专家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学者，以及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综合服务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平台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、大型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企业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与知名展览公司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负责人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授课。</w:t>
      </w:r>
    </w:p>
    <w:p w14:paraId="67A3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4.“一带一路”等新兴市场开拓专题培训班。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拟安排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2期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，地点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六安、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宿州（淮北）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每期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培训时间2.5天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（第1天上午报到，第3天午餐后结束）；培训企业数不少于120家、人数不少于140人。合计培训企业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240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家、人数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280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人。</w:t>
      </w:r>
    </w:p>
    <w:p w14:paraId="69593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培训对象：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我省有意开拓“一带一路”市场的进出口企业；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已进行海关备案登记尚未发生外贸实绩的企业；（3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有进出口潜力和意愿的其他企业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市、县（市、区）商务部门外贸工作人员。</w:t>
      </w:r>
    </w:p>
    <w:p w14:paraId="6692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培训内容：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外贸形势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分析与预测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；（2）贸易壁垒对全球经济的影响与应对策略；（3）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数智化技术赋能企业新出海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；（4）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“一带一路”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经贸合作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非洲和中东市场分析；（6）俄罗斯和中亚市场分析；（7）东盟和日韩市场分析；（8）拉美市场分析；（9）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贸易绿色化和数字化转型；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（10）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开展“外综服平台服务地方”系列活动；（11）APEC商务旅行卡办理介绍；（12）汇率风险管理与金融工具的应用；（13）新形势下的海外参展模式与企业出海布局服务指引。</w:t>
      </w:r>
    </w:p>
    <w:p w14:paraId="00610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师资安排：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邀请国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部委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国家相关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商协会、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长三角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外贸领域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、知名高校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和金融机构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领导、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专家学者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，以及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外贸平台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大型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企业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集团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负责人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授课。</w:t>
      </w:r>
    </w:p>
    <w:p w14:paraId="1B8171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5.企业国际化经营合规与风险防范专题培训班。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拟安排1期，地点：合肥市，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培训时间2.5天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天上午报到，第3天午餐后结束）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培训企业数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人数不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少于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C53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培训对象：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我省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进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"/>
        </w:rPr>
        <w:t>出口企业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已进行海关备案登记尚未发生外贸实绩的企业；（3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有进出口潜力和意愿的其他企业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市、县（市、区）商务部门外贸工作人员。</w:t>
      </w:r>
    </w:p>
    <w:p w14:paraId="620C6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培训内容：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外贸形势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分析与预测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（2）解读《国务院关于进一步加强贸易政策合规工作的意见》（国办发﹝2025﹞12号）以及贸易政策合规（货物贸易、服务贸易、外商投资、知识产权、透明度等）；（3）美国的制裁手段及中国企业应对举措；（4）新形势下我国参与世贸组织工作的挑战与机遇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“新三样”出口面临的形势；（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6）出海企业合规体系建设（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反倾销与反补贴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海关与税务合规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数据保护与隐私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知识产权保护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合同与商业合规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）；（7）美国出口管制清单对中国企业的影响与应对策略；（8）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出口市场风险分析与应对措施；（9）汇率风险管理与金融工具的应用；（10）开展“外综服平台服务地方”系列活动；（11）新形势下的海外参展模式与企业出海布局服务指引。</w:t>
      </w:r>
    </w:p>
    <w:p w14:paraId="637C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师资安排：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邀请国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部委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国家相关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商协会、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长三角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外贸领域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、知名高校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和金融机构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相关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领导、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专家学者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，以及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外贸平台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、大型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企业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集团与知名展览公司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负责人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授课。</w:t>
      </w:r>
    </w:p>
    <w:p w14:paraId="0208E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线上培训。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培训班开班后同步进行课程录制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和剪辑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，原则上培训结束半个月内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上传安徽省外贸综合服务平台和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网络云平台在线培训系统，供全省外贸企业免费学习，全年学习不少于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50，000人次。</w:t>
      </w:r>
    </w:p>
    <w:p w14:paraId="6102876C">
      <w:pPr>
        <w:numPr>
          <w:ilvl w:val="0"/>
          <w:numId w:val="0"/>
        </w:numPr>
        <w:spacing w:line="360" w:lineRule="auto"/>
        <w:ind w:firstLine="482" w:firstLineChars="200"/>
        <w:outlineLvl w:val="2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三、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培训进度</w:t>
      </w:r>
    </w:p>
    <w:p w14:paraId="20A7EA5F">
      <w:pPr>
        <w:numPr>
          <w:ilvl w:val="0"/>
          <w:numId w:val="0"/>
        </w:numPr>
        <w:spacing w:line="360" w:lineRule="auto"/>
        <w:ind w:firstLine="482" w:firstLineChars="200"/>
        <w:outlineLvl w:val="2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eastAsia="zh-CN"/>
        </w:rPr>
        <w:t>（一）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培训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安排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6-11月实施培训，11月底前完成培训；结合培训组织开展省直公司外贸业务员下基层现场对接会。</w:t>
      </w:r>
    </w:p>
    <w:p w14:paraId="5269E4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（二）教材编印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前完成1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000份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逆全球化形势下外贸企业突围：从理论到实践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》（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终稿，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20万字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编印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随培训免费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发放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给参训企业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0151CA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宣传形式。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采取灵活多样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形式，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加大专题培训的宣传力度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"/>
        </w:rPr>
        <w:t>断扩大培训的影响力和覆盖面。</w:t>
      </w:r>
    </w:p>
    <w:p w14:paraId="089DE2D4">
      <w:pPr>
        <w:numPr>
          <w:ilvl w:val="0"/>
          <w:numId w:val="0"/>
        </w:numPr>
        <w:spacing w:line="360" w:lineRule="auto"/>
        <w:ind w:firstLine="482" w:firstLineChars="200"/>
        <w:outlineLvl w:val="2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四、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eastAsia="zh-CN"/>
        </w:rPr>
        <w:t>培训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 xml:space="preserve">方式   </w:t>
      </w:r>
    </w:p>
    <w:p w14:paraId="28DF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分区域分地市相对集中举办，覆盖全省16个市。通过公开采购方式委托第三方机构具体承办。</w:t>
      </w:r>
    </w:p>
    <w:p w14:paraId="275052C2">
      <w:pPr>
        <w:numPr>
          <w:ilvl w:val="0"/>
          <w:numId w:val="0"/>
        </w:numPr>
        <w:spacing w:line="360" w:lineRule="auto"/>
        <w:ind w:firstLine="482" w:firstLineChars="200"/>
        <w:outlineLvl w:val="2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五、经费安排</w:t>
      </w:r>
    </w:p>
    <w:p w14:paraId="59A2ABEA">
      <w:pPr>
        <w:numPr>
          <w:ilvl w:val="0"/>
          <w:numId w:val="0"/>
        </w:numPr>
        <w:spacing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主要用于培训场地租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用、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员食宿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安排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、授课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教师邀请、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教材编印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和线上课程制作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等。</w:t>
      </w:r>
    </w:p>
    <w:p w14:paraId="5AEA65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验收要求</w:t>
      </w:r>
    </w:p>
    <w:p w14:paraId="7E013A7B">
      <w:pPr>
        <w:pStyle w:val="2"/>
        <w:numPr>
          <w:ilvl w:val="0"/>
          <w:numId w:val="0"/>
        </w:numPr>
        <w:rPr>
          <w:rFonts w:hint="eastAsia"/>
          <w:b w:val="0"/>
          <w:bCs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委托第三方机构进行验收。</w:t>
      </w:r>
    </w:p>
    <w:p w14:paraId="28D3D2DF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91DBA"/>
    <w:multiLevelType w:val="singleLevel"/>
    <w:tmpl w:val="11891DB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1E4A"/>
    <w:rsid w:val="215757C2"/>
    <w:rsid w:val="3D931E4A"/>
    <w:rsid w:val="3F20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&amp;L"/>
    <w:basedOn w:val="5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3828</Words>
  <Characters>4024</Characters>
  <Lines>0</Lines>
  <Paragraphs>0</Paragraphs>
  <TotalTime>0</TotalTime>
  <ScaleCrop>false</ScaleCrop>
  <LinksUpToDate>false</LinksUpToDate>
  <CharactersWithSpaces>4030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2025-05-30T09:22:00Z</dcterms:created>
  <dc:creator>Administrator</dc:creator>
  <cp:lastModifiedBy>Administrator</cp:lastModifiedBy>
  <dcterms:modified xsi:type="dcterms:W3CDTF">2025-05-30T09:23:29Z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1D7B7C0CBB0F44E9BA8DB14B79D63109_11</vt:lpwstr>
  </property>
  <property fmtid="{D5CDD505-2E9C-101B-9397-08002B2CF9AE}" pid="4" name="KSOTemplateDocerSaveRecord">
    <vt:lpwstr>eyJoZGlkIjoiODExNWRiOGMwMGJjNGM2NmQwOGQwOGJmMTI5MGE0ZTIiLCJ1c2VySWQiOiI3OTY5NzA1ODIifQ==</vt:lpwstr>
  </property>
</Properties>
</file>