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83E36">
      <w:pPr>
        <w:widowControl/>
        <w:tabs>
          <w:tab w:val="center" w:pos="4153"/>
        </w:tabs>
        <w:spacing w:line="440" w:lineRule="exact"/>
        <w:jc w:val="center"/>
        <w:rPr>
          <w:rFonts w:ascii="宋体" w:hAnsi="宋体"/>
          <w:sz w:val="36"/>
          <w:szCs w:val="36"/>
        </w:rPr>
      </w:pPr>
      <w:r>
        <w:rPr>
          <w:rFonts w:hint="eastAsia" w:ascii="宋体" w:hAnsi="宋体"/>
          <w:sz w:val="36"/>
          <w:szCs w:val="36"/>
        </w:rPr>
        <w:t xml:space="preserve">                      </w:t>
      </w:r>
    </w:p>
    <w:p w14:paraId="390D323D">
      <w:pPr>
        <w:widowControl/>
        <w:tabs>
          <w:tab w:val="center" w:pos="4153"/>
        </w:tabs>
        <w:spacing w:line="480" w:lineRule="auto"/>
        <w:jc w:val="center"/>
        <w:rPr>
          <w:rFonts w:ascii="宋体" w:hAnsi="宋体"/>
          <w:sz w:val="36"/>
          <w:szCs w:val="36"/>
        </w:rPr>
      </w:pPr>
    </w:p>
    <w:p w14:paraId="69D089FB">
      <w:pPr>
        <w:tabs>
          <w:tab w:val="left" w:pos="420"/>
        </w:tabs>
        <w:spacing w:line="1700" w:lineRule="exact"/>
        <w:jc w:val="center"/>
        <w:outlineLvl w:val="0"/>
        <w:rPr>
          <w:rFonts w:ascii="Arial Black" w:hAnsi="Arial Black" w:eastAsia="黑体"/>
          <w:b/>
          <w:bCs/>
          <w:sz w:val="52"/>
          <w:szCs w:val="52"/>
          <w14:shadow w14:blurRad="50800" w14:dist="38100" w14:dir="2700000" w14:sx="100000" w14:sy="100000" w14:kx="0" w14:ky="0" w14:algn="tl">
            <w14:srgbClr w14:val="000000">
              <w14:alpha w14:val="60000"/>
            </w14:srgbClr>
          </w14:shadow>
        </w:rPr>
      </w:pPr>
      <w:bookmarkStart w:id="0" w:name="_Toc4607"/>
      <w:r>
        <w:rPr>
          <w:rFonts w:hint="eastAsia" w:ascii="Arial Black" w:hAnsi="Arial Black" w:eastAsia="黑体"/>
          <w:b/>
          <w:bCs/>
          <w:sz w:val="52"/>
          <w:szCs w:val="52"/>
          <w14:shadow w14:blurRad="50800" w14:dist="38100" w14:dir="2700000" w14:sx="100000" w14:sy="100000" w14:kx="0" w14:ky="0" w14:algn="tl">
            <w14:srgbClr w14:val="000000">
              <w14:alpha w14:val="60000"/>
            </w14:srgbClr>
          </w14:shadow>
        </w:rPr>
        <w:t>安徽安天利信工程管理股份有限公司</w:t>
      </w:r>
      <w:bookmarkEnd w:id="0"/>
    </w:p>
    <w:p w14:paraId="51FD924D">
      <w:pPr>
        <w:tabs>
          <w:tab w:val="left" w:pos="420"/>
        </w:tabs>
        <w:spacing w:line="1700" w:lineRule="exact"/>
        <w:jc w:val="center"/>
        <w:outlineLvl w:val="0"/>
        <w:rPr>
          <w:rFonts w:ascii="Arial Black" w:hAnsi="Arial Black" w:eastAsia="黑体"/>
          <w:b/>
          <w:sz w:val="52"/>
          <w:szCs w:val="52"/>
          <w14:shadow w14:blurRad="50800" w14:dist="38100" w14:dir="2700000" w14:sx="100000" w14:sy="100000" w14:kx="0" w14:ky="0" w14:algn="tl">
            <w14:srgbClr w14:val="000000">
              <w14:alpha w14:val="60000"/>
            </w14:srgbClr>
          </w14:shadow>
        </w:rPr>
      </w:pPr>
      <w:bookmarkStart w:id="1" w:name="_Toc15230"/>
      <w:r>
        <w:rPr>
          <w:rFonts w:hint="eastAsia" w:ascii="Arial Black" w:hAnsi="Arial Black" w:eastAsia="黑体"/>
          <w:b/>
          <w:bCs/>
          <w:sz w:val="52"/>
          <w:szCs w:val="52"/>
          <w14:shadow w14:blurRad="50800" w14:dist="38100" w14:dir="2700000" w14:sx="100000" w14:sy="100000" w14:kx="0" w14:ky="0" w14:algn="tl">
            <w14:srgbClr w14:val="000000">
              <w14:alpha w14:val="60000"/>
            </w14:srgbClr>
          </w14:shadow>
        </w:rPr>
        <w:t>政府采购服务类招标文件</w:t>
      </w:r>
      <w:bookmarkEnd w:id="1"/>
    </w:p>
    <w:p w14:paraId="48D656C7">
      <w:pPr>
        <w:tabs>
          <w:tab w:val="left" w:pos="315"/>
          <w:tab w:val="left" w:pos="8820"/>
        </w:tabs>
        <w:spacing w:line="1700" w:lineRule="exact"/>
        <w:ind w:right="267" w:rightChars="127"/>
        <w:jc w:val="center"/>
        <w:rPr>
          <w:rFonts w:ascii="仿宋_GB2312" w:eastAsia="仿宋_GB2312"/>
          <w:sz w:val="44"/>
        </w:rPr>
      </w:pPr>
      <w:r>
        <w:rPr>
          <w:rFonts w:hint="eastAsia" w:ascii="仿宋_GB2312" w:eastAsia="仿宋_GB2312"/>
          <w:sz w:val="44"/>
        </w:rPr>
        <w:drawing>
          <wp:anchor distT="0" distB="0" distL="114300" distR="114300" simplePos="0" relativeHeight="251659264" behindDoc="0" locked="0" layoutInCell="1" allowOverlap="1">
            <wp:simplePos x="0" y="0"/>
            <wp:positionH relativeFrom="column">
              <wp:align>center</wp:align>
            </wp:positionH>
            <wp:positionV relativeFrom="paragraph">
              <wp:posOffset>415925</wp:posOffset>
            </wp:positionV>
            <wp:extent cx="4744720" cy="3164205"/>
            <wp:effectExtent l="0" t="0" r="0" b="0"/>
            <wp:wrapSquare wrapText="bothSides"/>
            <wp:docPr id="1" name="图片 2" descr="48747075266018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87470752660183408"/>
                    <pic:cNvPicPr>
                      <a:picLocks noChangeAspect="1"/>
                    </pic:cNvPicPr>
                  </pic:nvPicPr>
                  <pic:blipFill>
                    <a:blip r:embed="rId10"/>
                    <a:stretch>
                      <a:fillRect/>
                    </a:stretch>
                  </pic:blipFill>
                  <pic:spPr>
                    <a:xfrm>
                      <a:off x="0" y="0"/>
                      <a:ext cx="4744720" cy="3164205"/>
                    </a:xfrm>
                    <a:prstGeom prst="rect">
                      <a:avLst/>
                    </a:prstGeom>
                    <a:noFill/>
                    <a:ln>
                      <a:noFill/>
                    </a:ln>
                  </pic:spPr>
                </pic:pic>
              </a:graphicData>
            </a:graphic>
          </wp:anchor>
        </w:drawing>
      </w:r>
    </w:p>
    <w:p w14:paraId="22665D6B">
      <w:pPr>
        <w:tabs>
          <w:tab w:val="left" w:pos="315"/>
          <w:tab w:val="left" w:pos="8820"/>
        </w:tabs>
        <w:ind w:right="267" w:rightChars="127"/>
        <w:jc w:val="center"/>
        <w:rPr>
          <w:rFonts w:ascii="仿宋_GB2312" w:eastAsia="仿宋_GB2312"/>
          <w:sz w:val="44"/>
        </w:rPr>
      </w:pPr>
    </w:p>
    <w:p w14:paraId="7F5829B2">
      <w:pPr>
        <w:tabs>
          <w:tab w:val="left" w:pos="315"/>
          <w:tab w:val="left" w:pos="8820"/>
        </w:tabs>
        <w:spacing w:before="240" w:beforeLines="100" w:after="120" w:afterLines="50" w:line="500" w:lineRule="exact"/>
        <w:ind w:right="267" w:rightChars="127"/>
        <w:rPr>
          <w:rFonts w:ascii="仿宋_GB2312" w:eastAsia="仿宋_GB2312"/>
          <w:b/>
          <w:bCs/>
          <w:sz w:val="32"/>
        </w:rPr>
      </w:pPr>
    </w:p>
    <w:p w14:paraId="53D7DFED">
      <w:pPr>
        <w:tabs>
          <w:tab w:val="left" w:pos="315"/>
          <w:tab w:val="left" w:pos="8820"/>
        </w:tabs>
        <w:spacing w:line="500" w:lineRule="exact"/>
        <w:ind w:right="267" w:rightChars="127"/>
        <w:rPr>
          <w:rFonts w:ascii="仿宋_GB2312" w:eastAsia="仿宋_GB2312"/>
          <w:b/>
          <w:bCs/>
          <w:sz w:val="36"/>
        </w:rPr>
      </w:pPr>
    </w:p>
    <w:p w14:paraId="05DA0F3B">
      <w:pPr>
        <w:tabs>
          <w:tab w:val="left" w:pos="315"/>
          <w:tab w:val="left" w:pos="8820"/>
        </w:tabs>
        <w:spacing w:line="500" w:lineRule="exact"/>
        <w:ind w:right="267" w:rightChars="127"/>
        <w:rPr>
          <w:rFonts w:ascii="仿宋_GB2312" w:eastAsia="仿宋_GB2312"/>
          <w:sz w:val="36"/>
        </w:rPr>
      </w:pPr>
    </w:p>
    <w:p w14:paraId="7301268F">
      <w:pPr>
        <w:tabs>
          <w:tab w:val="left" w:pos="315"/>
          <w:tab w:val="left" w:pos="8820"/>
        </w:tabs>
        <w:spacing w:line="500" w:lineRule="exact"/>
        <w:ind w:right="267" w:rightChars="127"/>
        <w:rPr>
          <w:rFonts w:ascii="仿宋_GB2312" w:eastAsia="仿宋_GB2312"/>
          <w:sz w:val="36"/>
        </w:rPr>
      </w:pPr>
    </w:p>
    <w:p w14:paraId="615B372C">
      <w:pPr>
        <w:pStyle w:val="5"/>
        <w:ind w:firstLine="964" w:firstLineChars="300"/>
        <w:rPr>
          <w:rFonts w:ascii="黑体" w:hAnsi="黑体" w:eastAsia="黑体" w:cs="黑体"/>
          <w:b/>
          <w:bCs/>
          <w:sz w:val="32"/>
          <w:u w:val="single"/>
        </w:rPr>
      </w:pPr>
      <w:r>
        <w:rPr>
          <w:rFonts w:hint="eastAsia" w:ascii="黑体" w:hAnsi="黑体" w:eastAsia="黑体" w:cs="黑体"/>
          <w:b/>
          <w:bCs/>
          <w:sz w:val="32"/>
        </w:rPr>
        <w:t>项目名称：</w:t>
      </w:r>
      <w:r>
        <w:rPr>
          <w:rFonts w:hint="eastAsia" w:ascii="黑体" w:hAnsi="黑体" w:eastAsia="黑体" w:cs="黑体"/>
          <w:b/>
          <w:bCs/>
          <w:sz w:val="32"/>
          <w:u w:val="single"/>
        </w:rPr>
        <w:t>安徽医科大学附属口腔医院（安徽省口腔医院）2025年第五批医用耗材配送服务项目</w:t>
      </w:r>
    </w:p>
    <w:p w14:paraId="02499A2C">
      <w:pPr>
        <w:pStyle w:val="5"/>
        <w:ind w:firstLine="964" w:firstLineChars="300"/>
        <w:rPr>
          <w:rFonts w:ascii="黑体" w:hAnsi="黑体" w:eastAsia="黑体" w:cs="黑体"/>
          <w:b/>
          <w:bCs/>
          <w:sz w:val="32"/>
          <w:u w:val="single"/>
        </w:rPr>
      </w:pPr>
      <w:r>
        <w:rPr>
          <w:rFonts w:hint="eastAsia" w:ascii="黑体" w:hAnsi="黑体" w:eastAsia="黑体" w:cs="黑体"/>
          <w:b/>
          <w:bCs/>
          <w:sz w:val="32"/>
        </w:rPr>
        <w:t>项目编号：25AT91036606547</w:t>
      </w:r>
    </w:p>
    <w:p w14:paraId="0874EC66">
      <w:pPr>
        <w:pStyle w:val="5"/>
        <w:ind w:firstLine="964" w:firstLineChars="300"/>
        <w:rPr>
          <w:rFonts w:ascii="黑体" w:hAnsi="黑体" w:eastAsia="黑体" w:cs="黑体"/>
          <w:b/>
          <w:bCs/>
          <w:sz w:val="32"/>
          <w:u w:val="single"/>
        </w:rPr>
      </w:pPr>
      <w:r>
        <w:rPr>
          <w:rFonts w:hint="eastAsia" w:ascii="黑体" w:hAnsi="黑体" w:eastAsia="黑体" w:cs="黑体"/>
          <w:b/>
          <w:bCs/>
          <w:sz w:val="32"/>
        </w:rPr>
        <w:t>采购人：</w:t>
      </w:r>
      <w:r>
        <w:rPr>
          <w:rFonts w:hint="eastAsia" w:ascii="黑体" w:hAnsi="黑体" w:eastAsia="黑体" w:cs="黑体"/>
          <w:b/>
          <w:bCs/>
          <w:sz w:val="32"/>
          <w:u w:val="single"/>
        </w:rPr>
        <w:t>安徽医科大学附属口腔医院（安徽省口腔医院）</w:t>
      </w:r>
    </w:p>
    <w:p w14:paraId="61669003">
      <w:pPr>
        <w:pStyle w:val="5"/>
        <w:ind w:firstLine="964" w:firstLineChars="300"/>
        <w:rPr>
          <w:rFonts w:ascii="宋体" w:hAnsi="宋体"/>
          <w:sz w:val="32"/>
        </w:rPr>
      </w:pPr>
      <w:r>
        <w:rPr>
          <w:rFonts w:hint="eastAsia" w:ascii="黑体" w:hAnsi="黑体" w:eastAsia="黑体" w:cs="黑体"/>
          <w:b/>
          <w:bCs/>
          <w:sz w:val="32"/>
        </w:rPr>
        <w:t>代理机构：安徽安天利信工程管理股份有限公司</w:t>
      </w:r>
    </w:p>
    <w:p w14:paraId="4FB58067">
      <w:pPr>
        <w:tabs>
          <w:tab w:val="left" w:pos="2410"/>
        </w:tabs>
        <w:autoSpaceDE w:val="0"/>
        <w:autoSpaceDN w:val="0"/>
        <w:adjustRightInd w:val="0"/>
        <w:snapToGrid w:val="0"/>
        <w:spacing w:line="360" w:lineRule="auto"/>
        <w:jc w:val="center"/>
        <w:rPr>
          <w:rFonts w:ascii="宋体" w:hAnsi="DotumChe" w:cs="宋体"/>
          <w:b/>
          <w:spacing w:val="20"/>
          <w:kern w:val="0"/>
          <w:sz w:val="36"/>
          <w:szCs w:val="36"/>
        </w:rPr>
      </w:pPr>
    </w:p>
    <w:p w14:paraId="2AE24A66">
      <w:pPr>
        <w:tabs>
          <w:tab w:val="left" w:pos="2410"/>
        </w:tabs>
        <w:spacing w:line="360" w:lineRule="auto"/>
        <w:jc w:val="center"/>
        <w:rPr>
          <w:rFonts w:ascii="黑体" w:hAnsi="黑体" w:eastAsia="黑体" w:cs="黑体"/>
          <w:sz w:val="32"/>
          <w:szCs w:val="32"/>
        </w:rPr>
      </w:pPr>
      <w:r>
        <w:rPr>
          <w:rFonts w:hint="eastAsia" w:ascii="黑体" w:hAnsi="黑体" w:eastAsia="黑体" w:cs="黑体"/>
          <w:sz w:val="32"/>
          <w:szCs w:val="32"/>
        </w:rPr>
        <w:t>二〇二五年九月</w:t>
      </w:r>
    </w:p>
    <w:p w14:paraId="641A5DF6">
      <w:pPr>
        <w:widowControl/>
        <w:shd w:val="clear" w:color="auto" w:fill="FFFFFF"/>
        <w:spacing w:before="120" w:beforeLines="50" w:after="120" w:afterLines="50" w:line="360" w:lineRule="atLeast"/>
        <w:jc w:val="center"/>
        <w:rPr>
          <w:rFonts w:ascii="宋体" w:hAnsi="宋体"/>
          <w:b/>
          <w:bCs/>
          <w:sz w:val="44"/>
          <w:szCs w:val="44"/>
        </w:rPr>
        <w:sectPr>
          <w:headerReference r:id="rId3" w:type="default"/>
          <w:footerReference r:id="rId4"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bookmarkStart w:id="2" w:name="_Toc15507"/>
      <w:bookmarkStart w:id="3" w:name="_Toc30750"/>
      <w:bookmarkStart w:id="4" w:name="_Toc25313"/>
    </w:p>
    <w:p w14:paraId="61FADF2D">
      <w:pPr>
        <w:jc w:val="center"/>
        <w:rPr>
          <w:rFonts w:ascii="宋体" w:hAnsi="宋体"/>
          <w:b/>
          <w:bCs/>
          <w:sz w:val="44"/>
          <w:szCs w:val="44"/>
        </w:rPr>
      </w:pPr>
      <w:r>
        <w:rPr>
          <w:rFonts w:ascii="宋体" w:hAnsi="宋体"/>
          <w:b/>
          <w:bCs/>
          <w:sz w:val="44"/>
          <w:szCs w:val="44"/>
        </w:rPr>
        <w:t>目</w:t>
      </w:r>
      <w:r>
        <w:rPr>
          <w:rFonts w:hint="eastAsia" w:ascii="宋体" w:hAnsi="宋体"/>
          <w:b/>
          <w:bCs/>
          <w:sz w:val="44"/>
          <w:szCs w:val="44"/>
        </w:rPr>
        <w:t xml:space="preserve">  </w:t>
      </w:r>
      <w:r>
        <w:rPr>
          <w:rFonts w:ascii="宋体" w:hAnsi="宋体"/>
          <w:b/>
          <w:bCs/>
          <w:sz w:val="44"/>
          <w:szCs w:val="44"/>
        </w:rPr>
        <w:t>录</w:t>
      </w:r>
    </w:p>
    <w:p w14:paraId="3F630F9F">
      <w:pPr>
        <w:pStyle w:val="18"/>
        <w:tabs>
          <w:tab w:val="right" w:leader="dot" w:pos="9638"/>
        </w:tabs>
      </w:pPr>
      <w:r>
        <w:rPr>
          <w:rFonts w:hint="eastAsia" w:ascii="宋体" w:hAnsi="宋体"/>
          <w:b/>
          <w:bCs/>
          <w:sz w:val="44"/>
          <w:szCs w:val="44"/>
        </w:rPr>
        <w:fldChar w:fldCharType="begin"/>
      </w:r>
      <w:r>
        <w:rPr>
          <w:rFonts w:hint="eastAsia" w:ascii="宋体" w:hAnsi="宋体"/>
          <w:b/>
          <w:bCs/>
          <w:sz w:val="44"/>
          <w:szCs w:val="44"/>
        </w:rPr>
        <w:instrText xml:space="preserve">TOC \o "1-1" \h \u </w:instrText>
      </w:r>
      <w:r>
        <w:rPr>
          <w:rFonts w:hint="eastAsia" w:ascii="宋体" w:hAnsi="宋体"/>
          <w:b/>
          <w:bCs/>
          <w:sz w:val="44"/>
          <w:szCs w:val="44"/>
        </w:rPr>
        <w:fldChar w:fldCharType="separate"/>
      </w:r>
    </w:p>
    <w:p w14:paraId="22711D43">
      <w:pPr>
        <w:pStyle w:val="18"/>
        <w:tabs>
          <w:tab w:val="right" w:leader="dot" w:pos="9638"/>
        </w:tabs>
        <w:spacing w:line="360" w:lineRule="auto"/>
        <w:rPr>
          <w:rFonts w:ascii="宋体" w:hAnsi="宋体" w:cs="宋体"/>
          <w:bCs/>
          <w:sz w:val="28"/>
          <w:szCs w:val="28"/>
        </w:rPr>
      </w:pPr>
      <w:r>
        <w:fldChar w:fldCharType="begin"/>
      </w:r>
      <w:r>
        <w:instrText xml:space="preserve"> HYPERLINK \l "_Toc11995" </w:instrText>
      </w:r>
      <w:r>
        <w:fldChar w:fldCharType="separate"/>
      </w:r>
      <w:r>
        <w:rPr>
          <w:rFonts w:hint="eastAsia" w:ascii="宋体" w:hAnsi="宋体" w:cs="宋体"/>
          <w:bCs/>
          <w:sz w:val="28"/>
          <w:szCs w:val="28"/>
        </w:rPr>
        <w:t>第一章招标公告</w:t>
      </w:r>
      <w:r>
        <w:rPr>
          <w:rFonts w:hint="eastAsia" w:ascii="宋体" w:hAnsi="宋体" w:cs="宋体"/>
          <w:bCs/>
          <w:sz w:val="28"/>
          <w:szCs w:val="28"/>
        </w:rPr>
        <w:tab/>
      </w:r>
      <w:r>
        <w:rPr>
          <w:rFonts w:hint="eastAsia" w:ascii="宋体" w:hAnsi="宋体" w:cs="宋体"/>
          <w:bCs/>
          <w:sz w:val="28"/>
          <w:szCs w:val="28"/>
        </w:rPr>
        <w:fldChar w:fldCharType="begin"/>
      </w:r>
      <w:r>
        <w:rPr>
          <w:rFonts w:hint="eastAsia" w:ascii="宋体" w:hAnsi="宋体" w:cs="宋体"/>
          <w:bCs/>
          <w:sz w:val="28"/>
          <w:szCs w:val="28"/>
        </w:rPr>
        <w:instrText xml:space="preserve"> PAGEREF _Toc11995 \h </w:instrText>
      </w:r>
      <w:r>
        <w:rPr>
          <w:rFonts w:hint="eastAsia" w:ascii="宋体" w:hAnsi="宋体" w:cs="宋体"/>
          <w:bCs/>
          <w:sz w:val="28"/>
          <w:szCs w:val="28"/>
        </w:rPr>
        <w:fldChar w:fldCharType="separate"/>
      </w:r>
      <w:r>
        <w:rPr>
          <w:rFonts w:hint="eastAsia" w:ascii="宋体" w:hAnsi="宋体" w:cs="宋体"/>
          <w:bCs/>
          <w:sz w:val="28"/>
          <w:szCs w:val="28"/>
        </w:rPr>
        <w:t>1</w:t>
      </w:r>
      <w:r>
        <w:rPr>
          <w:rFonts w:hint="eastAsia" w:ascii="宋体" w:hAnsi="宋体" w:cs="宋体"/>
          <w:bCs/>
          <w:sz w:val="28"/>
          <w:szCs w:val="28"/>
        </w:rPr>
        <w:fldChar w:fldCharType="end"/>
      </w:r>
      <w:r>
        <w:rPr>
          <w:rFonts w:hint="eastAsia" w:ascii="宋体" w:hAnsi="宋体" w:cs="宋体"/>
          <w:bCs/>
          <w:sz w:val="28"/>
          <w:szCs w:val="28"/>
        </w:rPr>
        <w:fldChar w:fldCharType="end"/>
      </w:r>
    </w:p>
    <w:p w14:paraId="01985505">
      <w:pPr>
        <w:pStyle w:val="18"/>
        <w:tabs>
          <w:tab w:val="right" w:leader="dot" w:pos="9638"/>
        </w:tabs>
        <w:spacing w:line="360" w:lineRule="auto"/>
        <w:rPr>
          <w:rFonts w:ascii="宋体" w:hAnsi="宋体" w:cs="宋体"/>
          <w:bCs/>
          <w:sz w:val="28"/>
          <w:szCs w:val="28"/>
        </w:rPr>
      </w:pPr>
      <w:r>
        <w:fldChar w:fldCharType="begin"/>
      </w:r>
      <w:r>
        <w:instrText xml:space="preserve"> HYPERLINK \l "_Toc14156" </w:instrText>
      </w:r>
      <w:r>
        <w:fldChar w:fldCharType="separate"/>
      </w:r>
      <w:r>
        <w:rPr>
          <w:rFonts w:hint="eastAsia" w:ascii="宋体" w:hAnsi="宋体" w:cs="宋体"/>
          <w:bCs/>
          <w:sz w:val="28"/>
          <w:szCs w:val="28"/>
        </w:rPr>
        <w:t>第二章投标供应商须知</w:t>
      </w:r>
      <w:r>
        <w:rPr>
          <w:rFonts w:hint="eastAsia" w:ascii="宋体" w:hAnsi="宋体" w:cs="宋体"/>
          <w:bCs/>
          <w:sz w:val="28"/>
          <w:szCs w:val="28"/>
        </w:rPr>
        <w:tab/>
      </w:r>
      <w:r>
        <w:rPr>
          <w:rFonts w:hint="eastAsia" w:ascii="宋体" w:hAnsi="宋体" w:cs="宋体"/>
          <w:bCs/>
          <w:sz w:val="28"/>
          <w:szCs w:val="28"/>
        </w:rPr>
        <w:fldChar w:fldCharType="begin"/>
      </w:r>
      <w:r>
        <w:rPr>
          <w:rFonts w:hint="eastAsia" w:ascii="宋体" w:hAnsi="宋体" w:cs="宋体"/>
          <w:bCs/>
          <w:sz w:val="28"/>
          <w:szCs w:val="28"/>
        </w:rPr>
        <w:instrText xml:space="preserve"> PAGEREF _Toc14156 \h </w:instrText>
      </w:r>
      <w:r>
        <w:rPr>
          <w:rFonts w:hint="eastAsia" w:ascii="宋体" w:hAnsi="宋体" w:cs="宋体"/>
          <w:bCs/>
          <w:sz w:val="28"/>
          <w:szCs w:val="28"/>
        </w:rPr>
        <w:fldChar w:fldCharType="separate"/>
      </w:r>
      <w:r>
        <w:rPr>
          <w:rFonts w:hint="eastAsia" w:ascii="宋体" w:hAnsi="宋体" w:cs="宋体"/>
          <w:bCs/>
          <w:sz w:val="28"/>
          <w:szCs w:val="28"/>
        </w:rPr>
        <w:t>4</w:t>
      </w:r>
      <w:r>
        <w:rPr>
          <w:rFonts w:hint="eastAsia" w:ascii="宋体" w:hAnsi="宋体" w:cs="宋体"/>
          <w:bCs/>
          <w:sz w:val="28"/>
          <w:szCs w:val="28"/>
        </w:rPr>
        <w:fldChar w:fldCharType="end"/>
      </w:r>
      <w:r>
        <w:rPr>
          <w:rFonts w:hint="eastAsia" w:ascii="宋体" w:hAnsi="宋体" w:cs="宋体"/>
          <w:bCs/>
          <w:sz w:val="28"/>
          <w:szCs w:val="28"/>
        </w:rPr>
        <w:fldChar w:fldCharType="end"/>
      </w:r>
    </w:p>
    <w:p w14:paraId="2B5CD090">
      <w:pPr>
        <w:pStyle w:val="18"/>
        <w:tabs>
          <w:tab w:val="right" w:leader="dot" w:pos="9638"/>
        </w:tabs>
        <w:spacing w:line="360" w:lineRule="auto"/>
        <w:rPr>
          <w:rFonts w:ascii="宋体" w:hAnsi="宋体" w:cs="宋体"/>
          <w:bCs/>
          <w:sz w:val="28"/>
          <w:szCs w:val="28"/>
        </w:rPr>
      </w:pPr>
      <w:r>
        <w:fldChar w:fldCharType="begin"/>
      </w:r>
      <w:r>
        <w:instrText xml:space="preserve"> HYPERLINK \l "_Toc23727" </w:instrText>
      </w:r>
      <w:r>
        <w:fldChar w:fldCharType="separate"/>
      </w:r>
      <w:r>
        <w:rPr>
          <w:rFonts w:hint="eastAsia" w:ascii="宋体" w:hAnsi="宋体" w:cs="宋体"/>
          <w:bCs/>
          <w:sz w:val="28"/>
          <w:szCs w:val="28"/>
        </w:rPr>
        <w:t>第三章采购需求及技术规格要求</w:t>
      </w:r>
      <w:r>
        <w:rPr>
          <w:rFonts w:hint="eastAsia" w:ascii="宋体" w:hAnsi="宋体" w:cs="宋体"/>
          <w:bCs/>
          <w:sz w:val="28"/>
          <w:szCs w:val="28"/>
        </w:rPr>
        <w:tab/>
      </w:r>
      <w:r>
        <w:rPr>
          <w:rFonts w:hint="eastAsia" w:ascii="宋体" w:hAnsi="宋体" w:cs="宋体"/>
          <w:bCs/>
          <w:sz w:val="28"/>
          <w:szCs w:val="28"/>
        </w:rPr>
        <w:fldChar w:fldCharType="begin"/>
      </w:r>
      <w:r>
        <w:rPr>
          <w:rFonts w:hint="eastAsia" w:ascii="宋体" w:hAnsi="宋体" w:cs="宋体"/>
          <w:bCs/>
          <w:sz w:val="28"/>
          <w:szCs w:val="28"/>
        </w:rPr>
        <w:instrText xml:space="preserve"> PAGEREF _Toc23727 \h </w:instrText>
      </w:r>
      <w:r>
        <w:rPr>
          <w:rFonts w:hint="eastAsia" w:ascii="宋体" w:hAnsi="宋体" w:cs="宋体"/>
          <w:bCs/>
          <w:sz w:val="28"/>
          <w:szCs w:val="28"/>
        </w:rPr>
        <w:fldChar w:fldCharType="separate"/>
      </w:r>
      <w:r>
        <w:rPr>
          <w:rFonts w:hint="eastAsia" w:ascii="宋体" w:hAnsi="宋体" w:cs="宋体"/>
          <w:bCs/>
          <w:sz w:val="28"/>
          <w:szCs w:val="28"/>
        </w:rPr>
        <w:t>25</w:t>
      </w:r>
      <w:r>
        <w:rPr>
          <w:rFonts w:hint="eastAsia" w:ascii="宋体" w:hAnsi="宋体" w:cs="宋体"/>
          <w:bCs/>
          <w:sz w:val="28"/>
          <w:szCs w:val="28"/>
        </w:rPr>
        <w:fldChar w:fldCharType="end"/>
      </w:r>
      <w:r>
        <w:rPr>
          <w:rFonts w:hint="eastAsia" w:ascii="宋体" w:hAnsi="宋体" w:cs="宋体"/>
          <w:bCs/>
          <w:sz w:val="28"/>
          <w:szCs w:val="28"/>
        </w:rPr>
        <w:fldChar w:fldCharType="end"/>
      </w:r>
    </w:p>
    <w:p w14:paraId="2ECF0892">
      <w:pPr>
        <w:pStyle w:val="18"/>
        <w:tabs>
          <w:tab w:val="right" w:leader="dot" w:pos="9638"/>
        </w:tabs>
        <w:spacing w:line="360" w:lineRule="auto"/>
        <w:rPr>
          <w:rFonts w:ascii="宋体" w:hAnsi="宋体" w:cs="宋体"/>
          <w:bCs/>
          <w:sz w:val="28"/>
          <w:szCs w:val="28"/>
        </w:rPr>
      </w:pPr>
      <w:r>
        <w:fldChar w:fldCharType="begin"/>
      </w:r>
      <w:r>
        <w:instrText xml:space="preserve"> HYPERLINK \l "_Toc26691" </w:instrText>
      </w:r>
      <w:r>
        <w:fldChar w:fldCharType="separate"/>
      </w:r>
      <w:r>
        <w:rPr>
          <w:rFonts w:hint="eastAsia" w:ascii="宋体" w:hAnsi="宋体" w:cs="宋体"/>
          <w:bCs/>
          <w:sz w:val="28"/>
          <w:szCs w:val="28"/>
        </w:rPr>
        <w:t>第四章资格审查和评标办法（综合评分法）</w:t>
      </w:r>
      <w:r>
        <w:rPr>
          <w:rFonts w:hint="eastAsia" w:ascii="宋体" w:hAnsi="宋体" w:cs="宋体"/>
          <w:bCs/>
          <w:sz w:val="28"/>
          <w:szCs w:val="28"/>
        </w:rPr>
        <w:tab/>
      </w:r>
      <w:r>
        <w:rPr>
          <w:rFonts w:hint="eastAsia" w:ascii="宋体" w:hAnsi="宋体" w:cs="宋体"/>
          <w:bCs/>
          <w:sz w:val="28"/>
          <w:szCs w:val="28"/>
        </w:rPr>
        <w:fldChar w:fldCharType="begin"/>
      </w:r>
      <w:r>
        <w:rPr>
          <w:rFonts w:hint="eastAsia" w:ascii="宋体" w:hAnsi="宋体" w:cs="宋体"/>
          <w:bCs/>
          <w:sz w:val="28"/>
          <w:szCs w:val="28"/>
        </w:rPr>
        <w:instrText xml:space="preserve"> PAGEREF _Toc26691 \h </w:instrText>
      </w:r>
      <w:r>
        <w:rPr>
          <w:rFonts w:hint="eastAsia" w:ascii="宋体" w:hAnsi="宋体" w:cs="宋体"/>
          <w:bCs/>
          <w:sz w:val="28"/>
          <w:szCs w:val="28"/>
        </w:rPr>
        <w:fldChar w:fldCharType="separate"/>
      </w:r>
      <w:r>
        <w:rPr>
          <w:rFonts w:hint="eastAsia" w:ascii="宋体" w:hAnsi="宋体" w:cs="宋体"/>
          <w:bCs/>
          <w:sz w:val="28"/>
          <w:szCs w:val="28"/>
        </w:rPr>
        <w:t>28</w:t>
      </w:r>
      <w:r>
        <w:rPr>
          <w:rFonts w:hint="eastAsia" w:ascii="宋体" w:hAnsi="宋体" w:cs="宋体"/>
          <w:bCs/>
          <w:sz w:val="28"/>
          <w:szCs w:val="28"/>
        </w:rPr>
        <w:fldChar w:fldCharType="end"/>
      </w:r>
      <w:r>
        <w:rPr>
          <w:rFonts w:hint="eastAsia" w:ascii="宋体" w:hAnsi="宋体" w:cs="宋体"/>
          <w:bCs/>
          <w:sz w:val="28"/>
          <w:szCs w:val="28"/>
        </w:rPr>
        <w:fldChar w:fldCharType="end"/>
      </w:r>
    </w:p>
    <w:p w14:paraId="12CB5847">
      <w:pPr>
        <w:pStyle w:val="18"/>
        <w:tabs>
          <w:tab w:val="right" w:leader="dot" w:pos="9638"/>
        </w:tabs>
        <w:spacing w:line="360" w:lineRule="auto"/>
        <w:rPr>
          <w:rFonts w:ascii="宋体" w:hAnsi="宋体" w:cs="宋体"/>
          <w:bCs/>
          <w:sz w:val="28"/>
          <w:szCs w:val="28"/>
        </w:rPr>
      </w:pPr>
      <w:r>
        <w:fldChar w:fldCharType="begin"/>
      </w:r>
      <w:r>
        <w:instrText xml:space="preserve"> HYPERLINK \l "_Toc30969" </w:instrText>
      </w:r>
      <w:r>
        <w:fldChar w:fldCharType="separate"/>
      </w:r>
      <w:r>
        <w:rPr>
          <w:rFonts w:hint="eastAsia" w:ascii="宋体" w:hAnsi="宋体" w:cs="宋体"/>
          <w:bCs/>
          <w:sz w:val="28"/>
          <w:szCs w:val="28"/>
        </w:rPr>
        <w:t>第五章政府采购合同</w:t>
      </w:r>
      <w:r>
        <w:rPr>
          <w:rFonts w:hint="eastAsia" w:ascii="宋体" w:hAnsi="宋体" w:cs="宋体"/>
          <w:bCs/>
          <w:sz w:val="28"/>
          <w:szCs w:val="28"/>
        </w:rPr>
        <w:tab/>
      </w:r>
      <w:r>
        <w:rPr>
          <w:rFonts w:hint="eastAsia" w:ascii="宋体" w:hAnsi="宋体" w:cs="宋体"/>
          <w:bCs/>
          <w:sz w:val="28"/>
          <w:szCs w:val="28"/>
        </w:rPr>
        <w:fldChar w:fldCharType="begin"/>
      </w:r>
      <w:r>
        <w:rPr>
          <w:rFonts w:hint="eastAsia" w:ascii="宋体" w:hAnsi="宋体" w:cs="宋体"/>
          <w:bCs/>
          <w:sz w:val="28"/>
          <w:szCs w:val="28"/>
        </w:rPr>
        <w:instrText xml:space="preserve"> PAGEREF _Toc30969 \h </w:instrText>
      </w:r>
      <w:r>
        <w:rPr>
          <w:rFonts w:hint="eastAsia" w:ascii="宋体" w:hAnsi="宋体" w:cs="宋体"/>
          <w:bCs/>
          <w:sz w:val="28"/>
          <w:szCs w:val="28"/>
        </w:rPr>
        <w:fldChar w:fldCharType="separate"/>
      </w:r>
      <w:r>
        <w:rPr>
          <w:rFonts w:hint="eastAsia" w:ascii="宋体" w:hAnsi="宋体" w:cs="宋体"/>
          <w:bCs/>
          <w:sz w:val="28"/>
          <w:szCs w:val="28"/>
        </w:rPr>
        <w:t>42</w:t>
      </w:r>
      <w:r>
        <w:rPr>
          <w:rFonts w:hint="eastAsia" w:ascii="宋体" w:hAnsi="宋体" w:cs="宋体"/>
          <w:bCs/>
          <w:sz w:val="28"/>
          <w:szCs w:val="28"/>
        </w:rPr>
        <w:fldChar w:fldCharType="end"/>
      </w:r>
      <w:r>
        <w:rPr>
          <w:rFonts w:hint="eastAsia" w:ascii="宋体" w:hAnsi="宋体" w:cs="宋体"/>
          <w:bCs/>
          <w:sz w:val="28"/>
          <w:szCs w:val="28"/>
        </w:rPr>
        <w:fldChar w:fldCharType="end"/>
      </w:r>
    </w:p>
    <w:p w14:paraId="171EA8F0">
      <w:pPr>
        <w:pStyle w:val="18"/>
        <w:tabs>
          <w:tab w:val="right" w:leader="dot" w:pos="9638"/>
        </w:tabs>
        <w:spacing w:line="360" w:lineRule="auto"/>
        <w:rPr>
          <w:rFonts w:ascii="宋体" w:hAnsi="宋体" w:cs="宋体"/>
          <w:bCs/>
          <w:sz w:val="28"/>
          <w:szCs w:val="28"/>
        </w:rPr>
      </w:pPr>
      <w:r>
        <w:fldChar w:fldCharType="begin"/>
      </w:r>
      <w:r>
        <w:instrText xml:space="preserve"> HYPERLINK \l "_Toc24227" </w:instrText>
      </w:r>
      <w:r>
        <w:fldChar w:fldCharType="separate"/>
      </w:r>
      <w:r>
        <w:rPr>
          <w:rFonts w:hint="eastAsia" w:ascii="宋体" w:hAnsi="宋体" w:cs="宋体"/>
          <w:bCs/>
          <w:sz w:val="28"/>
          <w:szCs w:val="28"/>
        </w:rPr>
        <w:t>第六章投标文件格式</w:t>
      </w:r>
      <w:r>
        <w:rPr>
          <w:rFonts w:hint="eastAsia" w:ascii="宋体" w:hAnsi="宋体" w:cs="宋体"/>
          <w:bCs/>
          <w:sz w:val="28"/>
          <w:szCs w:val="28"/>
        </w:rPr>
        <w:tab/>
      </w:r>
      <w:r>
        <w:rPr>
          <w:rFonts w:hint="eastAsia" w:ascii="宋体" w:hAnsi="宋体" w:cs="宋体"/>
          <w:bCs/>
          <w:sz w:val="28"/>
          <w:szCs w:val="28"/>
        </w:rPr>
        <w:fldChar w:fldCharType="begin"/>
      </w:r>
      <w:r>
        <w:rPr>
          <w:rFonts w:hint="eastAsia" w:ascii="宋体" w:hAnsi="宋体" w:cs="宋体"/>
          <w:bCs/>
          <w:sz w:val="28"/>
          <w:szCs w:val="28"/>
        </w:rPr>
        <w:instrText xml:space="preserve"> PAGEREF _Toc24227 \h </w:instrText>
      </w:r>
      <w:r>
        <w:rPr>
          <w:rFonts w:hint="eastAsia" w:ascii="宋体" w:hAnsi="宋体" w:cs="宋体"/>
          <w:bCs/>
          <w:sz w:val="28"/>
          <w:szCs w:val="28"/>
        </w:rPr>
        <w:fldChar w:fldCharType="separate"/>
      </w:r>
      <w:r>
        <w:rPr>
          <w:rFonts w:hint="eastAsia" w:ascii="宋体" w:hAnsi="宋体" w:cs="宋体"/>
          <w:bCs/>
          <w:sz w:val="28"/>
          <w:szCs w:val="28"/>
        </w:rPr>
        <w:t>53</w:t>
      </w:r>
      <w:r>
        <w:rPr>
          <w:rFonts w:hint="eastAsia" w:ascii="宋体" w:hAnsi="宋体" w:cs="宋体"/>
          <w:bCs/>
          <w:sz w:val="28"/>
          <w:szCs w:val="28"/>
        </w:rPr>
        <w:fldChar w:fldCharType="end"/>
      </w:r>
      <w:r>
        <w:rPr>
          <w:rFonts w:hint="eastAsia" w:ascii="宋体" w:hAnsi="宋体" w:cs="宋体"/>
          <w:bCs/>
          <w:sz w:val="28"/>
          <w:szCs w:val="28"/>
        </w:rPr>
        <w:fldChar w:fldCharType="end"/>
      </w:r>
    </w:p>
    <w:p w14:paraId="7CCF111C">
      <w:pPr>
        <w:pStyle w:val="18"/>
        <w:tabs>
          <w:tab w:val="right" w:leader="dot" w:pos="9638"/>
        </w:tabs>
        <w:spacing w:line="360" w:lineRule="auto"/>
        <w:rPr>
          <w:rFonts w:ascii="宋体" w:hAnsi="宋体" w:cs="宋体"/>
          <w:bCs/>
          <w:sz w:val="28"/>
          <w:szCs w:val="28"/>
        </w:rPr>
      </w:pPr>
      <w:r>
        <w:fldChar w:fldCharType="begin"/>
      </w:r>
      <w:r>
        <w:instrText xml:space="preserve"> HYPERLINK \l "_Toc6819" </w:instrText>
      </w:r>
      <w:r>
        <w:fldChar w:fldCharType="separate"/>
      </w:r>
      <w:r>
        <w:rPr>
          <w:rFonts w:hint="eastAsia" w:ascii="宋体" w:hAnsi="宋体" w:cs="宋体"/>
          <w:bCs/>
          <w:sz w:val="28"/>
          <w:szCs w:val="28"/>
        </w:rPr>
        <w:t>第七章安天e采全流程电子招投标注意事项</w:t>
      </w:r>
      <w:r>
        <w:rPr>
          <w:rFonts w:hint="eastAsia" w:ascii="宋体" w:hAnsi="宋体" w:cs="宋体"/>
          <w:bCs/>
          <w:sz w:val="28"/>
          <w:szCs w:val="28"/>
        </w:rPr>
        <w:tab/>
      </w:r>
      <w:r>
        <w:rPr>
          <w:rFonts w:hint="eastAsia" w:ascii="宋体" w:hAnsi="宋体" w:cs="宋体"/>
          <w:bCs/>
          <w:sz w:val="28"/>
          <w:szCs w:val="28"/>
        </w:rPr>
        <w:fldChar w:fldCharType="begin"/>
      </w:r>
      <w:r>
        <w:rPr>
          <w:rFonts w:hint="eastAsia" w:ascii="宋体" w:hAnsi="宋体" w:cs="宋体"/>
          <w:bCs/>
          <w:sz w:val="28"/>
          <w:szCs w:val="28"/>
        </w:rPr>
        <w:instrText xml:space="preserve"> PAGEREF _Toc6819 \h </w:instrText>
      </w:r>
      <w:r>
        <w:rPr>
          <w:rFonts w:hint="eastAsia" w:ascii="宋体" w:hAnsi="宋体" w:cs="宋体"/>
          <w:bCs/>
          <w:sz w:val="28"/>
          <w:szCs w:val="28"/>
        </w:rPr>
        <w:fldChar w:fldCharType="separate"/>
      </w:r>
      <w:r>
        <w:rPr>
          <w:rFonts w:hint="eastAsia" w:ascii="宋体" w:hAnsi="宋体" w:cs="宋体"/>
          <w:bCs/>
          <w:sz w:val="28"/>
          <w:szCs w:val="28"/>
        </w:rPr>
        <w:t>70</w:t>
      </w:r>
      <w:r>
        <w:rPr>
          <w:rFonts w:hint="eastAsia" w:ascii="宋体" w:hAnsi="宋体" w:cs="宋体"/>
          <w:bCs/>
          <w:sz w:val="28"/>
          <w:szCs w:val="28"/>
        </w:rPr>
        <w:fldChar w:fldCharType="end"/>
      </w:r>
      <w:r>
        <w:rPr>
          <w:rFonts w:hint="eastAsia" w:ascii="宋体" w:hAnsi="宋体" w:cs="宋体"/>
          <w:bCs/>
          <w:sz w:val="28"/>
          <w:szCs w:val="28"/>
        </w:rPr>
        <w:fldChar w:fldCharType="end"/>
      </w:r>
    </w:p>
    <w:p w14:paraId="3D6015DC">
      <w:pPr>
        <w:pStyle w:val="18"/>
        <w:tabs>
          <w:tab w:val="right" w:leader="dot" w:pos="9638"/>
        </w:tabs>
        <w:spacing w:line="360" w:lineRule="auto"/>
        <w:rPr>
          <w:rFonts w:ascii="宋体" w:hAnsi="宋体" w:cs="宋体"/>
          <w:bCs/>
          <w:sz w:val="28"/>
          <w:szCs w:val="28"/>
        </w:rPr>
      </w:pPr>
      <w:r>
        <w:fldChar w:fldCharType="begin"/>
      </w:r>
      <w:r>
        <w:instrText xml:space="preserve"> HYPERLINK \l "_Toc4261" </w:instrText>
      </w:r>
      <w:r>
        <w:fldChar w:fldCharType="separate"/>
      </w:r>
      <w:r>
        <w:rPr>
          <w:rFonts w:ascii="宋体" w:hAnsi="宋体" w:cs="宋体"/>
          <w:bCs/>
          <w:sz w:val="28"/>
          <w:szCs w:val="28"/>
        </w:rPr>
        <w:t>第</w:t>
      </w:r>
      <w:r>
        <w:rPr>
          <w:rFonts w:hint="eastAsia" w:ascii="宋体" w:hAnsi="宋体" w:cs="宋体"/>
          <w:bCs/>
          <w:sz w:val="28"/>
          <w:szCs w:val="28"/>
        </w:rPr>
        <w:t>八</w:t>
      </w:r>
      <w:r>
        <w:rPr>
          <w:rFonts w:ascii="宋体" w:hAnsi="宋体" w:cs="宋体"/>
          <w:bCs/>
          <w:sz w:val="28"/>
          <w:szCs w:val="28"/>
        </w:rPr>
        <w:t>章政府采购供应商询问函和质疑函范本</w:t>
      </w:r>
      <w:r>
        <w:rPr>
          <w:rFonts w:hint="eastAsia" w:ascii="宋体" w:hAnsi="宋体" w:cs="宋体"/>
          <w:bCs/>
          <w:sz w:val="28"/>
          <w:szCs w:val="28"/>
        </w:rPr>
        <w:tab/>
      </w:r>
      <w:r>
        <w:rPr>
          <w:rFonts w:hint="eastAsia" w:ascii="宋体" w:hAnsi="宋体" w:cs="宋体"/>
          <w:bCs/>
          <w:sz w:val="28"/>
          <w:szCs w:val="28"/>
        </w:rPr>
        <w:fldChar w:fldCharType="begin"/>
      </w:r>
      <w:r>
        <w:rPr>
          <w:rFonts w:hint="eastAsia" w:ascii="宋体" w:hAnsi="宋体" w:cs="宋体"/>
          <w:bCs/>
          <w:sz w:val="28"/>
          <w:szCs w:val="28"/>
        </w:rPr>
        <w:instrText xml:space="preserve"> PAGEREF _Toc4261 \h </w:instrText>
      </w:r>
      <w:r>
        <w:rPr>
          <w:rFonts w:hint="eastAsia" w:ascii="宋体" w:hAnsi="宋体" w:cs="宋体"/>
          <w:bCs/>
          <w:sz w:val="28"/>
          <w:szCs w:val="28"/>
        </w:rPr>
        <w:fldChar w:fldCharType="separate"/>
      </w:r>
      <w:r>
        <w:rPr>
          <w:rFonts w:hint="eastAsia" w:ascii="宋体" w:hAnsi="宋体" w:cs="宋体"/>
          <w:bCs/>
          <w:sz w:val="28"/>
          <w:szCs w:val="28"/>
        </w:rPr>
        <w:t>73</w:t>
      </w:r>
      <w:r>
        <w:rPr>
          <w:rFonts w:hint="eastAsia" w:ascii="宋体" w:hAnsi="宋体" w:cs="宋体"/>
          <w:bCs/>
          <w:sz w:val="28"/>
          <w:szCs w:val="28"/>
        </w:rPr>
        <w:fldChar w:fldCharType="end"/>
      </w:r>
      <w:r>
        <w:rPr>
          <w:rFonts w:hint="eastAsia" w:ascii="宋体" w:hAnsi="宋体" w:cs="宋体"/>
          <w:bCs/>
          <w:sz w:val="28"/>
          <w:szCs w:val="28"/>
        </w:rPr>
        <w:fldChar w:fldCharType="end"/>
      </w:r>
    </w:p>
    <w:p w14:paraId="3992B93D">
      <w:pPr>
        <w:pStyle w:val="18"/>
        <w:tabs>
          <w:tab w:val="right" w:leader="dot" w:pos="9638"/>
        </w:tabs>
        <w:spacing w:line="360" w:lineRule="auto"/>
        <w:rPr>
          <w:rFonts w:ascii="宋体" w:hAnsi="宋体" w:cs="宋体"/>
          <w:bCs/>
          <w:sz w:val="28"/>
          <w:szCs w:val="28"/>
        </w:rPr>
      </w:pPr>
      <w:r>
        <w:fldChar w:fldCharType="begin"/>
      </w:r>
      <w:r>
        <w:instrText xml:space="preserve"> HYPERLINK \l "_Toc22162" </w:instrText>
      </w:r>
      <w:r>
        <w:fldChar w:fldCharType="separate"/>
      </w:r>
      <w:r>
        <w:rPr>
          <w:rFonts w:hint="eastAsia" w:ascii="宋体" w:hAnsi="宋体" w:cs="宋体"/>
          <w:bCs/>
          <w:sz w:val="28"/>
          <w:szCs w:val="28"/>
        </w:rPr>
        <w:t>质疑函制作说明：</w:t>
      </w:r>
      <w:r>
        <w:rPr>
          <w:rFonts w:hint="eastAsia" w:ascii="宋体" w:hAnsi="宋体" w:cs="宋体"/>
          <w:bCs/>
          <w:sz w:val="28"/>
          <w:szCs w:val="28"/>
        </w:rPr>
        <w:tab/>
      </w:r>
      <w:r>
        <w:rPr>
          <w:rFonts w:hint="eastAsia" w:ascii="宋体" w:hAnsi="宋体" w:cs="宋体"/>
          <w:bCs/>
          <w:sz w:val="28"/>
          <w:szCs w:val="28"/>
        </w:rPr>
        <w:fldChar w:fldCharType="begin"/>
      </w:r>
      <w:r>
        <w:rPr>
          <w:rFonts w:hint="eastAsia" w:ascii="宋体" w:hAnsi="宋体" w:cs="宋体"/>
          <w:bCs/>
          <w:sz w:val="28"/>
          <w:szCs w:val="28"/>
        </w:rPr>
        <w:instrText xml:space="preserve"> PAGEREF _Toc22162 \h </w:instrText>
      </w:r>
      <w:r>
        <w:rPr>
          <w:rFonts w:hint="eastAsia" w:ascii="宋体" w:hAnsi="宋体" w:cs="宋体"/>
          <w:bCs/>
          <w:sz w:val="28"/>
          <w:szCs w:val="28"/>
        </w:rPr>
        <w:fldChar w:fldCharType="separate"/>
      </w:r>
      <w:r>
        <w:rPr>
          <w:rFonts w:hint="eastAsia" w:ascii="宋体" w:hAnsi="宋体" w:cs="宋体"/>
          <w:bCs/>
          <w:sz w:val="28"/>
          <w:szCs w:val="28"/>
        </w:rPr>
        <w:t>75</w:t>
      </w:r>
      <w:r>
        <w:rPr>
          <w:rFonts w:hint="eastAsia" w:ascii="宋体" w:hAnsi="宋体" w:cs="宋体"/>
          <w:bCs/>
          <w:sz w:val="28"/>
          <w:szCs w:val="28"/>
        </w:rPr>
        <w:fldChar w:fldCharType="end"/>
      </w:r>
      <w:r>
        <w:rPr>
          <w:rFonts w:hint="eastAsia" w:ascii="宋体" w:hAnsi="宋体" w:cs="宋体"/>
          <w:bCs/>
          <w:sz w:val="28"/>
          <w:szCs w:val="28"/>
        </w:rPr>
        <w:fldChar w:fldCharType="end"/>
      </w:r>
    </w:p>
    <w:p w14:paraId="14F8EFF5">
      <w:pPr>
        <w:widowControl/>
        <w:shd w:val="clear" w:color="auto" w:fill="FFFFFF"/>
        <w:spacing w:before="120" w:beforeLines="50" w:after="120" w:afterLines="50" w:line="360" w:lineRule="atLeast"/>
        <w:jc w:val="center"/>
        <w:rPr>
          <w:rFonts w:ascii="宋体" w:hAnsi="宋体"/>
          <w:bCs/>
          <w:szCs w:val="44"/>
        </w:rPr>
      </w:pPr>
      <w:r>
        <w:rPr>
          <w:rFonts w:hint="eastAsia" w:ascii="宋体" w:hAnsi="宋体"/>
          <w:bCs/>
          <w:szCs w:val="44"/>
        </w:rPr>
        <w:fldChar w:fldCharType="end"/>
      </w:r>
    </w:p>
    <w:p w14:paraId="1C3E7997">
      <w:pPr>
        <w:pStyle w:val="6"/>
        <w:sectPr>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0D1E8DC0">
      <w:pPr>
        <w:widowControl/>
        <w:shd w:val="clear" w:color="auto" w:fill="FFFFFF"/>
        <w:spacing w:before="120" w:beforeLines="50" w:after="120" w:afterLines="50" w:line="360" w:lineRule="atLeast"/>
        <w:jc w:val="center"/>
        <w:outlineLvl w:val="0"/>
        <w:rPr>
          <w:rFonts w:ascii="宋体" w:hAnsi="宋体"/>
          <w:b/>
          <w:bCs/>
          <w:sz w:val="44"/>
          <w:szCs w:val="44"/>
        </w:rPr>
      </w:pPr>
      <w:bookmarkStart w:id="5" w:name="_Toc11995"/>
      <w:r>
        <w:rPr>
          <w:rFonts w:hint="eastAsia" w:ascii="宋体" w:hAnsi="宋体"/>
          <w:b/>
          <w:bCs/>
          <w:sz w:val="44"/>
          <w:szCs w:val="44"/>
        </w:rPr>
        <w:t>第一章招标公告</w:t>
      </w:r>
      <w:bookmarkEnd w:id="2"/>
      <w:bookmarkEnd w:id="3"/>
      <w:bookmarkEnd w:id="4"/>
      <w:bookmarkEnd w:id="5"/>
    </w:p>
    <w:p w14:paraId="66C83693">
      <w:pPr>
        <w:pBdr>
          <w:top w:val="single" w:color="auto" w:sz="4" w:space="1"/>
          <w:left w:val="single" w:color="auto" w:sz="4" w:space="4"/>
          <w:bottom w:val="single" w:color="auto" w:sz="4" w:space="1"/>
          <w:right w:val="single" w:color="auto" w:sz="4" w:space="4"/>
        </w:pBdr>
        <w:spacing w:line="440" w:lineRule="exact"/>
        <w:ind w:firstLine="560" w:firstLineChars="200"/>
        <w:rPr>
          <w:rFonts w:ascii="仿宋" w:hAnsi="仿宋" w:eastAsia="仿宋"/>
          <w:sz w:val="28"/>
          <w:szCs w:val="28"/>
        </w:rPr>
      </w:pPr>
      <w:r>
        <w:rPr>
          <w:rFonts w:hint="eastAsia" w:ascii="仿宋" w:hAnsi="仿宋" w:eastAsia="仿宋"/>
          <w:sz w:val="28"/>
          <w:szCs w:val="28"/>
        </w:rPr>
        <w:t>项目概况</w:t>
      </w:r>
    </w:p>
    <w:p w14:paraId="185CCFC4">
      <w:pPr>
        <w:pBdr>
          <w:top w:val="single" w:color="auto" w:sz="4" w:space="1"/>
          <w:left w:val="single" w:color="auto" w:sz="4" w:space="4"/>
          <w:bottom w:val="single" w:color="auto" w:sz="4" w:space="1"/>
          <w:right w:val="single" w:color="auto" w:sz="4" w:space="4"/>
        </w:pBdr>
        <w:spacing w:line="440" w:lineRule="exact"/>
        <w:ind w:firstLine="560" w:firstLineChars="200"/>
        <w:rPr>
          <w:rFonts w:ascii="仿宋" w:hAnsi="仿宋" w:eastAsia="仿宋"/>
          <w:sz w:val="28"/>
          <w:szCs w:val="28"/>
        </w:rPr>
      </w:pPr>
      <w:r>
        <w:rPr>
          <w:rFonts w:hint="eastAsia" w:ascii="仿宋" w:hAnsi="仿宋" w:eastAsia="仿宋"/>
          <w:sz w:val="28"/>
          <w:szCs w:val="28"/>
          <w:u w:val="single"/>
        </w:rPr>
        <w:t>安徽医科大学附属口腔医院（安徽省口腔医院）2025年第五批医用耗材配送服务项目</w:t>
      </w:r>
      <w:r>
        <w:rPr>
          <w:rFonts w:hint="eastAsia" w:ascii="仿宋" w:hAnsi="仿宋" w:eastAsia="仿宋"/>
          <w:sz w:val="28"/>
          <w:szCs w:val="28"/>
        </w:rPr>
        <w:t>招标项目的潜在投标人应在</w:t>
      </w:r>
      <w:r>
        <w:rPr>
          <w:rFonts w:hint="eastAsia" w:ascii="仿宋" w:hAnsi="仿宋" w:eastAsia="仿宋"/>
          <w:sz w:val="28"/>
          <w:szCs w:val="28"/>
          <w:u w:val="single"/>
        </w:rPr>
        <w:t>安天e采招标采购电子交易平台（www.xinecai.com）</w:t>
      </w:r>
      <w:r>
        <w:rPr>
          <w:rFonts w:hint="eastAsia" w:ascii="仿宋" w:hAnsi="仿宋" w:eastAsia="仿宋"/>
          <w:sz w:val="28"/>
          <w:szCs w:val="28"/>
        </w:rPr>
        <w:t>获取招标文件，并于</w:t>
      </w:r>
      <w:r>
        <w:rPr>
          <w:rFonts w:hint="eastAsia" w:ascii="仿宋" w:hAnsi="仿宋" w:eastAsia="仿宋"/>
          <w:sz w:val="28"/>
          <w:szCs w:val="28"/>
          <w:u w:val="single"/>
        </w:rPr>
        <w:t>2025年</w:t>
      </w:r>
      <w:bookmarkStart w:id="1153" w:name="_GoBack"/>
      <w:bookmarkEnd w:id="1153"/>
      <w:r>
        <w:rPr>
          <w:rFonts w:hint="eastAsia" w:ascii="仿宋" w:hAnsi="仿宋" w:eastAsia="仿宋"/>
          <w:sz w:val="28"/>
          <w:szCs w:val="28"/>
          <w:u w:val="single"/>
          <w:lang w:eastAsia="zh-CN"/>
        </w:rPr>
        <w:t>10月11日</w:t>
      </w:r>
      <w:r>
        <w:rPr>
          <w:rFonts w:hint="eastAsia" w:ascii="仿宋" w:hAnsi="仿宋" w:eastAsia="仿宋"/>
          <w:sz w:val="28"/>
          <w:szCs w:val="28"/>
          <w:u w:val="single"/>
        </w:rPr>
        <w:t>09点15分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2E7B9487">
      <w:pPr>
        <w:spacing w:line="440" w:lineRule="exact"/>
        <w:rPr>
          <w:sz w:val="28"/>
          <w:szCs w:val="28"/>
        </w:rPr>
      </w:pPr>
    </w:p>
    <w:p w14:paraId="697EF3EC">
      <w:pPr>
        <w:keepNext/>
        <w:keepLines/>
        <w:spacing w:before="260" w:after="260" w:line="360" w:lineRule="auto"/>
        <w:outlineLvl w:val="1"/>
        <w:rPr>
          <w:rFonts w:ascii="黑体" w:hAnsi="黑体" w:cs="宋体"/>
          <w:b/>
          <w:bCs/>
          <w:kern w:val="0"/>
          <w:sz w:val="28"/>
          <w:szCs w:val="28"/>
        </w:rPr>
      </w:pPr>
      <w:bookmarkStart w:id="6" w:name="_Toc35393790"/>
      <w:bookmarkStart w:id="7" w:name="_Toc28359079"/>
      <w:bookmarkStart w:id="8" w:name="_Toc6183"/>
      <w:bookmarkStart w:id="9" w:name="_Toc28359002"/>
      <w:bookmarkStart w:id="10" w:name="_Toc35393621"/>
      <w:bookmarkStart w:id="11" w:name="_Hlk24379207"/>
      <w:r>
        <w:rPr>
          <w:rFonts w:hint="eastAsia" w:ascii="黑体" w:hAnsi="黑体" w:cs="宋体"/>
          <w:b/>
          <w:bCs/>
          <w:kern w:val="0"/>
          <w:sz w:val="28"/>
          <w:szCs w:val="28"/>
        </w:rPr>
        <w:t>一、项目基本情况</w:t>
      </w:r>
      <w:bookmarkEnd w:id="6"/>
      <w:bookmarkEnd w:id="7"/>
      <w:bookmarkEnd w:id="8"/>
      <w:bookmarkEnd w:id="9"/>
      <w:bookmarkEnd w:id="10"/>
    </w:p>
    <w:p w14:paraId="088E22ED">
      <w:pPr>
        <w:spacing w:line="360" w:lineRule="auto"/>
        <w:ind w:firstLine="560" w:firstLineChars="200"/>
        <w:rPr>
          <w:rFonts w:ascii="仿宋" w:hAnsi="仿宋" w:eastAsia="仿宋"/>
          <w:sz w:val="28"/>
          <w:szCs w:val="28"/>
        </w:rPr>
      </w:pPr>
      <w:r>
        <w:rPr>
          <w:rFonts w:hint="eastAsia" w:ascii="仿宋" w:hAnsi="仿宋" w:eastAsia="仿宋"/>
          <w:sz w:val="28"/>
          <w:szCs w:val="28"/>
        </w:rPr>
        <w:t>项目编号：25AT91036606547</w:t>
      </w:r>
    </w:p>
    <w:p w14:paraId="18631D06">
      <w:pPr>
        <w:spacing w:line="360" w:lineRule="auto"/>
        <w:ind w:firstLine="560" w:firstLineChars="200"/>
        <w:rPr>
          <w:rFonts w:ascii="仿宋" w:hAnsi="仿宋" w:eastAsia="仿宋"/>
          <w:sz w:val="28"/>
          <w:szCs w:val="28"/>
        </w:rPr>
      </w:pPr>
      <w:r>
        <w:rPr>
          <w:rFonts w:hint="eastAsia" w:ascii="仿宋" w:hAnsi="仿宋" w:eastAsia="仿宋"/>
          <w:sz w:val="28"/>
          <w:szCs w:val="28"/>
        </w:rPr>
        <w:t>项目名称：安徽医科大学附属口腔医院（安徽省口腔医院）2025年第五批医用耗材配送服务项目</w:t>
      </w:r>
    </w:p>
    <w:bookmarkEnd w:id="11"/>
    <w:p w14:paraId="5292DE02">
      <w:pPr>
        <w:spacing w:line="360" w:lineRule="auto"/>
        <w:ind w:firstLine="560" w:firstLineChars="200"/>
        <w:rPr>
          <w:rFonts w:ascii="仿宋" w:hAnsi="仿宋" w:eastAsia="仿宋"/>
          <w:sz w:val="28"/>
          <w:szCs w:val="28"/>
        </w:rPr>
      </w:pPr>
      <w:r>
        <w:rPr>
          <w:rFonts w:hint="eastAsia" w:ascii="仿宋" w:hAnsi="仿宋" w:eastAsia="仿宋"/>
          <w:sz w:val="28"/>
          <w:szCs w:val="28"/>
        </w:rPr>
        <w:t>预算金额：3517507.75元/年（第一包：941555元/年，第二包：622533元/年，第三包：635419.75元/年，第四包：518000元/年，第五包：800000元/年）</w:t>
      </w:r>
    </w:p>
    <w:p w14:paraId="4F2A56E7">
      <w:pPr>
        <w:spacing w:line="360" w:lineRule="auto"/>
        <w:ind w:firstLine="560" w:firstLineChars="200"/>
        <w:rPr>
          <w:rFonts w:ascii="仿宋" w:hAnsi="仿宋" w:eastAsia="仿宋"/>
          <w:sz w:val="28"/>
          <w:szCs w:val="28"/>
        </w:rPr>
      </w:pPr>
      <w:r>
        <w:rPr>
          <w:rFonts w:hint="eastAsia" w:ascii="仿宋" w:hAnsi="仿宋" w:eastAsia="仿宋"/>
          <w:sz w:val="28"/>
          <w:szCs w:val="28"/>
        </w:rPr>
        <w:t>最高限价：</w:t>
      </w:r>
      <w:bookmarkStart w:id="12" w:name="OLE_LINK25"/>
      <w:bookmarkStart w:id="13" w:name="OLE_LINK24"/>
      <w:r>
        <w:rPr>
          <w:rFonts w:hint="eastAsia" w:ascii="仿宋" w:hAnsi="仿宋" w:eastAsia="仿宋"/>
          <w:sz w:val="28"/>
          <w:szCs w:val="28"/>
        </w:rPr>
        <w:t>3517507.75</w:t>
      </w:r>
      <w:bookmarkEnd w:id="12"/>
      <w:bookmarkEnd w:id="13"/>
      <w:r>
        <w:rPr>
          <w:rFonts w:hint="eastAsia" w:ascii="仿宋" w:hAnsi="仿宋" w:eastAsia="仿宋"/>
          <w:sz w:val="28"/>
          <w:szCs w:val="28"/>
        </w:rPr>
        <w:t>元/年（第一包：941555元/年，第二包：622533元/年，第三包：635419.75元/年，第四包：518000元/年，第五包：800000元/年）</w:t>
      </w:r>
    </w:p>
    <w:p w14:paraId="57768D46">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采购需求：安徽医科大学附属口腔医院（安徽省口腔医院）2025年第五批医用耗材配送服务项目，共分为5个包，每包拟招标一家投标人为安徽医科大学附属口腔医院（安徽省口腔医院）提供相关产品配送服务。第1包：牙体材料1配送服务，第2包：牙体材料4配送服务，第3包：</w:t>
      </w:r>
      <w:bookmarkStart w:id="14" w:name="OLE_LINK9"/>
      <w:bookmarkStart w:id="15" w:name="OLE_LINK8"/>
      <w:r>
        <w:rPr>
          <w:rFonts w:hint="eastAsia" w:ascii="仿宋" w:hAnsi="仿宋" w:eastAsia="仿宋"/>
          <w:sz w:val="28"/>
          <w:szCs w:val="28"/>
        </w:rPr>
        <w:t>外科材料3</w:t>
      </w:r>
      <w:bookmarkEnd w:id="14"/>
      <w:bookmarkEnd w:id="15"/>
      <w:r>
        <w:rPr>
          <w:rFonts w:hint="eastAsia" w:ascii="仿宋" w:hAnsi="仿宋" w:eastAsia="仿宋"/>
          <w:sz w:val="28"/>
          <w:szCs w:val="28"/>
        </w:rPr>
        <w:t>配送服务，第4包：正畸材料（错合畸形预防训练器等）配送服务，第5包：</w:t>
      </w:r>
      <w:bookmarkStart w:id="16" w:name="OLE_LINK17"/>
      <w:bookmarkStart w:id="17" w:name="OLE_LINK18"/>
      <w:r>
        <w:rPr>
          <w:rFonts w:hint="eastAsia" w:ascii="仿宋" w:hAnsi="仿宋" w:eastAsia="仿宋"/>
          <w:sz w:val="28"/>
          <w:szCs w:val="28"/>
        </w:rPr>
        <w:t>唇侧个性化间接粘接正畸矫治系统</w:t>
      </w:r>
      <w:bookmarkEnd w:id="16"/>
      <w:bookmarkEnd w:id="17"/>
      <w:r>
        <w:rPr>
          <w:rFonts w:hint="eastAsia" w:ascii="仿宋" w:hAnsi="仿宋" w:eastAsia="仿宋"/>
          <w:sz w:val="28"/>
          <w:szCs w:val="28"/>
        </w:rPr>
        <w:t>配送服务。详见第三章采购需求及技术规格要求。</w:t>
      </w:r>
    </w:p>
    <w:p w14:paraId="6157996E">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合同履行期限：合同签订后一年，每批供货时间为接采购人通知后7个日历日内完成。合同到期前，经考核合格后，在年度预算能够保障的前提下，可续签累计不超过3年的采购合同，第三年合同续签至2028年6月19日，合同一年一签。</w:t>
      </w:r>
    </w:p>
    <w:p w14:paraId="0D6C6E3F">
      <w:pPr>
        <w:spacing w:line="360" w:lineRule="auto"/>
        <w:ind w:firstLine="560" w:firstLineChars="200"/>
        <w:rPr>
          <w:rFonts w:ascii="仿宋" w:hAnsi="仿宋" w:eastAsia="仿宋"/>
          <w:sz w:val="28"/>
          <w:szCs w:val="28"/>
        </w:rPr>
      </w:pPr>
      <w:r>
        <w:rPr>
          <w:rFonts w:hint="eastAsia" w:ascii="仿宋" w:hAnsi="仿宋" w:eastAsia="仿宋"/>
          <w:sz w:val="28"/>
          <w:szCs w:val="28"/>
        </w:rPr>
        <w:t>本项目是否接受联合体投标：否</w:t>
      </w:r>
    </w:p>
    <w:p w14:paraId="52F56CB0">
      <w:pPr>
        <w:keepNext/>
        <w:keepLines/>
        <w:spacing w:before="260" w:after="260" w:line="360" w:lineRule="auto"/>
        <w:outlineLvl w:val="1"/>
        <w:rPr>
          <w:rFonts w:ascii="黑体" w:hAnsi="黑体" w:cs="宋体"/>
          <w:b/>
          <w:bCs/>
          <w:kern w:val="0"/>
          <w:sz w:val="28"/>
          <w:szCs w:val="28"/>
        </w:rPr>
      </w:pPr>
      <w:bookmarkStart w:id="18" w:name="_Toc4977"/>
      <w:bookmarkStart w:id="19" w:name="_Toc28359080"/>
      <w:bookmarkStart w:id="20" w:name="_Toc35393622"/>
      <w:bookmarkStart w:id="21" w:name="_Toc35393791"/>
      <w:bookmarkStart w:id="22" w:name="_Toc28359003"/>
      <w:r>
        <w:rPr>
          <w:rFonts w:hint="eastAsia" w:ascii="黑体" w:hAnsi="黑体" w:cs="宋体"/>
          <w:b/>
          <w:bCs/>
          <w:kern w:val="0"/>
          <w:sz w:val="28"/>
          <w:szCs w:val="28"/>
        </w:rPr>
        <w:t>二、申请人的资格要求：</w:t>
      </w:r>
      <w:bookmarkEnd w:id="18"/>
      <w:bookmarkEnd w:id="19"/>
      <w:bookmarkEnd w:id="20"/>
      <w:bookmarkEnd w:id="21"/>
      <w:bookmarkEnd w:id="22"/>
    </w:p>
    <w:p w14:paraId="33818CFC">
      <w:pPr>
        <w:spacing w:line="360" w:lineRule="auto"/>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14:paraId="2F0048F7">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.落实政府采购政策需满足的资格要求：无；</w:t>
      </w:r>
    </w:p>
    <w:p w14:paraId="1514E225">
      <w:pPr>
        <w:spacing w:line="360" w:lineRule="auto"/>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3.本项目的特定资格要求：投标人</w:t>
      </w:r>
      <w:r>
        <w:rPr>
          <w:rFonts w:hint="eastAsia" w:ascii="仿宋" w:hAnsi="仿宋" w:eastAsia="仿宋" w:cs="宋体"/>
          <w:sz w:val="28"/>
          <w:szCs w:val="28"/>
        </w:rPr>
        <w:t>具有医疗器械生产或医疗器械经营资格。</w:t>
      </w:r>
    </w:p>
    <w:p w14:paraId="3BACF918">
      <w:pPr>
        <w:keepNext/>
        <w:keepLines/>
        <w:spacing w:before="260" w:after="260" w:line="360" w:lineRule="auto"/>
        <w:outlineLvl w:val="1"/>
        <w:rPr>
          <w:rFonts w:ascii="黑体" w:hAnsi="黑体" w:cs="宋体"/>
          <w:b/>
          <w:bCs/>
          <w:kern w:val="0"/>
          <w:sz w:val="28"/>
          <w:szCs w:val="28"/>
        </w:rPr>
      </w:pPr>
      <w:bookmarkStart w:id="23" w:name="_Toc35393792"/>
      <w:bookmarkStart w:id="24" w:name="_Toc35393623"/>
      <w:bookmarkStart w:id="25" w:name="_Toc22"/>
      <w:r>
        <w:rPr>
          <w:rFonts w:hint="eastAsia" w:ascii="黑体" w:hAnsi="黑体" w:cs="宋体"/>
          <w:b/>
          <w:bCs/>
          <w:kern w:val="0"/>
          <w:sz w:val="28"/>
          <w:szCs w:val="28"/>
        </w:rPr>
        <w:t>三、获取招标文件</w:t>
      </w:r>
      <w:bookmarkEnd w:id="23"/>
      <w:bookmarkEnd w:id="24"/>
      <w:bookmarkEnd w:id="25"/>
    </w:p>
    <w:p w14:paraId="03DE9770">
      <w:pPr>
        <w:spacing w:line="360" w:lineRule="auto"/>
        <w:ind w:firstLine="540"/>
        <w:rPr>
          <w:rFonts w:ascii="仿宋" w:hAnsi="仿宋" w:eastAsia="仿宋" w:cs="宋体"/>
          <w:sz w:val="28"/>
          <w:szCs w:val="28"/>
        </w:rPr>
      </w:pPr>
      <w:r>
        <w:rPr>
          <w:rFonts w:hint="eastAsia" w:ascii="仿宋" w:hAnsi="仿宋" w:eastAsia="仿宋" w:cs="宋体"/>
          <w:sz w:val="28"/>
          <w:szCs w:val="28"/>
        </w:rPr>
        <w:t>时间：2025年</w:t>
      </w:r>
      <w:r>
        <w:rPr>
          <w:rFonts w:hint="eastAsia" w:ascii="仿宋" w:hAnsi="仿宋" w:eastAsia="仿宋" w:cs="宋体"/>
          <w:sz w:val="28"/>
          <w:szCs w:val="28"/>
          <w:lang w:val="en-US" w:eastAsia="zh-CN"/>
        </w:rPr>
        <w:t>9</w:t>
      </w:r>
      <w:r>
        <w:rPr>
          <w:rFonts w:hint="eastAsia" w:ascii="仿宋" w:hAnsi="仿宋" w:eastAsia="仿宋" w:cs="宋体"/>
          <w:sz w:val="28"/>
          <w:szCs w:val="28"/>
          <w:lang w:eastAsia="zh-CN"/>
        </w:rPr>
        <w:t>月</w:t>
      </w:r>
      <w:r>
        <w:rPr>
          <w:rFonts w:hint="eastAsia" w:ascii="仿宋" w:hAnsi="仿宋" w:eastAsia="仿宋" w:cs="宋体"/>
          <w:sz w:val="28"/>
          <w:szCs w:val="28"/>
          <w:lang w:val="en-US" w:eastAsia="zh-CN"/>
        </w:rPr>
        <w:t>18</w:t>
      </w:r>
      <w:r>
        <w:rPr>
          <w:rFonts w:hint="eastAsia" w:ascii="仿宋" w:hAnsi="仿宋" w:eastAsia="仿宋" w:cs="宋体"/>
          <w:sz w:val="28"/>
          <w:szCs w:val="28"/>
          <w:lang w:eastAsia="zh-CN"/>
        </w:rPr>
        <w:t>日</w:t>
      </w:r>
      <w:r>
        <w:rPr>
          <w:rFonts w:hint="eastAsia" w:ascii="仿宋" w:hAnsi="仿宋" w:eastAsia="仿宋" w:cs="宋体"/>
          <w:sz w:val="28"/>
          <w:szCs w:val="28"/>
        </w:rPr>
        <w:t>至2025年</w:t>
      </w:r>
      <w:r>
        <w:rPr>
          <w:rFonts w:hint="eastAsia" w:ascii="仿宋" w:hAnsi="仿宋" w:eastAsia="仿宋" w:cs="宋体"/>
          <w:sz w:val="28"/>
          <w:szCs w:val="28"/>
          <w:lang w:val="en-US" w:eastAsia="zh-CN"/>
        </w:rPr>
        <w:t>9</w:t>
      </w:r>
      <w:r>
        <w:rPr>
          <w:rFonts w:hint="eastAsia" w:ascii="仿宋" w:hAnsi="仿宋" w:eastAsia="仿宋" w:cs="宋体"/>
          <w:sz w:val="28"/>
          <w:szCs w:val="28"/>
          <w:lang w:eastAsia="zh-CN"/>
        </w:rPr>
        <w:t>月</w:t>
      </w:r>
      <w:r>
        <w:rPr>
          <w:rFonts w:hint="eastAsia" w:ascii="仿宋" w:hAnsi="仿宋" w:eastAsia="仿宋" w:cs="宋体"/>
          <w:sz w:val="28"/>
          <w:szCs w:val="28"/>
          <w:lang w:val="en-US" w:eastAsia="zh-CN"/>
        </w:rPr>
        <w:t>25</w:t>
      </w:r>
      <w:r>
        <w:rPr>
          <w:rFonts w:hint="eastAsia" w:ascii="仿宋" w:hAnsi="仿宋" w:eastAsia="仿宋" w:cs="宋体"/>
          <w:sz w:val="28"/>
          <w:szCs w:val="28"/>
          <w:lang w:eastAsia="zh-CN"/>
        </w:rPr>
        <w:t>日</w:t>
      </w:r>
      <w:r>
        <w:rPr>
          <w:rFonts w:hint="eastAsia" w:ascii="仿宋" w:hAnsi="仿宋" w:eastAsia="仿宋"/>
          <w:bCs/>
          <w:sz w:val="28"/>
          <w:szCs w:val="28"/>
          <w:lang w:val="en-US" w:eastAsia="zh-CN"/>
        </w:rPr>
        <w:t>17</w:t>
      </w:r>
      <w:r>
        <w:rPr>
          <w:rFonts w:hint="eastAsia" w:ascii="仿宋" w:hAnsi="仿宋" w:eastAsia="仿宋"/>
          <w:bCs/>
          <w:sz w:val="28"/>
          <w:szCs w:val="28"/>
        </w:rPr>
        <w:t>点</w:t>
      </w:r>
      <w:r>
        <w:rPr>
          <w:rFonts w:hint="eastAsia" w:ascii="仿宋" w:hAnsi="仿宋" w:eastAsia="仿宋"/>
          <w:bCs/>
          <w:sz w:val="28"/>
          <w:szCs w:val="28"/>
          <w:lang w:val="en-US" w:eastAsia="zh-CN"/>
        </w:rPr>
        <w:t>30</w:t>
      </w:r>
      <w:r>
        <w:rPr>
          <w:rFonts w:hint="eastAsia" w:ascii="仿宋" w:hAnsi="仿宋" w:eastAsia="仿宋"/>
          <w:bCs/>
          <w:sz w:val="28"/>
          <w:szCs w:val="28"/>
        </w:rPr>
        <w:t>分</w:t>
      </w:r>
      <w:r>
        <w:rPr>
          <w:rFonts w:hint="eastAsia" w:ascii="仿宋" w:hAnsi="仿宋" w:eastAsia="仿宋" w:cs="宋体"/>
          <w:sz w:val="28"/>
          <w:szCs w:val="28"/>
        </w:rPr>
        <w:t>（北京时间，法定节假日除外）</w:t>
      </w:r>
    </w:p>
    <w:p w14:paraId="230D9AAD">
      <w:pPr>
        <w:spacing w:line="360" w:lineRule="auto"/>
        <w:ind w:firstLine="540"/>
        <w:rPr>
          <w:rFonts w:ascii="仿宋" w:hAnsi="仿宋" w:eastAsia="仿宋" w:cs="宋体"/>
          <w:sz w:val="28"/>
          <w:szCs w:val="28"/>
        </w:rPr>
      </w:pPr>
      <w:r>
        <w:rPr>
          <w:rFonts w:hint="eastAsia" w:ascii="仿宋" w:hAnsi="仿宋" w:eastAsia="仿宋" w:cs="宋体"/>
          <w:sz w:val="28"/>
          <w:szCs w:val="28"/>
        </w:rPr>
        <w:t>地点：安天e采招标采购电子交易系统（www.xinecai.com）</w:t>
      </w:r>
    </w:p>
    <w:p w14:paraId="729B97A7">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方式：网上获取。具体操作参见安天e采操作手册，安天e采服务热线：400-050-9988</w:t>
      </w:r>
    </w:p>
    <w:p w14:paraId="141C6D50">
      <w:pPr>
        <w:spacing w:line="360" w:lineRule="auto"/>
        <w:ind w:firstLine="540"/>
        <w:rPr>
          <w:rFonts w:ascii="仿宋" w:hAnsi="仿宋" w:eastAsia="仿宋" w:cs="宋体"/>
          <w:sz w:val="28"/>
          <w:szCs w:val="28"/>
        </w:rPr>
      </w:pPr>
      <w:r>
        <w:rPr>
          <w:rFonts w:hint="eastAsia" w:ascii="仿宋" w:hAnsi="仿宋" w:eastAsia="仿宋" w:cs="宋体"/>
          <w:sz w:val="28"/>
          <w:szCs w:val="28"/>
        </w:rPr>
        <w:t>售价：免费</w:t>
      </w:r>
    </w:p>
    <w:p w14:paraId="6C661554">
      <w:pPr>
        <w:keepNext/>
        <w:keepLines/>
        <w:spacing w:before="260" w:after="260" w:line="360" w:lineRule="auto"/>
        <w:outlineLvl w:val="1"/>
        <w:rPr>
          <w:rFonts w:ascii="黑体" w:hAnsi="黑体" w:cs="宋体"/>
          <w:b/>
          <w:bCs/>
          <w:kern w:val="0"/>
          <w:sz w:val="28"/>
          <w:szCs w:val="28"/>
        </w:rPr>
      </w:pPr>
      <w:bookmarkStart w:id="26" w:name="_Toc28359005"/>
      <w:bookmarkStart w:id="27" w:name="_Toc28359082"/>
      <w:bookmarkStart w:id="28" w:name="_Toc35393624"/>
      <w:bookmarkStart w:id="29" w:name="_Toc35393793"/>
      <w:bookmarkStart w:id="30" w:name="_Toc3215"/>
      <w:r>
        <w:rPr>
          <w:rFonts w:hint="eastAsia" w:ascii="黑体" w:hAnsi="黑体" w:cs="宋体"/>
          <w:b/>
          <w:bCs/>
          <w:kern w:val="0"/>
          <w:sz w:val="28"/>
          <w:szCs w:val="28"/>
        </w:rPr>
        <w:t>四、提交投标文件</w:t>
      </w:r>
      <w:bookmarkEnd w:id="26"/>
      <w:bookmarkEnd w:id="27"/>
      <w:r>
        <w:rPr>
          <w:rFonts w:hint="eastAsia" w:ascii="黑体" w:hAnsi="黑体" w:cs="宋体"/>
          <w:b/>
          <w:bCs/>
          <w:kern w:val="0"/>
          <w:sz w:val="28"/>
          <w:szCs w:val="28"/>
        </w:rPr>
        <w:t>截止时间、开标时间和地点</w:t>
      </w:r>
      <w:bookmarkEnd w:id="28"/>
      <w:bookmarkEnd w:id="29"/>
      <w:bookmarkEnd w:id="30"/>
    </w:p>
    <w:p w14:paraId="713BF61C">
      <w:pPr>
        <w:spacing w:line="360" w:lineRule="auto"/>
        <w:ind w:firstLine="560" w:firstLineChars="200"/>
        <w:rPr>
          <w:rFonts w:ascii="仿宋" w:hAnsi="仿宋" w:eastAsia="仿宋"/>
          <w:bCs/>
          <w:sz w:val="28"/>
          <w:szCs w:val="28"/>
        </w:rPr>
      </w:pPr>
      <w:r>
        <w:rPr>
          <w:rFonts w:hint="eastAsia" w:ascii="仿宋" w:hAnsi="仿宋" w:eastAsia="仿宋"/>
          <w:bCs/>
          <w:sz w:val="28"/>
          <w:szCs w:val="28"/>
        </w:rPr>
        <w:t>2025年</w:t>
      </w:r>
      <w:r>
        <w:rPr>
          <w:rFonts w:hint="eastAsia" w:ascii="仿宋" w:hAnsi="仿宋" w:eastAsia="仿宋"/>
          <w:bCs/>
          <w:sz w:val="28"/>
          <w:szCs w:val="28"/>
          <w:lang w:eastAsia="zh-CN"/>
        </w:rPr>
        <w:t>10月11日</w:t>
      </w:r>
      <w:r>
        <w:rPr>
          <w:rFonts w:hint="eastAsia" w:ascii="仿宋" w:hAnsi="仿宋" w:eastAsia="仿宋"/>
          <w:bCs/>
          <w:sz w:val="28"/>
          <w:szCs w:val="28"/>
        </w:rPr>
        <w:t>09点15分（北京时间）</w:t>
      </w:r>
    </w:p>
    <w:p w14:paraId="7EABEAF0">
      <w:pPr>
        <w:spacing w:line="360" w:lineRule="auto"/>
        <w:ind w:firstLine="560" w:firstLineChars="200"/>
        <w:rPr>
          <w:rFonts w:ascii="仿宋" w:hAnsi="仿宋" w:eastAsia="仿宋"/>
          <w:bCs/>
          <w:sz w:val="28"/>
          <w:szCs w:val="28"/>
        </w:rPr>
      </w:pPr>
      <w:r>
        <w:rPr>
          <w:rFonts w:hint="eastAsia" w:ascii="仿宋" w:hAnsi="仿宋" w:eastAsia="仿宋"/>
          <w:sz w:val="28"/>
          <w:szCs w:val="28"/>
        </w:rPr>
        <w:t>地点：安天e采招标采购电子交易平台（www.xinecai.com）</w:t>
      </w:r>
    </w:p>
    <w:p w14:paraId="640507A4">
      <w:pPr>
        <w:keepNext/>
        <w:keepLines/>
        <w:spacing w:before="260" w:after="260" w:line="360" w:lineRule="auto"/>
        <w:outlineLvl w:val="1"/>
        <w:rPr>
          <w:rFonts w:ascii="黑体" w:hAnsi="黑体" w:cs="宋体"/>
          <w:b/>
          <w:bCs/>
          <w:kern w:val="0"/>
          <w:sz w:val="28"/>
          <w:szCs w:val="28"/>
        </w:rPr>
      </w:pPr>
      <w:bookmarkStart w:id="31" w:name="_Toc35393625"/>
      <w:bookmarkStart w:id="32" w:name="_Toc28359007"/>
      <w:bookmarkStart w:id="33" w:name="_Toc28359084"/>
      <w:bookmarkStart w:id="34" w:name="_Toc35393794"/>
      <w:bookmarkStart w:id="35" w:name="_Toc26141"/>
      <w:r>
        <w:rPr>
          <w:rFonts w:hint="eastAsia" w:ascii="黑体" w:hAnsi="黑体" w:cs="宋体"/>
          <w:b/>
          <w:bCs/>
          <w:kern w:val="0"/>
          <w:sz w:val="28"/>
          <w:szCs w:val="28"/>
        </w:rPr>
        <w:t>五、公告期限</w:t>
      </w:r>
      <w:bookmarkEnd w:id="31"/>
      <w:bookmarkEnd w:id="32"/>
      <w:bookmarkEnd w:id="33"/>
      <w:bookmarkEnd w:id="34"/>
      <w:bookmarkEnd w:id="35"/>
    </w:p>
    <w:p w14:paraId="319F98D3">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76AFF4C4">
      <w:pPr>
        <w:keepNext/>
        <w:keepLines/>
        <w:spacing w:before="260" w:after="260" w:line="360" w:lineRule="auto"/>
        <w:outlineLvl w:val="1"/>
        <w:rPr>
          <w:rFonts w:ascii="黑体" w:hAnsi="黑体" w:cs="宋体"/>
          <w:b/>
          <w:bCs/>
          <w:kern w:val="0"/>
          <w:sz w:val="28"/>
          <w:szCs w:val="28"/>
        </w:rPr>
      </w:pPr>
      <w:bookmarkStart w:id="36" w:name="_Toc35393795"/>
      <w:bookmarkStart w:id="37" w:name="_Toc35393626"/>
      <w:bookmarkStart w:id="38" w:name="_Toc14840"/>
      <w:r>
        <w:rPr>
          <w:rFonts w:hint="eastAsia" w:ascii="黑体" w:hAnsi="黑体" w:cs="宋体"/>
          <w:b/>
          <w:bCs/>
          <w:kern w:val="0"/>
          <w:sz w:val="28"/>
          <w:szCs w:val="28"/>
        </w:rPr>
        <w:t>六、其他补充事宜</w:t>
      </w:r>
      <w:bookmarkEnd w:id="36"/>
      <w:bookmarkEnd w:id="37"/>
      <w:bookmarkEnd w:id="38"/>
    </w:p>
    <w:p w14:paraId="0DBC3C32">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1.本项目落实节能环保、中小微型企业扶持等相关政府采购政策。</w:t>
      </w:r>
    </w:p>
    <w:p w14:paraId="78A4B172">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2.申请人应合理安排招标文件获取及投标文件上传时间，特别是网络速度慢的地区，防止在系统关闭前网络拥堵无法操作。如因计算机及网络故障造成无法完成招标文件获取及投标文件上传的，责任自负。</w:t>
      </w:r>
    </w:p>
    <w:p w14:paraId="56BF83A6">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如对此项内容有疑问，可按采购文件约定提出询问或质疑。</w:t>
      </w:r>
    </w:p>
    <w:p w14:paraId="65624317">
      <w:pPr>
        <w:keepNext/>
        <w:keepLines/>
        <w:spacing w:before="260" w:after="260" w:line="360" w:lineRule="auto"/>
        <w:outlineLvl w:val="1"/>
        <w:rPr>
          <w:rFonts w:ascii="黑体" w:hAnsi="黑体" w:cs="宋体"/>
          <w:b/>
          <w:bCs/>
          <w:kern w:val="0"/>
          <w:sz w:val="28"/>
          <w:szCs w:val="28"/>
        </w:rPr>
      </w:pPr>
      <w:bookmarkStart w:id="39" w:name="_Toc35393627"/>
      <w:bookmarkStart w:id="40" w:name="_Toc35393796"/>
      <w:bookmarkStart w:id="41" w:name="_Toc17539"/>
      <w:bookmarkStart w:id="42" w:name="_Toc28359008"/>
      <w:bookmarkStart w:id="43" w:name="_Toc28359085"/>
      <w:r>
        <w:rPr>
          <w:rFonts w:hint="eastAsia" w:ascii="黑体" w:hAnsi="黑体" w:cs="宋体"/>
          <w:b/>
          <w:bCs/>
          <w:kern w:val="0"/>
          <w:sz w:val="28"/>
          <w:szCs w:val="28"/>
        </w:rPr>
        <w:t>七、对本次招标提出询问，请按</w:t>
      </w:r>
      <w:r>
        <w:rPr>
          <w:rFonts w:ascii="黑体" w:hAnsi="黑体" w:cs="宋体"/>
          <w:b/>
          <w:bCs/>
          <w:kern w:val="0"/>
          <w:sz w:val="28"/>
          <w:szCs w:val="28"/>
        </w:rPr>
        <w:t>以下方式</w:t>
      </w:r>
      <w:r>
        <w:rPr>
          <w:rFonts w:hint="eastAsia" w:ascii="黑体" w:hAnsi="黑体" w:cs="宋体"/>
          <w:b/>
          <w:bCs/>
          <w:kern w:val="0"/>
          <w:sz w:val="28"/>
          <w:szCs w:val="28"/>
        </w:rPr>
        <w:t>联系。</w:t>
      </w:r>
      <w:bookmarkEnd w:id="39"/>
      <w:bookmarkEnd w:id="40"/>
      <w:bookmarkEnd w:id="41"/>
      <w:bookmarkEnd w:id="42"/>
      <w:bookmarkEnd w:id="43"/>
    </w:p>
    <w:p w14:paraId="7431AA14">
      <w:pPr>
        <w:spacing w:line="360" w:lineRule="auto"/>
        <w:ind w:firstLine="840" w:firstLineChars="300"/>
        <w:rPr>
          <w:rFonts w:ascii="仿宋" w:hAnsi="仿宋" w:eastAsia="仿宋" w:cs="宋体"/>
          <w:sz w:val="28"/>
          <w:szCs w:val="28"/>
        </w:rPr>
      </w:pPr>
      <w:r>
        <w:rPr>
          <w:rFonts w:hint="eastAsia" w:ascii="仿宋" w:hAnsi="仿宋" w:eastAsia="仿宋" w:cs="宋体"/>
          <w:sz w:val="28"/>
          <w:szCs w:val="28"/>
        </w:rPr>
        <w:t>1.采购人信息</w:t>
      </w:r>
    </w:p>
    <w:p w14:paraId="6975E6EE">
      <w:pPr>
        <w:spacing w:line="360" w:lineRule="auto"/>
        <w:ind w:firstLine="840" w:firstLineChars="300"/>
        <w:rPr>
          <w:rFonts w:ascii="仿宋" w:hAnsi="仿宋" w:eastAsia="仿宋" w:cs="宋体"/>
          <w:sz w:val="28"/>
          <w:szCs w:val="28"/>
        </w:rPr>
      </w:pPr>
      <w:r>
        <w:rPr>
          <w:rFonts w:hint="eastAsia" w:ascii="仿宋" w:hAnsi="仿宋" w:eastAsia="仿宋" w:cs="宋体"/>
          <w:sz w:val="28"/>
          <w:szCs w:val="28"/>
        </w:rPr>
        <w:t>名称：</w:t>
      </w:r>
      <w:r>
        <w:rPr>
          <w:rFonts w:hint="eastAsia" w:ascii="仿宋" w:hAnsi="仿宋" w:eastAsia="仿宋"/>
          <w:sz w:val="28"/>
          <w:szCs w:val="28"/>
        </w:rPr>
        <w:t>安徽医科大学附属口腔医院（安徽省口腔医院）</w:t>
      </w:r>
    </w:p>
    <w:p w14:paraId="1F122A26">
      <w:pPr>
        <w:spacing w:line="360" w:lineRule="auto"/>
        <w:ind w:firstLine="840" w:firstLineChars="300"/>
        <w:rPr>
          <w:rFonts w:ascii="仿宋" w:hAnsi="仿宋" w:eastAsia="仿宋" w:cs="宋体"/>
          <w:sz w:val="28"/>
          <w:szCs w:val="28"/>
        </w:rPr>
      </w:pPr>
      <w:r>
        <w:rPr>
          <w:rFonts w:hint="eastAsia" w:ascii="仿宋" w:hAnsi="仿宋" w:eastAsia="仿宋" w:cs="宋体"/>
          <w:sz w:val="28"/>
          <w:szCs w:val="28"/>
        </w:rPr>
        <w:t>地址：合肥市高新区长江西路2205号</w:t>
      </w:r>
    </w:p>
    <w:p w14:paraId="02306B8C">
      <w:pPr>
        <w:spacing w:line="360" w:lineRule="auto"/>
        <w:ind w:firstLine="840" w:firstLineChars="300"/>
        <w:rPr>
          <w:rFonts w:ascii="仿宋" w:hAnsi="仿宋" w:eastAsia="仿宋" w:cs="宋体"/>
          <w:sz w:val="28"/>
          <w:szCs w:val="28"/>
        </w:rPr>
      </w:pPr>
      <w:r>
        <w:rPr>
          <w:rFonts w:hint="eastAsia" w:ascii="仿宋" w:hAnsi="仿宋" w:eastAsia="仿宋" w:cs="宋体"/>
          <w:sz w:val="28"/>
          <w:szCs w:val="28"/>
        </w:rPr>
        <w:t>联系方式：</w:t>
      </w:r>
      <w:bookmarkStart w:id="44" w:name="_Toc28359086"/>
      <w:bookmarkStart w:id="45" w:name="_Toc28359009"/>
      <w:r>
        <w:rPr>
          <w:rFonts w:hint="eastAsia" w:ascii="仿宋" w:hAnsi="仿宋" w:eastAsia="仿宋" w:cs="宋体"/>
          <w:sz w:val="28"/>
          <w:szCs w:val="28"/>
        </w:rPr>
        <w:t>华老师、樊老师0551-65160286</w:t>
      </w:r>
    </w:p>
    <w:p w14:paraId="740D3962">
      <w:pPr>
        <w:spacing w:line="360" w:lineRule="auto"/>
        <w:ind w:firstLine="840" w:firstLineChars="300"/>
        <w:rPr>
          <w:rFonts w:ascii="仿宋" w:hAnsi="仿宋" w:eastAsia="仿宋" w:cs="宋体"/>
          <w:sz w:val="28"/>
          <w:szCs w:val="28"/>
        </w:rPr>
      </w:pPr>
      <w:r>
        <w:rPr>
          <w:rFonts w:hint="eastAsia" w:ascii="仿宋" w:hAnsi="仿宋" w:eastAsia="仿宋" w:cs="宋体"/>
          <w:sz w:val="28"/>
          <w:szCs w:val="28"/>
        </w:rPr>
        <w:t>2.采购代理机构信息</w:t>
      </w:r>
      <w:bookmarkEnd w:id="44"/>
      <w:bookmarkEnd w:id="45"/>
    </w:p>
    <w:p w14:paraId="096C6FC6">
      <w:pPr>
        <w:spacing w:line="360" w:lineRule="auto"/>
        <w:ind w:firstLine="840" w:firstLineChars="300"/>
        <w:rPr>
          <w:rFonts w:ascii="仿宋" w:hAnsi="仿宋" w:eastAsia="仿宋"/>
          <w:sz w:val="28"/>
          <w:szCs w:val="28"/>
        </w:rPr>
      </w:pPr>
      <w:r>
        <w:rPr>
          <w:rFonts w:hint="eastAsia" w:ascii="仿宋" w:hAnsi="仿宋" w:eastAsia="仿宋"/>
          <w:sz w:val="28"/>
          <w:szCs w:val="28"/>
        </w:rPr>
        <w:t>名称：安徽安天利信工程管理股份有限公司</w:t>
      </w:r>
    </w:p>
    <w:p w14:paraId="529A2B22">
      <w:pPr>
        <w:spacing w:line="360" w:lineRule="auto"/>
        <w:ind w:firstLine="840" w:firstLineChars="300"/>
        <w:rPr>
          <w:rFonts w:ascii="仿宋" w:hAnsi="仿宋" w:eastAsia="仿宋"/>
          <w:sz w:val="28"/>
          <w:szCs w:val="28"/>
        </w:rPr>
      </w:pPr>
      <w:r>
        <w:rPr>
          <w:rFonts w:hint="eastAsia" w:ascii="仿宋" w:hAnsi="仿宋" w:eastAsia="仿宋"/>
          <w:sz w:val="28"/>
          <w:szCs w:val="28"/>
        </w:rPr>
        <w:t>地址：合肥市蜀山区蜀鑫路69号安徽安天利信工程管理股份有限公司(总部基地)706室</w:t>
      </w:r>
    </w:p>
    <w:p w14:paraId="1A7B0699">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bookmarkStart w:id="46" w:name="_Toc28359010"/>
      <w:bookmarkStart w:id="47" w:name="_Toc28359087"/>
      <w:r>
        <w:rPr>
          <w:rFonts w:hint="eastAsia" w:ascii="仿宋" w:hAnsi="仿宋" w:eastAsia="仿宋"/>
          <w:sz w:val="28"/>
          <w:szCs w:val="28"/>
        </w:rPr>
        <w:t>18709855877</w:t>
      </w:r>
    </w:p>
    <w:p w14:paraId="4F360530">
      <w:pPr>
        <w:spacing w:line="360" w:lineRule="auto"/>
        <w:ind w:firstLine="840" w:firstLineChars="300"/>
        <w:rPr>
          <w:rFonts w:ascii="仿宋" w:hAnsi="仿宋" w:eastAsia="仿宋"/>
          <w:sz w:val="28"/>
          <w:szCs w:val="28"/>
        </w:rPr>
      </w:pPr>
      <w:r>
        <w:rPr>
          <w:rFonts w:hint="eastAsia" w:ascii="仿宋" w:hAnsi="仿宋" w:eastAsia="仿宋" w:cs="宋体"/>
          <w:sz w:val="28"/>
          <w:szCs w:val="28"/>
        </w:rPr>
        <w:t>3.项目</w:t>
      </w:r>
      <w:r>
        <w:rPr>
          <w:rFonts w:ascii="仿宋" w:hAnsi="仿宋" w:eastAsia="仿宋" w:cs="宋体"/>
          <w:sz w:val="28"/>
          <w:szCs w:val="28"/>
        </w:rPr>
        <w:t>联系方式</w:t>
      </w:r>
      <w:bookmarkEnd w:id="46"/>
      <w:bookmarkEnd w:id="47"/>
    </w:p>
    <w:p w14:paraId="29E63171">
      <w:pPr>
        <w:pStyle w:val="8"/>
        <w:spacing w:line="360" w:lineRule="auto"/>
        <w:ind w:firstLine="840" w:firstLineChars="300"/>
        <w:rPr>
          <w:rFonts w:hint="eastAsia" w:ascii="仿宋" w:hAnsi="仿宋" w:eastAsia="仿宋"/>
          <w:sz w:val="28"/>
          <w:szCs w:val="28"/>
        </w:rPr>
      </w:pPr>
      <w:r>
        <w:rPr>
          <w:rFonts w:hint="eastAsia" w:ascii="仿宋" w:hAnsi="仿宋" w:eastAsia="仿宋"/>
          <w:sz w:val="28"/>
          <w:szCs w:val="28"/>
        </w:rPr>
        <w:t>项目联系人：许芳妍、杨安琪</w:t>
      </w:r>
    </w:p>
    <w:p w14:paraId="64879FD4">
      <w:pPr>
        <w:pStyle w:val="8"/>
        <w:spacing w:line="360" w:lineRule="auto"/>
        <w:ind w:firstLine="840" w:firstLineChars="300"/>
        <w:rPr>
          <w:rFonts w:ascii="宋体" w:hAnsi="宋体"/>
          <w:sz w:val="24"/>
          <w:szCs w:val="18"/>
          <w:u w:val="single"/>
        </w:rPr>
      </w:pPr>
      <w:r>
        <w:rPr>
          <w:rFonts w:hint="eastAsia" w:ascii="仿宋" w:hAnsi="仿宋" w:eastAsia="仿宋"/>
          <w:sz w:val="28"/>
          <w:szCs w:val="28"/>
        </w:rPr>
        <w:t>电话：18709855877、0551-63736296</w:t>
      </w:r>
    </w:p>
    <w:p w14:paraId="17A1765A">
      <w:pPr>
        <w:spacing w:line="360" w:lineRule="auto"/>
        <w:ind w:firstLine="435"/>
        <w:rPr>
          <w:rFonts w:ascii="宋体" w:hAnsi="宋体"/>
          <w:sz w:val="24"/>
          <w:szCs w:val="18"/>
          <w:u w:val="single"/>
        </w:rPr>
      </w:pPr>
      <w:r>
        <w:rPr>
          <w:rFonts w:ascii="宋体" w:hAnsi="宋体"/>
          <w:sz w:val="24"/>
          <w:szCs w:val="18"/>
          <w:u w:val="single"/>
        </w:rPr>
        <w:br w:type="page"/>
      </w:r>
    </w:p>
    <w:p w14:paraId="5E3841E5">
      <w:pPr>
        <w:pStyle w:val="2"/>
        <w:widowControl/>
        <w:spacing w:before="0" w:after="0" w:line="240" w:lineRule="auto"/>
        <w:jc w:val="center"/>
        <w:rPr>
          <w:rFonts w:ascii="宋体" w:hAnsi="宋体"/>
          <w:kern w:val="2"/>
        </w:rPr>
      </w:pPr>
      <w:bookmarkStart w:id="48" w:name="_Toc241459614"/>
      <w:bookmarkStart w:id="49" w:name="_Toc466024497"/>
      <w:bookmarkStart w:id="50" w:name="_Toc528829639"/>
      <w:bookmarkStart w:id="51" w:name="_Toc14156"/>
      <w:bookmarkStart w:id="52" w:name="_Toc32362"/>
      <w:bookmarkStart w:id="53" w:name="_Toc6588"/>
      <w:bookmarkStart w:id="54" w:name="_Toc445554685"/>
      <w:bookmarkStart w:id="55" w:name="_Toc23418"/>
      <w:bookmarkStart w:id="56" w:name="_Toc333587477"/>
      <w:bookmarkStart w:id="57" w:name="_Toc342296160"/>
      <w:bookmarkStart w:id="58" w:name="_Toc371415919"/>
      <w:bookmarkStart w:id="59" w:name="_Toc342297617"/>
      <w:r>
        <w:rPr>
          <w:rFonts w:hint="eastAsia" w:ascii="宋体" w:hAnsi="宋体"/>
          <w:kern w:val="2"/>
        </w:rPr>
        <w:t>第二章</w:t>
      </w:r>
      <w:r>
        <w:rPr>
          <w:rFonts w:ascii="宋体" w:hAnsi="宋体"/>
          <w:kern w:val="2"/>
        </w:rPr>
        <w:t xml:space="preserve"> </w:t>
      </w:r>
      <w:r>
        <w:rPr>
          <w:rFonts w:hint="eastAsia" w:ascii="宋体" w:hAnsi="宋体"/>
          <w:kern w:val="2"/>
        </w:rPr>
        <w:t xml:space="preserve"> 投标供应商须知</w:t>
      </w:r>
      <w:bookmarkEnd w:id="48"/>
      <w:bookmarkEnd w:id="49"/>
      <w:bookmarkEnd w:id="50"/>
      <w:bookmarkEnd w:id="51"/>
      <w:bookmarkEnd w:id="52"/>
      <w:bookmarkEnd w:id="53"/>
      <w:bookmarkEnd w:id="54"/>
      <w:bookmarkEnd w:id="55"/>
    </w:p>
    <w:p w14:paraId="0DF1B106">
      <w:pPr>
        <w:pStyle w:val="3"/>
        <w:widowControl/>
        <w:spacing w:before="120" w:after="120" w:line="240" w:lineRule="auto"/>
        <w:jc w:val="center"/>
        <w:rPr>
          <w:rStyle w:val="19"/>
          <w:rFonts w:ascii="宋体" w:hAnsi="宋体" w:eastAsia="宋体"/>
          <w:b w:val="0"/>
          <w:bCs/>
          <w:sz w:val="30"/>
          <w:szCs w:val="30"/>
        </w:rPr>
      </w:pPr>
      <w:bookmarkStart w:id="60" w:name="_Toc466024498"/>
      <w:bookmarkStart w:id="61" w:name="_Toc22526"/>
      <w:bookmarkStart w:id="62" w:name="_Toc445554686"/>
      <w:r>
        <w:rPr>
          <w:rStyle w:val="19"/>
          <w:rFonts w:hint="eastAsia" w:ascii="宋体" w:hAnsi="宋体" w:eastAsia="宋体"/>
          <w:b w:val="0"/>
          <w:bCs/>
          <w:sz w:val="30"/>
          <w:szCs w:val="30"/>
        </w:rPr>
        <w:t>一、投标供应商须知前附表</w:t>
      </w:r>
      <w:bookmarkEnd w:id="60"/>
      <w:bookmarkEnd w:id="61"/>
      <w:bookmarkEnd w:id="62"/>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7CC0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trPr>
        <w:tc>
          <w:tcPr>
            <w:tcW w:w="857" w:type="dxa"/>
            <w:vAlign w:val="center"/>
          </w:tcPr>
          <w:p w14:paraId="5ED6F29D">
            <w:pPr>
              <w:widowControl/>
              <w:adjustRightInd w:val="0"/>
              <w:snapToGrid w:val="0"/>
              <w:spacing w:line="288" w:lineRule="auto"/>
              <w:jc w:val="center"/>
              <w:rPr>
                <w:rFonts w:ascii="宋体" w:hAnsi="宋体" w:cs="Calibri"/>
                <w:b/>
                <w:szCs w:val="21"/>
              </w:rPr>
            </w:pPr>
            <w:r>
              <w:rPr>
                <w:rFonts w:hint="eastAsia" w:ascii="宋体" w:hAnsi="宋体" w:cs="Calibri"/>
                <w:b/>
                <w:szCs w:val="21"/>
              </w:rPr>
              <w:t>条款号</w:t>
            </w:r>
          </w:p>
        </w:tc>
        <w:tc>
          <w:tcPr>
            <w:tcW w:w="1581" w:type="dxa"/>
            <w:vAlign w:val="center"/>
          </w:tcPr>
          <w:p w14:paraId="5EAC8AB9">
            <w:pPr>
              <w:widowControl/>
              <w:adjustRightInd w:val="0"/>
              <w:snapToGrid w:val="0"/>
              <w:spacing w:line="288" w:lineRule="auto"/>
              <w:jc w:val="center"/>
              <w:rPr>
                <w:rFonts w:ascii="宋体" w:hAnsi="宋体" w:cs="Calibri"/>
                <w:b/>
                <w:szCs w:val="21"/>
              </w:rPr>
            </w:pPr>
            <w:r>
              <w:rPr>
                <w:rFonts w:hint="eastAsia" w:ascii="宋体" w:hAnsi="宋体" w:cs="Calibri"/>
                <w:b/>
                <w:szCs w:val="21"/>
              </w:rPr>
              <w:t>条款名称</w:t>
            </w:r>
          </w:p>
        </w:tc>
        <w:tc>
          <w:tcPr>
            <w:tcW w:w="7229" w:type="dxa"/>
            <w:vAlign w:val="center"/>
          </w:tcPr>
          <w:p w14:paraId="20C8A491">
            <w:pPr>
              <w:widowControl/>
              <w:adjustRightInd w:val="0"/>
              <w:snapToGrid w:val="0"/>
              <w:spacing w:line="288" w:lineRule="auto"/>
              <w:jc w:val="center"/>
              <w:rPr>
                <w:rFonts w:ascii="宋体" w:hAnsi="宋体" w:cs="Calibri"/>
                <w:b/>
                <w:szCs w:val="21"/>
              </w:rPr>
            </w:pPr>
            <w:r>
              <w:rPr>
                <w:rFonts w:hint="eastAsia" w:ascii="宋体" w:hAnsi="宋体" w:cs="Calibri"/>
                <w:b/>
                <w:szCs w:val="21"/>
              </w:rPr>
              <w:t>编</w:t>
            </w:r>
            <w:r>
              <w:rPr>
                <w:rFonts w:ascii="宋体" w:hAnsi="宋体" w:cs="Calibri"/>
                <w:b/>
                <w:szCs w:val="21"/>
              </w:rPr>
              <w:t xml:space="preserve">  </w:t>
            </w:r>
            <w:r>
              <w:rPr>
                <w:rFonts w:hint="eastAsia" w:ascii="宋体" w:hAnsi="宋体" w:cs="Calibri"/>
                <w:b/>
                <w:szCs w:val="21"/>
              </w:rPr>
              <w:t>列</w:t>
            </w:r>
            <w:r>
              <w:rPr>
                <w:rFonts w:ascii="宋体" w:hAnsi="宋体" w:cs="Calibri"/>
                <w:b/>
                <w:szCs w:val="21"/>
              </w:rPr>
              <w:t xml:space="preserve">  </w:t>
            </w:r>
            <w:r>
              <w:rPr>
                <w:rFonts w:hint="eastAsia" w:ascii="宋体" w:hAnsi="宋体" w:cs="Calibri"/>
                <w:b/>
                <w:szCs w:val="21"/>
              </w:rPr>
              <w:t>内</w:t>
            </w:r>
            <w:r>
              <w:rPr>
                <w:rFonts w:ascii="宋体" w:hAnsi="宋体" w:cs="Calibri"/>
                <w:b/>
                <w:szCs w:val="21"/>
              </w:rPr>
              <w:t xml:space="preserve">  </w:t>
            </w:r>
            <w:r>
              <w:rPr>
                <w:rFonts w:hint="eastAsia" w:ascii="宋体" w:hAnsi="宋体" w:cs="Calibri"/>
                <w:b/>
                <w:szCs w:val="21"/>
              </w:rPr>
              <w:t>容</w:t>
            </w:r>
          </w:p>
        </w:tc>
      </w:tr>
      <w:tr w14:paraId="2A54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6097450A">
            <w:pPr>
              <w:widowControl/>
              <w:adjustRightInd w:val="0"/>
              <w:snapToGrid w:val="0"/>
              <w:spacing w:line="288" w:lineRule="auto"/>
              <w:jc w:val="center"/>
              <w:rPr>
                <w:rFonts w:ascii="宋体" w:hAnsi="宋体" w:cs="Calibri"/>
                <w:szCs w:val="21"/>
              </w:rPr>
            </w:pPr>
            <w:r>
              <w:rPr>
                <w:rFonts w:hint="eastAsia" w:ascii="宋体" w:hAnsi="宋体" w:cs="Calibri"/>
                <w:szCs w:val="21"/>
              </w:rPr>
              <w:t>1.1.5</w:t>
            </w:r>
          </w:p>
        </w:tc>
        <w:tc>
          <w:tcPr>
            <w:tcW w:w="1581" w:type="dxa"/>
            <w:vAlign w:val="center"/>
          </w:tcPr>
          <w:p w14:paraId="40D825DD">
            <w:pPr>
              <w:widowControl/>
              <w:adjustRightInd w:val="0"/>
              <w:snapToGrid w:val="0"/>
              <w:spacing w:line="288" w:lineRule="auto"/>
              <w:jc w:val="center"/>
              <w:rPr>
                <w:rFonts w:ascii="宋体" w:hAnsi="宋体" w:cs="Calibri"/>
                <w:szCs w:val="21"/>
              </w:rPr>
            </w:pPr>
            <w:r>
              <w:rPr>
                <w:rFonts w:hint="eastAsia" w:ascii="宋体" w:hAnsi="宋体" w:cs="Calibri"/>
                <w:szCs w:val="21"/>
              </w:rPr>
              <w:t>包别划分</w:t>
            </w:r>
          </w:p>
        </w:tc>
        <w:tc>
          <w:tcPr>
            <w:tcW w:w="7229" w:type="dxa"/>
            <w:vAlign w:val="center"/>
          </w:tcPr>
          <w:p w14:paraId="01C5D0B7">
            <w:pPr>
              <w:adjustRightInd w:val="0"/>
              <w:snapToGrid w:val="0"/>
              <w:spacing w:line="288" w:lineRule="auto"/>
              <w:jc w:val="left"/>
              <w:rPr>
                <w:rFonts w:ascii="宋体" w:hAnsi="宋体"/>
                <w:szCs w:val="21"/>
                <w:lang w:bidi="ar"/>
              </w:rPr>
            </w:pPr>
            <w:r>
              <w:rPr>
                <w:rFonts w:hint="eastAsia" w:ascii="宋体" w:hAnsi="宋体"/>
                <w:szCs w:val="21"/>
              </w:rPr>
              <w:t>□</w:t>
            </w:r>
            <w:r>
              <w:rPr>
                <w:rFonts w:hint="eastAsia" w:ascii="宋体" w:hAnsi="宋体"/>
                <w:szCs w:val="21"/>
                <w:lang w:bidi="ar"/>
              </w:rPr>
              <w:t>不分包</w:t>
            </w:r>
          </w:p>
          <w:p w14:paraId="4CF522F8">
            <w:pPr>
              <w:adjustRightInd w:val="0"/>
              <w:snapToGrid w:val="0"/>
              <w:spacing w:line="288" w:lineRule="auto"/>
              <w:jc w:val="left"/>
              <w:rPr>
                <w:rFonts w:ascii="宋体" w:hAnsi="宋体"/>
                <w:szCs w:val="21"/>
              </w:rPr>
            </w:pPr>
            <w:r>
              <w:rPr>
                <w:rFonts w:hint="eastAsia" w:ascii="宋体" w:hAnsi="宋体"/>
                <w:szCs w:val="21"/>
              </w:rPr>
              <w:t>☑</w:t>
            </w:r>
            <w:r>
              <w:rPr>
                <w:rFonts w:hint="eastAsia" w:ascii="宋体" w:hAnsi="宋体"/>
                <w:szCs w:val="21"/>
                <w:lang w:bidi="ar"/>
              </w:rPr>
              <w:t>分为5个包，可兼投兼中</w:t>
            </w:r>
          </w:p>
        </w:tc>
      </w:tr>
      <w:tr w14:paraId="1611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3E95B187">
            <w:pPr>
              <w:widowControl/>
              <w:adjustRightInd w:val="0"/>
              <w:snapToGrid w:val="0"/>
              <w:spacing w:line="288" w:lineRule="auto"/>
              <w:jc w:val="center"/>
              <w:rPr>
                <w:rFonts w:ascii="宋体" w:hAnsi="宋体" w:cs="Calibri"/>
                <w:szCs w:val="21"/>
              </w:rPr>
            </w:pPr>
            <w:r>
              <w:rPr>
                <w:rFonts w:hint="eastAsia" w:ascii="宋体" w:hAnsi="宋体" w:cs="Calibri"/>
                <w:szCs w:val="21"/>
              </w:rPr>
              <w:t>1.2.1</w:t>
            </w:r>
          </w:p>
        </w:tc>
        <w:tc>
          <w:tcPr>
            <w:tcW w:w="1581" w:type="dxa"/>
            <w:vAlign w:val="center"/>
          </w:tcPr>
          <w:p w14:paraId="7CB85CFE">
            <w:pPr>
              <w:widowControl/>
              <w:adjustRightInd w:val="0"/>
              <w:snapToGrid w:val="0"/>
              <w:spacing w:line="288" w:lineRule="auto"/>
              <w:jc w:val="center"/>
              <w:rPr>
                <w:rFonts w:ascii="宋体" w:hAnsi="宋体" w:cs="Calibri"/>
                <w:szCs w:val="21"/>
              </w:rPr>
            </w:pPr>
            <w:r>
              <w:rPr>
                <w:rFonts w:hint="eastAsia" w:ascii="宋体" w:hAnsi="宋体" w:cs="Calibri"/>
                <w:szCs w:val="21"/>
              </w:rPr>
              <w:t>资金来源</w:t>
            </w:r>
          </w:p>
        </w:tc>
        <w:tc>
          <w:tcPr>
            <w:tcW w:w="7229" w:type="dxa"/>
            <w:vAlign w:val="center"/>
          </w:tcPr>
          <w:p w14:paraId="0DB11346">
            <w:pPr>
              <w:adjustRightInd w:val="0"/>
              <w:snapToGrid w:val="0"/>
              <w:spacing w:line="288" w:lineRule="auto"/>
              <w:jc w:val="left"/>
              <w:rPr>
                <w:rFonts w:ascii="宋体" w:hAnsi="宋体"/>
                <w:szCs w:val="21"/>
              </w:rPr>
            </w:pPr>
            <w:r>
              <w:rPr>
                <w:rFonts w:hint="eastAsia" w:ascii="宋体" w:hAnsi="宋体"/>
                <w:szCs w:val="21"/>
              </w:rPr>
              <w:t>已落实，100%财政性资金</w:t>
            </w:r>
          </w:p>
        </w:tc>
      </w:tr>
      <w:tr w14:paraId="7389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6875C21E">
            <w:pPr>
              <w:widowControl/>
              <w:adjustRightInd w:val="0"/>
              <w:snapToGrid w:val="0"/>
              <w:spacing w:line="288" w:lineRule="auto"/>
              <w:jc w:val="center"/>
              <w:rPr>
                <w:rFonts w:ascii="宋体" w:hAnsi="宋体" w:cs="Calibri"/>
                <w:szCs w:val="21"/>
              </w:rPr>
            </w:pPr>
            <w:r>
              <w:rPr>
                <w:rFonts w:hint="eastAsia" w:ascii="宋体" w:hAnsi="宋体" w:cs="Calibri"/>
                <w:szCs w:val="21"/>
              </w:rPr>
              <w:t>1.3.2</w:t>
            </w:r>
          </w:p>
        </w:tc>
        <w:tc>
          <w:tcPr>
            <w:tcW w:w="1581" w:type="dxa"/>
            <w:vAlign w:val="center"/>
          </w:tcPr>
          <w:p w14:paraId="300E426E">
            <w:pPr>
              <w:widowControl/>
              <w:adjustRightInd w:val="0"/>
              <w:snapToGrid w:val="0"/>
              <w:spacing w:line="288" w:lineRule="auto"/>
              <w:jc w:val="center"/>
              <w:rPr>
                <w:rFonts w:ascii="宋体" w:hAnsi="宋体" w:cs="Calibri"/>
                <w:szCs w:val="21"/>
              </w:rPr>
            </w:pPr>
            <w:r>
              <w:rPr>
                <w:rFonts w:hint="eastAsia" w:ascii="宋体" w:hAnsi="宋体" w:cs="Calibri"/>
                <w:szCs w:val="21"/>
              </w:rPr>
              <w:t>服务期限</w:t>
            </w:r>
          </w:p>
        </w:tc>
        <w:tc>
          <w:tcPr>
            <w:tcW w:w="7229" w:type="dxa"/>
            <w:vAlign w:val="center"/>
          </w:tcPr>
          <w:p w14:paraId="335FB808">
            <w:pPr>
              <w:widowControl/>
              <w:adjustRightInd w:val="0"/>
              <w:snapToGrid w:val="0"/>
              <w:spacing w:line="288" w:lineRule="auto"/>
              <w:rPr>
                <w:rFonts w:ascii="宋体" w:hAnsi="宋体" w:cs="Calibri"/>
                <w:szCs w:val="21"/>
              </w:rPr>
            </w:pPr>
            <w:r>
              <w:rPr>
                <w:rFonts w:hint="eastAsia" w:ascii="宋体" w:hAnsi="宋体" w:cs="Calibri"/>
                <w:szCs w:val="21"/>
              </w:rPr>
              <w:t>服务期限：合同签订后一年，每批供货时间为接采购人通知后7个日历日内完成。合同到期前，经考核合格后，在年度预算能够保障的前提下，可续签累计不超过3年的采购合同，第三年合同续签至2028年6月19日，合同一年一签。</w:t>
            </w:r>
          </w:p>
          <w:p w14:paraId="43CAF036">
            <w:pPr>
              <w:widowControl/>
              <w:adjustRightInd w:val="0"/>
              <w:snapToGrid w:val="0"/>
              <w:spacing w:line="288" w:lineRule="auto"/>
              <w:rPr>
                <w:rFonts w:ascii="宋体" w:hAnsi="宋体" w:cs="Calibri"/>
                <w:szCs w:val="21"/>
              </w:rPr>
            </w:pPr>
            <w:r>
              <w:rPr>
                <w:rFonts w:hint="eastAsia" w:ascii="宋体" w:hAnsi="宋体" w:cs="Calibri"/>
                <w:szCs w:val="21"/>
              </w:rPr>
              <w:t>上述要求不允许负偏离。</w:t>
            </w:r>
            <w:r>
              <w:rPr>
                <w:rFonts w:hint="eastAsia"/>
                <w:b/>
              </w:rPr>
              <w:t>否则，按无效响应文件处理。</w:t>
            </w:r>
          </w:p>
        </w:tc>
      </w:tr>
      <w:tr w14:paraId="4488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2586B004">
            <w:pPr>
              <w:widowControl/>
              <w:adjustRightInd w:val="0"/>
              <w:snapToGrid w:val="0"/>
              <w:spacing w:line="288" w:lineRule="auto"/>
              <w:jc w:val="center"/>
              <w:rPr>
                <w:rFonts w:ascii="宋体" w:hAnsi="宋体" w:cs="Calibri"/>
                <w:szCs w:val="21"/>
              </w:rPr>
            </w:pPr>
            <w:r>
              <w:rPr>
                <w:rFonts w:hint="eastAsia" w:ascii="宋体" w:hAnsi="宋体" w:cs="Calibri"/>
                <w:szCs w:val="21"/>
              </w:rPr>
              <w:t>1.3.3</w:t>
            </w:r>
          </w:p>
        </w:tc>
        <w:tc>
          <w:tcPr>
            <w:tcW w:w="1581" w:type="dxa"/>
            <w:vAlign w:val="center"/>
          </w:tcPr>
          <w:p w14:paraId="2C1A4098">
            <w:pPr>
              <w:widowControl/>
              <w:adjustRightInd w:val="0"/>
              <w:snapToGrid w:val="0"/>
              <w:spacing w:line="288" w:lineRule="auto"/>
              <w:jc w:val="center"/>
              <w:rPr>
                <w:rFonts w:ascii="宋体" w:hAnsi="宋体" w:cs="Calibri"/>
                <w:szCs w:val="21"/>
              </w:rPr>
            </w:pPr>
            <w:r>
              <w:rPr>
                <w:rFonts w:hint="eastAsia" w:ascii="宋体" w:hAnsi="宋体" w:cs="Calibri"/>
                <w:szCs w:val="21"/>
              </w:rPr>
              <w:t>质量要求</w:t>
            </w:r>
          </w:p>
        </w:tc>
        <w:tc>
          <w:tcPr>
            <w:tcW w:w="7229" w:type="dxa"/>
            <w:vAlign w:val="center"/>
          </w:tcPr>
          <w:p w14:paraId="6745205C">
            <w:pPr>
              <w:widowControl/>
              <w:adjustRightInd w:val="0"/>
              <w:snapToGrid w:val="0"/>
              <w:spacing w:line="288" w:lineRule="auto"/>
              <w:rPr>
                <w:rFonts w:ascii="宋体" w:hAnsi="宋体" w:cs="Calibri"/>
                <w:szCs w:val="21"/>
              </w:rPr>
            </w:pPr>
            <w:r>
              <w:rPr>
                <w:rFonts w:hint="eastAsia" w:ascii="宋体" w:hAnsi="宋体" w:cs="Calibri"/>
                <w:szCs w:val="21"/>
              </w:rPr>
              <w:t>合格</w:t>
            </w:r>
          </w:p>
        </w:tc>
      </w:tr>
      <w:tr w14:paraId="7ECC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722125AF">
            <w:pPr>
              <w:widowControl/>
              <w:adjustRightInd w:val="0"/>
              <w:snapToGrid w:val="0"/>
              <w:spacing w:line="288" w:lineRule="auto"/>
              <w:jc w:val="center"/>
              <w:rPr>
                <w:rFonts w:ascii="宋体" w:hAnsi="宋体" w:cs="Calibri"/>
                <w:szCs w:val="21"/>
              </w:rPr>
            </w:pPr>
            <w:r>
              <w:rPr>
                <w:rFonts w:hint="eastAsia" w:ascii="宋体" w:hAnsi="宋体" w:cs="Calibri"/>
                <w:szCs w:val="21"/>
              </w:rPr>
              <w:t>1.3.4</w:t>
            </w:r>
          </w:p>
        </w:tc>
        <w:tc>
          <w:tcPr>
            <w:tcW w:w="1581" w:type="dxa"/>
            <w:vAlign w:val="center"/>
          </w:tcPr>
          <w:p w14:paraId="2ABA1AC1">
            <w:pPr>
              <w:widowControl/>
              <w:adjustRightInd w:val="0"/>
              <w:snapToGrid w:val="0"/>
              <w:spacing w:line="288" w:lineRule="auto"/>
              <w:jc w:val="center"/>
              <w:rPr>
                <w:rFonts w:ascii="宋体" w:hAnsi="宋体" w:cs="Calibri"/>
                <w:szCs w:val="21"/>
              </w:rPr>
            </w:pPr>
            <w:r>
              <w:rPr>
                <w:rFonts w:hint="eastAsia" w:ascii="宋体" w:hAnsi="宋体" w:cs="Calibri"/>
                <w:szCs w:val="21"/>
              </w:rPr>
              <w:t>付款方式</w:t>
            </w:r>
          </w:p>
        </w:tc>
        <w:tc>
          <w:tcPr>
            <w:tcW w:w="7229" w:type="dxa"/>
            <w:vAlign w:val="center"/>
          </w:tcPr>
          <w:p w14:paraId="2F8EAACB">
            <w:pPr>
              <w:widowControl/>
              <w:adjustRightInd w:val="0"/>
              <w:snapToGrid w:val="0"/>
              <w:spacing w:line="288" w:lineRule="auto"/>
              <w:rPr>
                <w:rFonts w:ascii="宋体" w:hAnsi="宋体" w:cs="Calibri"/>
                <w:szCs w:val="21"/>
              </w:rPr>
            </w:pPr>
            <w:r>
              <w:rPr>
                <w:rFonts w:hint="eastAsia" w:ascii="宋体" w:hAnsi="宋体" w:cs="Calibri"/>
                <w:szCs w:val="21"/>
              </w:rPr>
              <w:t>付款方式：合同签订后，根据每个月的实际配送计算当月配送额，经合同双方确认结算金额，据实支付每个月配送货款，可以以电子化票据形式进行结算。续签合同参照执行。</w:t>
            </w:r>
          </w:p>
          <w:p w14:paraId="606B940D">
            <w:pPr>
              <w:widowControl/>
              <w:adjustRightInd w:val="0"/>
              <w:snapToGrid w:val="0"/>
              <w:spacing w:line="288" w:lineRule="auto"/>
              <w:rPr>
                <w:rFonts w:ascii="宋体" w:hAnsi="宋体" w:cs="Calibri"/>
                <w:szCs w:val="21"/>
              </w:rPr>
            </w:pPr>
            <w:r>
              <w:rPr>
                <w:rFonts w:hint="eastAsia" w:ascii="宋体" w:hAnsi="宋体" w:cs="Calibri"/>
                <w:szCs w:val="21"/>
              </w:rPr>
              <w:t>上述要求不允许负偏离。</w:t>
            </w:r>
            <w:r>
              <w:rPr>
                <w:rFonts w:hint="eastAsia" w:ascii="宋体" w:hAnsi="宋体" w:cs="Calibri"/>
                <w:b/>
                <w:bCs/>
                <w:szCs w:val="21"/>
              </w:rPr>
              <w:t>否则，按无效响应文件处理。</w:t>
            </w:r>
          </w:p>
        </w:tc>
      </w:tr>
      <w:tr w14:paraId="587E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6F2D2370">
            <w:pPr>
              <w:widowControl/>
              <w:adjustRightInd w:val="0"/>
              <w:snapToGrid w:val="0"/>
              <w:spacing w:line="288" w:lineRule="auto"/>
              <w:jc w:val="center"/>
              <w:rPr>
                <w:rFonts w:ascii="宋体" w:hAnsi="宋体" w:cs="Calibri"/>
                <w:szCs w:val="21"/>
              </w:rPr>
            </w:pPr>
            <w:r>
              <w:rPr>
                <w:rFonts w:hint="eastAsia" w:ascii="宋体" w:hAnsi="宋体" w:cs="Calibri"/>
                <w:szCs w:val="21"/>
              </w:rPr>
              <w:t>1.4.3</w:t>
            </w:r>
          </w:p>
        </w:tc>
        <w:tc>
          <w:tcPr>
            <w:tcW w:w="1581" w:type="dxa"/>
            <w:vAlign w:val="center"/>
          </w:tcPr>
          <w:p w14:paraId="65B305A0">
            <w:pPr>
              <w:widowControl/>
              <w:adjustRightInd w:val="0"/>
              <w:snapToGrid w:val="0"/>
              <w:spacing w:line="288" w:lineRule="auto"/>
              <w:jc w:val="center"/>
              <w:rPr>
                <w:rFonts w:ascii="宋体" w:hAnsi="宋体" w:cs="Calibri"/>
                <w:szCs w:val="21"/>
              </w:rPr>
            </w:pPr>
            <w:r>
              <w:rPr>
                <w:rFonts w:hint="eastAsia" w:ascii="宋体" w:hAnsi="宋体"/>
                <w:szCs w:val="21"/>
              </w:rPr>
              <w:t>投标供应商不得存在的其他情形</w:t>
            </w:r>
          </w:p>
        </w:tc>
        <w:tc>
          <w:tcPr>
            <w:tcW w:w="7229" w:type="dxa"/>
            <w:vAlign w:val="center"/>
          </w:tcPr>
          <w:p w14:paraId="5CF656FA">
            <w:pPr>
              <w:widowControl/>
              <w:topLinePunct/>
              <w:adjustRightInd w:val="0"/>
              <w:snapToGrid w:val="0"/>
              <w:spacing w:line="288" w:lineRule="auto"/>
              <w:rPr>
                <w:rFonts w:ascii="宋体" w:hAnsi="宋体"/>
                <w:b/>
                <w:bCs/>
                <w:szCs w:val="21"/>
              </w:rPr>
            </w:pPr>
            <w:r>
              <w:rPr>
                <w:rFonts w:hint="eastAsia" w:ascii="宋体" w:hAnsi="宋体"/>
                <w:szCs w:val="21"/>
              </w:rPr>
              <w:t>无</w:t>
            </w:r>
          </w:p>
        </w:tc>
      </w:tr>
      <w:tr w14:paraId="508C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03919BF3">
            <w:pPr>
              <w:widowControl/>
              <w:adjustRightInd w:val="0"/>
              <w:snapToGrid w:val="0"/>
              <w:spacing w:line="288" w:lineRule="auto"/>
              <w:jc w:val="center"/>
              <w:rPr>
                <w:rFonts w:ascii="宋体" w:hAnsi="宋体" w:cs="Calibri"/>
                <w:szCs w:val="21"/>
              </w:rPr>
            </w:pPr>
            <w:r>
              <w:rPr>
                <w:rFonts w:hint="eastAsia" w:ascii="宋体" w:hAnsi="宋体" w:cs="Calibri"/>
                <w:szCs w:val="21"/>
              </w:rPr>
              <w:t>2.1</w:t>
            </w:r>
          </w:p>
        </w:tc>
        <w:tc>
          <w:tcPr>
            <w:tcW w:w="1581" w:type="dxa"/>
            <w:vAlign w:val="center"/>
          </w:tcPr>
          <w:p w14:paraId="7445117A">
            <w:pPr>
              <w:widowControl/>
              <w:adjustRightInd w:val="0"/>
              <w:snapToGrid w:val="0"/>
              <w:spacing w:line="288" w:lineRule="auto"/>
              <w:jc w:val="center"/>
              <w:rPr>
                <w:rFonts w:ascii="宋体" w:hAnsi="宋体" w:cs="Calibri"/>
                <w:szCs w:val="21"/>
              </w:rPr>
            </w:pPr>
            <w:r>
              <w:rPr>
                <w:rFonts w:hint="eastAsia" w:ascii="宋体" w:hAnsi="宋体" w:cs="Calibri"/>
                <w:szCs w:val="21"/>
              </w:rPr>
              <w:t>构成招标文件的其他材料</w:t>
            </w:r>
          </w:p>
        </w:tc>
        <w:tc>
          <w:tcPr>
            <w:tcW w:w="7229" w:type="dxa"/>
            <w:vAlign w:val="center"/>
          </w:tcPr>
          <w:p w14:paraId="054CD710">
            <w:pPr>
              <w:widowControl/>
              <w:topLinePunct/>
              <w:adjustRightInd w:val="0"/>
              <w:snapToGrid w:val="0"/>
              <w:spacing w:line="288" w:lineRule="auto"/>
              <w:rPr>
                <w:rFonts w:ascii="楷体" w:hAnsi="楷体" w:eastAsia="楷体"/>
                <w:szCs w:val="21"/>
              </w:rPr>
            </w:pPr>
            <w:r>
              <w:rPr>
                <w:rFonts w:hint="eastAsia" w:ascii="宋体" w:hAnsi="宋体"/>
                <w:szCs w:val="21"/>
              </w:rPr>
              <w:t>无</w:t>
            </w:r>
          </w:p>
        </w:tc>
      </w:tr>
      <w:tr w14:paraId="7C69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66" w:hRule="atLeast"/>
        </w:trPr>
        <w:tc>
          <w:tcPr>
            <w:tcW w:w="857" w:type="dxa"/>
            <w:vAlign w:val="center"/>
          </w:tcPr>
          <w:p w14:paraId="0D30562B">
            <w:pPr>
              <w:widowControl/>
              <w:adjustRightInd w:val="0"/>
              <w:snapToGrid w:val="0"/>
              <w:spacing w:line="288" w:lineRule="auto"/>
              <w:jc w:val="center"/>
              <w:rPr>
                <w:rFonts w:ascii="宋体" w:hAnsi="宋体" w:cs="Calibri"/>
                <w:szCs w:val="21"/>
              </w:rPr>
            </w:pPr>
            <w:r>
              <w:rPr>
                <w:rFonts w:hint="eastAsia" w:ascii="宋体" w:hAnsi="宋体" w:cs="Calibri"/>
                <w:szCs w:val="21"/>
              </w:rPr>
              <w:t>2.2.1</w:t>
            </w:r>
          </w:p>
        </w:tc>
        <w:tc>
          <w:tcPr>
            <w:tcW w:w="1581" w:type="dxa"/>
            <w:vAlign w:val="center"/>
          </w:tcPr>
          <w:p w14:paraId="3D5F2409">
            <w:pPr>
              <w:widowControl/>
              <w:adjustRightInd w:val="0"/>
              <w:snapToGrid w:val="0"/>
              <w:spacing w:line="440" w:lineRule="exact"/>
              <w:jc w:val="center"/>
              <w:rPr>
                <w:rFonts w:ascii="宋体" w:hAnsi="宋体" w:cs="Calibri"/>
                <w:szCs w:val="21"/>
              </w:rPr>
            </w:pPr>
            <w:r>
              <w:rPr>
                <w:rFonts w:ascii="宋体" w:hAnsi="宋体"/>
                <w:szCs w:val="21"/>
              </w:rPr>
              <w:t>投标供应商要求澄清招标文件</w:t>
            </w:r>
          </w:p>
        </w:tc>
        <w:tc>
          <w:tcPr>
            <w:tcW w:w="7229" w:type="dxa"/>
            <w:vAlign w:val="center"/>
          </w:tcPr>
          <w:p w14:paraId="1BD0313B">
            <w:pPr>
              <w:spacing w:before="96" w:beforeLines="40" w:after="96" w:afterLines="40" w:line="400" w:lineRule="exact"/>
              <w:rPr>
                <w:rFonts w:ascii="宋体" w:hAnsi="宋体" w:cs="Calibri"/>
                <w:szCs w:val="21"/>
              </w:rPr>
            </w:pPr>
            <w:r>
              <w:rPr>
                <w:rFonts w:hint="eastAsia"/>
              </w:rPr>
              <w:t>时间：</w:t>
            </w:r>
            <w:bookmarkStart w:id="63" w:name="_Toc11943"/>
            <w:r>
              <w:rPr>
                <w:rFonts w:ascii="宋体" w:hAnsi="宋体" w:cs="Calibri"/>
                <w:szCs w:val="21"/>
              </w:rPr>
              <w:t>在</w:t>
            </w:r>
            <w:r>
              <w:rPr>
                <w:rFonts w:hint="eastAsia" w:ascii="宋体" w:hAnsi="宋体" w:cs="Calibri"/>
                <w:szCs w:val="21"/>
              </w:rPr>
              <w:t>提交首次投标文件截止时间</w:t>
            </w:r>
            <w:r>
              <w:rPr>
                <w:rFonts w:hint="eastAsia" w:ascii="宋体" w:hAnsi="宋体" w:cs="Calibri"/>
                <w:szCs w:val="21"/>
                <w:u w:val="single"/>
              </w:rPr>
              <w:t>10</w:t>
            </w:r>
            <w:r>
              <w:rPr>
                <w:rFonts w:hint="eastAsia" w:ascii="宋体" w:hAnsi="宋体" w:cs="Calibri"/>
                <w:szCs w:val="21"/>
              </w:rPr>
              <w:t>日</w:t>
            </w:r>
            <w:r>
              <w:rPr>
                <w:rFonts w:ascii="宋体" w:hAnsi="宋体" w:cs="Calibri"/>
                <w:szCs w:val="21"/>
              </w:rPr>
              <w:t>前（以收到日期为准）</w:t>
            </w:r>
          </w:p>
          <w:p w14:paraId="1D7EC5DA">
            <w:pPr>
              <w:pStyle w:val="3"/>
              <w:spacing w:before="0" w:after="0" w:line="440" w:lineRule="atLeast"/>
            </w:pPr>
            <w:r>
              <w:rPr>
                <w:rFonts w:hint="eastAsia" w:ascii="宋体" w:hAnsi="宋体" w:cs="Calibri"/>
                <w:b w:val="0"/>
                <w:bCs w:val="0"/>
                <w:sz w:val="21"/>
                <w:szCs w:val="21"/>
              </w:rPr>
              <w:t>形式：以电子邮件形式（电子邮箱：fyxu@ahbidding.com）或在招标文件规定的时间内登录交易系统选择异议模块，查找选择本项目按规定进行填写疑问或异议内容，并上传相应附件。</w:t>
            </w:r>
            <w:bookmarkEnd w:id="63"/>
          </w:p>
        </w:tc>
      </w:tr>
      <w:tr w14:paraId="5076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4FBCED33">
            <w:pPr>
              <w:widowControl/>
              <w:adjustRightInd w:val="0"/>
              <w:snapToGrid w:val="0"/>
              <w:spacing w:line="288" w:lineRule="auto"/>
              <w:jc w:val="center"/>
              <w:rPr>
                <w:rFonts w:ascii="宋体" w:hAnsi="宋体" w:cs="Calibri"/>
                <w:szCs w:val="21"/>
              </w:rPr>
            </w:pPr>
            <w:r>
              <w:rPr>
                <w:rFonts w:hint="eastAsia" w:ascii="宋体" w:hAnsi="宋体" w:cs="Calibri"/>
                <w:szCs w:val="21"/>
              </w:rPr>
              <w:t>2.2.2</w:t>
            </w:r>
          </w:p>
        </w:tc>
        <w:tc>
          <w:tcPr>
            <w:tcW w:w="1581" w:type="dxa"/>
            <w:vAlign w:val="center"/>
          </w:tcPr>
          <w:p w14:paraId="69C91FFD">
            <w:pPr>
              <w:widowControl/>
              <w:adjustRightInd w:val="0"/>
              <w:snapToGrid w:val="0"/>
              <w:spacing w:line="288" w:lineRule="auto"/>
              <w:jc w:val="center"/>
              <w:rPr>
                <w:szCs w:val="21"/>
              </w:rPr>
            </w:pPr>
            <w:r>
              <w:rPr>
                <w:rFonts w:hint="eastAsia" w:ascii="宋体" w:hAnsi="宋体" w:cs="Calibri"/>
                <w:szCs w:val="21"/>
              </w:rPr>
              <w:t>招标文件澄清发出的形式</w:t>
            </w:r>
          </w:p>
        </w:tc>
        <w:tc>
          <w:tcPr>
            <w:tcW w:w="7229" w:type="dxa"/>
            <w:vAlign w:val="center"/>
          </w:tcPr>
          <w:p w14:paraId="6CB7DA98">
            <w:pPr>
              <w:widowControl/>
              <w:snapToGrid w:val="0"/>
              <w:spacing w:line="440" w:lineRule="exact"/>
              <w:rPr>
                <w:rFonts w:ascii="宋体" w:hAnsi="宋体" w:cs="Calibri"/>
                <w:szCs w:val="21"/>
              </w:rPr>
            </w:pPr>
            <w:r>
              <w:rPr>
                <w:rFonts w:hint="eastAsia" w:ascii="宋体" w:hAnsi="宋体" w:cs="Calibri"/>
                <w:szCs w:val="21"/>
              </w:rPr>
              <w:t>形式：对招标文件进行的澄清，将在招标公告发布媒体以及安天e采招标采购电子交易系统进行发布。</w:t>
            </w:r>
          </w:p>
        </w:tc>
      </w:tr>
      <w:tr w14:paraId="2D25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1B0824B7">
            <w:pPr>
              <w:widowControl/>
              <w:adjustRightInd w:val="0"/>
              <w:snapToGrid w:val="0"/>
              <w:spacing w:line="288" w:lineRule="auto"/>
              <w:jc w:val="center"/>
              <w:rPr>
                <w:rFonts w:ascii="宋体" w:hAnsi="宋体" w:cs="Calibri"/>
                <w:szCs w:val="21"/>
              </w:rPr>
            </w:pPr>
            <w:r>
              <w:rPr>
                <w:rFonts w:hint="eastAsia" w:ascii="宋体" w:hAnsi="宋体" w:cs="Calibri"/>
                <w:szCs w:val="21"/>
              </w:rPr>
              <w:t>2.2.3</w:t>
            </w:r>
          </w:p>
        </w:tc>
        <w:tc>
          <w:tcPr>
            <w:tcW w:w="1581" w:type="dxa"/>
            <w:vAlign w:val="center"/>
          </w:tcPr>
          <w:p w14:paraId="417196CF">
            <w:pPr>
              <w:widowControl/>
              <w:adjustRightInd w:val="0"/>
              <w:snapToGrid w:val="0"/>
              <w:spacing w:line="288" w:lineRule="auto"/>
              <w:jc w:val="center"/>
              <w:rPr>
                <w:rFonts w:ascii="宋体" w:hAnsi="宋体" w:cs="Calibri"/>
                <w:szCs w:val="21"/>
              </w:rPr>
            </w:pPr>
            <w:r>
              <w:rPr>
                <w:rFonts w:hint="eastAsia" w:ascii="宋体" w:hAnsi="宋体" w:cs="Calibri"/>
                <w:szCs w:val="21"/>
              </w:rPr>
              <w:t>投标供应商确认收到招标文件澄清</w:t>
            </w:r>
          </w:p>
        </w:tc>
        <w:tc>
          <w:tcPr>
            <w:tcW w:w="7229" w:type="dxa"/>
            <w:vAlign w:val="center"/>
          </w:tcPr>
          <w:p w14:paraId="50E8C8C4">
            <w:pPr>
              <w:widowControl/>
              <w:adjustRightInd w:val="0"/>
              <w:snapToGrid w:val="0"/>
              <w:spacing w:line="288" w:lineRule="auto"/>
              <w:rPr>
                <w:rFonts w:ascii="楷体" w:hAnsi="楷体" w:eastAsia="楷体" w:cs="Calibri"/>
                <w:szCs w:val="21"/>
              </w:rPr>
            </w:pPr>
            <w:r>
              <w:rPr>
                <w:rFonts w:ascii="宋体" w:hAnsi="宋体" w:cs="Calibri"/>
                <w:szCs w:val="21"/>
              </w:rPr>
              <w:t>在</w:t>
            </w:r>
            <w:r>
              <w:rPr>
                <w:rFonts w:hint="eastAsia" w:ascii="宋体" w:hAnsi="宋体" w:cs="Calibri"/>
                <w:bCs/>
                <w:szCs w:val="21"/>
              </w:rPr>
              <w:t>安天e采招标采购电子交易系统</w:t>
            </w:r>
            <w:r>
              <w:rPr>
                <w:rFonts w:hint="eastAsia" w:ascii="宋体" w:hAnsi="宋体" w:cs="Calibri"/>
                <w:szCs w:val="21"/>
              </w:rPr>
              <w:t>上发布，投标供应商应主动上网查询。投标供应商未及时关注相关信息的，责任自负。</w:t>
            </w:r>
          </w:p>
        </w:tc>
      </w:tr>
      <w:tr w14:paraId="6FD0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3D8A01B2">
            <w:pPr>
              <w:widowControl/>
              <w:adjustRightInd w:val="0"/>
              <w:snapToGrid w:val="0"/>
              <w:spacing w:line="288" w:lineRule="auto"/>
              <w:jc w:val="center"/>
              <w:rPr>
                <w:rFonts w:ascii="宋体" w:hAnsi="宋体" w:cs="Calibri"/>
                <w:szCs w:val="21"/>
              </w:rPr>
            </w:pPr>
            <w:r>
              <w:rPr>
                <w:rFonts w:hint="eastAsia" w:ascii="宋体" w:hAnsi="宋体" w:cs="Calibri"/>
                <w:szCs w:val="21"/>
              </w:rPr>
              <w:t>2.3.1</w:t>
            </w:r>
          </w:p>
        </w:tc>
        <w:tc>
          <w:tcPr>
            <w:tcW w:w="1581" w:type="dxa"/>
            <w:vAlign w:val="center"/>
          </w:tcPr>
          <w:p w14:paraId="692FCD0F">
            <w:pPr>
              <w:widowControl/>
              <w:adjustRightInd w:val="0"/>
              <w:snapToGrid w:val="0"/>
              <w:spacing w:line="288" w:lineRule="auto"/>
              <w:jc w:val="center"/>
              <w:rPr>
                <w:rFonts w:ascii="宋体" w:hAnsi="宋体" w:cs="Calibri"/>
                <w:szCs w:val="21"/>
              </w:rPr>
            </w:pPr>
            <w:r>
              <w:rPr>
                <w:rFonts w:hint="eastAsia" w:ascii="宋体" w:hAnsi="宋体" w:cs="Calibri"/>
                <w:szCs w:val="21"/>
              </w:rPr>
              <w:t>招标文件修改发出的形式</w:t>
            </w:r>
          </w:p>
        </w:tc>
        <w:tc>
          <w:tcPr>
            <w:tcW w:w="7229" w:type="dxa"/>
            <w:vAlign w:val="center"/>
          </w:tcPr>
          <w:p w14:paraId="70D1D821">
            <w:pPr>
              <w:widowControl/>
              <w:adjustRightInd w:val="0"/>
              <w:snapToGrid w:val="0"/>
              <w:spacing w:line="288" w:lineRule="auto"/>
              <w:rPr>
                <w:rFonts w:ascii="宋体" w:hAnsi="宋体" w:cs="Calibri"/>
                <w:szCs w:val="21"/>
              </w:rPr>
            </w:pPr>
            <w:r>
              <w:rPr>
                <w:rFonts w:hint="eastAsia" w:ascii="宋体" w:hAnsi="宋体" w:cs="Calibri"/>
                <w:szCs w:val="21"/>
              </w:rPr>
              <w:t>同澄清发出形式的规定</w:t>
            </w:r>
          </w:p>
        </w:tc>
      </w:tr>
      <w:tr w14:paraId="6743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4C3D2294">
            <w:pPr>
              <w:widowControl/>
              <w:adjustRightInd w:val="0"/>
              <w:snapToGrid w:val="0"/>
              <w:spacing w:line="288" w:lineRule="auto"/>
              <w:jc w:val="center"/>
              <w:rPr>
                <w:rFonts w:ascii="宋体" w:hAnsi="宋体" w:cs="Calibri"/>
                <w:szCs w:val="21"/>
              </w:rPr>
            </w:pPr>
            <w:r>
              <w:rPr>
                <w:rFonts w:hint="eastAsia" w:ascii="宋体" w:hAnsi="宋体" w:cs="Calibri"/>
                <w:szCs w:val="21"/>
              </w:rPr>
              <w:t>2.3.2</w:t>
            </w:r>
          </w:p>
        </w:tc>
        <w:tc>
          <w:tcPr>
            <w:tcW w:w="1581" w:type="dxa"/>
            <w:vAlign w:val="center"/>
          </w:tcPr>
          <w:p w14:paraId="2483DFF5">
            <w:pPr>
              <w:widowControl/>
              <w:adjustRightInd w:val="0"/>
              <w:snapToGrid w:val="0"/>
              <w:spacing w:line="288" w:lineRule="auto"/>
              <w:jc w:val="center"/>
              <w:rPr>
                <w:rFonts w:ascii="宋体" w:hAnsi="宋体" w:cs="Calibri"/>
                <w:szCs w:val="21"/>
              </w:rPr>
            </w:pPr>
            <w:r>
              <w:rPr>
                <w:rFonts w:hint="eastAsia" w:ascii="宋体" w:hAnsi="宋体" w:cs="Calibri"/>
                <w:szCs w:val="21"/>
              </w:rPr>
              <w:t>投标供应商确认收到招标文件修改</w:t>
            </w:r>
          </w:p>
        </w:tc>
        <w:tc>
          <w:tcPr>
            <w:tcW w:w="7229" w:type="dxa"/>
            <w:vAlign w:val="center"/>
          </w:tcPr>
          <w:p w14:paraId="51FC1486">
            <w:pPr>
              <w:widowControl/>
              <w:adjustRightInd w:val="0"/>
              <w:snapToGrid w:val="0"/>
              <w:spacing w:line="288" w:lineRule="auto"/>
              <w:rPr>
                <w:rFonts w:ascii="宋体" w:hAnsi="宋体" w:cs="Calibri"/>
                <w:szCs w:val="21"/>
              </w:rPr>
            </w:pPr>
            <w:r>
              <w:rPr>
                <w:rFonts w:hint="eastAsia" w:ascii="宋体" w:hAnsi="宋体" w:cs="Calibri"/>
                <w:szCs w:val="21"/>
              </w:rPr>
              <w:t>同确认收到澄清的规定</w:t>
            </w:r>
          </w:p>
        </w:tc>
      </w:tr>
      <w:tr w14:paraId="1DFD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58A06279">
            <w:pPr>
              <w:widowControl/>
              <w:adjustRightInd w:val="0"/>
              <w:snapToGrid w:val="0"/>
              <w:spacing w:line="288" w:lineRule="auto"/>
              <w:jc w:val="center"/>
              <w:rPr>
                <w:rFonts w:ascii="宋体" w:hAnsi="宋体" w:cs="Calibri"/>
                <w:szCs w:val="21"/>
              </w:rPr>
            </w:pPr>
            <w:r>
              <w:rPr>
                <w:rFonts w:hint="eastAsia" w:ascii="宋体" w:hAnsi="宋体" w:cs="Calibri"/>
                <w:szCs w:val="21"/>
              </w:rPr>
              <w:t>2.4.1</w:t>
            </w:r>
          </w:p>
        </w:tc>
        <w:tc>
          <w:tcPr>
            <w:tcW w:w="1581" w:type="dxa"/>
            <w:vAlign w:val="center"/>
          </w:tcPr>
          <w:p w14:paraId="15582057">
            <w:pPr>
              <w:widowControl/>
              <w:adjustRightInd w:val="0"/>
              <w:snapToGrid w:val="0"/>
              <w:spacing w:line="288" w:lineRule="auto"/>
              <w:jc w:val="center"/>
              <w:rPr>
                <w:rFonts w:ascii="宋体" w:hAnsi="宋体" w:cs="Calibri"/>
                <w:szCs w:val="21"/>
              </w:rPr>
            </w:pPr>
            <w:r>
              <w:rPr>
                <w:rFonts w:hint="eastAsia" w:ascii="宋体" w:hAnsi="宋体" w:cs="Calibri"/>
                <w:szCs w:val="21"/>
              </w:rPr>
              <w:t>投标供应商对招标文件提出质疑的时间和形式</w:t>
            </w:r>
          </w:p>
        </w:tc>
        <w:tc>
          <w:tcPr>
            <w:tcW w:w="7229" w:type="dxa"/>
            <w:vAlign w:val="center"/>
          </w:tcPr>
          <w:p w14:paraId="380AE069">
            <w:pPr>
              <w:widowControl/>
              <w:adjustRightInd w:val="0"/>
              <w:snapToGrid w:val="0"/>
              <w:spacing w:line="288" w:lineRule="auto"/>
              <w:rPr>
                <w:rFonts w:ascii="宋体" w:hAnsi="宋体" w:cs="Calibri"/>
                <w:szCs w:val="21"/>
              </w:rPr>
            </w:pPr>
            <w:r>
              <w:rPr>
                <w:rFonts w:hint="eastAsia" w:ascii="宋体" w:hAnsi="宋体" w:cs="Calibri"/>
                <w:szCs w:val="21"/>
              </w:rPr>
              <w:t>时间：自收到招标文件之日</w:t>
            </w:r>
            <w:r>
              <w:rPr>
                <w:rFonts w:hint="eastAsia" w:ascii="宋体" w:hAnsi="宋体" w:cs="宋体"/>
                <w:szCs w:val="21"/>
              </w:rPr>
              <w:t>或采购文件公告期限届满之日起</w:t>
            </w:r>
            <w:r>
              <w:rPr>
                <w:rFonts w:hint="eastAsia" w:ascii="宋体" w:hAnsi="宋体" w:cs="Calibri"/>
                <w:szCs w:val="21"/>
              </w:rPr>
              <w:t>7个工作日内</w:t>
            </w:r>
          </w:p>
          <w:p w14:paraId="4951A1E1">
            <w:pPr>
              <w:widowControl/>
              <w:adjustRightInd w:val="0"/>
              <w:snapToGrid w:val="0"/>
              <w:spacing w:line="288" w:lineRule="auto"/>
              <w:rPr>
                <w:rFonts w:ascii="宋体" w:hAnsi="宋体" w:cs="Calibri"/>
                <w:szCs w:val="21"/>
              </w:rPr>
            </w:pPr>
            <w:r>
              <w:rPr>
                <w:rFonts w:hint="eastAsia" w:ascii="宋体" w:hAnsi="宋体" w:cs="Calibri"/>
                <w:szCs w:val="21"/>
              </w:rPr>
              <w:t>形式：见本章第9.2款规定</w:t>
            </w:r>
          </w:p>
        </w:tc>
      </w:tr>
      <w:tr w14:paraId="5C5E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3E7EE470">
            <w:pPr>
              <w:widowControl/>
              <w:adjustRightInd w:val="0"/>
              <w:snapToGrid w:val="0"/>
              <w:spacing w:line="288" w:lineRule="auto"/>
              <w:jc w:val="center"/>
              <w:rPr>
                <w:rFonts w:ascii="宋体" w:hAnsi="宋体" w:cs="Calibri"/>
                <w:szCs w:val="21"/>
              </w:rPr>
            </w:pPr>
            <w:r>
              <w:rPr>
                <w:rFonts w:hint="eastAsia" w:ascii="宋体" w:hAnsi="宋体" w:cs="Calibri"/>
                <w:szCs w:val="21"/>
              </w:rPr>
              <w:t>3.2.1</w:t>
            </w:r>
          </w:p>
        </w:tc>
        <w:tc>
          <w:tcPr>
            <w:tcW w:w="1581" w:type="dxa"/>
            <w:vAlign w:val="center"/>
          </w:tcPr>
          <w:p w14:paraId="5C7C7ED5">
            <w:pPr>
              <w:widowControl/>
              <w:adjustRightInd w:val="0"/>
              <w:snapToGrid w:val="0"/>
              <w:spacing w:line="288" w:lineRule="auto"/>
              <w:jc w:val="center"/>
              <w:rPr>
                <w:rFonts w:ascii="宋体" w:hAnsi="宋体" w:cs="Calibri"/>
                <w:szCs w:val="21"/>
              </w:rPr>
            </w:pPr>
            <w:r>
              <w:rPr>
                <w:rFonts w:hint="eastAsia" w:ascii="宋体" w:hAnsi="宋体" w:cs="Calibri"/>
                <w:szCs w:val="21"/>
              </w:rPr>
              <w:t>投标报价包括的内容</w:t>
            </w:r>
          </w:p>
        </w:tc>
        <w:tc>
          <w:tcPr>
            <w:tcW w:w="7229" w:type="dxa"/>
            <w:vAlign w:val="center"/>
          </w:tcPr>
          <w:p w14:paraId="1EB9F971">
            <w:pPr>
              <w:widowControl/>
              <w:adjustRightInd w:val="0"/>
              <w:snapToGrid w:val="0"/>
              <w:spacing w:line="288" w:lineRule="auto"/>
              <w:rPr>
                <w:rFonts w:ascii="宋体" w:hAnsi="宋体"/>
                <w:bCs/>
                <w:szCs w:val="21"/>
              </w:rPr>
            </w:pPr>
            <w:r>
              <w:rPr>
                <w:rFonts w:hint="eastAsia" w:ascii="宋体" w:hAnsi="宋体"/>
                <w:bCs/>
                <w:szCs w:val="21"/>
              </w:rPr>
              <w:t>投标报价包括提供服务的一切成本和费用、管理费、利润和税金，以及采购合同中的所有责任、义务和风险。</w:t>
            </w:r>
          </w:p>
        </w:tc>
      </w:tr>
      <w:tr w14:paraId="691D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2BEC271F">
            <w:pPr>
              <w:widowControl/>
              <w:adjustRightInd w:val="0"/>
              <w:snapToGrid w:val="0"/>
              <w:spacing w:line="288" w:lineRule="auto"/>
              <w:jc w:val="center"/>
              <w:rPr>
                <w:rFonts w:ascii="宋体" w:hAnsi="宋体" w:cs="Calibri"/>
                <w:szCs w:val="21"/>
              </w:rPr>
            </w:pPr>
            <w:r>
              <w:rPr>
                <w:rFonts w:hint="eastAsia" w:ascii="宋体" w:hAnsi="宋体" w:cs="Calibri"/>
                <w:szCs w:val="21"/>
              </w:rPr>
              <w:t>3.2.5</w:t>
            </w:r>
          </w:p>
        </w:tc>
        <w:tc>
          <w:tcPr>
            <w:tcW w:w="1581" w:type="dxa"/>
            <w:vAlign w:val="center"/>
          </w:tcPr>
          <w:p w14:paraId="318FBABF">
            <w:pPr>
              <w:widowControl/>
              <w:adjustRightInd w:val="0"/>
              <w:snapToGrid w:val="0"/>
              <w:spacing w:line="288" w:lineRule="auto"/>
              <w:jc w:val="center"/>
              <w:rPr>
                <w:rFonts w:ascii="宋体" w:hAnsi="宋体" w:cs="Calibri"/>
                <w:szCs w:val="21"/>
              </w:rPr>
            </w:pPr>
            <w:r>
              <w:rPr>
                <w:rFonts w:hint="eastAsia" w:ascii="宋体" w:hAnsi="宋体" w:cs="Calibri"/>
                <w:szCs w:val="21"/>
              </w:rPr>
              <w:t>最高限价</w:t>
            </w:r>
          </w:p>
        </w:tc>
        <w:tc>
          <w:tcPr>
            <w:tcW w:w="7229" w:type="dxa"/>
            <w:vAlign w:val="center"/>
          </w:tcPr>
          <w:p w14:paraId="359F713A">
            <w:pPr>
              <w:widowControl/>
              <w:adjustRightInd w:val="0"/>
              <w:snapToGrid w:val="0"/>
              <w:spacing w:line="288" w:lineRule="auto"/>
              <w:ind w:firstLine="210" w:firstLineChars="100"/>
              <w:rPr>
                <w:rFonts w:ascii="宋体" w:hAnsi="宋体" w:cs="Calibri"/>
                <w:szCs w:val="21"/>
              </w:rPr>
            </w:pPr>
            <w:r>
              <w:rPr>
                <w:rFonts w:hint="eastAsia" w:ascii="宋体" w:hAnsi="宋体" w:cs="Calibri"/>
                <w:szCs w:val="21"/>
              </w:rPr>
              <w:t>详见招标公告</w:t>
            </w:r>
          </w:p>
        </w:tc>
      </w:tr>
      <w:tr w14:paraId="752E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21E1FA1F">
            <w:pPr>
              <w:widowControl/>
              <w:adjustRightInd w:val="0"/>
              <w:snapToGrid w:val="0"/>
              <w:spacing w:line="288" w:lineRule="auto"/>
              <w:jc w:val="center"/>
              <w:rPr>
                <w:rFonts w:ascii="宋体" w:hAnsi="宋体" w:cs="Calibri"/>
                <w:szCs w:val="21"/>
              </w:rPr>
            </w:pPr>
            <w:r>
              <w:rPr>
                <w:rFonts w:hint="eastAsia" w:ascii="宋体" w:hAnsi="宋体" w:cs="Calibri"/>
                <w:szCs w:val="21"/>
              </w:rPr>
              <w:t>3.2.6</w:t>
            </w:r>
          </w:p>
        </w:tc>
        <w:tc>
          <w:tcPr>
            <w:tcW w:w="1581" w:type="dxa"/>
            <w:vAlign w:val="center"/>
          </w:tcPr>
          <w:p w14:paraId="139185B9">
            <w:pPr>
              <w:widowControl/>
              <w:adjustRightInd w:val="0"/>
              <w:snapToGrid w:val="0"/>
              <w:spacing w:line="288" w:lineRule="auto"/>
              <w:jc w:val="center"/>
              <w:rPr>
                <w:rFonts w:ascii="宋体" w:hAnsi="宋体" w:cs="Calibri"/>
                <w:szCs w:val="21"/>
              </w:rPr>
            </w:pPr>
            <w:r>
              <w:rPr>
                <w:rFonts w:hint="eastAsia" w:ascii="宋体" w:hAnsi="宋体" w:cs="Calibri"/>
                <w:szCs w:val="21"/>
              </w:rPr>
              <w:t>投标报价的其他要求</w:t>
            </w:r>
          </w:p>
        </w:tc>
        <w:tc>
          <w:tcPr>
            <w:tcW w:w="7229" w:type="dxa"/>
            <w:vAlign w:val="center"/>
          </w:tcPr>
          <w:p w14:paraId="7B7CA3F1">
            <w:pPr>
              <w:widowControl/>
              <w:snapToGrid w:val="0"/>
              <w:spacing w:line="440" w:lineRule="exact"/>
              <w:rPr>
                <w:rFonts w:ascii="宋体" w:hAnsi="宋体" w:cs="Calibri"/>
                <w:szCs w:val="21"/>
              </w:rPr>
            </w:pPr>
            <w:r>
              <w:rPr>
                <w:rFonts w:hint="eastAsia" w:ascii="宋体" w:hAnsi="宋体" w:cs="Calibri"/>
                <w:szCs w:val="21"/>
              </w:rPr>
              <w:t>☑除招标文件另有规定外，投标供应商所报的价格在合同执行过程中固定不变,不得以任何理由予以变更。</w:t>
            </w:r>
          </w:p>
          <w:p w14:paraId="51C613E5">
            <w:pPr>
              <w:widowControl/>
              <w:snapToGrid w:val="0"/>
              <w:spacing w:line="440" w:lineRule="exact"/>
              <w:rPr>
                <w:rFonts w:ascii="楷体" w:hAnsi="楷体" w:eastAsia="楷体"/>
                <w:bCs/>
                <w:szCs w:val="21"/>
              </w:rPr>
            </w:pPr>
            <w:r>
              <w:rPr>
                <w:rFonts w:hint="eastAsia" w:ascii="宋体" w:hAnsi="宋体" w:cs="Calibri"/>
                <w:szCs w:val="21"/>
              </w:rPr>
              <w:t>□采购人在“项目采购需求”中所提供的各种服务的数量是计划采购数量，仅作为投标报价的依据，不作为最终结算与支付的依据。政府采购合同履行中，采购人需追加与合同标的相同的货物、工程或者服务的，在不改变合同其他条款的前提下，可以与供应商协商签订补充合同，但所有补充合同的采购金额不得超过原合同采购金额的百分之十。</w:t>
            </w:r>
          </w:p>
        </w:tc>
      </w:tr>
      <w:tr w14:paraId="1B05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4C749EF4">
            <w:pPr>
              <w:widowControl/>
              <w:adjustRightInd w:val="0"/>
              <w:snapToGrid w:val="0"/>
              <w:spacing w:line="288" w:lineRule="auto"/>
              <w:jc w:val="center"/>
              <w:rPr>
                <w:rFonts w:ascii="宋体" w:hAnsi="宋体" w:cs="Calibri"/>
                <w:szCs w:val="21"/>
              </w:rPr>
            </w:pPr>
            <w:r>
              <w:rPr>
                <w:rFonts w:hint="eastAsia" w:ascii="宋体" w:hAnsi="宋体" w:cs="Calibri"/>
                <w:szCs w:val="21"/>
              </w:rPr>
              <w:t>3.3.1</w:t>
            </w:r>
          </w:p>
        </w:tc>
        <w:tc>
          <w:tcPr>
            <w:tcW w:w="1581" w:type="dxa"/>
            <w:vAlign w:val="center"/>
          </w:tcPr>
          <w:p w14:paraId="2C187551">
            <w:pPr>
              <w:widowControl/>
              <w:adjustRightInd w:val="0"/>
              <w:snapToGrid w:val="0"/>
              <w:spacing w:line="288" w:lineRule="auto"/>
              <w:jc w:val="center"/>
              <w:rPr>
                <w:rFonts w:ascii="宋体" w:hAnsi="宋体" w:cs="Calibri"/>
                <w:szCs w:val="21"/>
              </w:rPr>
            </w:pPr>
            <w:r>
              <w:rPr>
                <w:rFonts w:hint="eastAsia" w:ascii="宋体" w:hAnsi="宋体" w:cs="Calibri"/>
                <w:szCs w:val="21"/>
              </w:rPr>
              <w:t>投标有效期</w:t>
            </w:r>
          </w:p>
        </w:tc>
        <w:tc>
          <w:tcPr>
            <w:tcW w:w="7229" w:type="dxa"/>
            <w:vAlign w:val="center"/>
          </w:tcPr>
          <w:p w14:paraId="0956A80A">
            <w:pPr>
              <w:widowControl/>
              <w:adjustRightInd w:val="0"/>
              <w:snapToGrid w:val="0"/>
              <w:spacing w:line="288" w:lineRule="auto"/>
              <w:rPr>
                <w:rFonts w:ascii="宋体" w:hAnsi="宋体" w:cs="Calibri"/>
                <w:szCs w:val="21"/>
              </w:rPr>
            </w:pPr>
            <w:r>
              <w:rPr>
                <w:rFonts w:hint="eastAsia" w:ascii="宋体" w:hAnsi="宋体" w:cs="Calibri"/>
                <w:szCs w:val="21"/>
                <w:u w:val="single"/>
              </w:rPr>
              <w:t>120</w:t>
            </w:r>
            <w:r>
              <w:rPr>
                <w:rFonts w:hint="eastAsia" w:ascii="宋体" w:hAnsi="宋体" w:cs="Calibri"/>
                <w:szCs w:val="21"/>
              </w:rPr>
              <w:t>个日历天</w:t>
            </w:r>
            <w:r>
              <w:rPr>
                <w:rFonts w:hint="eastAsia" w:ascii="宋体" w:hAnsi="宋体"/>
                <w:szCs w:val="21"/>
              </w:rPr>
              <w:t>（从投标截止之日算起）</w:t>
            </w:r>
          </w:p>
        </w:tc>
      </w:tr>
      <w:tr w14:paraId="61D5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2F55AD75">
            <w:pPr>
              <w:widowControl/>
              <w:adjustRightInd w:val="0"/>
              <w:snapToGrid w:val="0"/>
              <w:spacing w:line="288" w:lineRule="auto"/>
              <w:jc w:val="center"/>
              <w:rPr>
                <w:rFonts w:ascii="宋体" w:hAnsi="宋体" w:cs="Calibri"/>
                <w:szCs w:val="21"/>
              </w:rPr>
            </w:pPr>
            <w:r>
              <w:rPr>
                <w:rFonts w:hint="eastAsia" w:ascii="宋体" w:hAnsi="宋体" w:cs="Calibri"/>
                <w:szCs w:val="21"/>
              </w:rPr>
              <w:t>3.4.1</w:t>
            </w:r>
          </w:p>
        </w:tc>
        <w:tc>
          <w:tcPr>
            <w:tcW w:w="1581" w:type="dxa"/>
            <w:vAlign w:val="center"/>
          </w:tcPr>
          <w:p w14:paraId="22460A39">
            <w:pPr>
              <w:widowControl/>
              <w:adjustRightInd w:val="0"/>
              <w:snapToGrid w:val="0"/>
              <w:spacing w:line="288" w:lineRule="auto"/>
              <w:jc w:val="center"/>
              <w:rPr>
                <w:rFonts w:ascii="宋体" w:hAnsi="宋体" w:cs="Calibri"/>
                <w:szCs w:val="21"/>
              </w:rPr>
            </w:pPr>
            <w:r>
              <w:rPr>
                <w:rFonts w:hint="eastAsia" w:ascii="宋体" w:hAnsi="宋体" w:cs="Calibri"/>
                <w:szCs w:val="21"/>
              </w:rPr>
              <w:t>投标保证金</w:t>
            </w:r>
          </w:p>
        </w:tc>
        <w:tc>
          <w:tcPr>
            <w:tcW w:w="7229" w:type="dxa"/>
            <w:vAlign w:val="center"/>
          </w:tcPr>
          <w:p w14:paraId="5E571128">
            <w:pPr>
              <w:widowControl/>
              <w:adjustRightInd w:val="0"/>
              <w:snapToGrid w:val="0"/>
              <w:spacing w:line="288" w:lineRule="auto"/>
              <w:rPr>
                <w:rFonts w:ascii="宋体" w:hAnsi="宋体" w:cs="Calibri"/>
                <w:szCs w:val="21"/>
                <w:u w:val="single"/>
              </w:rPr>
            </w:pPr>
            <w:r>
              <w:rPr>
                <w:rFonts w:hint="eastAsia" w:ascii="宋体" w:hAnsi="宋体" w:cs="Calibri"/>
                <w:b/>
                <w:bCs/>
                <w:szCs w:val="21"/>
              </w:rPr>
              <w:t>本项目免收投标保证金</w:t>
            </w:r>
          </w:p>
        </w:tc>
      </w:tr>
      <w:tr w14:paraId="130D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4A70F27B">
            <w:pPr>
              <w:widowControl/>
              <w:adjustRightInd w:val="0"/>
              <w:snapToGrid w:val="0"/>
              <w:spacing w:line="288" w:lineRule="auto"/>
              <w:jc w:val="center"/>
              <w:rPr>
                <w:rFonts w:ascii="宋体" w:hAnsi="宋体" w:cs="Calibri"/>
                <w:szCs w:val="21"/>
              </w:rPr>
            </w:pPr>
            <w:r>
              <w:rPr>
                <w:rFonts w:hint="eastAsia" w:ascii="宋体" w:hAnsi="宋体" w:cs="Calibri"/>
                <w:szCs w:val="21"/>
              </w:rPr>
              <w:t>3.5.3</w:t>
            </w:r>
          </w:p>
        </w:tc>
        <w:tc>
          <w:tcPr>
            <w:tcW w:w="1581" w:type="dxa"/>
            <w:vAlign w:val="center"/>
          </w:tcPr>
          <w:p w14:paraId="5B6B55E9">
            <w:pPr>
              <w:widowControl/>
              <w:adjustRightInd w:val="0"/>
              <w:snapToGrid w:val="0"/>
              <w:spacing w:line="288" w:lineRule="auto"/>
              <w:jc w:val="center"/>
              <w:rPr>
                <w:rFonts w:ascii="宋体" w:hAnsi="宋体" w:cs="Calibri"/>
                <w:szCs w:val="21"/>
              </w:rPr>
            </w:pPr>
            <w:r>
              <w:rPr>
                <w:rFonts w:hint="eastAsia" w:ascii="宋体" w:hAnsi="宋体" w:cs="Arial"/>
                <w:szCs w:val="21"/>
              </w:rPr>
              <w:t>近年类似项目的要求</w:t>
            </w:r>
          </w:p>
        </w:tc>
        <w:tc>
          <w:tcPr>
            <w:tcW w:w="7229" w:type="dxa"/>
            <w:vAlign w:val="center"/>
          </w:tcPr>
          <w:p w14:paraId="658F882B">
            <w:pPr>
              <w:widowControl/>
              <w:adjustRightInd w:val="0"/>
              <w:snapToGrid w:val="0"/>
              <w:spacing w:line="288" w:lineRule="auto"/>
              <w:rPr>
                <w:rFonts w:ascii="楷体" w:hAnsi="楷体" w:eastAsia="楷体" w:cs="Calibri"/>
                <w:szCs w:val="21"/>
              </w:rPr>
            </w:pPr>
            <w:r>
              <w:rPr>
                <w:rFonts w:hint="eastAsia" w:ascii="宋体" w:hAnsi="宋体" w:cs="Calibri"/>
                <w:szCs w:val="21"/>
              </w:rPr>
              <w:t>不要求</w:t>
            </w:r>
          </w:p>
        </w:tc>
      </w:tr>
      <w:tr w14:paraId="6F0F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0957489D">
            <w:pPr>
              <w:widowControl/>
              <w:adjustRightInd w:val="0"/>
              <w:snapToGrid w:val="0"/>
              <w:spacing w:line="288" w:lineRule="auto"/>
              <w:jc w:val="center"/>
              <w:rPr>
                <w:rFonts w:ascii="宋体" w:hAnsi="宋体" w:cs="Calibri"/>
                <w:szCs w:val="21"/>
              </w:rPr>
            </w:pPr>
            <w:r>
              <w:rPr>
                <w:rFonts w:hint="eastAsia" w:ascii="宋体" w:hAnsi="宋体" w:cs="Calibri"/>
                <w:szCs w:val="21"/>
              </w:rPr>
              <w:t>3.6.1</w:t>
            </w:r>
          </w:p>
        </w:tc>
        <w:tc>
          <w:tcPr>
            <w:tcW w:w="1581" w:type="dxa"/>
            <w:vAlign w:val="center"/>
          </w:tcPr>
          <w:p w14:paraId="00B3C6F2">
            <w:pPr>
              <w:widowControl/>
              <w:adjustRightInd w:val="0"/>
              <w:snapToGrid w:val="0"/>
              <w:spacing w:line="288" w:lineRule="auto"/>
              <w:jc w:val="center"/>
              <w:rPr>
                <w:rFonts w:ascii="宋体" w:hAnsi="宋体" w:cs="Calibri"/>
                <w:szCs w:val="21"/>
              </w:rPr>
            </w:pPr>
            <w:r>
              <w:rPr>
                <w:rFonts w:hint="eastAsia" w:ascii="宋体" w:hAnsi="宋体" w:cs="Calibri"/>
                <w:szCs w:val="21"/>
              </w:rPr>
              <w:t>是否允许递交备选投标方案</w:t>
            </w:r>
          </w:p>
        </w:tc>
        <w:tc>
          <w:tcPr>
            <w:tcW w:w="7229" w:type="dxa"/>
            <w:vAlign w:val="center"/>
          </w:tcPr>
          <w:p w14:paraId="02BB90B0">
            <w:pPr>
              <w:widowControl/>
              <w:topLinePunct/>
              <w:adjustRightInd w:val="0"/>
              <w:snapToGrid w:val="0"/>
              <w:spacing w:line="288" w:lineRule="auto"/>
              <w:rPr>
                <w:rFonts w:ascii="宋体" w:hAnsi="宋体" w:cs="Calibri"/>
                <w:szCs w:val="21"/>
              </w:rPr>
            </w:pPr>
            <w:r>
              <w:rPr>
                <w:rFonts w:hint="eastAsia" w:ascii="宋体" w:hAnsi="宋体" w:cs="Calibri"/>
                <w:szCs w:val="21"/>
              </w:rPr>
              <w:t>☑不允许</w:t>
            </w:r>
          </w:p>
          <w:p w14:paraId="248DC9FB">
            <w:pPr>
              <w:widowControl/>
              <w:adjustRightInd w:val="0"/>
              <w:snapToGrid w:val="0"/>
              <w:spacing w:line="288" w:lineRule="auto"/>
              <w:rPr>
                <w:rFonts w:ascii="宋体" w:hAnsi="宋体" w:cs="Calibri"/>
                <w:szCs w:val="21"/>
                <w:u w:val="single"/>
              </w:rPr>
            </w:pPr>
            <w:r>
              <w:rPr>
                <w:rFonts w:hint="eastAsia" w:ascii="宋体" w:hAnsi="宋体" w:cs="Calibri"/>
                <w:szCs w:val="21"/>
              </w:rPr>
              <w:t>□允许，并满足以下条件：</w:t>
            </w:r>
          </w:p>
        </w:tc>
      </w:tr>
      <w:tr w14:paraId="7A84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0B1B146A">
            <w:pPr>
              <w:widowControl/>
              <w:adjustRightInd w:val="0"/>
              <w:snapToGrid w:val="0"/>
              <w:spacing w:line="288" w:lineRule="auto"/>
              <w:jc w:val="center"/>
              <w:rPr>
                <w:rFonts w:ascii="宋体" w:hAnsi="宋体" w:cs="Calibri"/>
                <w:szCs w:val="21"/>
              </w:rPr>
            </w:pPr>
            <w:r>
              <w:rPr>
                <w:rFonts w:hint="eastAsia" w:ascii="宋体" w:hAnsi="宋体" w:cs="Calibri"/>
                <w:szCs w:val="21"/>
              </w:rPr>
              <w:t>3.7.4（1）</w:t>
            </w:r>
          </w:p>
        </w:tc>
        <w:tc>
          <w:tcPr>
            <w:tcW w:w="1581" w:type="dxa"/>
            <w:vAlign w:val="center"/>
          </w:tcPr>
          <w:p w14:paraId="0A99021A">
            <w:pPr>
              <w:widowControl/>
              <w:adjustRightInd w:val="0"/>
              <w:snapToGrid w:val="0"/>
              <w:spacing w:line="288" w:lineRule="auto"/>
              <w:jc w:val="center"/>
              <w:rPr>
                <w:rFonts w:ascii="宋体" w:hAnsi="宋体" w:cs="Calibri"/>
                <w:szCs w:val="21"/>
              </w:rPr>
            </w:pPr>
            <w:r>
              <w:rPr>
                <w:rFonts w:hint="eastAsia" w:ascii="宋体" w:hAnsi="宋体" w:cs="Calibri"/>
                <w:szCs w:val="21"/>
              </w:rPr>
              <w:t>是否采用电子招标投标</w:t>
            </w:r>
          </w:p>
        </w:tc>
        <w:tc>
          <w:tcPr>
            <w:tcW w:w="7229" w:type="dxa"/>
            <w:vAlign w:val="center"/>
          </w:tcPr>
          <w:p w14:paraId="3C71C3AD">
            <w:pPr>
              <w:widowControl/>
              <w:topLinePunct/>
              <w:adjustRightInd w:val="0"/>
              <w:snapToGrid w:val="0"/>
              <w:spacing w:line="440" w:lineRule="exact"/>
              <w:rPr>
                <w:rFonts w:ascii="宋体" w:hAnsi="宋体" w:cs="宋体"/>
                <w:b/>
                <w:bCs/>
                <w:szCs w:val="21"/>
              </w:rPr>
            </w:pPr>
            <w:r>
              <w:rPr>
                <w:rFonts w:hint="eastAsia" w:ascii="宋体" w:hAnsi="宋体" w:cs="宋体"/>
                <w:b/>
                <w:bCs/>
                <w:szCs w:val="21"/>
              </w:rPr>
              <w:t>是</w:t>
            </w:r>
          </w:p>
          <w:p w14:paraId="161A20A2">
            <w:pPr>
              <w:widowControl/>
              <w:topLinePunct/>
              <w:adjustRightInd w:val="0"/>
              <w:snapToGrid w:val="0"/>
              <w:spacing w:line="440" w:lineRule="exact"/>
              <w:rPr>
                <w:rFonts w:ascii="楷体" w:hAnsi="楷体" w:eastAsia="楷体"/>
                <w:b/>
                <w:bCs/>
                <w:szCs w:val="21"/>
              </w:rPr>
            </w:pPr>
            <w:r>
              <w:rPr>
                <w:rFonts w:hint="eastAsia" w:ascii="宋体" w:hAnsi="宋体" w:cs="宋体"/>
                <w:szCs w:val="21"/>
              </w:rPr>
              <w:t>其他具体要求：电子投标文件所附证书证件均应为投标供应商证书证件的原件扫描件</w:t>
            </w:r>
          </w:p>
        </w:tc>
      </w:tr>
      <w:tr w14:paraId="64C0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210CD459">
            <w:pPr>
              <w:widowControl/>
              <w:adjustRightInd w:val="0"/>
              <w:snapToGrid w:val="0"/>
              <w:spacing w:line="288" w:lineRule="auto"/>
              <w:jc w:val="center"/>
              <w:rPr>
                <w:rFonts w:ascii="宋体" w:hAnsi="宋体" w:cs="Calibri"/>
                <w:szCs w:val="21"/>
              </w:rPr>
            </w:pPr>
            <w:r>
              <w:rPr>
                <w:rFonts w:hint="eastAsia" w:ascii="宋体" w:hAnsi="宋体" w:cs="Calibri"/>
                <w:szCs w:val="21"/>
              </w:rPr>
              <w:t>3.7.4（2）</w:t>
            </w:r>
          </w:p>
        </w:tc>
        <w:tc>
          <w:tcPr>
            <w:tcW w:w="1581" w:type="dxa"/>
            <w:vAlign w:val="center"/>
          </w:tcPr>
          <w:p w14:paraId="4C252607">
            <w:pPr>
              <w:widowControl/>
              <w:adjustRightInd w:val="0"/>
              <w:snapToGrid w:val="0"/>
              <w:spacing w:line="288" w:lineRule="auto"/>
              <w:jc w:val="center"/>
              <w:rPr>
                <w:rFonts w:ascii="宋体" w:hAnsi="宋体" w:cs="Calibri"/>
                <w:szCs w:val="21"/>
              </w:rPr>
            </w:pPr>
            <w:r>
              <w:rPr>
                <w:rFonts w:hint="eastAsia" w:ascii="宋体" w:hAnsi="宋体" w:cs="Calibri"/>
                <w:szCs w:val="21"/>
              </w:rPr>
              <w:t>关于数字证书的办理</w:t>
            </w:r>
          </w:p>
        </w:tc>
        <w:tc>
          <w:tcPr>
            <w:tcW w:w="7229" w:type="dxa"/>
            <w:vAlign w:val="center"/>
          </w:tcPr>
          <w:p w14:paraId="26BF9DD1">
            <w:pPr>
              <w:widowControl/>
              <w:topLinePunct/>
              <w:adjustRightInd w:val="0"/>
              <w:snapToGrid w:val="0"/>
              <w:spacing w:line="440" w:lineRule="exact"/>
              <w:rPr>
                <w:rFonts w:ascii="宋体" w:hAnsi="宋体" w:cs="宋体"/>
                <w:b/>
                <w:bCs/>
                <w:szCs w:val="21"/>
              </w:rPr>
            </w:pPr>
            <w:r>
              <w:rPr>
                <w:rFonts w:hint="eastAsia" w:ascii="宋体" w:hAnsi="宋体" w:cs="宋体"/>
                <w:b/>
                <w:bCs/>
                <w:szCs w:val="21"/>
              </w:rPr>
              <w:t>投标供应商须用通过安天e采办理的移动认证证书（或介质数字证书）签章和加密投标文件，若使用介质数字证书的，建议使用企业法人主锁。如未办移动认证证书（或介质数字证书）请及时办理：移动认证办理联系电话：400-0878-198转1，移动认证办理须知详见安天e采平台“移动认证上线通知”</w:t>
            </w:r>
          </w:p>
          <w:p w14:paraId="5F5E6BA8">
            <w:pPr>
              <w:widowControl/>
              <w:topLinePunct/>
              <w:adjustRightInd w:val="0"/>
              <w:snapToGrid w:val="0"/>
              <w:spacing w:line="440" w:lineRule="exact"/>
              <w:rPr>
                <w:rFonts w:ascii="宋体" w:hAnsi="宋体" w:cs="宋体"/>
                <w:b/>
                <w:bCs/>
                <w:szCs w:val="21"/>
              </w:rPr>
            </w:pPr>
            <w:r>
              <w:fldChar w:fldCharType="begin"/>
            </w:r>
            <w:r>
              <w:instrText xml:space="preserve"> HYPERLINK "https://www.xinecai.com/ydrz.html；" </w:instrText>
            </w:r>
            <w:r>
              <w:fldChar w:fldCharType="separate"/>
            </w:r>
            <w:r>
              <w:rPr>
                <w:rStyle w:val="17"/>
                <w:rFonts w:hint="eastAsia" w:ascii="宋体" w:hAnsi="宋体" w:cs="宋体"/>
                <w:b/>
                <w:bCs/>
                <w:color w:val="auto"/>
                <w:szCs w:val="21"/>
              </w:rPr>
              <w:t>https://www.xinecai.com/ydrz.html；</w:t>
            </w:r>
            <w:r>
              <w:rPr>
                <w:rStyle w:val="17"/>
                <w:rFonts w:hint="eastAsia" w:ascii="宋体" w:hAnsi="宋体" w:cs="宋体"/>
                <w:b/>
                <w:bCs/>
                <w:color w:val="auto"/>
                <w:szCs w:val="21"/>
              </w:rPr>
              <w:fldChar w:fldCharType="end"/>
            </w:r>
          </w:p>
          <w:p w14:paraId="1322515C">
            <w:pPr>
              <w:widowControl/>
              <w:topLinePunct/>
              <w:adjustRightInd w:val="0"/>
              <w:snapToGrid w:val="0"/>
              <w:spacing w:line="440" w:lineRule="exact"/>
              <w:rPr>
                <w:rFonts w:ascii="宋体" w:hAnsi="宋体" w:cs="宋体"/>
                <w:b/>
                <w:bCs/>
                <w:szCs w:val="21"/>
              </w:rPr>
            </w:pPr>
            <w:r>
              <w:rPr>
                <w:rFonts w:hint="eastAsia" w:ascii="宋体" w:hAnsi="宋体" w:cs="宋体"/>
                <w:b/>
                <w:bCs/>
                <w:szCs w:val="21"/>
              </w:rPr>
              <w:t>办理介质数字证书的，参见CA办理须知</w:t>
            </w:r>
          </w:p>
          <w:p w14:paraId="4675D873">
            <w:pPr>
              <w:widowControl/>
              <w:topLinePunct/>
              <w:adjustRightInd w:val="0"/>
              <w:snapToGrid w:val="0"/>
              <w:spacing w:line="440" w:lineRule="exact"/>
              <w:rPr>
                <w:rFonts w:ascii="宋体" w:hAnsi="宋体" w:cs="宋体"/>
                <w:szCs w:val="21"/>
              </w:rPr>
            </w:pPr>
            <w:r>
              <w:rPr>
                <w:rFonts w:hint="eastAsia" w:ascii="宋体" w:hAnsi="宋体" w:cs="宋体"/>
                <w:b/>
                <w:bCs/>
                <w:szCs w:val="21"/>
              </w:rPr>
              <w:t>https://www.xinecai.com/quesinfo/20.html。</w:t>
            </w:r>
          </w:p>
        </w:tc>
      </w:tr>
      <w:tr w14:paraId="15B3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0ACD47DB">
            <w:pPr>
              <w:widowControl/>
              <w:adjustRightInd w:val="0"/>
              <w:snapToGrid w:val="0"/>
              <w:spacing w:line="288" w:lineRule="auto"/>
              <w:jc w:val="center"/>
              <w:rPr>
                <w:rFonts w:ascii="宋体" w:hAnsi="宋体" w:cs="Calibri"/>
                <w:szCs w:val="21"/>
              </w:rPr>
            </w:pPr>
            <w:r>
              <w:rPr>
                <w:rFonts w:hint="eastAsia" w:ascii="宋体" w:hAnsi="宋体" w:cs="Calibri"/>
                <w:szCs w:val="21"/>
              </w:rPr>
              <w:t>4.1.1</w:t>
            </w:r>
          </w:p>
        </w:tc>
        <w:tc>
          <w:tcPr>
            <w:tcW w:w="1581" w:type="dxa"/>
            <w:vAlign w:val="center"/>
          </w:tcPr>
          <w:p w14:paraId="6432E5FF">
            <w:pPr>
              <w:widowControl/>
              <w:adjustRightInd w:val="0"/>
              <w:snapToGrid w:val="0"/>
              <w:spacing w:line="288" w:lineRule="auto"/>
              <w:jc w:val="center"/>
              <w:rPr>
                <w:rFonts w:ascii="宋体" w:hAnsi="宋体" w:cs="Calibri"/>
                <w:szCs w:val="21"/>
              </w:rPr>
            </w:pPr>
            <w:r>
              <w:rPr>
                <w:rFonts w:hint="eastAsia" w:cs="Calibri"/>
              </w:rPr>
              <w:t>投标文件加密要求</w:t>
            </w:r>
          </w:p>
        </w:tc>
        <w:tc>
          <w:tcPr>
            <w:tcW w:w="7229" w:type="dxa"/>
            <w:vAlign w:val="center"/>
          </w:tcPr>
          <w:p w14:paraId="5D6BB39B">
            <w:pPr>
              <w:widowControl/>
              <w:adjustRightInd w:val="0"/>
              <w:snapToGrid w:val="0"/>
              <w:spacing w:line="288" w:lineRule="auto"/>
              <w:rPr>
                <w:rFonts w:ascii="楷体" w:hAnsi="楷体" w:eastAsia="楷体" w:cs="Calibri"/>
                <w:szCs w:val="21"/>
              </w:rPr>
            </w:pPr>
            <w:r>
              <w:rPr>
                <w:rFonts w:hint="eastAsia" w:ascii="宋体" w:hAnsi="宋体" w:cs="宋体"/>
                <w:szCs w:val="21"/>
              </w:rPr>
              <w:t>加密的电子投标文件需使用数字证书进行加密,详见电子招标投标交易平台（安天e采电子交易平台）上发布的有关电子投标文件的制作说明。</w:t>
            </w:r>
          </w:p>
        </w:tc>
      </w:tr>
      <w:tr w14:paraId="387A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51C8832D">
            <w:pPr>
              <w:widowControl/>
              <w:adjustRightInd w:val="0"/>
              <w:snapToGrid w:val="0"/>
              <w:spacing w:line="288" w:lineRule="auto"/>
              <w:jc w:val="center"/>
              <w:rPr>
                <w:rFonts w:ascii="宋体" w:hAnsi="宋体" w:cs="Calibri"/>
                <w:szCs w:val="21"/>
              </w:rPr>
            </w:pPr>
            <w:r>
              <w:rPr>
                <w:rFonts w:hint="eastAsia" w:ascii="宋体" w:hAnsi="宋体" w:cs="Calibri"/>
                <w:szCs w:val="21"/>
              </w:rPr>
              <w:t>4.2.1</w:t>
            </w:r>
          </w:p>
        </w:tc>
        <w:tc>
          <w:tcPr>
            <w:tcW w:w="1581" w:type="dxa"/>
            <w:vAlign w:val="center"/>
          </w:tcPr>
          <w:p w14:paraId="1DE1ABAA">
            <w:pPr>
              <w:widowControl/>
              <w:adjustRightInd w:val="0"/>
              <w:snapToGrid w:val="0"/>
              <w:spacing w:line="288" w:lineRule="auto"/>
              <w:jc w:val="center"/>
              <w:rPr>
                <w:rFonts w:ascii="宋体" w:hAnsi="宋体" w:cs="Calibri"/>
                <w:szCs w:val="21"/>
              </w:rPr>
            </w:pPr>
            <w:r>
              <w:rPr>
                <w:rFonts w:hint="eastAsia" w:ascii="宋体" w:hAnsi="宋体" w:cs="Calibri"/>
                <w:szCs w:val="21"/>
              </w:rPr>
              <w:t>投标截止时间</w:t>
            </w:r>
          </w:p>
        </w:tc>
        <w:tc>
          <w:tcPr>
            <w:tcW w:w="7229" w:type="dxa"/>
            <w:vAlign w:val="center"/>
          </w:tcPr>
          <w:p w14:paraId="088EF7C2">
            <w:pPr>
              <w:widowControl/>
              <w:adjustRightInd w:val="0"/>
              <w:snapToGrid w:val="0"/>
              <w:spacing w:line="440" w:lineRule="exact"/>
              <w:ind w:left="114"/>
              <w:rPr>
                <w:rFonts w:ascii="宋体" w:hAnsi="宋体" w:cs="Calibri"/>
                <w:b/>
                <w:szCs w:val="21"/>
              </w:rPr>
            </w:pPr>
            <w:r>
              <w:rPr>
                <w:rFonts w:hint="eastAsia" w:ascii="宋体" w:hAnsi="宋体"/>
                <w:szCs w:val="21"/>
                <w:u w:val="single"/>
              </w:rPr>
              <w:t>2025年</w:t>
            </w:r>
            <w:r>
              <w:rPr>
                <w:rFonts w:hint="eastAsia" w:ascii="宋体" w:hAnsi="宋体"/>
                <w:szCs w:val="21"/>
                <w:u w:val="single"/>
                <w:lang w:eastAsia="zh-CN"/>
              </w:rPr>
              <w:t>10月11日</w:t>
            </w:r>
            <w:r>
              <w:rPr>
                <w:rFonts w:hint="eastAsia" w:ascii="宋体" w:hAnsi="宋体"/>
                <w:szCs w:val="21"/>
                <w:u w:val="single"/>
              </w:rPr>
              <w:t>09点15分</w:t>
            </w:r>
          </w:p>
          <w:p w14:paraId="6ACB1EA2">
            <w:pPr>
              <w:widowControl/>
              <w:adjustRightInd w:val="0"/>
              <w:snapToGrid w:val="0"/>
              <w:spacing w:line="440" w:lineRule="exact"/>
              <w:ind w:left="114"/>
              <w:rPr>
                <w:rFonts w:ascii="宋体" w:hAnsi="宋体" w:cs="Calibri"/>
                <w:szCs w:val="21"/>
              </w:rPr>
            </w:pPr>
            <w:r>
              <w:rPr>
                <w:rFonts w:hint="eastAsia" w:ascii="宋体" w:hAnsi="宋体" w:cs="Calibri"/>
                <w:b/>
                <w:szCs w:val="21"/>
              </w:rPr>
              <w:t>注：投标供应商未能在投标截止时间之前上传加密电子投标文件的，产生的后果由投标供应商自行承担。</w:t>
            </w:r>
          </w:p>
        </w:tc>
      </w:tr>
      <w:tr w14:paraId="033A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7C477F04">
            <w:pPr>
              <w:widowControl/>
              <w:adjustRightInd w:val="0"/>
              <w:snapToGrid w:val="0"/>
              <w:spacing w:line="288" w:lineRule="auto"/>
              <w:jc w:val="center"/>
              <w:rPr>
                <w:rFonts w:ascii="宋体" w:hAnsi="宋体" w:cs="Calibri"/>
                <w:szCs w:val="21"/>
              </w:rPr>
            </w:pPr>
            <w:r>
              <w:rPr>
                <w:rFonts w:hint="eastAsia" w:ascii="宋体" w:hAnsi="宋体" w:cs="Calibri"/>
                <w:szCs w:val="21"/>
              </w:rPr>
              <w:t>4.2.2</w:t>
            </w:r>
          </w:p>
        </w:tc>
        <w:tc>
          <w:tcPr>
            <w:tcW w:w="1581" w:type="dxa"/>
            <w:vAlign w:val="center"/>
          </w:tcPr>
          <w:p w14:paraId="7BBED575">
            <w:pPr>
              <w:widowControl/>
              <w:adjustRightInd w:val="0"/>
              <w:snapToGrid w:val="0"/>
              <w:spacing w:line="288" w:lineRule="auto"/>
              <w:jc w:val="center"/>
              <w:rPr>
                <w:rFonts w:ascii="宋体" w:hAnsi="宋体" w:cs="Calibri"/>
                <w:szCs w:val="21"/>
              </w:rPr>
            </w:pPr>
            <w:r>
              <w:rPr>
                <w:rFonts w:hint="eastAsia" w:cs="Calibri"/>
              </w:rPr>
              <w:t>上传投标文件方式和地址</w:t>
            </w:r>
          </w:p>
        </w:tc>
        <w:tc>
          <w:tcPr>
            <w:tcW w:w="7229" w:type="dxa"/>
            <w:vAlign w:val="center"/>
          </w:tcPr>
          <w:p w14:paraId="52625E8D">
            <w:pPr>
              <w:widowControl/>
              <w:adjustRightInd w:val="0"/>
              <w:snapToGrid w:val="0"/>
              <w:spacing w:line="440" w:lineRule="exact"/>
              <w:jc w:val="left"/>
              <w:rPr>
                <w:rFonts w:ascii="宋体" w:hAnsi="宋体" w:cs="Calibri"/>
                <w:iCs/>
                <w:szCs w:val="21"/>
              </w:rPr>
            </w:pPr>
            <w:r>
              <w:rPr>
                <w:rFonts w:hint="eastAsia" w:ascii="宋体" w:hAnsi="宋体" w:cs="Calibri"/>
                <w:iCs/>
                <w:szCs w:val="21"/>
              </w:rPr>
              <w:t>安天e采招标采购电子交易系统（登录安天e采招标采购电子交易系统，点击进入递交投标文件，上传加密的电子投标文件）。</w:t>
            </w:r>
          </w:p>
        </w:tc>
      </w:tr>
      <w:tr w14:paraId="21E0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34107B08">
            <w:pPr>
              <w:widowControl/>
              <w:adjustRightInd w:val="0"/>
              <w:snapToGrid w:val="0"/>
              <w:spacing w:line="288" w:lineRule="auto"/>
              <w:jc w:val="center"/>
              <w:rPr>
                <w:rFonts w:ascii="宋体" w:hAnsi="宋体" w:cs="Calibri"/>
                <w:szCs w:val="21"/>
              </w:rPr>
            </w:pPr>
            <w:r>
              <w:rPr>
                <w:rFonts w:hint="eastAsia" w:ascii="宋体" w:hAnsi="宋体" w:cs="Calibri"/>
                <w:szCs w:val="21"/>
              </w:rPr>
              <w:t>5.1</w:t>
            </w:r>
          </w:p>
        </w:tc>
        <w:tc>
          <w:tcPr>
            <w:tcW w:w="1581" w:type="dxa"/>
            <w:vAlign w:val="center"/>
          </w:tcPr>
          <w:p w14:paraId="5100D2A3">
            <w:pPr>
              <w:widowControl/>
              <w:adjustRightInd w:val="0"/>
              <w:snapToGrid w:val="0"/>
              <w:spacing w:line="288" w:lineRule="auto"/>
              <w:jc w:val="center"/>
              <w:rPr>
                <w:rFonts w:ascii="宋体" w:hAnsi="宋体" w:cs="Calibri"/>
                <w:szCs w:val="21"/>
              </w:rPr>
            </w:pPr>
            <w:r>
              <w:rPr>
                <w:rFonts w:hint="eastAsia" w:ascii="宋体" w:hAnsi="宋体" w:cs="Calibri"/>
                <w:szCs w:val="21"/>
              </w:rPr>
              <w:t>开标时间和地点</w:t>
            </w:r>
          </w:p>
        </w:tc>
        <w:tc>
          <w:tcPr>
            <w:tcW w:w="7229" w:type="dxa"/>
            <w:vAlign w:val="center"/>
          </w:tcPr>
          <w:p w14:paraId="49957339">
            <w:pPr>
              <w:spacing w:before="96" w:beforeLines="40" w:after="96" w:afterLines="40" w:line="400" w:lineRule="exact"/>
              <w:rPr>
                <w:rFonts w:ascii="宋体" w:hAnsi="宋体" w:cs="Calibri"/>
                <w:szCs w:val="21"/>
              </w:rPr>
            </w:pPr>
            <w:r>
              <w:rPr>
                <w:rFonts w:hint="eastAsia" w:ascii="宋体" w:hAnsi="宋体" w:cs="Calibri"/>
                <w:szCs w:val="21"/>
              </w:rPr>
              <w:t>开标时间：同投标截止时间</w:t>
            </w:r>
          </w:p>
          <w:p w14:paraId="6C1F9C64">
            <w:pPr>
              <w:widowControl/>
              <w:adjustRightInd w:val="0"/>
              <w:snapToGrid w:val="0"/>
              <w:spacing w:line="288" w:lineRule="auto"/>
              <w:rPr>
                <w:rFonts w:ascii="宋体" w:hAnsi="宋体" w:cs="Calibri"/>
                <w:szCs w:val="21"/>
              </w:rPr>
            </w:pPr>
            <w:r>
              <w:rPr>
                <w:rFonts w:hint="eastAsia" w:ascii="宋体" w:hAnsi="宋体" w:cs="Calibri"/>
                <w:szCs w:val="21"/>
              </w:rPr>
              <w:t>开标（投标）地点：安天e采招标采购电子交易系统</w:t>
            </w:r>
          </w:p>
        </w:tc>
      </w:tr>
      <w:tr w14:paraId="5DB8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76319A07">
            <w:pPr>
              <w:widowControl/>
              <w:adjustRightInd w:val="0"/>
              <w:snapToGrid w:val="0"/>
              <w:spacing w:line="288" w:lineRule="auto"/>
              <w:jc w:val="center"/>
              <w:rPr>
                <w:rFonts w:ascii="宋体" w:hAnsi="宋体" w:cs="Calibri"/>
                <w:szCs w:val="21"/>
              </w:rPr>
            </w:pPr>
            <w:r>
              <w:rPr>
                <w:rFonts w:hint="eastAsia" w:ascii="宋体" w:hAnsi="宋体" w:cs="Calibri"/>
                <w:szCs w:val="21"/>
              </w:rPr>
              <w:t>5.2.1</w:t>
            </w:r>
          </w:p>
        </w:tc>
        <w:tc>
          <w:tcPr>
            <w:tcW w:w="1581" w:type="dxa"/>
            <w:vAlign w:val="center"/>
          </w:tcPr>
          <w:p w14:paraId="5AFEA9AE">
            <w:pPr>
              <w:widowControl/>
              <w:adjustRightInd w:val="0"/>
              <w:snapToGrid w:val="0"/>
              <w:spacing w:line="288" w:lineRule="auto"/>
              <w:jc w:val="center"/>
              <w:rPr>
                <w:rFonts w:ascii="宋体" w:hAnsi="宋体" w:cs="Calibri"/>
                <w:szCs w:val="21"/>
              </w:rPr>
            </w:pPr>
            <w:r>
              <w:rPr>
                <w:rFonts w:hint="eastAsia" w:cs="Calibri"/>
              </w:rPr>
              <w:t>投标文件的解密时间</w:t>
            </w:r>
          </w:p>
        </w:tc>
        <w:tc>
          <w:tcPr>
            <w:tcW w:w="7229" w:type="dxa"/>
            <w:vAlign w:val="center"/>
          </w:tcPr>
          <w:p w14:paraId="1EFF8B05">
            <w:pPr>
              <w:widowControl/>
              <w:adjustRightInd w:val="0"/>
              <w:snapToGrid w:val="0"/>
              <w:spacing w:line="288" w:lineRule="auto"/>
              <w:rPr>
                <w:rFonts w:ascii="宋体" w:hAnsi="宋体" w:cs="Calibri"/>
                <w:szCs w:val="21"/>
              </w:rPr>
            </w:pPr>
            <w:r>
              <w:rPr>
                <w:rFonts w:hint="eastAsia" w:ascii="宋体" w:hAnsi="宋体" w:cs="Calibri"/>
                <w:szCs w:val="21"/>
                <w:u w:val="single"/>
              </w:rPr>
              <w:t>15分</w:t>
            </w:r>
            <w:r>
              <w:rPr>
                <w:rFonts w:hint="eastAsia" w:ascii="宋体" w:hAnsi="宋体" w:cs="Calibri"/>
                <w:szCs w:val="21"/>
              </w:rPr>
              <w:t>钟内（以安天e采招标采购电子交易系统解密倒计时为准）</w:t>
            </w:r>
          </w:p>
        </w:tc>
      </w:tr>
      <w:tr w14:paraId="6287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60D29614">
            <w:pPr>
              <w:widowControl/>
              <w:adjustRightInd w:val="0"/>
              <w:snapToGrid w:val="0"/>
              <w:spacing w:line="288" w:lineRule="auto"/>
              <w:jc w:val="center"/>
              <w:rPr>
                <w:rFonts w:ascii="宋体" w:hAnsi="宋体" w:cs="Calibri"/>
                <w:szCs w:val="21"/>
              </w:rPr>
            </w:pPr>
            <w:r>
              <w:rPr>
                <w:rFonts w:hint="eastAsia" w:ascii="宋体" w:hAnsi="宋体" w:cs="Calibri"/>
                <w:szCs w:val="21"/>
              </w:rPr>
              <w:t>5.2.3</w:t>
            </w:r>
          </w:p>
        </w:tc>
        <w:tc>
          <w:tcPr>
            <w:tcW w:w="1581" w:type="dxa"/>
            <w:vAlign w:val="center"/>
          </w:tcPr>
          <w:p w14:paraId="4A9EE833">
            <w:pPr>
              <w:widowControl/>
              <w:adjustRightInd w:val="0"/>
              <w:snapToGrid w:val="0"/>
              <w:spacing w:line="288" w:lineRule="auto"/>
              <w:jc w:val="center"/>
              <w:rPr>
                <w:rFonts w:ascii="宋体" w:hAnsi="宋体" w:cs="Calibri"/>
                <w:szCs w:val="21"/>
              </w:rPr>
            </w:pPr>
            <w:r>
              <w:rPr>
                <w:rFonts w:cs="Calibri"/>
              </w:rPr>
              <w:t>是否</w:t>
            </w:r>
            <w:r>
              <w:rPr>
                <w:rFonts w:hint="eastAsia" w:cs="Calibri"/>
              </w:rPr>
              <w:t>接受</w:t>
            </w:r>
            <w:r>
              <w:rPr>
                <w:rFonts w:cs="Calibri"/>
              </w:rPr>
              <w:t>提交非加密电子版投标文件</w:t>
            </w:r>
          </w:p>
        </w:tc>
        <w:tc>
          <w:tcPr>
            <w:tcW w:w="7229" w:type="dxa"/>
            <w:vAlign w:val="center"/>
          </w:tcPr>
          <w:p w14:paraId="5EAEFF59">
            <w:pPr>
              <w:widowControl/>
              <w:adjustRightInd w:val="0"/>
              <w:snapToGrid w:val="0"/>
              <w:spacing w:line="288" w:lineRule="auto"/>
              <w:rPr>
                <w:rFonts w:ascii="宋体" w:hAnsi="宋体" w:cs="Calibri"/>
                <w:szCs w:val="21"/>
              </w:rPr>
            </w:pPr>
            <w:r>
              <w:rPr>
                <w:rFonts w:hint="eastAsia" w:ascii="宋体" w:hAnsi="宋体" w:cs="Calibri"/>
                <w:szCs w:val="21"/>
              </w:rPr>
              <w:t>☑不接受投标供应商递交非加密的电子投标文件</w:t>
            </w:r>
          </w:p>
          <w:p w14:paraId="3986EBF9">
            <w:pPr>
              <w:widowControl/>
              <w:adjustRightInd w:val="0"/>
              <w:snapToGrid w:val="0"/>
              <w:spacing w:line="288" w:lineRule="auto"/>
              <w:rPr>
                <w:rFonts w:ascii="宋体" w:hAnsi="宋体" w:cs="Calibri"/>
                <w:szCs w:val="21"/>
              </w:rPr>
            </w:pPr>
            <w:r>
              <w:rPr>
                <w:rFonts w:hint="eastAsia" w:ascii="宋体" w:hAnsi="宋体" w:cs="Calibri"/>
                <w:szCs w:val="21"/>
              </w:rPr>
              <w:t>在招标文件规定的时间内，投标供应商以招标文件中规定的方式未完成投标文件上传或解密的，视为其撤回投标。</w:t>
            </w:r>
          </w:p>
          <w:p w14:paraId="687DF973">
            <w:pPr>
              <w:widowControl/>
              <w:adjustRightInd w:val="0"/>
              <w:snapToGrid w:val="0"/>
              <w:spacing w:line="288" w:lineRule="auto"/>
              <w:rPr>
                <w:rFonts w:ascii="宋体" w:hAnsi="宋体" w:cs="Calibri"/>
                <w:szCs w:val="21"/>
              </w:rPr>
            </w:pPr>
            <w:r>
              <w:rPr>
                <w:rFonts w:hint="eastAsia" w:ascii="宋体" w:hAnsi="宋体" w:cs="Calibri"/>
                <w:szCs w:val="21"/>
              </w:rPr>
              <w:t>□接受投标供应商递交非加密电子版投标文件并由投标供应商自行决定是否提交</w:t>
            </w:r>
          </w:p>
          <w:p w14:paraId="386A1226">
            <w:pPr>
              <w:widowControl/>
              <w:adjustRightInd w:val="0"/>
              <w:snapToGrid w:val="0"/>
              <w:spacing w:line="288" w:lineRule="auto"/>
              <w:rPr>
                <w:rFonts w:ascii="宋体" w:hAnsi="宋体" w:cs="Calibri"/>
                <w:szCs w:val="21"/>
              </w:rPr>
            </w:pPr>
            <w:r>
              <w:rPr>
                <w:rFonts w:hint="eastAsia" w:ascii="宋体" w:hAnsi="宋体" w:cs="Calibri"/>
                <w:szCs w:val="21"/>
              </w:rPr>
              <w:t>电子投标文件上传成功但因电子招标投标交易平台原因导致解密异常时，可以在开标现场递交非加密电子版投标文件，采购代理机构将其导入电子招标投标交易平台，电子招标投标交易平台将对非加密电子投标文件与加密电子投标文件进行校验。非加密电子投标文件经平台校验通过的视为解密成功，该投标供应商的投标文件以非加密电子投标文件为准；校验失败或未递交非加密电子投标文件的，其投标无效。</w:t>
            </w:r>
          </w:p>
        </w:tc>
      </w:tr>
      <w:tr w14:paraId="6E02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526B6D67">
            <w:pPr>
              <w:widowControl/>
              <w:adjustRightInd w:val="0"/>
              <w:snapToGrid w:val="0"/>
              <w:spacing w:line="288" w:lineRule="auto"/>
              <w:jc w:val="center"/>
              <w:rPr>
                <w:rFonts w:ascii="宋体" w:hAnsi="宋体" w:cs="Calibri"/>
                <w:szCs w:val="21"/>
              </w:rPr>
            </w:pPr>
            <w:r>
              <w:rPr>
                <w:rFonts w:hint="eastAsia" w:ascii="宋体" w:hAnsi="宋体" w:cs="Calibri"/>
                <w:szCs w:val="21"/>
              </w:rPr>
              <w:t>6.1.1</w:t>
            </w:r>
          </w:p>
        </w:tc>
        <w:tc>
          <w:tcPr>
            <w:tcW w:w="1581" w:type="dxa"/>
            <w:vAlign w:val="center"/>
          </w:tcPr>
          <w:p w14:paraId="453A13FB">
            <w:pPr>
              <w:widowControl/>
              <w:adjustRightInd w:val="0"/>
              <w:snapToGrid w:val="0"/>
              <w:spacing w:line="288" w:lineRule="auto"/>
              <w:jc w:val="center"/>
              <w:rPr>
                <w:rFonts w:ascii="宋体" w:hAnsi="宋体" w:cs="Calibri"/>
                <w:szCs w:val="21"/>
              </w:rPr>
            </w:pPr>
            <w:r>
              <w:rPr>
                <w:rFonts w:hint="eastAsia" w:ascii="宋体" w:hAnsi="宋体" w:cs="Calibri"/>
                <w:szCs w:val="21"/>
              </w:rPr>
              <w:t>评标委员会的组建</w:t>
            </w:r>
          </w:p>
        </w:tc>
        <w:tc>
          <w:tcPr>
            <w:tcW w:w="7229" w:type="dxa"/>
            <w:vAlign w:val="center"/>
          </w:tcPr>
          <w:p w14:paraId="59190A07">
            <w:pPr>
              <w:widowControl/>
              <w:adjustRightInd w:val="0"/>
              <w:snapToGrid w:val="0"/>
              <w:spacing w:line="288" w:lineRule="auto"/>
              <w:rPr>
                <w:rFonts w:ascii="宋体" w:hAnsi="宋体" w:cs="Calibri"/>
                <w:szCs w:val="21"/>
              </w:rPr>
            </w:pPr>
            <w:r>
              <w:rPr>
                <w:rFonts w:hint="eastAsia" w:ascii="宋体" w:hAnsi="宋体"/>
                <w:szCs w:val="21"/>
              </w:rPr>
              <w:t>评</w:t>
            </w:r>
            <w:r>
              <w:rPr>
                <w:rFonts w:hint="eastAsia" w:ascii="宋体" w:hAnsi="宋体" w:cs="Calibri"/>
                <w:szCs w:val="21"/>
              </w:rPr>
              <w:t>标委员会的组成：评标委员会由从专家库中抽取的专家组成（或由从专家库中抽取的评审专家及采购人代表组成）。</w:t>
            </w:r>
          </w:p>
          <w:p w14:paraId="3D4C2A08">
            <w:pPr>
              <w:widowControl/>
              <w:adjustRightInd w:val="0"/>
              <w:snapToGrid w:val="0"/>
              <w:spacing w:line="288" w:lineRule="auto"/>
              <w:rPr>
                <w:rFonts w:ascii="宋体" w:hAnsi="宋体" w:cs="Calibri"/>
                <w:szCs w:val="21"/>
              </w:rPr>
            </w:pPr>
            <w:r>
              <w:rPr>
                <w:rFonts w:hint="eastAsia" w:ascii="宋体" w:hAnsi="宋体" w:cs="Calibri"/>
                <w:szCs w:val="21"/>
              </w:rPr>
              <w:t>评标委员会的人数：5人及以上单数，采购人代表不得担任评标委员会组长。</w:t>
            </w:r>
          </w:p>
        </w:tc>
      </w:tr>
      <w:tr w14:paraId="07E1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703E0453">
            <w:pPr>
              <w:widowControl/>
              <w:adjustRightInd w:val="0"/>
              <w:snapToGrid w:val="0"/>
              <w:spacing w:line="288" w:lineRule="auto"/>
              <w:jc w:val="center"/>
              <w:rPr>
                <w:rFonts w:ascii="宋体" w:hAnsi="宋体" w:cs="Calibri"/>
                <w:szCs w:val="21"/>
              </w:rPr>
            </w:pPr>
            <w:r>
              <w:rPr>
                <w:rFonts w:hint="eastAsia" w:ascii="宋体" w:hAnsi="宋体" w:cs="Calibri"/>
                <w:szCs w:val="21"/>
              </w:rPr>
              <w:t>6.3.2</w:t>
            </w:r>
          </w:p>
        </w:tc>
        <w:tc>
          <w:tcPr>
            <w:tcW w:w="1581" w:type="dxa"/>
            <w:vAlign w:val="center"/>
          </w:tcPr>
          <w:p w14:paraId="7CEDB435">
            <w:pPr>
              <w:widowControl/>
              <w:adjustRightInd w:val="0"/>
              <w:snapToGrid w:val="0"/>
              <w:spacing w:line="288" w:lineRule="auto"/>
              <w:jc w:val="center"/>
              <w:rPr>
                <w:rFonts w:ascii="宋体" w:hAnsi="宋体" w:cs="Calibri"/>
                <w:szCs w:val="21"/>
              </w:rPr>
            </w:pPr>
            <w:r>
              <w:rPr>
                <w:rFonts w:hint="eastAsia" w:ascii="宋体" w:hAnsi="宋体" w:cs="Calibri"/>
                <w:szCs w:val="21"/>
              </w:rPr>
              <w:t>评标委员会推荐中标候选人的人数</w:t>
            </w:r>
          </w:p>
        </w:tc>
        <w:tc>
          <w:tcPr>
            <w:tcW w:w="7229" w:type="dxa"/>
            <w:vAlign w:val="center"/>
          </w:tcPr>
          <w:p w14:paraId="479D51D3">
            <w:pPr>
              <w:widowControl/>
              <w:adjustRightInd w:val="0"/>
              <w:snapToGrid w:val="0"/>
              <w:spacing w:line="288" w:lineRule="auto"/>
              <w:rPr>
                <w:rFonts w:ascii="宋体" w:hAnsi="宋体" w:cs="Calibri"/>
                <w:szCs w:val="21"/>
                <w:u w:val="single"/>
              </w:rPr>
            </w:pPr>
            <w:r>
              <w:rPr>
                <w:rFonts w:hint="eastAsia" w:ascii="宋体" w:hAnsi="宋体" w:cs="Calibri"/>
                <w:szCs w:val="21"/>
              </w:rPr>
              <w:t>1-3名</w:t>
            </w:r>
          </w:p>
        </w:tc>
      </w:tr>
      <w:tr w14:paraId="2748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1998E85D">
            <w:pPr>
              <w:widowControl/>
              <w:adjustRightInd w:val="0"/>
              <w:snapToGrid w:val="0"/>
              <w:spacing w:line="288" w:lineRule="auto"/>
              <w:jc w:val="center"/>
              <w:rPr>
                <w:rFonts w:ascii="宋体" w:hAnsi="宋体" w:cs="Calibri"/>
                <w:szCs w:val="21"/>
              </w:rPr>
            </w:pPr>
            <w:r>
              <w:rPr>
                <w:rFonts w:hint="eastAsia" w:ascii="宋体" w:hAnsi="宋体" w:cs="Calibri"/>
                <w:szCs w:val="21"/>
              </w:rPr>
              <w:t>7.1.2</w:t>
            </w:r>
          </w:p>
        </w:tc>
        <w:tc>
          <w:tcPr>
            <w:tcW w:w="1581" w:type="dxa"/>
            <w:vAlign w:val="center"/>
          </w:tcPr>
          <w:p w14:paraId="0E7E3CEF">
            <w:pPr>
              <w:widowControl/>
              <w:adjustRightInd w:val="0"/>
              <w:snapToGrid w:val="0"/>
              <w:spacing w:line="288" w:lineRule="auto"/>
              <w:jc w:val="center"/>
              <w:rPr>
                <w:rFonts w:ascii="宋体" w:hAnsi="宋体" w:cs="Calibri"/>
                <w:szCs w:val="21"/>
              </w:rPr>
            </w:pPr>
            <w:r>
              <w:rPr>
                <w:rFonts w:hint="eastAsia" w:ascii="宋体" w:hAnsi="宋体" w:cs="Calibri"/>
                <w:szCs w:val="21"/>
              </w:rPr>
              <w:t>中标结果公告</w:t>
            </w:r>
          </w:p>
        </w:tc>
        <w:tc>
          <w:tcPr>
            <w:tcW w:w="7229" w:type="dxa"/>
            <w:vAlign w:val="center"/>
          </w:tcPr>
          <w:p w14:paraId="7504BE19">
            <w:pPr>
              <w:widowControl/>
              <w:adjustRightInd w:val="0"/>
              <w:snapToGrid w:val="0"/>
              <w:spacing w:line="288" w:lineRule="auto"/>
              <w:rPr>
                <w:rFonts w:ascii="宋体" w:hAnsi="宋体" w:cs="Calibri"/>
                <w:szCs w:val="21"/>
              </w:rPr>
            </w:pPr>
            <w:r>
              <w:rPr>
                <w:rFonts w:hint="eastAsia" w:ascii="宋体" w:hAnsi="宋体" w:cs="Calibri"/>
                <w:szCs w:val="21"/>
              </w:rPr>
              <w:t>公告方式：在发布招标公告的同一媒介上发布本项目中标结果公告；</w:t>
            </w:r>
          </w:p>
          <w:p w14:paraId="45BC05F7">
            <w:pPr>
              <w:widowControl/>
              <w:adjustRightInd w:val="0"/>
              <w:snapToGrid w:val="0"/>
              <w:spacing w:line="288" w:lineRule="auto"/>
              <w:rPr>
                <w:rFonts w:ascii="宋体" w:hAnsi="宋体"/>
                <w:szCs w:val="21"/>
              </w:rPr>
            </w:pPr>
            <w:r>
              <w:rPr>
                <w:rFonts w:hint="eastAsia" w:ascii="宋体" w:hAnsi="宋体" w:cs="Calibri"/>
                <w:szCs w:val="21"/>
              </w:rPr>
              <w:t>公告内容：</w:t>
            </w:r>
            <w:r>
              <w:rPr>
                <w:rFonts w:hint="eastAsia" w:ascii="宋体" w:hAnsi="宋体"/>
                <w:szCs w:val="21"/>
              </w:rPr>
              <w:t>采购人及采购代理机构的名称、地址、联系方式，项目名称和项目编号，中标人名称、地址和中标金额，主要中标标的的名称、数量、单价、服务要求，评审专家名单，中标供应商评审总得分（如采用综合评分法）/评审报价（如采用最低评标价法）等。</w:t>
            </w:r>
          </w:p>
          <w:p w14:paraId="41544F66">
            <w:pPr>
              <w:widowControl/>
              <w:adjustRightInd w:val="0"/>
              <w:snapToGrid w:val="0"/>
              <w:spacing w:line="288" w:lineRule="auto"/>
              <w:rPr>
                <w:rFonts w:ascii="宋体" w:hAnsi="宋体" w:cs="Calibri"/>
                <w:szCs w:val="21"/>
              </w:rPr>
            </w:pPr>
            <w:r>
              <w:rPr>
                <w:rFonts w:hint="eastAsia" w:ascii="宋体" w:hAnsi="宋体"/>
                <w:szCs w:val="21"/>
              </w:rPr>
              <w:t>中标公告期限：</w:t>
            </w:r>
            <w:r>
              <w:rPr>
                <w:rFonts w:hint="eastAsia" w:ascii="宋体" w:hAnsi="宋体"/>
                <w:szCs w:val="21"/>
                <w:u w:val="single"/>
              </w:rPr>
              <w:t>1个工作日。</w:t>
            </w:r>
          </w:p>
        </w:tc>
      </w:tr>
      <w:tr w14:paraId="1B47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2E556410">
            <w:pPr>
              <w:widowControl/>
              <w:adjustRightInd w:val="0"/>
              <w:snapToGrid w:val="0"/>
              <w:jc w:val="center"/>
              <w:rPr>
                <w:rFonts w:ascii="宋体" w:hAnsi="宋体" w:cs="Calibri"/>
                <w:szCs w:val="21"/>
              </w:rPr>
            </w:pPr>
            <w:r>
              <w:rPr>
                <w:rFonts w:hint="eastAsia" w:ascii="宋体" w:hAnsi="宋体" w:cs="Calibri"/>
                <w:szCs w:val="21"/>
              </w:rPr>
              <w:t>7.3.2</w:t>
            </w:r>
          </w:p>
        </w:tc>
        <w:tc>
          <w:tcPr>
            <w:tcW w:w="1581" w:type="dxa"/>
            <w:vAlign w:val="center"/>
          </w:tcPr>
          <w:p w14:paraId="0AA13E39">
            <w:pPr>
              <w:widowControl/>
              <w:adjustRightInd w:val="0"/>
              <w:snapToGrid w:val="0"/>
              <w:spacing w:before="96" w:beforeLines="40" w:after="96" w:afterLines="40" w:line="400" w:lineRule="exact"/>
              <w:jc w:val="center"/>
              <w:rPr>
                <w:rFonts w:ascii="宋体" w:hAnsi="宋体" w:cs="Calibri"/>
                <w:szCs w:val="21"/>
              </w:rPr>
            </w:pPr>
            <w:r>
              <w:rPr>
                <w:rFonts w:hint="eastAsia" w:ascii="宋体" w:hAnsi="宋体" w:cs="Calibri"/>
                <w:szCs w:val="21"/>
              </w:rPr>
              <w:t>招标代理服务费</w:t>
            </w:r>
          </w:p>
        </w:tc>
        <w:tc>
          <w:tcPr>
            <w:tcW w:w="7229" w:type="dxa"/>
            <w:vAlign w:val="center"/>
          </w:tcPr>
          <w:p w14:paraId="0A86080F">
            <w:pPr>
              <w:pStyle w:val="20"/>
              <w:widowControl w:val="0"/>
              <w:wordWrap w:val="0"/>
              <w:topLinePunct/>
              <w:adjustRightInd w:val="0"/>
              <w:snapToGrid w:val="0"/>
              <w:jc w:val="both"/>
              <w:rPr>
                <w:rFonts w:ascii="宋体" w:hAnsi="宋体" w:cs="宋体"/>
                <w:kern w:val="2"/>
                <w:sz w:val="21"/>
                <w:szCs w:val="20"/>
              </w:rPr>
            </w:pPr>
            <w:r>
              <w:rPr>
                <w:rFonts w:hint="eastAsia" w:ascii="宋体" w:hAnsi="宋体" w:cs="宋体"/>
                <w:kern w:val="2"/>
                <w:sz w:val="21"/>
                <w:szCs w:val="20"/>
              </w:rPr>
              <w:t>（1）支付方：中标供应商。</w:t>
            </w:r>
          </w:p>
          <w:p w14:paraId="0A46AFA6">
            <w:pPr>
              <w:pStyle w:val="20"/>
              <w:widowControl w:val="0"/>
              <w:wordWrap w:val="0"/>
              <w:topLinePunct/>
              <w:adjustRightInd w:val="0"/>
              <w:snapToGrid w:val="0"/>
              <w:jc w:val="both"/>
              <w:rPr>
                <w:rFonts w:ascii="宋体" w:hAnsi="宋体" w:cs="宋体"/>
                <w:kern w:val="2"/>
                <w:sz w:val="21"/>
                <w:szCs w:val="20"/>
              </w:rPr>
            </w:pPr>
            <w:r>
              <w:rPr>
                <w:rFonts w:hint="eastAsia" w:ascii="宋体" w:hAnsi="宋体" w:cs="宋体"/>
                <w:kern w:val="2"/>
                <w:sz w:val="21"/>
                <w:szCs w:val="20"/>
              </w:rPr>
              <w:t>（2）本项目代理服务费收费标准：在领取中标通知书时，中标人应向招标代理机构交纳中标服务费。中标服务费以中标价为基数，参照原国家计委计价格【2002】1980号文服务标准的60%收取。</w:t>
            </w:r>
          </w:p>
          <w:p w14:paraId="12248E83">
            <w:pPr>
              <w:pStyle w:val="20"/>
              <w:widowControl w:val="0"/>
              <w:wordWrap w:val="0"/>
              <w:topLinePunct/>
              <w:adjustRightInd w:val="0"/>
              <w:snapToGrid w:val="0"/>
              <w:jc w:val="both"/>
              <w:rPr>
                <w:rFonts w:ascii="宋体" w:hAnsi="宋体" w:cs="宋体"/>
                <w:b/>
                <w:bCs/>
              </w:rPr>
            </w:pPr>
            <w:r>
              <w:rPr>
                <w:rFonts w:hint="eastAsia" w:ascii="宋体" w:hAnsi="宋体" w:cs="宋体"/>
                <w:kern w:val="2"/>
                <w:sz w:val="21"/>
                <w:szCs w:val="20"/>
              </w:rPr>
              <w:t>（3）代理服务费收取方式：转账/电汇。</w:t>
            </w:r>
          </w:p>
        </w:tc>
      </w:tr>
      <w:tr w14:paraId="5E2A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15C3F115">
            <w:pPr>
              <w:widowControl/>
              <w:adjustRightInd w:val="0"/>
              <w:snapToGrid w:val="0"/>
              <w:spacing w:line="288" w:lineRule="auto"/>
              <w:jc w:val="center"/>
              <w:rPr>
                <w:rFonts w:ascii="宋体" w:hAnsi="宋体" w:cs="Calibri"/>
                <w:szCs w:val="21"/>
              </w:rPr>
            </w:pPr>
            <w:r>
              <w:rPr>
                <w:rFonts w:hint="eastAsia" w:ascii="宋体" w:hAnsi="宋体" w:cs="Calibri"/>
                <w:szCs w:val="21"/>
              </w:rPr>
              <w:t>7.4.1</w:t>
            </w:r>
          </w:p>
        </w:tc>
        <w:tc>
          <w:tcPr>
            <w:tcW w:w="1581" w:type="dxa"/>
            <w:vAlign w:val="center"/>
          </w:tcPr>
          <w:p w14:paraId="26F6B85F">
            <w:pPr>
              <w:widowControl/>
              <w:adjustRightInd w:val="0"/>
              <w:snapToGrid w:val="0"/>
              <w:spacing w:before="96" w:beforeLines="40" w:after="96" w:afterLines="40" w:line="400" w:lineRule="exact"/>
              <w:jc w:val="center"/>
              <w:rPr>
                <w:rFonts w:ascii="宋体" w:hAnsi="宋体" w:cs="Calibri"/>
                <w:szCs w:val="21"/>
              </w:rPr>
            </w:pPr>
            <w:r>
              <w:rPr>
                <w:rFonts w:hint="eastAsia" w:ascii="宋体" w:hAnsi="宋体" w:cs="Calibri"/>
                <w:szCs w:val="21"/>
              </w:rPr>
              <w:t>履约保证金</w:t>
            </w:r>
          </w:p>
        </w:tc>
        <w:tc>
          <w:tcPr>
            <w:tcW w:w="7229" w:type="dxa"/>
          </w:tcPr>
          <w:p w14:paraId="47902EBE">
            <w:pPr>
              <w:pStyle w:val="8"/>
              <w:widowControl/>
              <w:adjustRightInd w:val="0"/>
              <w:snapToGrid w:val="0"/>
              <w:spacing w:before="96" w:beforeLines="40" w:after="96" w:afterLines="40" w:line="400" w:lineRule="exact"/>
              <w:rPr>
                <w:rFonts w:hAnsi="宋体" w:cs="宋体"/>
              </w:rPr>
            </w:pPr>
            <w:r>
              <w:rPr>
                <w:rFonts w:hint="eastAsia" w:hAnsi="宋体" w:cs="宋体"/>
              </w:rPr>
              <w:t>（1）金额：</w:t>
            </w:r>
          </w:p>
          <w:p w14:paraId="5AB9EAC1">
            <w:pPr>
              <w:pStyle w:val="8"/>
              <w:widowControl/>
              <w:adjustRightInd w:val="0"/>
              <w:snapToGrid w:val="0"/>
              <w:spacing w:before="96" w:beforeLines="40" w:after="96" w:afterLines="40" w:line="400" w:lineRule="exact"/>
              <w:rPr>
                <w:rFonts w:hAnsi="宋体" w:cs="宋体"/>
              </w:rPr>
            </w:pPr>
            <w:r>
              <w:rPr>
                <w:rFonts w:hint="eastAsia" w:hAnsi="宋体" w:cs="宋体"/>
              </w:rPr>
              <w:t>☑免收</w:t>
            </w:r>
          </w:p>
          <w:p w14:paraId="09FF70DC">
            <w:pPr>
              <w:pStyle w:val="8"/>
              <w:widowControl/>
              <w:adjustRightInd w:val="0"/>
              <w:snapToGrid w:val="0"/>
              <w:spacing w:before="96" w:beforeLines="40" w:after="96" w:afterLines="40" w:line="400" w:lineRule="exact"/>
              <w:rPr>
                <w:rFonts w:hAnsi="宋体" w:cs="宋体"/>
              </w:rPr>
            </w:pPr>
            <w:r>
              <w:rPr>
                <w:rFonts w:hint="eastAsia" w:hAnsi="宋体" w:cs="宋体"/>
              </w:rPr>
              <w:t>□合同价的%</w:t>
            </w:r>
          </w:p>
          <w:p w14:paraId="477C535E">
            <w:pPr>
              <w:pStyle w:val="8"/>
              <w:widowControl/>
              <w:adjustRightInd w:val="0"/>
              <w:snapToGrid w:val="0"/>
              <w:spacing w:before="96" w:beforeLines="40" w:after="96" w:afterLines="40" w:line="400" w:lineRule="exact"/>
              <w:rPr>
                <w:rFonts w:hAnsi="宋体" w:cs="宋体"/>
              </w:rPr>
            </w:pPr>
            <w:r>
              <w:rPr>
                <w:rFonts w:hint="eastAsia" w:hAnsi="宋体" w:cs="宋体"/>
              </w:rPr>
              <w:t>□定额收取：人民币元</w:t>
            </w:r>
          </w:p>
          <w:p w14:paraId="02D9D262">
            <w:pPr>
              <w:pStyle w:val="8"/>
              <w:widowControl/>
              <w:adjustRightInd w:val="0"/>
              <w:snapToGrid w:val="0"/>
              <w:spacing w:before="96" w:beforeLines="40" w:after="96" w:afterLines="40" w:line="400" w:lineRule="exact"/>
              <w:rPr>
                <w:rFonts w:hAnsi="宋体" w:cs="宋体"/>
              </w:rPr>
            </w:pPr>
            <w:r>
              <w:rPr>
                <w:rFonts w:hint="eastAsia" w:hAnsi="宋体" w:cs="宋体"/>
              </w:rPr>
              <w:t>（2）支付方式：</w:t>
            </w:r>
          </w:p>
          <w:p w14:paraId="60DFF090">
            <w:pPr>
              <w:pStyle w:val="8"/>
              <w:widowControl/>
              <w:adjustRightInd w:val="0"/>
              <w:snapToGrid w:val="0"/>
              <w:spacing w:before="96" w:beforeLines="40" w:after="96" w:afterLines="40" w:line="400" w:lineRule="exact"/>
              <w:rPr>
                <w:rFonts w:hAnsi="宋体" w:cs="宋体"/>
              </w:rPr>
            </w:pPr>
            <w:r>
              <w:rPr>
                <w:rFonts w:hint="eastAsia" w:hAnsi="宋体" w:cs="宋体"/>
              </w:rPr>
              <w:sym w:font="Wingdings" w:char="00A8"/>
            </w:r>
            <w:r>
              <w:rPr>
                <w:rFonts w:hint="eastAsia" w:hAnsi="宋体" w:cs="宋体"/>
              </w:rPr>
              <w:t>转账/电汇</w:t>
            </w:r>
            <w:r>
              <w:rPr>
                <w:rFonts w:hint="eastAsia" w:hAnsi="宋体" w:cs="宋体"/>
              </w:rPr>
              <w:sym w:font="Wingdings" w:char="00A8"/>
            </w:r>
            <w:r>
              <w:rPr>
                <w:rFonts w:hint="eastAsia" w:hAnsi="宋体" w:cs="宋体"/>
              </w:rPr>
              <w:t>支票</w:t>
            </w:r>
            <w:r>
              <w:rPr>
                <w:rFonts w:hint="eastAsia" w:hAnsi="宋体" w:cs="宋体"/>
              </w:rPr>
              <w:sym w:font="Wingdings" w:char="00A8"/>
            </w:r>
            <w:r>
              <w:rPr>
                <w:rFonts w:hint="eastAsia" w:hAnsi="宋体" w:cs="宋体"/>
              </w:rPr>
              <w:t>汇票</w:t>
            </w:r>
            <w:r>
              <w:rPr>
                <w:rFonts w:hint="eastAsia" w:hAnsi="宋体" w:cs="宋体"/>
              </w:rPr>
              <w:sym w:font="Wingdings" w:char="00A8"/>
            </w:r>
            <w:r>
              <w:rPr>
                <w:rFonts w:hint="eastAsia" w:hAnsi="宋体" w:cs="宋体"/>
              </w:rPr>
              <w:t>本票</w:t>
            </w:r>
            <w:r>
              <w:rPr>
                <w:rFonts w:hint="eastAsia" w:hAnsi="宋体" w:cs="宋体"/>
              </w:rPr>
              <w:sym w:font="Wingdings" w:char="00A8"/>
            </w:r>
            <w:r>
              <w:rPr>
                <w:rFonts w:hint="eastAsia" w:hAnsi="宋体" w:cs="宋体"/>
              </w:rPr>
              <w:t>保险</w:t>
            </w:r>
            <w:r>
              <w:rPr>
                <w:rFonts w:hint="eastAsia" w:hAnsi="宋体" w:cs="宋体"/>
              </w:rPr>
              <w:sym w:font="Wingdings" w:char="00A8"/>
            </w:r>
            <w:r>
              <w:rPr>
                <w:rFonts w:hint="eastAsia" w:hAnsi="宋体" w:cs="宋体"/>
              </w:rPr>
              <w:t>保函</w:t>
            </w:r>
          </w:p>
          <w:p w14:paraId="59E63DEC">
            <w:pPr>
              <w:pStyle w:val="8"/>
              <w:widowControl/>
              <w:adjustRightInd w:val="0"/>
              <w:snapToGrid w:val="0"/>
              <w:spacing w:before="96" w:beforeLines="40" w:after="96" w:afterLines="40" w:line="400" w:lineRule="exact"/>
              <w:rPr>
                <w:rFonts w:hAnsi="宋体" w:cs="宋体"/>
              </w:rPr>
            </w:pPr>
            <w:r>
              <w:rPr>
                <w:rFonts w:hint="eastAsia" w:hAnsi="宋体" w:cs="宋体"/>
              </w:rPr>
              <w:t>（3）收取单位：</w:t>
            </w:r>
          </w:p>
          <w:p w14:paraId="3D98CA19">
            <w:pPr>
              <w:pStyle w:val="8"/>
              <w:widowControl/>
              <w:adjustRightInd w:val="0"/>
              <w:snapToGrid w:val="0"/>
              <w:spacing w:before="96" w:beforeLines="40" w:after="96" w:afterLines="40" w:line="400" w:lineRule="exact"/>
              <w:rPr>
                <w:rFonts w:hAnsi="宋体" w:cs="宋体"/>
              </w:rPr>
            </w:pPr>
            <w:r>
              <w:rPr>
                <w:rFonts w:hint="eastAsia" w:hAnsi="宋体" w:cs="宋体"/>
              </w:rPr>
              <w:t>（4）收取账号：</w:t>
            </w:r>
          </w:p>
          <w:p w14:paraId="079AF6E3">
            <w:pPr>
              <w:pStyle w:val="8"/>
              <w:widowControl/>
              <w:adjustRightInd w:val="0"/>
              <w:snapToGrid w:val="0"/>
              <w:spacing w:before="96" w:beforeLines="40" w:after="96" w:afterLines="40" w:line="400" w:lineRule="exact"/>
              <w:rPr>
                <w:rFonts w:hAnsi="宋体" w:cs="宋体"/>
              </w:rPr>
            </w:pPr>
            <w:r>
              <w:rPr>
                <w:rFonts w:hint="eastAsia" w:hAnsi="宋体" w:cs="宋体"/>
              </w:rPr>
              <w:t>（5）退还时间：</w:t>
            </w:r>
          </w:p>
          <w:p w14:paraId="7979E6F9">
            <w:pPr>
              <w:pStyle w:val="8"/>
              <w:widowControl/>
              <w:adjustRightInd w:val="0"/>
              <w:snapToGrid w:val="0"/>
              <w:spacing w:before="96" w:beforeLines="40" w:after="96" w:afterLines="40" w:line="400" w:lineRule="exact"/>
              <w:rPr>
                <w:rFonts w:hAnsi="宋体" w:cs="宋体"/>
              </w:rPr>
            </w:pPr>
            <w:r>
              <w:rPr>
                <w:rFonts w:hint="eastAsia" w:hAnsi="宋体" w:cs="宋体"/>
              </w:rPr>
              <w:t>注意事项：</w:t>
            </w:r>
          </w:p>
          <w:p w14:paraId="6AE3103D">
            <w:pPr>
              <w:pStyle w:val="8"/>
              <w:widowControl/>
              <w:adjustRightInd w:val="0"/>
              <w:snapToGrid w:val="0"/>
              <w:spacing w:before="96" w:beforeLines="40" w:after="96" w:afterLines="40" w:line="400" w:lineRule="exact"/>
              <w:rPr>
                <w:rFonts w:hAnsi="宋体" w:cs="宋体"/>
                <w:b/>
                <w:bCs/>
              </w:rPr>
            </w:pPr>
            <w:r>
              <w:rPr>
                <w:rFonts w:hint="eastAsia" w:hAnsi="宋体" w:cs="宋体"/>
                <w:b/>
                <w:bCs/>
              </w:rPr>
              <w:t>（1）以上各类机构出具的以担保函、保证保险承担责任的方式均须满足无条件见索即付条件。</w:t>
            </w:r>
          </w:p>
          <w:p w14:paraId="350F11E9">
            <w:pPr>
              <w:pStyle w:val="8"/>
              <w:widowControl/>
              <w:adjustRightInd w:val="0"/>
              <w:snapToGrid w:val="0"/>
              <w:spacing w:before="96" w:beforeLines="40" w:after="96" w:afterLines="40" w:line="400" w:lineRule="exact"/>
              <w:rPr>
                <w:rFonts w:hAnsi="宋体"/>
              </w:rPr>
            </w:pPr>
            <w:r>
              <w:rPr>
                <w:rFonts w:hint="eastAsia" w:hAnsi="宋体" w:cs="宋体"/>
                <w:b/>
                <w:bCs/>
              </w:rPr>
              <w:t>（2）以担保函、保证保险形式缴纳履约保证金的，受益人和收取单位须为采购人。</w:t>
            </w:r>
          </w:p>
        </w:tc>
      </w:tr>
      <w:tr w14:paraId="5823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35D7152C">
            <w:pPr>
              <w:widowControl/>
              <w:adjustRightInd w:val="0"/>
              <w:snapToGrid w:val="0"/>
              <w:spacing w:line="288" w:lineRule="auto"/>
              <w:jc w:val="center"/>
              <w:rPr>
                <w:rFonts w:ascii="宋体" w:hAnsi="宋体" w:cs="Calibri"/>
                <w:szCs w:val="21"/>
              </w:rPr>
            </w:pPr>
            <w:r>
              <w:rPr>
                <w:rFonts w:hint="eastAsia" w:ascii="宋体" w:hAnsi="宋体" w:cs="Calibri"/>
                <w:szCs w:val="21"/>
              </w:rPr>
              <w:t>11.1.1</w:t>
            </w:r>
          </w:p>
        </w:tc>
        <w:tc>
          <w:tcPr>
            <w:tcW w:w="1581" w:type="dxa"/>
            <w:vAlign w:val="center"/>
          </w:tcPr>
          <w:p w14:paraId="6E76E4EC">
            <w:pPr>
              <w:jc w:val="center"/>
              <w:rPr>
                <w:rFonts w:ascii="宋体" w:hAnsi="宋体" w:cs="Calibri"/>
                <w:szCs w:val="21"/>
              </w:rPr>
            </w:pPr>
            <w:r>
              <w:rPr>
                <w:rFonts w:hint="eastAsia"/>
              </w:rPr>
              <w:t>节能产品强制及优先采购政策的执行</w:t>
            </w:r>
          </w:p>
        </w:tc>
        <w:tc>
          <w:tcPr>
            <w:tcW w:w="7229" w:type="dxa"/>
          </w:tcPr>
          <w:p w14:paraId="7CE4EDBC">
            <w:pPr>
              <w:spacing w:before="96" w:beforeLines="40" w:after="96" w:afterLines="40" w:line="400" w:lineRule="exact"/>
            </w:pPr>
            <w:r>
              <w:rPr/>
              <w:sym w:font="Wingdings" w:char="F0FE"/>
            </w:r>
            <w:r>
              <w:rPr>
                <w:rFonts w:hint="eastAsia"/>
              </w:rPr>
              <w:t>是，本项目执行《节能产品政府采购实施意见》的规定，其中：</w:t>
            </w:r>
          </w:p>
          <w:p w14:paraId="2C16FA5C">
            <w:pPr>
              <w:spacing w:before="96" w:beforeLines="40" w:after="96" w:afterLines="40" w:line="400" w:lineRule="exact"/>
            </w:pPr>
            <w:r>
              <w:rPr>
                <w:rFonts w:hint="eastAsia"/>
              </w:rPr>
              <w:t>节能产品是指：</w:t>
            </w:r>
            <w:r>
              <w:rPr>
                <w:rFonts w:hint="eastAsia"/>
                <w:u w:val="single"/>
              </w:rPr>
              <w:t xml:space="preserve">  属于财政部、发改委等部委颁发的最新《节能产品政府采购品目清单》 的节能产品，包括强制采购的节能产品与优先采购的节能产品；</w:t>
            </w:r>
          </w:p>
          <w:p w14:paraId="45FC95D7">
            <w:pPr>
              <w:widowControl/>
              <w:snapToGrid w:val="0"/>
              <w:spacing w:line="288" w:lineRule="auto"/>
            </w:pPr>
            <w:r>
              <w:rPr>
                <w:rFonts w:hint="eastAsia"/>
              </w:rPr>
              <w:t>如属于政府强制采购的节能产品的，供应商须在投标文件中附相关产品有效期内的《节能产品认证证书》复制件，</w:t>
            </w:r>
            <w:r>
              <w:rPr>
                <w:rFonts w:hint="eastAsia"/>
                <w:b/>
                <w:bCs/>
              </w:rPr>
              <w:t>否则按无效投标处理</w:t>
            </w:r>
            <w:r>
              <w:rPr>
                <w:rFonts w:hint="eastAsia"/>
              </w:rPr>
              <w:t>。</w:t>
            </w:r>
          </w:p>
          <w:p w14:paraId="3E20B2BD">
            <w:pPr>
              <w:pStyle w:val="6"/>
              <w:rPr>
                <w:rFonts w:ascii="楷体_GB2312" w:hAnsi="宋体" w:eastAsia="楷体_GB2312" w:cs="Calibri"/>
                <w:szCs w:val="21"/>
              </w:rPr>
            </w:pPr>
            <w:r>
              <w:rPr>
                <w:rFonts w:hint="eastAsia" w:eastAsia="宋体"/>
                <w:sz w:val="21"/>
                <w:szCs w:val="22"/>
              </w:rPr>
              <w:t>如属于优先采购的节能产品的，供应商可在投标文件中附相关产品有效期内的《节能产品认证证书》复制件。</w:t>
            </w:r>
          </w:p>
        </w:tc>
      </w:tr>
      <w:tr w14:paraId="4FDD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2D9CC9A7">
            <w:pPr>
              <w:widowControl/>
              <w:adjustRightInd w:val="0"/>
              <w:snapToGrid w:val="0"/>
              <w:spacing w:line="288" w:lineRule="auto"/>
              <w:jc w:val="center"/>
              <w:rPr>
                <w:rFonts w:ascii="宋体" w:hAnsi="宋体" w:cs="Calibri"/>
                <w:szCs w:val="21"/>
              </w:rPr>
            </w:pPr>
            <w:r>
              <w:rPr>
                <w:rFonts w:hint="eastAsia" w:ascii="宋体" w:hAnsi="宋体" w:cs="Calibri"/>
                <w:szCs w:val="21"/>
              </w:rPr>
              <w:t>11.1.2</w:t>
            </w:r>
          </w:p>
        </w:tc>
        <w:tc>
          <w:tcPr>
            <w:tcW w:w="1581" w:type="dxa"/>
            <w:vAlign w:val="center"/>
          </w:tcPr>
          <w:p w14:paraId="63974242">
            <w:pPr>
              <w:jc w:val="center"/>
              <w:rPr>
                <w:rFonts w:ascii="宋体" w:hAnsi="宋体"/>
                <w:szCs w:val="21"/>
              </w:rPr>
            </w:pPr>
            <w:r>
              <w:rPr>
                <w:rFonts w:hint="eastAsia"/>
              </w:rPr>
              <w:t>环境标志产品优先采购政策的执行</w:t>
            </w:r>
          </w:p>
        </w:tc>
        <w:tc>
          <w:tcPr>
            <w:tcW w:w="7229" w:type="dxa"/>
          </w:tcPr>
          <w:p w14:paraId="4DA7FEDB">
            <w:pPr>
              <w:spacing w:before="96" w:beforeLines="40" w:after="96" w:afterLines="40" w:line="400" w:lineRule="exact"/>
            </w:pPr>
            <w:r>
              <w:rPr/>
              <w:sym w:font="Wingdings" w:char="F0FE"/>
            </w:r>
            <w:r>
              <w:rPr>
                <w:rFonts w:hint="eastAsia"/>
              </w:rPr>
              <w:t>是，本项目执行《关于环境标志产品政府采购实施的意见》的规定，其中：</w:t>
            </w:r>
          </w:p>
          <w:p w14:paraId="7E6F1A85">
            <w:pPr>
              <w:spacing w:before="96" w:beforeLines="40" w:after="96" w:afterLines="40" w:line="400" w:lineRule="exact"/>
            </w:pPr>
            <w:r>
              <w:rPr>
                <w:rFonts w:hint="eastAsia"/>
                <w:lang w:bidi="en-US"/>
              </w:rPr>
              <w:t>环境标志产品</w:t>
            </w:r>
            <w:r>
              <w:rPr>
                <w:rFonts w:hint="eastAsia"/>
              </w:rPr>
              <w:t>指：</w:t>
            </w:r>
            <w:r>
              <w:rPr>
                <w:rFonts w:hint="eastAsia"/>
                <w:u w:val="single"/>
              </w:rPr>
              <w:t xml:space="preserve">  属于财政部、发改委等部委颁发的最新《环境标志产品政府采购品目清单》 的环境标志产品。</w:t>
            </w:r>
          </w:p>
          <w:p w14:paraId="04AAE102">
            <w:pPr>
              <w:widowControl/>
              <w:snapToGrid w:val="0"/>
              <w:spacing w:line="288" w:lineRule="auto"/>
              <w:rPr>
                <w:rFonts w:ascii="宋体" w:hAnsi="宋体"/>
                <w:bCs/>
                <w:szCs w:val="21"/>
              </w:rPr>
            </w:pPr>
            <w:r>
              <w:rPr>
                <w:rFonts w:hint="eastAsia"/>
              </w:rPr>
              <w:t>如有所投</w:t>
            </w:r>
            <w:r>
              <w:t>产品符合相关要求，供应商</w:t>
            </w:r>
            <w:r>
              <w:rPr>
                <w:rFonts w:hint="eastAsia"/>
              </w:rPr>
              <w:t>可</w:t>
            </w:r>
            <w:r>
              <w:t>在</w:t>
            </w:r>
            <w:r>
              <w:rPr>
                <w:rFonts w:hint="eastAsia"/>
              </w:rPr>
              <w:t>投标</w:t>
            </w:r>
            <w:r>
              <w:t>文件</w:t>
            </w:r>
            <w:r>
              <w:rPr>
                <w:rFonts w:hint="eastAsia"/>
              </w:rPr>
              <w:t>中</w:t>
            </w:r>
            <w:r>
              <w:t>附</w:t>
            </w:r>
            <w:r>
              <w:rPr>
                <w:rFonts w:hint="eastAsia"/>
              </w:rPr>
              <w:t>相关产品有效期内的《环境标志产品认证证书》</w:t>
            </w:r>
            <w:r>
              <w:t>复制件。</w:t>
            </w:r>
          </w:p>
        </w:tc>
      </w:tr>
      <w:tr w14:paraId="7FD5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0B2CECBE">
            <w:pPr>
              <w:widowControl/>
              <w:adjustRightInd w:val="0"/>
              <w:snapToGrid w:val="0"/>
              <w:spacing w:line="288" w:lineRule="auto"/>
              <w:jc w:val="center"/>
              <w:rPr>
                <w:rFonts w:ascii="宋体" w:hAnsi="宋体" w:cs="Calibri"/>
                <w:szCs w:val="21"/>
              </w:rPr>
            </w:pPr>
            <w:r>
              <w:rPr>
                <w:rFonts w:hint="eastAsia" w:ascii="宋体" w:hAnsi="宋体" w:cs="Calibri"/>
                <w:szCs w:val="21"/>
              </w:rPr>
              <w:t>11.2.1</w:t>
            </w:r>
          </w:p>
        </w:tc>
        <w:tc>
          <w:tcPr>
            <w:tcW w:w="1581" w:type="dxa"/>
            <w:vAlign w:val="center"/>
          </w:tcPr>
          <w:p w14:paraId="656A2E79">
            <w:pPr>
              <w:pStyle w:val="21"/>
              <w:spacing w:before="2"/>
              <w:ind w:left="107"/>
              <w:jc w:val="center"/>
              <w:rPr>
                <w:sz w:val="21"/>
                <w:szCs w:val="21"/>
              </w:rPr>
            </w:pPr>
            <w:r>
              <w:rPr>
                <w:sz w:val="21"/>
                <w:szCs w:val="21"/>
              </w:rPr>
              <w:t>是否为专门面向中小企业采购</w:t>
            </w:r>
          </w:p>
        </w:tc>
        <w:tc>
          <w:tcPr>
            <w:tcW w:w="7229" w:type="dxa"/>
          </w:tcPr>
          <w:p w14:paraId="2EF2523E">
            <w:pPr>
              <w:pStyle w:val="21"/>
              <w:spacing w:before="4"/>
              <w:rPr>
                <w:sz w:val="21"/>
                <w:szCs w:val="21"/>
              </w:rPr>
            </w:pPr>
          </w:p>
          <w:p w14:paraId="1A661C14">
            <w:pPr>
              <w:pStyle w:val="21"/>
              <w:ind w:left="108"/>
              <w:rPr>
                <w:sz w:val="21"/>
                <w:szCs w:val="21"/>
              </w:rPr>
            </w:pPr>
            <w:r>
              <w:rPr>
                <w:sz w:val="21"/>
                <w:szCs w:val="21"/>
              </w:rPr>
              <w:t>□是。</w:t>
            </w:r>
            <w:r>
              <w:rPr>
                <w:rFonts w:hint="eastAsia"/>
                <w:sz w:val="21"/>
                <w:szCs w:val="21"/>
              </w:rPr>
              <w:t>本项目专门面向中小企业采购，如投标</w:t>
            </w:r>
            <w:r>
              <w:rPr>
                <w:rFonts w:hint="eastAsia"/>
                <w:sz w:val="21"/>
                <w:szCs w:val="21"/>
                <w:lang w:val="en-US"/>
              </w:rPr>
              <w:t>供应商</w:t>
            </w:r>
            <w:r>
              <w:rPr>
                <w:rFonts w:hint="eastAsia"/>
                <w:sz w:val="21"/>
                <w:szCs w:val="21"/>
              </w:rPr>
              <w:t>提供的服务不符合《政府采购促进中小企业发展管理办法》规定的，其投标文件将被认定为无效。</w:t>
            </w:r>
          </w:p>
          <w:p w14:paraId="18C55BD6">
            <w:pPr>
              <w:pStyle w:val="21"/>
              <w:tabs>
                <w:tab w:val="left" w:pos="828"/>
              </w:tabs>
              <w:ind w:left="108"/>
              <w:rPr>
                <w:sz w:val="21"/>
                <w:szCs w:val="21"/>
              </w:rPr>
            </w:pPr>
          </w:p>
          <w:p w14:paraId="4C20A1BC">
            <w:pPr>
              <w:pStyle w:val="21"/>
              <w:tabs>
                <w:tab w:val="left" w:pos="828"/>
              </w:tabs>
              <w:ind w:left="108"/>
              <w:rPr>
                <w:sz w:val="21"/>
                <w:szCs w:val="21"/>
              </w:rPr>
            </w:pPr>
            <w:r>
              <w:rPr>
                <w:rFonts w:hint="eastAsia"/>
                <w:sz w:val="21"/>
                <w:szCs w:val="21"/>
              </w:rPr>
              <w:t>☑</w:t>
            </w:r>
            <w:r>
              <w:rPr>
                <w:sz w:val="21"/>
                <w:szCs w:val="21"/>
              </w:rPr>
              <w:t>否</w:t>
            </w:r>
          </w:p>
        </w:tc>
      </w:tr>
      <w:tr w14:paraId="4D1A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23BC630B">
            <w:pPr>
              <w:widowControl/>
              <w:adjustRightInd w:val="0"/>
              <w:snapToGrid w:val="0"/>
              <w:spacing w:line="288" w:lineRule="auto"/>
              <w:jc w:val="center"/>
              <w:rPr>
                <w:rFonts w:ascii="宋体" w:hAnsi="宋体" w:cs="Calibri"/>
                <w:szCs w:val="21"/>
              </w:rPr>
            </w:pPr>
            <w:r>
              <w:rPr>
                <w:rFonts w:hint="eastAsia" w:ascii="宋体" w:hAnsi="宋体" w:cs="Calibri"/>
                <w:szCs w:val="21"/>
              </w:rPr>
              <w:t>11.2.2</w:t>
            </w:r>
          </w:p>
        </w:tc>
        <w:tc>
          <w:tcPr>
            <w:tcW w:w="1581" w:type="dxa"/>
            <w:vAlign w:val="center"/>
          </w:tcPr>
          <w:p w14:paraId="645AC416">
            <w:pPr>
              <w:widowControl/>
              <w:adjustRightInd w:val="0"/>
              <w:snapToGrid w:val="0"/>
              <w:spacing w:line="288" w:lineRule="auto"/>
              <w:jc w:val="center"/>
              <w:rPr>
                <w:rFonts w:ascii="宋体" w:hAnsi="宋体" w:cs="Calibri"/>
                <w:szCs w:val="21"/>
              </w:rPr>
            </w:pPr>
            <w:r>
              <w:rPr>
                <w:rFonts w:hint="eastAsia" w:ascii="宋体" w:hAnsi="宋体" w:cs="Calibri"/>
                <w:szCs w:val="21"/>
              </w:rPr>
              <w:t>对中小企业、</w:t>
            </w:r>
            <w:r>
              <w:rPr>
                <w:rFonts w:hint="eastAsia" w:ascii="宋体" w:hAnsi="宋体"/>
                <w:szCs w:val="21"/>
              </w:rPr>
              <w:t>监</w:t>
            </w:r>
            <w:r>
              <w:rPr>
                <w:rFonts w:hint="eastAsia" w:ascii="宋体" w:hAnsi="宋体" w:cs="Calibri"/>
                <w:szCs w:val="21"/>
              </w:rPr>
              <w:t>狱企业、残疾人福利单位的价格扣除标准</w:t>
            </w:r>
          </w:p>
        </w:tc>
        <w:tc>
          <w:tcPr>
            <w:tcW w:w="7229" w:type="dxa"/>
            <w:vAlign w:val="center"/>
          </w:tcPr>
          <w:p w14:paraId="26FC215D">
            <w:pPr>
              <w:spacing w:before="96" w:beforeLines="40" w:after="96" w:afterLines="40" w:line="400" w:lineRule="exact"/>
              <w:rPr>
                <w:rFonts w:ascii="宋体" w:hAnsi="宋体"/>
                <w:szCs w:val="21"/>
              </w:rPr>
            </w:pPr>
            <w:r>
              <w:rPr>
                <w:rFonts w:hint="eastAsia" w:ascii="宋体" w:hAnsi="宋体"/>
                <w:szCs w:val="21"/>
              </w:rPr>
              <w:t>依据财政部、工业和信息化部《关于印发&lt;政府采购促进中小企业发展管理办法&gt;的通知》（财库〔2020〕46号）以及《进一步加大政府采购支持中小企业力度》（财库〔2022〕19号）有关规定：</w:t>
            </w:r>
          </w:p>
          <w:p w14:paraId="64B4DA91">
            <w:pPr>
              <w:pStyle w:val="21"/>
              <w:numPr>
                <w:ilvl w:val="0"/>
                <w:numId w:val="1"/>
              </w:numPr>
              <w:tabs>
                <w:tab w:val="left" w:pos="710"/>
              </w:tabs>
              <w:spacing w:before="2"/>
              <w:ind w:hanging="602"/>
              <w:rPr>
                <w:sz w:val="21"/>
                <w:szCs w:val="21"/>
              </w:rPr>
            </w:pPr>
            <w:r>
              <w:rPr>
                <w:sz w:val="21"/>
                <w:szCs w:val="21"/>
              </w:rPr>
              <w:t>小型和微型企业价格扣除：</w:t>
            </w:r>
            <w:r>
              <w:rPr>
                <w:rFonts w:hint="eastAsia"/>
                <w:sz w:val="21"/>
                <w:szCs w:val="21"/>
                <w:u w:val="single" w:color="FF0000"/>
                <w:lang w:val="en-US"/>
              </w:rPr>
              <w:t>10</w:t>
            </w:r>
            <w:r>
              <w:rPr>
                <w:sz w:val="21"/>
                <w:szCs w:val="21"/>
              </w:rPr>
              <w:t>%</w:t>
            </w:r>
          </w:p>
          <w:p w14:paraId="3FF302E1">
            <w:pPr>
              <w:pStyle w:val="21"/>
              <w:numPr>
                <w:ilvl w:val="0"/>
                <w:numId w:val="1"/>
              </w:numPr>
              <w:tabs>
                <w:tab w:val="left" w:pos="710"/>
              </w:tabs>
              <w:spacing w:before="158"/>
              <w:ind w:hanging="602"/>
              <w:rPr>
                <w:sz w:val="21"/>
                <w:szCs w:val="21"/>
              </w:rPr>
            </w:pPr>
            <w:r>
              <w:rPr>
                <w:sz w:val="21"/>
                <w:szCs w:val="21"/>
              </w:rPr>
              <w:t>监狱企业价格扣除：</w:t>
            </w:r>
            <w:r>
              <w:rPr>
                <w:sz w:val="21"/>
                <w:szCs w:val="21"/>
                <w:u w:val="single" w:color="FF0000"/>
              </w:rPr>
              <w:t>同小型和微型企业</w:t>
            </w:r>
            <w:r>
              <w:rPr>
                <w:sz w:val="21"/>
                <w:szCs w:val="21"/>
              </w:rPr>
              <w:t>。</w:t>
            </w:r>
          </w:p>
          <w:p w14:paraId="3EC63AD0">
            <w:pPr>
              <w:pStyle w:val="21"/>
              <w:numPr>
                <w:ilvl w:val="0"/>
                <w:numId w:val="1"/>
              </w:numPr>
              <w:tabs>
                <w:tab w:val="left" w:pos="710"/>
              </w:tabs>
              <w:spacing w:before="6" w:line="362" w:lineRule="auto"/>
              <w:ind w:right="96" w:hanging="602"/>
              <w:rPr>
                <w:sz w:val="21"/>
                <w:szCs w:val="21"/>
              </w:rPr>
            </w:pPr>
            <w:r>
              <w:rPr>
                <w:spacing w:val="2"/>
                <w:sz w:val="21"/>
                <w:szCs w:val="21"/>
              </w:rPr>
              <w:t>残疾人福利性单位价格扣除：</w:t>
            </w:r>
            <w:r>
              <w:rPr>
                <w:spacing w:val="1"/>
                <w:sz w:val="21"/>
                <w:szCs w:val="21"/>
                <w:u w:val="single" w:color="FF0000"/>
              </w:rPr>
              <w:t>同小型和微型</w:t>
            </w:r>
            <w:r>
              <w:rPr>
                <w:rFonts w:hint="eastAsia"/>
                <w:spacing w:val="1"/>
                <w:sz w:val="21"/>
                <w:szCs w:val="21"/>
                <w:u w:val="single" w:color="FF0000"/>
              </w:rPr>
              <w:t>企业</w:t>
            </w:r>
          </w:p>
          <w:p w14:paraId="59224D29">
            <w:pPr>
              <w:pStyle w:val="21"/>
              <w:numPr>
                <w:ilvl w:val="0"/>
                <w:numId w:val="1"/>
              </w:numPr>
              <w:tabs>
                <w:tab w:val="left" w:pos="710"/>
              </w:tabs>
              <w:spacing w:before="6"/>
              <w:ind w:hanging="602"/>
              <w:rPr>
                <w:i/>
                <w:sz w:val="21"/>
                <w:szCs w:val="21"/>
              </w:rPr>
            </w:pPr>
            <w:r>
              <w:rPr>
                <w:sz w:val="21"/>
                <w:szCs w:val="21"/>
              </w:rPr>
              <w:t>符合条件的联合体价格扣除</w:t>
            </w:r>
            <w:r>
              <w:rPr>
                <w:sz w:val="21"/>
                <w:szCs w:val="21"/>
                <w:u w:val="single" w:color="FF0000"/>
              </w:rPr>
              <w:t>：</w:t>
            </w:r>
            <w:r>
              <w:rPr>
                <w:rFonts w:hint="eastAsia"/>
                <w:sz w:val="21"/>
                <w:szCs w:val="21"/>
                <w:u w:val="single" w:color="FF0000"/>
                <w:lang w:val="en-US"/>
              </w:rPr>
              <w:t>/</w:t>
            </w:r>
            <w:r>
              <w:rPr>
                <w:sz w:val="21"/>
                <w:szCs w:val="21"/>
              </w:rPr>
              <w:t>%</w:t>
            </w:r>
          </w:p>
          <w:p w14:paraId="350B79FE">
            <w:pPr>
              <w:pStyle w:val="21"/>
              <w:numPr>
                <w:ilvl w:val="0"/>
                <w:numId w:val="1"/>
              </w:numPr>
              <w:tabs>
                <w:tab w:val="left" w:pos="723"/>
              </w:tabs>
              <w:spacing w:before="158"/>
              <w:ind w:left="722" w:hanging="615"/>
              <w:rPr>
                <w:i/>
                <w:sz w:val="21"/>
                <w:szCs w:val="21"/>
              </w:rPr>
            </w:pPr>
            <w:r>
              <w:rPr>
                <w:sz w:val="21"/>
                <w:szCs w:val="21"/>
              </w:rPr>
              <w:t>符合条件的向小微企业分包的大中型企业价格扣除：</w:t>
            </w:r>
            <w:r>
              <w:rPr>
                <w:rFonts w:hint="eastAsia"/>
                <w:sz w:val="21"/>
                <w:szCs w:val="21"/>
                <w:u w:val="single" w:color="FF0000"/>
                <w:lang w:val="en-US"/>
              </w:rPr>
              <w:t>/</w:t>
            </w:r>
            <w:r>
              <w:rPr>
                <w:sz w:val="21"/>
                <w:szCs w:val="21"/>
              </w:rPr>
              <w:t>%</w:t>
            </w:r>
            <w:r>
              <w:rPr>
                <w:w w:val="95"/>
                <w:sz w:val="21"/>
                <w:szCs w:val="21"/>
              </w:rPr>
              <w:t>。</w:t>
            </w:r>
          </w:p>
          <w:p w14:paraId="570C0F02">
            <w:pPr>
              <w:spacing w:before="96" w:beforeLines="40" w:after="96" w:afterLines="40" w:line="400" w:lineRule="exact"/>
              <w:rPr>
                <w:rFonts w:ascii="宋体" w:hAnsi="宋体"/>
                <w:szCs w:val="21"/>
              </w:rPr>
            </w:pPr>
            <w:r>
              <w:rPr>
                <w:rFonts w:hint="eastAsia" w:ascii="宋体" w:hAnsi="宋体"/>
                <w:szCs w:val="21"/>
              </w:rPr>
              <w:t>参加本次采购活动的中小企业应当在投标文件中提供有效的《中小企业声明函》，并对其真实性负责。</w:t>
            </w:r>
          </w:p>
          <w:p w14:paraId="039BFC6A">
            <w:pPr>
              <w:spacing w:before="96" w:beforeLines="40" w:after="96" w:afterLines="40" w:line="400" w:lineRule="exact"/>
              <w:rPr>
                <w:rFonts w:ascii="宋体" w:hAnsi="宋体"/>
                <w:b/>
                <w:szCs w:val="21"/>
              </w:rPr>
            </w:pPr>
            <w:r>
              <w:rPr>
                <w:rFonts w:hint="eastAsia" w:ascii="宋体" w:hAnsi="宋体"/>
                <w:szCs w:val="21"/>
              </w:rPr>
              <w:t>根据财政部司法部《关于政府采购支持监狱企业发展有关问题的通知》(财库〔2014〕68号)，监狱企业视同小型、微型企业，不重复享受价格扣除优惠政策。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宋体" w:hAnsi="宋体"/>
                <w:b/>
                <w:szCs w:val="21"/>
              </w:rPr>
              <w:t>监狱企业参加政府采购活动时，提供由省级以上监狱管理局、戒毒管理局(含新疆生产建设兵团)出具的属于监狱企业的证明文件扫描件，不再提供《中小微企业声明函》。</w:t>
            </w:r>
          </w:p>
          <w:p w14:paraId="49B4B1CA">
            <w:pPr>
              <w:spacing w:before="96" w:beforeLines="40" w:after="96" w:afterLines="40" w:line="400" w:lineRule="exact"/>
              <w:rPr>
                <w:rFonts w:ascii="宋体" w:hAnsi="宋体"/>
                <w:b/>
                <w:szCs w:val="21"/>
              </w:rPr>
            </w:pPr>
            <w:r>
              <w:rPr>
                <w:rFonts w:hint="eastAsia" w:ascii="宋体" w:hAnsi="宋体"/>
                <w:szCs w:val="21"/>
              </w:rPr>
              <w:t>根据《财政部民政部中国残疾人联合会关于促进残疾人就业政府釆购政策的通知》(财库〔2017〕141号)的规定，残疾人福利性单位视同小型、微型企业，残疾人福利性单位同为小型、微型企业的，不重复享受价格扣除优惠政策。</w:t>
            </w:r>
            <w:r>
              <w:rPr>
                <w:rFonts w:hint="eastAsia" w:ascii="宋体" w:hAnsi="宋体"/>
                <w:b/>
                <w:szCs w:val="21"/>
              </w:rPr>
              <w:t>残疾人福利性单位参加政府采购活动时，应当在投标文件中提供《残疾人福利性单位声明函》，不再提供《中小企业声明函》，并对其真实性负责。</w:t>
            </w:r>
          </w:p>
          <w:p w14:paraId="5D861D1E">
            <w:pPr>
              <w:widowControl/>
              <w:snapToGrid w:val="0"/>
              <w:spacing w:line="288" w:lineRule="auto"/>
              <w:jc w:val="left"/>
              <w:rPr>
                <w:szCs w:val="21"/>
                <w:lang w:bidi="en-US"/>
              </w:rPr>
            </w:pPr>
            <w:r>
              <w:rPr>
                <w:rFonts w:hint="eastAsia" w:ascii="宋体" w:hAnsi="宋体"/>
                <w:b/>
                <w:szCs w:val="21"/>
              </w:rPr>
              <w:t>注：如提供虚假材料，将取消中标资格并报相关部门按有关规定处理，并计入不良记录。</w:t>
            </w:r>
          </w:p>
        </w:tc>
      </w:tr>
      <w:tr w14:paraId="2391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11A9EBA8">
            <w:pPr>
              <w:widowControl/>
              <w:adjustRightInd w:val="0"/>
              <w:snapToGrid w:val="0"/>
              <w:spacing w:line="288" w:lineRule="auto"/>
              <w:jc w:val="center"/>
              <w:rPr>
                <w:rFonts w:ascii="宋体" w:hAnsi="宋体" w:cs="Calibri"/>
                <w:b/>
                <w:szCs w:val="21"/>
              </w:rPr>
            </w:pPr>
            <w:r>
              <w:rPr>
                <w:rFonts w:hint="eastAsia" w:ascii="宋体" w:hAnsi="宋体" w:cs="Calibri"/>
                <w:szCs w:val="21"/>
              </w:rPr>
              <w:t>11.2.3</w:t>
            </w:r>
          </w:p>
        </w:tc>
        <w:tc>
          <w:tcPr>
            <w:tcW w:w="1581" w:type="dxa"/>
          </w:tcPr>
          <w:p w14:paraId="7A0E2887"/>
          <w:p w14:paraId="2716B7D8">
            <w:r>
              <w:rPr>
                <w:rFonts w:hint="eastAsia"/>
              </w:rPr>
              <w:t>是否允许大中型企业向小微企业</w:t>
            </w:r>
          </w:p>
          <w:p w14:paraId="34A468BB">
            <w:r>
              <w:rPr>
                <w:rFonts w:hint="eastAsia"/>
              </w:rPr>
              <w:t>分包</w:t>
            </w:r>
          </w:p>
          <w:p w14:paraId="13915843"/>
        </w:tc>
        <w:tc>
          <w:tcPr>
            <w:tcW w:w="7229" w:type="dxa"/>
          </w:tcPr>
          <w:p w14:paraId="523151D3"/>
          <w:p w14:paraId="21C9F8FE">
            <w:pPr>
              <w:ind w:firstLine="105" w:firstLineChars="50"/>
            </w:pPr>
            <w:r>
              <w:rPr>
                <w:rFonts w:hint="eastAsia"/>
              </w:rPr>
              <w:t>□是</w:t>
            </w:r>
          </w:p>
          <w:p w14:paraId="6FE7974B"/>
          <w:p w14:paraId="58821659">
            <w:r>
              <w:rPr>
                <w:rFonts w:hint="eastAsia"/>
              </w:rPr>
              <w:t>☑否</w:t>
            </w:r>
          </w:p>
        </w:tc>
      </w:tr>
      <w:tr w14:paraId="5A6F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72CAA220">
            <w:pPr>
              <w:widowControl/>
              <w:adjustRightInd w:val="0"/>
              <w:snapToGrid w:val="0"/>
              <w:spacing w:line="288" w:lineRule="auto"/>
              <w:jc w:val="center"/>
              <w:rPr>
                <w:rFonts w:ascii="宋体" w:hAnsi="宋体" w:cs="Calibri"/>
                <w:b/>
                <w:szCs w:val="21"/>
              </w:rPr>
            </w:pPr>
            <w:r>
              <w:rPr>
                <w:rFonts w:hint="eastAsia" w:ascii="宋体" w:hAnsi="宋体" w:cs="Calibri"/>
                <w:b/>
                <w:szCs w:val="21"/>
              </w:rPr>
              <w:t>12</w:t>
            </w:r>
          </w:p>
        </w:tc>
        <w:tc>
          <w:tcPr>
            <w:tcW w:w="1581" w:type="dxa"/>
            <w:vAlign w:val="center"/>
          </w:tcPr>
          <w:p w14:paraId="1B869504">
            <w:pPr>
              <w:widowControl/>
              <w:adjustRightInd w:val="0"/>
              <w:snapToGrid w:val="0"/>
              <w:spacing w:line="288" w:lineRule="auto"/>
              <w:jc w:val="center"/>
              <w:rPr>
                <w:rFonts w:ascii="宋体" w:hAnsi="宋体" w:cs="Calibri"/>
                <w:b/>
                <w:szCs w:val="21"/>
              </w:rPr>
            </w:pPr>
          </w:p>
        </w:tc>
        <w:tc>
          <w:tcPr>
            <w:tcW w:w="7229" w:type="dxa"/>
            <w:vAlign w:val="center"/>
          </w:tcPr>
          <w:p w14:paraId="14C7855A">
            <w:pPr>
              <w:widowControl/>
              <w:adjustRightInd w:val="0"/>
              <w:snapToGrid w:val="0"/>
              <w:spacing w:line="288" w:lineRule="auto"/>
              <w:jc w:val="center"/>
              <w:rPr>
                <w:rFonts w:ascii="宋体" w:hAnsi="宋体"/>
                <w:b/>
                <w:szCs w:val="21"/>
              </w:rPr>
            </w:pPr>
            <w:r>
              <w:rPr>
                <w:rFonts w:hint="eastAsia" w:ascii="宋体" w:hAnsi="宋体" w:cs="Calibri"/>
                <w:b/>
                <w:szCs w:val="21"/>
              </w:rPr>
              <w:t>需要补充的其他内容</w:t>
            </w:r>
          </w:p>
        </w:tc>
      </w:tr>
      <w:tr w14:paraId="2F1D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66455A15">
            <w:pPr>
              <w:widowControl/>
              <w:adjustRightInd w:val="0"/>
              <w:snapToGrid w:val="0"/>
              <w:jc w:val="center"/>
              <w:rPr>
                <w:rFonts w:ascii="宋体" w:hAnsi="宋体" w:cs="Calibri"/>
                <w:szCs w:val="21"/>
              </w:rPr>
            </w:pPr>
            <w:r>
              <w:rPr>
                <w:rFonts w:hint="eastAsia" w:ascii="宋体" w:hAnsi="宋体" w:cs="Calibri"/>
                <w:szCs w:val="21"/>
              </w:rPr>
              <w:t>12.1</w:t>
            </w:r>
          </w:p>
        </w:tc>
        <w:tc>
          <w:tcPr>
            <w:tcW w:w="1581" w:type="dxa"/>
            <w:vAlign w:val="center"/>
          </w:tcPr>
          <w:p w14:paraId="29246EC1">
            <w:pPr>
              <w:jc w:val="center"/>
              <w:rPr>
                <w:rFonts w:ascii="宋体" w:hAnsi="宋体"/>
                <w:szCs w:val="21"/>
              </w:rPr>
            </w:pPr>
            <w:r>
              <w:rPr>
                <w:rFonts w:hint="eastAsia"/>
              </w:rPr>
              <w:t>原则规定与定义</w:t>
            </w:r>
          </w:p>
        </w:tc>
        <w:tc>
          <w:tcPr>
            <w:tcW w:w="7229" w:type="dxa"/>
            <w:vAlign w:val="center"/>
          </w:tcPr>
          <w:p w14:paraId="58164FA1">
            <w:pPr>
              <w:spacing w:before="96" w:beforeLines="40" w:after="96" w:afterLines="40" w:line="400" w:lineRule="exact"/>
            </w:pPr>
            <w:r>
              <w:rPr>
                <w:rFonts w:hint="eastAsia"/>
              </w:rPr>
              <w:t>（1）投标供应商</w:t>
            </w:r>
            <w:r>
              <w:t>须知前附表是对</w:t>
            </w:r>
            <w:r>
              <w:rPr>
                <w:rFonts w:hint="eastAsia"/>
              </w:rPr>
              <w:t>投标供应商</w:t>
            </w:r>
            <w:r>
              <w:t>须知正文部分对应条款的补充、细化，</w:t>
            </w:r>
            <w:r>
              <w:rPr>
                <w:rFonts w:hint="eastAsia"/>
              </w:rPr>
              <w:t>投标供应商</w:t>
            </w:r>
            <w:r>
              <w:t>阅读时应与正文部分一并阅读，</w:t>
            </w:r>
            <w:r>
              <w:rPr>
                <w:rFonts w:hint="eastAsia"/>
              </w:rPr>
              <w:t>投标供应商</w:t>
            </w:r>
            <w:r>
              <w:t>须知前附表与正文部分不一致处，应以</w:t>
            </w:r>
            <w:r>
              <w:rPr>
                <w:rFonts w:hint="eastAsia"/>
              </w:rPr>
              <w:t>投标供应商</w:t>
            </w:r>
            <w:r>
              <w:t>须知前附表为准。</w:t>
            </w:r>
          </w:p>
          <w:p w14:paraId="7C8FDD50">
            <w:pPr>
              <w:spacing w:before="96" w:beforeLines="40" w:after="96" w:afterLines="40" w:line="400" w:lineRule="exact"/>
            </w:pPr>
            <w:r>
              <w:rPr>
                <w:rFonts w:hint="eastAsia"/>
              </w:rPr>
              <w:t>（2）</w:t>
            </w:r>
            <w:r>
              <w:t>“</w:t>
            </w:r>
            <w:r>
              <w:rPr/>
              <w:sym w:font="Wingdings" w:char="F0FE"/>
            </w:r>
            <w:r>
              <w:t>”符号表示本招标文件选定的内容；“</w:t>
            </w:r>
            <w:r>
              <w:rPr>
                <w:rFonts w:hint="eastAsia"/>
              </w:rPr>
              <w:t>□</w:t>
            </w:r>
            <w:r>
              <w:t>”符号表示本招标文件未选定的内容；空格中的“/”表示没有具体内容。投标供应商投标时请按“</w:t>
            </w:r>
            <w:r>
              <w:rPr/>
              <w:sym w:font="Wingdings" w:char="F0FE"/>
            </w:r>
            <w:r>
              <w:t>符号”选定的内容和要求参加投标。</w:t>
            </w:r>
          </w:p>
          <w:p w14:paraId="6A317E9D">
            <w:pPr>
              <w:spacing w:before="96" w:beforeLines="40" w:after="96" w:afterLines="40" w:line="400" w:lineRule="exact"/>
              <w:rPr>
                <w:rFonts w:ascii="宋体" w:hAnsi="宋体"/>
                <w:szCs w:val="21"/>
              </w:rPr>
            </w:pPr>
            <w:r>
              <w:rPr>
                <w:rFonts w:hint="eastAsia"/>
              </w:rPr>
              <w:t>（3）与合同履行有关条款中注明的“甲方”、“买方”，在招标投标阶段按“采购人”理解；注明的“乙方”、“卖方”，按“投标供应商”理解。</w:t>
            </w:r>
          </w:p>
        </w:tc>
      </w:tr>
      <w:tr w14:paraId="4F07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647D58E2">
            <w:pPr>
              <w:widowControl/>
              <w:adjustRightInd w:val="0"/>
              <w:snapToGrid w:val="0"/>
              <w:jc w:val="center"/>
              <w:rPr>
                <w:rFonts w:ascii="宋体" w:hAnsi="宋体" w:cs="Calibri"/>
                <w:szCs w:val="21"/>
              </w:rPr>
            </w:pPr>
            <w:r>
              <w:rPr>
                <w:rFonts w:hint="eastAsia" w:ascii="宋体" w:hAnsi="宋体" w:cs="Calibri"/>
                <w:szCs w:val="21"/>
              </w:rPr>
              <w:t>12.2</w:t>
            </w:r>
          </w:p>
        </w:tc>
        <w:tc>
          <w:tcPr>
            <w:tcW w:w="1581" w:type="dxa"/>
            <w:vAlign w:val="center"/>
          </w:tcPr>
          <w:p w14:paraId="722B69FB">
            <w:pPr>
              <w:jc w:val="center"/>
              <w:rPr>
                <w:rFonts w:ascii="宋体" w:hAnsi="宋体" w:cs="Calibri"/>
                <w:szCs w:val="21"/>
              </w:rPr>
            </w:pPr>
            <w:r>
              <w:rPr>
                <w:rFonts w:hint="eastAsia" w:cs="Calibri"/>
              </w:rPr>
              <w:t>招标文件的解释</w:t>
            </w:r>
          </w:p>
        </w:tc>
        <w:tc>
          <w:tcPr>
            <w:tcW w:w="7229" w:type="dxa"/>
          </w:tcPr>
          <w:p w14:paraId="120E9B25">
            <w:pPr>
              <w:spacing w:before="96" w:beforeLines="40" w:after="96" w:afterLines="40" w:line="400" w:lineRule="exact"/>
            </w:pPr>
            <w:r>
              <w:t>构成本招标文件的各个组成文件应互为解释，互为说明；</w:t>
            </w:r>
          </w:p>
          <w:p w14:paraId="44AF0C2F">
            <w:pPr>
              <w:spacing w:before="96" w:beforeLines="40" w:after="96" w:afterLines="40" w:line="400" w:lineRule="exact"/>
            </w:pPr>
            <w:r>
              <w:t>除招标文件中有特别规定外，仅适用于招标投标阶段的规定，按</w:t>
            </w:r>
            <w:r>
              <w:rPr>
                <w:rFonts w:hint="eastAsia"/>
              </w:rPr>
              <w:t>下列组成文件：</w:t>
            </w:r>
            <w:r>
              <w:t>招标公告（投标邀请书）、</w:t>
            </w:r>
            <w:r>
              <w:rPr>
                <w:rFonts w:hint="eastAsia"/>
              </w:rPr>
              <w:t>投标供应商须知前附表、</w:t>
            </w:r>
            <w:r>
              <w:t>投标</w:t>
            </w:r>
            <w:r>
              <w:rPr>
                <w:rFonts w:hint="eastAsia"/>
              </w:rPr>
              <w:t>供应商</w:t>
            </w:r>
            <w:r>
              <w:t>须知、评标办法、投标文件格式的先后顺序解释；</w:t>
            </w:r>
          </w:p>
          <w:p w14:paraId="0045A74A">
            <w:pPr>
              <w:spacing w:before="96" w:beforeLines="40" w:after="96" w:afterLines="40" w:line="400" w:lineRule="exact"/>
            </w:pPr>
            <w:r>
              <w:t>同一组成文件中就同一事项的规定或约定不一致的，以编排顺序在后者为准；同一组成文件不同版本之间有不一致的，以形成时间在后者为准。</w:t>
            </w:r>
          </w:p>
          <w:p w14:paraId="19E4BE5E">
            <w:pPr>
              <w:spacing w:before="96" w:beforeLines="40" w:after="96" w:afterLines="40" w:line="400" w:lineRule="exact"/>
              <w:rPr>
                <w:rFonts w:ascii="宋体" w:hAnsi="宋体"/>
                <w:szCs w:val="21"/>
              </w:rPr>
            </w:pPr>
            <w:r>
              <w:t>按本款前述规定仍不能形成结论的，由招标人或招标代理机构负责解释。</w:t>
            </w:r>
          </w:p>
        </w:tc>
      </w:tr>
      <w:tr w14:paraId="5AA8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10D667E1">
            <w:pPr>
              <w:widowControl/>
              <w:adjustRightInd w:val="0"/>
              <w:snapToGrid w:val="0"/>
              <w:jc w:val="center"/>
              <w:rPr>
                <w:rFonts w:ascii="宋体" w:hAnsi="宋体" w:cs="Calibri"/>
                <w:szCs w:val="21"/>
              </w:rPr>
            </w:pPr>
            <w:r>
              <w:rPr>
                <w:rFonts w:hint="eastAsia" w:ascii="宋体" w:hAnsi="宋体" w:cs="Calibri"/>
                <w:szCs w:val="21"/>
              </w:rPr>
              <w:t>12.3</w:t>
            </w:r>
          </w:p>
        </w:tc>
        <w:tc>
          <w:tcPr>
            <w:tcW w:w="1581" w:type="dxa"/>
            <w:vAlign w:val="center"/>
          </w:tcPr>
          <w:p w14:paraId="5C35080F">
            <w:pPr>
              <w:jc w:val="center"/>
              <w:rPr>
                <w:rFonts w:ascii="宋体" w:hAnsi="宋体" w:cs="Calibri"/>
                <w:szCs w:val="21"/>
              </w:rPr>
            </w:pPr>
            <w:r>
              <w:rPr>
                <w:rFonts w:hint="eastAsia" w:cs="Calibri"/>
              </w:rPr>
              <w:t>知识产权</w:t>
            </w:r>
          </w:p>
        </w:tc>
        <w:tc>
          <w:tcPr>
            <w:tcW w:w="7229" w:type="dxa"/>
          </w:tcPr>
          <w:p w14:paraId="5556E52E">
            <w:pPr>
              <w:spacing w:before="96" w:beforeLines="40" w:after="96" w:afterLines="40" w:line="400" w:lineRule="exact"/>
            </w:pPr>
            <w:r>
              <w:rPr>
                <w:rFonts w:hint="eastAsia"/>
              </w:rPr>
              <w:t>（1）构成本招标文件各个组成部分的文件，未经采购人书面同意，投标供应商不得擅自复印和用于非本招标项目所需的其他目的。</w:t>
            </w:r>
            <w:r>
              <w:t>如因此导致</w:t>
            </w:r>
            <w:r>
              <w:rPr>
                <w:rFonts w:hint="eastAsia"/>
              </w:rPr>
              <w:t>采购人</w:t>
            </w:r>
            <w:r>
              <w:t>损失的，投标供应商须承担全部赔偿责任。</w:t>
            </w:r>
          </w:p>
          <w:p w14:paraId="792F8386">
            <w:pPr>
              <w:spacing w:before="96" w:beforeLines="40" w:after="96" w:afterLines="40" w:line="400" w:lineRule="exact"/>
            </w:pPr>
            <w:r>
              <w:rPr>
                <w:rFonts w:hint="eastAsia"/>
              </w:rPr>
              <w:t>（2）投标供应商需保证：采购人</w:t>
            </w:r>
            <w:r>
              <w:t>在中华人民共和国境内使用</w:t>
            </w:r>
            <w:r>
              <w:rPr>
                <w:rFonts w:hint="eastAsia"/>
              </w:rPr>
              <w:t>中</w:t>
            </w:r>
            <w:r>
              <w:t>标货物</w:t>
            </w:r>
            <w:r>
              <w:rPr>
                <w:rFonts w:hint="eastAsia"/>
              </w:rPr>
              <w:t>（服务）</w:t>
            </w:r>
            <w:r>
              <w:t>、资料、技术、服务或其任何一部分时</w:t>
            </w:r>
            <w:r>
              <w:rPr>
                <w:rFonts w:hint="eastAsia"/>
              </w:rPr>
              <w:t>，履行合同义务后</w:t>
            </w:r>
            <w:r>
              <w:t>，享有不受限制的无偿使用权，不会产生因第三方提出侵犯其专利权、商标权或其它知识产权而引起的法律或经济纠纷。如投标供应商不拥有相应的知识产权，则在投标报价中必须包括合法获取该知识产权的一切相关费用。如因此导致</w:t>
            </w:r>
            <w:r>
              <w:rPr>
                <w:rFonts w:hint="eastAsia"/>
              </w:rPr>
              <w:t>采购人</w:t>
            </w:r>
            <w:r>
              <w:t>损失的，投标供应商须承担全部赔偿责任（</w:t>
            </w:r>
            <w:r>
              <w:rPr>
                <w:rFonts w:hint="eastAsia"/>
              </w:rPr>
              <w:t>承诺函格式详见投标文件格式相关内容）</w:t>
            </w:r>
            <w:r>
              <w:t>。</w:t>
            </w:r>
          </w:p>
        </w:tc>
      </w:tr>
      <w:bookmarkEnd w:id="56"/>
      <w:bookmarkEnd w:id="57"/>
      <w:bookmarkEnd w:id="58"/>
      <w:bookmarkEnd w:id="59"/>
      <w:tr w14:paraId="53AD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299ABFA2">
            <w:pPr>
              <w:widowControl/>
              <w:adjustRightInd w:val="0"/>
              <w:snapToGrid w:val="0"/>
              <w:jc w:val="center"/>
              <w:rPr>
                <w:rFonts w:ascii="宋体" w:hAnsi="宋体" w:cs="Calibri"/>
                <w:szCs w:val="21"/>
              </w:rPr>
            </w:pPr>
            <w:r>
              <w:rPr>
                <w:rFonts w:hint="eastAsia" w:ascii="宋体" w:hAnsi="宋体" w:cs="Calibri"/>
                <w:szCs w:val="21"/>
              </w:rPr>
              <w:t>12.4</w:t>
            </w:r>
          </w:p>
        </w:tc>
        <w:tc>
          <w:tcPr>
            <w:tcW w:w="1581" w:type="dxa"/>
            <w:vAlign w:val="center"/>
          </w:tcPr>
          <w:p w14:paraId="268595A9">
            <w:pPr>
              <w:jc w:val="center"/>
              <w:rPr>
                <w:rFonts w:ascii="宋体" w:hAnsi="宋体" w:cs="Calibri"/>
                <w:szCs w:val="21"/>
              </w:rPr>
            </w:pPr>
            <w:r>
              <w:rPr>
                <w:rFonts w:hint="eastAsia" w:cs="Calibri"/>
                <w:b/>
                <w:bCs/>
              </w:rPr>
              <w:t>特别提醒</w:t>
            </w:r>
          </w:p>
        </w:tc>
        <w:tc>
          <w:tcPr>
            <w:tcW w:w="7229" w:type="dxa"/>
            <w:vAlign w:val="center"/>
          </w:tcPr>
          <w:p w14:paraId="2D0D3FBB">
            <w:pPr>
              <w:spacing w:before="96" w:beforeLines="40" w:after="96" w:afterLines="40" w:line="400" w:lineRule="exact"/>
            </w:pPr>
            <w:r>
              <w:rPr>
                <w:rFonts w:hint="eastAsia"/>
              </w:rPr>
              <w:t>（1）本项目评审时将查询生成投标文件的硬件信息，如不同投标文件的硬件信息异常一致，相关投标将被认定为投标无效，并报政府采购监督管理部门处理。</w:t>
            </w:r>
          </w:p>
          <w:p w14:paraId="6C53CC73">
            <w:pPr>
              <w:spacing w:before="96" w:beforeLines="40" w:after="96" w:afterLines="40" w:line="400" w:lineRule="exact"/>
            </w:pPr>
            <w:r>
              <w:rPr>
                <w:rFonts w:hint="eastAsia"/>
              </w:rPr>
              <w:t>（2）因电子服务系统或电子交易系统出现软件设计或功能缺陷、运行异常等情况，影响政府采购活动正常进行的，政府采购各方当事人免责。</w:t>
            </w:r>
          </w:p>
          <w:p w14:paraId="3BD411EA">
            <w:pPr>
              <w:pStyle w:val="3"/>
              <w:spacing w:before="96" w:beforeLines="40" w:after="96" w:afterLines="40" w:line="400" w:lineRule="exact"/>
              <w:rPr>
                <w:rFonts w:ascii="宋体" w:hAnsi="宋体"/>
                <w:szCs w:val="21"/>
              </w:rPr>
            </w:pPr>
            <w:r>
              <w:rPr>
                <w:rFonts w:hint="eastAsia" w:ascii="Times New Roman" w:hAnsi="Times New Roman"/>
                <w:sz w:val="21"/>
                <w:szCs w:val="22"/>
              </w:rPr>
              <w:t>（3）投标人在“安天e采”电子系统中填写诸如“开标记录”等内容后应仔细核对其与投标文件内容的一致性；当“安天e采”电子系统中填写内容与电子投标文件中内容不一致时，以系统中提交的投标文件中载明的内容为准。</w:t>
            </w:r>
          </w:p>
        </w:tc>
      </w:tr>
      <w:tr w14:paraId="5866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Merge w:val="restart"/>
            <w:vAlign w:val="center"/>
          </w:tcPr>
          <w:p w14:paraId="6B210E57">
            <w:pPr>
              <w:widowControl/>
              <w:adjustRightInd w:val="0"/>
              <w:snapToGrid w:val="0"/>
              <w:jc w:val="center"/>
              <w:rPr>
                <w:rFonts w:ascii="宋体" w:hAnsi="宋体" w:cs="Calibri"/>
                <w:szCs w:val="21"/>
              </w:rPr>
            </w:pPr>
            <w:r>
              <w:rPr>
                <w:rFonts w:hint="eastAsia" w:ascii="宋体" w:hAnsi="宋体" w:cs="Calibri"/>
                <w:szCs w:val="21"/>
              </w:rPr>
              <w:t>12.5</w:t>
            </w:r>
          </w:p>
        </w:tc>
        <w:tc>
          <w:tcPr>
            <w:tcW w:w="1581" w:type="dxa"/>
            <w:vAlign w:val="center"/>
          </w:tcPr>
          <w:p w14:paraId="73CBD497">
            <w:pPr>
              <w:jc w:val="center"/>
              <w:rPr>
                <w:rFonts w:ascii="宋体" w:hAnsi="宋体" w:cs="Calibri"/>
                <w:szCs w:val="21"/>
              </w:rPr>
            </w:pPr>
            <w:r>
              <w:rPr>
                <w:rFonts w:hint="eastAsia" w:cs="Calibri"/>
              </w:rPr>
              <w:t>评标办法的确定</w:t>
            </w:r>
          </w:p>
        </w:tc>
        <w:tc>
          <w:tcPr>
            <w:tcW w:w="7229" w:type="dxa"/>
          </w:tcPr>
          <w:p w14:paraId="230B57D8">
            <w:pPr>
              <w:spacing w:before="96" w:beforeLines="40" w:after="96" w:afterLines="40" w:line="400" w:lineRule="exact"/>
              <w:rPr>
                <w:b/>
              </w:rPr>
            </w:pPr>
            <w:r>
              <w:rPr>
                <w:rFonts w:hint="eastAsia"/>
              </w:rPr>
              <w:t>本项目采用：</w:t>
            </w:r>
            <w:r>
              <w:rPr>
                <w:rFonts w:hint="eastAsia"/>
                <w:b/>
              </w:rPr>
              <w:t>综合评分法☑</w:t>
            </w:r>
          </w:p>
          <w:p w14:paraId="6EDF5FDB">
            <w:pPr>
              <w:spacing w:before="96" w:beforeLines="40" w:after="96" w:afterLines="40" w:line="400" w:lineRule="exact"/>
              <w:rPr>
                <w:rFonts w:ascii="宋体" w:hAnsi="宋体" w:cs="Calibri"/>
                <w:szCs w:val="21"/>
              </w:rPr>
            </w:pPr>
            <w:r>
              <w:rPr>
                <w:rFonts w:hint="eastAsia"/>
                <w:b/>
              </w:rPr>
              <w:t>最低评标价法□</w:t>
            </w:r>
          </w:p>
        </w:tc>
      </w:tr>
      <w:tr w14:paraId="6D74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Merge w:val="continue"/>
            <w:vAlign w:val="center"/>
          </w:tcPr>
          <w:p w14:paraId="0C221291">
            <w:pPr>
              <w:widowControl/>
              <w:adjustRightInd w:val="0"/>
              <w:snapToGrid w:val="0"/>
              <w:jc w:val="center"/>
              <w:rPr>
                <w:rFonts w:ascii="宋体" w:hAnsi="宋体" w:cs="Calibri"/>
                <w:szCs w:val="21"/>
              </w:rPr>
            </w:pPr>
          </w:p>
        </w:tc>
        <w:tc>
          <w:tcPr>
            <w:tcW w:w="1581" w:type="dxa"/>
            <w:vAlign w:val="center"/>
          </w:tcPr>
          <w:p w14:paraId="16F7A742">
            <w:pPr>
              <w:jc w:val="center"/>
              <w:rPr>
                <w:rFonts w:ascii="宋体" w:hAnsi="宋体" w:cs="Calibri"/>
                <w:szCs w:val="21"/>
              </w:rPr>
            </w:pPr>
            <w:r>
              <w:rPr>
                <w:rFonts w:hint="eastAsia" w:cs="Calibri"/>
              </w:rPr>
              <w:t>政府采购监管部门</w:t>
            </w:r>
          </w:p>
        </w:tc>
        <w:tc>
          <w:tcPr>
            <w:tcW w:w="7229" w:type="dxa"/>
          </w:tcPr>
          <w:p w14:paraId="621F06AD">
            <w:pPr>
              <w:spacing w:before="96" w:beforeLines="40" w:after="96" w:afterLines="40" w:line="400" w:lineRule="exact"/>
              <w:rPr>
                <w:szCs w:val="21"/>
              </w:rPr>
            </w:pPr>
            <w:r>
              <w:rPr>
                <w:rFonts w:hint="eastAsia"/>
              </w:rPr>
              <w:t>本项目的监管部门是：安徽省财政厅</w:t>
            </w:r>
          </w:p>
        </w:tc>
      </w:tr>
      <w:tr w14:paraId="615A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Merge w:val="continue"/>
            <w:vAlign w:val="center"/>
          </w:tcPr>
          <w:p w14:paraId="697DA931">
            <w:pPr>
              <w:widowControl/>
              <w:adjustRightInd w:val="0"/>
              <w:snapToGrid w:val="0"/>
              <w:jc w:val="center"/>
              <w:rPr>
                <w:rFonts w:ascii="宋体" w:hAnsi="宋体" w:cs="Calibri"/>
                <w:szCs w:val="21"/>
              </w:rPr>
            </w:pPr>
          </w:p>
        </w:tc>
        <w:tc>
          <w:tcPr>
            <w:tcW w:w="1581" w:type="dxa"/>
            <w:vAlign w:val="center"/>
          </w:tcPr>
          <w:p w14:paraId="64F244A1">
            <w:pPr>
              <w:widowControl/>
              <w:adjustRightInd w:val="0"/>
              <w:snapToGrid w:val="0"/>
              <w:spacing w:line="288" w:lineRule="auto"/>
              <w:jc w:val="center"/>
              <w:rPr>
                <w:szCs w:val="21"/>
              </w:rPr>
            </w:pPr>
            <w:r>
              <w:rPr>
                <w:rFonts w:hint="eastAsia"/>
                <w:szCs w:val="21"/>
              </w:rPr>
              <w:t>其他内容</w:t>
            </w:r>
          </w:p>
        </w:tc>
        <w:tc>
          <w:tcPr>
            <w:tcW w:w="7229" w:type="dxa"/>
          </w:tcPr>
          <w:p w14:paraId="14D6444E">
            <w:pPr>
              <w:widowControl/>
              <w:adjustRightInd w:val="0"/>
              <w:snapToGrid w:val="0"/>
              <w:spacing w:line="288" w:lineRule="auto"/>
              <w:rPr>
                <w:szCs w:val="21"/>
              </w:rPr>
            </w:pPr>
            <w:r>
              <w:rPr>
                <w:rFonts w:hint="eastAsia"/>
                <w:szCs w:val="21"/>
              </w:rPr>
              <w:t>1、“政采贷”融资指引：有融资需求的中</w:t>
            </w:r>
            <w:r>
              <w:rPr>
                <w:szCs w:val="21"/>
              </w:rPr>
              <w:t>标人</w:t>
            </w:r>
            <w:r>
              <w:rPr>
                <w:rFonts w:hint="eastAsia"/>
                <w:szCs w:val="21"/>
              </w:rPr>
              <w:t>在取得政府采购中标或成交通知书后，可访问安徽省政府采购网“政采贷”栏目，查看和联系第三方平台或者金融机构，商洽融资事项，确定融资意向。中</w:t>
            </w:r>
            <w:r>
              <w:rPr>
                <w:szCs w:val="21"/>
              </w:rPr>
              <w:t>标人</w:t>
            </w:r>
            <w:r>
              <w:rPr>
                <w:rFonts w:hint="eastAsia"/>
                <w:szCs w:val="21"/>
              </w:rPr>
              <w:t>签署政府采购中标（成交）合同后，登录“徽采云”金融服务模块，选择意向产品进行申请，并填写相关信息，“徽采云”金融服务模块将中</w:t>
            </w:r>
            <w:r>
              <w:rPr>
                <w:szCs w:val="21"/>
              </w:rPr>
              <w:t>标人</w:t>
            </w:r>
            <w:r>
              <w:rPr>
                <w:rFonts w:hint="eastAsia"/>
                <w:szCs w:val="21"/>
              </w:rPr>
              <w:t>融资申请信息推送第三方平台、意向金融机构。</w:t>
            </w:r>
          </w:p>
          <w:p w14:paraId="18322B7B">
            <w:pPr>
              <w:widowControl/>
              <w:adjustRightInd w:val="0"/>
              <w:snapToGrid w:val="0"/>
              <w:spacing w:line="288" w:lineRule="auto"/>
              <w:rPr>
                <w:szCs w:val="21"/>
              </w:rPr>
            </w:pPr>
            <w:r>
              <w:rPr>
                <w:rFonts w:hint="eastAsia"/>
                <w:szCs w:val="21"/>
              </w:rPr>
              <w:t>2、电子保函指引：中标人可访问安徽省政府采购网“融资/保函”栏目，申请办理电子保函（包括：履约保函、预付款保函）。</w:t>
            </w:r>
          </w:p>
        </w:tc>
      </w:tr>
      <w:tr w14:paraId="32F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vAlign w:val="center"/>
          </w:tcPr>
          <w:p w14:paraId="5CA328DE">
            <w:pPr>
              <w:widowControl/>
              <w:adjustRightInd w:val="0"/>
              <w:snapToGrid w:val="0"/>
              <w:jc w:val="center"/>
              <w:rPr>
                <w:rFonts w:ascii="宋体" w:hAnsi="宋体" w:cs="Calibri"/>
                <w:szCs w:val="21"/>
              </w:rPr>
            </w:pPr>
            <w:bookmarkStart w:id="64" w:name="_Toc144974497"/>
            <w:bookmarkStart w:id="65" w:name="_Toc342297618"/>
            <w:bookmarkStart w:id="66" w:name="_Toc455587032"/>
            <w:bookmarkStart w:id="67" w:name="_Toc455587216"/>
            <w:bookmarkStart w:id="68" w:name="_Toc333599658"/>
            <w:bookmarkStart w:id="69" w:name="_Toc333600682"/>
            <w:bookmarkStart w:id="70" w:name="_Toc338944604"/>
            <w:bookmarkStart w:id="71" w:name="_Toc338943699"/>
            <w:bookmarkStart w:id="72" w:name="_Toc342294713"/>
            <w:bookmarkStart w:id="73" w:name="_Toc445554688"/>
            <w:bookmarkStart w:id="74" w:name="_Toc152045529"/>
            <w:bookmarkStart w:id="75" w:name="_Toc152042305"/>
            <w:bookmarkStart w:id="76" w:name="_Toc342296161"/>
            <w:bookmarkStart w:id="77" w:name="_Toc458504818"/>
            <w:bookmarkStart w:id="78" w:name="_Toc371415920"/>
            <w:bookmarkStart w:id="79" w:name="_Toc179632546"/>
            <w:bookmarkStart w:id="80" w:name="_Toc466024500"/>
            <w:r>
              <w:rPr>
                <w:rFonts w:hint="eastAsia" w:ascii="宋体" w:hAnsi="宋体" w:cs="Calibri"/>
                <w:szCs w:val="21"/>
              </w:rPr>
              <w:t>13</w:t>
            </w:r>
          </w:p>
        </w:tc>
        <w:tc>
          <w:tcPr>
            <w:tcW w:w="1581" w:type="dxa"/>
            <w:vAlign w:val="center"/>
          </w:tcPr>
          <w:p w14:paraId="187B41C5">
            <w:pPr>
              <w:widowControl/>
              <w:adjustRightInd w:val="0"/>
              <w:snapToGrid w:val="0"/>
              <w:spacing w:line="288" w:lineRule="auto"/>
              <w:jc w:val="center"/>
              <w:rPr>
                <w:rFonts w:ascii="宋体" w:hAnsi="宋体" w:cs="宋体"/>
                <w:sz w:val="20"/>
                <w:szCs w:val="20"/>
              </w:rPr>
            </w:pPr>
            <w:r>
              <w:rPr>
                <w:rFonts w:hint="eastAsia" w:ascii="宋体" w:hAnsi="宋体" w:cs="宋体"/>
                <w:sz w:val="22"/>
                <w:szCs w:val="22"/>
              </w:rPr>
              <w:t>样品</w:t>
            </w:r>
          </w:p>
        </w:tc>
        <w:tc>
          <w:tcPr>
            <w:tcW w:w="7229" w:type="dxa"/>
            <w:vAlign w:val="center"/>
          </w:tcPr>
          <w:p w14:paraId="0BC536D7">
            <w:pPr>
              <w:widowControl/>
              <w:adjustRightInd w:val="0"/>
              <w:snapToGrid w:val="0"/>
              <w:spacing w:line="288" w:lineRule="auto"/>
              <w:rPr>
                <w:rFonts w:ascii="宋体" w:hAnsi="宋体" w:cs="宋体"/>
                <w:b/>
                <w:bCs/>
                <w:sz w:val="22"/>
                <w:szCs w:val="22"/>
              </w:rPr>
            </w:pPr>
            <w:r>
              <w:rPr>
                <w:rFonts w:hint="eastAsia" w:ascii="宋体" w:hAnsi="宋体" w:cs="宋体"/>
                <w:b/>
                <w:bCs/>
                <w:sz w:val="22"/>
                <w:szCs w:val="22"/>
              </w:rPr>
              <w:t>是否要求投标人提交样品：</w:t>
            </w:r>
          </w:p>
          <w:p w14:paraId="5E0FE997">
            <w:pPr>
              <w:widowControl/>
              <w:adjustRightInd w:val="0"/>
              <w:snapToGrid w:val="0"/>
              <w:spacing w:line="288" w:lineRule="auto"/>
              <w:rPr>
                <w:rFonts w:ascii="宋体" w:hAnsi="宋体" w:cs="宋体"/>
                <w:sz w:val="22"/>
                <w:szCs w:val="22"/>
              </w:rPr>
            </w:pPr>
            <w:r>
              <w:rPr>
                <w:rFonts w:hint="eastAsia" w:ascii="宋体" w:hAnsi="宋体" w:cs="宋体"/>
                <w:sz w:val="22"/>
                <w:szCs w:val="22"/>
              </w:rPr>
              <w:t>□否</w:t>
            </w:r>
          </w:p>
          <w:p w14:paraId="26FA2AC8">
            <w:pPr>
              <w:widowControl/>
              <w:adjustRightInd w:val="0"/>
              <w:snapToGrid w:val="0"/>
              <w:spacing w:line="288" w:lineRule="auto"/>
              <w:rPr>
                <w:rFonts w:ascii="宋体" w:hAnsi="宋体" w:cs="宋体"/>
                <w:sz w:val="22"/>
                <w:szCs w:val="22"/>
              </w:rPr>
            </w:pPr>
            <w:r>
              <w:rPr>
                <w:rFonts w:hint="eastAsia" w:ascii="宋体" w:hAnsi="宋体" w:cs="宋体"/>
                <w:sz w:val="22"/>
                <w:szCs w:val="22"/>
              </w:rPr>
              <w:t>☑是，提交样品的具体要求：</w:t>
            </w:r>
          </w:p>
          <w:p w14:paraId="0D9672C3">
            <w:pPr>
              <w:adjustRightInd w:val="0"/>
              <w:spacing w:line="288" w:lineRule="auto"/>
              <w:rPr>
                <w:rFonts w:hint="default" w:ascii="宋体" w:hAnsi="宋体" w:eastAsia="宋体" w:cs="宋体"/>
                <w:kern w:val="0"/>
                <w:sz w:val="22"/>
                <w:szCs w:val="22"/>
                <w:lang w:val="en-US" w:eastAsia="zh-CN"/>
              </w:rPr>
            </w:pPr>
            <w:r>
              <w:rPr>
                <w:rFonts w:hint="eastAsia" w:ascii="宋体" w:hAnsi="宋体" w:cs="宋体"/>
                <w:kern w:val="0"/>
                <w:sz w:val="22"/>
                <w:szCs w:val="22"/>
                <w:lang w:bidi="ar"/>
              </w:rPr>
              <w:t>（1）</w:t>
            </w:r>
            <w:r>
              <w:rPr>
                <w:rFonts w:hint="eastAsia" w:ascii="宋体" w:hAnsi="宋体" w:cs="宋体"/>
                <w:snapToGrid w:val="0"/>
                <w:kern w:val="28"/>
                <w:sz w:val="22"/>
                <w:szCs w:val="22"/>
                <w:lang w:bidi="ar"/>
              </w:rPr>
              <w:t>样品制作的标准和要求：</w:t>
            </w:r>
            <w:r>
              <w:rPr>
                <w:rFonts w:hint="eastAsia" w:ascii="宋体" w:hAnsi="宋体" w:cs="宋体"/>
                <w:b/>
                <w:bCs/>
                <w:snapToGrid w:val="0"/>
                <w:kern w:val="28"/>
                <w:sz w:val="22"/>
                <w:szCs w:val="22"/>
                <w:lang w:bidi="ar"/>
              </w:rPr>
              <w:t>详见第三章“</w:t>
            </w:r>
            <w:r>
              <w:rPr>
                <w:rFonts w:hint="eastAsia" w:ascii="宋体" w:hAnsi="宋体" w:cs="宋体"/>
                <w:b/>
                <w:bCs/>
                <w:sz w:val="22"/>
                <w:szCs w:val="22"/>
                <w:lang w:bidi="ar"/>
              </w:rPr>
              <w:t>采购需求及技术规格要求”标★的产品</w:t>
            </w:r>
            <w:r>
              <w:rPr>
                <w:rFonts w:hint="eastAsia" w:ascii="宋体" w:hAnsi="宋体" w:cs="宋体"/>
                <w:b/>
                <w:bCs/>
                <w:kern w:val="0"/>
                <w:sz w:val="22"/>
                <w:szCs w:val="22"/>
                <w:lang w:bidi="ar"/>
              </w:rPr>
              <w:t>，未要求提供样品的标包均须提供所投产品彩页。</w:t>
            </w:r>
            <w:r>
              <w:rPr>
                <w:rFonts w:hint="eastAsia" w:ascii="宋体" w:hAnsi="宋体" w:cs="宋体"/>
                <w:b/>
                <w:bCs/>
                <w:kern w:val="0"/>
                <w:sz w:val="22"/>
                <w:szCs w:val="22"/>
                <w:lang w:val="en-US" w:eastAsia="zh-CN" w:bidi="ar"/>
              </w:rPr>
              <w:t>各品目至少提供一种规格。</w:t>
            </w:r>
          </w:p>
          <w:p w14:paraId="3702F1C3">
            <w:pPr>
              <w:adjustRightInd w:val="0"/>
              <w:spacing w:line="288" w:lineRule="auto"/>
              <w:rPr>
                <w:rFonts w:ascii="宋体" w:hAnsi="宋体" w:cs="宋体"/>
                <w:kern w:val="0"/>
                <w:sz w:val="22"/>
                <w:szCs w:val="22"/>
              </w:rPr>
            </w:pPr>
            <w:r>
              <w:rPr>
                <w:rFonts w:hint="eastAsia" w:ascii="宋体" w:hAnsi="宋体" w:cs="宋体"/>
                <w:kern w:val="0"/>
                <w:sz w:val="22"/>
                <w:szCs w:val="22"/>
                <w:lang w:bidi="ar"/>
              </w:rPr>
              <w:t>（2）样品的评审方法以及评审标准</w:t>
            </w:r>
            <w:r>
              <w:rPr>
                <w:rFonts w:hint="eastAsia" w:ascii="宋体" w:hAnsi="宋体" w:cs="宋体"/>
                <w:snapToGrid w:val="0"/>
                <w:kern w:val="28"/>
                <w:sz w:val="22"/>
                <w:szCs w:val="22"/>
                <w:lang w:bidi="ar"/>
              </w:rPr>
              <w:t>：详见第四章“资格审查和</w:t>
            </w:r>
            <w:r>
              <w:rPr>
                <w:rFonts w:hint="eastAsia" w:ascii="宋体" w:hAnsi="宋体" w:cs="宋体"/>
                <w:sz w:val="22"/>
                <w:szCs w:val="22"/>
                <w:lang w:bidi="ar"/>
              </w:rPr>
              <w:t>评标办法”</w:t>
            </w:r>
            <w:r>
              <w:rPr>
                <w:rFonts w:hint="eastAsia" w:ascii="宋体" w:hAnsi="宋体" w:cs="宋体"/>
                <w:kern w:val="0"/>
                <w:sz w:val="22"/>
                <w:szCs w:val="22"/>
                <w:lang w:bidi="ar"/>
              </w:rPr>
              <w:t>；</w:t>
            </w:r>
          </w:p>
          <w:p w14:paraId="7277802A">
            <w:pPr>
              <w:adjustRightInd w:val="0"/>
              <w:spacing w:line="288" w:lineRule="auto"/>
              <w:rPr>
                <w:rFonts w:ascii="宋体" w:hAnsi="宋体" w:cs="宋体"/>
                <w:kern w:val="0"/>
                <w:sz w:val="22"/>
                <w:szCs w:val="22"/>
              </w:rPr>
            </w:pPr>
            <w:r>
              <w:rPr>
                <w:rFonts w:hint="eastAsia" w:ascii="宋体" w:hAnsi="宋体" w:cs="宋体"/>
                <w:kern w:val="0"/>
                <w:sz w:val="22"/>
                <w:szCs w:val="22"/>
                <w:lang w:bidi="ar"/>
              </w:rPr>
              <w:t>（3）是否需要随样品提交检测报告：</w:t>
            </w:r>
            <w:r>
              <w:rPr>
                <w:rFonts w:hint="eastAsia" w:ascii="宋体" w:hAnsi="宋体" w:cs="宋体"/>
                <w:kern w:val="0"/>
                <w:sz w:val="22"/>
                <w:szCs w:val="22"/>
                <w:lang w:bidi="ar"/>
              </w:rPr>
              <w:sym w:font="Wingdings" w:char="00FE"/>
            </w:r>
            <w:r>
              <w:rPr>
                <w:rFonts w:hint="eastAsia" w:ascii="宋体" w:hAnsi="宋体" w:cs="宋体"/>
                <w:kern w:val="0"/>
                <w:sz w:val="22"/>
                <w:szCs w:val="22"/>
                <w:lang w:bidi="ar"/>
              </w:rPr>
              <w:t>否；</w:t>
            </w:r>
            <w:r>
              <w:rPr>
                <w:rFonts w:hint="eastAsia" w:ascii="宋体" w:hAnsi="宋体" w:cs="宋体"/>
                <w:sz w:val="22"/>
                <w:szCs w:val="22"/>
              </w:rPr>
              <w:t>□</w:t>
            </w:r>
            <w:r>
              <w:rPr>
                <w:rFonts w:hint="eastAsia" w:ascii="宋体" w:hAnsi="宋体" w:cs="宋体"/>
                <w:kern w:val="0"/>
                <w:sz w:val="22"/>
                <w:szCs w:val="22"/>
                <w:lang w:bidi="ar"/>
              </w:rPr>
              <w:t>是</w:t>
            </w:r>
          </w:p>
          <w:p w14:paraId="0353006E">
            <w:pPr>
              <w:adjustRightInd w:val="0"/>
              <w:spacing w:line="288" w:lineRule="auto"/>
              <w:rPr>
                <w:rFonts w:ascii="宋体" w:hAnsi="宋体" w:cs="宋体"/>
                <w:sz w:val="22"/>
                <w:szCs w:val="22"/>
                <w:lang w:bidi="ar"/>
              </w:rPr>
            </w:pPr>
            <w:r>
              <w:rPr>
                <w:rFonts w:hint="eastAsia" w:ascii="宋体" w:hAnsi="宋体" w:cs="宋体"/>
                <w:sz w:val="22"/>
                <w:szCs w:val="22"/>
                <w:lang w:bidi="ar"/>
              </w:rPr>
              <w:t>（4）提供样品的时间</w:t>
            </w:r>
            <w:r>
              <w:rPr>
                <w:rFonts w:hint="eastAsia" w:ascii="宋体" w:hAnsi="宋体" w:cs="宋体"/>
                <w:kern w:val="0"/>
                <w:sz w:val="22"/>
                <w:szCs w:val="22"/>
                <w:lang w:bidi="ar"/>
              </w:rPr>
              <w:t>：同投标截止时间；地点：合肥市蜀山区蜀鑫路69号安徽安天利信工程管理股份有限公司(总部基地)706室；联系人</w:t>
            </w:r>
            <w:r>
              <w:rPr>
                <w:rFonts w:hint="eastAsia" w:ascii="宋体" w:hAnsi="宋体" w:cs="宋体"/>
                <w:sz w:val="22"/>
                <w:szCs w:val="22"/>
                <w:lang w:bidi="ar"/>
              </w:rPr>
              <w:t>：许芳妍，</w:t>
            </w:r>
            <w:r>
              <w:rPr>
                <w:rFonts w:hint="eastAsia" w:ascii="宋体" w:hAnsi="宋体" w:cs="宋体"/>
                <w:kern w:val="28"/>
                <w:sz w:val="22"/>
                <w:szCs w:val="22"/>
                <w:lang w:bidi="ar"/>
              </w:rPr>
              <w:t>联系电话：18709855877</w:t>
            </w:r>
            <w:r>
              <w:rPr>
                <w:rFonts w:hint="eastAsia" w:ascii="宋体" w:hAnsi="宋体" w:cs="宋体"/>
                <w:sz w:val="22"/>
                <w:szCs w:val="22"/>
                <w:lang w:bidi="ar"/>
              </w:rPr>
              <w:t>。</w:t>
            </w:r>
          </w:p>
          <w:p w14:paraId="0C22130B">
            <w:pPr>
              <w:adjustRightInd w:val="0"/>
              <w:spacing w:line="288" w:lineRule="auto"/>
              <w:rPr>
                <w:rFonts w:ascii="宋体" w:hAnsi="宋体" w:cs="宋体"/>
                <w:sz w:val="22"/>
                <w:szCs w:val="22"/>
              </w:rPr>
            </w:pPr>
            <w:r>
              <w:rPr>
                <w:rFonts w:hint="eastAsia" w:ascii="宋体" w:hAnsi="宋体" w:cs="宋体"/>
                <w:sz w:val="22"/>
                <w:szCs w:val="22"/>
                <w:lang w:bidi="ar"/>
              </w:rPr>
              <w:t>请供应商按上述时间规定提供样品</w:t>
            </w:r>
            <w:r>
              <w:rPr>
                <w:rFonts w:hint="eastAsia" w:ascii="宋体" w:hAnsi="宋体" w:cs="宋体"/>
                <w:sz w:val="22"/>
                <w:szCs w:val="22"/>
                <w:lang w:eastAsia="zh-CN" w:bidi="ar"/>
              </w:rPr>
              <w:t>，</w:t>
            </w:r>
            <w:r>
              <w:rPr>
                <w:rFonts w:hint="eastAsia" w:ascii="宋体" w:hAnsi="宋体" w:cs="宋体"/>
                <w:sz w:val="22"/>
                <w:szCs w:val="22"/>
                <w:lang w:val="en-US" w:eastAsia="zh-CN" w:bidi="ar"/>
              </w:rPr>
              <w:t>样品自行密封</w:t>
            </w:r>
            <w:r>
              <w:rPr>
                <w:rFonts w:hint="eastAsia" w:ascii="宋体" w:hAnsi="宋体" w:cs="宋体"/>
                <w:sz w:val="22"/>
                <w:szCs w:val="22"/>
                <w:lang w:bidi="ar"/>
              </w:rPr>
              <w:t>。未按规定递交的，采购代理机构将不予接收。</w:t>
            </w:r>
          </w:p>
          <w:p w14:paraId="0EF03CDA">
            <w:pPr>
              <w:adjustRightInd w:val="0"/>
              <w:spacing w:line="288" w:lineRule="auto"/>
              <w:rPr>
                <w:rFonts w:ascii="宋体" w:hAnsi="宋体" w:cs="宋体"/>
                <w:sz w:val="22"/>
                <w:szCs w:val="22"/>
              </w:rPr>
            </w:pPr>
            <w:r>
              <w:rPr>
                <w:rFonts w:hint="eastAsia" w:ascii="宋体" w:hAnsi="宋体" w:cs="宋体"/>
                <w:sz w:val="22"/>
                <w:szCs w:val="22"/>
                <w:lang w:bidi="ar"/>
              </w:rPr>
              <w:t>（5）</w:t>
            </w:r>
            <w:r>
              <w:rPr>
                <w:rFonts w:hint="eastAsia" w:ascii="宋体" w:hAnsi="宋体" w:cs="宋体"/>
                <w:sz w:val="22"/>
                <w:szCs w:val="22"/>
              </w:rPr>
              <w:t>中标人样品的保管：采购代理机构自中标结果公告发布之日起3个工作日内，将中标人样品移交采购人。由采购人进行保管、封存，并作为履约验收的参考。</w:t>
            </w:r>
          </w:p>
          <w:p w14:paraId="46942A8E">
            <w:pPr>
              <w:adjustRightInd w:val="0"/>
              <w:spacing w:line="288" w:lineRule="auto"/>
              <w:rPr>
                <w:rFonts w:ascii="宋体" w:hAnsi="宋体" w:cs="宋体"/>
                <w:sz w:val="20"/>
                <w:szCs w:val="20"/>
              </w:rPr>
            </w:pPr>
            <w:r>
              <w:rPr>
                <w:rFonts w:hint="eastAsia" w:ascii="宋体" w:hAnsi="宋体" w:cs="宋体"/>
                <w:sz w:val="22"/>
                <w:szCs w:val="22"/>
              </w:rPr>
              <w:t>（6）未中标人样品的退还：自中标结果公告/终止公告发布之日起3个工作日内，供应商自行取回。逾期未取的，样品的损毁、灭失责任由供应商承担。</w:t>
            </w:r>
          </w:p>
        </w:tc>
      </w:tr>
    </w:tbl>
    <w:p w14:paraId="13A8C929">
      <w:pPr>
        <w:sectPr>
          <w:footerReference r:id="rId5"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782D926C">
      <w:pPr>
        <w:pStyle w:val="3"/>
        <w:widowControl/>
        <w:spacing w:before="120" w:after="120" w:line="240" w:lineRule="auto"/>
        <w:jc w:val="center"/>
        <w:rPr>
          <w:rStyle w:val="19"/>
          <w:rFonts w:ascii="宋体" w:hAnsi="宋体" w:eastAsia="宋体"/>
          <w:b w:val="0"/>
          <w:bCs/>
          <w:sz w:val="30"/>
          <w:szCs w:val="30"/>
        </w:rPr>
      </w:pPr>
      <w:bookmarkStart w:id="81" w:name="_Toc21697"/>
      <w:r>
        <w:rPr>
          <w:rStyle w:val="19"/>
          <w:rFonts w:hint="eastAsia" w:ascii="宋体" w:hAnsi="宋体" w:eastAsia="宋体"/>
          <w:b w:val="0"/>
          <w:bCs/>
          <w:sz w:val="30"/>
          <w:szCs w:val="30"/>
        </w:rPr>
        <w:t>二、投标供应商须知</w:t>
      </w:r>
      <w:bookmarkEnd w:id="81"/>
    </w:p>
    <w:p w14:paraId="77F2B921">
      <w:pPr>
        <w:pStyle w:val="4"/>
        <w:ind w:firstLine="105" w:firstLineChars="50"/>
        <w:jc w:val="left"/>
        <w:rPr>
          <w:b w:val="0"/>
          <w:bCs w:val="0"/>
          <w:sz w:val="21"/>
        </w:rPr>
      </w:pPr>
      <w:bookmarkStart w:id="82" w:name="_Toc3295845"/>
      <w:bookmarkStart w:id="83" w:name="_Toc3215795"/>
      <w:bookmarkStart w:id="84" w:name="_Toc3219775"/>
      <w:r>
        <w:rPr>
          <w:rFonts w:hint="eastAsia"/>
          <w:b w:val="0"/>
          <w:bCs w:val="0"/>
          <w:sz w:val="21"/>
        </w:rPr>
        <w:t>注：如投标供应商须知前附表与本部分对同一内容的规定不一致，以投标供应商须知前附表的规定为准。</w:t>
      </w:r>
      <w:bookmarkEnd w:id="82"/>
      <w:bookmarkEnd w:id="83"/>
      <w:bookmarkEnd w:id="84"/>
    </w:p>
    <w:p w14:paraId="063D4F24">
      <w:pPr>
        <w:pStyle w:val="3"/>
        <w:rPr>
          <w:rStyle w:val="19"/>
          <w:rFonts w:ascii="宋体" w:hAnsi="宋体" w:eastAsia="宋体"/>
          <w:b/>
          <w:bCs/>
          <w:sz w:val="28"/>
          <w:szCs w:val="28"/>
        </w:rPr>
      </w:pPr>
      <w:bookmarkStart w:id="85" w:name="_Toc30757"/>
      <w:r>
        <w:rPr>
          <w:rStyle w:val="19"/>
          <w:rFonts w:hint="eastAsia" w:ascii="宋体" w:hAnsi="宋体" w:eastAsia="宋体"/>
          <w:b/>
          <w:bCs/>
          <w:sz w:val="28"/>
          <w:szCs w:val="28"/>
        </w:rPr>
        <w:t>1. 总则</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5"/>
    </w:p>
    <w:p w14:paraId="70E20194">
      <w:pPr>
        <w:pStyle w:val="4"/>
        <w:jc w:val="left"/>
      </w:pPr>
      <w:bookmarkStart w:id="86" w:name="_Toc333587853"/>
      <w:bookmarkStart w:id="87" w:name="_Toc342294714"/>
      <w:bookmarkStart w:id="88" w:name="_Toc144974498"/>
      <w:bookmarkStart w:id="89" w:name="_Toc455587217"/>
      <w:bookmarkStart w:id="90" w:name="_Toc466024501"/>
      <w:bookmarkStart w:id="91" w:name="_Toc371415921"/>
      <w:bookmarkStart w:id="92" w:name="_Toc342296162"/>
      <w:bookmarkStart w:id="93" w:name="_Toc152042306"/>
      <w:bookmarkStart w:id="94" w:name="_Toc445554689"/>
      <w:bookmarkStart w:id="95" w:name="_Toc333599659"/>
      <w:bookmarkStart w:id="96" w:name="_Toc333600683"/>
      <w:bookmarkStart w:id="97" w:name="_Toc458504819"/>
      <w:bookmarkStart w:id="98" w:name="_Toc179632547"/>
      <w:bookmarkStart w:id="99" w:name="_Toc152045530"/>
      <w:bookmarkStart w:id="100" w:name="_Toc338944605"/>
      <w:bookmarkStart w:id="101" w:name="_Toc455587033"/>
      <w:bookmarkStart w:id="102" w:name="_Toc342297619"/>
      <w:bookmarkStart w:id="103" w:name="_Toc338943700"/>
      <w:r>
        <w:t>1</w:t>
      </w:r>
      <w:r>
        <w:rPr>
          <w:rFonts w:hint="eastAsia"/>
        </w:rPr>
        <w:t>.1 项目概况</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4675622">
      <w:pPr>
        <w:widowControl/>
        <w:adjustRightInd w:val="0"/>
        <w:snapToGrid w:val="0"/>
        <w:spacing w:line="360" w:lineRule="auto"/>
        <w:ind w:firstLine="420" w:firstLineChars="200"/>
        <w:rPr>
          <w:rFonts w:ascii="宋体" w:hAnsi="宋体"/>
          <w:szCs w:val="21"/>
        </w:rPr>
      </w:pPr>
      <w:r>
        <w:rPr>
          <w:rFonts w:hint="eastAsia" w:ascii="宋体" w:hAnsi="宋体"/>
          <w:szCs w:val="21"/>
        </w:rPr>
        <w:t>1.1.1 根据《中华人民共和国政府采购法》《中华人民共和国政府采购法实施条例》《政府采购货物和服务招标投标管理办法》等有关法律、法规和规章的规定，本项目已具备政府采购条件，现以招标方式进行政府采购。</w:t>
      </w:r>
    </w:p>
    <w:p w14:paraId="615787B1">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1.1.2 采购人：见招标公告/投标邀请。</w:t>
      </w:r>
    </w:p>
    <w:p w14:paraId="00E3D382">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1.1.3 采购代理机构：见招标公告/投标邀请。</w:t>
      </w:r>
    </w:p>
    <w:p w14:paraId="7AD42426">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1.1.4 采购项目名称：见招标公告/投标邀请。</w:t>
      </w:r>
    </w:p>
    <w:p w14:paraId="39C46B84">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1.1.5包别划分：见投标供应商须知前附表。</w:t>
      </w:r>
    </w:p>
    <w:p w14:paraId="23C0E037">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1.1.6 采购预算：见招标公告/投标邀请。</w:t>
      </w:r>
    </w:p>
    <w:p w14:paraId="26B0F6E4">
      <w:pPr>
        <w:pStyle w:val="4"/>
        <w:spacing w:before="96" w:beforeLines="40" w:after="96" w:afterLines="40" w:line="400" w:lineRule="exact"/>
        <w:jc w:val="left"/>
        <w:rPr>
          <w:rFonts w:ascii="黑体" w:hAnsi="黑体" w:eastAsia="黑体"/>
          <w:b w:val="0"/>
          <w:sz w:val="28"/>
          <w:szCs w:val="28"/>
        </w:rPr>
      </w:pPr>
      <w:bookmarkStart w:id="104" w:name="_Toc466024502"/>
      <w:bookmarkStart w:id="105" w:name="_Toc455587034"/>
      <w:bookmarkStart w:id="106" w:name="_Toc458504820"/>
      <w:bookmarkStart w:id="107" w:name="_Toc455587218"/>
      <w:bookmarkStart w:id="108" w:name="_Toc445554690"/>
      <w:r>
        <w:rPr>
          <w:rFonts w:hint="eastAsia"/>
        </w:rPr>
        <w:t xml:space="preserve">1.2 </w:t>
      </w:r>
      <w:r>
        <w:rPr>
          <w:rFonts w:hint="eastAsia" w:ascii="黑体" w:hAnsi="黑体" w:eastAsia="黑体"/>
          <w:b w:val="0"/>
          <w:sz w:val="28"/>
          <w:szCs w:val="28"/>
        </w:rPr>
        <w:t>资金来源</w:t>
      </w:r>
    </w:p>
    <w:p w14:paraId="291559FD">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1.2.1 资金来源：见投标供应商须知前附表。</w:t>
      </w:r>
    </w:p>
    <w:p w14:paraId="568D7996">
      <w:pPr>
        <w:pStyle w:val="4"/>
        <w:jc w:val="left"/>
      </w:pPr>
      <w:r>
        <w:rPr>
          <w:rFonts w:hint="eastAsia"/>
        </w:rPr>
        <w:t>1.3采购需求、服务期限和质量要求</w:t>
      </w:r>
      <w:bookmarkEnd w:id="104"/>
      <w:bookmarkEnd w:id="105"/>
      <w:bookmarkEnd w:id="106"/>
      <w:bookmarkEnd w:id="107"/>
      <w:bookmarkEnd w:id="108"/>
    </w:p>
    <w:p w14:paraId="0C52A973">
      <w:pPr>
        <w:widowControl/>
        <w:adjustRightInd w:val="0"/>
        <w:snapToGrid w:val="0"/>
        <w:spacing w:line="360" w:lineRule="auto"/>
        <w:ind w:firstLine="420" w:firstLineChars="200"/>
        <w:rPr>
          <w:rFonts w:ascii="宋体" w:hAnsi="宋体"/>
          <w:szCs w:val="21"/>
        </w:rPr>
      </w:pPr>
      <w:r>
        <w:rPr>
          <w:rFonts w:hint="eastAsia" w:ascii="宋体" w:hAnsi="宋体"/>
          <w:szCs w:val="21"/>
        </w:rPr>
        <w:t>1.3.1采购需求：见招标公告。</w:t>
      </w:r>
    </w:p>
    <w:p w14:paraId="69368A17">
      <w:pPr>
        <w:widowControl/>
        <w:adjustRightInd w:val="0"/>
        <w:snapToGrid w:val="0"/>
        <w:spacing w:line="360" w:lineRule="auto"/>
        <w:ind w:firstLine="420" w:firstLineChars="200"/>
        <w:rPr>
          <w:rFonts w:ascii="宋体" w:hAnsi="宋体"/>
          <w:szCs w:val="21"/>
        </w:rPr>
      </w:pPr>
      <w:r>
        <w:rPr>
          <w:rFonts w:hint="eastAsia" w:ascii="宋体" w:hAnsi="宋体"/>
          <w:szCs w:val="21"/>
        </w:rPr>
        <w:t>1.3.2服务期限：见投标供应商须知前附表。</w:t>
      </w:r>
    </w:p>
    <w:p w14:paraId="247ACB56">
      <w:pPr>
        <w:widowControl/>
        <w:adjustRightInd w:val="0"/>
        <w:snapToGrid w:val="0"/>
        <w:spacing w:line="360" w:lineRule="auto"/>
        <w:ind w:firstLine="420" w:firstLineChars="200"/>
        <w:rPr>
          <w:rFonts w:ascii="宋体" w:hAnsi="宋体"/>
          <w:szCs w:val="21"/>
        </w:rPr>
      </w:pPr>
      <w:r>
        <w:rPr>
          <w:rFonts w:hint="eastAsia" w:ascii="宋体" w:hAnsi="宋体"/>
          <w:szCs w:val="21"/>
        </w:rPr>
        <w:t>1.3.3质量要求：见投标供应商须知前附表。</w:t>
      </w:r>
    </w:p>
    <w:p w14:paraId="25D245FE">
      <w:pPr>
        <w:widowControl/>
        <w:adjustRightInd w:val="0"/>
        <w:snapToGrid w:val="0"/>
        <w:spacing w:line="360" w:lineRule="auto"/>
        <w:ind w:firstLine="420" w:firstLineChars="200"/>
        <w:rPr>
          <w:rFonts w:ascii="宋体" w:hAnsi="宋体"/>
          <w:szCs w:val="21"/>
        </w:rPr>
      </w:pPr>
      <w:r>
        <w:rPr>
          <w:rFonts w:hint="eastAsia" w:ascii="宋体" w:hAnsi="宋体"/>
          <w:szCs w:val="21"/>
        </w:rPr>
        <w:t>1.3.4付款方式：见投标供应商须知前附表。</w:t>
      </w:r>
    </w:p>
    <w:p w14:paraId="4B2A0C84">
      <w:pPr>
        <w:pStyle w:val="4"/>
        <w:jc w:val="left"/>
      </w:pPr>
      <w:bookmarkStart w:id="109" w:name="_Toc466024503"/>
      <w:bookmarkStart w:id="110" w:name="_Toc152042310"/>
      <w:bookmarkStart w:id="111" w:name="_Toc342296166"/>
      <w:bookmarkStart w:id="112" w:name="_Toc338944609"/>
      <w:bookmarkStart w:id="113" w:name="_Toc342294718"/>
      <w:bookmarkStart w:id="114" w:name="_Toc333600687"/>
      <w:bookmarkStart w:id="115" w:name="_Toc338943704"/>
      <w:bookmarkStart w:id="116" w:name="_Toc144974502"/>
      <w:bookmarkStart w:id="117" w:name="_Toc458504821"/>
      <w:bookmarkStart w:id="118" w:name="_Toc333599663"/>
      <w:bookmarkStart w:id="119" w:name="_Toc152045534"/>
      <w:bookmarkStart w:id="120" w:name="_Toc333587857"/>
      <w:bookmarkStart w:id="121" w:name="_Toc445554692"/>
      <w:bookmarkStart w:id="122" w:name="_Toc455587219"/>
      <w:bookmarkStart w:id="123" w:name="_Toc371415924"/>
      <w:bookmarkStart w:id="124" w:name="_Toc179632551"/>
      <w:bookmarkStart w:id="125" w:name="_Toc342297623"/>
      <w:bookmarkStart w:id="126" w:name="_Toc455587035"/>
      <w:r>
        <w:rPr>
          <w:rFonts w:hint="eastAsia"/>
        </w:rPr>
        <w:t>1.4 投标供应商资格要求</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4E95E91">
      <w:pPr>
        <w:widowControl/>
        <w:adjustRightInd w:val="0"/>
        <w:snapToGrid w:val="0"/>
        <w:spacing w:line="360" w:lineRule="auto"/>
        <w:ind w:firstLine="420" w:firstLineChars="200"/>
        <w:rPr>
          <w:rFonts w:ascii="宋体" w:hAnsi="宋体"/>
          <w:szCs w:val="21"/>
        </w:rPr>
      </w:pPr>
      <w:r>
        <w:rPr>
          <w:rFonts w:hint="eastAsia" w:ascii="宋体" w:hAnsi="宋体"/>
          <w:szCs w:val="21"/>
        </w:rPr>
        <w:t>1.4.1 投标供应商应具备承担本采购项目的资质条件、能力和信誉：见招标公告/投标邀请。</w:t>
      </w:r>
    </w:p>
    <w:p w14:paraId="0A19F86B">
      <w:pPr>
        <w:widowControl/>
        <w:adjustRightInd w:val="0"/>
        <w:snapToGrid w:val="0"/>
        <w:spacing w:line="360" w:lineRule="auto"/>
        <w:ind w:firstLine="420" w:firstLineChars="200"/>
        <w:rPr>
          <w:rFonts w:ascii="宋体" w:hAnsi="宋体"/>
          <w:szCs w:val="21"/>
        </w:rPr>
      </w:pPr>
      <w:r>
        <w:rPr>
          <w:rFonts w:hint="eastAsia" w:ascii="宋体" w:hAnsi="宋体"/>
          <w:szCs w:val="21"/>
        </w:rPr>
        <w:t>1.4.2 投标供应商须知前附表（或招标公告）规定接受联合体投标的，除应符合本章第1.4</w:t>
      </w:r>
      <w:r>
        <w:rPr>
          <w:rFonts w:ascii="宋体" w:hAnsi="宋体"/>
          <w:szCs w:val="21"/>
        </w:rPr>
        <w:t>.1</w:t>
      </w:r>
      <w:r>
        <w:rPr>
          <w:rFonts w:hint="eastAsia" w:ascii="宋体" w:hAnsi="宋体"/>
          <w:szCs w:val="21"/>
        </w:rPr>
        <w:t>项和投标供应商须知前附表的要求外，还应遵守以下规定：</w:t>
      </w:r>
    </w:p>
    <w:p w14:paraId="5DF30F99">
      <w:pPr>
        <w:widowControl/>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）联合体各方应按招标文件提供的格式签订联合体协议书，明确联合体牵头人和各方权利义务，并承诺就成交项目向采购人承担连带责任；</w:t>
      </w:r>
    </w:p>
    <w:p w14:paraId="081AD7DC">
      <w:pPr>
        <w:widowControl/>
        <w:adjustRightInd w:val="0"/>
        <w:snapToGrid w:val="0"/>
        <w:spacing w:line="360" w:lineRule="auto"/>
        <w:ind w:firstLine="420" w:firstLineChars="200"/>
        <w:rPr>
          <w:rFonts w:ascii="宋体" w:hAnsi="宋体"/>
          <w:szCs w:val="21"/>
        </w:rPr>
      </w:pPr>
      <w:r>
        <w:rPr>
          <w:rFonts w:hint="eastAsia" w:ascii="宋体" w:hAnsi="宋体"/>
          <w:szCs w:val="21"/>
        </w:rPr>
        <w:t>（2）由同一专业的单位组成的联合体，按照资质等级较低的单位确定资质等级；</w:t>
      </w:r>
    </w:p>
    <w:p w14:paraId="6F816F9D">
      <w:pPr>
        <w:widowControl/>
        <w:adjustRightInd w:val="0"/>
        <w:snapToGrid w:val="0"/>
        <w:spacing w:line="360" w:lineRule="auto"/>
        <w:ind w:firstLine="420" w:firstLineChars="200"/>
        <w:rPr>
          <w:rFonts w:ascii="宋体" w:hAnsi="宋体"/>
          <w:szCs w:val="21"/>
        </w:rPr>
      </w:pPr>
      <w:r>
        <w:rPr>
          <w:rFonts w:hint="eastAsia" w:ascii="宋体" w:hAnsi="宋体"/>
          <w:szCs w:val="21"/>
        </w:rPr>
        <w:t>（3）联合体各方不得再以自己名义单独或参加其他联合体在本项目中投标，否则各相关投标均无效；</w:t>
      </w:r>
    </w:p>
    <w:p w14:paraId="3C5F212E">
      <w:pPr>
        <w:widowControl/>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4）联合体各方应分别按照本招标文件的要求，填写投标文件中的相应表格，并由联合体牵头人负责对联合体各成员的资料进行统一汇总后一并提交给</w:t>
      </w:r>
      <w:r>
        <w:rPr>
          <w:rFonts w:hint="eastAsia" w:ascii="宋体" w:hAnsi="宋体"/>
          <w:szCs w:val="21"/>
        </w:rPr>
        <w:t>采购人</w:t>
      </w:r>
      <w:r>
        <w:rPr>
          <w:rFonts w:ascii="宋体" w:hAnsi="宋体"/>
          <w:szCs w:val="21"/>
        </w:rPr>
        <w:t>；联合体牵头人所提交的投标文件应认为已代表了联合体各成员的真实情况；</w:t>
      </w:r>
    </w:p>
    <w:p w14:paraId="576D35DF">
      <w:pPr>
        <w:widowControl/>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5）尽管委任了联合体牵头人，但联合体各成员在投标、签订合同与履行合同过程中，仍负有连带的和各自的法律责任。</w:t>
      </w:r>
    </w:p>
    <w:p w14:paraId="44C4D4FC">
      <w:pPr>
        <w:widowControl/>
        <w:adjustRightInd w:val="0"/>
        <w:snapToGrid w:val="0"/>
        <w:spacing w:line="360" w:lineRule="auto"/>
        <w:ind w:firstLine="420" w:firstLineChars="200"/>
        <w:rPr>
          <w:rFonts w:ascii="宋体" w:hAnsi="宋体"/>
          <w:szCs w:val="21"/>
        </w:rPr>
      </w:pPr>
      <w:r>
        <w:rPr>
          <w:rFonts w:hint="eastAsia" w:ascii="宋体" w:hAnsi="宋体"/>
          <w:szCs w:val="21"/>
        </w:rPr>
        <w:t>1.4.3 投标供应商</w:t>
      </w:r>
      <w:r>
        <w:rPr>
          <w:rFonts w:ascii="宋体" w:hAnsi="宋体"/>
          <w:szCs w:val="21"/>
        </w:rPr>
        <w:t>（包括联合体各成员）</w:t>
      </w:r>
      <w:r>
        <w:rPr>
          <w:rFonts w:hint="eastAsia" w:ascii="宋体" w:hAnsi="宋体"/>
          <w:szCs w:val="21"/>
        </w:rPr>
        <w:t>不得存在下列情形之一：</w:t>
      </w:r>
    </w:p>
    <w:p w14:paraId="31D32EAB">
      <w:pPr>
        <w:widowControl/>
        <w:adjustRightInd w:val="0"/>
        <w:snapToGrid w:val="0"/>
        <w:spacing w:line="360" w:lineRule="auto"/>
        <w:ind w:firstLine="420" w:firstLineChars="200"/>
        <w:rPr>
          <w:rFonts w:ascii="宋体" w:hAnsi="宋体"/>
          <w:szCs w:val="21"/>
        </w:rPr>
      </w:pPr>
      <w:bookmarkStart w:id="127" w:name="_Toc333600688"/>
      <w:bookmarkStart w:id="128" w:name="_Toc179632552"/>
      <w:bookmarkStart w:id="129" w:name="_Toc338943705"/>
      <w:bookmarkStart w:id="130" w:name="_Toc152045535"/>
      <w:bookmarkStart w:id="131" w:name="_Toc342296167"/>
      <w:bookmarkStart w:id="132" w:name="_Toc152042311"/>
      <w:bookmarkStart w:id="133" w:name="_Toc333599664"/>
      <w:bookmarkStart w:id="134" w:name="_Toc144974503"/>
      <w:bookmarkStart w:id="135" w:name="_Toc338944610"/>
      <w:bookmarkStart w:id="136" w:name="_Toc342294719"/>
      <w:bookmarkStart w:id="137" w:name="_Toc333587858"/>
      <w:bookmarkStart w:id="138" w:name="_Toc342297624"/>
      <w:r>
        <w:rPr>
          <w:rFonts w:hint="eastAsia" w:ascii="宋体" w:hAnsi="宋体"/>
          <w:szCs w:val="21"/>
        </w:rPr>
        <w:t>（1）</w:t>
      </w:r>
      <w:r>
        <w:rPr>
          <w:rFonts w:ascii="宋体" w:hAnsi="宋体"/>
          <w:szCs w:val="21"/>
        </w:rPr>
        <w:t>为本采购项目的采购代理机构；</w:t>
      </w:r>
    </w:p>
    <w:p w14:paraId="5EC5E414">
      <w:pPr>
        <w:widowControl/>
        <w:adjustRightInd w:val="0"/>
        <w:snapToGrid w:val="0"/>
        <w:spacing w:line="360" w:lineRule="auto"/>
        <w:ind w:firstLine="420" w:firstLineChars="200"/>
        <w:rPr>
          <w:rFonts w:ascii="宋体" w:hAnsi="宋体"/>
          <w:szCs w:val="21"/>
        </w:rPr>
      </w:pPr>
      <w:r>
        <w:rPr>
          <w:rFonts w:hint="eastAsia" w:ascii="宋体" w:hAnsi="宋体"/>
          <w:szCs w:val="21"/>
        </w:rPr>
        <w:t>（2）</w:t>
      </w:r>
      <w:r>
        <w:rPr>
          <w:rFonts w:ascii="宋体" w:hAnsi="宋体"/>
          <w:szCs w:val="21"/>
        </w:rPr>
        <w:t>为采购人不具有独立法人资格的附属机构</w:t>
      </w:r>
      <w:r>
        <w:rPr>
          <w:rFonts w:hint="eastAsia" w:ascii="宋体" w:hAnsi="宋体"/>
          <w:szCs w:val="21"/>
        </w:rPr>
        <w:t>；</w:t>
      </w:r>
    </w:p>
    <w:p w14:paraId="69BAB5F6">
      <w:pPr>
        <w:widowControl/>
        <w:adjustRightInd w:val="0"/>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与采购人存在利害关系且可能影响采购公正性；</w:t>
      </w:r>
    </w:p>
    <w:p w14:paraId="7AA1A550">
      <w:pPr>
        <w:widowControl/>
        <w:adjustRightInd w:val="0"/>
        <w:snapToGrid w:val="0"/>
        <w:spacing w:line="360" w:lineRule="auto"/>
        <w:ind w:firstLine="420" w:firstLineChars="200"/>
        <w:rPr>
          <w:rFonts w:ascii="宋体" w:hAnsi="宋体"/>
          <w:szCs w:val="21"/>
        </w:rPr>
      </w:pPr>
      <w:r>
        <w:rPr>
          <w:rFonts w:hint="eastAsia" w:ascii="宋体" w:hAnsi="宋体"/>
          <w:szCs w:val="21"/>
        </w:rPr>
        <w:t>（4）</w:t>
      </w:r>
      <w:r>
        <w:rPr>
          <w:rFonts w:ascii="宋体" w:hAnsi="宋体"/>
          <w:szCs w:val="21"/>
        </w:rPr>
        <w:t>由本</w:t>
      </w:r>
      <w:r>
        <w:rPr>
          <w:rFonts w:hint="eastAsia" w:ascii="宋体" w:hAnsi="宋体"/>
          <w:szCs w:val="21"/>
        </w:rPr>
        <w:t>采购项目</w:t>
      </w:r>
      <w:r>
        <w:rPr>
          <w:rFonts w:ascii="宋体" w:hAnsi="宋体"/>
          <w:szCs w:val="21"/>
        </w:rPr>
        <w:t>采购代理机构代理</w:t>
      </w:r>
      <w:r>
        <w:rPr>
          <w:rFonts w:hint="eastAsia" w:ascii="宋体" w:hAnsi="宋体"/>
          <w:szCs w:val="21"/>
        </w:rPr>
        <w:t>投标</w:t>
      </w:r>
      <w:r>
        <w:rPr>
          <w:rFonts w:ascii="宋体" w:hAnsi="宋体"/>
          <w:szCs w:val="21"/>
        </w:rPr>
        <w:t>，或者接受过本</w:t>
      </w:r>
      <w:r>
        <w:rPr>
          <w:rFonts w:hint="eastAsia" w:ascii="宋体" w:hAnsi="宋体"/>
          <w:szCs w:val="21"/>
        </w:rPr>
        <w:t>采购项目</w:t>
      </w:r>
      <w:r>
        <w:rPr>
          <w:rFonts w:ascii="宋体" w:hAnsi="宋体"/>
          <w:szCs w:val="21"/>
        </w:rPr>
        <w:t>的采购代理机构为本</w:t>
      </w:r>
      <w:r>
        <w:rPr>
          <w:rFonts w:hint="eastAsia" w:ascii="宋体" w:hAnsi="宋体"/>
          <w:szCs w:val="21"/>
        </w:rPr>
        <w:t>采购项目</w:t>
      </w:r>
      <w:r>
        <w:rPr>
          <w:rFonts w:ascii="宋体" w:hAnsi="宋体"/>
          <w:szCs w:val="21"/>
        </w:rPr>
        <w:t>提供咨询</w:t>
      </w:r>
      <w:r>
        <w:rPr>
          <w:rFonts w:hint="eastAsia" w:ascii="宋体" w:hAnsi="宋体"/>
          <w:szCs w:val="21"/>
        </w:rPr>
        <w:t>的；</w:t>
      </w:r>
    </w:p>
    <w:p w14:paraId="1694A40D">
      <w:pPr>
        <w:widowControl/>
        <w:adjustRightInd w:val="0"/>
        <w:snapToGrid w:val="0"/>
        <w:spacing w:line="360" w:lineRule="auto"/>
        <w:ind w:firstLine="420" w:firstLineChars="200"/>
        <w:rPr>
          <w:rFonts w:ascii="宋体" w:hAnsi="宋体"/>
          <w:szCs w:val="21"/>
        </w:rPr>
      </w:pPr>
      <w:r>
        <w:rPr>
          <w:rFonts w:hint="eastAsia" w:ascii="宋体" w:hAnsi="宋体"/>
          <w:szCs w:val="21"/>
        </w:rPr>
        <w:t>（5）</w:t>
      </w:r>
      <w:r>
        <w:rPr>
          <w:rFonts w:ascii="宋体" w:hAnsi="宋体"/>
          <w:szCs w:val="21"/>
        </w:rPr>
        <w:t>被责令停产停业、暂扣或者吊销许可证、暂扣或者吊销执照；</w:t>
      </w:r>
    </w:p>
    <w:p w14:paraId="4428CEE8">
      <w:pPr>
        <w:widowControl/>
        <w:adjustRightInd w:val="0"/>
        <w:snapToGrid w:val="0"/>
        <w:spacing w:line="360" w:lineRule="auto"/>
        <w:ind w:firstLine="420" w:firstLineChars="200"/>
        <w:rPr>
          <w:rFonts w:ascii="宋体" w:hAnsi="宋体"/>
          <w:szCs w:val="21"/>
        </w:rPr>
      </w:pPr>
      <w:r>
        <w:rPr>
          <w:rFonts w:hint="eastAsia" w:ascii="宋体" w:hAnsi="宋体"/>
          <w:szCs w:val="21"/>
        </w:rPr>
        <w:t>（6）</w:t>
      </w:r>
      <w:r>
        <w:rPr>
          <w:rFonts w:ascii="宋体" w:hAnsi="宋体"/>
          <w:szCs w:val="21"/>
        </w:rPr>
        <w:t>进入清算程序，或被宣告破产，或其他丧失履约能力的情形；</w:t>
      </w:r>
    </w:p>
    <w:p w14:paraId="7F87A6D0">
      <w:pPr>
        <w:widowControl/>
        <w:adjustRightInd w:val="0"/>
        <w:snapToGrid w:val="0"/>
        <w:spacing w:line="360" w:lineRule="auto"/>
        <w:ind w:firstLine="420" w:firstLineChars="200"/>
        <w:rPr>
          <w:rFonts w:ascii="宋体" w:hAnsi="宋体"/>
          <w:szCs w:val="21"/>
        </w:rPr>
      </w:pPr>
      <w:r>
        <w:rPr>
          <w:rFonts w:hint="eastAsia" w:ascii="宋体" w:hAnsi="宋体"/>
          <w:szCs w:val="21"/>
        </w:rPr>
        <w:t>（7）与本项目其他投标供应商的</w:t>
      </w:r>
      <w:r>
        <w:rPr>
          <w:rFonts w:ascii="宋体" w:hAnsi="宋体"/>
          <w:szCs w:val="21"/>
        </w:rPr>
        <w:t>单位负责人为同一人或者存在直接控股、管理关系的不同投标供应商</w:t>
      </w:r>
      <w:r>
        <w:rPr>
          <w:rFonts w:hint="eastAsia" w:ascii="宋体" w:hAnsi="宋体"/>
          <w:szCs w:val="21"/>
        </w:rPr>
        <w:t>；</w:t>
      </w:r>
    </w:p>
    <w:p w14:paraId="1DDC085B">
      <w:pPr>
        <w:widowControl/>
        <w:adjustRightInd w:val="0"/>
        <w:snapToGrid w:val="0"/>
        <w:spacing w:line="360" w:lineRule="auto"/>
        <w:ind w:firstLine="420" w:firstLineChars="200"/>
        <w:rPr>
          <w:rFonts w:ascii="宋体" w:hAnsi="宋体"/>
          <w:szCs w:val="21"/>
        </w:rPr>
      </w:pPr>
      <w:r>
        <w:rPr>
          <w:rFonts w:hint="eastAsia" w:ascii="宋体" w:hAnsi="宋体"/>
          <w:szCs w:val="21"/>
        </w:rPr>
        <w:t>（8）被依法禁止参加政府采购活动并在有效期内的；</w:t>
      </w:r>
    </w:p>
    <w:p w14:paraId="5E3F40C0">
      <w:pPr>
        <w:widowControl/>
        <w:adjustRightInd w:val="0"/>
        <w:snapToGrid w:val="0"/>
        <w:spacing w:line="360" w:lineRule="auto"/>
        <w:ind w:firstLine="420" w:firstLineChars="200"/>
        <w:rPr>
          <w:rFonts w:ascii="宋体" w:hAnsi="宋体"/>
          <w:szCs w:val="21"/>
        </w:rPr>
      </w:pPr>
      <w:r>
        <w:rPr>
          <w:rFonts w:hint="eastAsia" w:ascii="宋体" w:hAnsi="宋体"/>
          <w:szCs w:val="21"/>
        </w:rPr>
        <w:t>（9）为采购项目提供整体设计、规范编制或者项目管理、监理、检测等服务的投标供应商，不得再参加该采购项目的其他采购活动，具体按财政部财办库〔2015〕295号文件规定；</w:t>
      </w:r>
    </w:p>
    <w:p w14:paraId="752BA9FB">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（10）被人民法院列入失信被执行人名单的（以http://zxgk.court.gov.cn/shixin/查询为准）；</w:t>
      </w:r>
    </w:p>
    <w:p w14:paraId="003619A4">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（11）被税务机关列入重大税收违法失信主体名单的（以www.creditchina.gov.cn查询为准）；</w:t>
      </w:r>
    </w:p>
    <w:p w14:paraId="31D866CE">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（12）被财政部门列入政府采购严重违法失信行为记录名单的（以www.ccgp.gov.cn/查询为准）；</w:t>
      </w:r>
    </w:p>
    <w:p w14:paraId="5E36C53C">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（13）被市场监督管理部门列入严重违法失信名单的（以www.gsxt.gov.cn查询为准）；</w:t>
      </w:r>
    </w:p>
    <w:p w14:paraId="2D46A704">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（14）</w:t>
      </w:r>
      <w:r>
        <w:rPr>
          <w:rFonts w:ascii="宋体" w:hAnsi="宋体"/>
          <w:szCs w:val="21"/>
        </w:rPr>
        <w:t>法律法规</w:t>
      </w:r>
      <w:r>
        <w:rPr>
          <w:rFonts w:hint="eastAsia" w:ascii="宋体" w:hAnsi="宋体"/>
          <w:szCs w:val="21"/>
        </w:rPr>
        <w:t>规定的其他情形；</w:t>
      </w:r>
    </w:p>
    <w:p w14:paraId="0FB657B8">
      <w:pPr>
        <w:widowControl/>
        <w:adjustRightInd w:val="0"/>
        <w:snapToGrid w:val="0"/>
        <w:spacing w:line="360" w:lineRule="auto"/>
        <w:ind w:firstLine="420" w:firstLineChars="200"/>
        <w:rPr>
          <w:rFonts w:ascii="宋体" w:hAnsi="宋体"/>
          <w:szCs w:val="21"/>
        </w:rPr>
      </w:pPr>
      <w:r>
        <w:rPr>
          <w:rFonts w:hint="eastAsia" w:ascii="宋体" w:hAnsi="宋体"/>
          <w:szCs w:val="21"/>
        </w:rPr>
        <w:t>（15）</w:t>
      </w:r>
      <w:r>
        <w:rPr>
          <w:rFonts w:ascii="宋体" w:hAnsi="宋体"/>
          <w:szCs w:val="21"/>
        </w:rPr>
        <w:t>投标供应商须知前附表规定的其他情形。</w:t>
      </w:r>
    </w:p>
    <w:p w14:paraId="20CA1FA9">
      <w:pPr>
        <w:widowControl/>
        <w:adjustRightInd w:val="0"/>
        <w:snapToGrid w:val="0"/>
        <w:spacing w:line="360" w:lineRule="auto"/>
        <w:ind w:firstLine="420" w:firstLineChars="200"/>
        <w:rPr>
          <w:rFonts w:ascii="宋体" w:hAnsi="宋体" w:cs="宋体"/>
          <w:szCs w:val="21"/>
        </w:rPr>
      </w:pPr>
      <w:r>
        <w:rPr>
          <w:rFonts w:hint="eastAsia" w:ascii="宋体" w:hAnsi="宋体"/>
          <w:szCs w:val="21"/>
        </w:rPr>
        <w:t>以联合体方式参加采购活动的，联合体任一成员不得存在以上情形</w:t>
      </w:r>
      <w:r>
        <w:rPr>
          <w:rFonts w:hint="eastAsia" w:ascii="宋体" w:hAnsi="宋体" w:cs="宋体"/>
          <w:szCs w:val="21"/>
        </w:rPr>
        <w:t>。</w:t>
      </w:r>
    </w:p>
    <w:p w14:paraId="1625D185">
      <w:pPr>
        <w:pStyle w:val="4"/>
        <w:jc w:val="left"/>
      </w:pPr>
      <w:bookmarkStart w:id="139" w:name="_Toc371415925"/>
      <w:bookmarkStart w:id="140" w:name="_Toc458504822"/>
      <w:bookmarkStart w:id="141" w:name="_Toc445554693"/>
      <w:bookmarkStart w:id="142" w:name="_Toc455587036"/>
      <w:bookmarkStart w:id="143" w:name="_Toc466024504"/>
      <w:bookmarkStart w:id="144" w:name="_Toc455587220"/>
      <w:r>
        <w:rPr>
          <w:rFonts w:hint="eastAsia"/>
        </w:rPr>
        <w:t>1.5 费用承担</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BBFC1A5">
      <w:pPr>
        <w:widowControl/>
        <w:adjustRightInd w:val="0"/>
        <w:snapToGrid w:val="0"/>
        <w:spacing w:line="360" w:lineRule="auto"/>
        <w:ind w:firstLine="420" w:firstLineChars="200"/>
        <w:rPr>
          <w:rFonts w:ascii="宋体" w:hAnsi="宋体"/>
          <w:szCs w:val="21"/>
        </w:rPr>
      </w:pPr>
      <w:r>
        <w:rPr>
          <w:rFonts w:hint="eastAsia" w:ascii="宋体" w:hAnsi="宋体"/>
          <w:szCs w:val="21"/>
        </w:rPr>
        <w:t>投标供应商准备和参加投标活动发生的费用自理。</w:t>
      </w:r>
    </w:p>
    <w:p w14:paraId="66B7C1C8">
      <w:pPr>
        <w:pStyle w:val="4"/>
        <w:jc w:val="left"/>
      </w:pPr>
      <w:bookmarkStart w:id="145" w:name="_Toc445554694"/>
      <w:bookmarkStart w:id="146" w:name="_Toc458504823"/>
      <w:bookmarkStart w:id="147" w:name="_Toc466024505"/>
      <w:bookmarkStart w:id="148" w:name="_Toc455587221"/>
      <w:bookmarkStart w:id="149" w:name="_Toc455587037"/>
      <w:bookmarkStart w:id="150" w:name="_Toc300834956"/>
      <w:bookmarkStart w:id="151" w:name="_Toc144974504"/>
      <w:bookmarkStart w:id="152" w:name="_Toc152045536"/>
      <w:bookmarkStart w:id="153" w:name="_Toc247527560"/>
      <w:bookmarkStart w:id="154" w:name="_Toc152042312"/>
      <w:bookmarkStart w:id="155" w:name="_Toc247513959"/>
      <w:r>
        <w:rPr>
          <w:rFonts w:hint="eastAsia"/>
        </w:rPr>
        <w:t>1.6 保密</w:t>
      </w:r>
      <w:bookmarkEnd w:id="145"/>
      <w:bookmarkEnd w:id="146"/>
      <w:bookmarkEnd w:id="147"/>
      <w:bookmarkEnd w:id="148"/>
      <w:bookmarkEnd w:id="149"/>
    </w:p>
    <w:p w14:paraId="554CE48F">
      <w:pPr>
        <w:widowControl/>
        <w:adjustRightInd w:val="0"/>
        <w:snapToGrid w:val="0"/>
        <w:spacing w:line="360" w:lineRule="auto"/>
        <w:ind w:firstLine="420" w:firstLineChars="200"/>
        <w:rPr>
          <w:rFonts w:ascii="宋体" w:hAnsi="宋体"/>
          <w:szCs w:val="21"/>
        </w:rPr>
      </w:pPr>
      <w:r>
        <w:rPr>
          <w:rFonts w:hint="eastAsia" w:ascii="宋体" w:hAnsi="宋体"/>
          <w:szCs w:val="21"/>
        </w:rPr>
        <w:t>参与招标投标活动的各方应当对招标文件和投标文件中的商业和技术等秘密保密，否则应当承担相应的法律责任。</w:t>
      </w:r>
    </w:p>
    <w:p w14:paraId="52074A4F">
      <w:pPr>
        <w:pStyle w:val="4"/>
        <w:jc w:val="left"/>
      </w:pPr>
      <w:bookmarkStart w:id="156" w:name="_Toc458504824"/>
      <w:bookmarkStart w:id="157" w:name="_Toc455587038"/>
      <w:bookmarkStart w:id="158" w:name="_Toc466024506"/>
      <w:bookmarkStart w:id="159" w:name="_Toc445554695"/>
      <w:bookmarkStart w:id="160" w:name="_Toc455587222"/>
      <w:r>
        <w:rPr>
          <w:rFonts w:hint="eastAsia"/>
        </w:rPr>
        <w:t>1.7 语言文字</w:t>
      </w:r>
      <w:bookmarkEnd w:id="150"/>
      <w:bookmarkEnd w:id="151"/>
      <w:bookmarkEnd w:id="152"/>
      <w:bookmarkEnd w:id="153"/>
      <w:bookmarkEnd w:id="154"/>
      <w:bookmarkEnd w:id="155"/>
      <w:bookmarkEnd w:id="156"/>
      <w:bookmarkEnd w:id="157"/>
      <w:bookmarkEnd w:id="158"/>
      <w:bookmarkEnd w:id="159"/>
      <w:bookmarkEnd w:id="160"/>
    </w:p>
    <w:p w14:paraId="5835ACD0">
      <w:pPr>
        <w:widowControl/>
        <w:adjustRightInd w:val="0"/>
        <w:snapToGrid w:val="0"/>
        <w:spacing w:line="360" w:lineRule="auto"/>
        <w:ind w:firstLine="420" w:firstLineChars="200"/>
        <w:rPr>
          <w:rFonts w:ascii="宋体" w:hAnsi="宋体"/>
          <w:szCs w:val="21"/>
        </w:rPr>
      </w:pPr>
      <w:r>
        <w:rPr>
          <w:rFonts w:hint="eastAsia" w:ascii="宋体" w:hAnsi="宋体"/>
          <w:szCs w:val="21"/>
        </w:rPr>
        <w:t>除专用术语外，与招标投标有关的语言均应当使用中文。必要时专用术语应附有中文注释。</w:t>
      </w:r>
    </w:p>
    <w:p w14:paraId="3937BA9D">
      <w:pPr>
        <w:pStyle w:val="4"/>
        <w:jc w:val="left"/>
      </w:pPr>
      <w:bookmarkStart w:id="161" w:name="_Toc455587039"/>
      <w:bookmarkStart w:id="162" w:name="_Toc342297627"/>
      <w:bookmarkStart w:id="163" w:name="_Toc333600691"/>
      <w:bookmarkStart w:id="164" w:name="_Toc445554696"/>
      <w:bookmarkStart w:id="165" w:name="_Toc342296170"/>
      <w:bookmarkStart w:id="166" w:name="_Toc152045538"/>
      <w:bookmarkStart w:id="167" w:name="_Toc333599667"/>
      <w:bookmarkStart w:id="168" w:name="_Toc333587861"/>
      <w:bookmarkStart w:id="169" w:name="_Toc144974506"/>
      <w:bookmarkStart w:id="170" w:name="_Toc466024507"/>
      <w:bookmarkStart w:id="171" w:name="_Toc338943708"/>
      <w:bookmarkStart w:id="172" w:name="_Toc342294722"/>
      <w:bookmarkStart w:id="173" w:name="_Toc152042314"/>
      <w:bookmarkStart w:id="174" w:name="_Toc179632555"/>
      <w:bookmarkStart w:id="175" w:name="_Toc338944613"/>
      <w:bookmarkStart w:id="176" w:name="_Toc455587223"/>
      <w:bookmarkStart w:id="177" w:name="_Toc458504825"/>
      <w:bookmarkStart w:id="178" w:name="_Toc371415926"/>
      <w:r>
        <w:rPr>
          <w:rFonts w:hint="eastAsia"/>
        </w:rPr>
        <w:t>1.8 计量单位</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1E5FBD9">
      <w:pPr>
        <w:widowControl/>
        <w:adjustRightInd w:val="0"/>
        <w:snapToGrid w:val="0"/>
        <w:spacing w:line="360" w:lineRule="auto"/>
        <w:ind w:firstLine="420" w:firstLineChars="200"/>
        <w:rPr>
          <w:rFonts w:ascii="宋体" w:hAnsi="宋体"/>
          <w:szCs w:val="21"/>
        </w:rPr>
      </w:pPr>
      <w:r>
        <w:rPr>
          <w:rFonts w:hint="eastAsia" w:ascii="宋体" w:hAnsi="宋体"/>
          <w:szCs w:val="21"/>
        </w:rPr>
        <w:t>除招标文件另有规定外，所有计量均采用中华人民共和国法定计量单位。</w:t>
      </w:r>
    </w:p>
    <w:p w14:paraId="792F3745">
      <w:pPr>
        <w:pStyle w:val="4"/>
        <w:jc w:val="left"/>
      </w:pPr>
      <w:bookmarkStart w:id="179" w:name="_Toc455587224"/>
      <w:bookmarkStart w:id="180" w:name="_Toc455587040"/>
      <w:bookmarkStart w:id="181" w:name="_Toc458504826"/>
      <w:bookmarkStart w:id="182" w:name="_Toc445554697"/>
      <w:bookmarkStart w:id="183" w:name="_Toc371415927"/>
      <w:bookmarkStart w:id="184" w:name="_Toc466024508"/>
      <w:bookmarkStart w:id="185" w:name="_Toc152045540"/>
      <w:bookmarkStart w:id="186" w:name="_Toc333599669"/>
      <w:bookmarkStart w:id="187" w:name="_Toc342294724"/>
      <w:bookmarkStart w:id="188" w:name="_Toc342296172"/>
      <w:bookmarkStart w:id="189" w:name="_Toc144974508"/>
      <w:bookmarkStart w:id="190" w:name="_Toc342297629"/>
      <w:bookmarkStart w:id="191" w:name="_Toc333600693"/>
      <w:bookmarkStart w:id="192" w:name="_Toc179632557"/>
      <w:bookmarkStart w:id="193" w:name="_Toc333587863"/>
      <w:bookmarkStart w:id="194" w:name="_Toc152042316"/>
      <w:bookmarkStart w:id="195" w:name="_Toc338944615"/>
      <w:bookmarkStart w:id="196" w:name="_Toc338943710"/>
      <w:r>
        <w:rPr>
          <w:rFonts w:hint="eastAsia"/>
        </w:rPr>
        <w:t>1.9</w:t>
      </w:r>
      <w:bookmarkEnd w:id="179"/>
      <w:bookmarkEnd w:id="180"/>
      <w:bookmarkEnd w:id="181"/>
      <w:bookmarkEnd w:id="182"/>
      <w:bookmarkEnd w:id="183"/>
      <w:r>
        <w:rPr>
          <w:rFonts w:hint="eastAsia"/>
        </w:rPr>
        <w:t xml:space="preserve"> 现场勘察</w:t>
      </w:r>
      <w:bookmarkEnd w:id="184"/>
    </w:p>
    <w:p w14:paraId="022D7644">
      <w:pPr>
        <w:widowControl/>
        <w:adjustRightInd w:val="0"/>
        <w:snapToGrid w:val="0"/>
        <w:spacing w:line="360" w:lineRule="auto"/>
        <w:ind w:firstLine="420" w:firstLineChars="200"/>
        <w:rPr>
          <w:rFonts w:ascii="宋体" w:hAnsi="宋体"/>
          <w:szCs w:val="21"/>
        </w:rPr>
      </w:pPr>
      <w:r>
        <w:rPr>
          <w:rFonts w:hint="eastAsia" w:ascii="宋体" w:hAnsi="宋体"/>
          <w:szCs w:val="21"/>
        </w:rPr>
        <w:t>1.9</w:t>
      </w:r>
      <w:r>
        <w:rPr>
          <w:rFonts w:ascii="宋体" w:hAnsi="宋体"/>
          <w:szCs w:val="21"/>
        </w:rPr>
        <w:t>.1</w:t>
      </w:r>
      <w:r>
        <w:rPr>
          <w:rFonts w:hint="eastAsia" w:ascii="宋体" w:hAnsi="宋体"/>
          <w:szCs w:val="21"/>
        </w:rPr>
        <w:t xml:space="preserve"> 投标供应商须知前附表规定组织现场勘察的，采购人按投标供应商须知前附表规定的时间、地点组织投标供应商现场勘察。采购人不组织统一现场勘察的，由投标供应商自行勘察现场。</w:t>
      </w:r>
    </w:p>
    <w:p w14:paraId="3FA62DFA">
      <w:pPr>
        <w:widowControl/>
        <w:adjustRightInd w:val="0"/>
        <w:snapToGrid w:val="0"/>
        <w:spacing w:line="360" w:lineRule="auto"/>
        <w:ind w:firstLine="420" w:firstLineChars="200"/>
        <w:rPr>
          <w:rFonts w:ascii="宋体" w:hAnsi="宋体"/>
          <w:szCs w:val="21"/>
        </w:rPr>
      </w:pPr>
      <w:r>
        <w:rPr>
          <w:rFonts w:hint="eastAsia" w:ascii="宋体" w:hAnsi="宋体"/>
          <w:szCs w:val="21"/>
        </w:rPr>
        <w:t>1.9.</w:t>
      </w:r>
      <w:r>
        <w:rPr>
          <w:rFonts w:ascii="宋体" w:hAnsi="宋体"/>
          <w:szCs w:val="21"/>
        </w:rPr>
        <w:t>2</w:t>
      </w:r>
      <w:r>
        <w:rPr>
          <w:rFonts w:hint="eastAsia" w:ascii="宋体" w:hAnsi="宋体"/>
          <w:szCs w:val="21"/>
        </w:rPr>
        <w:t xml:space="preserve"> 投标供应商现场勘察发生的费用自理。</w:t>
      </w:r>
    </w:p>
    <w:p w14:paraId="0E7083C7">
      <w:pPr>
        <w:widowControl/>
        <w:adjustRightInd w:val="0"/>
        <w:snapToGrid w:val="0"/>
        <w:spacing w:line="360" w:lineRule="auto"/>
        <w:ind w:firstLine="420" w:firstLineChars="200"/>
        <w:rPr>
          <w:rFonts w:ascii="宋体" w:hAnsi="宋体"/>
          <w:szCs w:val="21"/>
        </w:rPr>
      </w:pPr>
      <w:r>
        <w:rPr>
          <w:rFonts w:hint="eastAsia" w:ascii="宋体" w:hAnsi="宋体"/>
          <w:szCs w:val="21"/>
        </w:rPr>
        <w:t>1.9</w:t>
      </w:r>
      <w:r>
        <w:rPr>
          <w:rFonts w:ascii="宋体" w:hAnsi="宋体"/>
          <w:szCs w:val="21"/>
        </w:rPr>
        <w:t>.3</w:t>
      </w:r>
      <w:r>
        <w:rPr>
          <w:rFonts w:hint="eastAsia" w:ascii="宋体" w:hAnsi="宋体"/>
          <w:szCs w:val="21"/>
        </w:rPr>
        <w:t xml:space="preserve"> 除采购人的原因外，投标供应商自行负责在现场勘察中所发生的人员伤亡和财产损失。</w:t>
      </w:r>
    </w:p>
    <w:p w14:paraId="03A93C1D">
      <w:pPr>
        <w:widowControl/>
        <w:adjustRightInd w:val="0"/>
        <w:snapToGrid w:val="0"/>
        <w:spacing w:line="360" w:lineRule="auto"/>
        <w:ind w:firstLine="420" w:firstLineChars="200"/>
        <w:rPr>
          <w:rFonts w:ascii="宋体" w:hAnsi="宋体"/>
          <w:szCs w:val="21"/>
        </w:rPr>
      </w:pPr>
      <w:bookmarkStart w:id="197" w:name="_Toc455587041"/>
      <w:bookmarkStart w:id="198" w:name="_Toc458504827"/>
      <w:bookmarkStart w:id="199" w:name="_Toc455587225"/>
      <w:bookmarkStart w:id="200" w:name="_Toc445554698"/>
      <w:bookmarkStart w:id="201" w:name="_Toc466024509"/>
      <w:r>
        <w:rPr>
          <w:rFonts w:hint="eastAsia" w:ascii="宋体" w:hAnsi="宋体"/>
          <w:szCs w:val="21"/>
        </w:rPr>
        <w:t>1.9</w:t>
      </w:r>
      <w:r>
        <w:rPr>
          <w:rFonts w:ascii="宋体" w:hAnsi="宋体"/>
          <w:szCs w:val="21"/>
        </w:rPr>
        <w:t>.4</w:t>
      </w:r>
      <w:r>
        <w:rPr>
          <w:rFonts w:hint="eastAsia" w:ascii="宋体" w:hAnsi="宋体"/>
          <w:szCs w:val="21"/>
        </w:rPr>
        <w:t xml:space="preserve"> 采购人在现场勘察中介绍的现场情况和周边相关的环境情况，仅作为投标供应商在编制投标文件时参考，采购人不对投标供应商据此作出的判断和决策负责。</w:t>
      </w:r>
    </w:p>
    <w:p w14:paraId="16ED171E">
      <w:pPr>
        <w:widowControl/>
        <w:adjustRightInd w:val="0"/>
        <w:snapToGrid w:val="0"/>
        <w:spacing w:line="360" w:lineRule="auto"/>
        <w:ind w:firstLine="420" w:firstLineChars="200"/>
        <w:rPr>
          <w:rFonts w:ascii="宋体" w:hAnsi="宋体"/>
          <w:szCs w:val="21"/>
        </w:rPr>
      </w:pPr>
      <w:r>
        <w:rPr>
          <w:rFonts w:hint="eastAsia" w:ascii="宋体" w:hAnsi="宋体"/>
          <w:szCs w:val="21"/>
        </w:rPr>
        <w:t>1.9.5 除非有特殊要求，招标文件不单独提供服务使用地的自然环境、气候条件、公用设施等情况，投标供应商被视为熟悉上述与履行合同有关的一切情况。</w:t>
      </w:r>
    </w:p>
    <w:p w14:paraId="0D1FD2B8">
      <w:pPr>
        <w:pStyle w:val="4"/>
        <w:jc w:val="left"/>
      </w:pPr>
      <w:r>
        <w:rPr>
          <w:rFonts w:hint="eastAsia"/>
        </w:rPr>
        <w:t>1.10</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rPr>
        <w:t xml:space="preserve"> 分包</w:t>
      </w:r>
    </w:p>
    <w:p w14:paraId="471C0E7F">
      <w:pPr>
        <w:widowControl/>
        <w:adjustRightInd w:val="0"/>
        <w:snapToGrid w:val="0"/>
        <w:spacing w:line="360" w:lineRule="auto"/>
        <w:ind w:firstLine="420" w:firstLineChars="200"/>
        <w:rPr>
          <w:rFonts w:ascii="宋体" w:hAnsi="宋体"/>
          <w:szCs w:val="21"/>
        </w:rPr>
      </w:pPr>
      <w:r>
        <w:rPr>
          <w:rFonts w:hint="eastAsia" w:ascii="宋体" w:hAnsi="宋体"/>
          <w:szCs w:val="21"/>
        </w:rPr>
        <w:t xml:space="preserve">1.10.1 投标供应商拟在中标后将中标项目的非主体、非关键性工作进行分包的，应符合投标供应商须知前附表规定的分包内容、分包金额，分包承担主体应当具备相应资质条件且不得再次分包，除投标供应商须知前附表规定的非主体、非关键性工作外，其他工作不得分包。 </w:t>
      </w:r>
    </w:p>
    <w:p w14:paraId="41E8DCA0">
      <w:pPr>
        <w:widowControl/>
        <w:adjustRightInd w:val="0"/>
        <w:snapToGrid w:val="0"/>
        <w:spacing w:line="360" w:lineRule="auto"/>
        <w:ind w:firstLine="420" w:firstLineChars="200"/>
        <w:rPr>
          <w:rFonts w:ascii="宋体" w:hAnsi="宋体"/>
          <w:szCs w:val="21"/>
        </w:rPr>
      </w:pPr>
      <w:r>
        <w:rPr>
          <w:rFonts w:hint="eastAsia" w:ascii="宋体" w:hAnsi="宋体"/>
          <w:szCs w:val="21"/>
        </w:rPr>
        <w:t>1.10.2 中标人不得向他人转让中标项目。中标人应当就分包项目向采购人负责，分包承担主体就分包项目承担连带责任。</w:t>
      </w:r>
    </w:p>
    <w:p w14:paraId="2305EC02">
      <w:pPr>
        <w:pStyle w:val="3"/>
        <w:rPr>
          <w:rStyle w:val="19"/>
          <w:rFonts w:ascii="宋体" w:hAnsi="宋体" w:eastAsia="宋体"/>
          <w:b/>
          <w:bCs/>
          <w:sz w:val="28"/>
          <w:szCs w:val="28"/>
        </w:rPr>
      </w:pPr>
      <w:bookmarkStart w:id="202" w:name="_Toc20751"/>
      <w:bookmarkStart w:id="203" w:name="_Toc458504828"/>
      <w:bookmarkStart w:id="204" w:name="_Toc338944618"/>
      <w:bookmarkStart w:id="205" w:name="_Toc333600696"/>
      <w:bookmarkStart w:id="206" w:name="_Toc371415929"/>
      <w:bookmarkStart w:id="207" w:name="_Toc152045542"/>
      <w:bookmarkStart w:id="208" w:name="_Toc455587227"/>
      <w:bookmarkStart w:id="209" w:name="_Toc342294727"/>
      <w:bookmarkStart w:id="210" w:name="_Toc342297632"/>
      <w:bookmarkStart w:id="211" w:name="_Toc466024510"/>
      <w:bookmarkStart w:id="212" w:name="_Toc342296175"/>
      <w:bookmarkStart w:id="213" w:name="_Toc455587043"/>
      <w:bookmarkStart w:id="214" w:name="_Toc144974510"/>
      <w:bookmarkStart w:id="215" w:name="_Toc333599672"/>
      <w:bookmarkStart w:id="216" w:name="_Toc179632560"/>
      <w:bookmarkStart w:id="217" w:name="_Toc152042318"/>
      <w:bookmarkStart w:id="218" w:name="_Toc445554700"/>
      <w:bookmarkStart w:id="219" w:name="_Toc338943713"/>
      <w:r>
        <w:rPr>
          <w:rStyle w:val="19"/>
          <w:rFonts w:hint="eastAsia" w:ascii="宋体" w:hAnsi="宋体" w:eastAsia="宋体"/>
          <w:b/>
          <w:bCs/>
          <w:sz w:val="28"/>
          <w:szCs w:val="28"/>
        </w:rPr>
        <w:t>2. 招标文件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E3EDEFA">
      <w:pPr>
        <w:pStyle w:val="4"/>
        <w:jc w:val="left"/>
      </w:pPr>
      <w:bookmarkStart w:id="220" w:name="_Toc342297633"/>
      <w:bookmarkStart w:id="221" w:name="_Toc342296176"/>
      <w:bookmarkStart w:id="222" w:name="_Toc466024511"/>
      <w:bookmarkStart w:id="223" w:name="_Toc152042319"/>
      <w:bookmarkStart w:id="224" w:name="_Toc333599673"/>
      <w:bookmarkStart w:id="225" w:name="_Toc338943714"/>
      <w:bookmarkStart w:id="226" w:name="_Toc333587867"/>
      <w:bookmarkStart w:id="227" w:name="_Toc144974511"/>
      <w:bookmarkStart w:id="228" w:name="_Toc445554701"/>
      <w:bookmarkStart w:id="229" w:name="_Toc179632561"/>
      <w:bookmarkStart w:id="230" w:name="_Toc371415930"/>
      <w:bookmarkStart w:id="231" w:name="_Toc338944619"/>
      <w:bookmarkStart w:id="232" w:name="_Toc458504829"/>
      <w:bookmarkStart w:id="233" w:name="_Toc455587044"/>
      <w:bookmarkStart w:id="234" w:name="_Toc333600697"/>
      <w:bookmarkStart w:id="235" w:name="_Toc342294728"/>
      <w:bookmarkStart w:id="236" w:name="_Toc152045543"/>
      <w:bookmarkStart w:id="237" w:name="_Toc455587228"/>
      <w:r>
        <w:rPr>
          <w:rFonts w:hint="eastAsia"/>
        </w:rPr>
        <w:t>2.1 招标文件的组成</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78142AEB">
      <w:pPr>
        <w:widowControl/>
        <w:adjustRightInd w:val="0"/>
        <w:snapToGrid w:val="0"/>
        <w:spacing w:line="360" w:lineRule="auto"/>
        <w:ind w:firstLine="420" w:firstLineChars="200"/>
        <w:rPr>
          <w:rFonts w:ascii="宋体" w:hAnsi="宋体"/>
          <w:szCs w:val="21"/>
        </w:rPr>
      </w:pPr>
      <w:r>
        <w:rPr>
          <w:rFonts w:hint="eastAsia" w:ascii="宋体" w:hAnsi="宋体"/>
          <w:szCs w:val="21"/>
        </w:rPr>
        <w:t>本招标文件包括：</w:t>
      </w:r>
    </w:p>
    <w:p w14:paraId="62021D34">
      <w:pPr>
        <w:widowControl/>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）招标公告（或投标邀请书）；</w:t>
      </w:r>
    </w:p>
    <w:p w14:paraId="7E2DA813">
      <w:pPr>
        <w:widowControl/>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）投标供应商须知；</w:t>
      </w:r>
    </w:p>
    <w:p w14:paraId="5B1C2F53">
      <w:pPr>
        <w:widowControl/>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）采购需求及技术规格要求；</w:t>
      </w:r>
    </w:p>
    <w:p w14:paraId="53818AD3">
      <w:pPr>
        <w:widowControl/>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）资格审查与评标办法；</w:t>
      </w:r>
    </w:p>
    <w:p w14:paraId="2097472B">
      <w:pPr>
        <w:widowControl/>
        <w:adjustRightInd w:val="0"/>
        <w:snapToGrid w:val="0"/>
        <w:spacing w:line="360" w:lineRule="auto"/>
        <w:ind w:firstLine="420" w:firstLineChars="200"/>
        <w:rPr>
          <w:rFonts w:ascii="宋体" w:hAnsi="宋体"/>
          <w:szCs w:val="21"/>
        </w:rPr>
      </w:pPr>
      <w:r>
        <w:rPr>
          <w:rFonts w:hint="eastAsia" w:ascii="宋体" w:hAnsi="宋体"/>
          <w:szCs w:val="21"/>
        </w:rPr>
        <w:t>（5）合同条款及格式；</w:t>
      </w:r>
    </w:p>
    <w:p w14:paraId="40BE9E6D">
      <w:pPr>
        <w:widowControl/>
        <w:adjustRightInd w:val="0"/>
        <w:snapToGrid w:val="0"/>
        <w:spacing w:line="360" w:lineRule="auto"/>
        <w:ind w:firstLine="420" w:firstLineChars="200"/>
        <w:rPr>
          <w:rFonts w:ascii="宋体" w:hAnsi="宋体"/>
          <w:szCs w:val="21"/>
        </w:rPr>
      </w:pPr>
      <w:r>
        <w:rPr>
          <w:rFonts w:hint="eastAsia" w:ascii="宋体" w:hAnsi="宋体"/>
          <w:szCs w:val="21"/>
        </w:rPr>
        <w:t>（6）投标文件格式；</w:t>
      </w:r>
    </w:p>
    <w:p w14:paraId="598F368E">
      <w:pPr>
        <w:widowControl/>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）其他材料。</w:t>
      </w:r>
    </w:p>
    <w:p w14:paraId="27E9617F">
      <w:pPr>
        <w:widowControl/>
        <w:adjustRightInd w:val="0"/>
        <w:snapToGrid w:val="0"/>
        <w:spacing w:line="360" w:lineRule="auto"/>
        <w:ind w:firstLine="420" w:firstLineChars="200"/>
        <w:rPr>
          <w:rFonts w:ascii="宋体" w:hAnsi="宋体"/>
          <w:szCs w:val="21"/>
        </w:rPr>
      </w:pPr>
      <w:bookmarkStart w:id="238" w:name="_Toc247527569"/>
      <w:bookmarkStart w:id="239" w:name="_Toc300834965"/>
      <w:bookmarkStart w:id="240" w:name="_Toc247513968"/>
      <w:bookmarkStart w:id="241" w:name="_Toc445554702"/>
      <w:bookmarkStart w:id="242" w:name="_Toc458504830"/>
      <w:bookmarkStart w:id="243" w:name="_Toc144974512"/>
      <w:bookmarkStart w:id="244" w:name="_Toc152045544"/>
      <w:bookmarkStart w:id="245" w:name="_Toc466024512"/>
      <w:bookmarkStart w:id="246" w:name="_Toc455587229"/>
      <w:bookmarkStart w:id="247" w:name="_Toc371415931"/>
      <w:bookmarkStart w:id="248" w:name="_Toc455587045"/>
      <w:bookmarkStart w:id="249" w:name="_Toc152042320"/>
      <w:r>
        <w:rPr>
          <w:rFonts w:hint="eastAsia" w:ascii="宋体" w:hAnsi="宋体"/>
          <w:szCs w:val="21"/>
        </w:rPr>
        <w:t>对招标文件所作的澄清、修改、补充通知，构成招标文件的组成部分。当招标文件、招标文件的澄清或修改等在同一内容的表述上不一致时，以最后发出的书面文件为准。</w:t>
      </w:r>
    </w:p>
    <w:p w14:paraId="0B64C967">
      <w:pPr>
        <w:pStyle w:val="4"/>
        <w:jc w:val="left"/>
      </w:pPr>
      <w:r>
        <w:rPr>
          <w:rFonts w:hint="eastAsia"/>
        </w:rPr>
        <w:t>2.2 招标文件的澄清</w:t>
      </w:r>
      <w:bookmarkEnd w:id="238"/>
      <w:bookmarkEnd w:id="239"/>
      <w:bookmarkEnd w:id="240"/>
      <w:bookmarkEnd w:id="241"/>
      <w:bookmarkEnd w:id="242"/>
      <w:bookmarkEnd w:id="243"/>
      <w:bookmarkEnd w:id="244"/>
      <w:bookmarkEnd w:id="245"/>
      <w:bookmarkEnd w:id="246"/>
      <w:bookmarkEnd w:id="247"/>
      <w:bookmarkEnd w:id="248"/>
      <w:bookmarkEnd w:id="249"/>
    </w:p>
    <w:p w14:paraId="105878F1">
      <w:pPr>
        <w:widowControl/>
        <w:adjustRightInd w:val="0"/>
        <w:snapToGrid w:val="0"/>
        <w:spacing w:line="360" w:lineRule="auto"/>
        <w:ind w:firstLine="420" w:firstLineChars="200"/>
        <w:rPr>
          <w:rFonts w:ascii="宋体" w:hAnsi="宋体"/>
          <w:szCs w:val="21"/>
        </w:rPr>
      </w:pPr>
      <w:bookmarkStart w:id="250" w:name="_Toc458504831"/>
      <w:bookmarkStart w:id="251" w:name="_Toc455587230"/>
      <w:bookmarkStart w:id="252" w:name="_Toc300834966"/>
      <w:bookmarkStart w:id="253" w:name="_Toc247513969"/>
      <w:bookmarkStart w:id="254" w:name="_Toc445554703"/>
      <w:bookmarkStart w:id="255" w:name="_Toc152045545"/>
      <w:bookmarkStart w:id="256" w:name="_Toc152042321"/>
      <w:bookmarkStart w:id="257" w:name="_Toc466024513"/>
      <w:bookmarkStart w:id="258" w:name="_Toc247527570"/>
      <w:bookmarkStart w:id="259" w:name="_Toc455587046"/>
      <w:bookmarkStart w:id="260" w:name="_Toc371415932"/>
      <w:bookmarkStart w:id="261" w:name="_Toc144974513"/>
      <w:r>
        <w:rPr>
          <w:rFonts w:hint="eastAsia" w:ascii="宋体" w:hAnsi="宋体"/>
          <w:szCs w:val="21"/>
        </w:rPr>
        <w:t>2.2.</w:t>
      </w:r>
      <w:r>
        <w:rPr>
          <w:rFonts w:ascii="宋体" w:hAnsi="宋体"/>
          <w:szCs w:val="21"/>
        </w:rPr>
        <w:t>1</w:t>
      </w:r>
      <w:r>
        <w:rPr>
          <w:rFonts w:hint="eastAsia" w:ascii="宋体" w:hAnsi="宋体"/>
          <w:szCs w:val="21"/>
        </w:rPr>
        <w:t xml:space="preserve"> </w:t>
      </w:r>
      <w:r>
        <w:t>投标供应商应仔细阅读和检查招标文件的全部内容。如发现缺页或附件不全，应及时向</w:t>
      </w:r>
      <w:r>
        <w:rPr>
          <w:rFonts w:hint="eastAsia"/>
        </w:rPr>
        <w:t>采购</w:t>
      </w:r>
      <w:r>
        <w:t>人提出，以便补齐。如有疑问，应按投标供应商须知前附表规定的时间和形式将提出的问题送达</w:t>
      </w:r>
      <w:r>
        <w:rPr>
          <w:rFonts w:hint="eastAsia"/>
        </w:rPr>
        <w:t>采购</w:t>
      </w:r>
      <w:r>
        <w:t>人，要求</w:t>
      </w:r>
      <w:r>
        <w:rPr>
          <w:rFonts w:hint="eastAsia"/>
        </w:rPr>
        <w:t>采购</w:t>
      </w:r>
      <w:r>
        <w:t>人对招标文件予以澄清。</w:t>
      </w:r>
    </w:p>
    <w:p w14:paraId="1536FA5E">
      <w:pPr>
        <w:widowControl/>
        <w:adjustRightInd w:val="0"/>
        <w:snapToGrid w:val="0"/>
        <w:spacing w:line="360" w:lineRule="auto"/>
        <w:ind w:firstLine="420" w:firstLineChars="200"/>
        <w:rPr>
          <w:rFonts w:ascii="宋体" w:hAnsi="宋体"/>
          <w:szCs w:val="21"/>
        </w:rPr>
      </w:pPr>
      <w:r>
        <w:rPr>
          <w:rFonts w:hint="eastAsia" w:ascii="宋体" w:hAnsi="宋体"/>
          <w:szCs w:val="21"/>
        </w:rPr>
        <w:t>2.2.2 招标文件的澄清将以投标供应商须知前附表规定的形式发给所有购买招标文件的投标供应商，但不指明澄清问题的来源。如果澄清发出的时间距本章第4.2.1项规定的投标截止时间不足</w:t>
      </w:r>
      <w:r>
        <w:rPr>
          <w:rFonts w:ascii="宋体" w:hAnsi="宋体"/>
          <w:szCs w:val="21"/>
        </w:rPr>
        <w:t>15</w:t>
      </w:r>
      <w:r>
        <w:rPr>
          <w:rFonts w:hint="eastAsia" w:ascii="宋体" w:hAnsi="宋体"/>
          <w:szCs w:val="21"/>
        </w:rPr>
        <w:t>日的，并且澄清内容可能影响投标文件编制，将相应顺延投标截止时间。</w:t>
      </w:r>
    </w:p>
    <w:p w14:paraId="0999FEA5">
      <w:pPr>
        <w:widowControl/>
        <w:adjustRightInd w:val="0"/>
        <w:snapToGrid w:val="0"/>
        <w:spacing w:line="360" w:lineRule="auto"/>
        <w:ind w:firstLine="420" w:firstLineChars="200"/>
        <w:rPr>
          <w:rFonts w:ascii="宋体" w:hAnsi="宋体"/>
          <w:szCs w:val="21"/>
        </w:rPr>
      </w:pPr>
      <w:r>
        <w:rPr>
          <w:rFonts w:hint="eastAsia" w:ascii="宋体" w:hAnsi="宋体"/>
          <w:szCs w:val="21"/>
        </w:rPr>
        <w:t>2.2</w:t>
      </w:r>
      <w:r>
        <w:rPr>
          <w:rFonts w:ascii="宋体" w:hAnsi="宋体"/>
          <w:szCs w:val="21"/>
        </w:rPr>
        <w:t>.3</w:t>
      </w:r>
      <w:r>
        <w:rPr>
          <w:rFonts w:hint="eastAsia" w:ascii="宋体" w:hAnsi="宋体"/>
          <w:szCs w:val="21"/>
        </w:rPr>
        <w:t xml:space="preserve"> 在安天e采招标采购电子交易系统上发布，投标供应商应主动上网查询。投标供应商未及时关注相关信息的，责任自负。</w:t>
      </w:r>
    </w:p>
    <w:p w14:paraId="6F84C812">
      <w:pPr>
        <w:widowControl/>
        <w:adjustRightInd w:val="0"/>
        <w:snapToGrid w:val="0"/>
        <w:spacing w:line="360" w:lineRule="auto"/>
        <w:ind w:firstLine="420" w:firstLineChars="200"/>
        <w:rPr>
          <w:rFonts w:ascii="宋体" w:hAnsi="宋体"/>
          <w:szCs w:val="21"/>
        </w:rPr>
      </w:pPr>
      <w:r>
        <w:rPr>
          <w:rFonts w:hint="eastAsia" w:ascii="宋体" w:hAnsi="宋体"/>
          <w:szCs w:val="21"/>
        </w:rPr>
        <w:t>2.2.4 除非</w:t>
      </w:r>
      <w:r>
        <w:rPr>
          <w:rFonts w:hint="eastAsia"/>
        </w:rPr>
        <w:t>采购</w:t>
      </w:r>
      <w:r>
        <w:rPr>
          <w:rFonts w:hint="eastAsia" w:ascii="宋体" w:hAnsi="宋体"/>
          <w:szCs w:val="21"/>
        </w:rPr>
        <w:t>人认为确有必要答复，否则，</w:t>
      </w:r>
      <w:r>
        <w:rPr>
          <w:rFonts w:hint="eastAsia"/>
        </w:rPr>
        <w:t>采购</w:t>
      </w:r>
      <w:r>
        <w:rPr>
          <w:rFonts w:hint="eastAsia" w:ascii="宋体" w:hAnsi="宋体"/>
          <w:szCs w:val="21"/>
        </w:rPr>
        <w:t>人有权拒绝回复投标供应商在本章第2.2.1项规定的时间后的任何澄清要求。</w:t>
      </w:r>
    </w:p>
    <w:p w14:paraId="4D4CF335">
      <w:pPr>
        <w:pStyle w:val="4"/>
        <w:jc w:val="left"/>
      </w:pPr>
      <w:r>
        <w:rPr>
          <w:rFonts w:hint="eastAsia"/>
        </w:rPr>
        <w:t>2.3 招标文件的修改</w:t>
      </w:r>
      <w:bookmarkEnd w:id="250"/>
      <w:bookmarkEnd w:id="251"/>
      <w:bookmarkEnd w:id="252"/>
      <w:bookmarkEnd w:id="253"/>
      <w:bookmarkEnd w:id="254"/>
      <w:bookmarkEnd w:id="255"/>
      <w:bookmarkEnd w:id="256"/>
      <w:bookmarkEnd w:id="257"/>
      <w:bookmarkEnd w:id="258"/>
      <w:bookmarkEnd w:id="259"/>
      <w:bookmarkEnd w:id="260"/>
      <w:bookmarkEnd w:id="261"/>
    </w:p>
    <w:p w14:paraId="666E32FD">
      <w:pPr>
        <w:widowControl/>
        <w:adjustRightInd w:val="0"/>
        <w:snapToGrid w:val="0"/>
        <w:spacing w:line="360" w:lineRule="auto"/>
        <w:ind w:firstLine="420" w:firstLineChars="200"/>
        <w:rPr>
          <w:rFonts w:ascii="宋体" w:hAnsi="宋体"/>
          <w:szCs w:val="21"/>
        </w:rPr>
      </w:pPr>
      <w:r>
        <w:rPr>
          <w:rFonts w:hint="eastAsia" w:ascii="宋体" w:hAnsi="宋体"/>
          <w:szCs w:val="21"/>
        </w:rPr>
        <w:t>2.3</w:t>
      </w:r>
      <w:r>
        <w:rPr>
          <w:rFonts w:ascii="宋体" w:hAnsi="宋体"/>
          <w:szCs w:val="21"/>
        </w:rPr>
        <w:t>.1</w:t>
      </w:r>
      <w:r>
        <w:rPr>
          <w:rFonts w:hint="eastAsia" w:ascii="宋体" w:hAnsi="宋体"/>
          <w:szCs w:val="21"/>
        </w:rPr>
        <w:t xml:space="preserve"> 采购人投标供应商须知前附表规定的形式修改招标文件，并通知所有购买招标文件的投标供应商。如果修改招标文件的时间距本章第4.2.1项规定的投标截止时间不足</w:t>
      </w:r>
      <w:r>
        <w:rPr>
          <w:rFonts w:ascii="宋体" w:hAnsi="宋体"/>
          <w:szCs w:val="21"/>
        </w:rPr>
        <w:t>15</w:t>
      </w:r>
      <w:r>
        <w:rPr>
          <w:rFonts w:hint="eastAsia" w:ascii="宋体" w:hAnsi="宋体"/>
          <w:szCs w:val="21"/>
        </w:rPr>
        <w:t>日的，且修改内容可能影响投标文件编制，将相应顺延投标截止时间。</w:t>
      </w:r>
      <w:r>
        <w:rPr>
          <w:rFonts w:ascii="宋体" w:hAnsi="宋体"/>
          <w:szCs w:val="21"/>
        </w:rPr>
        <w:t xml:space="preserve"> </w:t>
      </w:r>
    </w:p>
    <w:p w14:paraId="25F66358">
      <w:pPr>
        <w:widowControl/>
        <w:adjustRightInd w:val="0"/>
        <w:snapToGrid w:val="0"/>
        <w:spacing w:line="360" w:lineRule="auto"/>
        <w:ind w:firstLine="420" w:firstLineChars="200"/>
        <w:rPr>
          <w:rFonts w:ascii="宋体" w:hAnsi="宋体"/>
          <w:szCs w:val="21"/>
        </w:rPr>
      </w:pPr>
      <w:r>
        <w:rPr>
          <w:rFonts w:hint="eastAsia" w:ascii="宋体" w:hAnsi="宋体"/>
          <w:szCs w:val="21"/>
        </w:rPr>
        <w:t>2.3</w:t>
      </w:r>
      <w:r>
        <w:rPr>
          <w:rFonts w:ascii="宋体" w:hAnsi="宋体"/>
          <w:szCs w:val="21"/>
        </w:rPr>
        <w:t>.2</w:t>
      </w:r>
      <w:r>
        <w:rPr>
          <w:rFonts w:hint="eastAsia" w:ascii="宋体" w:hAnsi="宋体"/>
          <w:szCs w:val="21"/>
        </w:rPr>
        <w:t xml:space="preserve"> 投标供应商收到修改内容后，除投标供应商须知前附表另有规定外，应在投标供应商须知前附表规定的时间内以书面形式通知采购人，确认已收到该修改。</w:t>
      </w:r>
    </w:p>
    <w:p w14:paraId="604C95F1">
      <w:pPr>
        <w:pStyle w:val="4"/>
        <w:jc w:val="left"/>
      </w:pPr>
      <w:r>
        <w:rPr>
          <w:rFonts w:hint="eastAsia"/>
        </w:rPr>
        <w:t>2.4 招标文件的质疑</w:t>
      </w:r>
    </w:p>
    <w:p w14:paraId="74559286">
      <w:pPr>
        <w:widowControl/>
        <w:adjustRightInd w:val="0"/>
        <w:snapToGrid w:val="0"/>
        <w:spacing w:line="360" w:lineRule="auto"/>
        <w:ind w:firstLine="420" w:firstLineChars="200"/>
        <w:rPr>
          <w:rFonts w:ascii="宋体" w:hAnsi="宋体"/>
          <w:szCs w:val="21"/>
        </w:rPr>
      </w:pPr>
      <w:r>
        <w:rPr>
          <w:rFonts w:hint="eastAsia" w:ascii="宋体" w:hAnsi="宋体"/>
          <w:szCs w:val="21"/>
        </w:rPr>
        <w:t>2.4.1 投标供应商认为招标文件（包括对招标文件澄清和修改的内容）使自己的权益受到损害时，应当按投标供应商须知前附表规定的时间和形式向采购人提出质疑。</w:t>
      </w:r>
    </w:p>
    <w:p w14:paraId="35390F56">
      <w:pPr>
        <w:widowControl/>
        <w:adjustRightInd w:val="0"/>
        <w:snapToGrid w:val="0"/>
        <w:spacing w:line="360" w:lineRule="auto"/>
        <w:ind w:firstLine="420" w:firstLineChars="200"/>
        <w:rPr>
          <w:rFonts w:ascii="宋体" w:hAnsi="宋体"/>
          <w:szCs w:val="21"/>
        </w:rPr>
      </w:pPr>
      <w:r>
        <w:rPr>
          <w:rFonts w:hint="eastAsia" w:ascii="宋体" w:hAnsi="宋体"/>
          <w:szCs w:val="21"/>
        </w:rPr>
        <w:t>2.4.2 采购人自收到质疑之日起在7个工作日内作出答复。逾期提出的，采购人可不予受理。质疑与答复应采取书面形式。</w:t>
      </w:r>
    </w:p>
    <w:p w14:paraId="264F7798">
      <w:pPr>
        <w:widowControl/>
        <w:adjustRightInd w:val="0"/>
        <w:snapToGrid w:val="0"/>
        <w:spacing w:line="360" w:lineRule="auto"/>
        <w:ind w:firstLine="420" w:firstLineChars="200"/>
        <w:rPr>
          <w:rFonts w:ascii="宋体" w:hAnsi="宋体"/>
          <w:szCs w:val="21"/>
        </w:rPr>
      </w:pPr>
      <w:r>
        <w:rPr>
          <w:rFonts w:hint="eastAsia" w:ascii="宋体" w:hAnsi="宋体"/>
          <w:szCs w:val="21"/>
        </w:rPr>
        <w:t>2.4.3 采购人对质疑的答复构成对招标文件澄清或者修改的，采购人将按照本章第2.2款、第2.3款规定办理。</w:t>
      </w:r>
    </w:p>
    <w:p w14:paraId="56C9288D">
      <w:pPr>
        <w:pStyle w:val="3"/>
        <w:rPr>
          <w:rStyle w:val="19"/>
          <w:rFonts w:ascii="宋体" w:hAnsi="宋体" w:eastAsia="宋体"/>
          <w:b/>
          <w:bCs/>
          <w:sz w:val="28"/>
          <w:szCs w:val="28"/>
        </w:rPr>
      </w:pPr>
      <w:bookmarkStart w:id="262" w:name="_Toc12416"/>
      <w:bookmarkStart w:id="263" w:name="_Toc333599676"/>
      <w:bookmarkStart w:id="264" w:name="_Toc342297636"/>
      <w:bookmarkStart w:id="265" w:name="_Toc342296179"/>
      <w:bookmarkStart w:id="266" w:name="_Toc179632564"/>
      <w:bookmarkStart w:id="267" w:name="_Toc458504832"/>
      <w:bookmarkStart w:id="268" w:name="_Toc455587048"/>
      <w:bookmarkStart w:id="269" w:name="_Toc338943717"/>
      <w:bookmarkStart w:id="270" w:name="_Toc342294731"/>
      <w:bookmarkStart w:id="271" w:name="_Toc152045546"/>
      <w:bookmarkStart w:id="272" w:name="_Toc445554705"/>
      <w:bookmarkStart w:id="273" w:name="_Toc333600700"/>
      <w:bookmarkStart w:id="274" w:name="_Toc144974514"/>
      <w:bookmarkStart w:id="275" w:name="_Toc466024514"/>
      <w:bookmarkStart w:id="276" w:name="_Toc152042322"/>
      <w:bookmarkStart w:id="277" w:name="_Toc455587232"/>
      <w:bookmarkStart w:id="278" w:name="_Toc338944622"/>
      <w:bookmarkStart w:id="279" w:name="_Toc371415933"/>
      <w:r>
        <w:rPr>
          <w:rStyle w:val="19"/>
          <w:rFonts w:hint="eastAsia" w:ascii="宋体" w:hAnsi="宋体" w:eastAsia="宋体"/>
          <w:b/>
          <w:bCs/>
          <w:sz w:val="28"/>
          <w:szCs w:val="28"/>
        </w:rPr>
        <w:t>3. 投标文件</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4CF7BCD">
      <w:pPr>
        <w:pStyle w:val="4"/>
        <w:jc w:val="left"/>
      </w:pPr>
      <w:bookmarkStart w:id="280" w:name="_Toc333587871"/>
      <w:bookmarkStart w:id="281" w:name="_Toc333599677"/>
      <w:bookmarkStart w:id="282" w:name="_Toc338944623"/>
      <w:bookmarkStart w:id="283" w:name="_Toc333600701"/>
      <w:bookmarkStart w:id="284" w:name="_Toc466024515"/>
      <w:bookmarkStart w:id="285" w:name="_Toc342296180"/>
      <w:bookmarkStart w:id="286" w:name="_Toc455587049"/>
      <w:bookmarkStart w:id="287" w:name="_Toc338943718"/>
      <w:bookmarkStart w:id="288" w:name="_Toc371415934"/>
      <w:bookmarkStart w:id="289" w:name="_Toc455587233"/>
      <w:bookmarkStart w:id="290" w:name="_Toc458504833"/>
      <w:bookmarkStart w:id="291" w:name="_Toc144974515"/>
      <w:bookmarkStart w:id="292" w:name="_Toc152042323"/>
      <w:bookmarkStart w:id="293" w:name="_Toc342294732"/>
      <w:bookmarkStart w:id="294" w:name="_Toc445554706"/>
      <w:bookmarkStart w:id="295" w:name="_Toc152045547"/>
      <w:bookmarkStart w:id="296" w:name="_Toc179632565"/>
      <w:bookmarkStart w:id="297" w:name="_Toc342297637"/>
      <w:r>
        <w:rPr>
          <w:rFonts w:hint="eastAsia"/>
        </w:rPr>
        <w:t>3.1 投标文件的组成</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C8A92B9">
      <w:pPr>
        <w:widowControl/>
        <w:adjustRightInd w:val="0"/>
        <w:snapToGrid w:val="0"/>
        <w:spacing w:line="360" w:lineRule="auto"/>
        <w:ind w:firstLine="420" w:firstLineChars="200"/>
        <w:rPr>
          <w:rFonts w:ascii="宋体" w:hAnsi="宋体"/>
          <w:szCs w:val="21"/>
        </w:rPr>
      </w:pPr>
      <w:bookmarkStart w:id="298" w:name="_Toc144974516"/>
      <w:bookmarkStart w:id="299" w:name="_Toc179632566"/>
      <w:bookmarkStart w:id="300" w:name="_Toc333599678"/>
      <w:bookmarkStart w:id="301" w:name="_Toc338944624"/>
      <w:bookmarkStart w:id="302" w:name="_Toc342294733"/>
      <w:bookmarkStart w:id="303" w:name="_Toc333600702"/>
      <w:bookmarkStart w:id="304" w:name="_Toc342297638"/>
      <w:bookmarkStart w:id="305" w:name="_Toc152045548"/>
      <w:bookmarkStart w:id="306" w:name="_Toc152042324"/>
      <w:bookmarkStart w:id="307" w:name="_Toc338943719"/>
      <w:bookmarkStart w:id="308" w:name="_Toc342296181"/>
      <w:bookmarkStart w:id="309" w:name="_Toc333587872"/>
      <w:r>
        <w:rPr>
          <w:rFonts w:hint="eastAsia" w:ascii="宋体" w:hAnsi="宋体"/>
          <w:szCs w:val="21"/>
        </w:rPr>
        <w:t>3.1</w:t>
      </w:r>
      <w:r>
        <w:rPr>
          <w:rFonts w:ascii="宋体" w:hAnsi="宋体"/>
          <w:szCs w:val="21"/>
        </w:rPr>
        <w:t>.1</w:t>
      </w:r>
      <w:r>
        <w:rPr>
          <w:rFonts w:hint="eastAsia" w:ascii="宋体" w:hAnsi="宋体"/>
          <w:szCs w:val="21"/>
        </w:rPr>
        <w:t xml:space="preserve"> 投标文件应包括下列内容：</w:t>
      </w:r>
    </w:p>
    <w:p w14:paraId="1D0A11DE">
      <w:pPr>
        <w:widowControl/>
        <w:adjustRightInd w:val="0"/>
        <w:snapToGrid w:val="0"/>
        <w:spacing w:line="360" w:lineRule="auto"/>
        <w:ind w:firstLine="420" w:firstLineChars="200"/>
        <w:jc w:val="left"/>
        <w:rPr>
          <w:rFonts w:ascii="宋体" w:hAnsi="宋体"/>
          <w:szCs w:val="21"/>
        </w:rPr>
      </w:pPr>
      <w:r>
        <w:rPr>
          <w:rFonts w:hint="eastAsia" w:ascii="宋体" w:hAnsi="宋体" w:cs="Calibri"/>
          <w:szCs w:val="21"/>
        </w:rPr>
        <w:t>须知前附表、评标办法及</w:t>
      </w:r>
      <w:r>
        <w:t>采购需求中</w:t>
      </w:r>
      <w:r>
        <w:rPr>
          <w:rFonts w:hint="eastAsia" w:ascii="宋体" w:hAnsi="宋体"/>
          <w:szCs w:val="21"/>
        </w:rPr>
        <w:t>规定的相关材料。</w:t>
      </w:r>
      <w:r>
        <w:rPr>
          <w:rFonts w:ascii="宋体" w:hAnsi="宋体"/>
          <w:szCs w:val="21"/>
        </w:rPr>
        <w:t>投标供应商在评标过程中作出的符合法律法规和招标文件规定的澄清确认，构成投标文件的组成部分。</w:t>
      </w:r>
    </w:p>
    <w:p w14:paraId="0F364452">
      <w:pPr>
        <w:widowControl/>
        <w:adjustRightInd w:val="0"/>
        <w:snapToGrid w:val="0"/>
        <w:spacing w:line="360" w:lineRule="auto"/>
        <w:ind w:firstLine="420" w:firstLineChars="200"/>
        <w:rPr>
          <w:rFonts w:ascii="宋体" w:hAnsi="宋体"/>
          <w:szCs w:val="21"/>
        </w:rPr>
      </w:pPr>
      <w:r>
        <w:rPr>
          <w:rFonts w:hint="eastAsia" w:ascii="宋体" w:hAnsi="宋体"/>
          <w:szCs w:val="21"/>
        </w:rPr>
        <w:t>3.1.2 投标供应商须知前附表规定不接受联合体投标的，或投标供应商没有组成联合体的，投标文件不包括联合体协议书。</w:t>
      </w:r>
    </w:p>
    <w:p w14:paraId="675938F3">
      <w:pPr>
        <w:widowControl/>
        <w:adjustRightInd w:val="0"/>
        <w:snapToGrid w:val="0"/>
        <w:spacing w:line="360" w:lineRule="auto"/>
        <w:ind w:firstLine="420" w:firstLineChars="200"/>
        <w:rPr>
          <w:rFonts w:ascii="宋体" w:hAnsi="宋体"/>
          <w:b/>
          <w:szCs w:val="21"/>
        </w:rPr>
      </w:pPr>
      <w:r>
        <w:rPr>
          <w:rFonts w:hint="eastAsia" w:ascii="宋体" w:hAnsi="宋体"/>
          <w:szCs w:val="21"/>
        </w:rPr>
        <w:t xml:space="preserve">3.1.3 </w:t>
      </w:r>
      <w:r>
        <w:t>投标供应商须知前附表未要求提交投标保证金的，投标文件不包括投标保证金。</w:t>
      </w:r>
    </w:p>
    <w:p w14:paraId="1BFD0A32">
      <w:pPr>
        <w:pStyle w:val="4"/>
        <w:jc w:val="left"/>
      </w:pPr>
      <w:bookmarkStart w:id="310" w:name="_Toc455587050"/>
      <w:bookmarkStart w:id="311" w:name="_Toc455587234"/>
      <w:bookmarkStart w:id="312" w:name="_Toc458504834"/>
      <w:bookmarkStart w:id="313" w:name="_Toc445554707"/>
      <w:bookmarkStart w:id="314" w:name="_Toc466024516"/>
      <w:r>
        <w:rPr>
          <w:rFonts w:hint="eastAsia"/>
        </w:rPr>
        <w:t>3.2 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Start w:id="315" w:name="_Toc370199958"/>
    </w:p>
    <w:p w14:paraId="04ABA603">
      <w:pPr>
        <w:widowControl/>
        <w:adjustRightInd w:val="0"/>
        <w:snapToGrid w:val="0"/>
        <w:spacing w:line="360" w:lineRule="auto"/>
        <w:ind w:firstLine="420" w:firstLineChars="200"/>
        <w:rPr>
          <w:rFonts w:ascii="宋体" w:hAnsi="宋体"/>
          <w:szCs w:val="21"/>
        </w:rPr>
      </w:pPr>
      <w:r>
        <w:rPr>
          <w:rFonts w:hint="eastAsia" w:ascii="宋体" w:hAnsi="宋体"/>
          <w:szCs w:val="21"/>
        </w:rPr>
        <w:t>3.2</w:t>
      </w:r>
      <w:r>
        <w:rPr>
          <w:rFonts w:ascii="宋体" w:hAnsi="宋体"/>
          <w:szCs w:val="21"/>
        </w:rPr>
        <w:t>.1</w:t>
      </w:r>
      <w:r>
        <w:rPr>
          <w:rFonts w:hint="eastAsia" w:ascii="宋体" w:hAnsi="宋体"/>
          <w:szCs w:val="21"/>
        </w:rPr>
        <w:t xml:space="preserve"> 投标报价应当包括的内容见投标供应商须知前附表规定。投标供应商应当按招标文件规定进行投标报价，并按给定格式填写投标报价表格。</w:t>
      </w:r>
      <w:bookmarkEnd w:id="315"/>
      <w:bookmarkStart w:id="316" w:name="_Toc370199959"/>
    </w:p>
    <w:p w14:paraId="7FC0BEB6">
      <w:pPr>
        <w:widowControl/>
        <w:adjustRightInd w:val="0"/>
        <w:snapToGrid w:val="0"/>
        <w:spacing w:line="360" w:lineRule="auto"/>
        <w:ind w:firstLine="420" w:firstLineChars="200"/>
        <w:rPr>
          <w:rFonts w:ascii="宋体" w:hAnsi="宋体"/>
          <w:szCs w:val="21"/>
        </w:rPr>
      </w:pPr>
      <w:r>
        <w:rPr>
          <w:rFonts w:hint="eastAsia" w:ascii="宋体" w:hAnsi="宋体"/>
          <w:szCs w:val="21"/>
        </w:rPr>
        <w:t xml:space="preserve">3.2.2 </w:t>
      </w:r>
      <w:r>
        <w:rPr>
          <w:rFonts w:ascii="宋体" w:hAnsi="宋体"/>
          <w:szCs w:val="21"/>
        </w:rPr>
        <w:t>投标供应商应充分了解该项目的总体情况以及影响报价的其他要素。</w:t>
      </w:r>
    </w:p>
    <w:p w14:paraId="47B329C1">
      <w:pPr>
        <w:widowControl/>
        <w:adjustRightInd w:val="0"/>
        <w:snapToGrid w:val="0"/>
        <w:spacing w:line="360" w:lineRule="auto"/>
        <w:ind w:firstLine="420" w:firstLineChars="200"/>
        <w:rPr>
          <w:rFonts w:ascii="宋体" w:hAnsi="宋体"/>
          <w:szCs w:val="21"/>
        </w:rPr>
      </w:pPr>
      <w:r>
        <w:rPr>
          <w:rFonts w:hint="eastAsia" w:ascii="宋体" w:hAnsi="宋体"/>
          <w:szCs w:val="21"/>
        </w:rPr>
        <w:t>3.2.3 提交两个或两个以上的投标报价，或者任何有选择性的报价或者有附加条件的报价的投标将按无效处理，投标供应商须知前附表允许递交备选方案的除外。</w:t>
      </w:r>
    </w:p>
    <w:p w14:paraId="097CCFB2">
      <w:pPr>
        <w:widowControl/>
        <w:adjustRightInd w:val="0"/>
        <w:snapToGrid w:val="0"/>
        <w:spacing w:line="360" w:lineRule="auto"/>
        <w:ind w:firstLine="420" w:firstLineChars="200"/>
        <w:rPr>
          <w:rFonts w:ascii="宋体" w:hAnsi="宋体"/>
          <w:szCs w:val="21"/>
        </w:rPr>
      </w:pPr>
      <w:r>
        <w:rPr>
          <w:rFonts w:hint="eastAsia" w:ascii="宋体" w:hAnsi="宋体"/>
          <w:szCs w:val="21"/>
        </w:rPr>
        <w:t>3.2.4投标报价为各分项报价之和。如分项报价中存在缺漏项，则视为缺漏项价格已包含在其他分项报价之中。投标供应商在投标截止时间前修改开标一览表中的投标报价总额，应同时修改投标文件“分项报价表”中的相应报价。此修改须符合本章第4.3款的有关要求。</w:t>
      </w:r>
    </w:p>
    <w:p w14:paraId="6DF820D4">
      <w:pPr>
        <w:widowControl/>
        <w:adjustRightInd w:val="0"/>
        <w:snapToGrid w:val="0"/>
        <w:spacing w:line="360" w:lineRule="auto"/>
        <w:ind w:firstLine="420" w:firstLineChars="200"/>
        <w:rPr>
          <w:rFonts w:ascii="宋体" w:hAnsi="宋体"/>
          <w:szCs w:val="21"/>
        </w:rPr>
      </w:pPr>
      <w:r>
        <w:rPr>
          <w:rFonts w:hint="eastAsia" w:ascii="宋体" w:hAnsi="宋体"/>
          <w:szCs w:val="21"/>
        </w:rPr>
        <w:t>3.2.5 采购人设有最高限价的，投标报价不得超过最高限价，否则响应无效，最高限价在投标供应商须知前附表中载明。</w:t>
      </w:r>
    </w:p>
    <w:p w14:paraId="612BC31E">
      <w:pPr>
        <w:widowControl/>
        <w:adjustRightInd w:val="0"/>
        <w:snapToGrid w:val="0"/>
        <w:spacing w:line="360" w:lineRule="auto"/>
        <w:ind w:firstLine="420" w:firstLineChars="200"/>
        <w:rPr>
          <w:rFonts w:ascii="宋体" w:hAnsi="宋体"/>
          <w:szCs w:val="21"/>
        </w:rPr>
      </w:pPr>
      <w:r>
        <w:rPr>
          <w:rFonts w:hint="eastAsia" w:ascii="宋体" w:hAnsi="宋体"/>
          <w:szCs w:val="21"/>
        </w:rPr>
        <w:t>3.2.6 投标报价的其他要求见投标供应商须知前附表。</w:t>
      </w:r>
    </w:p>
    <w:bookmarkEnd w:id="316"/>
    <w:p w14:paraId="1132DB8B">
      <w:pPr>
        <w:pStyle w:val="4"/>
        <w:jc w:val="left"/>
      </w:pPr>
      <w:bookmarkStart w:id="317" w:name="_Toc455587235"/>
      <w:bookmarkStart w:id="318" w:name="_Toc338943720"/>
      <w:bookmarkStart w:id="319" w:name="_Toc445554708"/>
      <w:bookmarkStart w:id="320" w:name="_Toc144974517"/>
      <w:bookmarkStart w:id="321" w:name="_Toc458504835"/>
      <w:bookmarkStart w:id="322" w:name="_Toc333599679"/>
      <w:bookmarkStart w:id="323" w:name="_Toc333587873"/>
      <w:bookmarkStart w:id="324" w:name="_Toc179632567"/>
      <w:bookmarkStart w:id="325" w:name="_Toc342296182"/>
      <w:bookmarkStart w:id="326" w:name="_Toc466024517"/>
      <w:bookmarkStart w:id="327" w:name="_Toc455587051"/>
      <w:bookmarkStart w:id="328" w:name="_Toc152045549"/>
      <w:bookmarkStart w:id="329" w:name="_Toc152042325"/>
      <w:bookmarkStart w:id="330" w:name="_Toc342297639"/>
      <w:bookmarkStart w:id="331" w:name="_Toc338944625"/>
      <w:bookmarkStart w:id="332" w:name="_Toc333600703"/>
      <w:bookmarkStart w:id="333" w:name="_Toc342294734"/>
      <w:bookmarkStart w:id="334" w:name="_Toc371415937"/>
      <w:r>
        <w:rPr>
          <w:rFonts w:hint="eastAsia"/>
        </w:rPr>
        <w:t>3.3 投标有效期</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6047FC54">
      <w:pPr>
        <w:widowControl/>
        <w:adjustRightInd w:val="0"/>
        <w:snapToGrid w:val="0"/>
        <w:spacing w:line="360" w:lineRule="auto"/>
        <w:ind w:firstLine="420" w:firstLineChars="200"/>
        <w:rPr>
          <w:rFonts w:ascii="宋体" w:hAnsi="宋体"/>
          <w:szCs w:val="21"/>
        </w:rPr>
      </w:pPr>
      <w:r>
        <w:rPr>
          <w:rFonts w:hint="eastAsia" w:ascii="宋体" w:hAnsi="宋体"/>
          <w:szCs w:val="21"/>
        </w:rPr>
        <w:t>3.3</w:t>
      </w:r>
      <w:r>
        <w:rPr>
          <w:rFonts w:ascii="宋体" w:hAnsi="宋体"/>
          <w:szCs w:val="21"/>
        </w:rPr>
        <w:t>.1</w:t>
      </w:r>
      <w:r>
        <w:rPr>
          <w:rFonts w:hint="eastAsia" w:ascii="宋体" w:hAnsi="宋体"/>
          <w:szCs w:val="21"/>
        </w:rPr>
        <w:t xml:space="preserve"> 在投标供应商须知前附表规定中的投标有效期内，投标文件保持有效，投标供应商不得要求撤销或修改其投标文件，否则应承担招标文件和法律法规规定的责任。</w:t>
      </w:r>
    </w:p>
    <w:p w14:paraId="0D839F4E">
      <w:pPr>
        <w:widowControl/>
        <w:adjustRightInd w:val="0"/>
        <w:snapToGrid w:val="0"/>
        <w:spacing w:line="360" w:lineRule="auto"/>
        <w:ind w:firstLine="420" w:firstLineChars="200"/>
        <w:rPr>
          <w:rFonts w:ascii="宋体" w:hAnsi="宋体"/>
          <w:szCs w:val="21"/>
        </w:rPr>
      </w:pPr>
      <w:r>
        <w:rPr>
          <w:rFonts w:hint="eastAsia" w:ascii="宋体" w:hAnsi="宋体"/>
          <w:szCs w:val="21"/>
        </w:rPr>
        <w:t>3.3</w:t>
      </w:r>
      <w:r>
        <w:rPr>
          <w:rFonts w:ascii="宋体" w:hAnsi="宋体"/>
          <w:szCs w:val="21"/>
        </w:rPr>
        <w:t>.2</w:t>
      </w:r>
      <w:r>
        <w:rPr>
          <w:rFonts w:hint="eastAsia" w:ascii="宋体" w:hAnsi="宋体"/>
          <w:szCs w:val="21"/>
        </w:rPr>
        <w:t xml:space="preserve"> 出现特殊情况需要延长投标有效期的，采购人以书面形式通知所有投标供应商延长投标有效期。投标供应商同意延长的，应当相应延长其投标保证金的有效期，但不得要求或被允许修改或撤销其投标文件；投标供应商拒绝延长的，其投标失效，但投标供应商有权收回其投标保证金。</w:t>
      </w:r>
      <w:r>
        <w:rPr>
          <w:rFonts w:ascii="宋体" w:hAnsi="宋体"/>
          <w:szCs w:val="21"/>
        </w:rPr>
        <w:t xml:space="preserve"> </w:t>
      </w:r>
    </w:p>
    <w:p w14:paraId="133D2EE4">
      <w:pPr>
        <w:pStyle w:val="4"/>
        <w:jc w:val="left"/>
      </w:pPr>
      <w:bookmarkStart w:id="335" w:name="_Toc152042326"/>
      <w:bookmarkStart w:id="336" w:name="_Toc342296183"/>
      <w:bookmarkStart w:id="337" w:name="_Toc338943721"/>
      <w:bookmarkStart w:id="338" w:name="_Toc333599680"/>
      <w:bookmarkStart w:id="339" w:name="_Toc342294735"/>
      <w:bookmarkStart w:id="340" w:name="_Toc152045550"/>
      <w:bookmarkStart w:id="341" w:name="_Toc445554709"/>
      <w:bookmarkStart w:id="342" w:name="_Toc333587874"/>
      <w:bookmarkStart w:id="343" w:name="_Toc179632568"/>
      <w:bookmarkStart w:id="344" w:name="_Toc466024518"/>
      <w:bookmarkStart w:id="345" w:name="_Toc455587236"/>
      <w:bookmarkStart w:id="346" w:name="_Toc144974518"/>
      <w:bookmarkStart w:id="347" w:name="_Toc458504836"/>
      <w:bookmarkStart w:id="348" w:name="_Toc455587052"/>
      <w:bookmarkStart w:id="349" w:name="_Toc371415938"/>
      <w:bookmarkStart w:id="350" w:name="_Toc342297640"/>
      <w:bookmarkStart w:id="351" w:name="_Toc333600704"/>
      <w:bookmarkStart w:id="352" w:name="_Toc338944626"/>
      <w:r>
        <w:rPr>
          <w:rFonts w:hint="eastAsia"/>
        </w:rPr>
        <w:t>3.4 投标保证金</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Pr>
          <w:rFonts w:hint="eastAsia"/>
        </w:rPr>
        <w:t>（本项目不适用）</w:t>
      </w:r>
    </w:p>
    <w:p w14:paraId="765D62A3">
      <w:pPr>
        <w:widowControl/>
        <w:adjustRightInd w:val="0"/>
        <w:snapToGrid w:val="0"/>
        <w:spacing w:line="360" w:lineRule="auto"/>
        <w:ind w:firstLine="420" w:firstLineChars="200"/>
        <w:rPr>
          <w:rFonts w:ascii="宋体" w:hAnsi="宋体"/>
          <w:szCs w:val="21"/>
        </w:rPr>
      </w:pPr>
      <w:r>
        <w:rPr>
          <w:rFonts w:hint="eastAsia" w:ascii="宋体" w:hAnsi="宋体"/>
          <w:szCs w:val="21"/>
        </w:rPr>
        <w:t>3.4</w:t>
      </w:r>
      <w:r>
        <w:rPr>
          <w:rFonts w:ascii="宋体" w:hAnsi="宋体"/>
          <w:szCs w:val="21"/>
        </w:rPr>
        <w:t>.1</w:t>
      </w:r>
      <w:r>
        <w:rPr>
          <w:rFonts w:hint="eastAsia" w:ascii="宋体" w:hAnsi="宋体"/>
          <w:szCs w:val="21"/>
        </w:rPr>
        <w:t xml:space="preserve"> 投标供应商在递交投标文件的同时，应按投标供应商须知前附表规定递交投标保证金，并作为其投标文件的组成部分。联合体投标的，其投标保证金可以由牵头人提交，并应符合投标供应商须知前附表的规定。</w:t>
      </w:r>
    </w:p>
    <w:p w14:paraId="5624FFA5">
      <w:pPr>
        <w:widowControl/>
        <w:adjustRightInd w:val="0"/>
        <w:snapToGrid w:val="0"/>
        <w:spacing w:line="360" w:lineRule="auto"/>
        <w:ind w:firstLine="420" w:firstLineChars="200"/>
        <w:rPr>
          <w:rFonts w:ascii="宋体" w:hAnsi="宋体"/>
          <w:szCs w:val="21"/>
        </w:rPr>
      </w:pPr>
      <w:r>
        <w:rPr>
          <w:rFonts w:hint="eastAsia" w:ascii="宋体" w:hAnsi="宋体"/>
          <w:szCs w:val="21"/>
        </w:rPr>
        <w:t>3.4.2 投标保证金用于保护采购人免受因投标供应商的行为而引起的风险。</w:t>
      </w:r>
    </w:p>
    <w:p w14:paraId="3B84D940">
      <w:pPr>
        <w:widowControl/>
        <w:adjustRightInd w:val="0"/>
        <w:snapToGrid w:val="0"/>
        <w:spacing w:line="360" w:lineRule="auto"/>
        <w:ind w:firstLine="420" w:firstLineChars="200"/>
        <w:rPr>
          <w:rFonts w:ascii="宋体" w:hAnsi="宋体"/>
          <w:szCs w:val="21"/>
        </w:rPr>
      </w:pPr>
      <w:r>
        <w:rPr>
          <w:rFonts w:hint="eastAsia" w:ascii="宋体" w:hAnsi="宋体"/>
          <w:szCs w:val="21"/>
        </w:rPr>
        <w:t xml:space="preserve">3.4.3 </w:t>
      </w:r>
      <w:r>
        <w:t>投标供应商不按本章</w:t>
      </w:r>
      <w:r>
        <w:rPr>
          <w:rFonts w:ascii="宋体" w:hAnsi="宋体"/>
        </w:rPr>
        <w:t>第3.4.1项</w:t>
      </w:r>
      <w:bookmarkStart w:id="353" w:name="_Toc29025"/>
      <w:bookmarkStart w:id="354" w:name="_Toc369531533"/>
      <w:bookmarkStart w:id="355" w:name="_Toc352691490"/>
      <w:bookmarkStart w:id="356" w:name="_Toc361508602"/>
      <w:bookmarkStart w:id="357" w:name="_Toc384308227"/>
      <w:r>
        <w:rPr>
          <w:rFonts w:ascii="宋体" w:hAnsi="宋体"/>
        </w:rPr>
        <w:t>要求提</w:t>
      </w:r>
      <w:r>
        <w:t>交投标保证金的，</w:t>
      </w:r>
      <w:bookmarkEnd w:id="353"/>
      <w:bookmarkEnd w:id="354"/>
      <w:bookmarkEnd w:id="355"/>
      <w:bookmarkEnd w:id="356"/>
      <w:bookmarkEnd w:id="357"/>
      <w:r>
        <w:rPr>
          <w:rFonts w:hint="eastAsia"/>
        </w:rPr>
        <w:t>其投标无效</w:t>
      </w:r>
      <w:r>
        <w:t>。</w:t>
      </w:r>
    </w:p>
    <w:p w14:paraId="015660C3">
      <w:pPr>
        <w:widowControl/>
        <w:adjustRightInd w:val="0"/>
        <w:snapToGrid w:val="0"/>
        <w:spacing w:line="360" w:lineRule="auto"/>
        <w:ind w:firstLine="420" w:firstLineChars="200"/>
        <w:rPr>
          <w:rFonts w:ascii="宋体" w:hAnsi="宋体"/>
          <w:szCs w:val="21"/>
        </w:rPr>
      </w:pPr>
      <w:r>
        <w:rPr>
          <w:rFonts w:hint="eastAsia" w:ascii="宋体" w:hAnsi="宋体"/>
          <w:szCs w:val="21"/>
        </w:rPr>
        <w:t xml:space="preserve">3.4.4 </w:t>
      </w:r>
      <w:r>
        <w:rPr>
          <w:rFonts w:ascii="宋体" w:hAnsi="宋体"/>
          <w:szCs w:val="21"/>
        </w:rPr>
        <w:t>自中标通知书发出之日起5个工作日内退还未中标投标供应商的投标保证金，自政府采购合同签订之日起5个工作日内</w:t>
      </w:r>
      <w:r>
        <w:rPr>
          <w:rFonts w:hint="eastAsia" w:ascii="宋体" w:hAnsi="宋体"/>
          <w:szCs w:val="21"/>
        </w:rPr>
        <w:t>并支付代理服务费用后，</w:t>
      </w:r>
      <w:r>
        <w:rPr>
          <w:rFonts w:ascii="宋体" w:hAnsi="宋体"/>
          <w:szCs w:val="21"/>
        </w:rPr>
        <w:t>退还中标</w:t>
      </w:r>
      <w:r>
        <w:rPr>
          <w:rFonts w:hint="eastAsia" w:ascii="宋体" w:hAnsi="宋体"/>
          <w:szCs w:val="21"/>
        </w:rPr>
        <w:t>人</w:t>
      </w:r>
      <w:r>
        <w:rPr>
          <w:rFonts w:ascii="宋体" w:hAnsi="宋体"/>
          <w:szCs w:val="21"/>
        </w:rPr>
        <w:t>的投标保证金</w:t>
      </w:r>
      <w:r>
        <w:rPr>
          <w:rFonts w:hint="eastAsia" w:ascii="宋体" w:hAnsi="宋体"/>
          <w:szCs w:val="21"/>
        </w:rPr>
        <w:t>。</w:t>
      </w:r>
    </w:p>
    <w:p w14:paraId="34E26EC0">
      <w:pPr>
        <w:widowControl/>
        <w:adjustRightInd w:val="0"/>
        <w:snapToGrid w:val="0"/>
        <w:spacing w:line="360" w:lineRule="auto"/>
        <w:ind w:firstLine="420" w:firstLineChars="200"/>
        <w:rPr>
          <w:rFonts w:ascii="宋体" w:hAnsi="宋体"/>
          <w:szCs w:val="21"/>
        </w:rPr>
      </w:pPr>
      <w:r>
        <w:rPr>
          <w:rFonts w:hint="eastAsia" w:ascii="宋体" w:hAnsi="宋体"/>
          <w:szCs w:val="21"/>
        </w:rPr>
        <w:t>3.4.5 有下列情形之一的，投标保证金不予退还，投标供应商还应承担法律法规规定的其他责任。</w:t>
      </w:r>
    </w:p>
    <w:p w14:paraId="54EDC799">
      <w:pPr>
        <w:widowControl/>
        <w:adjustRightInd w:val="0"/>
        <w:snapToGrid w:val="0"/>
        <w:spacing w:line="360" w:lineRule="auto"/>
        <w:ind w:firstLine="420" w:firstLineChars="200"/>
        <w:rPr>
          <w:rFonts w:ascii="宋体" w:hAnsi="宋体"/>
        </w:rPr>
      </w:pPr>
      <w:r>
        <w:rPr>
          <w:rFonts w:ascii="宋体" w:hAnsi="宋体"/>
        </w:rPr>
        <w:t>（1）投标供应商在投标有效期内撤销投标文件；</w:t>
      </w:r>
    </w:p>
    <w:p w14:paraId="37E271EC">
      <w:pPr>
        <w:widowControl/>
        <w:adjustRightInd w:val="0"/>
        <w:snapToGrid w:val="0"/>
        <w:spacing w:line="360" w:lineRule="auto"/>
        <w:ind w:firstLine="420" w:firstLineChars="200"/>
        <w:rPr>
          <w:rFonts w:ascii="宋体" w:hAnsi="宋体"/>
        </w:rPr>
      </w:pPr>
      <w:r>
        <w:rPr>
          <w:rFonts w:ascii="宋体" w:hAnsi="宋体"/>
        </w:rPr>
        <w:t>（2）中标人在收到中标通知书后，无正当理由不与</w:t>
      </w:r>
      <w:r>
        <w:rPr>
          <w:rFonts w:hint="eastAsia"/>
        </w:rPr>
        <w:t>采购</w:t>
      </w:r>
      <w:r>
        <w:rPr>
          <w:rFonts w:ascii="宋体" w:hAnsi="宋体"/>
        </w:rPr>
        <w:t>人订立合同，在签订合同时向</w:t>
      </w:r>
      <w:r>
        <w:rPr>
          <w:rFonts w:hint="eastAsia"/>
        </w:rPr>
        <w:t>采购</w:t>
      </w:r>
      <w:r>
        <w:rPr>
          <w:rFonts w:ascii="宋体" w:hAnsi="宋体"/>
        </w:rPr>
        <w:t>人提出附加条件，或者不按照招标文件要求提交履约保证金；</w:t>
      </w:r>
    </w:p>
    <w:p w14:paraId="1EE6488E">
      <w:pPr>
        <w:widowControl/>
        <w:adjustRightInd w:val="0"/>
        <w:snapToGrid w:val="0"/>
        <w:spacing w:line="360" w:lineRule="auto"/>
        <w:ind w:firstLine="420" w:firstLineChars="200"/>
        <w:rPr>
          <w:rFonts w:ascii="宋体" w:hAnsi="宋体"/>
          <w:szCs w:val="21"/>
        </w:rPr>
      </w:pPr>
      <w:r>
        <w:rPr>
          <w:rFonts w:hint="eastAsia" w:ascii="宋体" w:hAnsi="宋体"/>
          <w:szCs w:val="21"/>
        </w:rPr>
        <w:t>（3）投标供应商在投标文件中提供虚假材料的；</w:t>
      </w:r>
    </w:p>
    <w:p w14:paraId="380EB54F">
      <w:pPr>
        <w:widowControl/>
        <w:adjustRightInd w:val="0"/>
        <w:snapToGrid w:val="0"/>
        <w:spacing w:line="360" w:lineRule="auto"/>
        <w:ind w:firstLine="420" w:firstLineChars="200"/>
        <w:rPr>
          <w:rFonts w:ascii="宋体" w:hAnsi="宋体"/>
          <w:szCs w:val="21"/>
        </w:rPr>
      </w:pPr>
      <w:r>
        <w:rPr>
          <w:rFonts w:hint="eastAsia" w:ascii="宋体" w:hAnsi="宋体"/>
          <w:szCs w:val="21"/>
        </w:rPr>
        <w:t>（4）投标供应商与采购人、其他投标供应商或者采购代理机构恶意串通的；</w:t>
      </w:r>
    </w:p>
    <w:p w14:paraId="5067C76C">
      <w:pPr>
        <w:widowControl/>
        <w:adjustRightInd w:val="0"/>
        <w:snapToGrid w:val="0"/>
        <w:spacing w:line="360" w:lineRule="auto"/>
        <w:ind w:firstLine="420" w:firstLineChars="200"/>
        <w:rPr>
          <w:rFonts w:ascii="宋体" w:hAnsi="宋体"/>
          <w:szCs w:val="21"/>
        </w:rPr>
      </w:pPr>
      <w:r>
        <w:rPr>
          <w:rFonts w:hint="eastAsia" w:ascii="宋体" w:hAnsi="宋体"/>
          <w:szCs w:val="21"/>
        </w:rPr>
        <w:t>（5）经相关部门依法认定的其他违反法律、法规、规章和行政规范性文件的行为，应不予退还投标保证金的；</w:t>
      </w:r>
    </w:p>
    <w:p w14:paraId="7296F0E5">
      <w:pPr>
        <w:widowControl/>
        <w:adjustRightInd w:val="0"/>
        <w:snapToGrid w:val="0"/>
        <w:spacing w:line="360" w:lineRule="auto"/>
        <w:ind w:firstLine="420" w:firstLineChars="200"/>
        <w:rPr>
          <w:rFonts w:ascii="宋体" w:hAnsi="宋体"/>
          <w:szCs w:val="21"/>
        </w:rPr>
      </w:pPr>
      <w:r>
        <w:rPr>
          <w:rFonts w:hint="eastAsia" w:ascii="宋体" w:hAnsi="宋体"/>
          <w:szCs w:val="21"/>
        </w:rPr>
        <w:t>（6）法律法规规定其他情形。</w:t>
      </w:r>
    </w:p>
    <w:p w14:paraId="39A7494F">
      <w:pPr>
        <w:widowControl/>
        <w:adjustRightInd w:val="0"/>
        <w:snapToGrid w:val="0"/>
        <w:spacing w:line="360" w:lineRule="auto"/>
        <w:ind w:firstLine="420" w:firstLineChars="200"/>
        <w:rPr>
          <w:rFonts w:ascii="宋体" w:hAnsi="宋体"/>
          <w:szCs w:val="21"/>
        </w:rPr>
      </w:pPr>
      <w:r>
        <w:rPr>
          <w:rFonts w:hint="eastAsia" w:ascii="宋体" w:hAnsi="宋体"/>
          <w:szCs w:val="21"/>
        </w:rPr>
        <w:t>（7）投标供应商须知前附表规定的其他情形；</w:t>
      </w:r>
    </w:p>
    <w:p w14:paraId="2E0804E6">
      <w:pPr>
        <w:pStyle w:val="4"/>
        <w:jc w:val="left"/>
      </w:pPr>
      <w:bookmarkStart w:id="358" w:name="_Toc342297641"/>
      <w:bookmarkStart w:id="359" w:name="_Toc333599681"/>
      <w:bookmarkStart w:id="360" w:name="_Toc342294736"/>
      <w:bookmarkStart w:id="361" w:name="_Toc144974519"/>
      <w:bookmarkStart w:id="362" w:name="_Toc466024519"/>
      <w:bookmarkStart w:id="363" w:name="_Toc152045551"/>
      <w:bookmarkStart w:id="364" w:name="_Toc455587237"/>
      <w:bookmarkStart w:id="365" w:name="_Toc179632569"/>
      <w:bookmarkStart w:id="366" w:name="_Toc338943722"/>
      <w:bookmarkStart w:id="367" w:name="_Toc338944627"/>
      <w:bookmarkStart w:id="368" w:name="_Toc333600705"/>
      <w:bookmarkStart w:id="369" w:name="_Toc458504837"/>
      <w:bookmarkStart w:id="370" w:name="_Toc152042327"/>
      <w:bookmarkStart w:id="371" w:name="_Toc455587053"/>
      <w:bookmarkStart w:id="372" w:name="_Toc333587875"/>
      <w:bookmarkStart w:id="373" w:name="_Toc342296184"/>
      <w:bookmarkStart w:id="374" w:name="_Toc445554710"/>
      <w:bookmarkStart w:id="375" w:name="_Toc371415939"/>
      <w:r>
        <w:rPr>
          <w:rFonts w:hint="eastAsia"/>
        </w:rPr>
        <w:t>3.5 资格审查资料（适用于已进行资格预审的）</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3541EDFA">
      <w:pPr>
        <w:widowControl/>
        <w:adjustRightInd w:val="0"/>
        <w:snapToGrid w:val="0"/>
        <w:spacing w:line="360" w:lineRule="auto"/>
        <w:ind w:firstLine="420" w:firstLineChars="200"/>
        <w:rPr>
          <w:rFonts w:ascii="宋体" w:hAnsi="宋体"/>
          <w:szCs w:val="21"/>
        </w:rPr>
      </w:pPr>
      <w:r>
        <w:rPr>
          <w:rFonts w:hint="eastAsia" w:ascii="宋体" w:hAnsi="宋体"/>
          <w:szCs w:val="21"/>
        </w:rPr>
        <w:t>3.5.1 投标供应商在递交投标文件前，发生可能影响其投标资格的新情况的，应更新或补充其在申请资格预审时提供的资料，以证实其各项资格条件仍能继续满足资格预审文件的要求。</w:t>
      </w:r>
    </w:p>
    <w:p w14:paraId="5ED5921C">
      <w:pPr>
        <w:widowControl/>
        <w:adjustRightInd w:val="0"/>
        <w:snapToGrid w:val="0"/>
        <w:spacing w:line="360" w:lineRule="auto"/>
        <w:ind w:firstLine="420" w:firstLineChars="200"/>
        <w:rPr>
          <w:rFonts w:ascii="宋体" w:hAnsi="宋体"/>
          <w:szCs w:val="21"/>
        </w:rPr>
      </w:pPr>
      <w:r>
        <w:rPr>
          <w:rFonts w:hint="eastAsia" w:ascii="宋体" w:hAnsi="宋体"/>
          <w:szCs w:val="21"/>
        </w:rPr>
        <w:t>3.5.2 投标供应商是代理商或经销商的，通过资格预审后如确定了拟投标货物（服务）的制造商（提供商）的，投标时不得更换，否则其投标将按无效处理。</w:t>
      </w:r>
    </w:p>
    <w:p w14:paraId="7BCBF715">
      <w:pPr>
        <w:widowControl/>
        <w:adjustRightInd w:val="0"/>
        <w:snapToGrid w:val="0"/>
        <w:spacing w:line="360" w:lineRule="auto"/>
        <w:ind w:firstLine="420" w:firstLineChars="200"/>
        <w:rPr>
          <w:rFonts w:ascii="宋体" w:hAnsi="宋体"/>
          <w:szCs w:val="21"/>
        </w:rPr>
      </w:pPr>
      <w:r>
        <w:rPr>
          <w:rFonts w:hint="eastAsia" w:ascii="宋体" w:hAnsi="宋体"/>
          <w:szCs w:val="21"/>
        </w:rPr>
        <w:t>3.5.3 如本招标文件“评标办法”中涉及到对相关投标供应商资格进行评审的，投标供应商应在投标文件相应的“资格审查资料”中提供证明文件。</w:t>
      </w:r>
    </w:p>
    <w:p w14:paraId="3D246875">
      <w:pPr>
        <w:pStyle w:val="4"/>
        <w:jc w:val="left"/>
      </w:pPr>
      <w:bookmarkStart w:id="376" w:name="_Toc338944628"/>
      <w:bookmarkStart w:id="377" w:name="_Toc333599682"/>
      <w:bookmarkStart w:id="378" w:name="_Toc455587238"/>
      <w:bookmarkStart w:id="379" w:name="_Toc466024520"/>
      <w:bookmarkStart w:id="380" w:name="_Toc333587876"/>
      <w:bookmarkStart w:id="381" w:name="_Toc179632570"/>
      <w:bookmarkStart w:id="382" w:name="_Toc342296185"/>
      <w:bookmarkStart w:id="383" w:name="_Toc455587054"/>
      <w:bookmarkStart w:id="384" w:name="_Toc152045552"/>
      <w:bookmarkStart w:id="385" w:name="_Toc342294737"/>
      <w:bookmarkStart w:id="386" w:name="_Toc338943723"/>
      <w:bookmarkStart w:id="387" w:name="_Toc371415940"/>
      <w:bookmarkStart w:id="388" w:name="_Toc333600706"/>
      <w:bookmarkStart w:id="389" w:name="_Toc144974520"/>
      <w:bookmarkStart w:id="390" w:name="_Toc152042328"/>
      <w:bookmarkStart w:id="391" w:name="_Toc342297642"/>
      <w:bookmarkStart w:id="392" w:name="_Toc445554711"/>
      <w:bookmarkStart w:id="393" w:name="_Toc458504838"/>
      <w:r>
        <w:rPr>
          <w:rFonts w:hint="eastAsia"/>
        </w:rPr>
        <w:t>3.5 资格审查资料（适用于未进行资格预审的）</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74F8493">
      <w:pPr>
        <w:widowControl/>
        <w:adjustRightInd w:val="0"/>
        <w:snapToGrid w:val="0"/>
        <w:spacing w:line="360" w:lineRule="auto"/>
        <w:ind w:firstLine="420" w:firstLineChars="200"/>
        <w:rPr>
          <w:rFonts w:ascii="宋体" w:hAnsi="宋体"/>
          <w:szCs w:val="21"/>
        </w:rPr>
      </w:pPr>
      <w:r>
        <w:rPr>
          <w:rFonts w:hint="eastAsia" w:ascii="宋体" w:hAnsi="宋体"/>
          <w:szCs w:val="21"/>
        </w:rPr>
        <w:t xml:space="preserve">3.5.1 </w:t>
      </w:r>
      <w:bookmarkStart w:id="394" w:name="_Toc342296186"/>
      <w:bookmarkStart w:id="395" w:name="_Toc458504840"/>
      <w:bookmarkStart w:id="396" w:name="_Toc333600707"/>
      <w:bookmarkStart w:id="397" w:name="_Toc338943724"/>
      <w:bookmarkStart w:id="398" w:name="_Toc333599683"/>
      <w:bookmarkStart w:id="399" w:name="_Toc455587240"/>
      <w:bookmarkStart w:id="400" w:name="_Toc371415941"/>
      <w:bookmarkStart w:id="401" w:name="_Toc466024522"/>
      <w:bookmarkStart w:id="402" w:name="_Toc445554713"/>
      <w:bookmarkStart w:id="403" w:name="_Toc455587056"/>
      <w:bookmarkStart w:id="404" w:name="_Toc342294738"/>
      <w:bookmarkStart w:id="405" w:name="_Toc152045553"/>
      <w:bookmarkStart w:id="406" w:name="_Toc338944629"/>
      <w:bookmarkStart w:id="407" w:name="_Toc333587877"/>
      <w:bookmarkStart w:id="408" w:name="_Toc342297643"/>
      <w:bookmarkStart w:id="409" w:name="_Toc152042329"/>
      <w:bookmarkStart w:id="410" w:name="_Toc179632571"/>
      <w:bookmarkStart w:id="411" w:name="_Toc144974521"/>
      <w:r>
        <w:rPr>
          <w:rFonts w:hint="eastAsia" w:ascii="宋体" w:hAnsi="宋体"/>
          <w:szCs w:val="21"/>
        </w:rPr>
        <w:t>本招标文件“评标办法”中涉及到对相关投标供应商资格进行评审的，投标供应商应在投标文件相应的“资格审查资料”中提供证明文件。</w:t>
      </w:r>
    </w:p>
    <w:p w14:paraId="41CD1C63">
      <w:pPr>
        <w:pStyle w:val="4"/>
        <w:jc w:val="left"/>
      </w:pPr>
      <w:r>
        <w:rPr>
          <w:rFonts w:hint="eastAsia"/>
        </w:rPr>
        <w:t>3.6 备选投标方案</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7BE9A603">
      <w:pPr>
        <w:widowControl/>
        <w:adjustRightInd w:val="0"/>
        <w:snapToGrid w:val="0"/>
        <w:spacing w:line="360" w:lineRule="auto"/>
        <w:ind w:firstLine="420" w:firstLineChars="200"/>
        <w:rPr>
          <w:rFonts w:ascii="宋体" w:hAnsi="宋体"/>
          <w:szCs w:val="21"/>
        </w:rPr>
      </w:pPr>
      <w:r>
        <w:rPr>
          <w:rFonts w:hint="eastAsia" w:ascii="宋体" w:hAnsi="宋体"/>
          <w:szCs w:val="21"/>
        </w:rPr>
        <w:t>3.6.1 除投标供应商须知前附表另有规定外，投标供应商不得递交备选投标方案，</w:t>
      </w:r>
      <w:r>
        <w:t>否则其投标将</w:t>
      </w:r>
      <w:r>
        <w:rPr>
          <w:rFonts w:hint="eastAsia"/>
        </w:rPr>
        <w:t>按无效处理</w:t>
      </w:r>
      <w:r>
        <w:rPr>
          <w:rFonts w:hint="eastAsia" w:ascii="宋体" w:hAnsi="宋体"/>
          <w:szCs w:val="21"/>
        </w:rPr>
        <w:t>。</w:t>
      </w:r>
    </w:p>
    <w:p w14:paraId="16397F49">
      <w:pPr>
        <w:widowControl/>
        <w:adjustRightInd w:val="0"/>
        <w:snapToGrid w:val="0"/>
        <w:spacing w:line="360" w:lineRule="auto"/>
        <w:ind w:firstLine="420" w:firstLineChars="200"/>
      </w:pPr>
      <w:r>
        <w:rPr>
          <w:rFonts w:hint="eastAsia" w:ascii="宋体" w:hAnsi="宋体"/>
          <w:szCs w:val="21"/>
        </w:rPr>
        <w:t xml:space="preserve">3.6.2 </w:t>
      </w:r>
      <w:r>
        <w:t>允许投标供应商递交备选投标方案的，只有中标人所递交的备选投标方案方可予以考虑。评标委员会认为中标人的备选投标方案优于其按照招标文件要求编制的投标方案的，</w:t>
      </w:r>
      <w:r>
        <w:rPr>
          <w:rFonts w:hint="eastAsia"/>
        </w:rPr>
        <w:t>采购</w:t>
      </w:r>
      <w:r>
        <w:t>人可以接受该备选投标方案。</w:t>
      </w:r>
    </w:p>
    <w:p w14:paraId="4CF137BD">
      <w:pPr>
        <w:widowControl/>
        <w:adjustRightInd w:val="0"/>
        <w:snapToGrid w:val="0"/>
        <w:spacing w:line="360" w:lineRule="auto"/>
        <w:ind w:firstLine="420" w:firstLineChars="200"/>
      </w:pPr>
      <w:r>
        <w:rPr>
          <w:rFonts w:ascii="宋体" w:hAnsi="宋体"/>
        </w:rPr>
        <w:t xml:space="preserve">3.6.3 </w:t>
      </w:r>
      <w:r>
        <w:rPr>
          <w:rFonts w:hint="eastAsia" w:ascii="宋体" w:hAnsi="宋体"/>
        </w:rPr>
        <w:t xml:space="preserve"> </w:t>
      </w:r>
      <w:r>
        <w:rPr>
          <w:rFonts w:ascii="宋体" w:hAnsi="宋体"/>
        </w:rPr>
        <w:t>投标供应商提供两个或两个以上投标报价，或者在投标文件中提供一个报价，但同时提供两个或两</w:t>
      </w:r>
      <w:r>
        <w:t>个以上</w:t>
      </w:r>
      <w:bookmarkStart w:id="412" w:name="_Toc384308232"/>
      <w:bookmarkStart w:id="413" w:name="_Toc369531538"/>
      <w:bookmarkStart w:id="414" w:name="_Toc361508607"/>
      <w:bookmarkStart w:id="415" w:name="_Toc29902"/>
      <w:bookmarkStart w:id="416" w:name="_Toc247513974"/>
      <w:bookmarkStart w:id="417" w:name="_Toc300834971"/>
      <w:bookmarkStart w:id="418" w:name="_Toc247527575"/>
      <w:bookmarkStart w:id="419" w:name="_Toc352691495"/>
      <w:r>
        <w:rPr>
          <w:rFonts w:hint="eastAsia"/>
        </w:rPr>
        <w:t>设计方案</w:t>
      </w:r>
      <w:r>
        <w:t>的</w:t>
      </w:r>
      <w:bookmarkEnd w:id="412"/>
      <w:bookmarkEnd w:id="413"/>
      <w:bookmarkEnd w:id="414"/>
      <w:bookmarkEnd w:id="415"/>
      <w:bookmarkEnd w:id="416"/>
      <w:bookmarkEnd w:id="417"/>
      <w:bookmarkEnd w:id="418"/>
      <w:bookmarkEnd w:id="419"/>
      <w:r>
        <w:t>，视为提供备选方案。</w:t>
      </w:r>
    </w:p>
    <w:p w14:paraId="240528CE">
      <w:pPr>
        <w:pStyle w:val="4"/>
        <w:jc w:val="left"/>
      </w:pPr>
      <w:bookmarkStart w:id="420" w:name="_Toc445554714"/>
      <w:bookmarkStart w:id="421" w:name="_Toc458504841"/>
      <w:bookmarkStart w:id="422" w:name="_Toc466024523"/>
      <w:bookmarkStart w:id="423" w:name="_Toc371415942"/>
      <w:bookmarkStart w:id="424" w:name="_Toc455587241"/>
      <w:bookmarkStart w:id="425" w:name="_Toc455587057"/>
      <w:r>
        <w:rPr>
          <w:rFonts w:hint="eastAsia"/>
        </w:rPr>
        <w:t>3.7 投标文件的编制</w:t>
      </w:r>
      <w:bookmarkEnd w:id="420"/>
      <w:bookmarkEnd w:id="421"/>
      <w:bookmarkEnd w:id="422"/>
      <w:bookmarkEnd w:id="423"/>
      <w:bookmarkEnd w:id="424"/>
      <w:bookmarkEnd w:id="425"/>
    </w:p>
    <w:p w14:paraId="49A0AD7C">
      <w:pPr>
        <w:widowControl/>
        <w:adjustRightInd w:val="0"/>
        <w:snapToGrid w:val="0"/>
        <w:spacing w:line="360" w:lineRule="auto"/>
        <w:ind w:firstLine="420" w:firstLineChars="200"/>
        <w:rPr>
          <w:rFonts w:ascii="宋体" w:hAnsi="宋体"/>
          <w:szCs w:val="21"/>
        </w:rPr>
      </w:pPr>
      <w:r>
        <w:rPr>
          <w:rFonts w:hint="eastAsia" w:ascii="宋体" w:hAnsi="宋体"/>
          <w:szCs w:val="21"/>
        </w:rPr>
        <w:t>3.7</w:t>
      </w:r>
      <w:r>
        <w:rPr>
          <w:rFonts w:ascii="宋体" w:hAnsi="宋体"/>
          <w:szCs w:val="21"/>
        </w:rPr>
        <w:t>.1</w:t>
      </w:r>
      <w:r>
        <w:rPr>
          <w:rFonts w:hint="eastAsia" w:ascii="宋体" w:hAnsi="宋体"/>
          <w:szCs w:val="21"/>
        </w:rPr>
        <w:t xml:space="preserve"> 投标文件应按</w:t>
      </w:r>
      <w:r>
        <w:rPr>
          <w:rFonts w:hint="eastAsia"/>
        </w:rPr>
        <w:t>招标文件</w:t>
      </w:r>
      <w:r>
        <w:rPr>
          <w:rFonts w:hint="eastAsia" w:ascii="宋体" w:hAnsi="宋体"/>
          <w:szCs w:val="21"/>
        </w:rPr>
        <w:t>规定格式进行编写，如有必要，可以增加附页、扩展表格，作为投标文件的组成部分。</w:t>
      </w:r>
    </w:p>
    <w:p w14:paraId="1AB1F900">
      <w:pPr>
        <w:widowControl/>
        <w:adjustRightInd w:val="0"/>
        <w:snapToGrid w:val="0"/>
        <w:spacing w:line="360" w:lineRule="auto"/>
        <w:ind w:firstLine="420" w:firstLineChars="200"/>
        <w:rPr>
          <w:rFonts w:ascii="宋体" w:hAnsi="宋体"/>
          <w:szCs w:val="21"/>
        </w:rPr>
      </w:pPr>
      <w:r>
        <w:rPr>
          <w:rFonts w:hint="eastAsia" w:ascii="宋体" w:hAnsi="宋体"/>
          <w:szCs w:val="21"/>
        </w:rPr>
        <w:t>3.7</w:t>
      </w:r>
      <w:r>
        <w:rPr>
          <w:rFonts w:ascii="宋体" w:hAnsi="宋体"/>
          <w:szCs w:val="21"/>
        </w:rPr>
        <w:t>.2</w:t>
      </w:r>
      <w:r>
        <w:rPr>
          <w:rFonts w:hint="eastAsia" w:ascii="宋体" w:hAnsi="宋体"/>
          <w:szCs w:val="21"/>
        </w:rPr>
        <w:t xml:space="preserve"> 投标文件应当对招标文件有关采购需求、交货期、质保期、技术与服务要求、投标报价要求、投标有效期、付款方式、合同条款等实质性</w:t>
      </w:r>
      <w:r>
        <w:rPr>
          <w:rFonts w:hint="eastAsia"/>
        </w:rPr>
        <w:t>内容</w:t>
      </w:r>
      <w:r>
        <w:rPr>
          <w:rFonts w:hint="eastAsia" w:ascii="宋体" w:hAnsi="宋体"/>
          <w:szCs w:val="21"/>
        </w:rPr>
        <w:t>做出响应。投标文件在满足招标文件实质性要求的基础上，可以提出比招标文件要求更有利于采购人的承诺。</w:t>
      </w:r>
    </w:p>
    <w:p w14:paraId="0468CC11">
      <w:pPr>
        <w:widowControl/>
        <w:adjustRightInd w:val="0"/>
        <w:snapToGrid w:val="0"/>
        <w:spacing w:line="360" w:lineRule="auto"/>
        <w:ind w:firstLine="420" w:firstLineChars="200"/>
        <w:rPr>
          <w:rFonts w:ascii="宋体" w:hAnsi="宋体"/>
          <w:szCs w:val="21"/>
        </w:rPr>
      </w:pPr>
      <w:r>
        <w:rPr>
          <w:rFonts w:hint="eastAsia" w:ascii="宋体" w:hAnsi="宋体"/>
          <w:szCs w:val="21"/>
        </w:rPr>
        <w:t>3.7.3 投标供应商必须对其提交的资料的真实性负责，并接受采购人对其中任何资料进一步审查的要求。</w:t>
      </w:r>
    </w:p>
    <w:p w14:paraId="448F36DF">
      <w:pPr>
        <w:widowControl/>
        <w:adjustRightInd w:val="0"/>
        <w:snapToGrid w:val="0"/>
        <w:spacing w:line="360" w:lineRule="auto"/>
        <w:ind w:firstLine="420" w:firstLineChars="200"/>
        <w:rPr>
          <w:rFonts w:ascii="宋体" w:hAnsi="宋体"/>
        </w:rPr>
      </w:pPr>
      <w:r>
        <w:rPr>
          <w:rFonts w:ascii="宋体" w:hAnsi="宋体"/>
        </w:rPr>
        <w:t>3.7.</w:t>
      </w:r>
      <w:r>
        <w:rPr>
          <w:rFonts w:hint="eastAsia" w:ascii="宋体" w:hAnsi="宋体"/>
        </w:rPr>
        <w:t>4（1）本项目采用电子招投标方式，请投标供应商在安天e采系统中下载安天e采投标文件制作工具，具体操作步骤和程序请参见“产品与服务”-“服务指南”-“安天e采资料下载”栏目--“招投标文件查看制作”，仔细阅读招标文件要求和相关操作手册。（如有技术问题请联系安天e采服务热线：400-050-9988）。</w:t>
      </w:r>
    </w:p>
    <w:p w14:paraId="6C71FAC2">
      <w:pPr>
        <w:widowControl/>
        <w:adjustRightInd w:val="0"/>
        <w:snapToGrid w:val="0"/>
        <w:spacing w:line="360" w:lineRule="auto"/>
        <w:ind w:firstLine="420" w:firstLineChars="200"/>
        <w:rPr>
          <w:rFonts w:ascii="宋体" w:hAnsi="宋体"/>
        </w:rPr>
      </w:pPr>
      <w:r>
        <w:rPr>
          <w:rFonts w:hint="eastAsia" w:ascii="宋体" w:hAnsi="宋体"/>
        </w:rPr>
        <w:t>（2）投标供应商须用通过安天e采办理的移动认证证书（或介质数字证书）签章和加密投标文件，若使用介质数字证书的，建议使用企业法人主锁。如未办移动认证证书（或介质数字证书）请及时办理：移动认证办理联系电话：400-0878-198转1，移动认证办理须知详见安天e采平台“移动认证上线通知”（https://www.xinecai.com/ydrz.html）”；办理介质数字证书的，参见CA办理须知https://www.xinecai.com/quesinfo/20.html。</w:t>
      </w:r>
    </w:p>
    <w:p w14:paraId="1CF0188E">
      <w:pPr>
        <w:widowControl/>
        <w:adjustRightInd w:val="0"/>
        <w:snapToGrid w:val="0"/>
        <w:spacing w:line="360" w:lineRule="auto"/>
        <w:ind w:firstLine="420" w:firstLineChars="200"/>
        <w:rPr>
          <w:rFonts w:ascii="宋体" w:hAnsi="宋体"/>
        </w:rPr>
      </w:pPr>
      <w:r>
        <w:rPr>
          <w:rFonts w:hint="eastAsia" w:ascii="宋体" w:hAnsi="宋体"/>
        </w:rPr>
        <w:t>（3）本项目投标供应商需采用最新版安天e采投标文件制作工具，具体请在“安天e采招标采购电子交易系统”服务指南页面（https://www.xinecai.com/serveguide）下载，软件启动时也将进行提示（需在国际互联网络通畅状态），各投标供应商需注意更新（更新前务必将杀毒软件及安全卫士退出，否则会导致更新失败），以免造成标书制作错误。如因此导致无效投标，责任自负。</w:t>
      </w:r>
    </w:p>
    <w:p w14:paraId="5C35A6DC">
      <w:pPr>
        <w:pStyle w:val="3"/>
        <w:rPr>
          <w:rStyle w:val="19"/>
          <w:rFonts w:ascii="宋体" w:hAnsi="宋体" w:eastAsia="宋体"/>
          <w:b/>
          <w:bCs/>
          <w:sz w:val="28"/>
          <w:szCs w:val="28"/>
        </w:rPr>
      </w:pPr>
      <w:bookmarkStart w:id="426" w:name="_Toc333600709"/>
      <w:bookmarkStart w:id="427" w:name="_Toc342294740"/>
      <w:bookmarkStart w:id="428" w:name="_Toc31059"/>
      <w:bookmarkStart w:id="429" w:name="_Toc371415943"/>
      <w:bookmarkStart w:id="430" w:name="_Toc342296188"/>
      <w:bookmarkStart w:id="431" w:name="_Toc455587058"/>
      <w:bookmarkStart w:id="432" w:name="_Toc152042331"/>
      <w:bookmarkStart w:id="433" w:name="_Toc466024524"/>
      <w:bookmarkStart w:id="434" w:name="_Toc455587242"/>
      <w:bookmarkStart w:id="435" w:name="_Toc342297645"/>
      <w:bookmarkStart w:id="436" w:name="_Toc144974523"/>
      <w:bookmarkStart w:id="437" w:name="_Toc152045555"/>
      <w:bookmarkStart w:id="438" w:name="_Toc333599685"/>
      <w:bookmarkStart w:id="439" w:name="_Toc445554715"/>
      <w:bookmarkStart w:id="440" w:name="_Toc338944631"/>
      <w:bookmarkStart w:id="441" w:name="_Toc179632573"/>
      <w:bookmarkStart w:id="442" w:name="_Toc458504842"/>
      <w:bookmarkStart w:id="443" w:name="_Toc338943726"/>
      <w:r>
        <w:rPr>
          <w:rStyle w:val="19"/>
          <w:rFonts w:hint="eastAsia" w:ascii="宋体" w:hAnsi="宋体" w:eastAsia="宋体"/>
          <w:b/>
          <w:bCs/>
          <w:sz w:val="28"/>
          <w:szCs w:val="28"/>
        </w:rPr>
        <w:t>4. 投标</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1A41724E">
      <w:pPr>
        <w:pStyle w:val="4"/>
        <w:jc w:val="left"/>
      </w:pPr>
      <w:bookmarkStart w:id="444" w:name="_Toc144974524"/>
      <w:bookmarkStart w:id="445" w:name="_Toc179632574"/>
      <w:bookmarkStart w:id="446" w:name="_Toc371415944"/>
      <w:bookmarkStart w:id="447" w:name="_Toc152045556"/>
      <w:bookmarkStart w:id="448" w:name="_Toc152042332"/>
      <w:bookmarkStart w:id="449" w:name="_Toc466024525"/>
      <w:bookmarkStart w:id="450" w:name="_Toc338943727"/>
      <w:bookmarkStart w:id="451" w:name="_Toc445554716"/>
      <w:bookmarkStart w:id="452" w:name="_Toc338944632"/>
      <w:bookmarkStart w:id="453" w:name="_Toc333599686"/>
      <w:bookmarkStart w:id="454" w:name="_Toc342294741"/>
      <w:bookmarkStart w:id="455" w:name="_Toc455587243"/>
      <w:bookmarkStart w:id="456" w:name="_Toc455587059"/>
      <w:bookmarkStart w:id="457" w:name="_Toc333600710"/>
      <w:bookmarkStart w:id="458" w:name="_Toc458504843"/>
      <w:bookmarkStart w:id="459" w:name="_Toc342296189"/>
      <w:bookmarkStart w:id="460" w:name="_Toc342297646"/>
      <w:bookmarkStart w:id="461" w:name="_Toc333587880"/>
      <w:r>
        <w:rPr>
          <w:rFonts w:hint="eastAsia"/>
        </w:rPr>
        <w:t>4.1 投标文件的签章和</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hint="eastAsia"/>
        </w:rPr>
        <w:t>加密</w:t>
      </w:r>
    </w:p>
    <w:p w14:paraId="2AD91DF1">
      <w:pPr>
        <w:widowControl/>
        <w:adjustRightInd w:val="0"/>
        <w:snapToGrid w:val="0"/>
        <w:spacing w:line="360" w:lineRule="auto"/>
        <w:ind w:firstLine="420" w:firstLineChars="200"/>
        <w:rPr>
          <w:rFonts w:ascii="宋体" w:hAnsi="宋体"/>
          <w:szCs w:val="21"/>
        </w:rPr>
      </w:pPr>
      <w:bookmarkStart w:id="462" w:name="_Toc455587060"/>
      <w:bookmarkStart w:id="463" w:name="_Toc445554717"/>
      <w:bookmarkStart w:id="464" w:name="_Toc371415945"/>
      <w:bookmarkStart w:id="465" w:name="_Toc455587244"/>
      <w:bookmarkStart w:id="466" w:name="_Toc458504844"/>
      <w:bookmarkStart w:id="467" w:name="_Toc466024526"/>
      <w:r>
        <w:rPr>
          <w:rFonts w:hint="eastAsia" w:ascii="宋体" w:hAnsi="宋体"/>
          <w:szCs w:val="21"/>
        </w:rPr>
        <w:t>4.1.1本项目要求提供加密电子投标文件，投标文件的签章和加密应满足以下规定：</w:t>
      </w:r>
    </w:p>
    <w:p w14:paraId="77F9B5A8">
      <w:pPr>
        <w:widowControl/>
        <w:adjustRightInd w:val="0"/>
        <w:snapToGrid w:val="0"/>
        <w:spacing w:line="360" w:lineRule="auto"/>
        <w:ind w:firstLine="420" w:firstLineChars="200"/>
        <w:rPr>
          <w:rFonts w:ascii="宋体" w:hAnsi="宋体"/>
          <w:szCs w:val="21"/>
        </w:rPr>
      </w:pPr>
      <w:r>
        <w:rPr>
          <w:rFonts w:hint="eastAsia" w:ascii="宋体" w:hAnsi="宋体"/>
          <w:szCs w:val="21"/>
        </w:rPr>
        <w:t>（1）在第六章“投标文件格式”中要求盖投标供应商电子签章处，投标供应商均应加盖投标供应商电子签章。联合体投标的，除联合协议及联合体各成员单位提供的本单位证明材料外，投标文件由联合体牵头供应商按上述规定加盖联合体牵头供应商单位电子签章。</w:t>
      </w:r>
    </w:p>
    <w:p w14:paraId="4B9F5063">
      <w:pPr>
        <w:widowControl/>
        <w:adjustRightInd w:val="0"/>
        <w:snapToGrid w:val="0"/>
        <w:spacing w:line="360" w:lineRule="auto"/>
        <w:ind w:firstLine="420" w:firstLineChars="200"/>
        <w:rPr>
          <w:rFonts w:ascii="宋体" w:hAnsi="宋体"/>
          <w:szCs w:val="21"/>
        </w:rPr>
      </w:pPr>
      <w:r>
        <w:rPr>
          <w:rFonts w:hint="eastAsia" w:ascii="宋体" w:hAnsi="宋体"/>
          <w:szCs w:val="21"/>
        </w:rPr>
        <w:t>（2）投标文件制作完成后，系统将自动同时生成加密版投标文件与非加密版投标文件。</w:t>
      </w:r>
    </w:p>
    <w:p w14:paraId="626BA378">
      <w:pPr>
        <w:pStyle w:val="4"/>
        <w:jc w:val="left"/>
      </w:pPr>
      <w:r>
        <w:rPr>
          <w:rFonts w:hint="eastAsia"/>
        </w:rPr>
        <w:t>4.2 投标文件的递交</w:t>
      </w:r>
      <w:bookmarkEnd w:id="462"/>
      <w:bookmarkEnd w:id="463"/>
      <w:bookmarkEnd w:id="464"/>
      <w:bookmarkEnd w:id="465"/>
      <w:bookmarkEnd w:id="466"/>
      <w:bookmarkEnd w:id="467"/>
    </w:p>
    <w:p w14:paraId="0DD1344A">
      <w:pPr>
        <w:widowControl/>
        <w:adjustRightInd w:val="0"/>
        <w:snapToGrid w:val="0"/>
        <w:spacing w:line="360" w:lineRule="auto"/>
        <w:ind w:firstLine="420" w:firstLineChars="200"/>
      </w:pPr>
      <w:bookmarkStart w:id="468" w:name="_Toc179632576"/>
      <w:bookmarkStart w:id="469" w:name="_Toc455587245"/>
      <w:bookmarkStart w:id="470" w:name="_Toc333587882"/>
      <w:bookmarkStart w:id="471" w:name="_Toc152042334"/>
      <w:bookmarkStart w:id="472" w:name="_Toc342296191"/>
      <w:bookmarkStart w:id="473" w:name="_Toc455587061"/>
      <w:bookmarkStart w:id="474" w:name="_Toc338943729"/>
      <w:bookmarkStart w:id="475" w:name="_Toc333600712"/>
      <w:bookmarkStart w:id="476" w:name="_Toc342294743"/>
      <w:bookmarkStart w:id="477" w:name="_Toc466024527"/>
      <w:bookmarkStart w:id="478" w:name="_Toc458504845"/>
      <w:bookmarkStart w:id="479" w:name="_Toc371415946"/>
      <w:bookmarkStart w:id="480" w:name="_Toc144974526"/>
      <w:bookmarkStart w:id="481" w:name="_Toc152045558"/>
      <w:bookmarkStart w:id="482" w:name="_Toc445554718"/>
      <w:bookmarkStart w:id="483" w:name="_Toc338944634"/>
      <w:bookmarkStart w:id="484" w:name="_Toc342297648"/>
      <w:bookmarkStart w:id="485" w:name="_Toc333599688"/>
      <w:r>
        <w:rPr>
          <w:rFonts w:hint="eastAsia"/>
        </w:rPr>
        <w:t>4.2.1 投标供应商应在投标供应商须知前附表规定的投标截止时间前上传加密电子投标文件。</w:t>
      </w:r>
    </w:p>
    <w:p w14:paraId="135BD849">
      <w:pPr>
        <w:widowControl/>
        <w:adjustRightInd w:val="0"/>
        <w:snapToGrid w:val="0"/>
        <w:spacing w:line="360" w:lineRule="auto"/>
        <w:ind w:firstLine="420" w:firstLineChars="200"/>
      </w:pPr>
      <w:r>
        <w:rPr>
          <w:rFonts w:hint="eastAsia"/>
        </w:rPr>
        <w:t>4.2.2 投标文件的上传地址：见投标供应商须知前附表。</w:t>
      </w:r>
    </w:p>
    <w:p w14:paraId="3B88ADB1">
      <w:pPr>
        <w:widowControl/>
        <w:adjustRightInd w:val="0"/>
        <w:snapToGrid w:val="0"/>
        <w:spacing w:line="360" w:lineRule="auto"/>
        <w:ind w:firstLine="420" w:firstLineChars="200"/>
      </w:pPr>
      <w:r>
        <w:rPr>
          <w:rFonts w:hint="eastAsia"/>
        </w:rPr>
        <w:t>4.2.3 除投标供应商须知前附表另有规定外，投标供应商所上传的投标文件不予退还。</w:t>
      </w:r>
    </w:p>
    <w:p w14:paraId="5BC641B3">
      <w:pPr>
        <w:widowControl/>
        <w:adjustRightInd w:val="0"/>
        <w:snapToGrid w:val="0"/>
        <w:spacing w:line="360" w:lineRule="auto"/>
        <w:ind w:firstLine="420" w:firstLineChars="200"/>
        <w:rPr>
          <w:rFonts w:ascii="宋体" w:hAnsi="宋体"/>
          <w:szCs w:val="21"/>
        </w:rPr>
      </w:pPr>
      <w:r>
        <w:rPr>
          <w:rFonts w:hint="eastAsia"/>
        </w:rPr>
        <w:t>4.2.4 投标截止时间以安天e采招标采购电子交易系统（https://www.xinecai.com）的系统时间为准，逾期系统将自动关闭,电子投标文件未完成上传的，投标将被拒绝。加密文件上传后投标供应商可进行模拟解密检验加密文件是否正常。</w:t>
      </w:r>
    </w:p>
    <w:p w14:paraId="07ED97E9">
      <w:pPr>
        <w:pStyle w:val="4"/>
        <w:jc w:val="left"/>
      </w:pPr>
      <w:r>
        <w:rPr>
          <w:rFonts w:hint="eastAsia"/>
        </w:rPr>
        <w:t>4.3 投标文件的修改与撤回</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49D24B96">
      <w:pPr>
        <w:widowControl/>
        <w:adjustRightInd w:val="0"/>
        <w:snapToGrid w:val="0"/>
        <w:spacing w:line="360" w:lineRule="auto"/>
        <w:ind w:firstLine="420" w:firstLineChars="200"/>
        <w:rPr>
          <w:rFonts w:ascii="宋体" w:hAnsi="宋体"/>
          <w:szCs w:val="21"/>
        </w:rPr>
      </w:pPr>
      <w:bookmarkStart w:id="486" w:name="_Toc342296192"/>
      <w:bookmarkStart w:id="487" w:name="_Toc333599689"/>
      <w:bookmarkStart w:id="488" w:name="_Toc458504846"/>
      <w:bookmarkStart w:id="489" w:name="_Toc338943730"/>
      <w:bookmarkStart w:id="490" w:name="_Toc455587246"/>
      <w:bookmarkStart w:id="491" w:name="_Toc342294744"/>
      <w:bookmarkStart w:id="492" w:name="_Toc445554719"/>
      <w:bookmarkStart w:id="493" w:name="_Toc144974527"/>
      <w:bookmarkStart w:id="494" w:name="_Toc342297649"/>
      <w:bookmarkStart w:id="495" w:name="_Toc338944635"/>
      <w:bookmarkStart w:id="496" w:name="_Toc152042335"/>
      <w:bookmarkStart w:id="497" w:name="_Toc466024528"/>
      <w:bookmarkStart w:id="498" w:name="_Toc179632577"/>
      <w:bookmarkStart w:id="499" w:name="_Toc371415947"/>
      <w:bookmarkStart w:id="500" w:name="_Toc455587062"/>
      <w:bookmarkStart w:id="501" w:name="_Toc333600713"/>
      <w:bookmarkStart w:id="502" w:name="_Toc152045559"/>
      <w:r>
        <w:rPr>
          <w:rFonts w:hint="eastAsia" w:ascii="宋体" w:hAnsi="宋体"/>
          <w:szCs w:val="21"/>
        </w:rPr>
        <w:t>4.3.1 投标供应商在投标截止时间之前，可以对其所递交的电子投标文件进行撤回，修改后重新上传</w:t>
      </w:r>
    </w:p>
    <w:p w14:paraId="352D2E27">
      <w:pPr>
        <w:widowControl/>
        <w:adjustRightInd w:val="0"/>
        <w:snapToGrid w:val="0"/>
        <w:spacing w:line="360" w:lineRule="auto"/>
        <w:ind w:firstLine="420" w:firstLineChars="200"/>
        <w:rPr>
          <w:rFonts w:ascii="宋体" w:hAnsi="宋体"/>
          <w:szCs w:val="21"/>
        </w:rPr>
      </w:pPr>
      <w:r>
        <w:rPr>
          <w:rFonts w:hint="eastAsia" w:ascii="宋体" w:hAnsi="宋体"/>
          <w:szCs w:val="21"/>
        </w:rPr>
        <w:t>4.3.2 投标供应商修改或撤回已递交投标文件的书面通知应按照本章第4.1.1项的要求加盖投标供应商电子签章。</w:t>
      </w:r>
    </w:p>
    <w:p w14:paraId="3B983D26">
      <w:pPr>
        <w:pStyle w:val="3"/>
        <w:rPr>
          <w:rStyle w:val="19"/>
          <w:rFonts w:ascii="宋体" w:hAnsi="宋体" w:eastAsia="宋体"/>
          <w:b/>
          <w:bCs/>
          <w:sz w:val="28"/>
          <w:szCs w:val="28"/>
        </w:rPr>
      </w:pPr>
      <w:bookmarkStart w:id="503" w:name="_Toc14421"/>
      <w:r>
        <w:rPr>
          <w:rStyle w:val="19"/>
          <w:rFonts w:hint="eastAsia" w:ascii="宋体" w:hAnsi="宋体" w:eastAsia="宋体"/>
          <w:b/>
          <w:bCs/>
          <w:sz w:val="28"/>
          <w:szCs w:val="28"/>
        </w:rPr>
        <w:t>5. 开标</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693EDFCA">
      <w:pPr>
        <w:pStyle w:val="4"/>
        <w:jc w:val="left"/>
      </w:pPr>
      <w:bookmarkStart w:id="504" w:name="_Toc333599690"/>
      <w:bookmarkStart w:id="505" w:name="_Toc466024529"/>
      <w:bookmarkStart w:id="506" w:name="_Toc458504847"/>
      <w:bookmarkStart w:id="507" w:name="_Toc333587884"/>
      <w:bookmarkStart w:id="508" w:name="_Toc342296193"/>
      <w:bookmarkStart w:id="509" w:name="_Toc455587247"/>
      <w:bookmarkStart w:id="510" w:name="_Toc333600714"/>
      <w:bookmarkStart w:id="511" w:name="_Toc445554720"/>
      <w:bookmarkStart w:id="512" w:name="_Toc455587063"/>
      <w:bookmarkStart w:id="513" w:name="_Toc338944636"/>
      <w:bookmarkStart w:id="514" w:name="_Toc342297650"/>
      <w:bookmarkStart w:id="515" w:name="_Toc342294745"/>
      <w:bookmarkStart w:id="516" w:name="_Toc371415948"/>
      <w:bookmarkStart w:id="517" w:name="_Toc179632578"/>
      <w:bookmarkStart w:id="518" w:name="_Toc338943731"/>
      <w:bookmarkStart w:id="519" w:name="_Toc152042336"/>
      <w:bookmarkStart w:id="520" w:name="_Toc152045560"/>
      <w:bookmarkStart w:id="521" w:name="_Toc144974528"/>
      <w:r>
        <w:rPr>
          <w:rFonts w:hint="eastAsia"/>
        </w:rPr>
        <w:t>5.1 开标时间和地点</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1A8898ED">
      <w:pPr>
        <w:widowControl/>
        <w:adjustRightInd w:val="0"/>
        <w:snapToGrid w:val="0"/>
        <w:spacing w:line="360" w:lineRule="auto"/>
        <w:ind w:firstLine="420" w:firstLineChars="200"/>
      </w:pPr>
      <w:r>
        <w:rPr>
          <w:rFonts w:hint="eastAsia"/>
        </w:rPr>
        <w:t>采购人在本章第4.2.1项规定的投标截止时间（开标时间）和地点组织公开开标。</w:t>
      </w:r>
    </w:p>
    <w:p w14:paraId="1787851B">
      <w:pPr>
        <w:pStyle w:val="4"/>
        <w:jc w:val="left"/>
      </w:pPr>
      <w:r>
        <w:rPr>
          <w:rFonts w:hint="eastAsia"/>
        </w:rPr>
        <w:t>5.2 开标程序</w:t>
      </w:r>
    </w:p>
    <w:p w14:paraId="4D8C7A6C">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5.2.1 开标时，各投标供应商应在规定时间前（以安天e采招标采购电子交易系统解密倒计时为准）对本单位的投标文件进行解密。</w:t>
      </w:r>
    </w:p>
    <w:p w14:paraId="341762E0">
      <w:pPr>
        <w:widowControl/>
        <w:adjustRightInd w:val="0"/>
        <w:snapToGrid w:val="0"/>
        <w:spacing w:line="360" w:lineRule="auto"/>
        <w:ind w:firstLine="420" w:firstLineChars="200"/>
        <w:jc w:val="left"/>
        <w:rPr>
          <w:rFonts w:ascii="宋体" w:hAnsi="宋体"/>
          <w:b/>
          <w:bCs/>
          <w:szCs w:val="21"/>
        </w:rPr>
      </w:pPr>
      <w:r>
        <w:rPr>
          <w:rFonts w:hint="eastAsia" w:ascii="宋体" w:hAnsi="宋体"/>
          <w:szCs w:val="21"/>
        </w:rPr>
        <w:t>5.2.2</w:t>
      </w:r>
      <w:r>
        <w:rPr>
          <w:rFonts w:hint="eastAsia" w:ascii="宋体" w:hAnsi="宋体"/>
          <w:b/>
          <w:bCs/>
          <w:szCs w:val="21"/>
        </w:rPr>
        <w:t xml:space="preserve"> 投标供应商需在开标前及时登录安天e采在线开标系统（使用介质数字证书用户请选择ie11及以上浏览器进行登录，如电脑未安装ie浏览器，可至安天e采门户网站产品服务&gt;服务指南中下载（https://www.xinecai.com/serveguide#），登录前请确认是否安装安天e采驱动。登录安天e采招标采购电子交易系统，点击进入开标系统或者点击https://kb.xinecai.com/process/login链接进入）。为便于开标过程中突发情况下沟通联系，建议投标供应商进行签到。开标时，投标供应商必须使用安天e采办理的移动认证证书（或介质数字证书）按照系统提示在规定时间内进行远程解密（加密证书需与解密证书一致，否则无法解密成功）。</w:t>
      </w:r>
    </w:p>
    <w:p w14:paraId="12E5B558">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5.2.3 是否接受提交非加密电子版投标文件：见投标供应商须知前附表。</w:t>
      </w:r>
    </w:p>
    <w:p w14:paraId="4558BF0E">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5.2.4递交非加密电子版投标文件相关要求：见投标供应商须知前附表。</w:t>
      </w:r>
    </w:p>
    <w:p w14:paraId="1D86C428">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5.2.5主持人按下列程序进行开标：</w:t>
      </w:r>
    </w:p>
    <w:p w14:paraId="77B90A6B">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（1）宣布开标纪律；</w:t>
      </w:r>
    </w:p>
    <w:p w14:paraId="1CC55CBC">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（2）公布在投标截止时间前上传电子投标文件的投标供应商名称；</w:t>
      </w:r>
    </w:p>
    <w:p w14:paraId="2FC1CC34">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（3）解密标书；</w:t>
      </w:r>
    </w:p>
    <w:p w14:paraId="1CE4A7A2">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（4）唱标；</w:t>
      </w:r>
    </w:p>
    <w:p w14:paraId="1B8861DD">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（5）公布唱标信息；</w:t>
      </w:r>
    </w:p>
    <w:p w14:paraId="68C59DFE">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（6）开标结束。</w:t>
      </w:r>
    </w:p>
    <w:p w14:paraId="482531C3">
      <w:pPr>
        <w:pStyle w:val="4"/>
        <w:jc w:val="left"/>
      </w:pPr>
      <w:r>
        <w:rPr>
          <w:rFonts w:hint="eastAsia"/>
        </w:rPr>
        <w:t>5.3 开标疑义</w:t>
      </w:r>
    </w:p>
    <w:p w14:paraId="5333E0FF">
      <w:pPr>
        <w:widowControl/>
        <w:adjustRightInd w:val="0"/>
        <w:snapToGrid w:val="0"/>
        <w:spacing w:line="360" w:lineRule="auto"/>
        <w:ind w:firstLine="420" w:firstLineChars="200"/>
        <w:rPr>
          <w:rFonts w:ascii="宋体" w:hAnsi="宋体"/>
          <w:szCs w:val="21"/>
        </w:rPr>
      </w:pPr>
      <w:r>
        <w:rPr>
          <w:rFonts w:hint="eastAsia" w:ascii="宋体" w:hAnsi="宋体"/>
          <w:szCs w:val="21"/>
        </w:rPr>
        <w:t>投标供应商代表对开标过程和开标记录有疑义，以及认为采购人、采购代理机构相关工作人员有需要回避的情形的，应当场提出询问或者回避申请。采购人、采购代理机构对投标供应商代表提出的询问或者回避申请应当及时处理。</w:t>
      </w:r>
    </w:p>
    <w:p w14:paraId="717F326E">
      <w:pPr>
        <w:widowControl/>
        <w:adjustRightInd w:val="0"/>
        <w:snapToGrid w:val="0"/>
        <w:spacing w:line="360" w:lineRule="auto"/>
        <w:ind w:firstLine="420" w:firstLineChars="200"/>
        <w:rPr>
          <w:rFonts w:ascii="宋体" w:hAnsi="宋体"/>
          <w:szCs w:val="21"/>
        </w:rPr>
      </w:pPr>
      <w:r>
        <w:rPr>
          <w:rFonts w:hint="eastAsia" w:ascii="宋体" w:hAnsi="宋体"/>
          <w:szCs w:val="21"/>
        </w:rPr>
        <w:t>投标供应商未参加开标的，视同认可开标结果。</w:t>
      </w:r>
    </w:p>
    <w:p w14:paraId="4359257E">
      <w:pPr>
        <w:pStyle w:val="3"/>
        <w:jc w:val="left"/>
        <w:rPr>
          <w:rStyle w:val="19"/>
          <w:rFonts w:ascii="宋体" w:hAnsi="宋体" w:eastAsia="宋体"/>
          <w:b/>
          <w:bCs/>
          <w:sz w:val="28"/>
          <w:szCs w:val="28"/>
        </w:rPr>
      </w:pPr>
      <w:bookmarkStart w:id="522" w:name="_Toc371415950"/>
      <w:bookmarkStart w:id="523" w:name="_Toc152042338"/>
      <w:bookmarkStart w:id="524" w:name="_Toc445554723"/>
      <w:bookmarkStart w:id="525" w:name="_Toc144974530"/>
      <w:bookmarkStart w:id="526" w:name="_Toc342297652"/>
      <w:bookmarkStart w:id="527" w:name="_Toc333599692"/>
      <w:bookmarkStart w:id="528" w:name="_Toc466024531"/>
      <w:bookmarkStart w:id="529" w:name="_Toc152045562"/>
      <w:bookmarkStart w:id="530" w:name="_Toc179632580"/>
      <w:bookmarkStart w:id="531" w:name="_Toc342294747"/>
      <w:bookmarkStart w:id="532" w:name="_Toc455587066"/>
      <w:bookmarkStart w:id="533" w:name="_Toc458504849"/>
      <w:bookmarkStart w:id="534" w:name="_Toc342296195"/>
      <w:bookmarkStart w:id="535" w:name="_Toc455587250"/>
      <w:bookmarkStart w:id="536" w:name="_Toc338943733"/>
      <w:bookmarkStart w:id="537" w:name="_Toc338944638"/>
      <w:bookmarkStart w:id="538" w:name="_Toc333600716"/>
      <w:bookmarkStart w:id="539" w:name="_Toc527"/>
      <w:r>
        <w:rPr>
          <w:rStyle w:val="19"/>
          <w:rFonts w:hint="eastAsia" w:ascii="宋体" w:hAnsi="宋体" w:eastAsia="宋体"/>
          <w:b/>
          <w:bCs/>
          <w:sz w:val="28"/>
          <w:szCs w:val="28"/>
        </w:rPr>
        <w:t>6. 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206B8647">
      <w:pPr>
        <w:pStyle w:val="4"/>
        <w:jc w:val="left"/>
      </w:pPr>
      <w:bookmarkStart w:id="540" w:name="_Toc152045563"/>
      <w:bookmarkStart w:id="541" w:name="_Toc338943734"/>
      <w:bookmarkStart w:id="542" w:name="_Toc338944639"/>
      <w:bookmarkStart w:id="543" w:name="_Toc152042339"/>
      <w:bookmarkStart w:id="544" w:name="_Toc455587251"/>
      <w:bookmarkStart w:id="545" w:name="_Toc455587067"/>
      <w:bookmarkStart w:id="546" w:name="_Toc371415951"/>
      <w:bookmarkStart w:id="547" w:name="_Toc342294748"/>
      <w:bookmarkStart w:id="548" w:name="_Toc333587887"/>
      <w:bookmarkStart w:id="549" w:name="_Toc179632581"/>
      <w:bookmarkStart w:id="550" w:name="_Toc333599693"/>
      <w:bookmarkStart w:id="551" w:name="_Toc458504850"/>
      <w:bookmarkStart w:id="552" w:name="_Toc333600717"/>
      <w:bookmarkStart w:id="553" w:name="_Toc342297653"/>
      <w:bookmarkStart w:id="554" w:name="_Toc466024532"/>
      <w:bookmarkStart w:id="555" w:name="_Toc342296196"/>
      <w:bookmarkStart w:id="556" w:name="_Toc445554724"/>
      <w:bookmarkStart w:id="557" w:name="_Toc144974531"/>
      <w:r>
        <w:rPr>
          <w:rFonts w:hint="eastAsia"/>
        </w:rPr>
        <w:t>6.1 评标委员会</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7ACD657B">
      <w:pPr>
        <w:widowControl/>
        <w:adjustRightInd w:val="0"/>
        <w:snapToGrid w:val="0"/>
        <w:spacing w:line="360" w:lineRule="auto"/>
        <w:ind w:firstLine="420" w:firstLineChars="200"/>
        <w:rPr>
          <w:rFonts w:ascii="宋体" w:hAnsi="宋体"/>
          <w:szCs w:val="21"/>
        </w:rPr>
      </w:pPr>
      <w:r>
        <w:rPr>
          <w:rFonts w:hint="eastAsia" w:ascii="宋体" w:hAnsi="宋体"/>
          <w:szCs w:val="21"/>
        </w:rPr>
        <w:t>6.1</w:t>
      </w:r>
      <w:r>
        <w:rPr>
          <w:rFonts w:ascii="宋体" w:hAnsi="宋体"/>
          <w:szCs w:val="21"/>
        </w:rPr>
        <w:t>.1</w:t>
      </w:r>
      <w:r>
        <w:rPr>
          <w:rFonts w:hint="eastAsia" w:ascii="宋体" w:hAnsi="宋体"/>
          <w:szCs w:val="21"/>
        </w:rPr>
        <w:t xml:space="preserve"> 评标由采购人依法组建的评标委员会负责。评标委员会由从</w:t>
      </w:r>
      <w:r>
        <w:rPr>
          <w:rFonts w:hint="eastAsia" w:ascii="宋体" w:hAnsi="宋体" w:cs="Calibri"/>
          <w:szCs w:val="21"/>
        </w:rPr>
        <w:t>专家库中抽取的专家组成（或由从专家库中抽取的评审专家及采购人代表组成）</w:t>
      </w:r>
      <w:r>
        <w:rPr>
          <w:rFonts w:hint="eastAsia" w:ascii="宋体" w:hAnsi="宋体"/>
          <w:szCs w:val="21"/>
        </w:rPr>
        <w:t>。评审专家的确定方式见投标供应商须知前附表。</w:t>
      </w:r>
    </w:p>
    <w:p w14:paraId="4393535D">
      <w:pPr>
        <w:widowControl/>
        <w:adjustRightInd w:val="0"/>
        <w:snapToGrid w:val="0"/>
        <w:spacing w:line="360" w:lineRule="auto"/>
        <w:ind w:firstLine="420" w:firstLineChars="200"/>
        <w:rPr>
          <w:rFonts w:ascii="宋体" w:hAnsi="宋体"/>
          <w:szCs w:val="21"/>
        </w:rPr>
      </w:pPr>
      <w:r>
        <w:rPr>
          <w:rFonts w:hint="eastAsia" w:ascii="宋体" w:hAnsi="宋体"/>
          <w:szCs w:val="21"/>
        </w:rPr>
        <w:t>6.1</w:t>
      </w:r>
      <w:r>
        <w:rPr>
          <w:rFonts w:ascii="宋体" w:hAnsi="宋体"/>
          <w:szCs w:val="21"/>
        </w:rPr>
        <w:t>.2</w:t>
      </w:r>
      <w:r>
        <w:rPr>
          <w:rFonts w:hint="eastAsia" w:ascii="宋体" w:hAnsi="宋体"/>
          <w:szCs w:val="21"/>
        </w:rPr>
        <w:t xml:space="preserve"> 评标委员会成员有下列情形之一的，应当回避：</w:t>
      </w:r>
    </w:p>
    <w:p w14:paraId="02587A00">
      <w:pPr>
        <w:widowControl/>
        <w:adjustRightInd w:val="0"/>
        <w:snapToGrid w:val="0"/>
        <w:spacing w:line="360" w:lineRule="auto"/>
        <w:ind w:firstLine="420" w:firstLineChars="200"/>
        <w:rPr>
          <w:rFonts w:ascii="宋体" w:hAnsi="宋体"/>
          <w:szCs w:val="21"/>
        </w:rPr>
      </w:pPr>
      <w:r>
        <w:rPr>
          <w:rFonts w:hint="eastAsia" w:ascii="宋体" w:hAnsi="宋体"/>
          <w:szCs w:val="21"/>
        </w:rPr>
        <w:t>（1）参加采购活动前三年内，与投标供应商存在劳动关系，或者担任过投标供应商的董事、监事，或者是投标供应商的控股股东或实际控制人；</w:t>
      </w:r>
    </w:p>
    <w:p w14:paraId="12508AD4">
      <w:pPr>
        <w:widowControl/>
        <w:adjustRightInd w:val="0"/>
        <w:snapToGrid w:val="0"/>
        <w:spacing w:line="360" w:lineRule="auto"/>
        <w:ind w:firstLine="420" w:firstLineChars="200"/>
        <w:rPr>
          <w:rFonts w:ascii="宋体" w:hAnsi="宋体"/>
          <w:szCs w:val="21"/>
        </w:rPr>
      </w:pPr>
      <w:r>
        <w:rPr>
          <w:rFonts w:hint="eastAsia" w:ascii="宋体" w:hAnsi="宋体"/>
          <w:szCs w:val="21"/>
        </w:rPr>
        <w:t>（2）与投标供应商的法定代表人或者负责人有夫妻、直系血亲、三代以内旁系血亲或者近姻亲关系；</w:t>
      </w:r>
    </w:p>
    <w:p w14:paraId="345209ED">
      <w:pPr>
        <w:widowControl/>
        <w:adjustRightInd w:val="0"/>
        <w:snapToGrid w:val="0"/>
        <w:spacing w:line="360" w:lineRule="auto"/>
        <w:ind w:firstLine="420" w:firstLineChars="200"/>
        <w:rPr>
          <w:rFonts w:ascii="宋体" w:hAnsi="宋体"/>
          <w:szCs w:val="21"/>
        </w:rPr>
      </w:pPr>
      <w:r>
        <w:rPr>
          <w:rFonts w:hint="eastAsia" w:ascii="宋体" w:hAnsi="宋体"/>
          <w:szCs w:val="21"/>
        </w:rPr>
        <w:t>（3）与投标供应商有其他可能影响政府采购活动公平、公正进行的关系。</w:t>
      </w:r>
    </w:p>
    <w:p w14:paraId="03BEF12B">
      <w:pPr>
        <w:widowControl/>
        <w:topLinePunct/>
        <w:adjustRightInd w:val="0"/>
        <w:snapToGrid w:val="0"/>
        <w:spacing w:line="360" w:lineRule="auto"/>
        <w:ind w:firstLine="420" w:firstLineChars="200"/>
        <w:rPr>
          <w:rFonts w:ascii="宋体" w:hAnsi="宋体"/>
          <w:szCs w:val="21"/>
        </w:rPr>
      </w:pPr>
      <w:r>
        <w:rPr>
          <w:rFonts w:hint="eastAsia" w:ascii="宋体" w:hAnsi="宋体"/>
          <w:szCs w:val="21"/>
        </w:rPr>
        <w:t>6.1.3 评标过程中，评标委员会成员有回避事由、擅离职守或者因健康等原因不能继续评标的，采购人有权更换。被更换的评标委员会成员作出的评审结论无效，由更换后的评标委员会成员重新进行评审。</w:t>
      </w:r>
    </w:p>
    <w:p w14:paraId="46F4A746">
      <w:pPr>
        <w:pStyle w:val="4"/>
        <w:jc w:val="left"/>
        <w:rPr>
          <w:rFonts w:eastAsia="楷体_GB2312"/>
          <w:i/>
        </w:rPr>
      </w:pPr>
      <w:bookmarkStart w:id="558" w:name="_Toc338944640"/>
      <w:bookmarkStart w:id="559" w:name="_Toc445554725"/>
      <w:bookmarkStart w:id="560" w:name="_Toc458504851"/>
      <w:bookmarkStart w:id="561" w:name="_Toc144974532"/>
      <w:bookmarkStart w:id="562" w:name="_Toc152042340"/>
      <w:bookmarkStart w:id="563" w:name="_Toc371415952"/>
      <w:bookmarkStart w:id="564" w:name="_Toc455587068"/>
      <w:bookmarkStart w:id="565" w:name="_Toc333587888"/>
      <w:bookmarkStart w:id="566" w:name="_Toc342297654"/>
      <w:bookmarkStart w:id="567" w:name="_Toc455587252"/>
      <w:bookmarkStart w:id="568" w:name="_Toc179632582"/>
      <w:bookmarkStart w:id="569" w:name="_Toc342296197"/>
      <w:bookmarkStart w:id="570" w:name="_Toc333599694"/>
      <w:bookmarkStart w:id="571" w:name="_Toc342294749"/>
      <w:bookmarkStart w:id="572" w:name="_Toc152045564"/>
      <w:bookmarkStart w:id="573" w:name="_Toc338943735"/>
      <w:bookmarkStart w:id="574" w:name="_Toc333600718"/>
      <w:bookmarkStart w:id="575" w:name="_Toc466024533"/>
      <w:r>
        <w:rPr>
          <w:rFonts w:hint="eastAsia"/>
        </w:rPr>
        <w:t>6.2 评标原则</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482C779">
      <w:pPr>
        <w:widowControl/>
        <w:adjustRightInd w:val="0"/>
        <w:snapToGrid w:val="0"/>
        <w:spacing w:line="360" w:lineRule="auto"/>
        <w:ind w:firstLine="420" w:firstLineChars="200"/>
        <w:rPr>
          <w:rFonts w:ascii="宋体" w:hAnsi="宋体"/>
          <w:szCs w:val="21"/>
        </w:rPr>
      </w:pPr>
      <w:r>
        <w:rPr>
          <w:rFonts w:hint="eastAsia" w:ascii="宋体" w:hAnsi="宋体"/>
          <w:szCs w:val="21"/>
        </w:rPr>
        <w:t>评标委员会应该按照客观、公正、审慎的原则，根据招标文件规定的评审程序、评审方法和评审标准进行独立评审。</w:t>
      </w:r>
    </w:p>
    <w:p w14:paraId="7FAFB6C1">
      <w:pPr>
        <w:pStyle w:val="4"/>
        <w:jc w:val="left"/>
      </w:pPr>
      <w:bookmarkStart w:id="576" w:name="_Toc338943736"/>
      <w:bookmarkStart w:id="577" w:name="_Toc179632583"/>
      <w:bookmarkStart w:id="578" w:name="_Toc333587889"/>
      <w:bookmarkStart w:id="579" w:name="_Toc333600719"/>
      <w:bookmarkStart w:id="580" w:name="_Toc458504852"/>
      <w:bookmarkStart w:id="581" w:name="_Toc144974533"/>
      <w:bookmarkStart w:id="582" w:name="_Toc455587253"/>
      <w:bookmarkStart w:id="583" w:name="_Toc466024534"/>
      <w:bookmarkStart w:id="584" w:name="_Toc455587069"/>
      <w:bookmarkStart w:id="585" w:name="_Toc333599695"/>
      <w:bookmarkStart w:id="586" w:name="_Toc338944641"/>
      <w:bookmarkStart w:id="587" w:name="_Toc152042341"/>
      <w:bookmarkStart w:id="588" w:name="_Toc445554726"/>
      <w:bookmarkStart w:id="589" w:name="_Toc342296198"/>
      <w:bookmarkStart w:id="590" w:name="_Toc371415953"/>
      <w:bookmarkStart w:id="591" w:name="_Toc152045565"/>
      <w:bookmarkStart w:id="592" w:name="_Toc342294750"/>
      <w:bookmarkStart w:id="593" w:name="_Toc342297655"/>
      <w:r>
        <w:rPr>
          <w:rFonts w:hint="eastAsia"/>
        </w:rPr>
        <w:t>6.3 评标</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41692338">
      <w:pPr>
        <w:widowControl/>
        <w:adjustRightInd w:val="0"/>
        <w:snapToGrid w:val="0"/>
        <w:spacing w:line="360" w:lineRule="auto"/>
        <w:ind w:firstLine="420" w:firstLineChars="200"/>
        <w:rPr>
          <w:rFonts w:ascii="宋体" w:hAnsi="宋体"/>
          <w:szCs w:val="21"/>
        </w:rPr>
      </w:pPr>
      <w:r>
        <w:rPr>
          <w:rFonts w:hint="eastAsia" w:ascii="宋体" w:hAnsi="宋体"/>
          <w:szCs w:val="21"/>
        </w:rPr>
        <w:t>6.3.1 评标委员会按照招标文件第四章“资格审查和评标办法”规定的方法、评审因素、标准和程序对投标文件进行评审。“评标办法”没有规定的方法、评审因素和标准，不作为评标依据。</w:t>
      </w:r>
      <w:bookmarkStart w:id="594" w:name="_Toc152042342"/>
      <w:bookmarkStart w:id="595" w:name="_Toc333600720"/>
      <w:bookmarkStart w:id="596" w:name="_Toc342294751"/>
      <w:bookmarkStart w:id="597" w:name="_Toc338944642"/>
      <w:bookmarkStart w:id="598" w:name="_Toc333599696"/>
      <w:bookmarkStart w:id="599" w:name="_Toc144974534"/>
      <w:bookmarkStart w:id="600" w:name="_Toc152045566"/>
      <w:bookmarkStart w:id="601" w:name="_Toc342297656"/>
      <w:bookmarkStart w:id="602" w:name="_Toc342296199"/>
      <w:bookmarkStart w:id="603" w:name="_Toc179632584"/>
      <w:bookmarkStart w:id="604" w:name="_Toc338943737"/>
    </w:p>
    <w:p w14:paraId="1006C0EA">
      <w:pPr>
        <w:widowControl/>
        <w:adjustRightInd w:val="0"/>
        <w:snapToGrid w:val="0"/>
        <w:spacing w:line="360" w:lineRule="auto"/>
        <w:ind w:firstLine="420" w:firstLineChars="200"/>
        <w:rPr>
          <w:rFonts w:ascii="宋体" w:hAnsi="宋体"/>
          <w:szCs w:val="21"/>
        </w:rPr>
      </w:pPr>
      <w:r>
        <w:rPr>
          <w:rFonts w:hint="eastAsia" w:ascii="宋体" w:hAnsi="宋体"/>
          <w:szCs w:val="21"/>
        </w:rPr>
        <w:t xml:space="preserve">6.3.2 </w:t>
      </w:r>
      <w:r>
        <w:rPr>
          <w:rFonts w:ascii="宋体" w:hAnsi="宋体"/>
          <w:szCs w:val="21"/>
        </w:rPr>
        <w:t>评标完成后，评标委员会应当向</w:t>
      </w:r>
      <w:r>
        <w:rPr>
          <w:rFonts w:hint="eastAsia"/>
        </w:rPr>
        <w:t>采购</w:t>
      </w:r>
      <w:r>
        <w:rPr>
          <w:rFonts w:ascii="宋体" w:hAnsi="宋体"/>
          <w:szCs w:val="21"/>
        </w:rPr>
        <w:t>人提交书面评标报告和中标候选人名单。评标委员会推荐中标</w:t>
      </w:r>
      <w:bookmarkStart w:id="605" w:name="_Toc361508615"/>
      <w:bookmarkStart w:id="606" w:name="_Toc12259"/>
      <w:bookmarkStart w:id="607" w:name="_Toc300834979"/>
      <w:bookmarkStart w:id="608" w:name="_Toc384308240"/>
      <w:bookmarkStart w:id="609" w:name="_Toc369531546"/>
      <w:bookmarkStart w:id="610" w:name="_Toc352691502"/>
      <w:bookmarkStart w:id="611" w:name="_Toc247527583"/>
      <w:bookmarkStart w:id="612" w:name="_Toc247513982"/>
      <w:r>
        <w:rPr>
          <w:rFonts w:ascii="宋体" w:hAnsi="宋体"/>
          <w:szCs w:val="21"/>
        </w:rPr>
        <w:t>候选人的人数见投标供应商须知前附</w:t>
      </w:r>
      <w:bookmarkEnd w:id="605"/>
      <w:bookmarkEnd w:id="606"/>
      <w:bookmarkEnd w:id="607"/>
      <w:bookmarkEnd w:id="608"/>
      <w:bookmarkEnd w:id="609"/>
      <w:bookmarkEnd w:id="610"/>
      <w:bookmarkEnd w:id="611"/>
      <w:bookmarkEnd w:id="612"/>
      <w:r>
        <w:rPr>
          <w:rFonts w:ascii="宋体" w:hAnsi="宋体"/>
          <w:szCs w:val="21"/>
        </w:rPr>
        <w:t>表。</w:t>
      </w:r>
    </w:p>
    <w:p w14:paraId="59EBA5E2">
      <w:pPr>
        <w:pStyle w:val="3"/>
        <w:rPr>
          <w:rStyle w:val="19"/>
          <w:rFonts w:ascii="宋体" w:hAnsi="宋体" w:eastAsia="宋体"/>
          <w:b/>
          <w:bCs/>
          <w:sz w:val="28"/>
          <w:szCs w:val="28"/>
        </w:rPr>
      </w:pPr>
      <w:bookmarkStart w:id="613" w:name="_Toc371415954"/>
      <w:bookmarkStart w:id="614" w:name="_Toc455587070"/>
      <w:bookmarkStart w:id="615" w:name="_Toc458504853"/>
      <w:bookmarkStart w:id="616" w:name="_Toc466024535"/>
      <w:bookmarkStart w:id="617" w:name="_Toc455587254"/>
      <w:bookmarkStart w:id="618" w:name="_Toc22292"/>
      <w:bookmarkStart w:id="619" w:name="_Toc445554727"/>
      <w:r>
        <w:rPr>
          <w:rStyle w:val="19"/>
          <w:rFonts w:hint="eastAsia" w:ascii="宋体" w:hAnsi="宋体" w:eastAsia="宋体"/>
          <w:b/>
          <w:bCs/>
          <w:sz w:val="28"/>
          <w:szCs w:val="28"/>
        </w:rPr>
        <w:t>7. 合同授予</w:t>
      </w:r>
      <w:bookmarkEnd w:id="594"/>
      <w:bookmarkEnd w:id="595"/>
      <w:bookmarkEnd w:id="596"/>
      <w:bookmarkEnd w:id="597"/>
      <w:bookmarkEnd w:id="598"/>
      <w:bookmarkEnd w:id="599"/>
      <w:bookmarkEnd w:id="600"/>
      <w:bookmarkEnd w:id="601"/>
      <w:bookmarkEnd w:id="602"/>
      <w:bookmarkEnd w:id="603"/>
      <w:bookmarkEnd w:id="604"/>
      <w:bookmarkEnd w:id="613"/>
      <w:bookmarkEnd w:id="614"/>
      <w:bookmarkEnd w:id="615"/>
      <w:bookmarkEnd w:id="616"/>
      <w:bookmarkEnd w:id="617"/>
      <w:bookmarkEnd w:id="618"/>
      <w:bookmarkEnd w:id="619"/>
    </w:p>
    <w:p w14:paraId="381828F4">
      <w:pPr>
        <w:pStyle w:val="4"/>
        <w:jc w:val="left"/>
      </w:pPr>
      <w:bookmarkStart w:id="620" w:name="_Toc371415955"/>
      <w:bookmarkStart w:id="621" w:name="_Toc445554728"/>
      <w:bookmarkStart w:id="622" w:name="_Toc466024536"/>
      <w:bookmarkStart w:id="623" w:name="_Toc458504854"/>
      <w:bookmarkStart w:id="624" w:name="_Toc455587255"/>
      <w:bookmarkStart w:id="625" w:name="_Toc349730879"/>
      <w:bookmarkStart w:id="626" w:name="_Toc455587071"/>
      <w:bookmarkStart w:id="627" w:name="_Toc362252685"/>
      <w:bookmarkStart w:id="628" w:name="_Toc342294752"/>
      <w:bookmarkStart w:id="629" w:name="_Toc152042343"/>
      <w:bookmarkStart w:id="630" w:name="_Toc338943738"/>
      <w:bookmarkStart w:id="631" w:name="_Toc179632585"/>
      <w:bookmarkStart w:id="632" w:name="_Toc338944643"/>
      <w:bookmarkStart w:id="633" w:name="_Toc342296200"/>
      <w:bookmarkStart w:id="634" w:name="_Toc333600721"/>
      <w:bookmarkStart w:id="635" w:name="_Toc144974535"/>
      <w:bookmarkStart w:id="636" w:name="_Toc152045567"/>
      <w:bookmarkStart w:id="637" w:name="_Toc333599697"/>
      <w:bookmarkStart w:id="638" w:name="_Toc333587891"/>
      <w:bookmarkStart w:id="639" w:name="_Toc342297657"/>
      <w:r>
        <w:rPr>
          <w:rFonts w:hint="eastAsia"/>
        </w:rPr>
        <w:t>7.1</w:t>
      </w:r>
      <w:bookmarkEnd w:id="620"/>
      <w:bookmarkEnd w:id="621"/>
      <w:bookmarkEnd w:id="622"/>
      <w:bookmarkEnd w:id="623"/>
      <w:bookmarkEnd w:id="624"/>
      <w:bookmarkEnd w:id="625"/>
      <w:bookmarkEnd w:id="626"/>
      <w:bookmarkEnd w:id="627"/>
      <w:r>
        <w:rPr>
          <w:rFonts w:hint="eastAsia"/>
        </w:rPr>
        <w:t xml:space="preserve"> 确定中标人</w:t>
      </w:r>
    </w:p>
    <w:p w14:paraId="0B66A580">
      <w:pPr>
        <w:widowControl/>
        <w:adjustRightInd w:val="0"/>
        <w:snapToGrid w:val="0"/>
        <w:spacing w:line="360" w:lineRule="auto"/>
        <w:ind w:firstLine="420" w:firstLineChars="200"/>
        <w:rPr>
          <w:rFonts w:ascii="宋体" w:hAnsi="宋体"/>
          <w:szCs w:val="21"/>
        </w:rPr>
      </w:pPr>
      <w:r>
        <w:rPr>
          <w:rFonts w:hint="eastAsia" w:ascii="宋体" w:hAnsi="宋体"/>
          <w:szCs w:val="21"/>
        </w:rPr>
        <w:t>7.1.1 按照投标供应商须知前附表规定，采购人或采购人委托的评标委员</w:t>
      </w:r>
      <w:r>
        <w:rPr>
          <w:rFonts w:hint="eastAsia" w:ascii="宋体" w:hAnsi="宋体" w:cs="宋体"/>
          <w:kern w:val="0"/>
          <w:szCs w:val="21"/>
        </w:rPr>
        <w:t>在评标报告确定的中标候选人名单中按顺序确定中标人。中标候选人并列的，由采购人或者采购人委托评标委员会按照招标文件规定的方式确定中标人；招标文件未规定的，采取随机抽取的方式确定。</w:t>
      </w:r>
    </w:p>
    <w:p w14:paraId="03E12ED3">
      <w:pPr>
        <w:widowControl/>
        <w:adjustRightInd w:val="0"/>
        <w:snapToGrid w:val="0"/>
        <w:spacing w:line="360" w:lineRule="auto"/>
        <w:ind w:firstLine="420" w:firstLineChars="200"/>
        <w:rPr>
          <w:rFonts w:ascii="宋体" w:hAnsi="宋体"/>
          <w:szCs w:val="21"/>
        </w:rPr>
      </w:pPr>
      <w:r>
        <w:rPr>
          <w:rFonts w:hint="eastAsia" w:ascii="宋体" w:hAnsi="宋体"/>
          <w:szCs w:val="21"/>
        </w:rPr>
        <w:t>7.1.2 采购人确定中标人后，按投标供应商须知前附表规定的公告中标结果，公告内容和期限符合投标供应商须知前附表规定。</w:t>
      </w:r>
    </w:p>
    <w:p w14:paraId="17F3DF19">
      <w:pPr>
        <w:pStyle w:val="4"/>
        <w:jc w:val="left"/>
      </w:pPr>
      <w:r>
        <w:rPr>
          <w:rFonts w:hint="eastAsia"/>
        </w:rPr>
        <w:t>7.2 中标结果质疑</w:t>
      </w:r>
    </w:p>
    <w:p w14:paraId="2E5E26D7">
      <w:pPr>
        <w:widowControl/>
        <w:adjustRightInd w:val="0"/>
        <w:snapToGrid w:val="0"/>
        <w:spacing w:line="360" w:lineRule="auto"/>
        <w:ind w:firstLine="420" w:firstLineChars="200"/>
        <w:rPr>
          <w:rFonts w:ascii="宋体" w:hAnsi="宋体"/>
          <w:szCs w:val="21"/>
        </w:rPr>
      </w:pPr>
      <w:r>
        <w:rPr>
          <w:rFonts w:hint="eastAsia" w:ascii="宋体" w:hAnsi="宋体"/>
          <w:szCs w:val="21"/>
        </w:rPr>
        <w:t>投标供应商认为中标结果</w:t>
      </w:r>
      <w:r>
        <w:rPr>
          <w:rFonts w:hint="eastAsia"/>
        </w:rPr>
        <w:t>使自己的权益受到损害的，应当在按投标供应商须知前附表规定的时间和形式向采购人或采购代理机构提出书面质疑。以联合体形式参加政府采购活动的，质疑应当由联合体所有成员共同提出。</w:t>
      </w:r>
    </w:p>
    <w:p w14:paraId="1891A768">
      <w:pPr>
        <w:pStyle w:val="4"/>
        <w:jc w:val="left"/>
      </w:pPr>
      <w:bookmarkStart w:id="640" w:name="_Toc349730880"/>
      <w:bookmarkStart w:id="641" w:name="_Toc371415957"/>
      <w:bookmarkStart w:id="642" w:name="_Toc445554730"/>
      <w:bookmarkStart w:id="643" w:name="_Toc466024537"/>
      <w:bookmarkStart w:id="644" w:name="_Toc455587072"/>
      <w:bookmarkStart w:id="645" w:name="_Toc455587256"/>
      <w:bookmarkStart w:id="646" w:name="_Toc362252686"/>
      <w:bookmarkStart w:id="647" w:name="_Toc458504855"/>
      <w:r>
        <w:rPr>
          <w:rFonts w:hint="eastAsia"/>
        </w:rPr>
        <w:t>7.3 中标通知</w:t>
      </w:r>
      <w:bookmarkEnd w:id="640"/>
      <w:bookmarkEnd w:id="641"/>
      <w:bookmarkEnd w:id="642"/>
      <w:bookmarkEnd w:id="643"/>
      <w:bookmarkEnd w:id="644"/>
      <w:bookmarkEnd w:id="645"/>
      <w:bookmarkEnd w:id="646"/>
      <w:bookmarkEnd w:id="647"/>
    </w:p>
    <w:p w14:paraId="50E77230">
      <w:pPr>
        <w:widowControl/>
        <w:adjustRightInd w:val="0"/>
        <w:snapToGrid w:val="0"/>
        <w:spacing w:line="360" w:lineRule="auto"/>
        <w:ind w:firstLine="420" w:firstLineChars="200"/>
        <w:rPr>
          <w:rFonts w:ascii="宋体" w:hAnsi="宋体"/>
          <w:szCs w:val="21"/>
        </w:rPr>
      </w:pPr>
      <w:r>
        <w:rPr>
          <w:rFonts w:hint="eastAsia" w:ascii="宋体" w:hAnsi="宋体"/>
          <w:szCs w:val="21"/>
        </w:rPr>
        <w:t>7.3.1 中标结果确定后，采购人以书面形式向中标人发出中标通知书。</w:t>
      </w:r>
    </w:p>
    <w:p w14:paraId="60A08FEE">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7.3.2 中标人领取中标通知书前须向采购代理机构支付招标代理服务费，其计取标准：投标</w:t>
      </w:r>
      <w:r>
        <w:rPr>
          <w:rFonts w:hint="eastAsia" w:ascii="宋体" w:hAnsi="宋体"/>
          <w:szCs w:val="21"/>
          <w:u w:val="single"/>
        </w:rPr>
        <w:t>详见供应商须知前附表。</w:t>
      </w:r>
    </w:p>
    <w:p w14:paraId="2B60BFAE">
      <w:pPr>
        <w:pStyle w:val="4"/>
        <w:jc w:val="left"/>
      </w:pPr>
      <w:bookmarkStart w:id="648" w:name="_Toc466024538"/>
      <w:bookmarkStart w:id="649" w:name="_Toc371415958"/>
      <w:bookmarkStart w:id="650" w:name="_Toc445554731"/>
      <w:bookmarkStart w:id="651" w:name="_Toc455587257"/>
      <w:bookmarkStart w:id="652" w:name="_Toc349730881"/>
      <w:bookmarkStart w:id="653" w:name="_Toc362252687"/>
      <w:bookmarkStart w:id="654" w:name="_Toc458504856"/>
      <w:bookmarkStart w:id="655" w:name="_Toc455587073"/>
      <w:r>
        <w:rPr>
          <w:rFonts w:hint="eastAsia"/>
        </w:rPr>
        <w:t>7.4 履约</w:t>
      </w:r>
      <w:bookmarkEnd w:id="648"/>
      <w:bookmarkEnd w:id="649"/>
      <w:bookmarkEnd w:id="650"/>
      <w:bookmarkEnd w:id="651"/>
      <w:bookmarkEnd w:id="652"/>
      <w:bookmarkEnd w:id="653"/>
      <w:bookmarkEnd w:id="654"/>
      <w:bookmarkEnd w:id="655"/>
      <w:r>
        <w:rPr>
          <w:rFonts w:hint="eastAsia"/>
        </w:rPr>
        <w:t>保证金</w:t>
      </w:r>
    </w:p>
    <w:p w14:paraId="764449DF">
      <w:pPr>
        <w:widowControl/>
        <w:adjustRightInd w:val="0"/>
        <w:snapToGrid w:val="0"/>
        <w:spacing w:line="360" w:lineRule="auto"/>
        <w:ind w:firstLine="420" w:firstLineChars="200"/>
        <w:rPr>
          <w:rFonts w:ascii="宋体" w:hAnsi="宋体"/>
          <w:szCs w:val="21"/>
        </w:rPr>
      </w:pPr>
      <w:r>
        <w:rPr>
          <w:rFonts w:hint="eastAsia" w:ascii="宋体" w:hAnsi="宋体"/>
          <w:szCs w:val="21"/>
        </w:rPr>
        <w:t>7.4</w:t>
      </w:r>
      <w:r>
        <w:rPr>
          <w:rFonts w:ascii="宋体" w:hAnsi="宋体"/>
          <w:szCs w:val="21"/>
        </w:rPr>
        <w:t>.1</w:t>
      </w:r>
      <w:r>
        <w:rPr>
          <w:rFonts w:hint="eastAsia" w:ascii="宋体" w:hAnsi="宋体"/>
          <w:szCs w:val="21"/>
        </w:rPr>
        <w:t xml:space="preserve"> 在签订合同前，中标人应按投标供应商须知前附表规定的金额、形式向采购人提交履约保证金</w:t>
      </w:r>
      <w:r>
        <w:rPr>
          <w:rFonts w:ascii="宋体" w:hAnsi="宋体"/>
          <w:szCs w:val="21"/>
        </w:rPr>
        <w:t>。联合体中标的，其履约保证金以联合体各方或者联合体中牵头人的名义提交。</w:t>
      </w:r>
    </w:p>
    <w:p w14:paraId="1186FDDC">
      <w:pPr>
        <w:widowControl/>
        <w:adjustRightInd w:val="0"/>
        <w:snapToGrid w:val="0"/>
        <w:spacing w:line="360" w:lineRule="auto"/>
        <w:ind w:firstLine="420" w:firstLineChars="200"/>
        <w:rPr>
          <w:rFonts w:ascii="宋体" w:hAnsi="宋体"/>
          <w:szCs w:val="21"/>
        </w:rPr>
      </w:pPr>
      <w:r>
        <w:rPr>
          <w:rFonts w:hint="eastAsia" w:ascii="宋体" w:hAnsi="宋体"/>
          <w:szCs w:val="21"/>
        </w:rPr>
        <w:t>7.4</w:t>
      </w:r>
      <w:r>
        <w:rPr>
          <w:rFonts w:ascii="宋体" w:hAnsi="宋体"/>
          <w:szCs w:val="21"/>
        </w:rPr>
        <w:t>.2</w:t>
      </w:r>
      <w:r>
        <w:rPr>
          <w:rFonts w:hint="eastAsia" w:ascii="宋体" w:hAnsi="宋体"/>
          <w:szCs w:val="21"/>
        </w:rPr>
        <w:t xml:space="preserve"> 除投标供应商须知前附表另有规定外，中标人不能按要求提交履约保证金的，视为放弃中标，其投标保证金不予退还；给采购人造成的损失超过投标保证金数额的，中标人还应当对超过部分予以赔偿。</w:t>
      </w:r>
    </w:p>
    <w:p w14:paraId="64DF58B4">
      <w:pPr>
        <w:pStyle w:val="4"/>
        <w:jc w:val="left"/>
      </w:pPr>
      <w:bookmarkStart w:id="656" w:name="_Toc458504857"/>
      <w:bookmarkStart w:id="657" w:name="_Toc349730882"/>
      <w:bookmarkStart w:id="658" w:name="_Toc371415959"/>
      <w:bookmarkStart w:id="659" w:name="_Toc455587074"/>
      <w:bookmarkStart w:id="660" w:name="_Toc342294755"/>
      <w:bookmarkStart w:id="661" w:name="_Toc455587258"/>
      <w:bookmarkStart w:id="662" w:name="_Toc342296203"/>
      <w:bookmarkStart w:id="663" w:name="_Toc445554732"/>
      <w:bookmarkStart w:id="664" w:name="_Toc179632588"/>
      <w:bookmarkStart w:id="665" w:name="_Toc466024539"/>
      <w:bookmarkStart w:id="666" w:name="_Toc338943741"/>
      <w:bookmarkStart w:id="667" w:name="_Toc338944646"/>
      <w:bookmarkStart w:id="668" w:name="_Toc362252688"/>
      <w:bookmarkStart w:id="669" w:name="_Toc333600724"/>
      <w:bookmarkStart w:id="670" w:name="_Toc333599700"/>
      <w:bookmarkStart w:id="671" w:name="_Toc333587894"/>
      <w:r>
        <w:rPr>
          <w:rFonts w:hint="eastAsia"/>
        </w:rPr>
        <w:t>7.5 签订合同</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532DCED8">
      <w:pPr>
        <w:widowControl/>
        <w:adjustRightInd w:val="0"/>
        <w:snapToGrid w:val="0"/>
        <w:spacing w:line="360" w:lineRule="auto"/>
        <w:ind w:firstLine="420" w:firstLineChars="200"/>
      </w:pPr>
      <w:r>
        <w:rPr>
          <w:rFonts w:hint="eastAsia" w:ascii="宋体" w:hAnsi="宋体"/>
          <w:szCs w:val="21"/>
        </w:rPr>
        <w:t>7.5</w:t>
      </w:r>
      <w:r>
        <w:rPr>
          <w:rFonts w:ascii="宋体" w:hAnsi="宋体"/>
          <w:szCs w:val="21"/>
        </w:rPr>
        <w:t>.1</w:t>
      </w:r>
      <w:r>
        <w:t>采购人和中标人应当在中标通知书发出之日起</w:t>
      </w:r>
      <w:r>
        <w:rPr>
          <w:rFonts w:hint="eastAsia"/>
        </w:rPr>
        <w:t>7个工作日</w:t>
      </w:r>
      <w:r>
        <w:t>内，根据招标文件和中标人的投标文件订立书面合同</w:t>
      </w:r>
      <w:r>
        <w:rPr>
          <w:rFonts w:hint="eastAsia"/>
        </w:rPr>
        <w:t>，所签订的合同不得对招标文件确定的事项和中标人投标文件作实质性修改。</w:t>
      </w:r>
      <w:r>
        <w:t>中标人无正当理由</w:t>
      </w:r>
      <w:r>
        <w:rPr>
          <w:rFonts w:hint="eastAsia"/>
        </w:rPr>
        <w:t>拒签</w:t>
      </w:r>
      <w:r>
        <w:t>合同，在签订合同时向采购人提出</w:t>
      </w:r>
      <w:r>
        <w:rPr>
          <w:rFonts w:hint="eastAsia"/>
        </w:rPr>
        <w:t>附加条件</w:t>
      </w:r>
      <w:r>
        <w:t>的，采购人有权取消其中标资格；给采购人造成的损失的，中标人还应当予以赔偿。</w:t>
      </w:r>
    </w:p>
    <w:p w14:paraId="4B2D16B9">
      <w:pPr>
        <w:widowControl/>
        <w:adjustRightInd w:val="0"/>
        <w:snapToGrid w:val="0"/>
        <w:spacing w:line="360" w:lineRule="auto"/>
        <w:ind w:firstLine="420" w:firstLineChars="200"/>
        <w:rPr>
          <w:rFonts w:ascii="宋体" w:hAnsi="宋体"/>
          <w:szCs w:val="21"/>
        </w:rPr>
      </w:pPr>
      <w:r>
        <w:rPr>
          <w:rFonts w:hint="eastAsia" w:ascii="宋体" w:hAnsi="宋体"/>
          <w:szCs w:val="21"/>
        </w:rPr>
        <w:t>7.5</w:t>
      </w:r>
      <w:r>
        <w:rPr>
          <w:rFonts w:ascii="宋体" w:hAnsi="宋体"/>
          <w:szCs w:val="21"/>
        </w:rPr>
        <w:t>.2</w:t>
      </w:r>
      <w:r>
        <w:rPr>
          <w:rFonts w:hint="eastAsia" w:ascii="宋体" w:hAnsi="宋体"/>
          <w:szCs w:val="21"/>
        </w:rPr>
        <w:t xml:space="preserve"> 因中标人原因未签订合同的，采购人可以按照评审报告推荐的中标候选人名单排序，确定下一候选人为中标人，也可以重新开展政府采购活动。</w:t>
      </w:r>
    </w:p>
    <w:p w14:paraId="32961312">
      <w:pPr>
        <w:widowControl/>
        <w:adjustRightInd w:val="0"/>
        <w:snapToGrid w:val="0"/>
        <w:spacing w:line="360" w:lineRule="auto"/>
        <w:ind w:firstLine="420" w:firstLineChars="200"/>
        <w:rPr>
          <w:rFonts w:ascii="宋体" w:hAnsi="宋体"/>
          <w:szCs w:val="21"/>
        </w:rPr>
      </w:pPr>
      <w:r>
        <w:rPr>
          <w:rFonts w:hint="eastAsia" w:ascii="宋体" w:hAnsi="宋体"/>
          <w:szCs w:val="21"/>
        </w:rPr>
        <w:t>7.5.3 发出中标通知书后，采购人无正当理由拒签合同的，按照相关规定予以处理。</w:t>
      </w:r>
    </w:p>
    <w:p w14:paraId="65D8165F">
      <w:pPr>
        <w:widowControl/>
        <w:adjustRightInd w:val="0"/>
        <w:snapToGrid w:val="0"/>
        <w:spacing w:line="360" w:lineRule="auto"/>
        <w:ind w:firstLine="420" w:firstLineChars="200"/>
        <w:rPr>
          <w:rFonts w:ascii="宋体" w:hAnsi="宋体"/>
          <w:szCs w:val="21"/>
        </w:rPr>
      </w:pPr>
      <w:r>
        <w:rPr>
          <w:rFonts w:ascii="宋体" w:hAnsi="宋体"/>
          <w:szCs w:val="21"/>
        </w:rPr>
        <w:t>7.</w:t>
      </w:r>
      <w:r>
        <w:rPr>
          <w:rFonts w:hint="eastAsia" w:ascii="宋体" w:hAnsi="宋体"/>
          <w:szCs w:val="21"/>
        </w:rPr>
        <w:t>5</w:t>
      </w:r>
      <w:r>
        <w:rPr>
          <w:rFonts w:ascii="宋体" w:hAnsi="宋体"/>
          <w:szCs w:val="21"/>
        </w:rPr>
        <w:t>.</w:t>
      </w:r>
      <w:r>
        <w:rPr>
          <w:rFonts w:hint="eastAsia" w:ascii="宋体" w:hAnsi="宋体"/>
          <w:szCs w:val="21"/>
        </w:rPr>
        <w:t xml:space="preserve">4 </w:t>
      </w:r>
      <w:r>
        <w:rPr>
          <w:rFonts w:ascii="宋体" w:hAnsi="宋体"/>
          <w:szCs w:val="21"/>
        </w:rPr>
        <w:t>联合体中标的，联合体各方应当共同与采购人签订合同，就中标项目向采购人承担连带责任。</w:t>
      </w:r>
    </w:p>
    <w:p w14:paraId="47FCE0CA">
      <w:pPr>
        <w:pStyle w:val="22"/>
        <w:tabs>
          <w:tab w:val="left" w:pos="1250"/>
        </w:tabs>
        <w:autoSpaceDE w:val="0"/>
        <w:autoSpaceDN w:val="0"/>
        <w:spacing w:line="440" w:lineRule="exact"/>
        <w:rPr>
          <w:rFonts w:ascii="宋体" w:hAnsi="宋体"/>
          <w:szCs w:val="21"/>
        </w:rPr>
      </w:pPr>
      <w:r>
        <w:rPr>
          <w:rFonts w:ascii="宋体" w:hAnsi="宋体"/>
          <w:szCs w:val="21"/>
        </w:rPr>
        <w:t>7.</w:t>
      </w:r>
      <w:r>
        <w:rPr>
          <w:rFonts w:hint="eastAsia" w:ascii="宋体" w:hAnsi="宋体"/>
          <w:szCs w:val="21"/>
        </w:rPr>
        <w:t>5</w:t>
      </w:r>
      <w:r>
        <w:rPr>
          <w:rFonts w:ascii="宋体" w:hAnsi="宋体"/>
          <w:szCs w:val="21"/>
        </w:rPr>
        <w:t>.</w:t>
      </w:r>
      <w:r>
        <w:rPr>
          <w:rFonts w:hint="eastAsia" w:ascii="宋体" w:hAnsi="宋体"/>
          <w:szCs w:val="21"/>
        </w:rPr>
        <w:t xml:space="preserve">5 </w:t>
      </w:r>
      <w:r>
        <w:rPr>
          <w:rFonts w:ascii="宋体" w:hAnsi="宋体"/>
          <w:szCs w:val="21"/>
        </w:rPr>
        <w:t xml:space="preserve">依据《政府采购促进中小企业发展管理办法》（财库〔2020〕46 号） </w:t>
      </w:r>
      <w:r>
        <w:rPr>
          <w:rFonts w:hint="eastAsia" w:ascii="宋体" w:hAnsi="宋体"/>
          <w:szCs w:val="21"/>
        </w:rPr>
        <w:t>以及《进一步加大政府采购支持中小企业力度》（财库〔2022〕19号）</w:t>
      </w:r>
      <w:r>
        <w:rPr>
          <w:rFonts w:ascii="宋体" w:hAnsi="宋体"/>
          <w:szCs w:val="21"/>
        </w:rPr>
        <w:t>规定享受扶持政策获得政府采购合同的，小微企业不得将合同分包给大中型企业，中型企业不得将合同分包给大型企业。</w:t>
      </w:r>
    </w:p>
    <w:p w14:paraId="6D5AAF2D">
      <w:pPr>
        <w:widowControl/>
        <w:adjustRightInd w:val="0"/>
        <w:snapToGrid w:val="0"/>
        <w:spacing w:line="360" w:lineRule="auto"/>
        <w:ind w:firstLine="420" w:firstLineChars="200"/>
        <w:rPr>
          <w:rFonts w:ascii="宋体" w:hAnsi="宋体"/>
          <w:szCs w:val="21"/>
        </w:rPr>
      </w:pPr>
    </w:p>
    <w:bookmarkEnd w:id="628"/>
    <w:bookmarkEnd w:id="629"/>
    <w:bookmarkEnd w:id="630"/>
    <w:bookmarkEnd w:id="631"/>
    <w:bookmarkEnd w:id="632"/>
    <w:bookmarkEnd w:id="633"/>
    <w:bookmarkEnd w:id="634"/>
    <w:bookmarkEnd w:id="635"/>
    <w:bookmarkEnd w:id="636"/>
    <w:bookmarkEnd w:id="637"/>
    <w:bookmarkEnd w:id="638"/>
    <w:bookmarkEnd w:id="639"/>
    <w:p w14:paraId="6AEEBC85">
      <w:pPr>
        <w:pStyle w:val="3"/>
        <w:jc w:val="left"/>
        <w:rPr>
          <w:rStyle w:val="19"/>
          <w:rFonts w:ascii="宋体" w:hAnsi="宋体" w:eastAsia="宋体"/>
          <w:b/>
          <w:bCs/>
          <w:sz w:val="28"/>
          <w:szCs w:val="28"/>
        </w:rPr>
      </w:pPr>
      <w:bookmarkStart w:id="672" w:name="_Toc455587259"/>
      <w:bookmarkStart w:id="673" w:name="_Toc455587075"/>
      <w:bookmarkStart w:id="674" w:name="_Toc458504860"/>
      <w:bookmarkStart w:id="675" w:name="_Toc11803"/>
      <w:bookmarkStart w:id="676" w:name="_Toc466024542"/>
      <w:r>
        <w:rPr>
          <w:rStyle w:val="19"/>
          <w:rFonts w:hint="eastAsia" w:ascii="宋体" w:hAnsi="宋体" w:eastAsia="宋体"/>
          <w:b/>
          <w:bCs/>
          <w:sz w:val="28"/>
          <w:szCs w:val="28"/>
        </w:rPr>
        <w:t>8. 废标</w:t>
      </w:r>
      <w:bookmarkEnd w:id="672"/>
      <w:bookmarkEnd w:id="673"/>
      <w:bookmarkEnd w:id="674"/>
      <w:r>
        <w:rPr>
          <w:rStyle w:val="19"/>
          <w:rFonts w:hint="eastAsia" w:ascii="宋体" w:hAnsi="宋体" w:eastAsia="宋体"/>
          <w:b/>
          <w:bCs/>
          <w:sz w:val="28"/>
          <w:szCs w:val="28"/>
        </w:rPr>
        <w:t>、变更采购方式与终止招标</w:t>
      </w:r>
      <w:bookmarkEnd w:id="675"/>
      <w:bookmarkEnd w:id="676"/>
    </w:p>
    <w:p w14:paraId="77303EC0">
      <w:pPr>
        <w:pStyle w:val="4"/>
        <w:jc w:val="left"/>
      </w:pPr>
      <w:bookmarkStart w:id="677" w:name="_Toc466024543"/>
      <w:bookmarkStart w:id="678" w:name="_Toc458504861"/>
      <w:bookmarkStart w:id="679" w:name="_Toc455587260"/>
      <w:bookmarkStart w:id="680" w:name="_Toc455587076"/>
      <w:bookmarkStart w:id="681" w:name="_Toc333600726"/>
      <w:bookmarkStart w:id="682" w:name="_Toc333599702"/>
      <w:bookmarkStart w:id="683" w:name="_Toc445554734"/>
      <w:bookmarkStart w:id="684" w:name="_Toc342297662"/>
      <w:bookmarkStart w:id="685" w:name="_Toc338943743"/>
      <w:bookmarkStart w:id="686" w:name="_Toc144974540"/>
      <w:bookmarkStart w:id="687" w:name="_Toc338944648"/>
      <w:bookmarkStart w:id="688" w:name="_Toc152042348"/>
      <w:bookmarkStart w:id="689" w:name="_Toc152045572"/>
      <w:bookmarkStart w:id="690" w:name="_Toc371415961"/>
      <w:bookmarkStart w:id="691" w:name="_Toc333587896"/>
      <w:bookmarkStart w:id="692" w:name="_Toc342294757"/>
      <w:bookmarkStart w:id="693" w:name="_Toc179632590"/>
      <w:bookmarkStart w:id="694" w:name="_Toc342296205"/>
      <w:r>
        <w:rPr>
          <w:rFonts w:hint="eastAsia"/>
        </w:rPr>
        <w:t>8.1 废标</w:t>
      </w:r>
      <w:bookmarkEnd w:id="677"/>
      <w:bookmarkEnd w:id="678"/>
      <w:bookmarkEnd w:id="679"/>
      <w:bookmarkEnd w:id="680"/>
    </w:p>
    <w:p w14:paraId="2E42B428">
      <w:pPr>
        <w:widowControl/>
        <w:adjustRightInd w:val="0"/>
        <w:snapToGrid w:val="0"/>
        <w:spacing w:line="360" w:lineRule="auto"/>
        <w:ind w:firstLine="420" w:firstLineChars="200"/>
        <w:rPr>
          <w:rFonts w:ascii="宋体" w:hAnsi="宋体"/>
          <w:szCs w:val="21"/>
        </w:rPr>
      </w:pPr>
      <w:r>
        <w:rPr>
          <w:rFonts w:hint="eastAsia" w:ascii="宋体" w:hAnsi="宋体"/>
          <w:szCs w:val="21"/>
        </w:rPr>
        <w:t>8.1.1 出现下列情形之一的，应予废标：</w:t>
      </w:r>
    </w:p>
    <w:p w14:paraId="7BFB9723">
      <w:pPr>
        <w:widowControl/>
        <w:adjustRightInd w:val="0"/>
        <w:snapToGrid w:val="0"/>
        <w:spacing w:line="360" w:lineRule="auto"/>
        <w:ind w:firstLine="420" w:firstLineChars="200"/>
        <w:rPr>
          <w:rFonts w:ascii="宋体" w:hAnsi="宋体"/>
          <w:szCs w:val="21"/>
        </w:rPr>
      </w:pPr>
      <w:r>
        <w:rPr>
          <w:rFonts w:hint="eastAsia" w:ascii="宋体" w:hAnsi="宋体"/>
          <w:szCs w:val="21"/>
        </w:rPr>
        <w:t>（1）符合专业条件的投标供应商或者对招标文件作实质响应的投标供应商不足3家的；</w:t>
      </w:r>
    </w:p>
    <w:p w14:paraId="39DDEF70">
      <w:pPr>
        <w:widowControl/>
        <w:adjustRightInd w:val="0"/>
        <w:snapToGrid w:val="0"/>
        <w:spacing w:line="360" w:lineRule="auto"/>
        <w:ind w:firstLine="420" w:firstLineChars="200"/>
        <w:rPr>
          <w:rFonts w:ascii="宋体" w:hAnsi="宋体"/>
          <w:szCs w:val="21"/>
        </w:rPr>
      </w:pPr>
      <w:r>
        <w:rPr>
          <w:rFonts w:hint="eastAsia" w:ascii="宋体" w:hAnsi="宋体"/>
          <w:szCs w:val="21"/>
        </w:rPr>
        <w:t>（2）出现影响采购公正的违法、违规行为的；</w:t>
      </w:r>
    </w:p>
    <w:p w14:paraId="35302B2D">
      <w:pPr>
        <w:widowControl/>
        <w:adjustRightInd w:val="0"/>
        <w:snapToGrid w:val="0"/>
        <w:spacing w:line="360" w:lineRule="auto"/>
        <w:ind w:firstLine="420" w:firstLineChars="200"/>
        <w:rPr>
          <w:rFonts w:ascii="宋体" w:hAnsi="宋体"/>
          <w:szCs w:val="21"/>
        </w:rPr>
      </w:pPr>
      <w:r>
        <w:rPr>
          <w:rFonts w:hint="eastAsia" w:ascii="宋体" w:hAnsi="宋体"/>
          <w:szCs w:val="21"/>
        </w:rPr>
        <w:t>（3）投标供应商的报价均超过了采购预算或最高限价（多包的采购的，指调节后的采购预算），采购人不能支付的；</w:t>
      </w:r>
    </w:p>
    <w:p w14:paraId="2AC18C13">
      <w:pPr>
        <w:widowControl/>
        <w:adjustRightInd w:val="0"/>
        <w:snapToGrid w:val="0"/>
        <w:spacing w:line="360" w:lineRule="auto"/>
        <w:ind w:firstLine="420" w:firstLineChars="200"/>
        <w:rPr>
          <w:rFonts w:ascii="宋体" w:hAnsi="宋体"/>
          <w:szCs w:val="21"/>
        </w:rPr>
      </w:pPr>
      <w:r>
        <w:rPr>
          <w:rFonts w:hint="eastAsia" w:ascii="宋体" w:hAnsi="宋体"/>
          <w:szCs w:val="21"/>
        </w:rPr>
        <w:t>（4）因重大变故，采购任务取消的。</w:t>
      </w:r>
    </w:p>
    <w:p w14:paraId="1965D136">
      <w:pPr>
        <w:widowControl/>
        <w:adjustRightInd w:val="0"/>
        <w:snapToGrid w:val="0"/>
        <w:spacing w:line="360" w:lineRule="auto"/>
        <w:ind w:firstLine="420" w:firstLineChars="200"/>
        <w:rPr>
          <w:rFonts w:ascii="宋体" w:hAnsi="宋体"/>
          <w:szCs w:val="21"/>
        </w:rPr>
      </w:pPr>
      <w:r>
        <w:rPr>
          <w:rFonts w:hint="eastAsia" w:ascii="宋体" w:hAnsi="宋体"/>
          <w:szCs w:val="21"/>
        </w:rPr>
        <w:t>8.1.2 废标后，采购人应当将废标理由通知所有投标供应商。</w:t>
      </w:r>
    </w:p>
    <w:p w14:paraId="3FBDFB1C">
      <w:pPr>
        <w:widowControl/>
        <w:adjustRightInd w:val="0"/>
        <w:snapToGrid w:val="0"/>
        <w:spacing w:line="360" w:lineRule="auto"/>
        <w:ind w:firstLine="420" w:firstLineChars="200"/>
        <w:rPr>
          <w:rFonts w:ascii="宋体" w:hAnsi="宋体"/>
          <w:szCs w:val="21"/>
        </w:rPr>
      </w:pPr>
      <w:r>
        <w:rPr>
          <w:rFonts w:hint="eastAsia" w:ascii="宋体" w:hAnsi="宋体"/>
          <w:szCs w:val="21"/>
        </w:rPr>
        <w:t>8.1.3 废标后，除采购任务取消情形外，应当重新组织招标；需要采取其他方式采购的，需要批准的应当在采购活动开始前获得批准。</w:t>
      </w:r>
    </w:p>
    <w:p w14:paraId="7B313E36">
      <w:pPr>
        <w:pStyle w:val="4"/>
        <w:jc w:val="left"/>
      </w:pPr>
      <w:bookmarkStart w:id="695" w:name="_Toc455587077"/>
      <w:bookmarkStart w:id="696" w:name="_Toc455587261"/>
      <w:bookmarkStart w:id="697" w:name="_Toc466024544"/>
      <w:bookmarkStart w:id="698" w:name="_Toc458504862"/>
      <w:r>
        <w:rPr>
          <w:rFonts w:hint="eastAsia"/>
        </w:rPr>
        <w:t>8.2</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Pr>
          <w:rFonts w:hint="eastAsia"/>
        </w:rPr>
        <w:t xml:space="preserve"> 重新招标与变更采购方式</w:t>
      </w:r>
      <w:bookmarkEnd w:id="697"/>
      <w:bookmarkEnd w:id="698"/>
    </w:p>
    <w:p w14:paraId="3F398BD6">
      <w:pPr>
        <w:widowControl/>
        <w:adjustRightInd w:val="0"/>
        <w:snapToGrid w:val="0"/>
        <w:spacing w:line="360" w:lineRule="auto"/>
        <w:ind w:firstLine="420" w:firstLineChars="200"/>
        <w:rPr>
          <w:rFonts w:ascii="宋体" w:hAnsi="宋体"/>
          <w:szCs w:val="21"/>
        </w:rPr>
      </w:pPr>
      <w:r>
        <w:rPr>
          <w:rFonts w:hint="eastAsia" w:ascii="宋体" w:hAnsi="宋体"/>
          <w:szCs w:val="21"/>
        </w:rPr>
        <w:t>8.2.1 公开招标数额标准以上的采购项目，投标截止后投标供应商不足3家或者通过资格审查或符合性审查的投标供应商不足3家的，除采购任务取消情形外，按照以下方式处理：</w:t>
      </w:r>
    </w:p>
    <w:p w14:paraId="58F9E4F5">
      <w:pPr>
        <w:widowControl/>
        <w:adjustRightInd w:val="0"/>
        <w:snapToGrid w:val="0"/>
        <w:spacing w:line="360" w:lineRule="auto"/>
        <w:ind w:firstLine="420" w:firstLineChars="200"/>
        <w:rPr>
          <w:rFonts w:ascii="宋体" w:hAnsi="宋体"/>
          <w:szCs w:val="21"/>
        </w:rPr>
      </w:pPr>
      <w:r>
        <w:rPr>
          <w:rFonts w:hint="eastAsia" w:ascii="宋体" w:hAnsi="宋体"/>
          <w:szCs w:val="21"/>
        </w:rPr>
        <w:t>（1）招标文件存在不合理条款或者招标程序不符合规定的，采购人、采购代理机构改正后依法重新招标；</w:t>
      </w:r>
    </w:p>
    <w:p w14:paraId="342F1C96">
      <w:pPr>
        <w:widowControl/>
        <w:adjustRightInd w:val="0"/>
        <w:snapToGrid w:val="0"/>
        <w:spacing w:line="360" w:lineRule="auto"/>
        <w:ind w:firstLine="420" w:firstLineChars="200"/>
        <w:rPr>
          <w:rFonts w:ascii="宋体" w:hAnsi="宋体"/>
          <w:szCs w:val="21"/>
        </w:rPr>
      </w:pPr>
      <w:r>
        <w:rPr>
          <w:rFonts w:hint="eastAsia" w:ascii="宋体" w:hAnsi="宋体"/>
          <w:szCs w:val="21"/>
        </w:rPr>
        <w:t>（2）招标文件没有不合理条款、招标程序符合规定，需要采用其他采购方式采购的，采购人应当依法报财政部门批准。</w:t>
      </w:r>
    </w:p>
    <w:p w14:paraId="2E7E14BD">
      <w:pPr>
        <w:widowControl/>
        <w:adjustRightInd w:val="0"/>
        <w:snapToGrid w:val="0"/>
        <w:spacing w:line="360" w:lineRule="auto"/>
        <w:ind w:firstLine="420" w:firstLineChars="200"/>
        <w:rPr>
          <w:rFonts w:ascii="宋体" w:hAnsi="宋体"/>
          <w:szCs w:val="21"/>
        </w:rPr>
      </w:pPr>
      <w:r>
        <w:rPr>
          <w:rFonts w:hint="eastAsia" w:ascii="宋体" w:hAnsi="宋体"/>
          <w:szCs w:val="21"/>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489C355F">
      <w:pPr>
        <w:pStyle w:val="4"/>
        <w:jc w:val="left"/>
      </w:pPr>
      <w:bookmarkStart w:id="699" w:name="_Toc445554736"/>
      <w:bookmarkStart w:id="700" w:name="_Toc466024545"/>
      <w:bookmarkStart w:id="701" w:name="_Toc455587078"/>
      <w:bookmarkStart w:id="702" w:name="_Toc455587262"/>
      <w:bookmarkStart w:id="703" w:name="_Toc458504863"/>
      <w:bookmarkStart w:id="704" w:name="_Toc144974542"/>
      <w:bookmarkStart w:id="705" w:name="_Toc179632592"/>
      <w:bookmarkStart w:id="706" w:name="_Toc338943745"/>
      <w:bookmarkStart w:id="707" w:name="_Toc342294759"/>
      <w:bookmarkStart w:id="708" w:name="_Toc333599704"/>
      <w:bookmarkStart w:id="709" w:name="_Toc333600728"/>
      <w:bookmarkStart w:id="710" w:name="_Toc152042350"/>
      <w:bookmarkStart w:id="711" w:name="_Toc338944650"/>
      <w:bookmarkStart w:id="712" w:name="_Toc342296207"/>
      <w:bookmarkStart w:id="713" w:name="_Toc152045574"/>
      <w:bookmarkStart w:id="714" w:name="_Toc342297664"/>
      <w:r>
        <w:rPr>
          <w:rFonts w:hint="eastAsia"/>
        </w:rPr>
        <w:t>8.3 终止招标</w:t>
      </w:r>
      <w:bookmarkEnd w:id="699"/>
      <w:bookmarkEnd w:id="700"/>
      <w:bookmarkEnd w:id="701"/>
      <w:bookmarkEnd w:id="702"/>
      <w:bookmarkEnd w:id="703"/>
    </w:p>
    <w:p w14:paraId="504B477F">
      <w:pPr>
        <w:widowControl/>
        <w:adjustRightInd w:val="0"/>
        <w:snapToGrid w:val="0"/>
        <w:spacing w:line="360" w:lineRule="auto"/>
        <w:ind w:firstLine="420" w:firstLineChars="200"/>
        <w:rPr>
          <w:rFonts w:ascii="宋体" w:hAnsi="宋体"/>
          <w:szCs w:val="21"/>
        </w:rPr>
      </w:pPr>
      <w:r>
        <w:rPr>
          <w:rFonts w:hint="eastAsia" w:ascii="宋体" w:hAnsi="宋体"/>
          <w:szCs w:val="21"/>
        </w:rPr>
        <w:t>因不可抗力等原因，采购人终止招标的，将及时发布公告，或者以书面形式通知被邀请的或者已经获取招标文件的潜在投标供应商。已经发布招标文件或者已经收取投标保证金的，采购人将及时退还所收取的招标文件的费用，以及所收取的投标保证金。</w:t>
      </w:r>
    </w:p>
    <w:bookmarkEnd w:id="704"/>
    <w:bookmarkEnd w:id="705"/>
    <w:bookmarkEnd w:id="706"/>
    <w:bookmarkEnd w:id="707"/>
    <w:bookmarkEnd w:id="708"/>
    <w:bookmarkEnd w:id="709"/>
    <w:bookmarkEnd w:id="710"/>
    <w:bookmarkEnd w:id="711"/>
    <w:bookmarkEnd w:id="712"/>
    <w:bookmarkEnd w:id="713"/>
    <w:bookmarkEnd w:id="714"/>
    <w:p w14:paraId="71FEE65B">
      <w:pPr>
        <w:pStyle w:val="3"/>
        <w:rPr>
          <w:rStyle w:val="19"/>
          <w:rFonts w:ascii="Cambria" w:hAnsi="Cambria" w:eastAsia="宋体"/>
          <w:b/>
          <w:bCs/>
        </w:rPr>
      </w:pPr>
      <w:bookmarkStart w:id="715" w:name="_Toc8371"/>
      <w:bookmarkStart w:id="716" w:name="_Toc455587079"/>
      <w:bookmarkStart w:id="717" w:name="_Toc458504864"/>
      <w:bookmarkStart w:id="718" w:name="_Toc466024546"/>
      <w:bookmarkStart w:id="719" w:name="_Toc445554737"/>
      <w:bookmarkStart w:id="720" w:name="_Toc455587263"/>
      <w:r>
        <w:rPr>
          <w:rStyle w:val="19"/>
          <w:rFonts w:hint="eastAsia" w:ascii="Cambria" w:hAnsi="Cambria" w:eastAsia="宋体"/>
          <w:b/>
          <w:bCs/>
        </w:rPr>
        <w:t>9. 询问与质疑</w:t>
      </w:r>
      <w:bookmarkEnd w:id="715"/>
    </w:p>
    <w:p w14:paraId="47076638">
      <w:pPr>
        <w:pStyle w:val="4"/>
        <w:jc w:val="left"/>
      </w:pPr>
      <w:r>
        <w:rPr>
          <w:rFonts w:hint="eastAsia"/>
        </w:rPr>
        <w:t>9.1 询问与质疑的提出</w:t>
      </w:r>
    </w:p>
    <w:p w14:paraId="2BFD3EE9">
      <w:pPr>
        <w:widowControl/>
        <w:adjustRightInd w:val="0"/>
        <w:snapToGrid w:val="0"/>
        <w:spacing w:line="360" w:lineRule="auto"/>
        <w:ind w:firstLine="420" w:firstLineChars="200"/>
        <w:rPr>
          <w:rFonts w:ascii="宋体" w:hAnsi="宋体"/>
          <w:szCs w:val="21"/>
        </w:rPr>
      </w:pPr>
      <w:r>
        <w:rPr>
          <w:rFonts w:hint="eastAsia" w:ascii="宋体" w:hAnsi="宋体"/>
          <w:szCs w:val="21"/>
        </w:rPr>
        <w:t>9.1.1 投标供应商对招标文件、采购过程、中标结果有相关疑问的，可以向采购代理机构提出询问。认为其权益受到损害的，可以提出书面质疑。质疑材料应当采用中文，有关材料是外文的，应当同时提供其中文译本。</w:t>
      </w:r>
    </w:p>
    <w:p w14:paraId="2ABCA65D">
      <w:pPr>
        <w:widowControl/>
        <w:adjustRightInd w:val="0"/>
        <w:snapToGrid w:val="0"/>
        <w:spacing w:line="360" w:lineRule="auto"/>
        <w:ind w:firstLine="420" w:firstLineChars="200"/>
        <w:rPr>
          <w:rFonts w:ascii="宋体" w:hAnsi="宋体"/>
          <w:szCs w:val="21"/>
        </w:rPr>
      </w:pPr>
      <w:r>
        <w:rPr>
          <w:rFonts w:hint="eastAsia" w:ascii="宋体" w:hAnsi="宋体"/>
          <w:szCs w:val="21"/>
        </w:rPr>
        <w:t xml:space="preserve">9.1.2 </w:t>
      </w:r>
      <w:r>
        <w:t>提出质疑的</w:t>
      </w:r>
      <w:r>
        <w:rPr>
          <w:rFonts w:hint="eastAsia"/>
        </w:rPr>
        <w:t>投标供应商</w:t>
      </w:r>
      <w:r>
        <w:t>应当是参与所质疑项目采购活动的</w:t>
      </w:r>
      <w:r>
        <w:rPr>
          <w:rFonts w:hint="eastAsia"/>
        </w:rPr>
        <w:t>投标供应商</w:t>
      </w:r>
      <w:r>
        <w:t>。潜在</w:t>
      </w:r>
      <w:r>
        <w:rPr>
          <w:rFonts w:hint="eastAsia"/>
        </w:rPr>
        <w:t>投标供应商</w:t>
      </w:r>
      <w:r>
        <w:t>已依法获取其可质疑的</w:t>
      </w:r>
      <w:r>
        <w:rPr>
          <w:rFonts w:hint="eastAsia"/>
        </w:rPr>
        <w:t>招标</w:t>
      </w:r>
      <w:r>
        <w:t>文件的，可以对</w:t>
      </w:r>
      <w:r>
        <w:rPr>
          <w:rFonts w:hint="eastAsia"/>
        </w:rPr>
        <w:t>招标</w:t>
      </w:r>
      <w:r>
        <w:t>文件提出</w:t>
      </w:r>
      <w:r>
        <w:rPr>
          <w:rFonts w:hint="eastAsia"/>
        </w:rPr>
        <w:t>质疑</w:t>
      </w:r>
      <w:r>
        <w:t>。</w:t>
      </w:r>
    </w:p>
    <w:p w14:paraId="3C10208B">
      <w:pPr>
        <w:widowControl/>
        <w:adjustRightInd w:val="0"/>
        <w:snapToGrid w:val="0"/>
        <w:spacing w:line="360" w:lineRule="auto"/>
        <w:ind w:firstLine="420" w:firstLineChars="200"/>
        <w:rPr>
          <w:rFonts w:ascii="宋体" w:hAnsi="宋体"/>
          <w:szCs w:val="21"/>
        </w:rPr>
      </w:pPr>
      <w:r>
        <w:rPr>
          <w:rFonts w:hint="eastAsia" w:ascii="宋体" w:hAnsi="宋体"/>
          <w:szCs w:val="21"/>
        </w:rPr>
        <w:t>9.1.3 投标供应商应当</w:t>
      </w:r>
      <w:r>
        <w:rPr>
          <w:rFonts w:ascii="宋体" w:hAnsi="宋体"/>
          <w:szCs w:val="21"/>
        </w:rPr>
        <w:t>在法定质疑期内一次性提出针对同一采购程序环节的质疑</w:t>
      </w:r>
      <w:r>
        <w:rPr>
          <w:rFonts w:hint="eastAsia" w:ascii="宋体" w:hAnsi="宋体"/>
          <w:szCs w:val="21"/>
        </w:rPr>
        <w:t>。质疑应当有具体的事项及根据，不得进行虚假、恶意质疑，扰乱政府采购活动正常的工作秩序。</w:t>
      </w:r>
    </w:p>
    <w:p w14:paraId="5FD0E519">
      <w:pPr>
        <w:pStyle w:val="4"/>
        <w:jc w:val="left"/>
      </w:pPr>
      <w:r>
        <w:rPr>
          <w:rFonts w:hint="eastAsia"/>
        </w:rPr>
        <w:t>9.2 质疑材料的要求</w:t>
      </w:r>
    </w:p>
    <w:p w14:paraId="69C91373">
      <w:pPr>
        <w:widowControl/>
        <w:adjustRightInd w:val="0"/>
        <w:snapToGrid w:val="0"/>
        <w:spacing w:line="360" w:lineRule="auto"/>
        <w:ind w:firstLine="420" w:firstLineChars="200"/>
        <w:rPr>
          <w:rFonts w:ascii="宋体" w:hAnsi="宋体"/>
          <w:szCs w:val="21"/>
        </w:rPr>
      </w:pPr>
      <w:r>
        <w:rPr>
          <w:rFonts w:hint="eastAsia" w:ascii="宋体" w:hAnsi="宋体"/>
          <w:szCs w:val="21"/>
        </w:rPr>
        <w:t>9.2.1 书面质疑材料应当包括以下内容：</w:t>
      </w:r>
    </w:p>
    <w:p w14:paraId="6C162948">
      <w:pPr>
        <w:widowControl/>
        <w:adjustRightInd w:val="0"/>
        <w:snapToGrid w:val="0"/>
        <w:spacing w:line="360" w:lineRule="auto"/>
        <w:ind w:firstLine="420" w:firstLineChars="200"/>
        <w:rPr>
          <w:rFonts w:ascii="宋体" w:hAnsi="宋体"/>
          <w:szCs w:val="21"/>
        </w:rPr>
      </w:pPr>
      <w:r>
        <w:rPr>
          <w:rFonts w:hint="eastAsia" w:ascii="宋体" w:hAnsi="宋体"/>
          <w:szCs w:val="21"/>
        </w:rPr>
        <w:t>（1）提起质疑的投标供应商名称、地址、邮编、联系人及联系电话；</w:t>
      </w:r>
    </w:p>
    <w:p w14:paraId="20EAFCA2">
      <w:pPr>
        <w:widowControl/>
        <w:adjustRightInd w:val="0"/>
        <w:snapToGrid w:val="0"/>
        <w:spacing w:line="360" w:lineRule="auto"/>
        <w:ind w:firstLine="420" w:firstLineChars="200"/>
        <w:rPr>
          <w:rFonts w:ascii="宋体" w:hAnsi="宋体"/>
          <w:szCs w:val="21"/>
        </w:rPr>
      </w:pPr>
      <w:r>
        <w:rPr>
          <w:rFonts w:hint="eastAsia" w:ascii="宋体" w:hAnsi="宋体"/>
          <w:szCs w:val="21"/>
        </w:rPr>
        <w:t>（2）项目名称、项目编号及分包号（如有）；</w:t>
      </w:r>
    </w:p>
    <w:p w14:paraId="1FFC93DC">
      <w:pPr>
        <w:widowControl/>
        <w:adjustRightInd w:val="0"/>
        <w:snapToGrid w:val="0"/>
        <w:spacing w:line="360" w:lineRule="auto"/>
        <w:ind w:firstLine="420" w:firstLineChars="200"/>
        <w:rPr>
          <w:rFonts w:ascii="宋体" w:hAnsi="宋体"/>
          <w:szCs w:val="21"/>
        </w:rPr>
      </w:pPr>
      <w:r>
        <w:rPr>
          <w:rFonts w:hint="eastAsia" w:ascii="宋体" w:hAnsi="宋体"/>
          <w:szCs w:val="21"/>
        </w:rPr>
        <w:t>（3）</w:t>
      </w:r>
      <w:r>
        <w:t>具体、明确的质疑事项和与质疑事项相关的请求</w:t>
      </w:r>
      <w:r>
        <w:rPr>
          <w:rFonts w:hint="eastAsia" w:ascii="宋体" w:hAnsi="宋体"/>
          <w:szCs w:val="21"/>
        </w:rPr>
        <w:t>；</w:t>
      </w:r>
    </w:p>
    <w:p w14:paraId="661756D9">
      <w:pPr>
        <w:widowControl/>
        <w:adjustRightInd w:val="0"/>
        <w:snapToGrid w:val="0"/>
        <w:spacing w:line="360" w:lineRule="auto"/>
        <w:ind w:firstLine="420" w:firstLineChars="200"/>
        <w:rPr>
          <w:rFonts w:ascii="宋体" w:hAnsi="宋体"/>
          <w:szCs w:val="21"/>
        </w:rPr>
      </w:pPr>
      <w:r>
        <w:rPr>
          <w:rFonts w:hint="eastAsia" w:ascii="宋体" w:hAnsi="宋体"/>
          <w:szCs w:val="21"/>
        </w:rPr>
        <w:t>（4）有效线索和相关证明材料等</w:t>
      </w:r>
      <w:r>
        <w:t>事实依据；</w:t>
      </w:r>
    </w:p>
    <w:p w14:paraId="6ACB723C">
      <w:pPr>
        <w:widowControl/>
        <w:adjustRightInd w:val="0"/>
        <w:snapToGrid w:val="0"/>
        <w:spacing w:line="360" w:lineRule="auto"/>
        <w:ind w:firstLine="420" w:firstLineChars="200"/>
        <w:rPr>
          <w:rFonts w:ascii="宋体" w:hAnsi="宋体"/>
          <w:szCs w:val="21"/>
        </w:rPr>
      </w:pPr>
      <w:r>
        <w:rPr>
          <w:rFonts w:hint="eastAsia" w:ascii="宋体" w:hAnsi="宋体"/>
          <w:szCs w:val="21"/>
        </w:rPr>
        <w:t>（5）</w:t>
      </w:r>
      <w:r>
        <w:t>必要的法律依据；</w:t>
      </w:r>
    </w:p>
    <w:p w14:paraId="18408737">
      <w:pPr>
        <w:widowControl/>
        <w:adjustRightInd w:val="0"/>
        <w:snapToGrid w:val="0"/>
        <w:spacing w:line="360" w:lineRule="auto"/>
        <w:ind w:firstLine="420" w:firstLineChars="200"/>
      </w:pPr>
      <w:r>
        <w:rPr>
          <w:rFonts w:hint="eastAsia" w:ascii="宋体" w:hAnsi="宋体"/>
          <w:szCs w:val="21"/>
        </w:rPr>
        <w:t>（6）</w:t>
      </w:r>
      <w:r>
        <w:t>提出质疑的日期</w:t>
      </w:r>
    </w:p>
    <w:p w14:paraId="12198E00">
      <w:pPr>
        <w:widowControl/>
        <w:adjustRightInd w:val="0"/>
        <w:snapToGrid w:val="0"/>
        <w:spacing w:line="360" w:lineRule="auto"/>
        <w:ind w:firstLine="420" w:firstLineChars="200"/>
        <w:rPr>
          <w:rFonts w:ascii="宋体" w:hAnsi="宋体"/>
          <w:szCs w:val="21"/>
        </w:rPr>
      </w:pPr>
      <w:r>
        <w:rPr>
          <w:rFonts w:hint="eastAsia"/>
        </w:rPr>
        <w:t>投标供应商</w:t>
      </w:r>
      <w:r>
        <w:t>为自然人的，应当由本人签字；</w:t>
      </w:r>
      <w:r>
        <w:rPr>
          <w:rFonts w:hint="eastAsia"/>
        </w:rPr>
        <w:t>投标供应商</w:t>
      </w:r>
      <w:r>
        <w:t>为法人或者其他组织的，</w:t>
      </w:r>
      <w:r>
        <w:rPr>
          <w:rFonts w:hint="eastAsia"/>
        </w:rPr>
        <w:t>应当加盖投标供应商单位公章，并</w:t>
      </w:r>
      <w:r>
        <w:t>由法定代表人</w:t>
      </w:r>
      <w:r>
        <w:rPr>
          <w:rFonts w:hint="eastAsia"/>
        </w:rPr>
        <w:t>（单位负责人）</w:t>
      </w:r>
      <w:r>
        <w:t>或者其授权代表签字或者盖章</w:t>
      </w:r>
      <w:r>
        <w:rPr>
          <w:rFonts w:hint="eastAsia"/>
        </w:rPr>
        <w:t>，</w:t>
      </w:r>
      <w:r>
        <w:rPr>
          <w:rFonts w:hint="eastAsia" w:ascii="宋体" w:hAnsi="宋体"/>
          <w:szCs w:val="21"/>
        </w:rPr>
        <w:t>并附法定代表人（单位负责人）及其委托联系人的有效身份证明复制件。</w:t>
      </w:r>
    </w:p>
    <w:p w14:paraId="63F84F7F">
      <w:pPr>
        <w:widowControl/>
        <w:adjustRightInd w:val="0"/>
        <w:snapToGrid w:val="0"/>
        <w:spacing w:line="360" w:lineRule="auto"/>
        <w:ind w:firstLine="420" w:firstLineChars="200"/>
        <w:rPr>
          <w:rFonts w:ascii="宋体" w:hAnsi="宋体"/>
          <w:szCs w:val="21"/>
        </w:rPr>
      </w:pPr>
      <w:r>
        <w:rPr>
          <w:rFonts w:hint="eastAsia" w:ascii="宋体" w:hAnsi="宋体"/>
          <w:szCs w:val="21"/>
        </w:rPr>
        <w:t>9.2.2 质疑材料存在以下情形的，采购代理机构不予受理。</w:t>
      </w:r>
    </w:p>
    <w:p w14:paraId="4504C18A">
      <w:pPr>
        <w:widowControl/>
        <w:adjustRightInd w:val="0"/>
        <w:snapToGrid w:val="0"/>
        <w:spacing w:line="360" w:lineRule="auto"/>
        <w:ind w:firstLine="420" w:firstLineChars="200"/>
        <w:rPr>
          <w:rFonts w:ascii="宋体" w:hAnsi="宋体"/>
          <w:szCs w:val="21"/>
        </w:rPr>
      </w:pPr>
      <w:r>
        <w:rPr>
          <w:rFonts w:hint="eastAsia" w:ascii="宋体" w:hAnsi="宋体"/>
          <w:szCs w:val="21"/>
        </w:rPr>
        <w:t>（1）提起质疑的主体不是参与该政府采购项目活动的供应商；</w:t>
      </w:r>
    </w:p>
    <w:p w14:paraId="3675B6C6">
      <w:pPr>
        <w:widowControl/>
        <w:adjustRightInd w:val="0"/>
        <w:snapToGrid w:val="0"/>
        <w:spacing w:line="360" w:lineRule="auto"/>
        <w:ind w:firstLine="420" w:firstLineChars="200"/>
        <w:rPr>
          <w:rFonts w:ascii="宋体" w:hAnsi="宋体"/>
          <w:szCs w:val="21"/>
        </w:rPr>
      </w:pPr>
      <w:r>
        <w:rPr>
          <w:rFonts w:hint="eastAsia" w:ascii="宋体" w:hAnsi="宋体"/>
          <w:szCs w:val="21"/>
        </w:rPr>
        <w:t>（2）提起质疑的时间超过规定时限的；</w:t>
      </w:r>
    </w:p>
    <w:p w14:paraId="67CFDD9A">
      <w:pPr>
        <w:widowControl/>
        <w:adjustRightInd w:val="0"/>
        <w:snapToGrid w:val="0"/>
        <w:spacing w:line="360" w:lineRule="auto"/>
        <w:ind w:firstLine="420" w:firstLineChars="200"/>
        <w:rPr>
          <w:rFonts w:ascii="宋体" w:hAnsi="宋体"/>
          <w:szCs w:val="21"/>
        </w:rPr>
      </w:pPr>
      <w:r>
        <w:rPr>
          <w:rFonts w:hint="eastAsia" w:ascii="宋体" w:hAnsi="宋体"/>
          <w:szCs w:val="21"/>
        </w:rPr>
        <w:t>（3）质疑材料不完整的；</w:t>
      </w:r>
    </w:p>
    <w:p w14:paraId="7D9F46B7">
      <w:pPr>
        <w:widowControl/>
        <w:adjustRightInd w:val="0"/>
        <w:snapToGrid w:val="0"/>
        <w:spacing w:line="360" w:lineRule="auto"/>
        <w:ind w:firstLine="420" w:firstLineChars="200"/>
        <w:rPr>
          <w:rFonts w:ascii="宋体" w:hAnsi="宋体"/>
          <w:szCs w:val="21"/>
        </w:rPr>
      </w:pPr>
      <w:r>
        <w:rPr>
          <w:rFonts w:hint="eastAsia" w:ascii="宋体" w:hAnsi="宋体"/>
          <w:szCs w:val="21"/>
        </w:rPr>
        <w:t>（4）质疑事项含有主观猜测等内容且未提供充分有效线索、难以查证的；</w:t>
      </w:r>
    </w:p>
    <w:p w14:paraId="6778D6D8">
      <w:pPr>
        <w:widowControl/>
        <w:adjustRightInd w:val="0"/>
        <w:snapToGrid w:val="0"/>
        <w:spacing w:line="360" w:lineRule="auto"/>
        <w:ind w:firstLine="420" w:firstLineChars="200"/>
        <w:rPr>
          <w:rFonts w:ascii="宋体" w:hAnsi="宋体"/>
          <w:szCs w:val="21"/>
        </w:rPr>
      </w:pPr>
      <w:r>
        <w:rPr>
          <w:rFonts w:hint="eastAsia" w:ascii="宋体" w:hAnsi="宋体"/>
          <w:szCs w:val="21"/>
        </w:rPr>
        <w:t>（5）质疑</w:t>
      </w:r>
      <w:r>
        <w:rPr>
          <w:rFonts w:ascii="宋体" w:hAnsi="宋体"/>
          <w:szCs w:val="21"/>
        </w:rPr>
        <w:t>事项缺乏事实依据，</w:t>
      </w:r>
      <w:r>
        <w:rPr>
          <w:rFonts w:hint="eastAsia" w:ascii="宋体" w:hAnsi="宋体"/>
          <w:szCs w:val="21"/>
        </w:rPr>
        <w:t>质疑</w:t>
      </w:r>
      <w:r>
        <w:rPr>
          <w:rFonts w:ascii="宋体" w:hAnsi="宋体"/>
          <w:szCs w:val="21"/>
        </w:rPr>
        <w:t>事项不成立</w:t>
      </w:r>
      <w:r>
        <w:rPr>
          <w:rFonts w:hint="eastAsia" w:ascii="宋体" w:hAnsi="宋体"/>
          <w:szCs w:val="21"/>
        </w:rPr>
        <w:t>的；</w:t>
      </w:r>
    </w:p>
    <w:p w14:paraId="45C6E80C">
      <w:pPr>
        <w:widowControl/>
        <w:adjustRightInd w:val="0"/>
        <w:snapToGrid w:val="0"/>
        <w:spacing w:line="360" w:lineRule="auto"/>
        <w:ind w:firstLine="420" w:firstLineChars="200"/>
        <w:rPr>
          <w:rFonts w:ascii="宋体" w:hAnsi="宋体"/>
          <w:szCs w:val="21"/>
        </w:rPr>
      </w:pPr>
      <w:r>
        <w:rPr>
          <w:rFonts w:hint="eastAsia" w:ascii="宋体" w:hAnsi="宋体"/>
          <w:szCs w:val="21"/>
        </w:rPr>
        <w:t>（6）</w:t>
      </w:r>
      <w:r>
        <w:rPr>
          <w:rFonts w:ascii="宋体" w:hAnsi="宋体"/>
          <w:szCs w:val="21"/>
        </w:rPr>
        <w:t>捏造事实或者提供虚假材料；</w:t>
      </w:r>
    </w:p>
    <w:p w14:paraId="23478D0F">
      <w:pPr>
        <w:widowControl/>
        <w:adjustRightInd w:val="0"/>
        <w:snapToGrid w:val="0"/>
        <w:spacing w:line="360" w:lineRule="auto"/>
        <w:ind w:firstLine="420" w:firstLineChars="200"/>
        <w:rPr>
          <w:rFonts w:ascii="宋体" w:hAnsi="宋体"/>
          <w:szCs w:val="21"/>
        </w:rPr>
      </w:pPr>
      <w:r>
        <w:rPr>
          <w:rFonts w:hint="eastAsia" w:ascii="宋体" w:hAnsi="宋体"/>
          <w:szCs w:val="21"/>
        </w:rPr>
        <w:t>（7）</w:t>
      </w:r>
      <w:r>
        <w:rPr>
          <w:rFonts w:ascii="宋体" w:hAnsi="宋体"/>
          <w:szCs w:val="21"/>
        </w:rPr>
        <w:t>以非法</w:t>
      </w:r>
      <w:r>
        <w:rPr>
          <w:rFonts w:ascii="宋体" w:hAnsi="宋体"/>
        </w:rPr>
        <w:t>手段取得证明材料。</w:t>
      </w:r>
      <w:r>
        <w:rPr>
          <w:rFonts w:hint="eastAsia" w:ascii="宋体" w:hAnsi="宋体"/>
        </w:rPr>
        <w:t>证明材料</w:t>
      </w:r>
      <w:r>
        <w:rPr>
          <w:rFonts w:ascii="宋体" w:hAnsi="宋体"/>
        </w:rPr>
        <w:t>来源的合法性存在明显疑问，投诉人无法证明其取得方式</w:t>
      </w:r>
      <w:r>
        <w:rPr>
          <w:rFonts w:ascii="宋体" w:hAnsi="宋体"/>
          <w:szCs w:val="21"/>
        </w:rPr>
        <w:t>合法的，视为以非法手段取得证明材料</w:t>
      </w:r>
      <w:r>
        <w:rPr>
          <w:rFonts w:hint="eastAsia" w:ascii="宋体" w:hAnsi="宋体"/>
          <w:szCs w:val="21"/>
        </w:rPr>
        <w:t>；</w:t>
      </w:r>
    </w:p>
    <w:p w14:paraId="1F47BC48">
      <w:pPr>
        <w:widowControl/>
        <w:adjustRightInd w:val="0"/>
        <w:snapToGrid w:val="0"/>
        <w:spacing w:line="360" w:lineRule="auto"/>
        <w:ind w:firstLine="420" w:firstLineChars="200"/>
        <w:rPr>
          <w:rFonts w:ascii="宋体" w:hAnsi="宋体"/>
          <w:szCs w:val="21"/>
        </w:rPr>
      </w:pPr>
      <w:r>
        <w:rPr>
          <w:rFonts w:hint="eastAsia" w:ascii="宋体" w:hAnsi="宋体"/>
          <w:szCs w:val="21"/>
        </w:rPr>
        <w:t>（8）对其他投标供应商的投标文件详细内容质疑，无法提供合法来源渠道的。</w:t>
      </w:r>
    </w:p>
    <w:p w14:paraId="17B728F1">
      <w:pPr>
        <w:pStyle w:val="4"/>
        <w:jc w:val="left"/>
      </w:pPr>
      <w:r>
        <w:rPr>
          <w:rFonts w:hint="eastAsia"/>
        </w:rPr>
        <w:t>9.3 质疑处理</w:t>
      </w:r>
    </w:p>
    <w:p w14:paraId="4F79D407">
      <w:pPr>
        <w:widowControl/>
        <w:adjustRightInd w:val="0"/>
        <w:snapToGrid w:val="0"/>
        <w:spacing w:line="360" w:lineRule="auto"/>
        <w:ind w:firstLine="420" w:firstLineChars="200"/>
        <w:rPr>
          <w:rFonts w:ascii="宋体" w:hAnsi="宋体"/>
        </w:rPr>
      </w:pPr>
      <w:r>
        <w:rPr>
          <w:rFonts w:hint="eastAsia" w:ascii="宋体" w:hAnsi="宋体"/>
        </w:rPr>
        <w:t>9.3.1 投标供应商</w:t>
      </w:r>
      <w:r>
        <w:rPr>
          <w:rFonts w:ascii="宋体" w:hAnsi="宋体"/>
        </w:rPr>
        <w:t>对评审过程、中标或者成交结果提出质疑的，采购人、采购代理机构可以组织原评标委员会协助答复质疑。</w:t>
      </w:r>
    </w:p>
    <w:p w14:paraId="46F76B22">
      <w:pPr>
        <w:widowControl/>
        <w:adjustRightInd w:val="0"/>
        <w:snapToGrid w:val="0"/>
        <w:spacing w:line="360" w:lineRule="auto"/>
        <w:ind w:firstLine="420" w:firstLineChars="200"/>
        <w:rPr>
          <w:rFonts w:ascii="宋体" w:hAnsi="宋体"/>
        </w:rPr>
      </w:pPr>
      <w:r>
        <w:rPr>
          <w:rFonts w:hint="eastAsia" w:ascii="宋体" w:hAnsi="宋体"/>
        </w:rPr>
        <w:t>9.3.2 质疑答复以书面形式通知质疑供应商和其他有关供应商。但答复的内容不得涉及商业秘密。</w:t>
      </w:r>
    </w:p>
    <w:p w14:paraId="69D2CDCB">
      <w:pPr>
        <w:widowControl/>
        <w:adjustRightInd w:val="0"/>
        <w:snapToGrid w:val="0"/>
        <w:spacing w:line="360" w:lineRule="auto"/>
        <w:ind w:firstLine="420" w:firstLineChars="200"/>
        <w:rPr>
          <w:rFonts w:ascii="宋体" w:hAnsi="宋体"/>
        </w:rPr>
      </w:pPr>
      <w:r>
        <w:rPr>
          <w:rFonts w:hint="eastAsia" w:ascii="宋体" w:hAnsi="宋体"/>
        </w:rPr>
        <w:t>9.3.3 采购人、采购代理机构认为投标供应商质疑不成立，或者成立但未对中标结果构成影响的，继续开展采购活动；认为投标供应商质疑成立且影响或者可能影响中标结果的，按照下列情况处理：</w:t>
      </w:r>
    </w:p>
    <w:p w14:paraId="1DF84166">
      <w:pPr>
        <w:widowControl/>
        <w:adjustRightInd w:val="0"/>
        <w:snapToGrid w:val="0"/>
        <w:spacing w:line="360" w:lineRule="auto"/>
        <w:ind w:firstLine="420" w:firstLineChars="200"/>
        <w:rPr>
          <w:rFonts w:ascii="宋体" w:hAnsi="宋体"/>
        </w:rPr>
      </w:pPr>
      <w:r>
        <w:rPr>
          <w:rFonts w:hint="eastAsia" w:ascii="宋体" w:hAnsi="宋体"/>
        </w:rPr>
        <w:t>（1）对招标文件提出的质疑，依法通过澄清或者修改可以继续开展采购活动的，澄清或者修改采购文件后继续开展采购活动；否则应当修改招标文件后重新开展采购活动。</w:t>
      </w:r>
    </w:p>
    <w:p w14:paraId="57BBD3F3">
      <w:pPr>
        <w:widowControl/>
        <w:adjustRightInd w:val="0"/>
        <w:snapToGrid w:val="0"/>
        <w:spacing w:line="360" w:lineRule="auto"/>
        <w:ind w:firstLine="420" w:firstLineChars="200"/>
        <w:rPr>
          <w:rFonts w:ascii="宋体" w:hAnsi="宋体"/>
        </w:rPr>
      </w:pPr>
      <w:r>
        <w:rPr>
          <w:rFonts w:hint="eastAsia" w:ascii="宋体" w:hAnsi="宋体"/>
        </w:rPr>
        <w:t>（2）对采购过程、中标结果提出的质疑，合格供应商符合法定数量时，可以从合格的中标候选人中另行确定中标供应商的，应当依法另行确定中标供应商；否则应当重新开展采购活动。</w:t>
      </w:r>
    </w:p>
    <w:p w14:paraId="54F6097E">
      <w:pPr>
        <w:widowControl/>
        <w:adjustRightInd w:val="0"/>
        <w:snapToGrid w:val="0"/>
        <w:spacing w:line="360" w:lineRule="auto"/>
        <w:ind w:firstLine="420" w:firstLineChars="200"/>
        <w:rPr>
          <w:rFonts w:ascii="宋体" w:hAnsi="宋体"/>
        </w:rPr>
      </w:pPr>
      <w:r>
        <w:rPr>
          <w:rFonts w:hint="eastAsia" w:ascii="宋体" w:hAnsi="宋体"/>
        </w:rPr>
        <w:t>质疑答复导致中标结果改变的，采购人或者采购代理机构应当将有关情况书面报告本级财政部门。</w:t>
      </w:r>
    </w:p>
    <w:p w14:paraId="799345DC">
      <w:pPr>
        <w:widowControl/>
        <w:adjustRightInd w:val="0"/>
        <w:snapToGrid w:val="0"/>
        <w:spacing w:line="360" w:lineRule="auto"/>
        <w:ind w:firstLine="420" w:firstLineChars="200"/>
        <w:rPr>
          <w:rFonts w:ascii="宋体" w:hAnsi="宋体"/>
        </w:rPr>
      </w:pPr>
      <w:r>
        <w:rPr>
          <w:rFonts w:hint="eastAsia" w:ascii="宋体" w:hAnsi="宋体"/>
        </w:rPr>
        <w:t>9.3.4 供应商在答复期满前撤回质疑的，应由法定代表人或授权代表人签字确认。供应商不得以同一理由再次提出质疑。</w:t>
      </w:r>
    </w:p>
    <w:p w14:paraId="35C5F3D3">
      <w:pPr>
        <w:widowControl/>
        <w:adjustRightInd w:val="0"/>
        <w:snapToGrid w:val="0"/>
        <w:spacing w:line="360" w:lineRule="auto"/>
        <w:ind w:firstLine="420" w:firstLineChars="200"/>
        <w:rPr>
          <w:rFonts w:ascii="宋体" w:hAnsi="宋体"/>
          <w:szCs w:val="21"/>
        </w:rPr>
      </w:pPr>
      <w:r>
        <w:rPr>
          <w:rFonts w:hint="eastAsia" w:ascii="宋体" w:hAnsi="宋体"/>
          <w:szCs w:val="21"/>
        </w:rPr>
        <w:t>9.3.5 因处理质疑发生的检验、检测、鉴定等费用，</w:t>
      </w:r>
      <w:r>
        <w:rPr>
          <w:rFonts w:ascii="宋体" w:hAnsi="宋体"/>
        </w:rPr>
        <w:t>由提出申请的</w:t>
      </w:r>
      <w:r>
        <w:rPr>
          <w:rFonts w:hint="eastAsia" w:ascii="宋体" w:hAnsi="宋体"/>
        </w:rPr>
        <w:t>投标供应商</w:t>
      </w:r>
      <w:r>
        <w:rPr>
          <w:rFonts w:ascii="宋体" w:hAnsi="宋体"/>
        </w:rPr>
        <w:t>先行垫付。</w:t>
      </w:r>
      <w:r>
        <w:rPr>
          <w:rFonts w:hint="eastAsia" w:ascii="宋体" w:hAnsi="宋体"/>
        </w:rPr>
        <w:t>质疑处理决定各方无异议</w:t>
      </w:r>
      <w:r>
        <w:rPr>
          <w:rFonts w:ascii="宋体" w:hAnsi="宋体"/>
        </w:rPr>
        <w:t>后，按照</w:t>
      </w:r>
      <w:r>
        <w:rPr>
          <w:rFonts w:hint="eastAsia" w:ascii="宋体" w:hAnsi="宋体"/>
        </w:rPr>
        <w:t>“</w:t>
      </w:r>
      <w:r>
        <w:rPr>
          <w:rFonts w:ascii="宋体" w:hAnsi="宋体"/>
        </w:rPr>
        <w:t>谁过错谁负担</w:t>
      </w:r>
      <w:r>
        <w:rPr>
          <w:rFonts w:hint="eastAsia" w:ascii="宋体" w:hAnsi="宋体"/>
        </w:rPr>
        <w:t>”</w:t>
      </w:r>
      <w:r>
        <w:rPr>
          <w:rFonts w:ascii="宋体" w:hAnsi="宋体"/>
        </w:rPr>
        <w:t>的原则由承担责任的一方负担；双方都有责任的，由双方合理分担。</w:t>
      </w:r>
    </w:p>
    <w:p w14:paraId="226DDB6A">
      <w:pPr>
        <w:widowControl/>
        <w:adjustRightInd w:val="0"/>
        <w:snapToGrid w:val="0"/>
        <w:spacing w:line="360" w:lineRule="auto"/>
        <w:ind w:firstLine="420" w:firstLineChars="200"/>
        <w:rPr>
          <w:rFonts w:ascii="宋体" w:hAnsi="宋体"/>
          <w:szCs w:val="21"/>
        </w:rPr>
      </w:pPr>
      <w:r>
        <w:rPr>
          <w:rFonts w:hint="eastAsia" w:ascii="宋体" w:hAnsi="宋体"/>
          <w:szCs w:val="21"/>
        </w:rPr>
        <w:t>9.3.6 投标供应商不得以质疑为名进行虚假、恶意质疑，扰乱政府采购正常的工作秩序。投标供应商有下列情形之一的，属于虚假、恶意质疑，被质疑人应当驳回质疑，并向同级政府采购监督管理部门报告，将其列入不良行为记录名单，并依法予以处罚：</w:t>
      </w:r>
    </w:p>
    <w:p w14:paraId="66FFCE9D">
      <w:pPr>
        <w:widowControl/>
        <w:adjustRightInd w:val="0"/>
        <w:snapToGrid w:val="0"/>
        <w:spacing w:line="360" w:lineRule="auto"/>
        <w:ind w:firstLine="420" w:firstLineChars="200"/>
        <w:rPr>
          <w:rFonts w:ascii="宋体" w:hAnsi="宋体"/>
          <w:szCs w:val="21"/>
        </w:rPr>
      </w:pPr>
      <w:r>
        <w:rPr>
          <w:rFonts w:hint="eastAsia" w:ascii="宋体" w:hAnsi="宋体"/>
          <w:szCs w:val="21"/>
        </w:rPr>
        <w:t>（1）一年内三次以上质疑均查无实据的；</w:t>
      </w:r>
    </w:p>
    <w:p w14:paraId="53106153">
      <w:pPr>
        <w:widowControl/>
        <w:adjustRightInd w:val="0"/>
        <w:snapToGrid w:val="0"/>
        <w:spacing w:line="360" w:lineRule="auto"/>
        <w:ind w:firstLine="420" w:firstLineChars="200"/>
        <w:rPr>
          <w:rFonts w:ascii="宋体" w:hAnsi="宋体"/>
          <w:szCs w:val="21"/>
        </w:rPr>
      </w:pPr>
      <w:r>
        <w:rPr>
          <w:rFonts w:hint="eastAsia" w:ascii="宋体" w:hAnsi="宋体"/>
          <w:szCs w:val="21"/>
        </w:rPr>
        <w:t>（2）捏造事实或者提供虚假质疑材料的；</w:t>
      </w:r>
    </w:p>
    <w:p w14:paraId="7D09DDF2">
      <w:pPr>
        <w:widowControl/>
        <w:adjustRightInd w:val="0"/>
        <w:snapToGrid w:val="0"/>
        <w:spacing w:line="360" w:lineRule="auto"/>
        <w:ind w:firstLine="420" w:firstLineChars="200"/>
      </w:pPr>
      <w:r>
        <w:rPr>
          <w:rFonts w:hint="eastAsia" w:ascii="宋体" w:hAnsi="宋体"/>
          <w:szCs w:val="21"/>
        </w:rPr>
        <w:t>（3）</w:t>
      </w:r>
      <w:r>
        <w:rPr>
          <w:rFonts w:ascii="宋体" w:hAnsi="宋体"/>
          <w:szCs w:val="21"/>
        </w:rPr>
        <w:t>以非法</w:t>
      </w:r>
      <w:r>
        <w:rPr>
          <w:rFonts w:ascii="宋体" w:hAnsi="宋体"/>
        </w:rPr>
        <w:t>手段取</w:t>
      </w:r>
      <w:r>
        <w:t>得证明材料。</w:t>
      </w:r>
      <w:r>
        <w:rPr>
          <w:rFonts w:hint="eastAsia"/>
        </w:rPr>
        <w:t>证明材料</w:t>
      </w:r>
      <w:r>
        <w:t>来源的合法性存在明显疑问，</w:t>
      </w:r>
      <w:r>
        <w:rPr>
          <w:rFonts w:hint="eastAsia"/>
        </w:rPr>
        <w:t>供应商</w:t>
      </w:r>
      <w:r>
        <w:t>无法证明其取得方式</w:t>
      </w:r>
      <w:r>
        <w:rPr>
          <w:rFonts w:ascii="宋体" w:hAnsi="宋体"/>
          <w:szCs w:val="21"/>
        </w:rPr>
        <w:t>合法的，视为以非法手段取得证明材料</w:t>
      </w:r>
      <w:r>
        <w:rPr>
          <w:rFonts w:hint="eastAsia" w:ascii="宋体" w:hAnsi="宋体"/>
          <w:szCs w:val="21"/>
        </w:rPr>
        <w:t>。</w:t>
      </w:r>
    </w:p>
    <w:p w14:paraId="0FDB8676">
      <w:pPr>
        <w:pStyle w:val="3"/>
        <w:rPr>
          <w:rStyle w:val="19"/>
          <w:rFonts w:ascii="Cambria" w:hAnsi="Cambria" w:eastAsia="宋体"/>
          <w:b/>
          <w:bCs/>
        </w:rPr>
      </w:pPr>
      <w:bookmarkStart w:id="721" w:name="_Toc13327"/>
      <w:r>
        <w:rPr>
          <w:rStyle w:val="19"/>
          <w:rFonts w:hint="eastAsia" w:ascii="Cambria" w:hAnsi="Cambria" w:eastAsia="宋体"/>
          <w:b/>
          <w:bCs/>
        </w:rPr>
        <w:t>10. 纪律和监督</w:t>
      </w:r>
      <w:bookmarkEnd w:id="716"/>
      <w:bookmarkEnd w:id="717"/>
      <w:bookmarkEnd w:id="718"/>
      <w:bookmarkEnd w:id="719"/>
      <w:bookmarkEnd w:id="720"/>
      <w:bookmarkEnd w:id="721"/>
    </w:p>
    <w:p w14:paraId="091E650A">
      <w:pPr>
        <w:pStyle w:val="4"/>
        <w:jc w:val="left"/>
      </w:pPr>
      <w:bookmarkStart w:id="722" w:name="_Toc455587080"/>
      <w:bookmarkStart w:id="723" w:name="_Toc179632593"/>
      <w:bookmarkStart w:id="724" w:name="_Toc152045575"/>
      <w:bookmarkStart w:id="725" w:name="_Toc333587899"/>
      <w:bookmarkStart w:id="726" w:name="_Toc455587264"/>
      <w:bookmarkStart w:id="727" w:name="_Toc445554738"/>
      <w:bookmarkStart w:id="728" w:name="_Toc333600729"/>
      <w:bookmarkStart w:id="729" w:name="_Toc342297665"/>
      <w:bookmarkStart w:id="730" w:name="_Toc144974543"/>
      <w:bookmarkStart w:id="731" w:name="_Toc338943746"/>
      <w:bookmarkStart w:id="732" w:name="_Toc333599705"/>
      <w:bookmarkStart w:id="733" w:name="_Toc152042351"/>
      <w:bookmarkStart w:id="734" w:name="_Toc342296208"/>
      <w:bookmarkStart w:id="735" w:name="_Toc338944651"/>
      <w:bookmarkStart w:id="736" w:name="_Toc371415965"/>
      <w:bookmarkStart w:id="737" w:name="_Toc458504865"/>
      <w:bookmarkStart w:id="738" w:name="_Toc466024547"/>
      <w:bookmarkStart w:id="739" w:name="_Toc342294760"/>
      <w:r>
        <w:rPr>
          <w:rFonts w:hint="eastAsia"/>
        </w:rPr>
        <w:t>10.1 对采购人的纪律要求</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565DA514">
      <w:pPr>
        <w:widowControl/>
        <w:adjustRightInd w:val="0"/>
        <w:snapToGrid w:val="0"/>
        <w:spacing w:line="360" w:lineRule="auto"/>
        <w:ind w:firstLine="420" w:firstLineChars="200"/>
        <w:rPr>
          <w:rFonts w:ascii="宋体" w:hAnsi="宋体"/>
          <w:szCs w:val="21"/>
        </w:rPr>
      </w:pPr>
      <w:r>
        <w:rPr>
          <w:rFonts w:hint="eastAsia" w:ascii="宋体" w:hAnsi="宋体"/>
          <w:szCs w:val="21"/>
        </w:rPr>
        <w:t>采购人不得泄漏招标投标活动中应当保密的情况和资料，不得与投标供应商串通损害国家利益、社会公共利益或者他人合法权益。</w:t>
      </w:r>
    </w:p>
    <w:p w14:paraId="629DF37F">
      <w:pPr>
        <w:pStyle w:val="4"/>
        <w:jc w:val="left"/>
      </w:pPr>
      <w:bookmarkStart w:id="740" w:name="_Toc445554739"/>
      <w:bookmarkStart w:id="741" w:name="_Toc333599706"/>
      <w:bookmarkStart w:id="742" w:name="_Toc371415966"/>
      <w:bookmarkStart w:id="743" w:name="_Toc152045576"/>
      <w:bookmarkStart w:id="744" w:name="_Toc144974544"/>
      <w:bookmarkStart w:id="745" w:name="_Toc179632594"/>
      <w:bookmarkStart w:id="746" w:name="_Toc455587081"/>
      <w:bookmarkStart w:id="747" w:name="_Toc338944652"/>
      <w:bookmarkStart w:id="748" w:name="_Toc338943747"/>
      <w:bookmarkStart w:id="749" w:name="_Toc458504866"/>
      <w:bookmarkStart w:id="750" w:name="_Toc342296209"/>
      <w:bookmarkStart w:id="751" w:name="_Toc342297666"/>
      <w:bookmarkStart w:id="752" w:name="_Toc342294761"/>
      <w:bookmarkStart w:id="753" w:name="_Toc455587265"/>
      <w:bookmarkStart w:id="754" w:name="_Toc333587900"/>
      <w:bookmarkStart w:id="755" w:name="_Toc152042352"/>
      <w:bookmarkStart w:id="756" w:name="_Toc333600730"/>
      <w:bookmarkStart w:id="757" w:name="_Toc466024548"/>
      <w:r>
        <w:rPr>
          <w:rFonts w:hint="eastAsia"/>
        </w:rPr>
        <w:t>10.2 对投标供应商的纪律要求</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6EAD4DBA">
      <w:pPr>
        <w:widowControl/>
        <w:adjustRightInd w:val="0"/>
        <w:snapToGrid w:val="0"/>
        <w:spacing w:line="360" w:lineRule="auto"/>
        <w:ind w:firstLine="420" w:firstLineChars="200"/>
        <w:rPr>
          <w:rFonts w:ascii="宋体" w:hAnsi="宋体"/>
          <w:szCs w:val="21"/>
        </w:rPr>
      </w:pPr>
      <w:r>
        <w:rPr>
          <w:rFonts w:hint="eastAsia" w:ascii="宋体" w:hAnsi="宋体"/>
          <w:szCs w:val="21"/>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4D5C5617">
      <w:pPr>
        <w:pStyle w:val="4"/>
        <w:jc w:val="left"/>
      </w:pPr>
      <w:bookmarkStart w:id="758" w:name="_Toc455587266"/>
      <w:bookmarkStart w:id="759" w:name="_Toc338943748"/>
      <w:bookmarkStart w:id="760" w:name="_Toc455587082"/>
      <w:bookmarkStart w:id="761" w:name="_Toc333600731"/>
      <w:bookmarkStart w:id="762" w:name="_Toc342294762"/>
      <w:bookmarkStart w:id="763" w:name="_Toc152042353"/>
      <w:bookmarkStart w:id="764" w:name="_Toc333587901"/>
      <w:bookmarkStart w:id="765" w:name="_Toc342296210"/>
      <w:bookmarkStart w:id="766" w:name="_Toc445554740"/>
      <w:bookmarkStart w:id="767" w:name="_Toc466024549"/>
      <w:bookmarkStart w:id="768" w:name="_Toc371415967"/>
      <w:bookmarkStart w:id="769" w:name="_Toc338944653"/>
      <w:bookmarkStart w:id="770" w:name="_Toc333599707"/>
      <w:bookmarkStart w:id="771" w:name="_Toc179632595"/>
      <w:bookmarkStart w:id="772" w:name="_Toc152045577"/>
      <w:bookmarkStart w:id="773" w:name="_Toc342297667"/>
      <w:bookmarkStart w:id="774" w:name="_Toc458504867"/>
      <w:bookmarkStart w:id="775" w:name="_Toc144974545"/>
      <w:r>
        <w:rPr>
          <w:rFonts w:hint="eastAsia"/>
        </w:rPr>
        <w:t>10.3 对评标委员会成员的纪律要求</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1DC09CED">
      <w:pPr>
        <w:widowControl/>
        <w:adjustRightInd w:val="0"/>
        <w:snapToGrid w:val="0"/>
        <w:spacing w:line="360" w:lineRule="auto"/>
        <w:ind w:firstLine="420" w:firstLineChars="200"/>
        <w:rPr>
          <w:rFonts w:ascii="宋体" w:hAnsi="宋体"/>
          <w:szCs w:val="21"/>
        </w:rPr>
      </w:pPr>
      <w:r>
        <w:rPr>
          <w:rFonts w:hint="eastAsia" w:ascii="宋体" w:hAnsi="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14:paraId="3ADAAB94">
      <w:pPr>
        <w:pStyle w:val="4"/>
        <w:jc w:val="left"/>
      </w:pPr>
      <w:bookmarkStart w:id="776" w:name="_Toc152045578"/>
      <w:bookmarkStart w:id="777" w:name="_Toc342294763"/>
      <w:bookmarkStart w:id="778" w:name="_Toc455587267"/>
      <w:bookmarkStart w:id="779" w:name="_Toc371415968"/>
      <w:bookmarkStart w:id="780" w:name="_Toc338944654"/>
      <w:bookmarkStart w:id="781" w:name="_Toc342296211"/>
      <w:bookmarkStart w:id="782" w:name="_Toc445554741"/>
      <w:bookmarkStart w:id="783" w:name="_Toc152042354"/>
      <w:bookmarkStart w:id="784" w:name="_Toc455587083"/>
      <w:bookmarkStart w:id="785" w:name="_Toc338943749"/>
      <w:bookmarkStart w:id="786" w:name="_Toc342297668"/>
      <w:bookmarkStart w:id="787" w:name="_Toc466024550"/>
      <w:bookmarkStart w:id="788" w:name="_Toc333600732"/>
      <w:bookmarkStart w:id="789" w:name="_Toc333587902"/>
      <w:bookmarkStart w:id="790" w:name="_Toc179632596"/>
      <w:bookmarkStart w:id="791" w:name="_Toc333599708"/>
      <w:bookmarkStart w:id="792" w:name="_Toc458504868"/>
      <w:bookmarkStart w:id="793" w:name="_Toc144974546"/>
      <w:r>
        <w:rPr>
          <w:rFonts w:hint="eastAsia"/>
        </w:rPr>
        <w:t>10.4 对与评标活动有关的工作人员的纪律要求</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4770CA62">
      <w:pPr>
        <w:widowControl/>
        <w:adjustRightInd w:val="0"/>
        <w:snapToGrid w:val="0"/>
        <w:spacing w:line="360" w:lineRule="auto"/>
        <w:ind w:firstLine="420" w:firstLineChars="200"/>
        <w:rPr>
          <w:rFonts w:ascii="宋体" w:hAnsi="宋体"/>
          <w:szCs w:val="21"/>
        </w:rPr>
      </w:pPr>
      <w:bookmarkStart w:id="794" w:name="_Toc152042355"/>
      <w:r>
        <w:rPr>
          <w:rFonts w:hint="eastAsia" w:ascii="宋体" w:hAnsi="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94"/>
    </w:p>
    <w:bookmarkEnd w:id="793"/>
    <w:p w14:paraId="65293605">
      <w:pPr>
        <w:pStyle w:val="3"/>
        <w:rPr>
          <w:rFonts w:ascii="宋体" w:hAnsi="宋体"/>
        </w:rPr>
      </w:pPr>
      <w:bookmarkStart w:id="795" w:name="_Toc512"/>
      <w:bookmarkStart w:id="796" w:name="_Toc152045580"/>
      <w:bookmarkStart w:id="797" w:name="_Toc144974547"/>
      <w:bookmarkStart w:id="798" w:name="_Toc458504870"/>
      <w:bookmarkStart w:id="799" w:name="_Toc152042357"/>
      <w:bookmarkStart w:id="800" w:name="_Toc342297670"/>
      <w:bookmarkStart w:id="801" w:name="_Toc342296213"/>
      <w:bookmarkStart w:id="802" w:name="_Toc371415963"/>
      <w:bookmarkStart w:id="803" w:name="_Toc333599710"/>
      <w:bookmarkStart w:id="804" w:name="_Toc179632598"/>
      <w:bookmarkStart w:id="805" w:name="_Toc455587085"/>
      <w:bookmarkStart w:id="806" w:name="_Toc333600734"/>
      <w:bookmarkStart w:id="807" w:name="_Toc338944656"/>
      <w:bookmarkStart w:id="808" w:name="_Toc445554743"/>
      <w:bookmarkStart w:id="809" w:name="_Toc455587269"/>
      <w:bookmarkStart w:id="810" w:name="_Toc338943751"/>
      <w:bookmarkStart w:id="811" w:name="_Toc466024552"/>
      <w:bookmarkStart w:id="812" w:name="_Toc342294765"/>
      <w:r>
        <w:rPr>
          <w:rFonts w:hint="eastAsia" w:ascii="宋体" w:hAnsi="宋体"/>
        </w:rPr>
        <w:t>11. 政府采购政策</w:t>
      </w:r>
      <w:bookmarkEnd w:id="795"/>
    </w:p>
    <w:p w14:paraId="49480F56">
      <w:pPr>
        <w:pStyle w:val="4"/>
        <w:jc w:val="left"/>
      </w:pPr>
      <w:r>
        <w:rPr>
          <w:rFonts w:hint="eastAsia"/>
        </w:rPr>
        <w:t>11.1 节能与环保</w:t>
      </w:r>
    </w:p>
    <w:p w14:paraId="14103893">
      <w:pPr>
        <w:widowControl/>
        <w:adjustRightInd w:val="0"/>
        <w:snapToGrid w:val="0"/>
        <w:spacing w:line="360" w:lineRule="auto"/>
        <w:ind w:firstLine="420" w:firstLineChars="200"/>
        <w:rPr>
          <w:rFonts w:ascii="宋体" w:hAnsi="宋体"/>
          <w:lang w:bidi="en-US"/>
        </w:rPr>
      </w:pPr>
      <w:r>
        <w:rPr>
          <w:rFonts w:hint="eastAsia" w:ascii="宋体" w:hAnsi="宋体"/>
          <w:lang w:bidi="en-US"/>
        </w:rPr>
        <w:t>11.1.1 本项目是否强制采购节能产品见投标供应商须知前附表。如属于强制采购节能产品的，投标供应商所投产品必须在投标供应商须知前附表规定的节能产品政府采购清单内。</w:t>
      </w:r>
    </w:p>
    <w:p w14:paraId="75EFBC19">
      <w:pPr>
        <w:widowControl/>
        <w:adjustRightInd w:val="0"/>
        <w:snapToGrid w:val="0"/>
        <w:spacing w:line="360" w:lineRule="auto"/>
        <w:ind w:firstLine="420" w:firstLineChars="200"/>
        <w:rPr>
          <w:rFonts w:ascii="宋体" w:hAnsi="宋体"/>
          <w:lang w:bidi="en-US"/>
        </w:rPr>
      </w:pPr>
      <w:r>
        <w:rPr>
          <w:rFonts w:hint="eastAsia" w:ascii="宋体" w:hAnsi="宋体"/>
          <w:lang w:bidi="en-US"/>
        </w:rPr>
        <w:t>11.1.2 如投标产品属于优先采购的节能产品或环境标志产品的，如采用最低评标价法时，出现投标供应商有效投标报价相同的情况，则所投产品为节能或环保产品优先。</w:t>
      </w:r>
      <w:r>
        <w:rPr>
          <w:rFonts w:hint="eastAsia" w:ascii="宋体" w:hAnsi="宋体"/>
          <w:szCs w:val="21"/>
        </w:rPr>
        <w:t>对于所投产品均为节能或环保品目产品的，节能及环保产品证书多者优先。</w:t>
      </w:r>
      <w:r>
        <w:rPr>
          <w:rFonts w:hint="eastAsia" w:ascii="宋体" w:hAnsi="宋体"/>
          <w:lang w:bidi="en-US"/>
        </w:rPr>
        <w:t>对于同时列入环保清单和节能产品政府采购清单的产品，优先于只列入其中一个清单的产品。如采用综合评分法时，出现投标供应商总得分且投标报价均相同的，则所投产品为节能或环保产品优先。</w:t>
      </w:r>
    </w:p>
    <w:p w14:paraId="29BFC00C">
      <w:pPr>
        <w:pStyle w:val="4"/>
        <w:jc w:val="left"/>
      </w:pPr>
      <w:r>
        <w:rPr>
          <w:rFonts w:hint="eastAsia"/>
        </w:rPr>
        <w:t>11.2 促进中小企业发展</w:t>
      </w:r>
    </w:p>
    <w:p w14:paraId="4D1DE36B">
      <w:pPr>
        <w:widowControl/>
        <w:adjustRightInd w:val="0"/>
        <w:snapToGrid w:val="0"/>
        <w:spacing w:line="400" w:lineRule="exact"/>
        <w:ind w:firstLine="420" w:firstLineChars="200"/>
        <w:jc w:val="left"/>
        <w:rPr>
          <w:rFonts w:ascii="宋体" w:hAnsi="宋体"/>
          <w:szCs w:val="21"/>
        </w:rPr>
      </w:pPr>
      <w:r>
        <w:rPr>
          <w:rFonts w:hint="eastAsia" w:ascii="宋体" w:hAnsi="宋体"/>
          <w:szCs w:val="21"/>
        </w:rPr>
        <w:t>11.2.1 若投标供应商须知前附表中写明专门面向中小企业采购的，如投标供应商提供的服务非中小企业承接的，其投标文件将被认定为投标无效。</w:t>
      </w:r>
    </w:p>
    <w:p w14:paraId="178BD7F1">
      <w:pPr>
        <w:widowControl/>
        <w:adjustRightInd w:val="0"/>
        <w:snapToGrid w:val="0"/>
        <w:spacing w:line="400" w:lineRule="exact"/>
        <w:ind w:firstLine="420" w:firstLineChars="200"/>
        <w:jc w:val="left"/>
        <w:rPr>
          <w:rFonts w:ascii="宋体" w:hAnsi="宋体"/>
          <w:szCs w:val="21"/>
        </w:rPr>
      </w:pPr>
      <w:r>
        <w:rPr>
          <w:rFonts w:hint="eastAsia" w:ascii="宋体" w:hAnsi="宋体"/>
          <w:szCs w:val="21"/>
        </w:rPr>
        <w:t>11.2.2 根据《政府采购促进中小企业发展管理办法》（财库〔2020〕46 号）、《财政部 司法部关于政府采购支持监狱企业发展有关问题的通知》（财库〔2014〕68号）和《三部门联合发布关于促进残疾人就业政府采购政策的通知》（财库〔2017〕141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业、监狱企业或残疾人福利性单位的，不重复进行最后报价扣除。</w:t>
      </w:r>
    </w:p>
    <w:p w14:paraId="4DF1E167">
      <w:pPr>
        <w:widowControl/>
        <w:adjustRightInd w:val="0"/>
        <w:snapToGrid w:val="0"/>
        <w:spacing w:line="400" w:lineRule="exact"/>
        <w:ind w:firstLine="420" w:firstLineChars="200"/>
        <w:jc w:val="left"/>
        <w:rPr>
          <w:rFonts w:ascii="宋体" w:hAnsi="宋体"/>
          <w:szCs w:val="21"/>
        </w:rPr>
      </w:pPr>
      <w:r>
        <w:rPr>
          <w:rFonts w:hint="eastAsia" w:ascii="宋体" w:hAnsi="宋体"/>
          <w:szCs w:val="21"/>
        </w:rPr>
        <w:t>以联合体形式参加政府采购活动，联合体各方均为中小企业的，联合体视同中小企业。其中，联合体各方均为小微企业的，联合体视同小微企业。</w:t>
      </w:r>
    </w:p>
    <w:p w14:paraId="7EF9D41C">
      <w:pPr>
        <w:widowControl/>
        <w:adjustRightInd w:val="0"/>
        <w:snapToGrid w:val="0"/>
        <w:spacing w:line="400" w:lineRule="exact"/>
        <w:ind w:firstLine="420" w:firstLineChars="200"/>
        <w:jc w:val="left"/>
        <w:rPr>
          <w:rFonts w:ascii="宋体" w:hAnsi="宋体"/>
          <w:szCs w:val="21"/>
        </w:rPr>
      </w:pPr>
      <w:r>
        <w:rPr>
          <w:rFonts w:hint="eastAsia" w:ascii="宋体" w:hAnsi="宋体"/>
          <w:szCs w:val="21"/>
        </w:rPr>
        <w:t>大中型企业、其他自然人、法人或者非法人组织与小型、微型企业组成联合体共同参加采购活动的，联合体协议中应写明小型、微型企业的协议合同金额占到联合体协议合同总金额的比例。</w:t>
      </w:r>
    </w:p>
    <w:p w14:paraId="041F2F25">
      <w:pPr>
        <w:widowControl/>
        <w:adjustRightInd w:val="0"/>
        <w:snapToGrid w:val="0"/>
        <w:spacing w:line="400" w:lineRule="exact"/>
        <w:ind w:firstLine="420" w:firstLineChars="200"/>
        <w:jc w:val="left"/>
        <w:rPr>
          <w:rFonts w:ascii="宋体" w:hAnsi="宋体"/>
          <w:szCs w:val="21"/>
        </w:rPr>
      </w:pPr>
      <w:r>
        <w:rPr>
          <w:rFonts w:hint="eastAsia" w:ascii="宋体" w:hAnsi="宋体"/>
          <w:szCs w:val="21"/>
        </w:rPr>
        <w:t>11.2.3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供应商须知前附表中规定的标准扣除后的价格参与评审。组成联合体或者接受分包的小微企业与联合体内其他企业、分包企业之间存在直接控股、管理关系的，不享受价格扣除优惠政策。</w:t>
      </w:r>
    </w:p>
    <w:p w14:paraId="33257757">
      <w:pPr>
        <w:widowControl/>
        <w:adjustRightInd w:val="0"/>
        <w:snapToGrid w:val="0"/>
        <w:spacing w:line="400" w:lineRule="exact"/>
        <w:ind w:firstLine="420" w:firstLineChars="200"/>
        <w:jc w:val="left"/>
        <w:rPr>
          <w:rFonts w:ascii="宋体" w:hAnsi="宋体"/>
          <w:szCs w:val="21"/>
        </w:rPr>
      </w:pPr>
    </w:p>
    <w:p w14:paraId="7867C335">
      <w:pPr>
        <w:pStyle w:val="3"/>
        <w:rPr>
          <w:rFonts w:ascii="宋体" w:hAnsi="宋体"/>
        </w:rPr>
      </w:pPr>
      <w:bookmarkStart w:id="813" w:name="_Toc25549"/>
      <w:r>
        <w:rPr>
          <w:rFonts w:hint="eastAsia" w:ascii="宋体" w:hAnsi="宋体"/>
        </w:rPr>
        <w:t>12. 需要补充的其他内容</w:t>
      </w:r>
      <w:bookmarkEnd w:id="813"/>
    </w:p>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14:paraId="66EB6088">
      <w:pPr>
        <w:widowControl/>
        <w:adjustRightInd w:val="0"/>
        <w:snapToGrid w:val="0"/>
        <w:spacing w:line="360" w:lineRule="auto"/>
        <w:ind w:firstLine="420" w:firstLineChars="200"/>
        <w:rPr>
          <w:lang w:bidi="en-US"/>
        </w:rPr>
      </w:pPr>
      <w:bookmarkStart w:id="814" w:name="_Toc455587087"/>
      <w:bookmarkStart w:id="815" w:name="_Toc455587271"/>
      <w:bookmarkStart w:id="816" w:name="_Toc466024554"/>
      <w:bookmarkStart w:id="817" w:name="_Toc458504872"/>
      <w:bookmarkStart w:id="818" w:name="_Toc445554745"/>
      <w:r>
        <w:rPr>
          <w:rFonts w:hint="eastAsia"/>
          <w:lang w:bidi="en-US"/>
        </w:rPr>
        <w:t>需要补充的其他内容</w:t>
      </w:r>
      <w:bookmarkEnd w:id="814"/>
      <w:bookmarkEnd w:id="815"/>
      <w:bookmarkEnd w:id="816"/>
      <w:bookmarkEnd w:id="817"/>
      <w:bookmarkEnd w:id="818"/>
      <w:r>
        <w:rPr>
          <w:rFonts w:hint="eastAsia"/>
          <w:lang w:bidi="en-US"/>
        </w:rPr>
        <w:t>：见投标供应商须知前附表。</w:t>
      </w:r>
    </w:p>
    <w:p w14:paraId="406DBB98">
      <w:pPr>
        <w:widowControl/>
        <w:adjustRightInd w:val="0"/>
        <w:snapToGrid w:val="0"/>
        <w:spacing w:line="360" w:lineRule="auto"/>
        <w:ind w:firstLine="420" w:firstLineChars="200"/>
        <w:rPr>
          <w:rFonts w:ascii="宋体" w:hAnsi="宋体"/>
          <w:szCs w:val="21"/>
        </w:rPr>
      </w:pPr>
    </w:p>
    <w:p w14:paraId="50851891">
      <w:pPr>
        <w:widowControl/>
        <w:adjustRightInd w:val="0"/>
        <w:snapToGrid w:val="0"/>
        <w:spacing w:line="360" w:lineRule="auto"/>
        <w:ind w:firstLine="420" w:firstLineChars="200"/>
        <w:rPr>
          <w:rFonts w:ascii="宋体" w:hAnsi="宋体"/>
          <w:szCs w:val="21"/>
        </w:rPr>
      </w:pPr>
    </w:p>
    <w:p w14:paraId="0510E430">
      <w:pPr>
        <w:widowControl/>
        <w:adjustRightInd w:val="0"/>
        <w:snapToGrid w:val="0"/>
        <w:spacing w:line="360" w:lineRule="auto"/>
        <w:ind w:firstLine="420" w:firstLineChars="200"/>
        <w:rPr>
          <w:rFonts w:ascii="宋体" w:hAnsi="宋体"/>
          <w:szCs w:val="21"/>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71775DBF">
      <w:pPr>
        <w:pStyle w:val="2"/>
        <w:widowControl/>
        <w:snapToGrid w:val="0"/>
        <w:spacing w:before="0" w:after="0" w:line="360" w:lineRule="auto"/>
        <w:jc w:val="center"/>
        <w:rPr>
          <w:rFonts w:ascii="黑体" w:hAnsi="黑体" w:eastAsia="黑体"/>
          <w:b w:val="0"/>
        </w:rPr>
      </w:pPr>
      <w:bookmarkStart w:id="819" w:name="_Toc528829640"/>
      <w:bookmarkStart w:id="820" w:name="_Toc28788"/>
      <w:bookmarkStart w:id="821" w:name="_Toc18550"/>
      <w:bookmarkStart w:id="822" w:name="_Toc24488"/>
      <w:bookmarkStart w:id="823" w:name="_Toc466024555"/>
      <w:bookmarkStart w:id="824" w:name="_Toc23727"/>
      <w:bookmarkStart w:id="825" w:name="_Toc445554746"/>
      <w:bookmarkStart w:id="826" w:name="_Toc241459648"/>
      <w:bookmarkStart w:id="827" w:name="_Toc152042375"/>
      <w:bookmarkStart w:id="828" w:name="_Toc144974565"/>
      <w:bookmarkStart w:id="829" w:name="_Toc342296242"/>
      <w:bookmarkStart w:id="830" w:name="_Toc342296244"/>
      <w:bookmarkStart w:id="831" w:name="_Toc179632616"/>
      <w:bookmarkStart w:id="832" w:name="_Toc342297699"/>
      <w:bookmarkStart w:id="833" w:name="_Toc152045598"/>
      <w:bookmarkStart w:id="834" w:name="_Toc342297701"/>
      <w:r>
        <w:rPr>
          <w:rFonts w:hint="eastAsia" w:ascii="宋体" w:hAnsi="宋体"/>
        </w:rPr>
        <w:t>第三章  采购需求及技术规格要求</w:t>
      </w:r>
      <w:bookmarkEnd w:id="819"/>
      <w:bookmarkEnd w:id="820"/>
      <w:bookmarkEnd w:id="821"/>
      <w:bookmarkEnd w:id="822"/>
      <w:bookmarkEnd w:id="823"/>
      <w:bookmarkEnd w:id="824"/>
      <w:bookmarkEnd w:id="825"/>
    </w:p>
    <w:p w14:paraId="7CE1C7A6">
      <w:pPr>
        <w:widowControl/>
      </w:pPr>
    </w:p>
    <w:p w14:paraId="04F8E83C">
      <w:pPr>
        <w:spacing w:line="360" w:lineRule="auto"/>
        <w:rPr>
          <w:rFonts w:ascii="宋体" w:hAnsi="宋体"/>
          <w:b/>
          <w:szCs w:val="21"/>
        </w:rPr>
      </w:pPr>
      <w:r>
        <w:rPr>
          <w:rFonts w:hint="eastAsia" w:ascii="宋体" w:hAnsi="宋体"/>
          <w:b/>
          <w:szCs w:val="21"/>
        </w:rPr>
        <w:t>前注：</w:t>
      </w:r>
    </w:p>
    <w:p w14:paraId="7BC5AD35">
      <w:pPr>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1、本采购需求中提出的服务方案仅为参考，如无明确限制，投标人可以进行优化，提供满足采购人实际需要的更优（或者性能实质上不低于的）服务方案，且此方案须经评标委员会评审认可。</w:t>
      </w:r>
    </w:p>
    <w:p w14:paraId="1ACA1982">
      <w:pPr>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5393909B">
      <w:pPr>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w:t>
      </w:r>
    </w:p>
    <w:p w14:paraId="6DAC1415">
      <w:pPr>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4、如采购人允许采用分包方式履行合同的，应当明确可以分包履行的相关内容。</w:t>
      </w:r>
    </w:p>
    <w:p w14:paraId="63CD2252">
      <w:pPr>
        <w:spacing w:line="360" w:lineRule="auto"/>
        <w:ind w:firstLine="422" w:firstLineChars="200"/>
        <w:outlineLvl w:val="1"/>
        <w:rPr>
          <w:rFonts w:ascii="宋体" w:hAnsi="宋体"/>
          <w:b/>
          <w:szCs w:val="21"/>
        </w:rPr>
      </w:pPr>
      <w:bookmarkStart w:id="835" w:name="_Toc4148"/>
      <w:bookmarkStart w:id="836" w:name="_Toc21798"/>
      <w:bookmarkStart w:id="837" w:name="_Hlk23621890"/>
      <w:r>
        <w:rPr>
          <w:rFonts w:hint="eastAsia" w:ascii="宋体" w:hAnsi="宋体"/>
          <w:b/>
          <w:szCs w:val="21"/>
        </w:rPr>
        <w:t>一、采购需求前附表</w:t>
      </w:r>
      <w:bookmarkEnd w:id="835"/>
      <w:bookmarkEnd w:id="836"/>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2350"/>
        <w:gridCol w:w="6341"/>
      </w:tblGrid>
      <w:tr w14:paraId="2835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F2C4A51">
            <w:pPr>
              <w:pStyle w:val="23"/>
              <w:pBdr>
                <w:bottom w:val="none" w:color="auto" w:sz="0" w:space="0"/>
              </w:pBdr>
              <w:tabs>
                <w:tab w:val="clear" w:pos="4153"/>
                <w:tab w:val="clear" w:pos="8306"/>
              </w:tabs>
              <w:adjustRightInd/>
              <w:spacing w:line="240" w:lineRule="auto"/>
              <w:textAlignment w:val="auto"/>
              <w:rPr>
                <w:rFonts w:ascii="宋体" w:hAnsi="宋体"/>
                <w:b/>
                <w:kern w:val="2"/>
                <w:sz w:val="21"/>
                <w:szCs w:val="21"/>
              </w:rPr>
            </w:pPr>
            <w:r>
              <w:rPr>
                <w:rFonts w:hint="eastAsia" w:ascii="宋体" w:hAnsi="宋体"/>
                <w:b/>
                <w:kern w:val="2"/>
                <w:sz w:val="21"/>
                <w:szCs w:val="21"/>
              </w:rPr>
              <w:t>序号</w:t>
            </w:r>
          </w:p>
        </w:tc>
        <w:tc>
          <w:tcPr>
            <w:tcW w:w="1192" w:type="pct"/>
            <w:vAlign w:val="center"/>
          </w:tcPr>
          <w:p w14:paraId="0C40DCF8">
            <w:pPr>
              <w:pStyle w:val="24"/>
              <w:widowControl w:val="0"/>
              <w:spacing w:before="0" w:beforeAutospacing="0" w:after="0" w:afterAutospacing="0" w:line="360" w:lineRule="auto"/>
              <w:rPr>
                <w:rFonts w:ascii="宋体" w:hAnsi="宋体"/>
                <w:bCs w:val="0"/>
                <w:sz w:val="21"/>
                <w:szCs w:val="21"/>
              </w:rPr>
            </w:pPr>
            <w:r>
              <w:rPr>
                <w:rFonts w:hint="eastAsia" w:ascii="宋体" w:hAnsi="宋体"/>
                <w:bCs w:val="0"/>
                <w:sz w:val="21"/>
                <w:szCs w:val="21"/>
              </w:rPr>
              <w:t>条款名称</w:t>
            </w:r>
          </w:p>
        </w:tc>
        <w:tc>
          <w:tcPr>
            <w:tcW w:w="3217" w:type="pct"/>
            <w:vAlign w:val="center"/>
          </w:tcPr>
          <w:p w14:paraId="5E9035CE">
            <w:pPr>
              <w:pStyle w:val="24"/>
              <w:widowControl w:val="0"/>
              <w:spacing w:before="0" w:beforeAutospacing="0" w:after="0" w:afterAutospacing="0" w:line="360" w:lineRule="auto"/>
              <w:rPr>
                <w:rFonts w:ascii="宋体" w:hAnsi="宋体"/>
                <w:bCs w:val="0"/>
                <w:sz w:val="21"/>
                <w:szCs w:val="21"/>
              </w:rPr>
            </w:pPr>
            <w:r>
              <w:rPr>
                <w:rFonts w:hint="eastAsia" w:ascii="宋体" w:hAnsi="宋体"/>
                <w:bCs w:val="0"/>
                <w:sz w:val="21"/>
                <w:szCs w:val="21"/>
              </w:rPr>
              <w:t>内容、说明与要求</w:t>
            </w:r>
          </w:p>
        </w:tc>
      </w:tr>
      <w:tr w14:paraId="5EB7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3DC666">
            <w:pPr>
              <w:pStyle w:val="23"/>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1</w:t>
            </w:r>
          </w:p>
        </w:tc>
        <w:tc>
          <w:tcPr>
            <w:tcW w:w="1192" w:type="pct"/>
            <w:vAlign w:val="center"/>
          </w:tcPr>
          <w:p w14:paraId="27DE4BEE">
            <w:pPr>
              <w:pStyle w:val="24"/>
              <w:widowControl w:val="0"/>
              <w:spacing w:before="0" w:beforeAutospacing="0" w:after="0" w:afterAutospacing="0" w:line="360" w:lineRule="auto"/>
              <w:rPr>
                <w:rFonts w:ascii="宋体" w:hAnsi="宋体"/>
                <w:b w:val="0"/>
                <w:sz w:val="21"/>
                <w:szCs w:val="21"/>
              </w:rPr>
            </w:pPr>
            <w:r>
              <w:rPr>
                <w:rFonts w:hint="eastAsia" w:ascii="宋体" w:hAnsi="宋体"/>
                <w:b w:val="0"/>
                <w:sz w:val="21"/>
                <w:szCs w:val="21"/>
              </w:rPr>
              <w:t>服务地点</w:t>
            </w:r>
          </w:p>
        </w:tc>
        <w:tc>
          <w:tcPr>
            <w:tcW w:w="3217" w:type="pct"/>
            <w:vAlign w:val="center"/>
          </w:tcPr>
          <w:p w14:paraId="5771C676">
            <w:pPr>
              <w:pStyle w:val="24"/>
              <w:widowControl w:val="0"/>
              <w:spacing w:before="0" w:beforeAutospacing="0" w:after="0" w:afterAutospacing="0" w:line="360" w:lineRule="auto"/>
              <w:jc w:val="left"/>
              <w:rPr>
                <w:rFonts w:ascii="宋体" w:hAnsi="宋体"/>
                <w:b w:val="0"/>
                <w:sz w:val="21"/>
                <w:szCs w:val="21"/>
              </w:rPr>
            </w:pPr>
            <w:r>
              <w:rPr>
                <w:rFonts w:hint="eastAsia" w:ascii="宋体" w:hAnsi="宋体"/>
                <w:b w:val="0"/>
                <w:sz w:val="21"/>
                <w:szCs w:val="21"/>
              </w:rPr>
              <w:t>安徽医科大学附属口腔医院（安徽省口腔医院）各院区，采购人指定地点。</w:t>
            </w:r>
          </w:p>
        </w:tc>
      </w:tr>
      <w:tr w14:paraId="7F53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FB34B11">
            <w:pPr>
              <w:pStyle w:val="23"/>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2</w:t>
            </w:r>
          </w:p>
        </w:tc>
        <w:tc>
          <w:tcPr>
            <w:tcW w:w="1192" w:type="pct"/>
            <w:vAlign w:val="center"/>
          </w:tcPr>
          <w:p w14:paraId="5E6341F2">
            <w:pPr>
              <w:pStyle w:val="24"/>
              <w:widowControl w:val="0"/>
              <w:spacing w:before="0" w:beforeAutospacing="0" w:after="0" w:afterAutospacing="0" w:line="360" w:lineRule="auto"/>
              <w:rPr>
                <w:rFonts w:ascii="宋体" w:hAnsi="宋体"/>
                <w:b w:val="0"/>
                <w:sz w:val="21"/>
                <w:szCs w:val="21"/>
              </w:rPr>
            </w:pPr>
            <w:r>
              <w:rPr>
                <w:rFonts w:hint="eastAsia" w:ascii="宋体" w:hAnsi="宋体"/>
                <w:b w:val="0"/>
                <w:sz w:val="21"/>
                <w:szCs w:val="21"/>
              </w:rPr>
              <w:t>服务期限</w:t>
            </w:r>
          </w:p>
        </w:tc>
        <w:tc>
          <w:tcPr>
            <w:tcW w:w="3217" w:type="pct"/>
            <w:vAlign w:val="center"/>
          </w:tcPr>
          <w:p w14:paraId="6D1CDC90">
            <w:pPr>
              <w:pStyle w:val="24"/>
              <w:widowControl w:val="0"/>
              <w:spacing w:before="0" w:beforeAutospacing="0" w:after="0" w:afterAutospacing="0" w:line="360" w:lineRule="auto"/>
              <w:jc w:val="left"/>
              <w:rPr>
                <w:rFonts w:ascii="宋体" w:hAnsi="宋体"/>
                <w:b w:val="0"/>
                <w:sz w:val="21"/>
                <w:szCs w:val="21"/>
              </w:rPr>
            </w:pPr>
            <w:r>
              <w:rPr>
                <w:rFonts w:hint="eastAsia" w:ascii="宋体" w:hAnsi="宋体"/>
                <w:b w:val="0"/>
                <w:sz w:val="21"/>
                <w:szCs w:val="21"/>
              </w:rPr>
              <w:t>合同签订后一年，每批供货时间为接采购人通知后7个日历日内完成。合同到期前，经考核合格后，在年度预算能够保障的前提下，可续签累计不超过3年的采购合同，第三年合同续签至2028年6月19日，合同一年一签。</w:t>
            </w:r>
          </w:p>
        </w:tc>
      </w:tr>
      <w:tr w14:paraId="4564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9DE98C1">
            <w:pPr>
              <w:pStyle w:val="23"/>
              <w:pBdr>
                <w:bottom w:val="none" w:color="auto" w:sz="0" w:space="0"/>
              </w:pBdr>
              <w:tabs>
                <w:tab w:val="clear" w:pos="4153"/>
                <w:tab w:val="clear" w:pos="8306"/>
              </w:tabs>
              <w:adjustRightInd/>
              <w:spacing w:line="240" w:lineRule="auto"/>
              <w:textAlignment w:val="auto"/>
              <w:rPr>
                <w:rFonts w:ascii="宋体" w:hAnsi="宋体"/>
                <w:bCs/>
                <w:kern w:val="2"/>
                <w:sz w:val="21"/>
                <w:szCs w:val="21"/>
              </w:rPr>
            </w:pPr>
            <w:r>
              <w:rPr>
                <w:rFonts w:hint="eastAsia" w:ascii="宋体" w:hAnsi="宋体"/>
                <w:bCs/>
                <w:kern w:val="2"/>
                <w:sz w:val="21"/>
                <w:szCs w:val="21"/>
              </w:rPr>
              <w:t>3</w:t>
            </w:r>
          </w:p>
        </w:tc>
        <w:tc>
          <w:tcPr>
            <w:tcW w:w="1192" w:type="pct"/>
            <w:vAlign w:val="center"/>
          </w:tcPr>
          <w:p w14:paraId="04A2F41A">
            <w:pPr>
              <w:pStyle w:val="24"/>
              <w:widowControl w:val="0"/>
              <w:spacing w:before="0" w:beforeAutospacing="0" w:after="0" w:afterAutospacing="0" w:line="360" w:lineRule="auto"/>
              <w:rPr>
                <w:rFonts w:ascii="宋体" w:hAnsi="宋体"/>
                <w:b w:val="0"/>
                <w:sz w:val="21"/>
                <w:szCs w:val="21"/>
              </w:rPr>
            </w:pPr>
            <w:r>
              <w:rPr>
                <w:rFonts w:hint="eastAsia" w:ascii="宋体" w:hAnsi="宋体"/>
                <w:b w:val="0"/>
                <w:sz w:val="21"/>
                <w:szCs w:val="21"/>
              </w:rPr>
              <w:t>本项目采购标的名称及所属行业</w:t>
            </w:r>
          </w:p>
        </w:tc>
        <w:tc>
          <w:tcPr>
            <w:tcW w:w="3217" w:type="pct"/>
            <w:vAlign w:val="center"/>
          </w:tcPr>
          <w:p w14:paraId="191160D5">
            <w:pPr>
              <w:spacing w:line="360" w:lineRule="auto"/>
              <w:jc w:val="left"/>
              <w:rPr>
                <w:rFonts w:ascii="宋体" w:hAnsi="宋体"/>
                <w:szCs w:val="21"/>
              </w:rPr>
            </w:pPr>
            <w:r>
              <w:rPr>
                <w:rFonts w:hint="eastAsia" w:ascii="宋体" w:hAnsi="宋体"/>
                <w:szCs w:val="21"/>
              </w:rPr>
              <w:t>标的名称：</w:t>
            </w:r>
          </w:p>
          <w:p w14:paraId="382D6F4C">
            <w:pPr>
              <w:spacing w:line="360" w:lineRule="auto"/>
              <w:jc w:val="left"/>
              <w:rPr>
                <w:rFonts w:ascii="宋体" w:hAnsi="宋体"/>
                <w:szCs w:val="21"/>
              </w:rPr>
            </w:pPr>
            <w:r>
              <w:rPr>
                <w:rFonts w:hint="eastAsia" w:ascii="宋体" w:hAnsi="宋体"/>
                <w:szCs w:val="21"/>
              </w:rPr>
              <w:t>第1包：牙体材料1配送服务</w:t>
            </w:r>
          </w:p>
          <w:p w14:paraId="340E0519">
            <w:pPr>
              <w:spacing w:line="360" w:lineRule="auto"/>
              <w:jc w:val="left"/>
              <w:rPr>
                <w:rFonts w:ascii="宋体" w:hAnsi="宋体"/>
                <w:szCs w:val="21"/>
              </w:rPr>
            </w:pPr>
            <w:r>
              <w:rPr>
                <w:rFonts w:hint="eastAsia" w:ascii="宋体" w:hAnsi="宋体"/>
                <w:szCs w:val="21"/>
              </w:rPr>
              <w:t>第2包：牙体材料4配送服务</w:t>
            </w:r>
          </w:p>
          <w:p w14:paraId="0ACC86B5">
            <w:pPr>
              <w:spacing w:line="360" w:lineRule="auto"/>
              <w:jc w:val="left"/>
              <w:rPr>
                <w:rFonts w:ascii="宋体" w:hAnsi="宋体"/>
                <w:szCs w:val="21"/>
              </w:rPr>
            </w:pPr>
            <w:r>
              <w:rPr>
                <w:rFonts w:hint="eastAsia" w:ascii="宋体" w:hAnsi="宋体"/>
                <w:szCs w:val="21"/>
              </w:rPr>
              <w:t>第3包：外科材料3配送服务</w:t>
            </w:r>
          </w:p>
          <w:p w14:paraId="01C446C0">
            <w:pPr>
              <w:spacing w:line="360" w:lineRule="auto"/>
              <w:jc w:val="left"/>
              <w:rPr>
                <w:rFonts w:ascii="宋体" w:hAnsi="宋体"/>
                <w:szCs w:val="21"/>
              </w:rPr>
            </w:pPr>
            <w:r>
              <w:rPr>
                <w:rFonts w:hint="eastAsia" w:ascii="宋体" w:hAnsi="宋体"/>
                <w:szCs w:val="21"/>
              </w:rPr>
              <w:t>第4包：</w:t>
            </w:r>
            <w:r>
              <w:rPr>
                <w:rFonts w:hint="eastAsia" w:ascii="宋体" w:hAnsi="宋体"/>
                <w:bCs/>
                <w:kern w:val="0"/>
                <w:szCs w:val="21"/>
              </w:rPr>
              <w:t>正畸材料（错合畸形预防训练器等）配送服务</w:t>
            </w:r>
          </w:p>
          <w:p w14:paraId="4812AAE8">
            <w:pPr>
              <w:spacing w:line="360" w:lineRule="auto"/>
              <w:jc w:val="left"/>
              <w:rPr>
                <w:rFonts w:ascii="宋体" w:hAnsi="宋体"/>
                <w:szCs w:val="21"/>
              </w:rPr>
            </w:pPr>
            <w:r>
              <w:rPr>
                <w:rFonts w:hint="eastAsia" w:ascii="宋体" w:hAnsi="宋体"/>
                <w:szCs w:val="21"/>
              </w:rPr>
              <w:t>第5包：</w:t>
            </w:r>
            <w:r>
              <w:rPr>
                <w:rFonts w:hint="eastAsia" w:ascii="宋体" w:hAnsi="宋体"/>
                <w:bCs/>
                <w:kern w:val="0"/>
                <w:szCs w:val="21"/>
              </w:rPr>
              <w:t>唇侧个性化间接粘接正畸矫治系统配送服务</w:t>
            </w:r>
          </w:p>
          <w:p w14:paraId="107C15BC">
            <w:pPr>
              <w:spacing w:line="360" w:lineRule="auto"/>
              <w:jc w:val="left"/>
              <w:rPr>
                <w:rFonts w:ascii="宋体" w:hAnsi="宋体"/>
                <w:szCs w:val="21"/>
              </w:rPr>
            </w:pPr>
            <w:r>
              <w:rPr>
                <w:rFonts w:hint="eastAsia" w:ascii="宋体" w:hAnsi="宋体"/>
                <w:szCs w:val="21"/>
              </w:rPr>
              <w:t>以上包次所属行业：批发业</w:t>
            </w:r>
          </w:p>
        </w:tc>
      </w:tr>
    </w:tbl>
    <w:p w14:paraId="1F7989A1">
      <w:pPr>
        <w:spacing w:line="360" w:lineRule="auto"/>
        <w:rPr>
          <w:rFonts w:ascii="宋体" w:hAnsi="宋体"/>
          <w:b/>
          <w:szCs w:val="21"/>
        </w:rPr>
      </w:pPr>
      <w:bookmarkStart w:id="838" w:name="_Toc16543"/>
      <w:bookmarkStart w:id="839" w:name="_Hlk16461016"/>
    </w:p>
    <w:p w14:paraId="25FA1DF9">
      <w:pPr>
        <w:spacing w:line="360" w:lineRule="auto"/>
        <w:ind w:firstLine="422" w:firstLineChars="200"/>
        <w:outlineLvl w:val="1"/>
        <w:rPr>
          <w:rFonts w:ascii="宋体" w:hAnsi="宋体"/>
          <w:b/>
          <w:szCs w:val="21"/>
        </w:rPr>
      </w:pPr>
      <w:bookmarkStart w:id="840" w:name="_Toc8753"/>
      <w:r>
        <w:rPr>
          <w:rFonts w:hint="eastAsia" w:ascii="宋体" w:hAnsi="宋体"/>
          <w:b/>
          <w:szCs w:val="21"/>
        </w:rPr>
        <w:t>二、项目概况</w:t>
      </w:r>
      <w:bookmarkEnd w:id="838"/>
      <w:bookmarkEnd w:id="840"/>
    </w:p>
    <w:p w14:paraId="6B207DD3">
      <w:pPr>
        <w:pStyle w:val="24"/>
        <w:widowControl w:val="0"/>
        <w:spacing w:before="0" w:beforeAutospacing="0" w:after="0" w:afterAutospacing="0" w:line="360" w:lineRule="auto"/>
        <w:ind w:firstLine="420" w:firstLineChars="200"/>
        <w:jc w:val="left"/>
        <w:rPr>
          <w:rFonts w:ascii="宋体" w:hAnsi="宋体"/>
          <w:b w:val="0"/>
          <w:sz w:val="21"/>
          <w:szCs w:val="21"/>
        </w:rPr>
      </w:pPr>
      <w:r>
        <w:rPr>
          <w:rFonts w:hint="eastAsia" w:ascii="宋体" w:hAnsi="宋体"/>
          <w:b w:val="0"/>
          <w:sz w:val="21"/>
          <w:szCs w:val="21"/>
        </w:rPr>
        <w:t>安徽医科大学附属口腔医院（安徽省口腔医院）2025年第五批医用耗材配送服务项目，共分为5个包，每包拟招标一家投标人为安徽医科大学附属口腔医院（安徽省口腔医院）提供相关产品配送服务。第1包：牙体材料1配送服务，第2包：牙体材料4配送服务，第3包：外科材料3配送服务，第4包：正畸材料（错合畸形预防训练器等）配送服务，第5包：唇侧个性化间接粘接正畸矫治系统配送服务。本项目服务范围涵盖安徽医科大学附属口腔医院（安徽省口腔医院）各院区及院外门诊。为保障医院正常诊疗秩序，欲引进相关耗材供货及配送服务单位，为医院提供相关耗材供货及配送服务，以满足各临床科室的诊疗需要。</w:t>
      </w:r>
    </w:p>
    <w:p w14:paraId="2F0EC3A9">
      <w:pPr>
        <w:spacing w:line="360" w:lineRule="auto"/>
        <w:ind w:left="437"/>
        <w:outlineLvl w:val="1"/>
        <w:rPr>
          <w:rFonts w:ascii="宋体" w:hAnsi="宋体"/>
          <w:b/>
          <w:szCs w:val="21"/>
        </w:rPr>
      </w:pPr>
      <w:bookmarkStart w:id="841" w:name="_Toc13016"/>
      <w:bookmarkStart w:id="842" w:name="_Toc27920"/>
      <w:r>
        <w:rPr>
          <w:rFonts w:hint="eastAsia" w:ascii="宋体" w:hAnsi="宋体"/>
          <w:b/>
          <w:szCs w:val="21"/>
        </w:rPr>
        <w:t>三、服务需求</w:t>
      </w:r>
      <w:bookmarkEnd w:id="841"/>
      <w:bookmarkEnd w:id="842"/>
    </w:p>
    <w:p w14:paraId="412BA60D">
      <w:pPr>
        <w:widowControl/>
        <w:tabs>
          <w:tab w:val="left" w:pos="1406"/>
        </w:tabs>
        <w:adjustRightInd w:val="0"/>
        <w:snapToGrid w:val="0"/>
        <w:spacing w:line="360" w:lineRule="auto"/>
        <w:ind w:firstLine="420" w:firstLineChars="200"/>
        <w:rPr>
          <w:rFonts w:ascii="宋体" w:hAnsi="宋体"/>
          <w:bCs/>
          <w:kern w:val="0"/>
          <w:szCs w:val="21"/>
        </w:rPr>
      </w:pPr>
      <w:bookmarkStart w:id="843" w:name="_Toc20717"/>
      <w:bookmarkStart w:id="844" w:name="_Toc16414"/>
      <w:r>
        <w:rPr>
          <w:rFonts w:hint="eastAsia" w:ascii="宋体" w:hAnsi="宋体"/>
          <w:bCs/>
          <w:kern w:val="0"/>
          <w:szCs w:val="21"/>
        </w:rPr>
        <w:t>1、投标人所配送产品须包括本需求中所有内容，不得只投部分产品。</w:t>
      </w:r>
    </w:p>
    <w:p w14:paraId="308D2DC4">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2、配送产品如属于《安徽省公立医疗机构临床检验试剂网上集中交易实施方案》《安徽省公立医疗机构医用耗材网上集中交易实施方案》实施范围内的，须具有安徽省医药集中采购平台产品流水号，且投标人可以进行安徽省医药集中采购平台网上集中交易。配送产品能够满足国家“两票制”等相关文件规定要求，能确保配送产品正常使用、工作的正常开展。如履约验收期间所投产品不满足的，中标人承担由此产生的一切后果及责任。</w:t>
      </w:r>
    </w:p>
    <w:p w14:paraId="574BEA00">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3、中标人在合同签订后七个工作日内提供医保编码、医疗器械注册证（备案凭证）等供采购人查验。</w:t>
      </w:r>
    </w:p>
    <w:p w14:paraId="1C26940C">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4、在规定的质保期（有效期）内须对所配送产品质量负责。若出现质量问题及时予以退、换处理。如遇耗材失败脱落，无偿更换新的耗材。</w:t>
      </w:r>
    </w:p>
    <w:p w14:paraId="638E4D47">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5、投标产品为招标人当前在用产品的，投标报价不得超过同品牌、同规格耗材的医院现行供货价。如出现高于医院供货价格投标现象，则中标后须按照医院现行供货价格签订合同。</w:t>
      </w:r>
    </w:p>
    <w:p w14:paraId="5E76C64B">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6、配送产品应附有详细的产品安全使用说明书，中标人能够组织对使用人员进行产品安全使用指导培训。</w:t>
      </w:r>
    </w:p>
    <w:p w14:paraId="2A083F26">
      <w:pPr>
        <w:widowControl/>
        <w:tabs>
          <w:tab w:val="left" w:pos="1406"/>
        </w:tabs>
        <w:adjustRightInd w:val="0"/>
        <w:snapToGrid w:val="0"/>
        <w:spacing w:line="360" w:lineRule="auto"/>
        <w:ind w:firstLine="420" w:firstLineChars="200"/>
        <w:rPr>
          <w:rFonts w:ascii="宋体" w:hAnsi="宋体"/>
          <w:bCs/>
          <w:kern w:val="0"/>
          <w:szCs w:val="21"/>
        </w:rPr>
      </w:pPr>
      <w:r>
        <w:rPr>
          <w:rFonts w:hint="eastAsia" w:ascii="宋体" w:hAnsi="宋体"/>
          <w:bCs/>
          <w:kern w:val="0"/>
          <w:szCs w:val="21"/>
        </w:rPr>
        <w:t>7、中标人在合同期内如不能及时供货，需至少提前3个月告知采购人，否则追究相关责任。</w:t>
      </w:r>
    </w:p>
    <w:p w14:paraId="54A04EFC">
      <w:pPr>
        <w:pStyle w:val="8"/>
        <w:widowControl/>
        <w:snapToGrid w:val="0"/>
        <w:spacing w:line="360" w:lineRule="auto"/>
        <w:ind w:firstLine="420" w:firstLineChars="200"/>
        <w:rPr>
          <w:rFonts w:hAnsi="宋体"/>
          <w:bCs/>
          <w:kern w:val="0"/>
        </w:rPr>
      </w:pPr>
      <w:r>
        <w:rPr>
          <w:rFonts w:hint="eastAsia" w:hAnsi="宋体"/>
          <w:bCs/>
          <w:kern w:val="0"/>
        </w:rPr>
        <w:t>8、如中标人所投产品后期带量采购价格下调，下调后价格低于本次投标价，中标人须按带量采购价格进行供货。</w:t>
      </w:r>
    </w:p>
    <w:p w14:paraId="4AEB9D1C">
      <w:pPr>
        <w:pStyle w:val="8"/>
        <w:widowControl/>
        <w:snapToGrid w:val="0"/>
        <w:spacing w:line="360" w:lineRule="auto"/>
        <w:ind w:firstLine="420" w:firstLineChars="200"/>
        <w:rPr>
          <w:rFonts w:hAnsi="宋体"/>
          <w:bCs/>
          <w:kern w:val="0"/>
        </w:rPr>
      </w:pPr>
      <w:r>
        <w:rPr>
          <w:rFonts w:hint="eastAsia" w:hAnsi="宋体"/>
          <w:bCs/>
          <w:kern w:val="0"/>
        </w:rPr>
        <w:t>9、</w:t>
      </w:r>
      <w:bookmarkStart w:id="845" w:name="OLE_LINK10"/>
      <w:r>
        <w:rPr>
          <w:rFonts w:hint="eastAsia" w:hAnsi="宋体"/>
          <w:bCs/>
          <w:kern w:val="0"/>
        </w:rPr>
        <w:t>中标人中标后须协助招标人完成耗材UDI码的维护工作</w:t>
      </w:r>
      <w:bookmarkEnd w:id="845"/>
      <w:r>
        <w:rPr>
          <w:rFonts w:hint="eastAsia" w:hAnsi="宋体"/>
          <w:bCs/>
          <w:kern w:val="0"/>
        </w:rPr>
        <w:t>。</w:t>
      </w:r>
    </w:p>
    <w:p w14:paraId="3C372252">
      <w:pPr>
        <w:spacing w:line="360" w:lineRule="auto"/>
        <w:ind w:left="437"/>
        <w:outlineLvl w:val="1"/>
        <w:rPr>
          <w:rFonts w:ascii="宋体" w:hAnsi="宋体"/>
          <w:b/>
          <w:szCs w:val="21"/>
        </w:rPr>
      </w:pPr>
      <w:r>
        <w:rPr>
          <w:rFonts w:hint="eastAsia" w:ascii="宋体" w:hAnsi="宋体"/>
          <w:b/>
          <w:szCs w:val="21"/>
        </w:rPr>
        <w:br w:type="textWrapping"/>
      </w:r>
      <w:r>
        <w:rPr>
          <w:rFonts w:hint="eastAsia" w:ascii="宋体" w:hAnsi="宋体"/>
          <w:b/>
          <w:szCs w:val="21"/>
        </w:rPr>
        <w:t>四、报价要求</w:t>
      </w:r>
      <w:bookmarkEnd w:id="843"/>
      <w:bookmarkEnd w:id="844"/>
    </w:p>
    <w:p w14:paraId="1673478D">
      <w:pPr>
        <w:pStyle w:val="8"/>
        <w:widowControl/>
        <w:snapToGrid w:val="0"/>
        <w:spacing w:line="360" w:lineRule="auto"/>
        <w:ind w:firstLine="420" w:firstLineChars="200"/>
        <w:rPr>
          <w:rFonts w:hAnsi="宋体"/>
          <w:bCs/>
          <w:kern w:val="0"/>
        </w:rPr>
      </w:pPr>
      <w:r>
        <w:rPr>
          <w:rFonts w:hint="eastAsia" w:hAnsi="宋体"/>
          <w:bCs/>
          <w:kern w:val="0"/>
        </w:rPr>
        <w:t>1、配送清单中列明的配送产品年使用量为预估量，投标人须按预估量同时报各项配送产品品目的综合单价及总价，总价作为定标的依据，综合单价作为据实结算的依据（综合单价中标后不变）。如同一品目货物有多种规格，则所配送的同一品目货物的不同规格产品须为同一品牌，且投标人须在分项报价表中针对各规格分别列出其综合单价及平均综合单价。未按上述要求报价的，投标无效。</w:t>
      </w:r>
    </w:p>
    <w:p w14:paraId="5CE296D4">
      <w:pPr>
        <w:pStyle w:val="8"/>
        <w:widowControl/>
        <w:snapToGrid w:val="0"/>
        <w:spacing w:line="360" w:lineRule="auto"/>
        <w:ind w:firstLine="420" w:firstLineChars="200"/>
        <w:rPr>
          <w:rFonts w:hAnsi="宋体"/>
          <w:bCs/>
          <w:kern w:val="0"/>
        </w:rPr>
      </w:pPr>
      <w:r>
        <w:rPr>
          <w:rFonts w:hint="eastAsia" w:hAnsi="宋体"/>
          <w:bCs/>
          <w:kern w:val="0"/>
        </w:rPr>
        <w:t>2、综合单价系指完成某一品目产品设计费、采购费、制造费、工艺费、包装费、运输保险费、运输费、装卸费、其他技术服务及质保期服务费等所需一切费用的综合单价。任意规格产品的综合单价不得超过配送产品需求表中对应品目的最高单价，对应规格综合单价及实际配送数量作为支付的依据，最终结算总金额不超过本包别成交总金额，成交后对应规格综合单价不变。</w:t>
      </w:r>
    </w:p>
    <w:p w14:paraId="5B210722">
      <w:pPr>
        <w:pStyle w:val="8"/>
        <w:widowControl/>
        <w:snapToGrid w:val="0"/>
        <w:spacing w:line="360" w:lineRule="auto"/>
        <w:ind w:firstLine="420" w:firstLineChars="200"/>
        <w:rPr>
          <w:rFonts w:hAnsi="宋体"/>
          <w:bCs/>
          <w:kern w:val="0"/>
        </w:rPr>
      </w:pPr>
      <w:r>
        <w:rPr>
          <w:rFonts w:hint="eastAsia" w:hAnsi="宋体"/>
          <w:bCs/>
          <w:kern w:val="0"/>
        </w:rPr>
        <w:t>3、如涉及平均综合单价的，则平均综合单价系指同一品目各规格综合单价的平均值。平均综合单价及配送货物需求表中所列预估年使用量作为计算总价的依据（总价=∑各品目平均综合单价*各品目预估年使用量）。</w:t>
      </w:r>
    </w:p>
    <w:p w14:paraId="58079862">
      <w:pPr>
        <w:pStyle w:val="8"/>
        <w:widowControl/>
        <w:snapToGrid w:val="0"/>
        <w:spacing w:line="360" w:lineRule="auto"/>
        <w:ind w:firstLine="420" w:firstLineChars="200"/>
        <w:rPr>
          <w:rFonts w:hAnsi="宋体"/>
          <w:bCs/>
          <w:kern w:val="0"/>
        </w:rPr>
      </w:pPr>
      <w:r>
        <w:rPr>
          <w:rFonts w:hint="eastAsia" w:hAnsi="宋体"/>
          <w:bCs/>
          <w:kern w:val="0"/>
        </w:rPr>
        <w:t>4、中标人按采购人实际需求分批配送、据实结算。投标人须综合考虑中标后可能出现的实际配送量与招标文件预估量之间的差距。采购人后期仅根据招标文件列明的方式据实结算，不再追加除此之外的其他费用。</w:t>
      </w:r>
    </w:p>
    <w:p w14:paraId="7D14135D">
      <w:pPr>
        <w:spacing w:line="360" w:lineRule="auto"/>
        <w:ind w:firstLine="437"/>
        <w:outlineLvl w:val="1"/>
        <w:rPr>
          <w:rFonts w:ascii="宋体" w:hAnsi="宋体"/>
          <w:b/>
          <w:szCs w:val="21"/>
        </w:rPr>
      </w:pPr>
      <w:bookmarkStart w:id="846" w:name="_Toc18794"/>
      <w:bookmarkStart w:id="847" w:name="_Toc8283"/>
      <w:r>
        <w:rPr>
          <w:rFonts w:hint="eastAsia" w:ascii="宋体" w:hAnsi="宋体"/>
          <w:b/>
          <w:szCs w:val="21"/>
        </w:rPr>
        <w:t>五、其他要求</w:t>
      </w:r>
      <w:bookmarkEnd w:id="846"/>
      <w:bookmarkEnd w:id="847"/>
    </w:p>
    <w:bookmarkEnd w:id="837"/>
    <w:bookmarkEnd w:id="839"/>
    <w:p w14:paraId="718CF12D">
      <w:pPr>
        <w:spacing w:before="96" w:beforeLines="40" w:after="96" w:afterLines="40" w:line="400" w:lineRule="exact"/>
        <w:ind w:firstLine="420" w:firstLineChars="200"/>
        <w:jc w:val="left"/>
        <w:rPr>
          <w:rFonts w:ascii="宋体" w:hAnsi="宋体"/>
          <w:bCs/>
          <w:kern w:val="0"/>
          <w:szCs w:val="21"/>
        </w:rPr>
      </w:pPr>
      <w:r>
        <w:rPr>
          <w:rFonts w:hint="eastAsia" w:ascii="宋体" w:hAnsi="宋体"/>
          <w:bCs/>
          <w:kern w:val="0"/>
          <w:szCs w:val="21"/>
        </w:rPr>
        <w:t>1、本项目所配送产品涉及医疗器械的须具有医疗器械注册证（或备案凭证），</w:t>
      </w:r>
      <w:r>
        <w:rPr>
          <w:rFonts w:hint="eastAsia" w:ascii="宋体" w:hAnsi="宋体"/>
          <w:b/>
          <w:kern w:val="0"/>
          <w:szCs w:val="21"/>
        </w:rPr>
        <w:t>投标文件中无需提供</w:t>
      </w:r>
      <w:r>
        <w:rPr>
          <w:rFonts w:hint="eastAsia" w:ascii="宋体" w:hAnsi="宋体"/>
          <w:bCs/>
          <w:kern w:val="0"/>
          <w:szCs w:val="21"/>
        </w:rPr>
        <w:t>,合同签订后7个工作日内由中标人向采购人提供查验,如未按要求提供，由此产生的后果及责任由中标人承担,采购人依法依规进行下一步工作。</w:t>
      </w:r>
    </w:p>
    <w:p w14:paraId="54B1592E">
      <w:pPr>
        <w:spacing w:before="96" w:beforeLines="40" w:after="96" w:afterLines="40" w:line="400" w:lineRule="exact"/>
        <w:ind w:firstLine="420" w:firstLineChars="200"/>
        <w:jc w:val="left"/>
        <w:rPr>
          <w:rFonts w:ascii="宋体" w:hAnsi="宋体"/>
          <w:bCs/>
          <w:kern w:val="0"/>
          <w:szCs w:val="21"/>
        </w:rPr>
      </w:pPr>
      <w:r>
        <w:rPr>
          <w:rFonts w:hint="eastAsia" w:ascii="宋体" w:hAnsi="宋体"/>
          <w:bCs/>
          <w:kern w:val="0"/>
          <w:szCs w:val="21"/>
        </w:rPr>
        <w:t>2、针对本项目</w:t>
      </w:r>
      <w:r>
        <w:rPr>
          <w:rFonts w:hint="eastAsia" w:ascii="宋体" w:hAnsi="宋体"/>
          <w:b/>
          <w:bCs/>
          <w:kern w:val="0"/>
          <w:szCs w:val="21"/>
        </w:rPr>
        <w:t>第4、5包</w:t>
      </w:r>
      <w:r>
        <w:rPr>
          <w:rFonts w:hint="eastAsia" w:ascii="宋体" w:hAnsi="宋体"/>
          <w:bCs/>
          <w:kern w:val="0"/>
          <w:szCs w:val="21"/>
        </w:rPr>
        <w:t>：中标后7个工作日内须提供投标产品制造商（也可由制造商的中国销售公司或产品全国总代理公司或区域代理公司出具，但须同时提供能证明出具授权的单位具有相应合法代理身份的有效证明）出具的有效授权书（函）；</w:t>
      </w:r>
      <w:r>
        <w:rPr>
          <w:rFonts w:hint="eastAsia" w:ascii="宋体" w:hAnsi="宋体"/>
          <w:b/>
          <w:kern w:val="0"/>
          <w:szCs w:val="21"/>
        </w:rPr>
        <w:t>投标文件中无需提供</w:t>
      </w:r>
      <w:r>
        <w:rPr>
          <w:rFonts w:hint="eastAsia" w:ascii="宋体" w:hAnsi="宋体"/>
          <w:bCs/>
          <w:kern w:val="0"/>
          <w:szCs w:val="21"/>
        </w:rPr>
        <w:t>,如未按要求提供，由此产生的后果及责任由中标人承担,采购人依法依规进行下一步工作。</w:t>
      </w:r>
    </w:p>
    <w:p w14:paraId="5829B99C">
      <w:pPr>
        <w:spacing w:before="96" w:beforeLines="40" w:after="96" w:afterLines="40" w:line="400" w:lineRule="exact"/>
        <w:ind w:firstLine="420" w:firstLineChars="200"/>
        <w:jc w:val="left"/>
      </w:pPr>
      <w:r>
        <w:rPr>
          <w:rFonts w:hint="eastAsia" w:ascii="宋体" w:hAnsi="宋体"/>
          <w:bCs/>
          <w:kern w:val="0"/>
          <w:szCs w:val="21"/>
        </w:rPr>
        <w:t>3、耗材有效期：验收合格后，配送产品距失效日期不得少于12个月。</w:t>
      </w:r>
    </w:p>
    <w:p w14:paraId="53D91CF8">
      <w:pPr>
        <w:pStyle w:val="6"/>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03DFFDD0">
      <w:pPr>
        <w:pStyle w:val="2"/>
        <w:widowControl/>
        <w:spacing w:before="0" w:after="0" w:line="360" w:lineRule="auto"/>
        <w:rPr>
          <w:rFonts w:hAnsi="宋体" w:eastAsia="仿宋"/>
          <w:sz w:val="24"/>
          <w:szCs w:val="24"/>
        </w:rPr>
      </w:pPr>
      <w:bookmarkStart w:id="848" w:name="_Toc24975"/>
      <w:bookmarkStart w:id="849" w:name="_Toc24893"/>
      <w:bookmarkStart w:id="850" w:name="_Toc30116"/>
      <w:bookmarkStart w:id="851" w:name="_Toc528829641"/>
      <w:bookmarkStart w:id="852" w:name="_Toc26691"/>
      <w:bookmarkStart w:id="853" w:name="_Toc445554765"/>
      <w:bookmarkStart w:id="854" w:name="_Toc466024564"/>
      <w:r>
        <w:rPr>
          <w:rFonts w:hint="eastAsia" w:hAnsi="宋体" w:eastAsia="仿宋"/>
          <w:sz w:val="24"/>
          <w:szCs w:val="24"/>
        </w:rPr>
        <w:t>附件：配送清单及规格参数</w:t>
      </w:r>
      <w:r>
        <w:rPr>
          <w:rFonts w:hint="eastAsia" w:hAnsi="宋体" w:eastAsia="仿宋"/>
          <w:sz w:val="28"/>
          <w:szCs w:val="28"/>
        </w:rPr>
        <w:t>（</w:t>
      </w:r>
      <w:r>
        <w:rPr>
          <w:rFonts w:ascii="宋体" w:hAnsi="宋体" w:cs="宋体"/>
          <w:kern w:val="0"/>
          <w:sz w:val="20"/>
          <w:szCs w:val="20"/>
          <w:lang w:bidi="ar"/>
        </w:rPr>
        <w:t>▲</w:t>
      </w:r>
      <w:r>
        <w:rPr>
          <w:rFonts w:hint="eastAsia" w:ascii="宋体" w:hAnsi="宋体" w:cs="宋体"/>
          <w:kern w:val="0"/>
          <w:sz w:val="20"/>
          <w:szCs w:val="20"/>
          <w:lang w:bidi="ar"/>
        </w:rPr>
        <w:t>为重要产品，★为需要提供样品的产品</w:t>
      </w:r>
      <w:r>
        <w:rPr>
          <w:rFonts w:hint="eastAsia" w:hAnsi="宋体" w:eastAsia="仿宋"/>
          <w:sz w:val="28"/>
          <w:szCs w:val="28"/>
        </w:rPr>
        <w:t>）</w:t>
      </w:r>
    </w:p>
    <w:p w14:paraId="2F01E597">
      <w:pPr>
        <w:spacing w:line="360" w:lineRule="auto"/>
        <w:rPr>
          <w:rFonts w:hAnsi="宋体" w:eastAsia="仿宋"/>
          <w:b/>
          <w:bCs/>
          <w:sz w:val="24"/>
        </w:rPr>
      </w:pPr>
      <w:r>
        <w:rPr>
          <w:rFonts w:hint="eastAsia" w:hAnsi="宋体" w:eastAsia="仿宋"/>
          <w:b/>
          <w:bCs/>
          <w:sz w:val="24"/>
        </w:rPr>
        <w:t>第1包：牙体材料1配送清单及规格参数：</w:t>
      </w:r>
    </w:p>
    <w:tbl>
      <w:tblPr>
        <w:tblStyle w:val="14"/>
        <w:tblW w:w="4998" w:type="pct"/>
        <w:tblInd w:w="0" w:type="dxa"/>
        <w:tblLayout w:type="autofit"/>
        <w:tblCellMar>
          <w:top w:w="0" w:type="dxa"/>
          <w:left w:w="108" w:type="dxa"/>
          <w:bottom w:w="0" w:type="dxa"/>
          <w:right w:w="108" w:type="dxa"/>
        </w:tblCellMar>
      </w:tblPr>
      <w:tblGrid>
        <w:gridCol w:w="1541"/>
        <w:gridCol w:w="2319"/>
        <w:gridCol w:w="3198"/>
        <w:gridCol w:w="1544"/>
        <w:gridCol w:w="1544"/>
        <w:gridCol w:w="1544"/>
        <w:gridCol w:w="1545"/>
        <w:gridCol w:w="1545"/>
      </w:tblGrid>
      <w:tr w14:paraId="2F91EA10">
        <w:tblPrEx>
          <w:tblCellMar>
            <w:top w:w="0" w:type="dxa"/>
            <w:left w:w="108" w:type="dxa"/>
            <w:bottom w:w="0" w:type="dxa"/>
            <w:right w:w="108" w:type="dxa"/>
          </w:tblCellMar>
        </w:tblPrEx>
        <w:trPr>
          <w:trHeight w:val="432"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63B1F1E">
            <w:pPr>
              <w:widowControl/>
              <w:jc w:val="center"/>
              <w:textAlignment w:val="center"/>
              <w:rPr>
                <w:rFonts w:ascii="宋体" w:hAnsi="宋体" w:cs="宋体"/>
                <w:b/>
                <w:bCs/>
                <w:sz w:val="18"/>
                <w:szCs w:val="18"/>
              </w:rPr>
            </w:pPr>
            <w:r>
              <w:rPr>
                <w:rFonts w:ascii="宋体" w:hAnsi="宋体" w:cs="宋体"/>
                <w:b/>
                <w:bCs/>
                <w:kern w:val="0"/>
                <w:sz w:val="18"/>
                <w:szCs w:val="18"/>
                <w:lang w:bidi="ar"/>
              </w:rPr>
              <w:t>类别</w:t>
            </w:r>
          </w:p>
        </w:tc>
        <w:tc>
          <w:tcPr>
            <w:tcW w:w="784"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48D8ABC">
            <w:pPr>
              <w:widowControl/>
              <w:jc w:val="center"/>
              <w:textAlignment w:val="center"/>
              <w:rPr>
                <w:rFonts w:ascii="宋体" w:hAnsi="宋体" w:cs="宋体"/>
                <w:b/>
                <w:bCs/>
                <w:sz w:val="18"/>
                <w:szCs w:val="18"/>
              </w:rPr>
            </w:pPr>
            <w:r>
              <w:rPr>
                <w:rFonts w:ascii="宋体" w:hAnsi="宋体" w:cs="宋体"/>
                <w:b/>
                <w:bCs/>
                <w:kern w:val="0"/>
                <w:sz w:val="18"/>
                <w:szCs w:val="18"/>
                <w:lang w:bidi="ar"/>
              </w:rPr>
              <w:t>品目号</w:t>
            </w:r>
          </w:p>
        </w:tc>
        <w:tc>
          <w:tcPr>
            <w:tcW w:w="1081"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DAE95B7">
            <w:pPr>
              <w:widowControl/>
              <w:jc w:val="center"/>
              <w:textAlignment w:val="center"/>
              <w:rPr>
                <w:rFonts w:ascii="宋体" w:hAnsi="宋体" w:cs="宋体"/>
                <w:b/>
                <w:bCs/>
                <w:sz w:val="18"/>
                <w:szCs w:val="18"/>
              </w:rPr>
            </w:pPr>
            <w:r>
              <w:rPr>
                <w:rFonts w:ascii="宋体" w:hAnsi="宋体" w:cs="宋体"/>
                <w:b/>
                <w:bCs/>
                <w:kern w:val="0"/>
                <w:sz w:val="18"/>
                <w:szCs w:val="18"/>
                <w:lang w:bidi="ar"/>
              </w:rPr>
              <w:t>招标产品名称</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428C6DC">
            <w:pPr>
              <w:widowControl/>
              <w:jc w:val="center"/>
              <w:textAlignment w:val="center"/>
              <w:rPr>
                <w:rFonts w:ascii="宋体" w:hAnsi="宋体" w:cs="宋体"/>
                <w:b/>
                <w:bCs/>
                <w:sz w:val="18"/>
                <w:szCs w:val="18"/>
              </w:rPr>
            </w:pPr>
            <w:r>
              <w:rPr>
                <w:rFonts w:ascii="宋体" w:hAnsi="宋体" w:cs="宋体"/>
                <w:b/>
                <w:bCs/>
                <w:kern w:val="0"/>
                <w:sz w:val="18"/>
                <w:szCs w:val="18"/>
                <w:lang w:bidi="ar"/>
              </w:rPr>
              <w:t>规格</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557BC5D">
            <w:pPr>
              <w:widowControl/>
              <w:jc w:val="center"/>
              <w:textAlignment w:val="center"/>
              <w:rPr>
                <w:rFonts w:ascii="宋体" w:hAnsi="宋体" w:cs="宋体"/>
                <w:b/>
                <w:bCs/>
                <w:sz w:val="18"/>
                <w:szCs w:val="18"/>
              </w:rPr>
            </w:pPr>
            <w:r>
              <w:rPr>
                <w:rFonts w:ascii="宋体" w:hAnsi="宋体" w:cs="宋体"/>
                <w:b/>
                <w:bCs/>
                <w:kern w:val="0"/>
                <w:sz w:val="18"/>
                <w:szCs w:val="18"/>
                <w:lang w:bidi="ar"/>
              </w:rPr>
              <w:t>产地</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AF07983">
            <w:pPr>
              <w:widowControl/>
              <w:jc w:val="center"/>
              <w:textAlignment w:val="center"/>
              <w:rPr>
                <w:rFonts w:ascii="宋体" w:hAnsi="宋体" w:cs="宋体"/>
                <w:b/>
                <w:bCs/>
                <w:sz w:val="18"/>
                <w:szCs w:val="18"/>
              </w:rPr>
            </w:pPr>
            <w:r>
              <w:rPr>
                <w:rFonts w:ascii="宋体" w:hAnsi="宋体" w:cs="宋体"/>
                <w:b/>
                <w:bCs/>
                <w:kern w:val="0"/>
                <w:sz w:val="18"/>
                <w:szCs w:val="18"/>
                <w:lang w:bidi="ar"/>
              </w:rPr>
              <w:t>单位</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5AEC7BC">
            <w:pPr>
              <w:widowControl/>
              <w:jc w:val="center"/>
              <w:textAlignment w:val="center"/>
              <w:rPr>
                <w:rFonts w:ascii="宋体" w:hAnsi="宋体" w:cs="宋体"/>
                <w:b/>
                <w:bCs/>
                <w:sz w:val="18"/>
                <w:szCs w:val="18"/>
              </w:rPr>
            </w:pPr>
            <w:r>
              <w:rPr>
                <w:rFonts w:ascii="宋体" w:hAnsi="宋体" w:cs="宋体"/>
                <w:b/>
                <w:bCs/>
                <w:kern w:val="0"/>
                <w:sz w:val="18"/>
                <w:szCs w:val="18"/>
                <w:lang w:bidi="ar"/>
              </w:rPr>
              <w:t>最高限价</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26E4EFF">
            <w:pPr>
              <w:widowControl/>
              <w:jc w:val="center"/>
              <w:textAlignment w:val="center"/>
              <w:rPr>
                <w:rFonts w:ascii="宋体" w:hAnsi="宋体" w:cs="宋体"/>
                <w:b/>
                <w:bCs/>
                <w:sz w:val="18"/>
                <w:szCs w:val="18"/>
              </w:rPr>
            </w:pPr>
            <w:r>
              <w:rPr>
                <w:rFonts w:ascii="宋体" w:hAnsi="宋体" w:cs="宋体"/>
                <w:b/>
                <w:bCs/>
                <w:kern w:val="0"/>
                <w:sz w:val="18"/>
                <w:szCs w:val="18"/>
                <w:lang w:bidi="ar"/>
              </w:rPr>
              <w:t>参考用量</w:t>
            </w:r>
          </w:p>
        </w:tc>
      </w:tr>
      <w:tr w14:paraId="00C7DD3A">
        <w:tblPrEx>
          <w:tblCellMar>
            <w:top w:w="0" w:type="dxa"/>
            <w:left w:w="108" w:type="dxa"/>
            <w:bottom w:w="0" w:type="dxa"/>
            <w:right w:w="108" w:type="dxa"/>
          </w:tblCellMar>
        </w:tblPrEx>
        <w:trPr>
          <w:trHeight w:val="432" w:hRule="atLeast"/>
        </w:trPr>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0C1C1">
            <w:pPr>
              <w:widowControl/>
              <w:jc w:val="center"/>
              <w:textAlignment w:val="center"/>
              <w:rPr>
                <w:rFonts w:ascii="宋体" w:hAnsi="宋体" w:cs="宋体"/>
                <w:sz w:val="18"/>
                <w:szCs w:val="18"/>
              </w:rPr>
            </w:pPr>
            <w:r>
              <w:rPr>
                <w:rFonts w:ascii="宋体" w:hAnsi="宋体" w:cs="宋体"/>
                <w:kern w:val="0"/>
                <w:sz w:val="18"/>
                <w:szCs w:val="18"/>
                <w:lang w:bidi="ar"/>
              </w:rPr>
              <w:t>牙体材料1</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0BE9">
            <w:pPr>
              <w:widowControl/>
              <w:jc w:val="center"/>
              <w:textAlignment w:val="center"/>
              <w:rPr>
                <w:rFonts w:ascii="宋体" w:hAnsi="宋体" w:cs="宋体"/>
                <w:sz w:val="18"/>
                <w:szCs w:val="18"/>
              </w:rPr>
            </w:pPr>
            <w:r>
              <w:rPr>
                <w:rFonts w:ascii="宋体" w:hAnsi="宋体" w:cs="宋体"/>
                <w:kern w:val="0"/>
                <w:sz w:val="18"/>
                <w:szCs w:val="18"/>
                <w:lang w:bidi="ar"/>
              </w:rPr>
              <w:t xml:space="preserve">1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9EB4">
            <w:pPr>
              <w:widowControl/>
              <w:jc w:val="center"/>
              <w:textAlignment w:val="center"/>
              <w:rPr>
                <w:rFonts w:ascii="宋体" w:hAnsi="宋体" w:cs="宋体"/>
                <w:sz w:val="18"/>
                <w:szCs w:val="18"/>
              </w:rPr>
            </w:pPr>
            <w:r>
              <w:rPr>
                <w:rFonts w:ascii="宋体" w:hAnsi="宋体" w:cs="宋体"/>
                <w:kern w:val="0"/>
                <w:sz w:val="18"/>
                <w:szCs w:val="18"/>
                <w:lang w:bidi="ar"/>
              </w:rPr>
              <w:t>根管消毒材料（氢氧化钙）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63FF">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9286">
            <w:pPr>
              <w:widowControl/>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562E">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8057">
            <w:pPr>
              <w:widowControl/>
              <w:jc w:val="center"/>
              <w:textAlignment w:val="center"/>
              <w:rPr>
                <w:rFonts w:ascii="宋体" w:hAnsi="宋体" w:cs="宋体"/>
                <w:sz w:val="18"/>
                <w:szCs w:val="18"/>
              </w:rPr>
            </w:pPr>
            <w:r>
              <w:rPr>
                <w:rFonts w:ascii="宋体" w:hAnsi="宋体" w:cs="宋体"/>
                <w:kern w:val="0"/>
                <w:sz w:val="18"/>
                <w:szCs w:val="18"/>
                <w:lang w:bidi="ar"/>
              </w:rPr>
              <w:t xml:space="preserve">150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81F7">
            <w:pPr>
              <w:widowControl/>
              <w:jc w:val="center"/>
              <w:textAlignment w:val="center"/>
              <w:rPr>
                <w:rFonts w:ascii="宋体" w:hAnsi="宋体" w:cs="宋体"/>
                <w:sz w:val="18"/>
                <w:szCs w:val="18"/>
              </w:rPr>
            </w:pPr>
            <w:r>
              <w:rPr>
                <w:rFonts w:ascii="宋体" w:hAnsi="宋体" w:cs="宋体"/>
                <w:kern w:val="0"/>
                <w:sz w:val="18"/>
                <w:szCs w:val="18"/>
                <w:lang w:bidi="ar"/>
              </w:rPr>
              <w:t xml:space="preserve">391 </w:t>
            </w:r>
          </w:p>
        </w:tc>
      </w:tr>
      <w:tr w14:paraId="02087AC9">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84152">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B612">
            <w:pPr>
              <w:widowControl/>
              <w:jc w:val="center"/>
              <w:textAlignment w:val="center"/>
              <w:rPr>
                <w:rFonts w:ascii="宋体" w:hAnsi="宋体" w:cs="宋体"/>
                <w:sz w:val="18"/>
                <w:szCs w:val="18"/>
              </w:rPr>
            </w:pPr>
            <w:r>
              <w:rPr>
                <w:rFonts w:ascii="宋体" w:hAnsi="宋体" w:cs="宋体"/>
                <w:kern w:val="0"/>
                <w:sz w:val="18"/>
                <w:szCs w:val="18"/>
                <w:lang w:bidi="ar"/>
              </w:rPr>
              <w:t xml:space="preserve">2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E649">
            <w:pPr>
              <w:widowControl/>
              <w:jc w:val="center"/>
              <w:textAlignment w:val="center"/>
              <w:rPr>
                <w:rFonts w:ascii="宋体" w:hAnsi="宋体" w:cs="宋体"/>
                <w:sz w:val="18"/>
                <w:szCs w:val="18"/>
              </w:rPr>
            </w:pPr>
            <w:r>
              <w:rPr>
                <w:rFonts w:ascii="宋体" w:hAnsi="宋体" w:cs="宋体"/>
                <w:kern w:val="0"/>
                <w:sz w:val="18"/>
                <w:szCs w:val="18"/>
                <w:lang w:bidi="ar"/>
              </w:rPr>
              <w:t>根管生物修复材料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F732">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95B8">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7F34">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86A9">
            <w:pPr>
              <w:widowControl/>
              <w:jc w:val="center"/>
              <w:textAlignment w:val="center"/>
              <w:rPr>
                <w:rFonts w:ascii="宋体" w:hAnsi="宋体" w:cs="宋体"/>
                <w:sz w:val="18"/>
                <w:szCs w:val="18"/>
              </w:rPr>
            </w:pPr>
            <w:r>
              <w:rPr>
                <w:rFonts w:ascii="宋体" w:hAnsi="宋体" w:cs="宋体"/>
                <w:kern w:val="0"/>
                <w:sz w:val="18"/>
                <w:szCs w:val="18"/>
                <w:lang w:bidi="ar"/>
              </w:rPr>
              <w:t xml:space="preserve">960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7BED">
            <w:pPr>
              <w:widowControl/>
              <w:jc w:val="center"/>
              <w:textAlignment w:val="center"/>
              <w:rPr>
                <w:rFonts w:ascii="宋体" w:hAnsi="宋体" w:cs="宋体"/>
                <w:sz w:val="18"/>
                <w:szCs w:val="18"/>
              </w:rPr>
            </w:pPr>
            <w:r>
              <w:rPr>
                <w:rFonts w:ascii="宋体" w:hAnsi="宋体" w:cs="宋体"/>
                <w:kern w:val="0"/>
                <w:sz w:val="18"/>
                <w:szCs w:val="18"/>
                <w:lang w:bidi="ar"/>
              </w:rPr>
              <w:t xml:space="preserve">304 </w:t>
            </w:r>
          </w:p>
        </w:tc>
      </w:tr>
      <w:tr w14:paraId="69A95FE3">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8CF0">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ADFA">
            <w:pPr>
              <w:widowControl/>
              <w:jc w:val="center"/>
              <w:textAlignment w:val="center"/>
              <w:rPr>
                <w:rFonts w:ascii="宋体" w:hAnsi="宋体" w:cs="宋体"/>
                <w:sz w:val="18"/>
                <w:szCs w:val="18"/>
              </w:rPr>
            </w:pPr>
            <w:r>
              <w:rPr>
                <w:rFonts w:ascii="宋体" w:hAnsi="宋体" w:cs="宋体"/>
                <w:kern w:val="0"/>
                <w:sz w:val="18"/>
                <w:szCs w:val="18"/>
                <w:lang w:bidi="ar"/>
              </w:rPr>
              <w:t xml:space="preserve">3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AE33">
            <w:pPr>
              <w:widowControl/>
              <w:jc w:val="center"/>
              <w:textAlignment w:val="center"/>
              <w:rPr>
                <w:rFonts w:ascii="宋体" w:hAnsi="宋体" w:cs="宋体"/>
                <w:sz w:val="18"/>
                <w:szCs w:val="18"/>
              </w:rPr>
            </w:pPr>
            <w:r>
              <w:rPr>
                <w:rFonts w:ascii="宋体" w:hAnsi="宋体" w:cs="宋体"/>
                <w:kern w:val="0"/>
                <w:sz w:val="18"/>
                <w:szCs w:val="18"/>
                <w:lang w:bidi="ar"/>
              </w:rPr>
              <w:t>垫底材料（氢氧化钙）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BDA6">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5452">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A738">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216D">
            <w:pPr>
              <w:widowControl/>
              <w:jc w:val="center"/>
              <w:textAlignment w:val="center"/>
              <w:rPr>
                <w:rFonts w:ascii="宋体" w:hAnsi="宋体" w:cs="宋体"/>
                <w:sz w:val="18"/>
                <w:szCs w:val="18"/>
              </w:rPr>
            </w:pPr>
            <w:r>
              <w:rPr>
                <w:rFonts w:ascii="宋体" w:hAnsi="宋体" w:cs="宋体"/>
                <w:kern w:val="0"/>
                <w:sz w:val="18"/>
                <w:szCs w:val="18"/>
                <w:lang w:bidi="ar"/>
              </w:rPr>
              <w:t xml:space="preserve">220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E65E">
            <w:pPr>
              <w:widowControl/>
              <w:jc w:val="center"/>
              <w:textAlignment w:val="center"/>
              <w:rPr>
                <w:rFonts w:ascii="宋体" w:hAnsi="宋体" w:cs="宋体"/>
                <w:sz w:val="18"/>
                <w:szCs w:val="18"/>
              </w:rPr>
            </w:pPr>
            <w:r>
              <w:rPr>
                <w:rFonts w:ascii="宋体" w:hAnsi="宋体" w:cs="宋体"/>
                <w:kern w:val="0"/>
                <w:sz w:val="18"/>
                <w:szCs w:val="18"/>
                <w:lang w:bidi="ar"/>
              </w:rPr>
              <w:t xml:space="preserve">33 </w:t>
            </w:r>
          </w:p>
        </w:tc>
      </w:tr>
      <w:tr w14:paraId="3A8A8E4C">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1E28">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CDDC">
            <w:pPr>
              <w:widowControl/>
              <w:jc w:val="center"/>
              <w:textAlignment w:val="center"/>
              <w:rPr>
                <w:rFonts w:ascii="宋体" w:hAnsi="宋体" w:cs="宋体"/>
                <w:sz w:val="18"/>
                <w:szCs w:val="18"/>
              </w:rPr>
            </w:pPr>
            <w:r>
              <w:rPr>
                <w:rFonts w:ascii="宋体" w:hAnsi="宋体" w:cs="宋体"/>
                <w:kern w:val="0"/>
                <w:sz w:val="18"/>
                <w:szCs w:val="18"/>
                <w:lang w:bidi="ar"/>
              </w:rPr>
              <w:t xml:space="preserve">4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4FBC">
            <w:pPr>
              <w:widowControl/>
              <w:jc w:val="center"/>
              <w:textAlignment w:val="center"/>
              <w:rPr>
                <w:rFonts w:ascii="宋体" w:hAnsi="宋体" w:cs="宋体"/>
                <w:sz w:val="18"/>
                <w:szCs w:val="18"/>
              </w:rPr>
            </w:pPr>
            <w:r>
              <w:rPr>
                <w:rFonts w:ascii="宋体" w:hAnsi="宋体" w:cs="宋体"/>
                <w:kern w:val="0"/>
                <w:sz w:val="18"/>
                <w:szCs w:val="18"/>
                <w:lang w:bidi="ar"/>
              </w:rPr>
              <w:t>暂封性根管充填材料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2FDB">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5FB7">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6564">
            <w:pPr>
              <w:widowControl/>
              <w:jc w:val="center"/>
              <w:textAlignment w:val="center"/>
              <w:rPr>
                <w:rFonts w:ascii="宋体" w:hAnsi="宋体" w:cs="宋体"/>
                <w:sz w:val="18"/>
                <w:szCs w:val="18"/>
              </w:rPr>
            </w:pPr>
            <w:r>
              <w:rPr>
                <w:rFonts w:ascii="宋体" w:hAnsi="宋体" w:cs="宋体"/>
                <w:kern w:val="0"/>
                <w:sz w:val="18"/>
                <w:szCs w:val="18"/>
                <w:lang w:bidi="ar"/>
              </w:rPr>
              <w:t>盒</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BFFD">
            <w:pPr>
              <w:widowControl/>
              <w:jc w:val="center"/>
              <w:textAlignment w:val="center"/>
              <w:rPr>
                <w:rFonts w:ascii="宋体" w:hAnsi="宋体" w:cs="宋体"/>
                <w:sz w:val="18"/>
                <w:szCs w:val="18"/>
              </w:rPr>
            </w:pPr>
            <w:r>
              <w:rPr>
                <w:rFonts w:ascii="宋体" w:hAnsi="宋体" w:cs="宋体"/>
                <w:kern w:val="0"/>
                <w:sz w:val="18"/>
                <w:szCs w:val="18"/>
                <w:lang w:bidi="ar"/>
              </w:rPr>
              <w:t xml:space="preserve">150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3B99">
            <w:pPr>
              <w:widowControl/>
              <w:jc w:val="center"/>
              <w:textAlignment w:val="center"/>
              <w:rPr>
                <w:rFonts w:ascii="宋体" w:hAnsi="宋体" w:cs="宋体"/>
                <w:sz w:val="18"/>
                <w:szCs w:val="18"/>
              </w:rPr>
            </w:pPr>
            <w:r>
              <w:rPr>
                <w:rFonts w:ascii="宋体" w:hAnsi="宋体" w:cs="宋体"/>
                <w:kern w:val="0"/>
                <w:sz w:val="18"/>
                <w:szCs w:val="18"/>
                <w:lang w:bidi="ar"/>
              </w:rPr>
              <w:t xml:space="preserve">80 </w:t>
            </w:r>
          </w:p>
        </w:tc>
      </w:tr>
      <w:tr w14:paraId="7A22D574">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067E">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2C71">
            <w:pPr>
              <w:widowControl/>
              <w:jc w:val="center"/>
              <w:textAlignment w:val="center"/>
              <w:rPr>
                <w:rFonts w:ascii="宋体" w:hAnsi="宋体" w:cs="宋体"/>
                <w:sz w:val="18"/>
                <w:szCs w:val="18"/>
              </w:rPr>
            </w:pPr>
            <w:r>
              <w:rPr>
                <w:rFonts w:ascii="宋体" w:hAnsi="宋体" w:cs="宋体"/>
                <w:kern w:val="0"/>
                <w:sz w:val="18"/>
                <w:szCs w:val="18"/>
                <w:lang w:bidi="ar"/>
              </w:rPr>
              <w:t xml:space="preserve">5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1A1A">
            <w:pPr>
              <w:widowControl/>
              <w:jc w:val="center"/>
              <w:textAlignment w:val="center"/>
              <w:rPr>
                <w:rFonts w:ascii="宋体" w:hAnsi="宋体" w:cs="宋体"/>
                <w:sz w:val="18"/>
                <w:szCs w:val="18"/>
              </w:rPr>
            </w:pPr>
            <w:r>
              <w:rPr>
                <w:rFonts w:ascii="宋体" w:hAnsi="宋体" w:cs="宋体"/>
                <w:kern w:val="0"/>
                <w:sz w:val="18"/>
                <w:szCs w:val="18"/>
                <w:lang w:bidi="ar"/>
              </w:rPr>
              <w:t>垫底材料（光固化）</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F74E">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ADD5">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2601">
            <w:pPr>
              <w:widowControl/>
              <w:jc w:val="center"/>
              <w:textAlignment w:val="center"/>
              <w:rPr>
                <w:rFonts w:ascii="宋体" w:hAnsi="宋体" w:cs="宋体"/>
                <w:sz w:val="18"/>
                <w:szCs w:val="18"/>
              </w:rPr>
            </w:pPr>
            <w:r>
              <w:rPr>
                <w:rFonts w:ascii="宋体" w:hAnsi="宋体" w:cs="宋体"/>
                <w:kern w:val="0"/>
                <w:sz w:val="18"/>
                <w:szCs w:val="18"/>
                <w:lang w:bidi="ar"/>
              </w:rPr>
              <w:t>盒</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8436">
            <w:pPr>
              <w:widowControl/>
              <w:jc w:val="center"/>
              <w:textAlignment w:val="center"/>
              <w:rPr>
                <w:rFonts w:ascii="宋体" w:hAnsi="宋体" w:cs="宋体"/>
                <w:sz w:val="18"/>
                <w:szCs w:val="18"/>
              </w:rPr>
            </w:pPr>
            <w:r>
              <w:rPr>
                <w:rFonts w:ascii="宋体" w:hAnsi="宋体" w:cs="宋体"/>
                <w:kern w:val="0"/>
                <w:sz w:val="18"/>
                <w:szCs w:val="18"/>
                <w:lang w:bidi="ar"/>
              </w:rPr>
              <w:t xml:space="preserve">350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5798">
            <w:pPr>
              <w:widowControl/>
              <w:jc w:val="center"/>
              <w:textAlignment w:val="center"/>
              <w:rPr>
                <w:rFonts w:ascii="宋体" w:hAnsi="宋体" w:cs="宋体"/>
                <w:sz w:val="18"/>
                <w:szCs w:val="18"/>
              </w:rPr>
            </w:pPr>
            <w:r>
              <w:rPr>
                <w:rFonts w:ascii="宋体" w:hAnsi="宋体" w:cs="宋体"/>
                <w:kern w:val="0"/>
                <w:sz w:val="18"/>
                <w:szCs w:val="18"/>
                <w:lang w:bidi="ar"/>
              </w:rPr>
              <w:t xml:space="preserve">107 </w:t>
            </w:r>
          </w:p>
        </w:tc>
      </w:tr>
      <w:tr w14:paraId="1FA6E1C1">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FCECB">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FF5C">
            <w:pPr>
              <w:widowControl/>
              <w:jc w:val="center"/>
              <w:textAlignment w:val="center"/>
              <w:rPr>
                <w:rFonts w:ascii="宋体" w:hAnsi="宋体" w:cs="宋体"/>
                <w:sz w:val="18"/>
                <w:szCs w:val="18"/>
              </w:rPr>
            </w:pPr>
            <w:r>
              <w:rPr>
                <w:rFonts w:ascii="宋体" w:hAnsi="宋体" w:cs="宋体"/>
                <w:kern w:val="0"/>
                <w:sz w:val="18"/>
                <w:szCs w:val="18"/>
                <w:lang w:bidi="ar"/>
              </w:rPr>
              <w:t>▲6</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AC77">
            <w:pPr>
              <w:widowControl/>
              <w:jc w:val="center"/>
              <w:textAlignment w:val="center"/>
              <w:rPr>
                <w:rFonts w:ascii="宋体" w:hAnsi="宋体" w:cs="宋体"/>
                <w:sz w:val="18"/>
                <w:szCs w:val="18"/>
              </w:rPr>
            </w:pPr>
            <w:r>
              <w:rPr>
                <w:rFonts w:ascii="宋体" w:hAnsi="宋体" w:cs="宋体"/>
                <w:kern w:val="0"/>
                <w:sz w:val="18"/>
                <w:szCs w:val="18"/>
                <w:lang w:bidi="ar"/>
              </w:rPr>
              <w:t>★生物陶瓷根管修复材料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02E8">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CEA">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90A1">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6353">
            <w:pPr>
              <w:widowControl/>
              <w:jc w:val="center"/>
              <w:textAlignment w:val="center"/>
              <w:rPr>
                <w:rFonts w:ascii="宋体" w:hAnsi="宋体" w:cs="宋体"/>
                <w:sz w:val="18"/>
                <w:szCs w:val="18"/>
              </w:rPr>
            </w:pPr>
            <w:r>
              <w:rPr>
                <w:rFonts w:ascii="宋体" w:hAnsi="宋体" w:cs="宋体"/>
                <w:kern w:val="0"/>
                <w:sz w:val="18"/>
                <w:szCs w:val="18"/>
                <w:lang w:bidi="ar"/>
              </w:rPr>
              <w:t xml:space="preserve">1100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EEA5">
            <w:pPr>
              <w:widowControl/>
              <w:jc w:val="center"/>
              <w:textAlignment w:val="center"/>
              <w:rPr>
                <w:rFonts w:ascii="宋体" w:hAnsi="宋体" w:cs="宋体"/>
                <w:sz w:val="18"/>
                <w:szCs w:val="18"/>
              </w:rPr>
            </w:pPr>
            <w:r>
              <w:rPr>
                <w:rFonts w:ascii="宋体" w:hAnsi="宋体" w:cs="宋体"/>
                <w:kern w:val="0"/>
                <w:sz w:val="18"/>
                <w:szCs w:val="18"/>
                <w:lang w:bidi="ar"/>
              </w:rPr>
              <w:t xml:space="preserve">443 </w:t>
            </w:r>
          </w:p>
        </w:tc>
      </w:tr>
      <w:tr w14:paraId="19A1DDB5">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17F9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A4F1">
            <w:pPr>
              <w:widowControl/>
              <w:jc w:val="center"/>
              <w:textAlignment w:val="center"/>
              <w:rPr>
                <w:rFonts w:ascii="宋体" w:hAnsi="宋体" w:cs="宋体"/>
                <w:sz w:val="18"/>
                <w:szCs w:val="18"/>
              </w:rPr>
            </w:pPr>
            <w:r>
              <w:rPr>
                <w:rFonts w:ascii="宋体" w:hAnsi="宋体" w:cs="宋体"/>
                <w:kern w:val="0"/>
                <w:sz w:val="18"/>
                <w:szCs w:val="18"/>
                <w:lang w:bidi="ar"/>
              </w:rPr>
              <w:t>▲7</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436D">
            <w:pPr>
              <w:widowControl/>
              <w:jc w:val="center"/>
              <w:textAlignment w:val="center"/>
              <w:rPr>
                <w:rFonts w:ascii="宋体" w:hAnsi="宋体" w:cs="宋体"/>
                <w:sz w:val="18"/>
                <w:szCs w:val="18"/>
              </w:rPr>
            </w:pPr>
            <w:r>
              <w:rPr>
                <w:rFonts w:ascii="宋体" w:hAnsi="宋体" w:cs="宋体"/>
                <w:kern w:val="0"/>
                <w:sz w:val="18"/>
                <w:szCs w:val="18"/>
                <w:lang w:bidi="ar"/>
              </w:rPr>
              <w:t>★通用粘接剂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8E2F">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40DF">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4AC0">
            <w:pPr>
              <w:widowControl/>
              <w:jc w:val="center"/>
              <w:textAlignment w:val="center"/>
              <w:rPr>
                <w:rFonts w:ascii="宋体" w:hAnsi="宋体" w:cs="宋体"/>
                <w:sz w:val="18"/>
                <w:szCs w:val="18"/>
              </w:rPr>
            </w:pPr>
            <w:r>
              <w:rPr>
                <w:rFonts w:ascii="宋体" w:hAnsi="宋体" w:cs="宋体"/>
                <w:kern w:val="0"/>
                <w:sz w:val="18"/>
                <w:szCs w:val="18"/>
                <w:lang w:bidi="ar"/>
              </w:rPr>
              <w:t>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A840">
            <w:pPr>
              <w:widowControl/>
              <w:jc w:val="center"/>
              <w:textAlignment w:val="center"/>
              <w:rPr>
                <w:rFonts w:ascii="宋体" w:hAnsi="宋体" w:cs="宋体"/>
                <w:sz w:val="18"/>
                <w:szCs w:val="18"/>
              </w:rPr>
            </w:pPr>
            <w:r>
              <w:rPr>
                <w:rFonts w:ascii="宋体" w:hAnsi="宋体" w:cs="宋体"/>
                <w:kern w:val="0"/>
                <w:sz w:val="18"/>
                <w:szCs w:val="18"/>
                <w:lang w:bidi="ar"/>
              </w:rPr>
              <w:t xml:space="preserve">460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4278">
            <w:pPr>
              <w:widowControl/>
              <w:jc w:val="center"/>
              <w:textAlignment w:val="center"/>
              <w:rPr>
                <w:rFonts w:ascii="宋体" w:hAnsi="宋体" w:cs="宋体"/>
                <w:sz w:val="18"/>
                <w:szCs w:val="18"/>
              </w:rPr>
            </w:pPr>
            <w:r>
              <w:rPr>
                <w:rFonts w:ascii="宋体" w:hAnsi="宋体" w:cs="宋体"/>
                <w:kern w:val="0"/>
                <w:sz w:val="18"/>
                <w:szCs w:val="18"/>
                <w:lang w:bidi="ar"/>
              </w:rPr>
              <w:t xml:space="preserve">26 </w:t>
            </w:r>
          </w:p>
        </w:tc>
      </w:tr>
      <w:tr w14:paraId="01221538">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721C2">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512E">
            <w:pPr>
              <w:widowControl/>
              <w:jc w:val="center"/>
              <w:textAlignment w:val="center"/>
              <w:rPr>
                <w:rFonts w:ascii="宋体" w:hAnsi="宋体" w:cs="宋体"/>
                <w:sz w:val="18"/>
                <w:szCs w:val="18"/>
              </w:rPr>
            </w:pPr>
            <w:r>
              <w:rPr>
                <w:rFonts w:ascii="宋体" w:hAnsi="宋体" w:cs="宋体"/>
                <w:kern w:val="0"/>
                <w:sz w:val="18"/>
                <w:szCs w:val="18"/>
                <w:lang w:bidi="ar"/>
              </w:rPr>
              <w:t xml:space="preserve">8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D326">
            <w:pPr>
              <w:widowControl/>
              <w:jc w:val="center"/>
              <w:textAlignment w:val="center"/>
              <w:rPr>
                <w:rFonts w:ascii="宋体" w:hAnsi="宋体" w:cs="宋体"/>
                <w:sz w:val="18"/>
                <w:szCs w:val="18"/>
              </w:rPr>
            </w:pPr>
            <w:r>
              <w:rPr>
                <w:rFonts w:ascii="宋体" w:hAnsi="宋体" w:cs="宋体"/>
                <w:kern w:val="0"/>
                <w:sz w:val="18"/>
                <w:szCs w:val="18"/>
                <w:lang w:bidi="ar"/>
              </w:rPr>
              <w:t>暂封材料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7572">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7632">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1142">
            <w:pPr>
              <w:widowControl/>
              <w:jc w:val="center"/>
              <w:textAlignment w:val="center"/>
              <w:rPr>
                <w:rFonts w:ascii="宋体" w:hAnsi="宋体" w:cs="宋体"/>
                <w:sz w:val="18"/>
                <w:szCs w:val="18"/>
              </w:rPr>
            </w:pPr>
            <w:r>
              <w:rPr>
                <w:rFonts w:ascii="宋体" w:hAnsi="宋体" w:cs="宋体"/>
                <w:kern w:val="0"/>
                <w:sz w:val="18"/>
                <w:szCs w:val="18"/>
                <w:lang w:bidi="ar"/>
              </w:rPr>
              <w:t>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869E">
            <w:pPr>
              <w:widowControl/>
              <w:jc w:val="center"/>
              <w:textAlignment w:val="center"/>
              <w:rPr>
                <w:rFonts w:ascii="宋体" w:hAnsi="宋体" w:cs="宋体"/>
                <w:sz w:val="18"/>
                <w:szCs w:val="18"/>
              </w:rPr>
            </w:pPr>
            <w:r>
              <w:rPr>
                <w:rFonts w:ascii="宋体" w:hAnsi="宋体" w:cs="宋体"/>
                <w:kern w:val="0"/>
                <w:sz w:val="18"/>
                <w:szCs w:val="18"/>
                <w:lang w:bidi="ar"/>
              </w:rPr>
              <w:t xml:space="preserve">85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75C9">
            <w:pPr>
              <w:widowControl/>
              <w:jc w:val="center"/>
              <w:textAlignment w:val="center"/>
              <w:rPr>
                <w:rFonts w:ascii="宋体" w:hAnsi="宋体" w:cs="宋体"/>
                <w:sz w:val="18"/>
                <w:szCs w:val="18"/>
              </w:rPr>
            </w:pPr>
            <w:r>
              <w:rPr>
                <w:rFonts w:ascii="宋体" w:hAnsi="宋体" w:cs="宋体"/>
                <w:kern w:val="0"/>
                <w:sz w:val="18"/>
                <w:szCs w:val="18"/>
                <w:lang w:bidi="ar"/>
              </w:rPr>
              <w:t xml:space="preserve">267 </w:t>
            </w:r>
          </w:p>
        </w:tc>
      </w:tr>
      <w:tr w14:paraId="7C25FF66">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8C97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AA85">
            <w:pPr>
              <w:widowControl/>
              <w:jc w:val="center"/>
              <w:textAlignment w:val="center"/>
              <w:rPr>
                <w:rFonts w:ascii="宋体" w:hAnsi="宋体" w:cs="宋体"/>
                <w:sz w:val="18"/>
                <w:szCs w:val="18"/>
              </w:rPr>
            </w:pPr>
            <w:r>
              <w:rPr>
                <w:rFonts w:ascii="宋体" w:hAnsi="宋体" w:cs="宋体"/>
                <w:kern w:val="0"/>
                <w:sz w:val="18"/>
                <w:szCs w:val="18"/>
                <w:lang w:bidi="ar"/>
              </w:rPr>
              <w:t>▲9</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BBA7">
            <w:pPr>
              <w:widowControl/>
              <w:jc w:val="center"/>
              <w:textAlignment w:val="center"/>
              <w:rPr>
                <w:rFonts w:ascii="宋体" w:hAnsi="宋体" w:cs="宋体"/>
                <w:sz w:val="18"/>
                <w:szCs w:val="18"/>
              </w:rPr>
            </w:pPr>
            <w:r>
              <w:rPr>
                <w:rFonts w:ascii="宋体" w:hAnsi="宋体" w:cs="宋体"/>
                <w:kern w:val="0"/>
                <w:sz w:val="18"/>
                <w:szCs w:val="18"/>
                <w:lang w:bidi="ar"/>
              </w:rPr>
              <w:t>★注射型氢氧化钙根管充填材料</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1679">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CA64">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014B">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350E">
            <w:pPr>
              <w:widowControl/>
              <w:jc w:val="center"/>
              <w:textAlignment w:val="center"/>
              <w:rPr>
                <w:rFonts w:ascii="宋体" w:hAnsi="宋体" w:cs="宋体"/>
                <w:sz w:val="18"/>
                <w:szCs w:val="18"/>
              </w:rPr>
            </w:pPr>
            <w:r>
              <w:rPr>
                <w:rFonts w:ascii="宋体" w:hAnsi="宋体" w:cs="宋体"/>
                <w:kern w:val="0"/>
                <w:sz w:val="18"/>
                <w:szCs w:val="18"/>
                <w:lang w:bidi="ar"/>
              </w:rPr>
              <w:t xml:space="preserve">240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7A44">
            <w:pPr>
              <w:widowControl/>
              <w:jc w:val="center"/>
              <w:textAlignment w:val="center"/>
              <w:rPr>
                <w:rFonts w:ascii="宋体" w:hAnsi="宋体" w:cs="宋体"/>
                <w:sz w:val="18"/>
                <w:szCs w:val="18"/>
              </w:rPr>
            </w:pPr>
            <w:r>
              <w:rPr>
                <w:rFonts w:ascii="宋体" w:hAnsi="宋体" w:cs="宋体"/>
                <w:kern w:val="0"/>
                <w:sz w:val="18"/>
                <w:szCs w:val="18"/>
                <w:lang w:bidi="ar"/>
              </w:rPr>
              <w:t xml:space="preserve">8 </w:t>
            </w:r>
          </w:p>
        </w:tc>
      </w:tr>
      <w:tr w14:paraId="368ACE81">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A353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AABB">
            <w:pPr>
              <w:widowControl/>
              <w:jc w:val="center"/>
              <w:textAlignment w:val="center"/>
              <w:rPr>
                <w:rFonts w:ascii="宋体" w:hAnsi="宋体" w:cs="宋体"/>
                <w:sz w:val="18"/>
                <w:szCs w:val="18"/>
              </w:rPr>
            </w:pPr>
            <w:r>
              <w:rPr>
                <w:rFonts w:ascii="宋体" w:hAnsi="宋体" w:cs="宋体"/>
                <w:kern w:val="0"/>
                <w:sz w:val="18"/>
                <w:szCs w:val="18"/>
                <w:lang w:bidi="ar"/>
              </w:rPr>
              <w:t xml:space="preserve">10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14B7">
            <w:pPr>
              <w:widowControl/>
              <w:jc w:val="center"/>
              <w:textAlignment w:val="center"/>
              <w:rPr>
                <w:rFonts w:ascii="宋体" w:hAnsi="宋体" w:cs="宋体"/>
                <w:sz w:val="18"/>
                <w:szCs w:val="18"/>
              </w:rPr>
            </w:pPr>
            <w:r>
              <w:rPr>
                <w:rFonts w:ascii="宋体" w:hAnsi="宋体" w:cs="宋体"/>
                <w:kern w:val="0"/>
                <w:sz w:val="18"/>
                <w:szCs w:val="18"/>
                <w:lang w:bidi="ar"/>
              </w:rPr>
              <w:t>根管润滑剂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B7E3">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0F63">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33E3">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E20D">
            <w:pPr>
              <w:widowControl/>
              <w:jc w:val="center"/>
              <w:textAlignment w:val="center"/>
              <w:rPr>
                <w:rFonts w:ascii="宋体" w:hAnsi="宋体" w:cs="宋体"/>
                <w:sz w:val="18"/>
                <w:szCs w:val="18"/>
              </w:rPr>
            </w:pPr>
            <w:r>
              <w:rPr>
                <w:rFonts w:ascii="宋体" w:hAnsi="宋体" w:cs="宋体"/>
                <w:kern w:val="0"/>
                <w:sz w:val="18"/>
                <w:szCs w:val="18"/>
                <w:lang w:bidi="ar"/>
              </w:rPr>
              <w:t xml:space="preserve">70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7DD3">
            <w:pPr>
              <w:widowControl/>
              <w:jc w:val="center"/>
              <w:textAlignment w:val="center"/>
              <w:rPr>
                <w:rFonts w:ascii="宋体" w:hAnsi="宋体" w:cs="宋体"/>
                <w:sz w:val="18"/>
                <w:szCs w:val="18"/>
              </w:rPr>
            </w:pPr>
            <w:r>
              <w:rPr>
                <w:rFonts w:ascii="宋体" w:hAnsi="宋体" w:cs="宋体"/>
                <w:kern w:val="0"/>
                <w:sz w:val="18"/>
                <w:szCs w:val="18"/>
                <w:lang w:bidi="ar"/>
              </w:rPr>
              <w:t xml:space="preserve">145 </w:t>
            </w:r>
          </w:p>
        </w:tc>
      </w:tr>
      <w:tr w14:paraId="26BD62AF">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3C759">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2B79">
            <w:pPr>
              <w:widowControl/>
              <w:jc w:val="center"/>
              <w:textAlignment w:val="center"/>
              <w:rPr>
                <w:rFonts w:ascii="宋体" w:hAnsi="宋体" w:cs="宋体"/>
                <w:sz w:val="18"/>
                <w:szCs w:val="18"/>
              </w:rPr>
            </w:pPr>
            <w:r>
              <w:rPr>
                <w:rFonts w:ascii="宋体" w:hAnsi="宋体" w:cs="宋体"/>
                <w:kern w:val="0"/>
                <w:sz w:val="18"/>
                <w:szCs w:val="18"/>
                <w:lang w:bidi="ar"/>
              </w:rPr>
              <w:t xml:space="preserve">11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AD6D">
            <w:pPr>
              <w:widowControl/>
              <w:jc w:val="center"/>
              <w:textAlignment w:val="center"/>
              <w:rPr>
                <w:rFonts w:ascii="宋体" w:hAnsi="宋体" w:cs="宋体"/>
                <w:sz w:val="18"/>
                <w:szCs w:val="18"/>
              </w:rPr>
            </w:pPr>
            <w:r>
              <w:rPr>
                <w:rFonts w:ascii="宋体" w:hAnsi="宋体" w:cs="宋体"/>
                <w:kern w:val="0"/>
                <w:sz w:val="18"/>
                <w:szCs w:val="18"/>
                <w:lang w:bidi="ar"/>
              </w:rPr>
              <w:t>树脂抛光套装</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0955">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DD62">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9236">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8D96">
            <w:pPr>
              <w:widowControl/>
              <w:jc w:val="center"/>
              <w:textAlignment w:val="center"/>
              <w:rPr>
                <w:rFonts w:ascii="宋体" w:hAnsi="宋体" w:cs="宋体"/>
                <w:sz w:val="18"/>
                <w:szCs w:val="18"/>
              </w:rPr>
            </w:pPr>
            <w:r>
              <w:rPr>
                <w:rFonts w:ascii="宋体" w:hAnsi="宋体" w:cs="宋体"/>
                <w:kern w:val="0"/>
                <w:sz w:val="18"/>
                <w:szCs w:val="18"/>
                <w:lang w:bidi="ar"/>
              </w:rPr>
              <w:t xml:space="preserve">110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9B0D">
            <w:pPr>
              <w:widowControl/>
              <w:jc w:val="center"/>
              <w:textAlignment w:val="center"/>
              <w:rPr>
                <w:rFonts w:ascii="宋体" w:hAnsi="宋体" w:cs="宋体"/>
                <w:sz w:val="18"/>
                <w:szCs w:val="18"/>
              </w:rPr>
            </w:pPr>
            <w:r>
              <w:rPr>
                <w:rFonts w:ascii="宋体" w:hAnsi="宋体" w:cs="宋体"/>
                <w:kern w:val="0"/>
                <w:sz w:val="18"/>
                <w:szCs w:val="18"/>
                <w:lang w:bidi="ar"/>
              </w:rPr>
              <w:t xml:space="preserve">3 </w:t>
            </w:r>
          </w:p>
        </w:tc>
      </w:tr>
    </w:tbl>
    <w:p w14:paraId="3D1D025A">
      <w:pPr>
        <w:spacing w:line="360" w:lineRule="auto"/>
        <w:rPr>
          <w:rFonts w:hAnsi="宋体" w:eastAsia="仿宋"/>
          <w:b/>
          <w:bCs/>
          <w:sz w:val="24"/>
        </w:rPr>
      </w:pPr>
      <w:r>
        <w:rPr>
          <w:rFonts w:hint="eastAsia" w:hAnsi="宋体" w:eastAsia="仿宋"/>
          <w:b/>
          <w:bCs/>
          <w:sz w:val="24"/>
        </w:rPr>
        <w:t>第2包：牙体材料4配送清单及规格参数：</w:t>
      </w:r>
    </w:p>
    <w:tbl>
      <w:tblPr>
        <w:tblStyle w:val="14"/>
        <w:tblW w:w="4998" w:type="pct"/>
        <w:tblInd w:w="0" w:type="dxa"/>
        <w:tblLayout w:type="autofit"/>
        <w:tblCellMar>
          <w:top w:w="0" w:type="dxa"/>
          <w:left w:w="108" w:type="dxa"/>
          <w:bottom w:w="0" w:type="dxa"/>
          <w:right w:w="108" w:type="dxa"/>
        </w:tblCellMar>
      </w:tblPr>
      <w:tblGrid>
        <w:gridCol w:w="1541"/>
        <w:gridCol w:w="2316"/>
        <w:gridCol w:w="3198"/>
        <w:gridCol w:w="1545"/>
        <w:gridCol w:w="1545"/>
        <w:gridCol w:w="1545"/>
        <w:gridCol w:w="1545"/>
        <w:gridCol w:w="1545"/>
      </w:tblGrid>
      <w:tr w14:paraId="77097DFF">
        <w:tblPrEx>
          <w:tblCellMar>
            <w:top w:w="0" w:type="dxa"/>
            <w:left w:w="108" w:type="dxa"/>
            <w:bottom w:w="0" w:type="dxa"/>
            <w:right w:w="108" w:type="dxa"/>
          </w:tblCellMar>
        </w:tblPrEx>
        <w:trPr>
          <w:trHeight w:val="432"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165193C">
            <w:pPr>
              <w:widowControl/>
              <w:jc w:val="center"/>
              <w:textAlignment w:val="center"/>
              <w:rPr>
                <w:rFonts w:ascii="宋体" w:hAnsi="宋体" w:cs="宋体"/>
                <w:b/>
                <w:bCs/>
                <w:sz w:val="18"/>
                <w:szCs w:val="18"/>
              </w:rPr>
            </w:pPr>
            <w:r>
              <w:rPr>
                <w:rFonts w:ascii="宋体" w:hAnsi="宋体" w:cs="宋体"/>
                <w:b/>
                <w:bCs/>
                <w:kern w:val="0"/>
                <w:sz w:val="18"/>
                <w:szCs w:val="18"/>
                <w:lang w:bidi="ar"/>
              </w:rPr>
              <w:t>类别</w:t>
            </w:r>
          </w:p>
        </w:tc>
        <w:tc>
          <w:tcPr>
            <w:tcW w:w="7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EE94C4A">
            <w:pPr>
              <w:widowControl/>
              <w:jc w:val="center"/>
              <w:textAlignment w:val="center"/>
              <w:rPr>
                <w:rFonts w:ascii="宋体" w:hAnsi="宋体" w:cs="宋体"/>
                <w:b/>
                <w:bCs/>
                <w:sz w:val="18"/>
                <w:szCs w:val="18"/>
              </w:rPr>
            </w:pPr>
            <w:r>
              <w:rPr>
                <w:rFonts w:ascii="宋体" w:hAnsi="宋体" w:cs="宋体"/>
                <w:b/>
                <w:bCs/>
                <w:kern w:val="0"/>
                <w:sz w:val="18"/>
                <w:szCs w:val="18"/>
                <w:lang w:bidi="ar"/>
              </w:rPr>
              <w:t>品目号</w:t>
            </w:r>
          </w:p>
        </w:tc>
        <w:tc>
          <w:tcPr>
            <w:tcW w:w="1081"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178E468">
            <w:pPr>
              <w:widowControl/>
              <w:jc w:val="center"/>
              <w:textAlignment w:val="center"/>
              <w:rPr>
                <w:rFonts w:ascii="宋体" w:hAnsi="宋体" w:cs="宋体"/>
                <w:b/>
                <w:bCs/>
                <w:sz w:val="18"/>
                <w:szCs w:val="18"/>
              </w:rPr>
            </w:pPr>
            <w:r>
              <w:rPr>
                <w:rFonts w:ascii="宋体" w:hAnsi="宋体" w:cs="宋体"/>
                <w:b/>
                <w:bCs/>
                <w:kern w:val="0"/>
                <w:sz w:val="18"/>
                <w:szCs w:val="18"/>
                <w:lang w:bidi="ar"/>
              </w:rPr>
              <w:t>招标产品名称</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FCFB38B">
            <w:pPr>
              <w:widowControl/>
              <w:jc w:val="center"/>
              <w:textAlignment w:val="center"/>
              <w:rPr>
                <w:rFonts w:ascii="宋体" w:hAnsi="宋体" w:cs="宋体"/>
                <w:b/>
                <w:bCs/>
                <w:sz w:val="18"/>
                <w:szCs w:val="18"/>
              </w:rPr>
            </w:pPr>
            <w:r>
              <w:rPr>
                <w:rFonts w:ascii="宋体" w:hAnsi="宋体" w:cs="宋体"/>
                <w:b/>
                <w:bCs/>
                <w:kern w:val="0"/>
                <w:sz w:val="18"/>
                <w:szCs w:val="18"/>
                <w:lang w:bidi="ar"/>
              </w:rPr>
              <w:t>规格</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6010194">
            <w:pPr>
              <w:widowControl/>
              <w:jc w:val="center"/>
              <w:textAlignment w:val="center"/>
              <w:rPr>
                <w:rFonts w:ascii="宋体" w:hAnsi="宋体" w:cs="宋体"/>
                <w:b/>
                <w:bCs/>
                <w:sz w:val="18"/>
                <w:szCs w:val="18"/>
              </w:rPr>
            </w:pPr>
            <w:r>
              <w:rPr>
                <w:rFonts w:ascii="宋体" w:hAnsi="宋体" w:cs="宋体"/>
                <w:b/>
                <w:bCs/>
                <w:kern w:val="0"/>
                <w:sz w:val="18"/>
                <w:szCs w:val="18"/>
                <w:lang w:bidi="ar"/>
              </w:rPr>
              <w:t>产地</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45D01A6">
            <w:pPr>
              <w:widowControl/>
              <w:jc w:val="center"/>
              <w:textAlignment w:val="center"/>
              <w:rPr>
                <w:rFonts w:ascii="宋体" w:hAnsi="宋体" w:cs="宋体"/>
                <w:b/>
                <w:bCs/>
                <w:sz w:val="18"/>
                <w:szCs w:val="18"/>
              </w:rPr>
            </w:pPr>
            <w:r>
              <w:rPr>
                <w:rFonts w:ascii="宋体" w:hAnsi="宋体" w:cs="宋体"/>
                <w:b/>
                <w:bCs/>
                <w:kern w:val="0"/>
                <w:sz w:val="18"/>
                <w:szCs w:val="18"/>
                <w:lang w:bidi="ar"/>
              </w:rPr>
              <w:t>单位</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4A35763">
            <w:pPr>
              <w:widowControl/>
              <w:jc w:val="center"/>
              <w:textAlignment w:val="center"/>
              <w:rPr>
                <w:rFonts w:ascii="宋体" w:hAnsi="宋体" w:cs="宋体"/>
                <w:b/>
                <w:bCs/>
                <w:sz w:val="18"/>
                <w:szCs w:val="18"/>
              </w:rPr>
            </w:pPr>
            <w:r>
              <w:rPr>
                <w:rFonts w:ascii="宋体" w:hAnsi="宋体" w:cs="宋体"/>
                <w:b/>
                <w:bCs/>
                <w:kern w:val="0"/>
                <w:sz w:val="18"/>
                <w:szCs w:val="18"/>
                <w:lang w:bidi="ar"/>
              </w:rPr>
              <w:t>最高限价</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41BF4B5">
            <w:pPr>
              <w:widowControl/>
              <w:jc w:val="center"/>
              <w:textAlignment w:val="center"/>
              <w:rPr>
                <w:rFonts w:ascii="宋体" w:hAnsi="宋体" w:cs="宋体"/>
                <w:b/>
                <w:bCs/>
                <w:sz w:val="18"/>
                <w:szCs w:val="18"/>
              </w:rPr>
            </w:pPr>
            <w:r>
              <w:rPr>
                <w:rFonts w:ascii="宋体" w:hAnsi="宋体" w:cs="宋体"/>
                <w:b/>
                <w:bCs/>
                <w:kern w:val="0"/>
                <w:sz w:val="18"/>
                <w:szCs w:val="18"/>
                <w:lang w:bidi="ar"/>
              </w:rPr>
              <w:t>参考用量</w:t>
            </w:r>
          </w:p>
        </w:tc>
      </w:tr>
      <w:tr w14:paraId="32F4953F">
        <w:tblPrEx>
          <w:tblCellMar>
            <w:top w:w="0" w:type="dxa"/>
            <w:left w:w="108" w:type="dxa"/>
            <w:bottom w:w="0" w:type="dxa"/>
            <w:right w:w="108" w:type="dxa"/>
          </w:tblCellMar>
        </w:tblPrEx>
        <w:trPr>
          <w:trHeight w:val="432" w:hRule="atLeast"/>
        </w:trPr>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9872A">
            <w:pPr>
              <w:widowControl/>
              <w:jc w:val="center"/>
              <w:textAlignment w:val="center"/>
              <w:rPr>
                <w:rFonts w:ascii="宋体" w:hAnsi="宋体" w:cs="宋体"/>
                <w:sz w:val="18"/>
                <w:szCs w:val="18"/>
              </w:rPr>
            </w:pPr>
            <w:r>
              <w:rPr>
                <w:rFonts w:ascii="宋体" w:hAnsi="宋体" w:cs="宋体"/>
                <w:kern w:val="0"/>
                <w:sz w:val="18"/>
                <w:szCs w:val="18"/>
                <w:lang w:bidi="ar"/>
              </w:rPr>
              <w:t>牙体材料4</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533E">
            <w:pPr>
              <w:widowControl/>
              <w:jc w:val="center"/>
              <w:textAlignment w:val="center"/>
              <w:rPr>
                <w:rFonts w:ascii="宋体" w:hAnsi="宋体" w:cs="宋体"/>
                <w:sz w:val="18"/>
                <w:szCs w:val="18"/>
              </w:rPr>
            </w:pPr>
            <w:r>
              <w:rPr>
                <w:rFonts w:ascii="宋体" w:hAnsi="宋体" w:cs="宋体"/>
                <w:kern w:val="0"/>
                <w:sz w:val="18"/>
                <w:szCs w:val="18"/>
                <w:lang w:bidi="ar"/>
              </w:rPr>
              <w:t xml:space="preserve">1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A433">
            <w:pPr>
              <w:widowControl/>
              <w:jc w:val="center"/>
              <w:textAlignment w:val="center"/>
              <w:rPr>
                <w:rFonts w:ascii="宋体" w:hAnsi="宋体" w:cs="宋体"/>
                <w:sz w:val="18"/>
                <w:szCs w:val="18"/>
              </w:rPr>
            </w:pPr>
            <w:r>
              <w:rPr>
                <w:rFonts w:ascii="宋体" w:hAnsi="宋体" w:cs="宋体"/>
                <w:kern w:val="0"/>
                <w:sz w:val="18"/>
                <w:szCs w:val="18"/>
                <w:lang w:bidi="ar"/>
              </w:rPr>
              <w:t>美学通用树脂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2A0A">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3194">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9C1C">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BF65">
            <w:pPr>
              <w:widowControl/>
              <w:jc w:val="center"/>
              <w:textAlignment w:val="center"/>
              <w:rPr>
                <w:rFonts w:ascii="宋体" w:hAnsi="宋体" w:cs="宋体"/>
                <w:sz w:val="18"/>
                <w:szCs w:val="18"/>
              </w:rPr>
            </w:pPr>
            <w:r>
              <w:rPr>
                <w:rFonts w:ascii="宋体" w:hAnsi="宋体" w:cs="宋体"/>
                <w:kern w:val="0"/>
                <w:sz w:val="18"/>
                <w:szCs w:val="18"/>
                <w:lang w:bidi="ar"/>
              </w:rPr>
              <w:t xml:space="preserve">197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1CF8">
            <w:pPr>
              <w:widowControl/>
              <w:jc w:val="center"/>
              <w:textAlignment w:val="center"/>
              <w:rPr>
                <w:rFonts w:ascii="宋体" w:hAnsi="宋体" w:cs="宋体"/>
                <w:sz w:val="18"/>
                <w:szCs w:val="18"/>
              </w:rPr>
            </w:pPr>
            <w:r>
              <w:rPr>
                <w:rFonts w:ascii="宋体" w:hAnsi="宋体" w:cs="宋体"/>
                <w:kern w:val="0"/>
                <w:sz w:val="18"/>
                <w:szCs w:val="18"/>
                <w:lang w:bidi="ar"/>
              </w:rPr>
              <w:t xml:space="preserve">1703 </w:t>
            </w:r>
          </w:p>
        </w:tc>
      </w:tr>
      <w:tr w14:paraId="027C7B60">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5326">
            <w:pPr>
              <w:jc w:val="center"/>
              <w:rPr>
                <w:rFonts w:ascii="宋体" w:hAnsi="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076A">
            <w:pPr>
              <w:widowControl/>
              <w:jc w:val="center"/>
              <w:textAlignment w:val="center"/>
              <w:rPr>
                <w:rFonts w:ascii="宋体" w:hAnsi="宋体" w:cs="宋体"/>
                <w:sz w:val="18"/>
                <w:szCs w:val="18"/>
              </w:rPr>
            </w:pPr>
            <w:r>
              <w:rPr>
                <w:rFonts w:ascii="宋体" w:hAnsi="宋体" w:cs="宋体"/>
                <w:kern w:val="0"/>
                <w:sz w:val="18"/>
                <w:szCs w:val="18"/>
                <w:lang w:bidi="ar"/>
              </w:rPr>
              <w:t xml:space="preserve">2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8DBB">
            <w:pPr>
              <w:widowControl/>
              <w:jc w:val="center"/>
              <w:textAlignment w:val="center"/>
              <w:rPr>
                <w:rFonts w:ascii="宋体" w:hAnsi="宋体" w:cs="宋体"/>
                <w:sz w:val="18"/>
                <w:szCs w:val="18"/>
              </w:rPr>
            </w:pPr>
            <w:r>
              <w:rPr>
                <w:rFonts w:ascii="宋体" w:hAnsi="宋体" w:cs="宋体"/>
                <w:kern w:val="0"/>
                <w:sz w:val="18"/>
                <w:szCs w:val="18"/>
                <w:lang w:bidi="ar"/>
              </w:rPr>
              <w:t>美学流动树脂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E3C5">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5BE3">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6872">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D988">
            <w:pPr>
              <w:widowControl/>
              <w:jc w:val="center"/>
              <w:textAlignment w:val="center"/>
              <w:rPr>
                <w:rFonts w:ascii="宋体" w:hAnsi="宋体" w:cs="宋体"/>
                <w:sz w:val="18"/>
                <w:szCs w:val="18"/>
              </w:rPr>
            </w:pPr>
            <w:r>
              <w:rPr>
                <w:rFonts w:ascii="宋体" w:hAnsi="宋体" w:cs="宋体"/>
                <w:kern w:val="0"/>
                <w:sz w:val="18"/>
                <w:szCs w:val="18"/>
                <w:lang w:bidi="ar"/>
              </w:rPr>
              <w:t xml:space="preserve">185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B27C">
            <w:pPr>
              <w:widowControl/>
              <w:jc w:val="center"/>
              <w:textAlignment w:val="center"/>
              <w:rPr>
                <w:rFonts w:ascii="宋体" w:hAnsi="宋体" w:cs="宋体"/>
                <w:sz w:val="18"/>
                <w:szCs w:val="18"/>
              </w:rPr>
            </w:pPr>
            <w:r>
              <w:rPr>
                <w:rFonts w:ascii="宋体" w:hAnsi="宋体" w:cs="宋体"/>
                <w:kern w:val="0"/>
                <w:sz w:val="18"/>
                <w:szCs w:val="18"/>
                <w:lang w:bidi="ar"/>
              </w:rPr>
              <w:t xml:space="preserve">87 </w:t>
            </w:r>
          </w:p>
        </w:tc>
      </w:tr>
      <w:tr w14:paraId="73C8DA52">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FD45">
            <w:pPr>
              <w:jc w:val="center"/>
              <w:rPr>
                <w:rFonts w:ascii="宋体" w:hAnsi="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1DAE">
            <w:pPr>
              <w:widowControl/>
              <w:jc w:val="center"/>
              <w:textAlignment w:val="center"/>
              <w:rPr>
                <w:rFonts w:ascii="宋体" w:hAnsi="宋体" w:cs="宋体"/>
                <w:sz w:val="18"/>
                <w:szCs w:val="18"/>
              </w:rPr>
            </w:pPr>
            <w:r>
              <w:rPr>
                <w:rFonts w:ascii="宋体" w:hAnsi="宋体" w:cs="宋体"/>
                <w:kern w:val="0"/>
                <w:sz w:val="18"/>
                <w:szCs w:val="18"/>
                <w:lang w:bidi="ar"/>
              </w:rPr>
              <w:t xml:space="preserve">3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C6DF">
            <w:pPr>
              <w:widowControl/>
              <w:jc w:val="center"/>
              <w:textAlignment w:val="center"/>
              <w:rPr>
                <w:rFonts w:ascii="宋体" w:hAnsi="宋体" w:cs="宋体"/>
                <w:sz w:val="18"/>
                <w:szCs w:val="18"/>
              </w:rPr>
            </w:pPr>
            <w:r>
              <w:rPr>
                <w:rFonts w:ascii="宋体" w:hAnsi="宋体" w:cs="宋体"/>
                <w:kern w:val="0"/>
                <w:sz w:val="18"/>
                <w:szCs w:val="18"/>
                <w:lang w:bidi="ar"/>
              </w:rPr>
              <w:t>后牙美学树脂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089B">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AF15">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0ECB">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826F">
            <w:pPr>
              <w:widowControl/>
              <w:jc w:val="center"/>
              <w:textAlignment w:val="center"/>
              <w:rPr>
                <w:rFonts w:ascii="宋体" w:hAnsi="宋体" w:cs="宋体"/>
                <w:sz w:val="18"/>
                <w:szCs w:val="18"/>
              </w:rPr>
            </w:pPr>
            <w:r>
              <w:rPr>
                <w:rFonts w:ascii="宋体" w:hAnsi="宋体" w:cs="宋体"/>
                <w:kern w:val="0"/>
                <w:sz w:val="18"/>
                <w:szCs w:val="18"/>
                <w:lang w:bidi="ar"/>
              </w:rPr>
              <w:t xml:space="preserve">173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B24A">
            <w:pPr>
              <w:widowControl/>
              <w:jc w:val="center"/>
              <w:textAlignment w:val="center"/>
              <w:rPr>
                <w:rFonts w:ascii="宋体" w:hAnsi="宋体" w:cs="宋体"/>
                <w:sz w:val="18"/>
                <w:szCs w:val="18"/>
              </w:rPr>
            </w:pPr>
            <w:r>
              <w:rPr>
                <w:rFonts w:ascii="宋体" w:hAnsi="宋体" w:cs="宋体"/>
                <w:kern w:val="0"/>
                <w:sz w:val="18"/>
                <w:szCs w:val="18"/>
                <w:lang w:bidi="ar"/>
              </w:rPr>
              <w:t xml:space="preserve">89 </w:t>
            </w:r>
          </w:p>
        </w:tc>
      </w:tr>
      <w:tr w14:paraId="3999F254">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D2CD8">
            <w:pPr>
              <w:jc w:val="center"/>
              <w:rPr>
                <w:rFonts w:ascii="宋体" w:hAnsi="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7869">
            <w:pPr>
              <w:widowControl/>
              <w:jc w:val="center"/>
              <w:textAlignment w:val="center"/>
              <w:rPr>
                <w:rFonts w:ascii="宋体" w:hAnsi="宋体" w:cs="宋体"/>
                <w:sz w:val="18"/>
                <w:szCs w:val="18"/>
              </w:rPr>
            </w:pPr>
            <w:r>
              <w:rPr>
                <w:rFonts w:ascii="宋体" w:hAnsi="宋体" w:cs="宋体"/>
                <w:kern w:val="0"/>
                <w:sz w:val="18"/>
                <w:szCs w:val="18"/>
                <w:lang w:bidi="ar"/>
              </w:rPr>
              <w:t>▲4</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E0F0">
            <w:pPr>
              <w:widowControl/>
              <w:jc w:val="center"/>
              <w:textAlignment w:val="center"/>
              <w:rPr>
                <w:rFonts w:ascii="宋体" w:hAnsi="宋体" w:cs="宋体"/>
                <w:sz w:val="18"/>
                <w:szCs w:val="18"/>
              </w:rPr>
            </w:pPr>
            <w:r>
              <w:rPr>
                <w:rFonts w:ascii="宋体" w:hAnsi="宋体" w:cs="宋体"/>
                <w:kern w:val="0"/>
                <w:sz w:val="18"/>
                <w:szCs w:val="18"/>
                <w:lang w:bidi="ar"/>
              </w:rPr>
              <w:t>★纳米加强粘接剂</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D9F1">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7B69">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E368">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1338">
            <w:pPr>
              <w:widowControl/>
              <w:jc w:val="center"/>
              <w:textAlignment w:val="center"/>
              <w:rPr>
                <w:rFonts w:ascii="宋体" w:hAnsi="宋体" w:cs="宋体"/>
                <w:sz w:val="18"/>
                <w:szCs w:val="18"/>
              </w:rPr>
            </w:pPr>
            <w:r>
              <w:rPr>
                <w:rFonts w:ascii="宋体" w:hAnsi="宋体" w:cs="宋体"/>
                <w:kern w:val="0"/>
                <w:sz w:val="18"/>
                <w:szCs w:val="18"/>
                <w:lang w:bidi="ar"/>
              </w:rPr>
              <w:t xml:space="preserve">450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1931">
            <w:pPr>
              <w:widowControl/>
              <w:jc w:val="center"/>
              <w:textAlignment w:val="center"/>
              <w:rPr>
                <w:rFonts w:ascii="宋体" w:hAnsi="宋体" w:cs="宋体"/>
                <w:sz w:val="18"/>
                <w:szCs w:val="18"/>
              </w:rPr>
            </w:pPr>
            <w:r>
              <w:rPr>
                <w:rFonts w:ascii="宋体" w:hAnsi="宋体" w:cs="宋体"/>
                <w:kern w:val="0"/>
                <w:sz w:val="18"/>
                <w:szCs w:val="18"/>
                <w:lang w:bidi="ar"/>
              </w:rPr>
              <w:t xml:space="preserve">548 </w:t>
            </w:r>
          </w:p>
        </w:tc>
      </w:tr>
      <w:tr w14:paraId="681BDC82">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ADD4D">
            <w:pPr>
              <w:jc w:val="center"/>
              <w:rPr>
                <w:rFonts w:ascii="宋体" w:hAnsi="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687E">
            <w:pPr>
              <w:widowControl/>
              <w:jc w:val="center"/>
              <w:textAlignment w:val="center"/>
              <w:rPr>
                <w:rFonts w:ascii="宋体" w:hAnsi="宋体" w:cs="宋体"/>
                <w:sz w:val="18"/>
                <w:szCs w:val="18"/>
              </w:rPr>
            </w:pPr>
            <w:r>
              <w:rPr>
                <w:rFonts w:ascii="宋体" w:hAnsi="宋体" w:cs="宋体"/>
                <w:kern w:val="0"/>
                <w:sz w:val="18"/>
                <w:szCs w:val="18"/>
                <w:lang w:bidi="ar"/>
              </w:rPr>
              <w:t xml:space="preserve">5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3087">
            <w:pPr>
              <w:widowControl/>
              <w:jc w:val="center"/>
              <w:textAlignment w:val="center"/>
              <w:rPr>
                <w:rFonts w:ascii="宋体" w:hAnsi="宋体" w:cs="宋体"/>
                <w:sz w:val="18"/>
                <w:szCs w:val="18"/>
              </w:rPr>
            </w:pPr>
            <w:r>
              <w:rPr>
                <w:rFonts w:ascii="宋体" w:hAnsi="宋体" w:cs="宋体"/>
                <w:kern w:val="0"/>
                <w:sz w:val="18"/>
                <w:szCs w:val="18"/>
                <w:lang w:bidi="ar"/>
              </w:rPr>
              <w:t>临时水门汀</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540A">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1302">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5018">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359A">
            <w:pPr>
              <w:widowControl/>
              <w:jc w:val="center"/>
              <w:textAlignment w:val="center"/>
              <w:rPr>
                <w:rFonts w:ascii="宋体" w:hAnsi="宋体" w:cs="宋体"/>
                <w:sz w:val="18"/>
                <w:szCs w:val="18"/>
              </w:rPr>
            </w:pPr>
            <w:r>
              <w:rPr>
                <w:rFonts w:ascii="宋体" w:hAnsi="宋体" w:cs="宋体"/>
                <w:kern w:val="0"/>
                <w:sz w:val="18"/>
                <w:szCs w:val="18"/>
                <w:lang w:bidi="ar"/>
              </w:rPr>
              <w:t xml:space="preserve">340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128C">
            <w:pPr>
              <w:widowControl/>
              <w:jc w:val="center"/>
              <w:textAlignment w:val="center"/>
              <w:rPr>
                <w:rFonts w:ascii="宋体" w:hAnsi="宋体" w:cs="宋体"/>
                <w:sz w:val="18"/>
                <w:szCs w:val="18"/>
              </w:rPr>
            </w:pPr>
            <w:r>
              <w:rPr>
                <w:rFonts w:ascii="宋体" w:hAnsi="宋体" w:cs="宋体"/>
                <w:kern w:val="0"/>
                <w:sz w:val="18"/>
                <w:szCs w:val="18"/>
                <w:lang w:bidi="ar"/>
              </w:rPr>
              <w:t xml:space="preserve">1 </w:t>
            </w:r>
          </w:p>
        </w:tc>
      </w:tr>
      <w:tr w14:paraId="7AAF79E4">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6330">
            <w:pPr>
              <w:jc w:val="center"/>
              <w:rPr>
                <w:rFonts w:ascii="宋体" w:hAnsi="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026E">
            <w:pPr>
              <w:widowControl/>
              <w:jc w:val="center"/>
              <w:textAlignment w:val="center"/>
              <w:rPr>
                <w:rFonts w:ascii="宋体" w:hAnsi="宋体" w:cs="宋体"/>
                <w:sz w:val="18"/>
                <w:szCs w:val="18"/>
              </w:rPr>
            </w:pPr>
            <w:r>
              <w:rPr>
                <w:rFonts w:ascii="宋体" w:hAnsi="宋体" w:cs="宋体"/>
                <w:kern w:val="0"/>
                <w:sz w:val="18"/>
                <w:szCs w:val="18"/>
                <w:lang w:bidi="ar"/>
              </w:rPr>
              <w:t xml:space="preserve">6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2675">
            <w:pPr>
              <w:widowControl/>
              <w:jc w:val="center"/>
              <w:textAlignment w:val="center"/>
              <w:rPr>
                <w:rFonts w:ascii="宋体" w:hAnsi="宋体" w:cs="宋体"/>
                <w:sz w:val="18"/>
                <w:szCs w:val="18"/>
              </w:rPr>
            </w:pPr>
            <w:r>
              <w:rPr>
                <w:rFonts w:ascii="宋体" w:hAnsi="宋体" w:cs="宋体"/>
                <w:kern w:val="0"/>
                <w:sz w:val="18"/>
                <w:szCs w:val="18"/>
                <w:lang w:bidi="ar"/>
              </w:rPr>
              <w:t>根管药物输送针</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8313">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B7D9">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247E">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C08F">
            <w:pPr>
              <w:widowControl/>
              <w:jc w:val="center"/>
              <w:textAlignment w:val="center"/>
              <w:rPr>
                <w:rFonts w:ascii="宋体" w:hAnsi="宋体" w:cs="宋体"/>
                <w:sz w:val="18"/>
                <w:szCs w:val="18"/>
              </w:rPr>
            </w:pPr>
            <w:r>
              <w:rPr>
                <w:rFonts w:ascii="宋体" w:hAnsi="宋体" w:cs="宋体"/>
                <w:kern w:val="0"/>
                <w:sz w:val="18"/>
                <w:szCs w:val="18"/>
                <w:lang w:bidi="ar"/>
              </w:rPr>
              <w:t xml:space="preserve">40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77E1">
            <w:pPr>
              <w:widowControl/>
              <w:jc w:val="center"/>
              <w:textAlignment w:val="center"/>
              <w:rPr>
                <w:rFonts w:ascii="宋体" w:hAnsi="宋体" w:cs="宋体"/>
                <w:sz w:val="18"/>
                <w:szCs w:val="18"/>
              </w:rPr>
            </w:pPr>
            <w:r>
              <w:rPr>
                <w:rFonts w:ascii="宋体" w:hAnsi="宋体" w:cs="宋体"/>
                <w:kern w:val="0"/>
                <w:sz w:val="18"/>
                <w:szCs w:val="18"/>
                <w:lang w:bidi="ar"/>
              </w:rPr>
              <w:t xml:space="preserve">43 </w:t>
            </w:r>
          </w:p>
        </w:tc>
      </w:tr>
      <w:tr w14:paraId="162350F6">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38EF">
            <w:pPr>
              <w:jc w:val="center"/>
              <w:rPr>
                <w:rFonts w:ascii="宋体" w:hAnsi="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0BA1">
            <w:pPr>
              <w:widowControl/>
              <w:jc w:val="center"/>
              <w:textAlignment w:val="center"/>
              <w:rPr>
                <w:rFonts w:ascii="宋体" w:hAnsi="宋体" w:cs="宋体"/>
                <w:sz w:val="18"/>
                <w:szCs w:val="18"/>
              </w:rPr>
            </w:pPr>
            <w:r>
              <w:rPr>
                <w:rFonts w:ascii="宋体" w:hAnsi="宋体" w:cs="宋体"/>
                <w:kern w:val="0"/>
                <w:sz w:val="18"/>
                <w:szCs w:val="18"/>
                <w:lang w:bidi="ar"/>
              </w:rPr>
              <w:t xml:space="preserve">7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7958">
            <w:pPr>
              <w:widowControl/>
              <w:jc w:val="center"/>
              <w:textAlignment w:val="center"/>
              <w:rPr>
                <w:rFonts w:ascii="宋体" w:hAnsi="宋体" w:cs="宋体"/>
                <w:sz w:val="18"/>
                <w:szCs w:val="18"/>
              </w:rPr>
            </w:pPr>
            <w:r>
              <w:rPr>
                <w:rFonts w:ascii="宋体" w:hAnsi="宋体" w:cs="宋体"/>
                <w:kern w:val="0"/>
                <w:sz w:val="18"/>
                <w:szCs w:val="18"/>
                <w:lang w:bidi="ar"/>
              </w:rPr>
              <w:t>gracey 刮治器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5DB4">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4D23">
            <w:pPr>
              <w:widowControl/>
              <w:jc w:val="center"/>
              <w:textAlignment w:val="center"/>
              <w:rPr>
                <w:rFonts w:ascii="宋体" w:hAnsi="宋体" w:cs="宋体"/>
                <w:sz w:val="18"/>
                <w:szCs w:val="18"/>
              </w:rPr>
            </w:pPr>
            <w:r>
              <w:rPr>
                <w:rFonts w:hint="eastAsia" w:ascii="宋体" w:hAnsi="宋体" w:cs="宋体"/>
                <w:kern w:val="0"/>
                <w:sz w:val="18"/>
                <w:szCs w:val="18"/>
                <w:lang w:val="en-US" w:eastAsia="zh-CN" w:bidi="ar"/>
              </w:rPr>
              <w:t>接受</w:t>
            </w:r>
            <w:r>
              <w:rPr>
                <w:rFonts w:ascii="宋体" w:hAnsi="宋体" w:cs="宋体"/>
                <w:kern w:val="0"/>
                <w:sz w:val="18"/>
                <w:szCs w:val="18"/>
                <w:lang w:bidi="ar"/>
              </w:rPr>
              <w:t>进口</w:t>
            </w:r>
            <w:r>
              <w:rPr>
                <w:rFonts w:hint="eastAsia" w:ascii="宋体" w:hAnsi="宋体" w:cs="宋体"/>
                <w:kern w:val="0"/>
                <w:sz w:val="18"/>
                <w:szCs w:val="18"/>
                <w:lang w:val="en-US" w:eastAsia="zh-CN" w:bidi="ar"/>
              </w:rPr>
              <w:t>产品投标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1C7A">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8F96">
            <w:pPr>
              <w:widowControl/>
              <w:jc w:val="center"/>
              <w:textAlignment w:val="center"/>
              <w:rPr>
                <w:rFonts w:ascii="宋体" w:hAnsi="宋体" w:cs="宋体"/>
                <w:sz w:val="18"/>
                <w:szCs w:val="18"/>
              </w:rPr>
            </w:pPr>
            <w:r>
              <w:rPr>
                <w:rFonts w:ascii="宋体" w:hAnsi="宋体" w:cs="宋体"/>
                <w:kern w:val="0"/>
                <w:sz w:val="18"/>
                <w:szCs w:val="18"/>
                <w:lang w:bidi="ar"/>
              </w:rPr>
              <w:t xml:space="preserve">106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13B7">
            <w:pPr>
              <w:widowControl/>
              <w:jc w:val="center"/>
              <w:textAlignment w:val="center"/>
              <w:rPr>
                <w:rFonts w:ascii="宋体" w:hAnsi="宋体" w:cs="宋体"/>
                <w:sz w:val="18"/>
                <w:szCs w:val="18"/>
              </w:rPr>
            </w:pPr>
            <w:r>
              <w:rPr>
                <w:rFonts w:ascii="宋体" w:hAnsi="宋体" w:cs="宋体"/>
                <w:kern w:val="0"/>
                <w:sz w:val="18"/>
                <w:szCs w:val="18"/>
                <w:lang w:bidi="ar"/>
              </w:rPr>
              <w:t xml:space="preserve">65 </w:t>
            </w:r>
          </w:p>
        </w:tc>
      </w:tr>
    </w:tbl>
    <w:p w14:paraId="0017415A">
      <w:pPr>
        <w:spacing w:line="360" w:lineRule="auto"/>
        <w:rPr>
          <w:rFonts w:hAnsi="宋体" w:eastAsia="仿宋"/>
          <w:b/>
          <w:bCs/>
          <w:sz w:val="24"/>
        </w:rPr>
      </w:pPr>
      <w:r>
        <w:rPr>
          <w:rFonts w:hint="eastAsia" w:hAnsi="宋体" w:eastAsia="仿宋"/>
          <w:b/>
          <w:bCs/>
          <w:sz w:val="24"/>
        </w:rPr>
        <w:t>第3包：外科材料3配送清单及规格参数：</w:t>
      </w:r>
    </w:p>
    <w:tbl>
      <w:tblPr>
        <w:tblStyle w:val="14"/>
        <w:tblW w:w="4998" w:type="pct"/>
        <w:tblInd w:w="0" w:type="dxa"/>
        <w:tblLayout w:type="autofit"/>
        <w:tblCellMar>
          <w:top w:w="0" w:type="dxa"/>
          <w:left w:w="108" w:type="dxa"/>
          <w:bottom w:w="0" w:type="dxa"/>
          <w:right w:w="108" w:type="dxa"/>
        </w:tblCellMar>
      </w:tblPr>
      <w:tblGrid>
        <w:gridCol w:w="1541"/>
        <w:gridCol w:w="2319"/>
        <w:gridCol w:w="3198"/>
        <w:gridCol w:w="1544"/>
        <w:gridCol w:w="1544"/>
        <w:gridCol w:w="1544"/>
        <w:gridCol w:w="1545"/>
        <w:gridCol w:w="1545"/>
      </w:tblGrid>
      <w:tr w14:paraId="1D9B508A">
        <w:tblPrEx>
          <w:tblCellMar>
            <w:top w:w="0" w:type="dxa"/>
            <w:left w:w="108" w:type="dxa"/>
            <w:bottom w:w="0" w:type="dxa"/>
            <w:right w:w="108" w:type="dxa"/>
          </w:tblCellMar>
        </w:tblPrEx>
        <w:trPr>
          <w:trHeight w:val="432"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65D1F06">
            <w:pPr>
              <w:widowControl/>
              <w:jc w:val="center"/>
              <w:textAlignment w:val="center"/>
              <w:rPr>
                <w:rFonts w:ascii="宋体" w:hAnsi="宋体" w:cs="宋体"/>
                <w:b/>
                <w:bCs/>
                <w:sz w:val="18"/>
                <w:szCs w:val="18"/>
              </w:rPr>
            </w:pPr>
            <w:r>
              <w:rPr>
                <w:rStyle w:val="34"/>
                <w:color w:val="auto"/>
                <w:lang w:bidi="ar"/>
              </w:rPr>
              <w:t>类别</w:t>
            </w:r>
          </w:p>
        </w:tc>
        <w:tc>
          <w:tcPr>
            <w:tcW w:w="784"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CC7FA0A">
            <w:pPr>
              <w:widowControl/>
              <w:jc w:val="center"/>
              <w:textAlignment w:val="center"/>
              <w:rPr>
                <w:rFonts w:ascii="宋体" w:hAnsi="宋体" w:cs="宋体"/>
                <w:b/>
                <w:bCs/>
                <w:sz w:val="18"/>
                <w:szCs w:val="18"/>
              </w:rPr>
            </w:pPr>
            <w:r>
              <w:rPr>
                <w:rStyle w:val="34"/>
                <w:color w:val="auto"/>
                <w:lang w:bidi="ar"/>
              </w:rPr>
              <w:t>品目号</w:t>
            </w:r>
          </w:p>
        </w:tc>
        <w:tc>
          <w:tcPr>
            <w:tcW w:w="1081"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816C2FD">
            <w:pPr>
              <w:widowControl/>
              <w:jc w:val="center"/>
              <w:textAlignment w:val="center"/>
              <w:rPr>
                <w:rFonts w:ascii="宋体" w:hAnsi="宋体" w:cs="宋体"/>
                <w:b/>
                <w:bCs/>
                <w:sz w:val="18"/>
                <w:szCs w:val="18"/>
              </w:rPr>
            </w:pPr>
            <w:r>
              <w:rPr>
                <w:rStyle w:val="34"/>
                <w:color w:val="auto"/>
                <w:lang w:bidi="ar"/>
              </w:rPr>
              <w:t>招标产品名称</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A5EB61C">
            <w:pPr>
              <w:widowControl/>
              <w:jc w:val="center"/>
              <w:textAlignment w:val="center"/>
              <w:rPr>
                <w:rFonts w:ascii="宋体" w:hAnsi="宋体" w:cs="宋体"/>
                <w:b/>
                <w:bCs/>
                <w:sz w:val="18"/>
                <w:szCs w:val="18"/>
              </w:rPr>
            </w:pPr>
            <w:r>
              <w:rPr>
                <w:rStyle w:val="34"/>
                <w:color w:val="auto"/>
                <w:lang w:bidi="ar"/>
              </w:rPr>
              <w:t>规格</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6045F21">
            <w:pPr>
              <w:widowControl/>
              <w:jc w:val="center"/>
              <w:textAlignment w:val="center"/>
              <w:rPr>
                <w:rFonts w:ascii="宋体" w:hAnsi="宋体" w:cs="宋体"/>
                <w:b/>
                <w:bCs/>
                <w:sz w:val="18"/>
                <w:szCs w:val="18"/>
              </w:rPr>
            </w:pPr>
            <w:r>
              <w:rPr>
                <w:rStyle w:val="34"/>
                <w:color w:val="auto"/>
                <w:lang w:bidi="ar"/>
              </w:rPr>
              <w:t>产地</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786B9AF">
            <w:pPr>
              <w:widowControl/>
              <w:jc w:val="center"/>
              <w:textAlignment w:val="center"/>
              <w:rPr>
                <w:rFonts w:ascii="宋体" w:hAnsi="宋体" w:cs="宋体"/>
                <w:b/>
                <w:bCs/>
                <w:sz w:val="18"/>
                <w:szCs w:val="18"/>
              </w:rPr>
            </w:pPr>
            <w:r>
              <w:rPr>
                <w:rStyle w:val="34"/>
                <w:color w:val="auto"/>
                <w:lang w:bidi="ar"/>
              </w:rPr>
              <w:t>单位</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331F41E">
            <w:pPr>
              <w:widowControl/>
              <w:jc w:val="center"/>
              <w:textAlignment w:val="center"/>
              <w:rPr>
                <w:rFonts w:ascii="宋体" w:hAnsi="宋体" w:cs="宋体"/>
                <w:b/>
                <w:bCs/>
                <w:sz w:val="18"/>
                <w:szCs w:val="18"/>
              </w:rPr>
            </w:pPr>
            <w:r>
              <w:rPr>
                <w:rStyle w:val="34"/>
                <w:color w:val="auto"/>
                <w:lang w:bidi="ar"/>
              </w:rPr>
              <w:t>最高限价</w:t>
            </w:r>
          </w:p>
        </w:tc>
        <w:tc>
          <w:tcPr>
            <w:tcW w:w="52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EBD8BD7">
            <w:pPr>
              <w:widowControl/>
              <w:jc w:val="center"/>
              <w:textAlignment w:val="center"/>
              <w:rPr>
                <w:rFonts w:ascii="宋体" w:hAnsi="宋体" w:cs="宋体"/>
                <w:b/>
                <w:bCs/>
                <w:sz w:val="18"/>
                <w:szCs w:val="18"/>
              </w:rPr>
            </w:pPr>
            <w:r>
              <w:rPr>
                <w:rStyle w:val="34"/>
                <w:color w:val="auto"/>
                <w:lang w:bidi="ar"/>
              </w:rPr>
              <w:t>参考用量</w:t>
            </w:r>
          </w:p>
        </w:tc>
      </w:tr>
      <w:tr w14:paraId="50DEE09A">
        <w:tblPrEx>
          <w:tblCellMar>
            <w:top w:w="0" w:type="dxa"/>
            <w:left w:w="108" w:type="dxa"/>
            <w:bottom w:w="0" w:type="dxa"/>
            <w:right w:w="108" w:type="dxa"/>
          </w:tblCellMar>
        </w:tblPrEx>
        <w:trPr>
          <w:trHeight w:val="432" w:hRule="atLeast"/>
        </w:trPr>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958F5">
            <w:pPr>
              <w:widowControl/>
              <w:jc w:val="center"/>
              <w:textAlignment w:val="center"/>
              <w:rPr>
                <w:rFonts w:ascii="宋体" w:hAnsi="宋体" w:cs="宋体"/>
                <w:sz w:val="18"/>
                <w:szCs w:val="18"/>
              </w:rPr>
            </w:pPr>
            <w:r>
              <w:rPr>
                <w:rFonts w:ascii="宋体" w:hAnsi="宋体" w:cs="宋体"/>
                <w:kern w:val="0"/>
                <w:sz w:val="18"/>
                <w:szCs w:val="18"/>
                <w:lang w:bidi="ar"/>
              </w:rPr>
              <w:t>外科材料3</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92D7">
            <w:pPr>
              <w:widowControl/>
              <w:jc w:val="center"/>
              <w:textAlignment w:val="center"/>
              <w:rPr>
                <w:rFonts w:ascii="宋体" w:hAnsi="宋体" w:cs="宋体"/>
                <w:sz w:val="18"/>
                <w:szCs w:val="18"/>
              </w:rPr>
            </w:pPr>
            <w:r>
              <w:rPr>
                <w:rFonts w:ascii="宋体" w:hAnsi="宋体" w:cs="宋体"/>
                <w:kern w:val="0"/>
                <w:sz w:val="18"/>
                <w:szCs w:val="18"/>
                <w:lang w:bidi="ar"/>
              </w:rPr>
              <w:t xml:space="preserve">1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70CC">
            <w:pPr>
              <w:widowControl/>
              <w:jc w:val="center"/>
              <w:textAlignment w:val="center"/>
              <w:rPr>
                <w:rFonts w:ascii="宋体" w:hAnsi="宋体" w:cs="宋体"/>
                <w:sz w:val="18"/>
                <w:szCs w:val="18"/>
              </w:rPr>
            </w:pPr>
            <w:r>
              <w:rPr>
                <w:rFonts w:ascii="宋体" w:hAnsi="宋体" w:cs="宋体"/>
                <w:kern w:val="0"/>
                <w:sz w:val="18"/>
                <w:szCs w:val="18"/>
                <w:lang w:bidi="ar"/>
              </w:rPr>
              <w:t>非吸收性外科缝线（涤纶编织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CFDE">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3A69">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10A4">
            <w:pPr>
              <w:widowControl/>
              <w:jc w:val="center"/>
              <w:textAlignment w:val="center"/>
              <w:rPr>
                <w:rFonts w:ascii="宋体" w:hAnsi="宋体" w:cs="宋体"/>
                <w:sz w:val="18"/>
                <w:szCs w:val="18"/>
              </w:rPr>
            </w:pPr>
            <w:r>
              <w:rPr>
                <w:rFonts w:ascii="宋体" w:hAnsi="宋体" w:cs="宋体"/>
                <w:kern w:val="0"/>
                <w:sz w:val="18"/>
                <w:szCs w:val="18"/>
                <w:lang w:bidi="ar"/>
              </w:rPr>
              <w:t>包</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9135">
            <w:pPr>
              <w:widowControl/>
              <w:jc w:val="center"/>
              <w:textAlignment w:val="center"/>
              <w:rPr>
                <w:rFonts w:ascii="宋体" w:hAnsi="宋体" w:cs="宋体"/>
                <w:sz w:val="18"/>
                <w:szCs w:val="18"/>
              </w:rPr>
            </w:pPr>
            <w:r>
              <w:rPr>
                <w:rFonts w:ascii="宋体" w:hAnsi="宋体" w:cs="宋体"/>
                <w:kern w:val="0"/>
                <w:sz w:val="18"/>
                <w:szCs w:val="18"/>
                <w:lang w:bidi="ar"/>
              </w:rPr>
              <w:t xml:space="preserve">13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067F">
            <w:pPr>
              <w:widowControl/>
              <w:jc w:val="center"/>
              <w:textAlignment w:val="center"/>
              <w:rPr>
                <w:rFonts w:ascii="宋体" w:hAnsi="宋体" w:cs="宋体"/>
                <w:sz w:val="18"/>
                <w:szCs w:val="18"/>
              </w:rPr>
            </w:pPr>
            <w:r>
              <w:rPr>
                <w:rFonts w:ascii="宋体" w:hAnsi="宋体" w:cs="宋体"/>
                <w:kern w:val="0"/>
                <w:sz w:val="18"/>
                <w:szCs w:val="18"/>
                <w:lang w:bidi="ar"/>
              </w:rPr>
              <w:t xml:space="preserve">1600 </w:t>
            </w:r>
          </w:p>
        </w:tc>
      </w:tr>
      <w:tr w14:paraId="731CD6AB">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A5401">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4C0A">
            <w:pPr>
              <w:widowControl/>
              <w:jc w:val="center"/>
              <w:textAlignment w:val="center"/>
              <w:rPr>
                <w:rFonts w:ascii="宋体" w:hAnsi="宋体" w:cs="宋体"/>
                <w:sz w:val="18"/>
                <w:szCs w:val="18"/>
              </w:rPr>
            </w:pPr>
            <w:r>
              <w:rPr>
                <w:rFonts w:ascii="宋体" w:hAnsi="宋体" w:cs="宋体"/>
                <w:kern w:val="0"/>
                <w:sz w:val="18"/>
                <w:szCs w:val="18"/>
                <w:lang w:bidi="ar"/>
              </w:rPr>
              <w:t xml:space="preserve">2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868E">
            <w:pPr>
              <w:widowControl/>
              <w:jc w:val="center"/>
              <w:textAlignment w:val="center"/>
              <w:rPr>
                <w:rFonts w:ascii="宋体" w:hAnsi="宋体" w:cs="宋体"/>
                <w:sz w:val="18"/>
                <w:szCs w:val="18"/>
              </w:rPr>
            </w:pPr>
            <w:r>
              <w:rPr>
                <w:rFonts w:ascii="宋体" w:hAnsi="宋体" w:cs="宋体"/>
                <w:kern w:val="0"/>
                <w:sz w:val="18"/>
                <w:szCs w:val="18"/>
                <w:lang w:bidi="ar"/>
              </w:rPr>
              <w:t>非吸收性外科缝线（尼龙线）</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BD9A">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2CC0">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EA4D">
            <w:pPr>
              <w:widowControl/>
              <w:jc w:val="center"/>
              <w:textAlignment w:val="center"/>
              <w:rPr>
                <w:rFonts w:ascii="宋体" w:hAnsi="宋体" w:cs="宋体"/>
                <w:sz w:val="18"/>
                <w:szCs w:val="18"/>
              </w:rPr>
            </w:pPr>
            <w:r>
              <w:rPr>
                <w:rFonts w:ascii="宋体" w:hAnsi="宋体" w:cs="宋体"/>
                <w:kern w:val="0"/>
                <w:sz w:val="18"/>
                <w:szCs w:val="18"/>
                <w:lang w:bidi="ar"/>
              </w:rPr>
              <w:t>包</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CEB0">
            <w:pPr>
              <w:widowControl/>
              <w:jc w:val="center"/>
              <w:textAlignment w:val="center"/>
              <w:rPr>
                <w:rFonts w:ascii="宋体" w:hAnsi="宋体" w:cs="宋体"/>
                <w:sz w:val="18"/>
                <w:szCs w:val="18"/>
              </w:rPr>
            </w:pPr>
            <w:r>
              <w:rPr>
                <w:rFonts w:ascii="宋体" w:hAnsi="宋体" w:cs="宋体"/>
                <w:kern w:val="0"/>
                <w:sz w:val="18"/>
                <w:szCs w:val="18"/>
                <w:lang w:bidi="ar"/>
              </w:rPr>
              <w:t xml:space="preserve">12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D31B">
            <w:pPr>
              <w:widowControl/>
              <w:jc w:val="center"/>
              <w:textAlignment w:val="center"/>
              <w:rPr>
                <w:rFonts w:ascii="宋体" w:hAnsi="宋体" w:cs="宋体"/>
                <w:sz w:val="18"/>
                <w:szCs w:val="18"/>
              </w:rPr>
            </w:pPr>
            <w:r>
              <w:rPr>
                <w:rFonts w:ascii="宋体" w:hAnsi="宋体" w:cs="宋体"/>
                <w:kern w:val="0"/>
                <w:sz w:val="18"/>
                <w:szCs w:val="18"/>
                <w:lang w:bidi="ar"/>
              </w:rPr>
              <w:t xml:space="preserve">40949 </w:t>
            </w:r>
          </w:p>
        </w:tc>
      </w:tr>
      <w:tr w14:paraId="4580647C">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CFEC">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1E51">
            <w:pPr>
              <w:widowControl/>
              <w:jc w:val="center"/>
              <w:textAlignment w:val="center"/>
              <w:rPr>
                <w:rFonts w:ascii="宋体" w:hAnsi="宋体" w:cs="宋体"/>
                <w:sz w:val="18"/>
                <w:szCs w:val="18"/>
              </w:rPr>
            </w:pPr>
            <w:r>
              <w:rPr>
                <w:rFonts w:ascii="宋体" w:hAnsi="宋体" w:cs="宋体"/>
                <w:kern w:val="0"/>
                <w:sz w:val="18"/>
                <w:szCs w:val="18"/>
                <w:lang w:bidi="ar"/>
              </w:rPr>
              <w:t xml:space="preserve">3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7E7D">
            <w:pPr>
              <w:widowControl/>
              <w:jc w:val="center"/>
              <w:textAlignment w:val="center"/>
              <w:rPr>
                <w:rFonts w:ascii="宋体" w:hAnsi="宋体" w:cs="宋体"/>
                <w:sz w:val="18"/>
                <w:szCs w:val="18"/>
              </w:rPr>
            </w:pPr>
            <w:r>
              <w:rPr>
                <w:rFonts w:ascii="宋体" w:hAnsi="宋体" w:cs="宋体"/>
                <w:kern w:val="0"/>
                <w:sz w:val="18"/>
                <w:szCs w:val="18"/>
                <w:lang w:bidi="ar"/>
              </w:rPr>
              <w:t>一次性注射器（阻滞麻醉用）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8B3D">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6834">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3D65">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9E85">
            <w:pPr>
              <w:widowControl/>
              <w:jc w:val="center"/>
              <w:textAlignment w:val="center"/>
              <w:rPr>
                <w:rFonts w:ascii="宋体" w:hAnsi="宋体" w:cs="宋体"/>
                <w:sz w:val="18"/>
                <w:szCs w:val="18"/>
              </w:rPr>
            </w:pPr>
            <w:r>
              <w:rPr>
                <w:rFonts w:ascii="宋体" w:hAnsi="宋体" w:cs="宋体"/>
                <w:kern w:val="0"/>
                <w:sz w:val="18"/>
                <w:szCs w:val="18"/>
                <w:lang w:bidi="ar"/>
              </w:rPr>
              <w:t xml:space="preserve">0.42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25C4">
            <w:pPr>
              <w:widowControl/>
              <w:jc w:val="center"/>
              <w:textAlignment w:val="center"/>
              <w:rPr>
                <w:rFonts w:ascii="宋体" w:hAnsi="宋体" w:cs="宋体"/>
                <w:sz w:val="18"/>
                <w:szCs w:val="18"/>
              </w:rPr>
            </w:pPr>
            <w:r>
              <w:rPr>
                <w:rFonts w:ascii="宋体" w:hAnsi="宋体" w:cs="宋体"/>
                <w:kern w:val="0"/>
                <w:sz w:val="18"/>
                <w:szCs w:val="18"/>
                <w:lang w:bidi="ar"/>
              </w:rPr>
              <w:t xml:space="preserve">25233 </w:t>
            </w:r>
          </w:p>
        </w:tc>
      </w:tr>
      <w:tr w14:paraId="46004B44">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5FBB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2745">
            <w:pPr>
              <w:widowControl/>
              <w:jc w:val="center"/>
              <w:textAlignment w:val="center"/>
              <w:rPr>
                <w:rFonts w:ascii="宋体" w:hAnsi="宋体" w:cs="宋体"/>
                <w:sz w:val="18"/>
                <w:szCs w:val="18"/>
              </w:rPr>
            </w:pPr>
            <w:r>
              <w:rPr>
                <w:rFonts w:ascii="宋体" w:hAnsi="宋体" w:cs="宋体"/>
                <w:kern w:val="0"/>
                <w:sz w:val="18"/>
                <w:szCs w:val="18"/>
                <w:lang w:bidi="ar"/>
              </w:rPr>
              <w:t xml:space="preserve">4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67CE">
            <w:pPr>
              <w:widowControl/>
              <w:jc w:val="center"/>
              <w:textAlignment w:val="center"/>
              <w:rPr>
                <w:rFonts w:ascii="宋体" w:hAnsi="宋体" w:cs="宋体"/>
                <w:sz w:val="18"/>
                <w:szCs w:val="18"/>
              </w:rPr>
            </w:pPr>
            <w:r>
              <w:rPr>
                <w:rFonts w:ascii="宋体" w:hAnsi="宋体" w:cs="宋体"/>
                <w:kern w:val="0"/>
                <w:sz w:val="18"/>
                <w:szCs w:val="18"/>
                <w:lang w:bidi="ar"/>
              </w:rPr>
              <w:t>一次性注射器（冲洗针）</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F06F">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3CAF">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D01C">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0A9D">
            <w:pPr>
              <w:widowControl/>
              <w:jc w:val="center"/>
              <w:textAlignment w:val="center"/>
              <w:rPr>
                <w:rFonts w:ascii="宋体" w:hAnsi="宋体" w:cs="宋体"/>
                <w:sz w:val="18"/>
                <w:szCs w:val="18"/>
              </w:rPr>
            </w:pPr>
            <w:r>
              <w:rPr>
                <w:rFonts w:ascii="宋体" w:hAnsi="宋体" w:cs="宋体"/>
                <w:kern w:val="0"/>
                <w:sz w:val="18"/>
                <w:szCs w:val="18"/>
                <w:lang w:bidi="ar"/>
              </w:rPr>
              <w:t xml:space="preserve">0.75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C276">
            <w:pPr>
              <w:widowControl/>
              <w:jc w:val="center"/>
              <w:textAlignment w:val="center"/>
              <w:rPr>
                <w:rFonts w:ascii="宋体" w:hAnsi="宋体" w:cs="宋体"/>
                <w:sz w:val="18"/>
                <w:szCs w:val="18"/>
              </w:rPr>
            </w:pPr>
            <w:r>
              <w:rPr>
                <w:rFonts w:ascii="宋体" w:hAnsi="宋体" w:cs="宋体"/>
                <w:kern w:val="0"/>
                <w:sz w:val="18"/>
                <w:szCs w:val="18"/>
                <w:lang w:bidi="ar"/>
              </w:rPr>
              <w:t xml:space="preserve">57733 </w:t>
            </w:r>
          </w:p>
        </w:tc>
      </w:tr>
      <w:tr w14:paraId="50A8422F">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DDF84">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B5BFB">
            <w:pPr>
              <w:widowControl/>
              <w:jc w:val="center"/>
              <w:textAlignment w:val="center"/>
              <w:rPr>
                <w:rFonts w:ascii="宋体" w:hAnsi="宋体" w:cs="宋体"/>
                <w:sz w:val="18"/>
                <w:szCs w:val="18"/>
              </w:rPr>
            </w:pPr>
            <w:r>
              <w:rPr>
                <w:rFonts w:ascii="宋体" w:hAnsi="宋体" w:cs="宋体"/>
                <w:kern w:val="0"/>
                <w:sz w:val="18"/>
                <w:szCs w:val="18"/>
                <w:lang w:bidi="ar"/>
              </w:rPr>
              <w:t xml:space="preserve">5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8E48">
            <w:pPr>
              <w:widowControl/>
              <w:jc w:val="center"/>
              <w:textAlignment w:val="center"/>
              <w:rPr>
                <w:rFonts w:ascii="宋体" w:hAnsi="宋体" w:cs="宋体"/>
                <w:sz w:val="18"/>
                <w:szCs w:val="18"/>
              </w:rPr>
            </w:pPr>
            <w:r>
              <w:rPr>
                <w:rFonts w:ascii="宋体" w:hAnsi="宋体" w:cs="宋体"/>
                <w:kern w:val="0"/>
                <w:sz w:val="18"/>
                <w:szCs w:val="18"/>
                <w:lang w:bidi="ar"/>
              </w:rPr>
              <w:t>一次性注射器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689C">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0D08">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F4EE">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7EF4">
            <w:pPr>
              <w:widowControl/>
              <w:jc w:val="center"/>
              <w:textAlignment w:val="center"/>
              <w:rPr>
                <w:rFonts w:ascii="宋体" w:hAnsi="宋体" w:cs="宋体"/>
                <w:sz w:val="18"/>
                <w:szCs w:val="18"/>
              </w:rPr>
            </w:pPr>
            <w:r>
              <w:rPr>
                <w:rFonts w:ascii="宋体" w:hAnsi="宋体" w:cs="宋体"/>
                <w:kern w:val="0"/>
                <w:sz w:val="18"/>
                <w:szCs w:val="18"/>
                <w:lang w:bidi="ar"/>
              </w:rPr>
              <w:t xml:space="preserve">0.42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F953">
            <w:pPr>
              <w:widowControl/>
              <w:jc w:val="center"/>
              <w:textAlignment w:val="center"/>
              <w:rPr>
                <w:rFonts w:ascii="宋体" w:hAnsi="宋体" w:cs="宋体"/>
                <w:sz w:val="18"/>
                <w:szCs w:val="18"/>
              </w:rPr>
            </w:pPr>
            <w:r>
              <w:rPr>
                <w:rFonts w:ascii="宋体" w:hAnsi="宋体" w:cs="宋体"/>
                <w:kern w:val="0"/>
                <w:sz w:val="18"/>
                <w:szCs w:val="18"/>
                <w:lang w:bidi="ar"/>
              </w:rPr>
              <w:t xml:space="preserve">100 </w:t>
            </w:r>
          </w:p>
        </w:tc>
      </w:tr>
      <w:tr w14:paraId="29783959">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B4846">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6B48">
            <w:pPr>
              <w:widowControl/>
              <w:jc w:val="center"/>
              <w:textAlignment w:val="center"/>
              <w:rPr>
                <w:rFonts w:ascii="宋体" w:hAnsi="宋体" w:cs="宋体"/>
                <w:sz w:val="18"/>
                <w:szCs w:val="18"/>
              </w:rPr>
            </w:pPr>
            <w:r>
              <w:rPr>
                <w:rFonts w:ascii="宋体" w:hAnsi="宋体" w:cs="宋体"/>
                <w:kern w:val="0"/>
                <w:sz w:val="18"/>
                <w:szCs w:val="18"/>
                <w:lang w:bidi="ar"/>
              </w:rPr>
              <w:t xml:space="preserve">6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CBA9">
            <w:pPr>
              <w:widowControl/>
              <w:jc w:val="center"/>
              <w:textAlignment w:val="center"/>
              <w:rPr>
                <w:rFonts w:ascii="宋体" w:hAnsi="宋体" w:cs="宋体"/>
                <w:sz w:val="18"/>
                <w:szCs w:val="18"/>
              </w:rPr>
            </w:pPr>
            <w:r>
              <w:rPr>
                <w:rFonts w:ascii="宋体" w:hAnsi="宋体" w:cs="宋体"/>
                <w:kern w:val="0"/>
                <w:sz w:val="18"/>
                <w:szCs w:val="18"/>
                <w:lang w:bidi="ar"/>
              </w:rPr>
              <w:t>手柄塑料薄膜袋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9B06">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1FD1">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3803">
            <w:pPr>
              <w:widowControl/>
              <w:jc w:val="center"/>
              <w:textAlignment w:val="center"/>
              <w:rPr>
                <w:rFonts w:ascii="宋体" w:hAnsi="宋体" w:cs="宋体"/>
                <w:sz w:val="18"/>
                <w:szCs w:val="18"/>
              </w:rPr>
            </w:pPr>
            <w:r>
              <w:rPr>
                <w:rFonts w:ascii="宋体" w:hAnsi="宋体" w:cs="宋体"/>
                <w:kern w:val="0"/>
                <w:sz w:val="18"/>
                <w:szCs w:val="18"/>
                <w:lang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53DB">
            <w:pPr>
              <w:widowControl/>
              <w:jc w:val="center"/>
              <w:textAlignment w:val="center"/>
              <w:rPr>
                <w:rFonts w:ascii="宋体" w:hAnsi="宋体" w:cs="宋体"/>
                <w:sz w:val="18"/>
                <w:szCs w:val="18"/>
              </w:rPr>
            </w:pPr>
            <w:r>
              <w:rPr>
                <w:rFonts w:ascii="宋体" w:hAnsi="宋体" w:cs="宋体"/>
                <w:kern w:val="0"/>
                <w:sz w:val="18"/>
                <w:szCs w:val="18"/>
                <w:lang w:bidi="ar"/>
              </w:rPr>
              <w:t xml:space="preserve">0.1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224D">
            <w:pPr>
              <w:widowControl/>
              <w:jc w:val="center"/>
              <w:textAlignment w:val="center"/>
              <w:rPr>
                <w:rFonts w:ascii="宋体" w:hAnsi="宋体" w:cs="宋体"/>
                <w:sz w:val="18"/>
                <w:szCs w:val="18"/>
              </w:rPr>
            </w:pPr>
            <w:r>
              <w:rPr>
                <w:rFonts w:ascii="宋体" w:hAnsi="宋体" w:cs="宋体"/>
                <w:kern w:val="0"/>
                <w:sz w:val="18"/>
                <w:szCs w:val="18"/>
                <w:lang w:bidi="ar"/>
              </w:rPr>
              <w:t xml:space="preserve">2000 </w:t>
            </w:r>
          </w:p>
        </w:tc>
      </w:tr>
      <w:tr w14:paraId="4DC228E1">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D3DA2">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68E7">
            <w:pPr>
              <w:widowControl/>
              <w:jc w:val="center"/>
              <w:textAlignment w:val="center"/>
              <w:rPr>
                <w:rFonts w:ascii="宋体" w:hAnsi="宋体" w:cs="宋体"/>
                <w:sz w:val="18"/>
                <w:szCs w:val="18"/>
              </w:rPr>
            </w:pPr>
            <w:r>
              <w:rPr>
                <w:rFonts w:ascii="宋体" w:hAnsi="宋体" w:cs="宋体"/>
                <w:kern w:val="0"/>
                <w:sz w:val="18"/>
                <w:szCs w:val="18"/>
                <w:lang w:bidi="ar"/>
              </w:rPr>
              <w:t xml:space="preserve">7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0340">
            <w:pPr>
              <w:widowControl/>
              <w:jc w:val="center"/>
              <w:textAlignment w:val="center"/>
              <w:rPr>
                <w:rFonts w:ascii="宋体" w:hAnsi="宋体" w:cs="宋体"/>
                <w:sz w:val="18"/>
                <w:szCs w:val="18"/>
              </w:rPr>
            </w:pPr>
            <w:r>
              <w:rPr>
                <w:rFonts w:ascii="宋体" w:hAnsi="宋体" w:cs="宋体"/>
                <w:kern w:val="0"/>
                <w:sz w:val="18"/>
                <w:szCs w:val="18"/>
                <w:lang w:bidi="ar"/>
              </w:rPr>
              <w:t>一次性使用无菌巾</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D4C9">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B566">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8607">
            <w:pPr>
              <w:widowControl/>
              <w:jc w:val="center"/>
              <w:textAlignment w:val="center"/>
              <w:rPr>
                <w:rFonts w:ascii="宋体" w:hAnsi="宋体" w:cs="宋体"/>
                <w:sz w:val="18"/>
                <w:szCs w:val="18"/>
              </w:rPr>
            </w:pPr>
            <w:r>
              <w:rPr>
                <w:rFonts w:ascii="宋体" w:hAnsi="宋体" w:cs="宋体"/>
                <w:kern w:val="0"/>
                <w:sz w:val="18"/>
                <w:szCs w:val="18"/>
                <w:lang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B2DD">
            <w:pPr>
              <w:widowControl/>
              <w:jc w:val="center"/>
              <w:textAlignment w:val="center"/>
              <w:rPr>
                <w:rFonts w:ascii="宋体" w:hAnsi="宋体" w:cs="宋体"/>
                <w:sz w:val="18"/>
                <w:szCs w:val="18"/>
              </w:rPr>
            </w:pPr>
            <w:r>
              <w:rPr>
                <w:rFonts w:ascii="宋体" w:hAnsi="宋体" w:cs="宋体"/>
                <w:kern w:val="0"/>
                <w:sz w:val="18"/>
                <w:szCs w:val="18"/>
                <w:lang w:bidi="ar"/>
              </w:rPr>
              <w:t xml:space="preserve">1.5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144E">
            <w:pPr>
              <w:widowControl/>
              <w:jc w:val="center"/>
              <w:textAlignment w:val="center"/>
              <w:rPr>
                <w:rFonts w:ascii="宋体" w:hAnsi="宋体" w:cs="宋体"/>
                <w:sz w:val="18"/>
                <w:szCs w:val="18"/>
              </w:rPr>
            </w:pPr>
            <w:r>
              <w:rPr>
                <w:rFonts w:ascii="宋体" w:hAnsi="宋体" w:cs="宋体"/>
                <w:kern w:val="0"/>
                <w:sz w:val="18"/>
                <w:szCs w:val="18"/>
                <w:lang w:bidi="ar"/>
              </w:rPr>
              <w:t xml:space="preserve">527 </w:t>
            </w:r>
          </w:p>
        </w:tc>
      </w:tr>
      <w:tr w14:paraId="5A368F2E">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36A2">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2830">
            <w:pPr>
              <w:widowControl/>
              <w:jc w:val="center"/>
              <w:textAlignment w:val="center"/>
              <w:rPr>
                <w:rFonts w:ascii="宋体" w:hAnsi="宋体" w:cs="宋体"/>
                <w:sz w:val="18"/>
                <w:szCs w:val="18"/>
              </w:rPr>
            </w:pPr>
            <w:r>
              <w:rPr>
                <w:rFonts w:ascii="宋体" w:hAnsi="宋体" w:cs="宋体"/>
                <w:kern w:val="0"/>
                <w:sz w:val="18"/>
                <w:szCs w:val="18"/>
                <w:lang w:bidi="ar"/>
              </w:rPr>
              <w:t xml:space="preserve">8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A159">
            <w:pPr>
              <w:widowControl/>
              <w:jc w:val="center"/>
              <w:textAlignment w:val="center"/>
              <w:rPr>
                <w:rFonts w:ascii="宋体" w:hAnsi="宋体" w:cs="宋体"/>
                <w:sz w:val="18"/>
                <w:szCs w:val="18"/>
              </w:rPr>
            </w:pPr>
            <w:r>
              <w:rPr>
                <w:rFonts w:ascii="宋体" w:hAnsi="宋体" w:cs="宋体"/>
                <w:kern w:val="0"/>
                <w:sz w:val="18"/>
                <w:szCs w:val="18"/>
                <w:lang w:bidi="ar"/>
              </w:rPr>
              <w:t>碘伏棉签</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909F">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9B27">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F63C">
            <w:pPr>
              <w:widowControl/>
              <w:jc w:val="center"/>
              <w:textAlignment w:val="center"/>
              <w:rPr>
                <w:rFonts w:ascii="宋体" w:hAnsi="宋体" w:cs="宋体"/>
                <w:sz w:val="18"/>
                <w:szCs w:val="18"/>
              </w:rPr>
            </w:pPr>
            <w:r>
              <w:rPr>
                <w:rFonts w:ascii="宋体" w:hAnsi="宋体" w:cs="宋体"/>
                <w:kern w:val="0"/>
                <w:sz w:val="18"/>
                <w:szCs w:val="18"/>
                <w:lang w:bidi="ar"/>
              </w:rPr>
              <w:t>罐</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C262">
            <w:pPr>
              <w:widowControl/>
              <w:jc w:val="center"/>
              <w:textAlignment w:val="center"/>
              <w:rPr>
                <w:rFonts w:ascii="宋体" w:hAnsi="宋体" w:cs="宋体"/>
                <w:sz w:val="18"/>
                <w:szCs w:val="18"/>
              </w:rPr>
            </w:pPr>
            <w:r>
              <w:rPr>
                <w:rFonts w:ascii="宋体" w:hAnsi="宋体" w:cs="宋体"/>
                <w:kern w:val="0"/>
                <w:sz w:val="18"/>
                <w:szCs w:val="18"/>
                <w:lang w:bidi="ar"/>
              </w:rPr>
              <w:t xml:space="preserve">3.2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3FBC">
            <w:pPr>
              <w:widowControl/>
              <w:jc w:val="center"/>
              <w:textAlignment w:val="center"/>
              <w:rPr>
                <w:rFonts w:ascii="宋体" w:hAnsi="宋体" w:cs="宋体"/>
                <w:sz w:val="18"/>
                <w:szCs w:val="18"/>
              </w:rPr>
            </w:pPr>
            <w:r>
              <w:rPr>
                <w:rFonts w:ascii="宋体" w:hAnsi="宋体" w:cs="宋体"/>
                <w:kern w:val="0"/>
                <w:sz w:val="18"/>
                <w:szCs w:val="18"/>
                <w:lang w:bidi="ar"/>
              </w:rPr>
              <w:t xml:space="preserve">1147 </w:t>
            </w:r>
          </w:p>
        </w:tc>
      </w:tr>
      <w:tr w14:paraId="1367FA06">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C2DE">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362A">
            <w:pPr>
              <w:widowControl/>
              <w:jc w:val="center"/>
              <w:textAlignment w:val="center"/>
              <w:rPr>
                <w:rFonts w:ascii="宋体" w:hAnsi="宋体" w:cs="宋体"/>
                <w:sz w:val="18"/>
                <w:szCs w:val="18"/>
              </w:rPr>
            </w:pPr>
            <w:r>
              <w:rPr>
                <w:rFonts w:ascii="宋体" w:hAnsi="宋体" w:cs="宋体"/>
                <w:kern w:val="0"/>
                <w:sz w:val="18"/>
                <w:szCs w:val="18"/>
                <w:lang w:bidi="ar"/>
              </w:rPr>
              <w:t xml:space="preserve">9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1FE1">
            <w:pPr>
              <w:widowControl/>
              <w:jc w:val="center"/>
              <w:textAlignment w:val="center"/>
              <w:rPr>
                <w:rFonts w:ascii="宋体" w:hAnsi="宋体" w:cs="宋体"/>
                <w:sz w:val="18"/>
                <w:szCs w:val="18"/>
              </w:rPr>
            </w:pPr>
            <w:r>
              <w:rPr>
                <w:rFonts w:ascii="宋体" w:hAnsi="宋体" w:cs="宋体"/>
                <w:kern w:val="0"/>
                <w:sz w:val="18"/>
                <w:szCs w:val="18"/>
                <w:lang w:bidi="ar"/>
              </w:rPr>
              <w:t>医用棉签（无菌）</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7274">
            <w:pPr>
              <w:widowControl/>
              <w:jc w:val="center"/>
              <w:textAlignment w:val="center"/>
              <w:rPr>
                <w:rFonts w:ascii="宋体" w:hAnsi="宋体" w:cs="宋体"/>
                <w:sz w:val="18"/>
                <w:szCs w:val="18"/>
              </w:rPr>
            </w:pPr>
            <w:r>
              <w:rPr>
                <w:rFonts w:ascii="宋体" w:hAnsi="宋体" w:cs="宋体"/>
                <w:kern w:val="0"/>
                <w:sz w:val="18"/>
                <w:szCs w:val="18"/>
                <w:lang w:bidi="ar"/>
              </w:rPr>
              <w:t>3支/袋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F081">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86AA">
            <w:pPr>
              <w:widowControl/>
              <w:jc w:val="center"/>
              <w:textAlignment w:val="center"/>
              <w:rPr>
                <w:rFonts w:ascii="宋体" w:hAnsi="宋体" w:cs="宋体"/>
                <w:sz w:val="18"/>
                <w:szCs w:val="18"/>
              </w:rPr>
            </w:pPr>
            <w:r>
              <w:rPr>
                <w:rFonts w:ascii="宋体" w:hAnsi="宋体" w:cs="宋体"/>
                <w:kern w:val="0"/>
                <w:sz w:val="18"/>
                <w:szCs w:val="18"/>
                <w:lang w:bidi="ar"/>
              </w:rPr>
              <w:t>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FB91">
            <w:pPr>
              <w:widowControl/>
              <w:jc w:val="center"/>
              <w:textAlignment w:val="center"/>
              <w:rPr>
                <w:rFonts w:ascii="宋体" w:hAnsi="宋体" w:cs="宋体"/>
                <w:sz w:val="18"/>
                <w:szCs w:val="18"/>
              </w:rPr>
            </w:pPr>
            <w:r>
              <w:rPr>
                <w:rFonts w:ascii="宋体" w:hAnsi="宋体" w:cs="宋体"/>
                <w:kern w:val="0"/>
                <w:sz w:val="18"/>
                <w:szCs w:val="18"/>
                <w:lang w:bidi="ar"/>
              </w:rPr>
              <w:t xml:space="preserve">0.08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ECC6">
            <w:pPr>
              <w:widowControl/>
              <w:jc w:val="center"/>
              <w:textAlignment w:val="center"/>
              <w:rPr>
                <w:rFonts w:ascii="宋体" w:hAnsi="宋体" w:cs="宋体"/>
                <w:sz w:val="18"/>
                <w:szCs w:val="18"/>
              </w:rPr>
            </w:pPr>
            <w:r>
              <w:rPr>
                <w:rFonts w:ascii="宋体" w:hAnsi="宋体" w:cs="宋体"/>
                <w:kern w:val="0"/>
                <w:sz w:val="18"/>
                <w:szCs w:val="18"/>
                <w:lang w:bidi="ar"/>
              </w:rPr>
              <w:t xml:space="preserve">18367 </w:t>
            </w:r>
          </w:p>
        </w:tc>
      </w:tr>
      <w:tr w14:paraId="7DAB428F">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20E0">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D591">
            <w:pPr>
              <w:widowControl/>
              <w:jc w:val="center"/>
              <w:textAlignment w:val="center"/>
              <w:rPr>
                <w:rFonts w:ascii="宋体" w:hAnsi="宋体" w:cs="宋体"/>
                <w:sz w:val="18"/>
                <w:szCs w:val="18"/>
              </w:rPr>
            </w:pPr>
            <w:r>
              <w:rPr>
                <w:rFonts w:ascii="宋体" w:hAnsi="宋体" w:cs="宋体"/>
                <w:kern w:val="0"/>
                <w:sz w:val="18"/>
                <w:szCs w:val="18"/>
                <w:lang w:bidi="ar"/>
              </w:rPr>
              <w:t xml:space="preserve">10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7D64">
            <w:pPr>
              <w:widowControl/>
              <w:jc w:val="center"/>
              <w:textAlignment w:val="center"/>
              <w:rPr>
                <w:rFonts w:ascii="宋体" w:hAnsi="宋体" w:cs="宋体"/>
                <w:sz w:val="18"/>
                <w:szCs w:val="18"/>
              </w:rPr>
            </w:pPr>
            <w:r>
              <w:rPr>
                <w:rFonts w:ascii="宋体" w:hAnsi="宋体" w:cs="宋体"/>
                <w:kern w:val="0"/>
                <w:sz w:val="18"/>
                <w:szCs w:val="18"/>
                <w:lang w:bidi="ar"/>
              </w:rPr>
              <w:t>医用棉签（无菌）</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E3C4">
            <w:pPr>
              <w:widowControl/>
              <w:jc w:val="center"/>
              <w:textAlignment w:val="center"/>
              <w:rPr>
                <w:rFonts w:ascii="宋体" w:hAnsi="宋体" w:cs="宋体"/>
                <w:sz w:val="18"/>
                <w:szCs w:val="18"/>
              </w:rPr>
            </w:pPr>
            <w:r>
              <w:rPr>
                <w:rFonts w:ascii="宋体" w:hAnsi="宋体" w:cs="宋体"/>
                <w:kern w:val="0"/>
                <w:sz w:val="18"/>
                <w:szCs w:val="18"/>
                <w:lang w:bidi="ar"/>
              </w:rPr>
              <w:t>20支/袋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17C1">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6E30">
            <w:pPr>
              <w:widowControl/>
              <w:jc w:val="center"/>
              <w:textAlignment w:val="center"/>
              <w:rPr>
                <w:rFonts w:ascii="宋体" w:hAnsi="宋体" w:cs="宋体"/>
                <w:sz w:val="18"/>
                <w:szCs w:val="18"/>
              </w:rPr>
            </w:pPr>
            <w:r>
              <w:rPr>
                <w:rFonts w:ascii="宋体" w:hAnsi="宋体" w:cs="宋体"/>
                <w:kern w:val="0"/>
                <w:sz w:val="18"/>
                <w:szCs w:val="18"/>
                <w:lang w:bidi="ar"/>
              </w:rPr>
              <w:t>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8F87">
            <w:pPr>
              <w:widowControl/>
              <w:jc w:val="center"/>
              <w:textAlignment w:val="center"/>
              <w:rPr>
                <w:rFonts w:ascii="宋体" w:hAnsi="宋体" w:cs="宋体"/>
                <w:sz w:val="18"/>
                <w:szCs w:val="18"/>
              </w:rPr>
            </w:pPr>
            <w:r>
              <w:rPr>
                <w:rFonts w:ascii="宋体" w:hAnsi="宋体" w:cs="宋体"/>
                <w:kern w:val="0"/>
                <w:sz w:val="18"/>
                <w:szCs w:val="18"/>
                <w:lang w:bidi="ar"/>
              </w:rPr>
              <w:t xml:space="preserve">0.28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AD61">
            <w:pPr>
              <w:widowControl/>
              <w:jc w:val="center"/>
              <w:textAlignment w:val="center"/>
              <w:rPr>
                <w:rFonts w:ascii="宋体" w:hAnsi="宋体" w:cs="宋体"/>
                <w:sz w:val="18"/>
                <w:szCs w:val="18"/>
              </w:rPr>
            </w:pPr>
            <w:r>
              <w:rPr>
                <w:rFonts w:ascii="宋体" w:hAnsi="宋体" w:cs="宋体"/>
                <w:kern w:val="0"/>
                <w:sz w:val="18"/>
                <w:szCs w:val="18"/>
                <w:lang w:bidi="ar"/>
              </w:rPr>
              <w:t xml:space="preserve">1933 </w:t>
            </w:r>
          </w:p>
        </w:tc>
      </w:tr>
      <w:tr w14:paraId="68EA3526">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03E5">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45B1">
            <w:pPr>
              <w:widowControl/>
              <w:jc w:val="center"/>
              <w:textAlignment w:val="center"/>
              <w:rPr>
                <w:rFonts w:ascii="宋体" w:hAnsi="宋体" w:cs="宋体"/>
                <w:sz w:val="18"/>
                <w:szCs w:val="18"/>
              </w:rPr>
            </w:pPr>
            <w:r>
              <w:rPr>
                <w:rFonts w:ascii="宋体" w:hAnsi="宋体" w:cs="宋体"/>
                <w:kern w:val="0"/>
                <w:sz w:val="18"/>
                <w:szCs w:val="18"/>
                <w:lang w:bidi="ar"/>
              </w:rPr>
              <w:t xml:space="preserve">11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9821">
            <w:pPr>
              <w:widowControl/>
              <w:jc w:val="center"/>
              <w:textAlignment w:val="center"/>
              <w:rPr>
                <w:rFonts w:ascii="宋体" w:hAnsi="宋体" w:cs="宋体"/>
                <w:sz w:val="18"/>
                <w:szCs w:val="18"/>
              </w:rPr>
            </w:pPr>
            <w:r>
              <w:rPr>
                <w:rFonts w:ascii="宋体" w:hAnsi="宋体" w:cs="宋体"/>
                <w:kern w:val="0"/>
                <w:sz w:val="18"/>
                <w:szCs w:val="18"/>
                <w:lang w:bidi="ar"/>
              </w:rPr>
              <w:t>擦手纸</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B8E4">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F4D5">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BD52">
            <w:pPr>
              <w:widowControl/>
              <w:jc w:val="center"/>
              <w:textAlignment w:val="center"/>
              <w:rPr>
                <w:rFonts w:ascii="宋体" w:hAnsi="宋体" w:cs="宋体"/>
                <w:sz w:val="18"/>
                <w:szCs w:val="18"/>
              </w:rPr>
            </w:pPr>
            <w:r>
              <w:rPr>
                <w:rFonts w:ascii="宋体" w:hAnsi="宋体" w:cs="宋体"/>
                <w:kern w:val="0"/>
                <w:sz w:val="18"/>
                <w:szCs w:val="18"/>
                <w:lang w:bidi="ar"/>
              </w:rPr>
              <w:t>包</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DC59">
            <w:pPr>
              <w:widowControl/>
              <w:jc w:val="center"/>
              <w:textAlignment w:val="center"/>
              <w:rPr>
                <w:rFonts w:ascii="宋体" w:hAnsi="宋体" w:cs="宋体"/>
                <w:sz w:val="18"/>
                <w:szCs w:val="18"/>
              </w:rPr>
            </w:pPr>
            <w:r>
              <w:rPr>
                <w:rFonts w:ascii="宋体" w:hAnsi="宋体" w:cs="宋体"/>
                <w:kern w:val="0"/>
                <w:sz w:val="18"/>
                <w:szCs w:val="18"/>
                <w:lang w:bidi="ar"/>
              </w:rPr>
              <w:t xml:space="preserve">7.5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4A312">
            <w:pPr>
              <w:widowControl/>
              <w:jc w:val="center"/>
              <w:textAlignment w:val="center"/>
              <w:rPr>
                <w:rFonts w:ascii="宋体" w:hAnsi="宋体" w:cs="宋体"/>
                <w:sz w:val="18"/>
                <w:szCs w:val="18"/>
              </w:rPr>
            </w:pPr>
            <w:r>
              <w:rPr>
                <w:rFonts w:ascii="宋体" w:hAnsi="宋体" w:cs="宋体"/>
                <w:kern w:val="0"/>
                <w:sz w:val="18"/>
                <w:szCs w:val="18"/>
                <w:lang w:bidi="ar"/>
              </w:rPr>
              <w:t xml:space="preserve">4166 </w:t>
            </w:r>
          </w:p>
        </w:tc>
      </w:tr>
      <w:tr w14:paraId="5DCBA0F5">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1F426">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4CE0">
            <w:pPr>
              <w:widowControl/>
              <w:jc w:val="center"/>
              <w:textAlignment w:val="center"/>
              <w:rPr>
                <w:rFonts w:ascii="宋体" w:hAnsi="宋体" w:cs="宋体"/>
                <w:sz w:val="18"/>
                <w:szCs w:val="18"/>
              </w:rPr>
            </w:pPr>
            <w:r>
              <w:rPr>
                <w:rFonts w:ascii="宋体" w:hAnsi="宋体" w:cs="宋体"/>
                <w:kern w:val="0"/>
                <w:sz w:val="18"/>
                <w:szCs w:val="18"/>
                <w:lang w:bidi="ar"/>
              </w:rPr>
              <w:t xml:space="preserve">12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5102">
            <w:pPr>
              <w:widowControl/>
              <w:jc w:val="center"/>
              <w:textAlignment w:val="center"/>
              <w:rPr>
                <w:rFonts w:ascii="宋体" w:hAnsi="宋体" w:cs="宋体"/>
                <w:sz w:val="18"/>
                <w:szCs w:val="18"/>
              </w:rPr>
            </w:pPr>
            <w:r>
              <w:rPr>
                <w:rFonts w:ascii="宋体" w:hAnsi="宋体" w:cs="宋体"/>
                <w:kern w:val="0"/>
                <w:sz w:val="18"/>
                <w:szCs w:val="18"/>
                <w:lang w:bidi="ar"/>
              </w:rPr>
              <w:t>医用封口机色带</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EB34">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277C">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C919">
            <w:pPr>
              <w:widowControl/>
              <w:jc w:val="center"/>
              <w:textAlignment w:val="center"/>
              <w:rPr>
                <w:rFonts w:ascii="宋体" w:hAnsi="宋体" w:cs="宋体"/>
                <w:sz w:val="18"/>
                <w:szCs w:val="18"/>
              </w:rPr>
            </w:pPr>
            <w:r>
              <w:rPr>
                <w:rFonts w:ascii="宋体" w:hAnsi="宋体" w:cs="宋体"/>
                <w:kern w:val="0"/>
                <w:sz w:val="18"/>
                <w:szCs w:val="18"/>
                <w:lang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57BA">
            <w:pPr>
              <w:widowControl/>
              <w:jc w:val="center"/>
              <w:textAlignment w:val="center"/>
              <w:rPr>
                <w:rFonts w:ascii="宋体" w:hAnsi="宋体" w:cs="宋体"/>
                <w:sz w:val="18"/>
                <w:szCs w:val="18"/>
              </w:rPr>
            </w:pPr>
            <w:r>
              <w:rPr>
                <w:rFonts w:ascii="宋体" w:hAnsi="宋体" w:cs="宋体"/>
                <w:kern w:val="0"/>
                <w:sz w:val="18"/>
                <w:szCs w:val="18"/>
                <w:lang w:bidi="ar"/>
              </w:rPr>
              <w:t xml:space="preserve">160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CCE6">
            <w:pPr>
              <w:widowControl/>
              <w:jc w:val="center"/>
              <w:textAlignment w:val="center"/>
              <w:rPr>
                <w:rFonts w:ascii="宋体" w:hAnsi="宋体" w:cs="宋体"/>
                <w:sz w:val="18"/>
                <w:szCs w:val="18"/>
              </w:rPr>
            </w:pPr>
            <w:r>
              <w:rPr>
                <w:rFonts w:ascii="宋体" w:hAnsi="宋体" w:cs="宋体"/>
                <w:kern w:val="0"/>
                <w:sz w:val="18"/>
                <w:szCs w:val="18"/>
                <w:lang w:bidi="ar"/>
              </w:rPr>
              <w:t xml:space="preserve">15 </w:t>
            </w:r>
          </w:p>
        </w:tc>
      </w:tr>
      <w:tr w14:paraId="0C397064">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1D77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8B29">
            <w:pPr>
              <w:widowControl/>
              <w:jc w:val="center"/>
              <w:textAlignment w:val="center"/>
              <w:rPr>
                <w:rFonts w:ascii="宋体" w:hAnsi="宋体" w:cs="宋体"/>
                <w:sz w:val="18"/>
                <w:szCs w:val="18"/>
              </w:rPr>
            </w:pPr>
            <w:r>
              <w:rPr>
                <w:rFonts w:ascii="宋体" w:hAnsi="宋体" w:cs="宋体"/>
                <w:kern w:val="0"/>
                <w:sz w:val="18"/>
                <w:szCs w:val="18"/>
                <w:lang w:bidi="ar"/>
              </w:rPr>
              <w:t xml:space="preserve">13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C261">
            <w:pPr>
              <w:widowControl/>
              <w:jc w:val="center"/>
              <w:textAlignment w:val="center"/>
              <w:rPr>
                <w:rFonts w:ascii="宋体" w:hAnsi="宋体" w:cs="宋体"/>
                <w:sz w:val="18"/>
                <w:szCs w:val="18"/>
              </w:rPr>
            </w:pPr>
            <w:r>
              <w:rPr>
                <w:rFonts w:ascii="宋体" w:hAnsi="宋体" w:cs="宋体"/>
                <w:kern w:val="0"/>
                <w:sz w:val="18"/>
                <w:szCs w:val="18"/>
                <w:lang w:bidi="ar"/>
              </w:rPr>
              <w:t>牙弓夹板</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0051">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09AC">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0780">
            <w:pPr>
              <w:widowControl/>
              <w:jc w:val="center"/>
              <w:textAlignment w:val="center"/>
              <w:rPr>
                <w:rFonts w:ascii="宋体" w:hAnsi="宋体" w:cs="宋体"/>
                <w:sz w:val="18"/>
                <w:szCs w:val="18"/>
              </w:rPr>
            </w:pPr>
            <w:r>
              <w:rPr>
                <w:rFonts w:ascii="宋体" w:hAnsi="宋体" w:cs="宋体"/>
                <w:kern w:val="0"/>
                <w:sz w:val="18"/>
                <w:szCs w:val="18"/>
                <w:lang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C1EE">
            <w:pPr>
              <w:widowControl/>
              <w:jc w:val="center"/>
              <w:textAlignment w:val="center"/>
              <w:rPr>
                <w:rFonts w:ascii="宋体" w:hAnsi="宋体" w:cs="宋体"/>
                <w:sz w:val="18"/>
                <w:szCs w:val="18"/>
              </w:rPr>
            </w:pPr>
            <w:r>
              <w:rPr>
                <w:rFonts w:ascii="宋体" w:hAnsi="宋体" w:cs="宋体"/>
                <w:kern w:val="0"/>
                <w:sz w:val="18"/>
                <w:szCs w:val="18"/>
                <w:lang w:bidi="ar"/>
              </w:rPr>
              <w:t xml:space="preserve">18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E5C1">
            <w:pPr>
              <w:widowControl/>
              <w:jc w:val="center"/>
              <w:textAlignment w:val="center"/>
              <w:rPr>
                <w:rFonts w:ascii="宋体" w:hAnsi="宋体" w:cs="宋体"/>
                <w:sz w:val="18"/>
                <w:szCs w:val="18"/>
              </w:rPr>
            </w:pPr>
            <w:r>
              <w:rPr>
                <w:rFonts w:ascii="宋体" w:hAnsi="宋体" w:cs="宋体"/>
                <w:kern w:val="0"/>
                <w:sz w:val="18"/>
                <w:szCs w:val="18"/>
                <w:lang w:bidi="ar"/>
              </w:rPr>
              <w:t xml:space="preserve">20 </w:t>
            </w:r>
          </w:p>
        </w:tc>
      </w:tr>
      <w:tr w14:paraId="72783F11">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26084">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0BC7">
            <w:pPr>
              <w:widowControl/>
              <w:jc w:val="center"/>
              <w:textAlignment w:val="center"/>
              <w:rPr>
                <w:rFonts w:ascii="宋体" w:hAnsi="宋体" w:cs="宋体"/>
                <w:sz w:val="18"/>
                <w:szCs w:val="18"/>
              </w:rPr>
            </w:pPr>
            <w:r>
              <w:rPr>
                <w:rFonts w:ascii="宋体" w:hAnsi="宋体" w:cs="宋体"/>
                <w:kern w:val="0"/>
                <w:sz w:val="18"/>
                <w:szCs w:val="18"/>
                <w:lang w:bidi="ar"/>
              </w:rPr>
              <w:t xml:space="preserve">14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F660">
            <w:pPr>
              <w:widowControl/>
              <w:jc w:val="center"/>
              <w:textAlignment w:val="center"/>
              <w:rPr>
                <w:rFonts w:ascii="宋体" w:hAnsi="宋体" w:cs="宋体"/>
                <w:sz w:val="18"/>
                <w:szCs w:val="18"/>
              </w:rPr>
            </w:pPr>
            <w:r>
              <w:rPr>
                <w:rFonts w:ascii="宋体" w:hAnsi="宋体" w:cs="宋体"/>
                <w:kern w:val="0"/>
                <w:sz w:val="18"/>
                <w:szCs w:val="18"/>
                <w:lang w:bidi="ar"/>
              </w:rPr>
              <w:t>一次性使用鼻氧管</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26BD">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F046">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3966">
            <w:pPr>
              <w:widowControl/>
              <w:jc w:val="center"/>
              <w:textAlignment w:val="center"/>
              <w:rPr>
                <w:rFonts w:ascii="宋体" w:hAnsi="宋体" w:cs="宋体"/>
                <w:sz w:val="18"/>
                <w:szCs w:val="18"/>
              </w:rPr>
            </w:pPr>
            <w:r>
              <w:rPr>
                <w:rFonts w:ascii="宋体" w:hAnsi="宋体" w:cs="宋体"/>
                <w:kern w:val="0"/>
                <w:sz w:val="18"/>
                <w:szCs w:val="18"/>
                <w:lang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1B49">
            <w:pPr>
              <w:widowControl/>
              <w:jc w:val="center"/>
              <w:textAlignment w:val="center"/>
              <w:rPr>
                <w:rFonts w:ascii="宋体" w:hAnsi="宋体" w:cs="宋体"/>
                <w:sz w:val="18"/>
                <w:szCs w:val="18"/>
              </w:rPr>
            </w:pPr>
            <w:r>
              <w:rPr>
                <w:rFonts w:ascii="宋体" w:hAnsi="宋体" w:cs="宋体"/>
                <w:kern w:val="0"/>
                <w:sz w:val="18"/>
                <w:szCs w:val="18"/>
                <w:lang w:bidi="ar"/>
              </w:rPr>
              <w:t xml:space="preserve">6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6BF7">
            <w:pPr>
              <w:widowControl/>
              <w:jc w:val="center"/>
              <w:textAlignment w:val="center"/>
              <w:rPr>
                <w:rFonts w:ascii="宋体" w:hAnsi="宋体" w:cs="宋体"/>
                <w:sz w:val="18"/>
                <w:szCs w:val="18"/>
              </w:rPr>
            </w:pPr>
            <w:r>
              <w:rPr>
                <w:rFonts w:ascii="宋体" w:hAnsi="宋体" w:cs="宋体"/>
                <w:kern w:val="0"/>
                <w:sz w:val="18"/>
                <w:szCs w:val="18"/>
                <w:lang w:bidi="ar"/>
              </w:rPr>
              <w:t xml:space="preserve">133 </w:t>
            </w:r>
          </w:p>
        </w:tc>
      </w:tr>
      <w:tr w14:paraId="3E41664C">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B611">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751F">
            <w:pPr>
              <w:widowControl/>
              <w:jc w:val="center"/>
              <w:textAlignment w:val="center"/>
              <w:rPr>
                <w:rFonts w:ascii="宋体" w:hAnsi="宋体" w:cs="宋体"/>
                <w:kern w:val="0"/>
                <w:sz w:val="18"/>
                <w:szCs w:val="18"/>
                <w:lang w:bidi="ar"/>
              </w:rPr>
            </w:pPr>
            <w:r>
              <w:rPr>
                <w:rFonts w:ascii="宋体" w:hAnsi="宋体" w:cs="宋体"/>
                <w:kern w:val="0"/>
                <w:sz w:val="18"/>
                <w:szCs w:val="18"/>
                <w:lang w:bidi="ar"/>
              </w:rPr>
              <w:t xml:space="preserve">15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90B5">
            <w:pPr>
              <w:widowControl/>
              <w:jc w:val="center"/>
              <w:textAlignment w:val="center"/>
              <w:rPr>
                <w:rFonts w:ascii="宋体" w:hAnsi="宋体" w:cs="宋体"/>
                <w:kern w:val="0"/>
                <w:sz w:val="18"/>
                <w:szCs w:val="18"/>
                <w:lang w:bidi="ar"/>
              </w:rPr>
            </w:pPr>
            <w:r>
              <w:rPr>
                <w:rFonts w:ascii="宋体" w:hAnsi="宋体" w:cs="宋体"/>
                <w:kern w:val="0"/>
                <w:sz w:val="18"/>
                <w:szCs w:val="18"/>
                <w:lang w:bidi="ar"/>
              </w:rPr>
              <w:t>一次性使用人体静脉血样采集容</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597C">
            <w:pPr>
              <w:widowControl/>
              <w:jc w:val="center"/>
              <w:textAlignment w:val="center"/>
              <w:rPr>
                <w:rFonts w:ascii="宋体" w:hAnsi="宋体" w:cs="宋体"/>
                <w:kern w:val="0"/>
                <w:sz w:val="18"/>
                <w:szCs w:val="18"/>
                <w:lang w:bidi="ar"/>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7360">
            <w:pPr>
              <w:widowControl/>
              <w:jc w:val="center"/>
              <w:textAlignment w:val="center"/>
              <w:rPr>
                <w:rFonts w:ascii="宋体" w:hAnsi="宋体" w:cs="宋体"/>
                <w:kern w:val="0"/>
                <w:sz w:val="18"/>
                <w:szCs w:val="18"/>
                <w:lang w:bidi="ar"/>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DE5D">
            <w:pPr>
              <w:widowControl/>
              <w:jc w:val="center"/>
              <w:textAlignment w:val="center"/>
              <w:rPr>
                <w:rFonts w:ascii="宋体" w:hAnsi="宋体" w:cs="宋体"/>
                <w:kern w:val="0"/>
                <w:sz w:val="18"/>
                <w:szCs w:val="18"/>
                <w:lang w:bidi="ar"/>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8359">
            <w:pPr>
              <w:widowControl/>
              <w:jc w:val="center"/>
              <w:textAlignment w:val="center"/>
              <w:rPr>
                <w:rFonts w:ascii="宋体" w:hAnsi="宋体" w:cs="宋体"/>
                <w:kern w:val="0"/>
                <w:sz w:val="18"/>
                <w:szCs w:val="18"/>
                <w:lang w:bidi="ar"/>
              </w:rPr>
            </w:pPr>
            <w:r>
              <w:rPr>
                <w:rFonts w:ascii="宋体" w:hAnsi="宋体" w:cs="宋体"/>
                <w:kern w:val="0"/>
                <w:sz w:val="18"/>
                <w:szCs w:val="18"/>
                <w:lang w:bidi="ar"/>
              </w:rPr>
              <w:t xml:space="preserve">6.8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DEFA">
            <w:pPr>
              <w:widowControl/>
              <w:jc w:val="center"/>
              <w:textAlignment w:val="center"/>
              <w:rPr>
                <w:rFonts w:ascii="宋体" w:hAnsi="宋体" w:cs="宋体"/>
                <w:kern w:val="0"/>
                <w:sz w:val="18"/>
                <w:szCs w:val="18"/>
                <w:lang w:bidi="ar"/>
              </w:rPr>
            </w:pPr>
            <w:r>
              <w:rPr>
                <w:rFonts w:ascii="宋体" w:hAnsi="宋体" w:cs="宋体"/>
                <w:kern w:val="0"/>
                <w:sz w:val="18"/>
                <w:szCs w:val="18"/>
                <w:lang w:bidi="ar"/>
              </w:rPr>
              <w:t xml:space="preserve">250 </w:t>
            </w:r>
          </w:p>
        </w:tc>
      </w:tr>
      <w:tr w14:paraId="720110C1">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7086B">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20F5">
            <w:pPr>
              <w:widowControl/>
              <w:jc w:val="center"/>
              <w:textAlignment w:val="center"/>
              <w:rPr>
                <w:rFonts w:ascii="宋体" w:hAnsi="宋体" w:cs="宋体"/>
                <w:sz w:val="18"/>
                <w:szCs w:val="18"/>
              </w:rPr>
            </w:pPr>
            <w:r>
              <w:rPr>
                <w:rFonts w:ascii="宋体" w:hAnsi="宋体" w:cs="宋体"/>
                <w:kern w:val="0"/>
                <w:sz w:val="18"/>
                <w:szCs w:val="18"/>
                <w:lang w:bidi="ar"/>
              </w:rPr>
              <w:t xml:space="preserve">16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E5DA">
            <w:pPr>
              <w:widowControl/>
              <w:jc w:val="center"/>
              <w:textAlignment w:val="center"/>
              <w:rPr>
                <w:rFonts w:ascii="宋体" w:hAnsi="宋体" w:cs="宋体"/>
                <w:sz w:val="18"/>
                <w:szCs w:val="18"/>
              </w:rPr>
            </w:pPr>
            <w:r>
              <w:rPr>
                <w:rFonts w:ascii="宋体" w:hAnsi="宋体" w:cs="宋体"/>
                <w:kern w:val="0"/>
                <w:sz w:val="18"/>
                <w:szCs w:val="18"/>
                <w:lang w:bidi="ar"/>
              </w:rPr>
              <w:t>手术切口无菌保护膜</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5F4B">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E66B">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D08E">
            <w:pPr>
              <w:widowControl/>
              <w:jc w:val="center"/>
              <w:textAlignment w:val="center"/>
              <w:rPr>
                <w:rFonts w:ascii="宋体" w:hAnsi="宋体" w:cs="宋体"/>
                <w:sz w:val="18"/>
                <w:szCs w:val="18"/>
              </w:rPr>
            </w:pPr>
            <w:r>
              <w:rPr>
                <w:rFonts w:ascii="宋体" w:hAnsi="宋体" w:cs="宋体"/>
                <w:kern w:val="0"/>
                <w:sz w:val="18"/>
                <w:szCs w:val="18"/>
                <w:lang w:bidi="ar"/>
              </w:rPr>
              <w:t>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6B62">
            <w:pPr>
              <w:widowControl/>
              <w:jc w:val="center"/>
              <w:textAlignment w:val="center"/>
              <w:rPr>
                <w:rFonts w:ascii="宋体" w:hAnsi="宋体" w:cs="宋体"/>
                <w:sz w:val="18"/>
                <w:szCs w:val="18"/>
              </w:rPr>
            </w:pPr>
            <w:r>
              <w:rPr>
                <w:rFonts w:ascii="宋体" w:hAnsi="宋体" w:cs="宋体"/>
                <w:kern w:val="0"/>
                <w:sz w:val="18"/>
                <w:szCs w:val="18"/>
                <w:lang w:bidi="ar"/>
              </w:rPr>
              <w:t xml:space="preserve">1.6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E37B">
            <w:pPr>
              <w:widowControl/>
              <w:jc w:val="center"/>
              <w:textAlignment w:val="center"/>
              <w:rPr>
                <w:rFonts w:ascii="宋体" w:hAnsi="宋体" w:cs="宋体"/>
                <w:sz w:val="18"/>
                <w:szCs w:val="18"/>
              </w:rPr>
            </w:pPr>
            <w:r>
              <w:rPr>
                <w:rFonts w:ascii="宋体" w:hAnsi="宋体" w:cs="宋体"/>
                <w:kern w:val="0"/>
                <w:sz w:val="18"/>
                <w:szCs w:val="18"/>
                <w:lang w:bidi="ar"/>
              </w:rPr>
              <w:t xml:space="preserve">967 </w:t>
            </w:r>
          </w:p>
        </w:tc>
      </w:tr>
      <w:tr w14:paraId="59EA8AF2">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1A201">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19D0">
            <w:pPr>
              <w:widowControl/>
              <w:jc w:val="center"/>
              <w:textAlignment w:val="center"/>
              <w:rPr>
                <w:rFonts w:ascii="宋体" w:hAnsi="宋体" w:cs="宋体"/>
                <w:sz w:val="18"/>
                <w:szCs w:val="18"/>
              </w:rPr>
            </w:pPr>
            <w:r>
              <w:rPr>
                <w:rFonts w:ascii="宋体" w:hAnsi="宋体" w:cs="宋体"/>
                <w:kern w:val="0"/>
                <w:sz w:val="18"/>
                <w:szCs w:val="18"/>
                <w:lang w:bidi="ar"/>
              </w:rPr>
              <w:t xml:space="preserve">17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63EF">
            <w:pPr>
              <w:widowControl/>
              <w:jc w:val="center"/>
              <w:textAlignment w:val="center"/>
              <w:rPr>
                <w:rFonts w:ascii="宋体" w:hAnsi="宋体" w:cs="宋体"/>
                <w:sz w:val="18"/>
                <w:szCs w:val="18"/>
              </w:rPr>
            </w:pPr>
            <w:r>
              <w:rPr>
                <w:rFonts w:ascii="宋体" w:hAnsi="宋体" w:cs="宋体"/>
                <w:kern w:val="0"/>
                <w:sz w:val="18"/>
                <w:szCs w:val="18"/>
                <w:lang w:bidi="ar"/>
              </w:rPr>
              <w:t>一次性使用硅橡胶引流球</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7431">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3767">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7752">
            <w:pPr>
              <w:widowControl/>
              <w:jc w:val="center"/>
              <w:textAlignment w:val="center"/>
              <w:rPr>
                <w:rFonts w:ascii="宋体" w:hAnsi="宋体" w:cs="宋体"/>
                <w:sz w:val="18"/>
                <w:szCs w:val="18"/>
              </w:rPr>
            </w:pPr>
            <w:r>
              <w:rPr>
                <w:rFonts w:ascii="宋体" w:hAnsi="宋体" w:cs="宋体"/>
                <w:kern w:val="0"/>
                <w:sz w:val="18"/>
                <w:szCs w:val="18"/>
                <w:lang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3757">
            <w:pPr>
              <w:widowControl/>
              <w:jc w:val="center"/>
              <w:textAlignment w:val="center"/>
              <w:rPr>
                <w:rFonts w:ascii="宋体" w:hAnsi="宋体" w:cs="宋体"/>
                <w:sz w:val="18"/>
                <w:szCs w:val="18"/>
              </w:rPr>
            </w:pPr>
            <w:r>
              <w:rPr>
                <w:rFonts w:ascii="宋体" w:hAnsi="宋体" w:cs="宋体"/>
                <w:kern w:val="0"/>
                <w:sz w:val="18"/>
                <w:szCs w:val="18"/>
                <w:lang w:bidi="ar"/>
              </w:rPr>
              <w:t xml:space="preserve">18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1314">
            <w:pPr>
              <w:widowControl/>
              <w:jc w:val="center"/>
              <w:textAlignment w:val="center"/>
              <w:rPr>
                <w:rFonts w:ascii="宋体" w:hAnsi="宋体" w:cs="宋体"/>
                <w:sz w:val="18"/>
                <w:szCs w:val="18"/>
              </w:rPr>
            </w:pPr>
            <w:r>
              <w:rPr>
                <w:rFonts w:ascii="宋体" w:hAnsi="宋体" w:cs="宋体"/>
                <w:kern w:val="0"/>
                <w:sz w:val="18"/>
                <w:szCs w:val="18"/>
                <w:lang w:bidi="ar"/>
              </w:rPr>
              <w:t xml:space="preserve">33 </w:t>
            </w:r>
          </w:p>
        </w:tc>
      </w:tr>
      <w:tr w14:paraId="0110C18F">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D90D">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6976">
            <w:pPr>
              <w:widowControl/>
              <w:jc w:val="center"/>
              <w:textAlignment w:val="center"/>
              <w:rPr>
                <w:rFonts w:ascii="宋体" w:hAnsi="宋体" w:cs="宋体"/>
                <w:sz w:val="18"/>
                <w:szCs w:val="18"/>
              </w:rPr>
            </w:pPr>
            <w:r>
              <w:rPr>
                <w:rFonts w:ascii="宋体" w:hAnsi="宋体" w:cs="宋体"/>
                <w:kern w:val="0"/>
                <w:sz w:val="18"/>
                <w:szCs w:val="18"/>
                <w:lang w:bidi="ar"/>
              </w:rPr>
              <w:t xml:space="preserve">18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9790">
            <w:pPr>
              <w:widowControl/>
              <w:jc w:val="center"/>
              <w:textAlignment w:val="center"/>
              <w:rPr>
                <w:rFonts w:ascii="宋体" w:hAnsi="宋体" w:cs="宋体"/>
                <w:sz w:val="18"/>
                <w:szCs w:val="18"/>
              </w:rPr>
            </w:pPr>
            <w:r>
              <w:rPr>
                <w:rFonts w:ascii="宋体" w:hAnsi="宋体" w:cs="宋体"/>
                <w:kern w:val="0"/>
                <w:sz w:val="18"/>
                <w:szCs w:val="18"/>
                <w:lang w:bidi="ar"/>
              </w:rPr>
              <w:t>无菌手术刀头清洁片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85EF">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8EB8">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5B343">
            <w:pPr>
              <w:widowControl/>
              <w:jc w:val="center"/>
              <w:textAlignment w:val="center"/>
              <w:rPr>
                <w:rFonts w:ascii="宋体" w:hAnsi="宋体" w:cs="宋体"/>
                <w:sz w:val="18"/>
                <w:szCs w:val="18"/>
              </w:rPr>
            </w:pPr>
            <w:r>
              <w:rPr>
                <w:rFonts w:ascii="宋体" w:hAnsi="宋体" w:cs="宋体"/>
                <w:kern w:val="0"/>
                <w:sz w:val="18"/>
                <w:szCs w:val="18"/>
                <w:lang w:bidi="ar"/>
              </w:rPr>
              <w:t>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679D">
            <w:pPr>
              <w:widowControl/>
              <w:jc w:val="center"/>
              <w:textAlignment w:val="center"/>
              <w:rPr>
                <w:rFonts w:ascii="宋体" w:hAnsi="宋体" w:cs="宋体"/>
                <w:sz w:val="18"/>
                <w:szCs w:val="18"/>
              </w:rPr>
            </w:pPr>
            <w:r>
              <w:rPr>
                <w:rFonts w:ascii="宋体" w:hAnsi="宋体" w:cs="宋体"/>
                <w:kern w:val="0"/>
                <w:sz w:val="18"/>
                <w:szCs w:val="18"/>
                <w:lang w:bidi="ar"/>
              </w:rPr>
              <w:t xml:space="preserve">4.8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E875">
            <w:pPr>
              <w:widowControl/>
              <w:jc w:val="center"/>
              <w:textAlignment w:val="center"/>
              <w:rPr>
                <w:rFonts w:ascii="宋体" w:hAnsi="宋体" w:cs="宋体"/>
                <w:sz w:val="18"/>
                <w:szCs w:val="18"/>
              </w:rPr>
            </w:pPr>
            <w:r>
              <w:rPr>
                <w:rFonts w:ascii="宋体" w:hAnsi="宋体" w:cs="宋体"/>
                <w:kern w:val="0"/>
                <w:sz w:val="18"/>
                <w:szCs w:val="18"/>
                <w:lang w:bidi="ar"/>
              </w:rPr>
              <w:t xml:space="preserve">67 </w:t>
            </w:r>
          </w:p>
        </w:tc>
      </w:tr>
      <w:tr w14:paraId="7037497B">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BC3AC">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E646">
            <w:pPr>
              <w:widowControl/>
              <w:jc w:val="center"/>
              <w:textAlignment w:val="center"/>
              <w:rPr>
                <w:rFonts w:ascii="宋体" w:hAnsi="宋体" w:cs="宋体"/>
                <w:sz w:val="18"/>
                <w:szCs w:val="18"/>
              </w:rPr>
            </w:pPr>
            <w:r>
              <w:rPr>
                <w:rFonts w:ascii="宋体" w:hAnsi="宋体" w:cs="宋体"/>
                <w:kern w:val="0"/>
                <w:sz w:val="18"/>
                <w:szCs w:val="18"/>
                <w:lang w:bidi="ar"/>
              </w:rPr>
              <w:t xml:space="preserve">19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CB4A">
            <w:pPr>
              <w:widowControl/>
              <w:jc w:val="center"/>
              <w:textAlignment w:val="center"/>
              <w:rPr>
                <w:rFonts w:ascii="宋体" w:hAnsi="宋体" w:cs="宋体"/>
                <w:sz w:val="18"/>
                <w:szCs w:val="18"/>
              </w:rPr>
            </w:pPr>
            <w:r>
              <w:rPr>
                <w:rFonts w:ascii="宋体" w:hAnsi="宋体" w:cs="宋体"/>
                <w:kern w:val="0"/>
                <w:sz w:val="18"/>
                <w:szCs w:val="18"/>
                <w:lang w:bidi="ar"/>
              </w:rPr>
              <w:t>一次性使用输液器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569F">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D23E">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F340">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D3B9">
            <w:pPr>
              <w:widowControl/>
              <w:jc w:val="center"/>
              <w:textAlignment w:val="center"/>
              <w:rPr>
                <w:rFonts w:ascii="宋体" w:hAnsi="宋体" w:cs="宋体"/>
                <w:sz w:val="18"/>
                <w:szCs w:val="18"/>
              </w:rPr>
            </w:pPr>
            <w:r>
              <w:rPr>
                <w:rFonts w:ascii="宋体" w:hAnsi="宋体" w:cs="宋体"/>
                <w:kern w:val="0"/>
                <w:sz w:val="18"/>
                <w:szCs w:val="18"/>
                <w:lang w:bidi="ar"/>
              </w:rPr>
              <w:t xml:space="preserve">0.76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7FD1">
            <w:pPr>
              <w:widowControl/>
              <w:jc w:val="center"/>
              <w:textAlignment w:val="center"/>
              <w:rPr>
                <w:rFonts w:ascii="宋体" w:hAnsi="宋体" w:cs="宋体"/>
                <w:sz w:val="18"/>
                <w:szCs w:val="18"/>
              </w:rPr>
            </w:pPr>
            <w:r>
              <w:rPr>
                <w:rFonts w:ascii="宋体" w:hAnsi="宋体" w:cs="宋体"/>
                <w:kern w:val="0"/>
                <w:sz w:val="18"/>
                <w:szCs w:val="18"/>
                <w:lang w:bidi="ar"/>
              </w:rPr>
              <w:t xml:space="preserve">100 </w:t>
            </w:r>
          </w:p>
        </w:tc>
      </w:tr>
      <w:tr w14:paraId="4EA4626F">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2C0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7CCE">
            <w:pPr>
              <w:widowControl/>
              <w:jc w:val="center"/>
              <w:textAlignment w:val="center"/>
              <w:rPr>
                <w:rFonts w:ascii="宋体" w:hAnsi="宋体" w:cs="宋体"/>
                <w:sz w:val="18"/>
                <w:szCs w:val="18"/>
              </w:rPr>
            </w:pPr>
            <w:r>
              <w:rPr>
                <w:rFonts w:ascii="宋体" w:hAnsi="宋体" w:cs="宋体"/>
                <w:kern w:val="0"/>
                <w:sz w:val="18"/>
                <w:szCs w:val="18"/>
                <w:lang w:bidi="ar"/>
              </w:rPr>
              <w:t xml:space="preserve">20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5BB4">
            <w:pPr>
              <w:widowControl/>
              <w:jc w:val="center"/>
              <w:textAlignment w:val="center"/>
              <w:rPr>
                <w:rFonts w:ascii="宋体" w:hAnsi="宋体" w:cs="宋体"/>
                <w:sz w:val="18"/>
                <w:szCs w:val="18"/>
              </w:rPr>
            </w:pPr>
            <w:r>
              <w:rPr>
                <w:rFonts w:ascii="宋体" w:hAnsi="宋体" w:cs="宋体"/>
                <w:kern w:val="0"/>
                <w:sz w:val="18"/>
                <w:szCs w:val="18"/>
                <w:lang w:bidi="ar"/>
              </w:rPr>
              <w:t>一次性使用避光输液器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399A">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60FE">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4CCC">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EC38">
            <w:pPr>
              <w:widowControl/>
              <w:jc w:val="center"/>
              <w:textAlignment w:val="center"/>
              <w:rPr>
                <w:rFonts w:ascii="宋体" w:hAnsi="宋体" w:cs="宋体"/>
                <w:sz w:val="18"/>
                <w:szCs w:val="18"/>
              </w:rPr>
            </w:pPr>
            <w:r>
              <w:rPr>
                <w:rFonts w:ascii="宋体" w:hAnsi="宋体" w:cs="宋体"/>
                <w:kern w:val="0"/>
                <w:sz w:val="18"/>
                <w:szCs w:val="18"/>
                <w:lang w:bidi="ar"/>
              </w:rPr>
              <w:t xml:space="preserve">5.2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552F">
            <w:pPr>
              <w:widowControl/>
              <w:jc w:val="center"/>
              <w:textAlignment w:val="center"/>
              <w:rPr>
                <w:rFonts w:ascii="宋体" w:hAnsi="宋体" w:cs="宋体"/>
                <w:sz w:val="18"/>
                <w:szCs w:val="18"/>
              </w:rPr>
            </w:pPr>
            <w:r>
              <w:rPr>
                <w:rFonts w:ascii="宋体" w:hAnsi="宋体" w:cs="宋体"/>
                <w:kern w:val="0"/>
                <w:sz w:val="18"/>
                <w:szCs w:val="18"/>
                <w:lang w:bidi="ar"/>
              </w:rPr>
              <w:t xml:space="preserve">100 </w:t>
            </w:r>
          </w:p>
        </w:tc>
      </w:tr>
      <w:tr w14:paraId="77A2CC9D">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12C0B">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BB91">
            <w:pPr>
              <w:widowControl/>
              <w:jc w:val="center"/>
              <w:textAlignment w:val="center"/>
              <w:rPr>
                <w:rFonts w:ascii="宋体" w:hAnsi="宋体" w:cs="宋体"/>
                <w:sz w:val="18"/>
                <w:szCs w:val="18"/>
              </w:rPr>
            </w:pPr>
            <w:r>
              <w:rPr>
                <w:rFonts w:ascii="宋体" w:hAnsi="宋体" w:cs="宋体"/>
                <w:kern w:val="0"/>
                <w:sz w:val="18"/>
                <w:szCs w:val="18"/>
                <w:lang w:bidi="ar"/>
              </w:rPr>
              <w:t xml:space="preserve">21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E549">
            <w:pPr>
              <w:widowControl/>
              <w:jc w:val="center"/>
              <w:textAlignment w:val="center"/>
              <w:rPr>
                <w:rFonts w:ascii="宋体" w:hAnsi="宋体" w:cs="宋体"/>
                <w:sz w:val="18"/>
                <w:szCs w:val="18"/>
              </w:rPr>
            </w:pPr>
            <w:r>
              <w:rPr>
                <w:rFonts w:ascii="宋体" w:hAnsi="宋体" w:cs="宋体"/>
                <w:kern w:val="0"/>
                <w:sz w:val="18"/>
                <w:szCs w:val="18"/>
                <w:lang w:bidi="ar"/>
              </w:rPr>
              <w:t>止血胶管</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F0A1">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0A4B">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DC04">
            <w:pPr>
              <w:widowControl/>
              <w:jc w:val="center"/>
              <w:textAlignment w:val="center"/>
              <w:rPr>
                <w:rFonts w:ascii="宋体" w:hAnsi="宋体" w:cs="宋体"/>
                <w:sz w:val="18"/>
                <w:szCs w:val="18"/>
              </w:rPr>
            </w:pPr>
            <w:r>
              <w:rPr>
                <w:rFonts w:ascii="宋体" w:hAnsi="宋体" w:cs="宋体"/>
                <w:kern w:val="0"/>
                <w:sz w:val="18"/>
                <w:szCs w:val="18"/>
                <w:lang w:bidi="ar"/>
              </w:rPr>
              <w:t>盒</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0A0">
            <w:pPr>
              <w:widowControl/>
              <w:jc w:val="center"/>
              <w:textAlignment w:val="center"/>
              <w:rPr>
                <w:rFonts w:ascii="宋体" w:hAnsi="宋体" w:cs="宋体"/>
                <w:sz w:val="18"/>
                <w:szCs w:val="18"/>
              </w:rPr>
            </w:pPr>
            <w:r>
              <w:rPr>
                <w:rFonts w:ascii="宋体" w:hAnsi="宋体" w:cs="宋体"/>
                <w:kern w:val="0"/>
                <w:sz w:val="18"/>
                <w:szCs w:val="18"/>
                <w:lang w:bidi="ar"/>
              </w:rPr>
              <w:t xml:space="preserve">32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1677">
            <w:pPr>
              <w:widowControl/>
              <w:jc w:val="center"/>
              <w:textAlignment w:val="center"/>
              <w:rPr>
                <w:rFonts w:ascii="宋体" w:hAnsi="宋体" w:cs="宋体"/>
                <w:sz w:val="18"/>
                <w:szCs w:val="18"/>
              </w:rPr>
            </w:pPr>
            <w:r>
              <w:rPr>
                <w:rFonts w:ascii="宋体" w:hAnsi="宋体" w:cs="宋体"/>
                <w:kern w:val="0"/>
                <w:sz w:val="18"/>
                <w:szCs w:val="18"/>
                <w:lang w:bidi="ar"/>
              </w:rPr>
              <w:t xml:space="preserve">9 </w:t>
            </w:r>
          </w:p>
        </w:tc>
      </w:tr>
      <w:tr w14:paraId="101F9FC6">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C2326">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F7EE">
            <w:pPr>
              <w:widowControl/>
              <w:jc w:val="center"/>
              <w:textAlignment w:val="center"/>
              <w:rPr>
                <w:rFonts w:ascii="宋体" w:hAnsi="宋体" w:cs="宋体"/>
                <w:sz w:val="18"/>
                <w:szCs w:val="18"/>
              </w:rPr>
            </w:pPr>
            <w:r>
              <w:rPr>
                <w:rFonts w:ascii="宋体" w:hAnsi="宋体" w:cs="宋体"/>
                <w:kern w:val="0"/>
                <w:sz w:val="18"/>
                <w:szCs w:val="18"/>
                <w:lang w:bidi="ar"/>
              </w:rPr>
              <w:t xml:space="preserve">22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72E2">
            <w:pPr>
              <w:widowControl/>
              <w:jc w:val="center"/>
              <w:textAlignment w:val="center"/>
              <w:rPr>
                <w:rFonts w:ascii="宋体" w:hAnsi="宋体" w:cs="宋体"/>
                <w:sz w:val="18"/>
                <w:szCs w:val="18"/>
              </w:rPr>
            </w:pPr>
            <w:r>
              <w:rPr>
                <w:rFonts w:ascii="宋体" w:hAnsi="宋体" w:cs="宋体"/>
                <w:kern w:val="0"/>
                <w:sz w:val="18"/>
                <w:szCs w:val="18"/>
                <w:lang w:bidi="ar"/>
              </w:rPr>
              <w:t>一次性使用吸引连接管（加吸</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A4F3">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ABCC">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ED5B">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7BDF">
            <w:pPr>
              <w:widowControl/>
              <w:jc w:val="center"/>
              <w:textAlignment w:val="center"/>
              <w:rPr>
                <w:rFonts w:ascii="宋体" w:hAnsi="宋体" w:cs="宋体"/>
                <w:sz w:val="18"/>
                <w:szCs w:val="18"/>
              </w:rPr>
            </w:pPr>
            <w:r>
              <w:rPr>
                <w:rFonts w:ascii="宋体" w:hAnsi="宋体" w:cs="宋体"/>
                <w:kern w:val="0"/>
                <w:sz w:val="18"/>
                <w:szCs w:val="18"/>
                <w:lang w:bidi="ar"/>
              </w:rPr>
              <w:t xml:space="preserve">2.6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3C3A">
            <w:pPr>
              <w:widowControl/>
              <w:jc w:val="center"/>
              <w:textAlignment w:val="center"/>
              <w:rPr>
                <w:rFonts w:ascii="宋体" w:hAnsi="宋体" w:cs="宋体"/>
                <w:sz w:val="18"/>
                <w:szCs w:val="18"/>
              </w:rPr>
            </w:pPr>
            <w:r>
              <w:rPr>
                <w:rFonts w:ascii="宋体" w:hAnsi="宋体" w:cs="宋体"/>
                <w:kern w:val="0"/>
                <w:sz w:val="18"/>
                <w:szCs w:val="18"/>
                <w:lang w:bidi="ar"/>
              </w:rPr>
              <w:t xml:space="preserve">900 </w:t>
            </w:r>
          </w:p>
        </w:tc>
      </w:tr>
      <w:tr w14:paraId="1385B079">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9BD1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CBFB">
            <w:pPr>
              <w:widowControl/>
              <w:jc w:val="center"/>
              <w:textAlignment w:val="center"/>
              <w:rPr>
                <w:rFonts w:ascii="宋体" w:hAnsi="宋体" w:cs="宋体"/>
                <w:sz w:val="18"/>
                <w:szCs w:val="18"/>
              </w:rPr>
            </w:pPr>
            <w:r>
              <w:rPr>
                <w:rFonts w:ascii="宋体" w:hAnsi="宋体" w:cs="宋体"/>
                <w:kern w:val="0"/>
                <w:sz w:val="18"/>
                <w:szCs w:val="18"/>
                <w:lang w:bidi="ar"/>
              </w:rPr>
              <w:t xml:space="preserve">23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FDC0">
            <w:pPr>
              <w:widowControl/>
              <w:jc w:val="center"/>
              <w:textAlignment w:val="center"/>
              <w:rPr>
                <w:rFonts w:ascii="宋体" w:hAnsi="宋体" w:cs="宋体"/>
                <w:sz w:val="18"/>
                <w:szCs w:val="18"/>
              </w:rPr>
            </w:pPr>
            <w:r>
              <w:rPr>
                <w:rFonts w:ascii="宋体" w:hAnsi="宋体" w:cs="宋体"/>
                <w:kern w:val="0"/>
                <w:sz w:val="18"/>
                <w:szCs w:val="18"/>
                <w:lang w:bidi="ar"/>
              </w:rPr>
              <w:t>一次性使用输血器带针</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B534">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4EA9">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A032">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735A">
            <w:pPr>
              <w:widowControl/>
              <w:jc w:val="center"/>
              <w:textAlignment w:val="center"/>
              <w:rPr>
                <w:rFonts w:ascii="宋体" w:hAnsi="宋体" w:cs="宋体"/>
                <w:sz w:val="18"/>
                <w:szCs w:val="18"/>
              </w:rPr>
            </w:pPr>
            <w:r>
              <w:rPr>
                <w:rFonts w:ascii="宋体" w:hAnsi="宋体" w:cs="宋体"/>
                <w:kern w:val="0"/>
                <w:sz w:val="18"/>
                <w:szCs w:val="18"/>
                <w:lang w:bidi="ar"/>
              </w:rPr>
              <w:t xml:space="preserve">1.68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D9AA">
            <w:pPr>
              <w:widowControl/>
              <w:jc w:val="center"/>
              <w:textAlignment w:val="center"/>
              <w:rPr>
                <w:rFonts w:ascii="宋体" w:hAnsi="宋体" w:cs="宋体"/>
                <w:sz w:val="18"/>
                <w:szCs w:val="18"/>
              </w:rPr>
            </w:pPr>
            <w:r>
              <w:rPr>
                <w:rFonts w:ascii="宋体" w:hAnsi="宋体" w:cs="宋体"/>
                <w:kern w:val="0"/>
                <w:sz w:val="18"/>
                <w:szCs w:val="18"/>
                <w:lang w:bidi="ar"/>
              </w:rPr>
              <w:t xml:space="preserve">600 </w:t>
            </w:r>
          </w:p>
        </w:tc>
      </w:tr>
      <w:tr w14:paraId="68A154D8">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B667">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6C79">
            <w:pPr>
              <w:widowControl/>
              <w:jc w:val="center"/>
              <w:textAlignment w:val="center"/>
              <w:rPr>
                <w:rFonts w:ascii="宋体" w:hAnsi="宋体" w:cs="宋体"/>
                <w:sz w:val="18"/>
                <w:szCs w:val="18"/>
              </w:rPr>
            </w:pPr>
            <w:r>
              <w:rPr>
                <w:rFonts w:ascii="宋体" w:hAnsi="宋体" w:cs="宋体"/>
                <w:kern w:val="0"/>
                <w:sz w:val="18"/>
                <w:szCs w:val="18"/>
                <w:lang w:bidi="ar"/>
              </w:rPr>
              <w:t xml:space="preserve">24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38FA">
            <w:pPr>
              <w:widowControl/>
              <w:jc w:val="center"/>
              <w:textAlignment w:val="center"/>
              <w:rPr>
                <w:rFonts w:ascii="宋体" w:hAnsi="宋体" w:cs="宋体"/>
                <w:sz w:val="18"/>
                <w:szCs w:val="18"/>
              </w:rPr>
            </w:pPr>
            <w:r>
              <w:rPr>
                <w:rFonts w:ascii="宋体" w:hAnsi="宋体" w:cs="宋体"/>
                <w:kern w:val="0"/>
                <w:sz w:val="18"/>
                <w:szCs w:val="18"/>
                <w:lang w:bidi="ar"/>
              </w:rPr>
              <w:t>★一次性使用导尿包</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1736">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09D0">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3EF8">
            <w:pPr>
              <w:widowControl/>
              <w:jc w:val="center"/>
              <w:textAlignment w:val="center"/>
              <w:rPr>
                <w:rFonts w:ascii="宋体" w:hAnsi="宋体" w:cs="宋体"/>
                <w:sz w:val="18"/>
                <w:szCs w:val="18"/>
              </w:rPr>
            </w:pPr>
            <w:r>
              <w:rPr>
                <w:rFonts w:ascii="宋体" w:hAnsi="宋体" w:cs="宋体"/>
                <w:kern w:val="0"/>
                <w:sz w:val="18"/>
                <w:szCs w:val="18"/>
                <w:lang w:bidi="ar"/>
              </w:rPr>
              <w:t>包</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AAA0">
            <w:pPr>
              <w:widowControl/>
              <w:jc w:val="center"/>
              <w:textAlignment w:val="center"/>
              <w:rPr>
                <w:rFonts w:ascii="宋体" w:hAnsi="宋体" w:cs="宋体"/>
                <w:sz w:val="18"/>
                <w:szCs w:val="18"/>
              </w:rPr>
            </w:pPr>
            <w:r>
              <w:rPr>
                <w:rFonts w:ascii="宋体" w:hAnsi="宋体" w:cs="宋体"/>
                <w:kern w:val="0"/>
                <w:sz w:val="18"/>
                <w:szCs w:val="18"/>
                <w:lang w:bidi="ar"/>
              </w:rPr>
              <w:t xml:space="preserve">22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0DAF">
            <w:pPr>
              <w:widowControl/>
              <w:jc w:val="center"/>
              <w:textAlignment w:val="center"/>
              <w:rPr>
                <w:rFonts w:ascii="宋体" w:hAnsi="宋体" w:cs="宋体"/>
                <w:sz w:val="18"/>
                <w:szCs w:val="18"/>
              </w:rPr>
            </w:pPr>
            <w:r>
              <w:rPr>
                <w:rFonts w:ascii="宋体" w:hAnsi="宋体" w:cs="宋体"/>
                <w:kern w:val="0"/>
                <w:sz w:val="18"/>
                <w:szCs w:val="18"/>
                <w:lang w:bidi="ar"/>
              </w:rPr>
              <w:t xml:space="preserve">50 </w:t>
            </w:r>
          </w:p>
        </w:tc>
      </w:tr>
      <w:tr w14:paraId="6CA12DCA">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5F384">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2F7D">
            <w:pPr>
              <w:widowControl/>
              <w:jc w:val="center"/>
              <w:textAlignment w:val="center"/>
              <w:rPr>
                <w:rFonts w:ascii="宋体" w:hAnsi="宋体" w:cs="宋体"/>
                <w:sz w:val="18"/>
                <w:szCs w:val="18"/>
              </w:rPr>
            </w:pPr>
            <w:r>
              <w:rPr>
                <w:rFonts w:ascii="宋体" w:hAnsi="宋体" w:cs="宋体"/>
                <w:kern w:val="0"/>
                <w:sz w:val="18"/>
                <w:szCs w:val="18"/>
                <w:lang w:bidi="ar"/>
              </w:rPr>
              <w:t>▲25</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73C9">
            <w:pPr>
              <w:widowControl/>
              <w:jc w:val="center"/>
              <w:textAlignment w:val="center"/>
              <w:rPr>
                <w:rFonts w:ascii="宋体" w:hAnsi="宋体" w:cs="宋体"/>
                <w:sz w:val="18"/>
                <w:szCs w:val="18"/>
              </w:rPr>
            </w:pPr>
            <w:r>
              <w:rPr>
                <w:rFonts w:ascii="宋体" w:hAnsi="宋体" w:cs="宋体"/>
                <w:kern w:val="0"/>
                <w:sz w:val="18"/>
                <w:szCs w:val="18"/>
                <w:lang w:bidi="ar"/>
              </w:rPr>
              <w:t>负压引流器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2249">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E850">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853C">
            <w:pPr>
              <w:widowControl/>
              <w:jc w:val="center"/>
              <w:textAlignment w:val="center"/>
              <w:rPr>
                <w:rFonts w:ascii="宋体" w:hAnsi="宋体" w:cs="宋体"/>
                <w:sz w:val="18"/>
                <w:szCs w:val="18"/>
              </w:rPr>
            </w:pPr>
            <w:r>
              <w:rPr>
                <w:rFonts w:ascii="宋体" w:hAnsi="宋体" w:cs="宋体"/>
                <w:kern w:val="0"/>
                <w:sz w:val="18"/>
                <w:szCs w:val="18"/>
                <w:lang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1F86">
            <w:pPr>
              <w:widowControl/>
              <w:jc w:val="center"/>
              <w:textAlignment w:val="center"/>
              <w:rPr>
                <w:rFonts w:ascii="宋体" w:hAnsi="宋体" w:cs="宋体"/>
                <w:sz w:val="18"/>
                <w:szCs w:val="18"/>
              </w:rPr>
            </w:pPr>
            <w:r>
              <w:rPr>
                <w:rFonts w:ascii="宋体" w:hAnsi="宋体" w:cs="宋体"/>
                <w:kern w:val="0"/>
                <w:sz w:val="18"/>
                <w:szCs w:val="18"/>
                <w:lang w:bidi="ar"/>
              </w:rPr>
              <w:t xml:space="preserve">4.38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20BF">
            <w:pPr>
              <w:widowControl/>
              <w:jc w:val="center"/>
              <w:textAlignment w:val="center"/>
              <w:rPr>
                <w:rFonts w:ascii="宋体" w:hAnsi="宋体" w:cs="宋体"/>
                <w:sz w:val="18"/>
                <w:szCs w:val="18"/>
              </w:rPr>
            </w:pPr>
            <w:r>
              <w:rPr>
                <w:rFonts w:ascii="宋体" w:hAnsi="宋体" w:cs="宋体"/>
                <w:kern w:val="0"/>
                <w:sz w:val="18"/>
                <w:szCs w:val="18"/>
                <w:lang w:bidi="ar"/>
              </w:rPr>
              <w:t xml:space="preserve">380 </w:t>
            </w:r>
          </w:p>
        </w:tc>
      </w:tr>
      <w:tr w14:paraId="11B0B56D">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3778">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E013">
            <w:pPr>
              <w:widowControl/>
              <w:jc w:val="center"/>
              <w:textAlignment w:val="center"/>
              <w:rPr>
                <w:rFonts w:ascii="宋体" w:hAnsi="宋体" w:cs="宋体"/>
                <w:sz w:val="18"/>
                <w:szCs w:val="18"/>
              </w:rPr>
            </w:pPr>
            <w:r>
              <w:rPr>
                <w:rFonts w:ascii="宋体" w:hAnsi="宋体" w:cs="宋体"/>
                <w:kern w:val="0"/>
                <w:sz w:val="18"/>
                <w:szCs w:val="18"/>
                <w:lang w:bidi="ar"/>
              </w:rPr>
              <w:t>▲26</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BB7C">
            <w:pPr>
              <w:widowControl/>
              <w:jc w:val="center"/>
              <w:textAlignment w:val="center"/>
              <w:rPr>
                <w:rFonts w:ascii="宋体" w:hAnsi="宋体" w:cs="宋体"/>
                <w:sz w:val="18"/>
                <w:szCs w:val="18"/>
              </w:rPr>
            </w:pPr>
            <w:r>
              <w:rPr>
                <w:rFonts w:ascii="宋体" w:hAnsi="宋体" w:cs="宋体"/>
                <w:kern w:val="0"/>
                <w:sz w:val="18"/>
                <w:szCs w:val="18"/>
                <w:lang w:bidi="ar"/>
              </w:rPr>
              <w:t>一次性胃管</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FD91">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F059">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2B2C">
            <w:pPr>
              <w:widowControl/>
              <w:jc w:val="center"/>
              <w:textAlignment w:val="center"/>
              <w:rPr>
                <w:rFonts w:ascii="宋体" w:hAnsi="宋体" w:cs="宋体"/>
                <w:sz w:val="18"/>
                <w:szCs w:val="18"/>
              </w:rPr>
            </w:pPr>
            <w:r>
              <w:rPr>
                <w:rFonts w:ascii="宋体" w:hAnsi="宋体" w:cs="宋体"/>
                <w:kern w:val="0"/>
                <w:sz w:val="18"/>
                <w:szCs w:val="18"/>
                <w:lang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1F2B">
            <w:pPr>
              <w:widowControl/>
              <w:jc w:val="center"/>
              <w:textAlignment w:val="center"/>
              <w:rPr>
                <w:rFonts w:ascii="宋体" w:hAnsi="宋体" w:cs="宋体"/>
                <w:sz w:val="18"/>
                <w:szCs w:val="18"/>
              </w:rPr>
            </w:pPr>
            <w:r>
              <w:rPr>
                <w:rFonts w:ascii="宋体" w:hAnsi="宋体" w:cs="宋体"/>
                <w:kern w:val="0"/>
                <w:sz w:val="18"/>
                <w:szCs w:val="18"/>
                <w:lang w:bidi="ar"/>
              </w:rPr>
              <w:t xml:space="preserve">5.8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91AE">
            <w:pPr>
              <w:widowControl/>
              <w:jc w:val="center"/>
              <w:textAlignment w:val="center"/>
              <w:rPr>
                <w:rFonts w:ascii="宋体" w:hAnsi="宋体" w:cs="宋体"/>
                <w:sz w:val="18"/>
                <w:szCs w:val="18"/>
              </w:rPr>
            </w:pPr>
            <w:r>
              <w:rPr>
                <w:rFonts w:ascii="宋体" w:hAnsi="宋体" w:cs="宋体"/>
                <w:kern w:val="0"/>
                <w:sz w:val="18"/>
                <w:szCs w:val="18"/>
                <w:lang w:bidi="ar"/>
              </w:rPr>
              <w:t xml:space="preserve">50 </w:t>
            </w:r>
          </w:p>
        </w:tc>
      </w:tr>
      <w:tr w14:paraId="65807295">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467E">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E592">
            <w:pPr>
              <w:widowControl/>
              <w:jc w:val="center"/>
              <w:textAlignment w:val="center"/>
              <w:rPr>
                <w:rFonts w:ascii="宋体" w:hAnsi="宋体" w:cs="宋体"/>
                <w:sz w:val="18"/>
                <w:szCs w:val="18"/>
              </w:rPr>
            </w:pPr>
            <w:r>
              <w:rPr>
                <w:rFonts w:ascii="宋体" w:hAnsi="宋体" w:cs="宋体"/>
                <w:kern w:val="0"/>
                <w:sz w:val="18"/>
                <w:szCs w:val="18"/>
                <w:lang w:bidi="ar"/>
              </w:rPr>
              <w:t xml:space="preserve">27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AD67">
            <w:pPr>
              <w:widowControl/>
              <w:jc w:val="center"/>
              <w:textAlignment w:val="center"/>
              <w:rPr>
                <w:rFonts w:ascii="宋体" w:hAnsi="宋体" w:cs="宋体"/>
                <w:sz w:val="18"/>
                <w:szCs w:val="18"/>
              </w:rPr>
            </w:pPr>
            <w:r>
              <w:rPr>
                <w:rFonts w:ascii="宋体" w:hAnsi="宋体" w:cs="宋体"/>
                <w:kern w:val="0"/>
                <w:sz w:val="18"/>
                <w:szCs w:val="18"/>
                <w:lang w:bidi="ar"/>
              </w:rPr>
              <w:t>无菌敷贴</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2EED">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C852">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BA16">
            <w:pPr>
              <w:widowControl/>
              <w:jc w:val="center"/>
              <w:textAlignment w:val="center"/>
              <w:rPr>
                <w:rFonts w:ascii="宋体" w:hAnsi="宋体" w:cs="宋体"/>
                <w:sz w:val="18"/>
                <w:szCs w:val="18"/>
              </w:rPr>
            </w:pPr>
            <w:r>
              <w:rPr>
                <w:rFonts w:ascii="宋体" w:hAnsi="宋体" w:cs="宋体"/>
                <w:kern w:val="0"/>
                <w:sz w:val="18"/>
                <w:szCs w:val="18"/>
                <w:lang w:bidi="ar"/>
              </w:rPr>
              <w:t>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6D98">
            <w:pPr>
              <w:widowControl/>
              <w:jc w:val="center"/>
              <w:textAlignment w:val="center"/>
              <w:rPr>
                <w:rFonts w:ascii="宋体" w:hAnsi="宋体" w:cs="宋体"/>
                <w:sz w:val="18"/>
                <w:szCs w:val="18"/>
              </w:rPr>
            </w:pPr>
            <w:r>
              <w:rPr>
                <w:rFonts w:ascii="宋体" w:hAnsi="宋体" w:cs="宋体"/>
                <w:kern w:val="0"/>
                <w:sz w:val="18"/>
                <w:szCs w:val="18"/>
                <w:lang w:bidi="ar"/>
              </w:rPr>
              <w:t xml:space="preserve">2.8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4672">
            <w:pPr>
              <w:widowControl/>
              <w:jc w:val="center"/>
              <w:textAlignment w:val="center"/>
              <w:rPr>
                <w:rFonts w:ascii="宋体" w:hAnsi="宋体" w:cs="宋体"/>
                <w:sz w:val="18"/>
                <w:szCs w:val="18"/>
              </w:rPr>
            </w:pPr>
            <w:r>
              <w:rPr>
                <w:rFonts w:ascii="宋体" w:hAnsi="宋体" w:cs="宋体"/>
                <w:kern w:val="0"/>
                <w:sz w:val="18"/>
                <w:szCs w:val="18"/>
                <w:lang w:bidi="ar"/>
              </w:rPr>
              <w:t xml:space="preserve">53 </w:t>
            </w:r>
          </w:p>
        </w:tc>
      </w:tr>
      <w:tr w14:paraId="1AA6D333">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53D1">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B321">
            <w:pPr>
              <w:widowControl/>
              <w:jc w:val="center"/>
              <w:textAlignment w:val="center"/>
              <w:rPr>
                <w:rFonts w:ascii="宋体" w:hAnsi="宋体" w:cs="宋体"/>
                <w:sz w:val="18"/>
                <w:szCs w:val="18"/>
              </w:rPr>
            </w:pPr>
            <w:r>
              <w:rPr>
                <w:rFonts w:ascii="宋体" w:hAnsi="宋体" w:cs="宋体"/>
                <w:kern w:val="0"/>
                <w:sz w:val="18"/>
                <w:szCs w:val="18"/>
                <w:lang w:bidi="ar"/>
              </w:rPr>
              <w:t xml:space="preserve">28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5CD3">
            <w:pPr>
              <w:widowControl/>
              <w:jc w:val="center"/>
              <w:textAlignment w:val="center"/>
              <w:rPr>
                <w:rFonts w:ascii="宋体" w:hAnsi="宋体" w:cs="宋体"/>
                <w:sz w:val="18"/>
                <w:szCs w:val="18"/>
              </w:rPr>
            </w:pPr>
            <w:r>
              <w:rPr>
                <w:rFonts w:ascii="宋体" w:hAnsi="宋体" w:cs="宋体"/>
                <w:kern w:val="0"/>
                <w:sz w:val="18"/>
                <w:szCs w:val="18"/>
                <w:lang w:bidi="ar"/>
              </w:rPr>
              <w:t>无菌输液贴</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598D">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1819">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5741">
            <w:pPr>
              <w:widowControl/>
              <w:jc w:val="center"/>
              <w:textAlignment w:val="center"/>
              <w:rPr>
                <w:rFonts w:ascii="宋体" w:hAnsi="宋体" w:cs="宋体"/>
                <w:sz w:val="18"/>
                <w:szCs w:val="18"/>
              </w:rPr>
            </w:pPr>
            <w:r>
              <w:rPr>
                <w:rFonts w:ascii="宋体" w:hAnsi="宋体" w:cs="宋体"/>
                <w:kern w:val="0"/>
                <w:sz w:val="18"/>
                <w:szCs w:val="18"/>
                <w:lang w:bidi="ar"/>
              </w:rPr>
              <w:t>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08EF">
            <w:pPr>
              <w:widowControl/>
              <w:jc w:val="center"/>
              <w:textAlignment w:val="center"/>
              <w:rPr>
                <w:rFonts w:ascii="宋体" w:hAnsi="宋体" w:cs="宋体"/>
                <w:sz w:val="18"/>
                <w:szCs w:val="18"/>
              </w:rPr>
            </w:pPr>
            <w:r>
              <w:rPr>
                <w:rFonts w:ascii="宋体" w:hAnsi="宋体" w:cs="宋体"/>
                <w:kern w:val="0"/>
                <w:sz w:val="18"/>
                <w:szCs w:val="18"/>
                <w:lang w:bidi="ar"/>
              </w:rPr>
              <w:t xml:space="preserve">0.08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D156">
            <w:pPr>
              <w:widowControl/>
              <w:jc w:val="center"/>
              <w:textAlignment w:val="center"/>
              <w:rPr>
                <w:rFonts w:ascii="宋体" w:hAnsi="宋体" w:cs="宋体"/>
                <w:sz w:val="18"/>
                <w:szCs w:val="18"/>
              </w:rPr>
            </w:pPr>
            <w:r>
              <w:rPr>
                <w:rFonts w:ascii="宋体" w:hAnsi="宋体" w:cs="宋体"/>
                <w:kern w:val="0"/>
                <w:sz w:val="18"/>
                <w:szCs w:val="18"/>
                <w:lang w:bidi="ar"/>
              </w:rPr>
              <w:t xml:space="preserve">33 </w:t>
            </w:r>
          </w:p>
        </w:tc>
      </w:tr>
      <w:tr w14:paraId="4AE97F0C">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CA30">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7EB9">
            <w:pPr>
              <w:widowControl/>
              <w:jc w:val="center"/>
              <w:textAlignment w:val="center"/>
              <w:rPr>
                <w:rFonts w:ascii="宋体" w:hAnsi="宋体" w:cs="宋体"/>
                <w:sz w:val="18"/>
                <w:szCs w:val="18"/>
              </w:rPr>
            </w:pPr>
            <w:r>
              <w:rPr>
                <w:rFonts w:ascii="宋体" w:hAnsi="宋体" w:cs="宋体"/>
                <w:kern w:val="0"/>
                <w:sz w:val="18"/>
                <w:szCs w:val="18"/>
                <w:lang w:bidi="ar"/>
              </w:rPr>
              <w:t xml:space="preserve">29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480E">
            <w:pPr>
              <w:widowControl/>
              <w:jc w:val="center"/>
              <w:textAlignment w:val="center"/>
              <w:rPr>
                <w:rFonts w:ascii="宋体" w:hAnsi="宋体" w:cs="宋体"/>
                <w:sz w:val="18"/>
                <w:szCs w:val="18"/>
              </w:rPr>
            </w:pPr>
            <w:r>
              <w:rPr>
                <w:rFonts w:ascii="宋体" w:hAnsi="宋体" w:cs="宋体"/>
                <w:kern w:val="0"/>
                <w:sz w:val="18"/>
                <w:szCs w:val="18"/>
                <w:lang w:bidi="ar"/>
              </w:rPr>
              <w:t>一次性使用静脉留置针</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C47E">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8943">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1377">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BA48">
            <w:pPr>
              <w:widowControl/>
              <w:jc w:val="center"/>
              <w:textAlignment w:val="center"/>
              <w:rPr>
                <w:rFonts w:ascii="宋体" w:hAnsi="宋体" w:cs="宋体"/>
                <w:sz w:val="18"/>
                <w:szCs w:val="18"/>
              </w:rPr>
            </w:pPr>
            <w:r>
              <w:rPr>
                <w:rFonts w:ascii="宋体" w:hAnsi="宋体" w:cs="宋体"/>
                <w:kern w:val="0"/>
                <w:sz w:val="18"/>
                <w:szCs w:val="18"/>
                <w:lang w:bidi="ar"/>
              </w:rPr>
              <w:t xml:space="preserve">9.5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F044">
            <w:pPr>
              <w:widowControl/>
              <w:jc w:val="center"/>
              <w:textAlignment w:val="center"/>
              <w:rPr>
                <w:rFonts w:ascii="宋体" w:hAnsi="宋体" w:cs="宋体"/>
                <w:sz w:val="18"/>
                <w:szCs w:val="18"/>
              </w:rPr>
            </w:pPr>
            <w:r>
              <w:rPr>
                <w:rFonts w:ascii="宋体" w:hAnsi="宋体" w:cs="宋体"/>
                <w:kern w:val="0"/>
                <w:sz w:val="18"/>
                <w:szCs w:val="18"/>
                <w:lang w:bidi="ar"/>
              </w:rPr>
              <w:t xml:space="preserve">617 </w:t>
            </w:r>
          </w:p>
        </w:tc>
      </w:tr>
      <w:tr w14:paraId="1EFFF248">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2CCAF">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AF2B">
            <w:pPr>
              <w:widowControl/>
              <w:jc w:val="center"/>
              <w:textAlignment w:val="center"/>
              <w:rPr>
                <w:rFonts w:ascii="宋体" w:hAnsi="宋体" w:cs="宋体"/>
                <w:sz w:val="18"/>
                <w:szCs w:val="18"/>
              </w:rPr>
            </w:pPr>
            <w:r>
              <w:rPr>
                <w:rFonts w:ascii="宋体" w:hAnsi="宋体" w:cs="宋体"/>
                <w:kern w:val="0"/>
                <w:sz w:val="18"/>
                <w:szCs w:val="18"/>
                <w:lang w:bidi="ar"/>
              </w:rPr>
              <w:t xml:space="preserve">30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B07D">
            <w:pPr>
              <w:widowControl/>
              <w:jc w:val="center"/>
              <w:textAlignment w:val="center"/>
              <w:rPr>
                <w:rFonts w:ascii="宋体" w:hAnsi="宋体" w:cs="宋体"/>
                <w:sz w:val="18"/>
                <w:szCs w:val="18"/>
              </w:rPr>
            </w:pPr>
            <w:r>
              <w:rPr>
                <w:rFonts w:ascii="宋体" w:hAnsi="宋体" w:cs="宋体"/>
                <w:kern w:val="0"/>
                <w:sz w:val="18"/>
                <w:szCs w:val="18"/>
                <w:lang w:bidi="ar"/>
              </w:rPr>
              <w:t>一次性中性电极板</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85AA">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B905">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9231">
            <w:pPr>
              <w:widowControl/>
              <w:jc w:val="center"/>
              <w:textAlignment w:val="center"/>
              <w:rPr>
                <w:rFonts w:ascii="宋体" w:hAnsi="宋体" w:cs="宋体"/>
                <w:sz w:val="18"/>
                <w:szCs w:val="18"/>
              </w:rPr>
            </w:pPr>
            <w:r>
              <w:rPr>
                <w:rFonts w:ascii="宋体" w:hAnsi="宋体" w:cs="宋体"/>
                <w:kern w:val="0"/>
                <w:sz w:val="18"/>
                <w:szCs w:val="18"/>
                <w:lang w:bidi="ar"/>
              </w:rPr>
              <w:t>支</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5606">
            <w:pPr>
              <w:widowControl/>
              <w:jc w:val="center"/>
              <w:textAlignment w:val="center"/>
              <w:rPr>
                <w:rFonts w:ascii="宋体" w:hAnsi="宋体" w:cs="宋体"/>
                <w:sz w:val="18"/>
                <w:szCs w:val="18"/>
              </w:rPr>
            </w:pPr>
            <w:r>
              <w:rPr>
                <w:rFonts w:ascii="宋体" w:hAnsi="宋体" w:cs="宋体"/>
                <w:kern w:val="0"/>
                <w:sz w:val="18"/>
                <w:szCs w:val="18"/>
                <w:lang w:bidi="ar"/>
              </w:rPr>
              <w:t xml:space="preserve">8.5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4D62">
            <w:pPr>
              <w:widowControl/>
              <w:jc w:val="center"/>
              <w:textAlignment w:val="center"/>
              <w:rPr>
                <w:rFonts w:ascii="宋体" w:hAnsi="宋体" w:cs="宋体"/>
                <w:sz w:val="18"/>
                <w:szCs w:val="18"/>
              </w:rPr>
            </w:pPr>
            <w:r>
              <w:rPr>
                <w:rFonts w:ascii="宋体" w:hAnsi="宋体" w:cs="宋体"/>
                <w:kern w:val="0"/>
                <w:sz w:val="18"/>
                <w:szCs w:val="18"/>
                <w:lang w:bidi="ar"/>
              </w:rPr>
              <w:t xml:space="preserve">200 </w:t>
            </w:r>
          </w:p>
        </w:tc>
      </w:tr>
      <w:tr w14:paraId="5CFE6874">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27ACB">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D117">
            <w:pPr>
              <w:widowControl/>
              <w:jc w:val="center"/>
              <w:textAlignment w:val="center"/>
              <w:rPr>
                <w:rFonts w:ascii="宋体" w:hAnsi="宋体" w:cs="宋体"/>
                <w:sz w:val="18"/>
                <w:szCs w:val="18"/>
              </w:rPr>
            </w:pPr>
            <w:r>
              <w:rPr>
                <w:rFonts w:ascii="宋体" w:hAnsi="宋体" w:cs="宋体"/>
                <w:kern w:val="0"/>
                <w:sz w:val="18"/>
                <w:szCs w:val="18"/>
                <w:lang w:bidi="ar"/>
              </w:rPr>
              <w:t xml:space="preserve">31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72AF">
            <w:pPr>
              <w:widowControl/>
              <w:jc w:val="center"/>
              <w:textAlignment w:val="center"/>
              <w:rPr>
                <w:rFonts w:ascii="宋体" w:hAnsi="宋体" w:cs="宋体"/>
                <w:sz w:val="18"/>
                <w:szCs w:val="18"/>
              </w:rPr>
            </w:pPr>
            <w:r>
              <w:rPr>
                <w:rFonts w:ascii="宋体" w:hAnsi="宋体" w:cs="宋体"/>
                <w:kern w:val="0"/>
                <w:sz w:val="18"/>
                <w:szCs w:val="18"/>
                <w:lang w:bidi="ar"/>
              </w:rPr>
              <w:t>医用凡士林纱布</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26FF">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C598">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2475">
            <w:pPr>
              <w:widowControl/>
              <w:jc w:val="center"/>
              <w:textAlignment w:val="center"/>
              <w:rPr>
                <w:rFonts w:ascii="宋体" w:hAnsi="宋体" w:cs="宋体"/>
                <w:sz w:val="18"/>
                <w:szCs w:val="18"/>
              </w:rPr>
            </w:pPr>
            <w:r>
              <w:rPr>
                <w:rFonts w:ascii="宋体" w:hAnsi="宋体" w:cs="宋体"/>
                <w:kern w:val="0"/>
                <w:sz w:val="18"/>
                <w:szCs w:val="18"/>
                <w:lang w:bidi="ar"/>
              </w:rPr>
              <w:t>包</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EC25B">
            <w:pPr>
              <w:widowControl/>
              <w:jc w:val="center"/>
              <w:textAlignment w:val="center"/>
              <w:rPr>
                <w:rFonts w:ascii="宋体" w:hAnsi="宋体" w:cs="宋体"/>
                <w:sz w:val="18"/>
                <w:szCs w:val="18"/>
              </w:rPr>
            </w:pPr>
            <w:r>
              <w:rPr>
                <w:rFonts w:ascii="宋体" w:hAnsi="宋体" w:cs="宋体"/>
                <w:kern w:val="0"/>
                <w:sz w:val="18"/>
                <w:szCs w:val="18"/>
                <w:lang w:bidi="ar"/>
              </w:rPr>
              <w:t xml:space="preserve">2.05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8478">
            <w:pPr>
              <w:widowControl/>
              <w:jc w:val="center"/>
              <w:textAlignment w:val="center"/>
              <w:rPr>
                <w:rFonts w:ascii="宋体" w:hAnsi="宋体" w:cs="宋体"/>
                <w:sz w:val="18"/>
                <w:szCs w:val="18"/>
              </w:rPr>
            </w:pPr>
            <w:r>
              <w:rPr>
                <w:rFonts w:ascii="宋体" w:hAnsi="宋体" w:cs="宋体"/>
                <w:kern w:val="0"/>
                <w:sz w:val="18"/>
                <w:szCs w:val="18"/>
                <w:lang w:bidi="ar"/>
              </w:rPr>
              <w:t xml:space="preserve">42 </w:t>
            </w:r>
          </w:p>
        </w:tc>
      </w:tr>
      <w:tr w14:paraId="436544E2">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9B10B">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2B14">
            <w:pPr>
              <w:widowControl/>
              <w:jc w:val="center"/>
              <w:textAlignment w:val="center"/>
              <w:rPr>
                <w:rFonts w:ascii="宋体" w:hAnsi="宋体" w:cs="宋体"/>
                <w:sz w:val="18"/>
                <w:szCs w:val="18"/>
              </w:rPr>
            </w:pPr>
            <w:r>
              <w:rPr>
                <w:rFonts w:ascii="宋体" w:hAnsi="宋体" w:cs="宋体"/>
                <w:kern w:val="0"/>
                <w:sz w:val="18"/>
                <w:szCs w:val="18"/>
                <w:lang w:bidi="ar"/>
              </w:rPr>
              <w:t xml:space="preserve">32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CA1B">
            <w:pPr>
              <w:widowControl/>
              <w:jc w:val="center"/>
              <w:textAlignment w:val="center"/>
              <w:rPr>
                <w:rFonts w:ascii="宋体" w:hAnsi="宋体" w:cs="宋体"/>
                <w:sz w:val="18"/>
                <w:szCs w:val="18"/>
              </w:rPr>
            </w:pPr>
            <w:r>
              <w:rPr>
                <w:rFonts w:ascii="宋体" w:hAnsi="宋体" w:cs="宋体"/>
                <w:kern w:val="0"/>
                <w:sz w:val="18"/>
                <w:szCs w:val="18"/>
                <w:lang w:bidi="ar"/>
              </w:rPr>
              <w:t>碘仿纱布</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5157">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E8FB">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934A">
            <w:pPr>
              <w:widowControl/>
              <w:jc w:val="center"/>
              <w:textAlignment w:val="center"/>
              <w:rPr>
                <w:rFonts w:ascii="宋体" w:hAnsi="宋体" w:cs="宋体"/>
                <w:sz w:val="18"/>
                <w:szCs w:val="18"/>
              </w:rPr>
            </w:pPr>
            <w:r>
              <w:rPr>
                <w:rFonts w:ascii="宋体" w:hAnsi="宋体" w:cs="宋体"/>
                <w:kern w:val="0"/>
                <w:sz w:val="18"/>
                <w:szCs w:val="18"/>
                <w:lang w:bidi="ar"/>
              </w:rPr>
              <w:t>包</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3A94">
            <w:pPr>
              <w:widowControl/>
              <w:jc w:val="center"/>
              <w:textAlignment w:val="center"/>
              <w:rPr>
                <w:rFonts w:ascii="宋体" w:hAnsi="宋体" w:cs="宋体"/>
                <w:sz w:val="18"/>
                <w:szCs w:val="18"/>
              </w:rPr>
            </w:pPr>
            <w:r>
              <w:rPr>
                <w:rFonts w:ascii="宋体" w:hAnsi="宋体" w:cs="宋体"/>
                <w:kern w:val="0"/>
                <w:sz w:val="18"/>
                <w:szCs w:val="18"/>
                <w:lang w:bidi="ar"/>
              </w:rPr>
              <w:t xml:space="preserve">7.4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5297">
            <w:pPr>
              <w:widowControl/>
              <w:jc w:val="center"/>
              <w:textAlignment w:val="center"/>
              <w:rPr>
                <w:rFonts w:ascii="宋体" w:hAnsi="宋体" w:cs="宋体"/>
                <w:sz w:val="18"/>
                <w:szCs w:val="18"/>
              </w:rPr>
            </w:pPr>
            <w:r>
              <w:rPr>
                <w:rFonts w:ascii="宋体" w:hAnsi="宋体" w:cs="宋体"/>
                <w:kern w:val="0"/>
                <w:sz w:val="18"/>
                <w:szCs w:val="18"/>
                <w:lang w:bidi="ar"/>
              </w:rPr>
              <w:t xml:space="preserve">150 </w:t>
            </w:r>
          </w:p>
        </w:tc>
      </w:tr>
      <w:tr w14:paraId="3B429F12">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AA691">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8F2C">
            <w:pPr>
              <w:widowControl/>
              <w:jc w:val="center"/>
              <w:textAlignment w:val="center"/>
              <w:rPr>
                <w:rFonts w:ascii="宋体" w:hAnsi="宋体" w:cs="宋体"/>
                <w:sz w:val="18"/>
                <w:szCs w:val="18"/>
              </w:rPr>
            </w:pPr>
            <w:r>
              <w:rPr>
                <w:rFonts w:ascii="宋体" w:hAnsi="宋体" w:cs="宋体"/>
                <w:kern w:val="0"/>
                <w:sz w:val="18"/>
                <w:szCs w:val="18"/>
                <w:lang w:bidi="ar"/>
              </w:rPr>
              <w:t xml:space="preserve">33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367F">
            <w:pPr>
              <w:widowControl/>
              <w:jc w:val="center"/>
              <w:textAlignment w:val="center"/>
              <w:rPr>
                <w:rFonts w:ascii="宋体" w:hAnsi="宋体" w:cs="宋体"/>
                <w:sz w:val="18"/>
                <w:szCs w:val="18"/>
              </w:rPr>
            </w:pPr>
            <w:r>
              <w:rPr>
                <w:rFonts w:ascii="宋体" w:hAnsi="宋体" w:cs="宋体"/>
                <w:kern w:val="0"/>
                <w:sz w:val="18"/>
                <w:szCs w:val="18"/>
                <w:lang w:bidi="ar"/>
              </w:rPr>
              <w:t>无菌头皮夹</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36CE">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B2D5">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9525">
            <w:pPr>
              <w:widowControl/>
              <w:jc w:val="center"/>
              <w:textAlignment w:val="center"/>
              <w:rPr>
                <w:rFonts w:ascii="宋体" w:hAnsi="宋体" w:cs="宋体"/>
                <w:sz w:val="18"/>
                <w:szCs w:val="18"/>
              </w:rPr>
            </w:pPr>
            <w:r>
              <w:rPr>
                <w:rFonts w:ascii="宋体" w:hAnsi="宋体" w:cs="宋体"/>
                <w:kern w:val="0"/>
                <w:sz w:val="18"/>
                <w:szCs w:val="18"/>
                <w:lang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900E">
            <w:pPr>
              <w:widowControl/>
              <w:jc w:val="center"/>
              <w:textAlignment w:val="center"/>
              <w:rPr>
                <w:rFonts w:ascii="宋体" w:hAnsi="宋体" w:cs="宋体"/>
                <w:sz w:val="18"/>
                <w:szCs w:val="18"/>
              </w:rPr>
            </w:pPr>
            <w:r>
              <w:rPr>
                <w:rFonts w:ascii="宋体" w:hAnsi="宋体" w:cs="宋体"/>
                <w:kern w:val="0"/>
                <w:sz w:val="18"/>
                <w:szCs w:val="18"/>
                <w:lang w:bidi="ar"/>
              </w:rPr>
              <w:t xml:space="preserve">1.2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F3E4">
            <w:pPr>
              <w:widowControl/>
              <w:jc w:val="center"/>
              <w:textAlignment w:val="center"/>
              <w:rPr>
                <w:rFonts w:ascii="宋体" w:hAnsi="宋体" w:cs="宋体"/>
                <w:sz w:val="18"/>
                <w:szCs w:val="18"/>
              </w:rPr>
            </w:pPr>
            <w:r>
              <w:rPr>
                <w:rFonts w:ascii="宋体" w:hAnsi="宋体" w:cs="宋体"/>
                <w:kern w:val="0"/>
                <w:sz w:val="18"/>
                <w:szCs w:val="18"/>
                <w:lang w:bidi="ar"/>
              </w:rPr>
              <w:t xml:space="preserve">160 </w:t>
            </w:r>
          </w:p>
        </w:tc>
      </w:tr>
      <w:tr w14:paraId="47C68A0C">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407A9">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4B7B">
            <w:pPr>
              <w:widowControl/>
              <w:jc w:val="center"/>
              <w:textAlignment w:val="center"/>
              <w:rPr>
                <w:rFonts w:ascii="宋体" w:hAnsi="宋体" w:cs="宋体"/>
                <w:sz w:val="18"/>
                <w:szCs w:val="18"/>
              </w:rPr>
            </w:pPr>
            <w:r>
              <w:rPr>
                <w:rFonts w:ascii="宋体" w:hAnsi="宋体" w:cs="宋体"/>
                <w:kern w:val="0"/>
                <w:sz w:val="18"/>
                <w:szCs w:val="18"/>
                <w:lang w:bidi="ar"/>
              </w:rPr>
              <w:t xml:space="preserve">34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6298">
            <w:pPr>
              <w:widowControl/>
              <w:jc w:val="center"/>
              <w:textAlignment w:val="center"/>
              <w:rPr>
                <w:rFonts w:ascii="宋体" w:hAnsi="宋体" w:cs="宋体"/>
                <w:sz w:val="18"/>
                <w:szCs w:val="18"/>
              </w:rPr>
            </w:pPr>
            <w:r>
              <w:rPr>
                <w:rFonts w:ascii="宋体" w:hAnsi="宋体" w:cs="宋体"/>
                <w:kern w:val="0"/>
                <w:sz w:val="18"/>
                <w:szCs w:val="18"/>
                <w:lang w:bidi="ar"/>
              </w:rPr>
              <w:t>透气胶带</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524B">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1D34">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4D58">
            <w:pPr>
              <w:widowControl/>
              <w:jc w:val="center"/>
              <w:textAlignment w:val="center"/>
              <w:rPr>
                <w:rFonts w:ascii="宋体" w:hAnsi="宋体" w:cs="宋体"/>
                <w:sz w:val="18"/>
                <w:szCs w:val="18"/>
              </w:rPr>
            </w:pPr>
            <w:r>
              <w:rPr>
                <w:rFonts w:ascii="宋体" w:hAnsi="宋体" w:cs="宋体"/>
                <w:kern w:val="0"/>
                <w:sz w:val="18"/>
                <w:szCs w:val="18"/>
                <w:lang w:bidi="ar"/>
              </w:rPr>
              <w:t>卷</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C8A4">
            <w:pPr>
              <w:widowControl/>
              <w:jc w:val="center"/>
              <w:textAlignment w:val="center"/>
              <w:rPr>
                <w:rFonts w:ascii="宋体" w:hAnsi="宋体" w:cs="宋体"/>
                <w:sz w:val="18"/>
                <w:szCs w:val="18"/>
              </w:rPr>
            </w:pPr>
            <w:r>
              <w:rPr>
                <w:rFonts w:ascii="宋体" w:hAnsi="宋体" w:cs="宋体"/>
                <w:kern w:val="0"/>
                <w:sz w:val="18"/>
                <w:szCs w:val="18"/>
                <w:lang w:bidi="ar"/>
              </w:rPr>
              <w:t xml:space="preserve">1.5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D577">
            <w:pPr>
              <w:widowControl/>
              <w:jc w:val="center"/>
              <w:textAlignment w:val="center"/>
              <w:rPr>
                <w:rFonts w:ascii="宋体" w:hAnsi="宋体" w:cs="宋体"/>
                <w:sz w:val="18"/>
                <w:szCs w:val="18"/>
              </w:rPr>
            </w:pPr>
            <w:r>
              <w:rPr>
                <w:rFonts w:ascii="宋体" w:hAnsi="宋体" w:cs="宋体"/>
                <w:kern w:val="0"/>
                <w:sz w:val="18"/>
                <w:szCs w:val="18"/>
                <w:lang w:bidi="ar"/>
              </w:rPr>
              <w:t xml:space="preserve">104 </w:t>
            </w:r>
          </w:p>
        </w:tc>
      </w:tr>
      <w:tr w14:paraId="19D30BDE">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C040">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4815">
            <w:pPr>
              <w:widowControl/>
              <w:jc w:val="center"/>
              <w:textAlignment w:val="center"/>
              <w:rPr>
                <w:rFonts w:ascii="宋体" w:hAnsi="宋体" w:cs="宋体"/>
                <w:sz w:val="18"/>
                <w:szCs w:val="18"/>
              </w:rPr>
            </w:pPr>
            <w:r>
              <w:rPr>
                <w:rFonts w:ascii="宋体" w:hAnsi="宋体" w:cs="宋体"/>
                <w:kern w:val="0"/>
                <w:sz w:val="18"/>
                <w:szCs w:val="18"/>
                <w:lang w:bidi="ar"/>
              </w:rPr>
              <w:t xml:space="preserve">35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CD8D">
            <w:pPr>
              <w:widowControl/>
              <w:jc w:val="center"/>
              <w:textAlignment w:val="center"/>
              <w:rPr>
                <w:rFonts w:ascii="宋体" w:hAnsi="宋体" w:cs="宋体"/>
                <w:sz w:val="18"/>
                <w:szCs w:val="18"/>
              </w:rPr>
            </w:pPr>
            <w:r>
              <w:rPr>
                <w:rFonts w:ascii="宋体" w:hAnsi="宋体" w:cs="宋体"/>
                <w:kern w:val="0"/>
                <w:sz w:val="18"/>
                <w:szCs w:val="18"/>
                <w:lang w:bidi="ar"/>
              </w:rPr>
              <w:t>轻质液体石蜡</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F66E">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4018">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F503">
            <w:pPr>
              <w:widowControl/>
              <w:jc w:val="center"/>
              <w:textAlignment w:val="center"/>
              <w:rPr>
                <w:rFonts w:ascii="宋体" w:hAnsi="宋体" w:cs="宋体"/>
                <w:sz w:val="18"/>
                <w:szCs w:val="18"/>
              </w:rPr>
            </w:pPr>
            <w:r>
              <w:rPr>
                <w:rFonts w:ascii="宋体" w:hAnsi="宋体" w:cs="宋体"/>
                <w:kern w:val="0"/>
                <w:sz w:val="18"/>
                <w:szCs w:val="18"/>
                <w:lang w:bidi="ar"/>
              </w:rPr>
              <w:t>瓶</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C776">
            <w:pPr>
              <w:widowControl/>
              <w:jc w:val="center"/>
              <w:textAlignment w:val="center"/>
              <w:rPr>
                <w:rFonts w:ascii="宋体" w:hAnsi="宋体" w:cs="宋体"/>
                <w:sz w:val="18"/>
                <w:szCs w:val="18"/>
              </w:rPr>
            </w:pPr>
            <w:r>
              <w:rPr>
                <w:rFonts w:ascii="宋体" w:hAnsi="宋体" w:cs="宋体"/>
                <w:kern w:val="0"/>
                <w:sz w:val="18"/>
                <w:szCs w:val="18"/>
                <w:lang w:bidi="ar"/>
              </w:rPr>
              <w:t xml:space="preserve">3.25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1D49">
            <w:pPr>
              <w:widowControl/>
              <w:jc w:val="center"/>
              <w:textAlignment w:val="center"/>
              <w:rPr>
                <w:rFonts w:ascii="宋体" w:hAnsi="宋体" w:cs="宋体"/>
                <w:sz w:val="18"/>
                <w:szCs w:val="18"/>
              </w:rPr>
            </w:pPr>
            <w:r>
              <w:rPr>
                <w:rFonts w:ascii="宋体" w:hAnsi="宋体" w:cs="宋体"/>
                <w:kern w:val="0"/>
                <w:sz w:val="18"/>
                <w:szCs w:val="18"/>
                <w:lang w:bidi="ar"/>
              </w:rPr>
              <w:t xml:space="preserve">20 </w:t>
            </w:r>
          </w:p>
        </w:tc>
      </w:tr>
      <w:tr w14:paraId="39465120">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A345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4D68">
            <w:pPr>
              <w:widowControl/>
              <w:jc w:val="center"/>
              <w:textAlignment w:val="center"/>
              <w:rPr>
                <w:rFonts w:ascii="宋体" w:hAnsi="宋体" w:cs="宋体"/>
                <w:sz w:val="18"/>
                <w:szCs w:val="18"/>
              </w:rPr>
            </w:pPr>
            <w:r>
              <w:rPr>
                <w:rFonts w:ascii="宋体" w:hAnsi="宋体" w:cs="宋体"/>
                <w:kern w:val="0"/>
                <w:sz w:val="18"/>
                <w:szCs w:val="18"/>
                <w:lang w:bidi="ar"/>
              </w:rPr>
              <w:t xml:space="preserve">36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5DB0">
            <w:pPr>
              <w:widowControl/>
              <w:jc w:val="center"/>
              <w:textAlignment w:val="center"/>
              <w:rPr>
                <w:rFonts w:ascii="宋体" w:hAnsi="宋体" w:cs="宋体"/>
                <w:sz w:val="18"/>
                <w:szCs w:val="18"/>
              </w:rPr>
            </w:pPr>
            <w:r>
              <w:rPr>
                <w:rFonts w:ascii="宋体" w:hAnsi="宋体" w:cs="宋体"/>
                <w:kern w:val="0"/>
                <w:sz w:val="18"/>
                <w:szCs w:val="18"/>
                <w:lang w:bidi="ar"/>
              </w:rPr>
              <w:t>一次性使用换药碗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78C1">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DA7C">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60D1">
            <w:pPr>
              <w:widowControl/>
              <w:jc w:val="center"/>
              <w:textAlignment w:val="center"/>
              <w:rPr>
                <w:rFonts w:ascii="宋体" w:hAnsi="宋体" w:cs="宋体"/>
                <w:sz w:val="18"/>
                <w:szCs w:val="18"/>
              </w:rPr>
            </w:pPr>
            <w:r>
              <w:rPr>
                <w:rFonts w:ascii="宋体" w:hAnsi="宋体" w:cs="宋体"/>
                <w:kern w:val="0"/>
                <w:sz w:val="18"/>
                <w:szCs w:val="18"/>
                <w:lang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8532">
            <w:pPr>
              <w:widowControl/>
              <w:jc w:val="center"/>
              <w:textAlignment w:val="center"/>
              <w:rPr>
                <w:rFonts w:ascii="宋体" w:hAnsi="宋体" w:cs="宋体"/>
                <w:sz w:val="18"/>
                <w:szCs w:val="18"/>
              </w:rPr>
            </w:pPr>
            <w:r>
              <w:rPr>
                <w:rFonts w:ascii="宋体" w:hAnsi="宋体" w:cs="宋体"/>
                <w:kern w:val="0"/>
                <w:sz w:val="18"/>
                <w:szCs w:val="18"/>
                <w:lang w:bidi="ar"/>
              </w:rPr>
              <w:t xml:space="preserve">0.4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5E86">
            <w:pPr>
              <w:widowControl/>
              <w:jc w:val="center"/>
              <w:textAlignment w:val="center"/>
              <w:rPr>
                <w:rFonts w:ascii="宋体" w:hAnsi="宋体" w:cs="宋体"/>
                <w:sz w:val="18"/>
                <w:szCs w:val="18"/>
              </w:rPr>
            </w:pPr>
            <w:r>
              <w:rPr>
                <w:rFonts w:ascii="宋体" w:hAnsi="宋体" w:cs="宋体"/>
                <w:kern w:val="0"/>
                <w:sz w:val="18"/>
                <w:szCs w:val="18"/>
                <w:lang w:bidi="ar"/>
              </w:rPr>
              <w:t xml:space="preserve">867 </w:t>
            </w:r>
          </w:p>
        </w:tc>
      </w:tr>
      <w:tr w14:paraId="1ADFB354">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E648D">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2FE2">
            <w:pPr>
              <w:widowControl/>
              <w:jc w:val="center"/>
              <w:textAlignment w:val="center"/>
              <w:rPr>
                <w:rFonts w:ascii="宋体" w:hAnsi="宋体" w:cs="宋体"/>
                <w:sz w:val="18"/>
                <w:szCs w:val="18"/>
              </w:rPr>
            </w:pPr>
            <w:bookmarkStart w:id="855" w:name="OLE_LINK20"/>
            <w:bookmarkStart w:id="856" w:name="OLE_LINK19"/>
            <w:r>
              <w:rPr>
                <w:rFonts w:ascii="宋体" w:hAnsi="宋体" w:cs="宋体"/>
                <w:kern w:val="0"/>
                <w:sz w:val="18"/>
                <w:szCs w:val="18"/>
                <w:lang w:bidi="ar"/>
              </w:rPr>
              <w:t>▲</w:t>
            </w:r>
            <w:bookmarkEnd w:id="855"/>
            <w:bookmarkEnd w:id="856"/>
            <w:r>
              <w:rPr>
                <w:rFonts w:ascii="宋体" w:hAnsi="宋体" w:cs="宋体"/>
                <w:kern w:val="0"/>
                <w:sz w:val="18"/>
                <w:szCs w:val="18"/>
                <w:lang w:bidi="ar"/>
              </w:rPr>
              <w:t>37</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E7C6">
            <w:pPr>
              <w:widowControl/>
              <w:jc w:val="center"/>
              <w:textAlignment w:val="center"/>
              <w:rPr>
                <w:rFonts w:ascii="宋体" w:hAnsi="宋体" w:cs="宋体"/>
                <w:sz w:val="18"/>
                <w:szCs w:val="18"/>
              </w:rPr>
            </w:pPr>
            <w:r>
              <w:rPr>
                <w:rFonts w:ascii="宋体" w:hAnsi="宋体" w:cs="宋体"/>
                <w:kern w:val="0"/>
                <w:sz w:val="18"/>
                <w:szCs w:val="18"/>
                <w:lang w:bidi="ar"/>
              </w:rPr>
              <w:t>★一次性使用高频手术电极</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F8E2">
            <w:pPr>
              <w:widowControl/>
              <w:jc w:val="center"/>
              <w:textAlignment w:val="center"/>
              <w:rPr>
                <w:rFonts w:ascii="宋体" w:hAnsi="宋体" w:cs="宋体"/>
                <w:sz w:val="18"/>
                <w:szCs w:val="18"/>
              </w:rPr>
            </w:pPr>
            <w:r>
              <w:rPr>
                <w:rFonts w:ascii="宋体" w:hAnsi="宋体" w:cs="宋体"/>
                <w:kern w:val="0"/>
                <w:sz w:val="18"/>
                <w:szCs w:val="18"/>
                <w:lang w:bidi="ar"/>
              </w:rPr>
              <w:t>全规格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4614">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8537">
            <w:pPr>
              <w:widowControl/>
              <w:jc w:val="center"/>
              <w:textAlignment w:val="center"/>
              <w:rPr>
                <w:rFonts w:ascii="宋体" w:hAnsi="宋体" w:cs="宋体"/>
                <w:sz w:val="18"/>
                <w:szCs w:val="18"/>
              </w:rPr>
            </w:pPr>
            <w:r>
              <w:rPr>
                <w:rFonts w:ascii="宋体" w:hAnsi="宋体" w:cs="宋体"/>
                <w:kern w:val="0"/>
                <w:sz w:val="18"/>
                <w:szCs w:val="18"/>
                <w:lang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8F5C">
            <w:pPr>
              <w:widowControl/>
              <w:jc w:val="center"/>
              <w:textAlignment w:val="center"/>
              <w:rPr>
                <w:rFonts w:ascii="宋体" w:hAnsi="宋体" w:cs="宋体"/>
                <w:sz w:val="18"/>
                <w:szCs w:val="18"/>
              </w:rPr>
            </w:pPr>
            <w:r>
              <w:rPr>
                <w:rFonts w:ascii="宋体" w:hAnsi="宋体" w:cs="宋体"/>
                <w:kern w:val="0"/>
                <w:sz w:val="18"/>
                <w:szCs w:val="18"/>
                <w:lang w:bidi="ar"/>
              </w:rPr>
              <w:t xml:space="preserve">21 </w:t>
            </w:r>
          </w:p>
        </w:tc>
        <w:tc>
          <w:tcPr>
            <w:tcW w:w="522" w:type="pct"/>
            <w:tcBorders>
              <w:top w:val="single" w:color="000000" w:sz="4" w:space="0"/>
              <w:left w:val="single" w:color="000000" w:sz="4" w:space="0"/>
              <w:bottom w:val="nil"/>
              <w:right w:val="single" w:color="000000" w:sz="4" w:space="0"/>
            </w:tcBorders>
            <w:shd w:val="clear" w:color="auto" w:fill="auto"/>
            <w:vAlign w:val="center"/>
          </w:tcPr>
          <w:p w14:paraId="186DD3E5">
            <w:pPr>
              <w:widowControl/>
              <w:jc w:val="center"/>
              <w:textAlignment w:val="center"/>
              <w:rPr>
                <w:rFonts w:ascii="宋体" w:hAnsi="宋体" w:cs="宋体"/>
                <w:sz w:val="18"/>
                <w:szCs w:val="18"/>
              </w:rPr>
            </w:pPr>
            <w:r>
              <w:rPr>
                <w:rFonts w:ascii="宋体" w:hAnsi="宋体" w:cs="宋体"/>
                <w:kern w:val="0"/>
                <w:sz w:val="18"/>
                <w:szCs w:val="18"/>
                <w:lang w:bidi="ar"/>
              </w:rPr>
              <w:t xml:space="preserve">200 </w:t>
            </w:r>
          </w:p>
        </w:tc>
      </w:tr>
      <w:tr w14:paraId="49495539">
        <w:tblPrEx>
          <w:tblCellMar>
            <w:top w:w="0" w:type="dxa"/>
            <w:left w:w="108" w:type="dxa"/>
            <w:bottom w:w="0" w:type="dxa"/>
            <w:right w:w="108" w:type="dxa"/>
          </w:tblCellMar>
        </w:tblPrEx>
        <w:trPr>
          <w:trHeight w:val="432"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1C13">
            <w:pPr>
              <w:jc w:val="center"/>
              <w:rPr>
                <w:rFonts w:ascii="宋体" w:hAnsi="宋体" w:cs="宋体"/>
                <w:sz w:val="18"/>
                <w:szCs w:val="18"/>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4039">
            <w:pPr>
              <w:widowControl/>
              <w:jc w:val="center"/>
              <w:textAlignment w:val="center"/>
              <w:rPr>
                <w:rFonts w:ascii="宋体" w:hAnsi="宋体" w:cs="宋体"/>
                <w:sz w:val="18"/>
                <w:szCs w:val="18"/>
              </w:rPr>
            </w:pPr>
            <w:r>
              <w:rPr>
                <w:rFonts w:hint="eastAsia" w:ascii="宋体" w:hAnsi="宋体" w:cs="宋体"/>
                <w:kern w:val="0"/>
                <w:sz w:val="18"/>
                <w:szCs w:val="18"/>
                <w:lang w:bidi="ar"/>
              </w:rPr>
              <w:t xml:space="preserve">38 </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BE94">
            <w:pPr>
              <w:widowControl/>
              <w:jc w:val="center"/>
              <w:textAlignment w:val="center"/>
              <w:rPr>
                <w:rFonts w:ascii="宋体" w:hAnsi="宋体" w:cs="宋体"/>
                <w:sz w:val="18"/>
                <w:szCs w:val="18"/>
              </w:rPr>
            </w:pPr>
            <w:r>
              <w:rPr>
                <w:rFonts w:ascii="宋体" w:hAnsi="宋体" w:cs="宋体"/>
                <w:kern w:val="0"/>
                <w:sz w:val="18"/>
                <w:szCs w:val="18"/>
                <w:lang w:bidi="ar"/>
              </w:rPr>
              <w:t>★追溯标识牌</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2D24">
            <w:pPr>
              <w:widowControl/>
              <w:jc w:val="center"/>
              <w:textAlignment w:val="center"/>
              <w:rPr>
                <w:rFonts w:ascii="宋体" w:hAnsi="宋体" w:cs="宋体"/>
                <w:sz w:val="18"/>
                <w:szCs w:val="18"/>
              </w:rPr>
            </w:pPr>
            <w:r>
              <w:rPr>
                <w:rFonts w:ascii="宋体" w:hAnsi="宋体" w:cs="宋体"/>
                <w:kern w:val="0"/>
                <w:sz w:val="18"/>
                <w:szCs w:val="18"/>
                <w:lang w:bidi="ar"/>
              </w:rPr>
              <w:t>9cm*4cm</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B1E2">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02BC">
            <w:pPr>
              <w:widowControl/>
              <w:jc w:val="center"/>
              <w:textAlignment w:val="center"/>
              <w:rPr>
                <w:rFonts w:ascii="宋体" w:hAnsi="宋体" w:cs="宋体"/>
                <w:sz w:val="18"/>
                <w:szCs w:val="18"/>
              </w:rPr>
            </w:pPr>
            <w:r>
              <w:rPr>
                <w:rFonts w:ascii="宋体" w:hAnsi="宋体" w:cs="宋体"/>
                <w:kern w:val="0"/>
                <w:sz w:val="18"/>
                <w:szCs w:val="18"/>
                <w:lang w:bidi="ar"/>
              </w:rPr>
              <w:t>块</w:t>
            </w:r>
          </w:p>
        </w:tc>
        <w:tc>
          <w:tcPr>
            <w:tcW w:w="522" w:type="pct"/>
            <w:tcBorders>
              <w:top w:val="single" w:color="000000" w:sz="4" w:space="0"/>
              <w:left w:val="single" w:color="000000" w:sz="4" w:space="0"/>
              <w:bottom w:val="single" w:color="000000" w:sz="4" w:space="0"/>
              <w:right w:val="nil"/>
            </w:tcBorders>
            <w:shd w:val="clear" w:color="auto" w:fill="auto"/>
            <w:vAlign w:val="center"/>
          </w:tcPr>
          <w:p w14:paraId="62EECA25">
            <w:pPr>
              <w:widowControl/>
              <w:jc w:val="center"/>
              <w:textAlignment w:val="center"/>
              <w:rPr>
                <w:rFonts w:ascii="宋体" w:hAnsi="宋体" w:cs="宋体"/>
                <w:sz w:val="18"/>
                <w:szCs w:val="18"/>
              </w:rPr>
            </w:pPr>
            <w:r>
              <w:rPr>
                <w:rFonts w:ascii="宋体" w:hAnsi="宋体" w:cs="宋体"/>
                <w:kern w:val="0"/>
                <w:sz w:val="18"/>
                <w:szCs w:val="18"/>
                <w:lang w:bidi="ar"/>
              </w:rPr>
              <w:t xml:space="preserve">25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C803">
            <w:pPr>
              <w:widowControl/>
              <w:jc w:val="center"/>
              <w:textAlignment w:val="center"/>
              <w:rPr>
                <w:rFonts w:ascii="宋体" w:hAnsi="宋体" w:cs="宋体"/>
                <w:sz w:val="18"/>
                <w:szCs w:val="18"/>
              </w:rPr>
            </w:pPr>
            <w:r>
              <w:rPr>
                <w:rFonts w:ascii="宋体" w:hAnsi="宋体" w:cs="宋体"/>
                <w:kern w:val="0"/>
                <w:sz w:val="18"/>
                <w:szCs w:val="18"/>
                <w:lang w:bidi="ar"/>
              </w:rPr>
              <w:t xml:space="preserve">100 </w:t>
            </w:r>
          </w:p>
        </w:tc>
      </w:tr>
    </w:tbl>
    <w:p w14:paraId="44D7AD9F">
      <w:pPr>
        <w:spacing w:line="360" w:lineRule="auto"/>
        <w:rPr>
          <w:rFonts w:hAnsi="宋体" w:eastAsia="仿宋"/>
          <w:b/>
          <w:bCs/>
          <w:sz w:val="24"/>
        </w:rPr>
      </w:pPr>
      <w:r>
        <w:rPr>
          <w:rFonts w:hint="eastAsia" w:hAnsi="宋体" w:eastAsia="仿宋"/>
          <w:b/>
          <w:bCs/>
          <w:sz w:val="24"/>
        </w:rPr>
        <w:t>第4包：正畸材料（错合畸形预防训练器等）配送清单及规格参数：</w:t>
      </w:r>
    </w:p>
    <w:tbl>
      <w:tblPr>
        <w:tblStyle w:val="14"/>
        <w:tblW w:w="4998" w:type="pct"/>
        <w:tblInd w:w="0" w:type="dxa"/>
        <w:tblLayout w:type="autofit"/>
        <w:tblCellMar>
          <w:top w:w="0" w:type="dxa"/>
          <w:left w:w="108" w:type="dxa"/>
          <w:bottom w:w="0" w:type="dxa"/>
          <w:right w:w="108" w:type="dxa"/>
        </w:tblCellMar>
      </w:tblPr>
      <w:tblGrid>
        <w:gridCol w:w="1723"/>
        <w:gridCol w:w="2589"/>
        <w:gridCol w:w="3572"/>
        <w:gridCol w:w="1724"/>
        <w:gridCol w:w="1724"/>
        <w:gridCol w:w="1724"/>
        <w:gridCol w:w="1724"/>
      </w:tblGrid>
      <w:tr w14:paraId="6F5CAF98">
        <w:tblPrEx>
          <w:tblCellMar>
            <w:top w:w="0" w:type="dxa"/>
            <w:left w:w="108" w:type="dxa"/>
            <w:bottom w:w="0" w:type="dxa"/>
            <w:right w:w="108" w:type="dxa"/>
          </w:tblCellMar>
        </w:tblPrEx>
        <w:trPr>
          <w:trHeight w:val="648" w:hRule="atLeast"/>
        </w:trPr>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F5013C8">
            <w:pPr>
              <w:widowControl/>
              <w:jc w:val="center"/>
              <w:textAlignment w:val="center"/>
              <w:rPr>
                <w:rFonts w:ascii="宋体" w:hAnsi="宋体" w:cs="宋体"/>
                <w:b/>
                <w:bCs/>
                <w:sz w:val="18"/>
                <w:szCs w:val="18"/>
              </w:rPr>
            </w:pPr>
            <w:r>
              <w:rPr>
                <w:rFonts w:ascii="宋体" w:hAnsi="宋体" w:cs="宋体"/>
                <w:b/>
                <w:bCs/>
                <w:kern w:val="0"/>
                <w:sz w:val="18"/>
                <w:szCs w:val="18"/>
                <w:lang w:bidi="ar"/>
              </w:rPr>
              <w:t>序</w:t>
            </w:r>
            <w:r>
              <w:rPr>
                <w:rFonts w:ascii="宋体" w:hAnsi="宋体" w:cs="宋体"/>
                <w:b/>
                <w:bCs/>
                <w:kern w:val="0"/>
                <w:sz w:val="18"/>
                <w:szCs w:val="18"/>
                <w:lang w:bidi="ar"/>
              </w:rPr>
              <w:br w:type="textWrapping"/>
            </w:r>
            <w:r>
              <w:rPr>
                <w:rFonts w:ascii="宋体" w:hAnsi="宋体" w:cs="宋体"/>
                <w:b/>
                <w:bCs/>
                <w:kern w:val="0"/>
                <w:sz w:val="18"/>
                <w:szCs w:val="18"/>
                <w:lang w:bidi="ar"/>
              </w:rPr>
              <w:t>号</w:t>
            </w:r>
          </w:p>
        </w:tc>
        <w:tc>
          <w:tcPr>
            <w:tcW w:w="87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16AE2EC">
            <w:pPr>
              <w:widowControl/>
              <w:jc w:val="center"/>
              <w:textAlignment w:val="center"/>
              <w:rPr>
                <w:rFonts w:ascii="宋体" w:hAnsi="宋体" w:cs="宋体"/>
                <w:b/>
                <w:bCs/>
                <w:sz w:val="18"/>
                <w:szCs w:val="18"/>
              </w:rPr>
            </w:pPr>
            <w:r>
              <w:rPr>
                <w:rFonts w:ascii="宋体" w:hAnsi="宋体" w:cs="宋体"/>
                <w:b/>
                <w:bCs/>
                <w:kern w:val="0"/>
                <w:sz w:val="18"/>
                <w:szCs w:val="18"/>
                <w:lang w:bidi="ar"/>
              </w:rPr>
              <w:t>产品名称</w:t>
            </w:r>
          </w:p>
        </w:tc>
        <w:tc>
          <w:tcPr>
            <w:tcW w:w="1208"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265BF91">
            <w:pPr>
              <w:widowControl/>
              <w:jc w:val="center"/>
              <w:textAlignment w:val="center"/>
              <w:rPr>
                <w:rFonts w:ascii="宋体" w:hAnsi="宋体" w:cs="宋体"/>
                <w:b/>
                <w:bCs/>
                <w:sz w:val="18"/>
                <w:szCs w:val="18"/>
              </w:rPr>
            </w:pPr>
            <w:r>
              <w:rPr>
                <w:rFonts w:ascii="宋体" w:hAnsi="宋体" w:cs="宋体"/>
                <w:b/>
                <w:bCs/>
                <w:kern w:val="0"/>
                <w:sz w:val="18"/>
                <w:szCs w:val="18"/>
                <w:lang w:bidi="ar"/>
              </w:rPr>
              <w:t>规格型号</w:t>
            </w:r>
          </w:p>
        </w:tc>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C5E6286">
            <w:pPr>
              <w:widowControl/>
              <w:jc w:val="center"/>
              <w:textAlignment w:val="center"/>
              <w:rPr>
                <w:rFonts w:ascii="宋体" w:hAnsi="宋体" w:cs="宋体"/>
                <w:b/>
                <w:bCs/>
                <w:sz w:val="18"/>
                <w:szCs w:val="18"/>
              </w:rPr>
            </w:pPr>
            <w:r>
              <w:rPr>
                <w:rFonts w:ascii="宋体" w:hAnsi="宋体" w:cs="宋体"/>
                <w:b/>
                <w:bCs/>
                <w:kern w:val="0"/>
                <w:sz w:val="18"/>
                <w:szCs w:val="18"/>
                <w:lang w:bidi="ar"/>
              </w:rPr>
              <w:t>产地（进口</w:t>
            </w:r>
            <w:r>
              <w:rPr>
                <w:rFonts w:ascii="宋体" w:hAnsi="宋体" w:cs="宋体"/>
                <w:b/>
                <w:bCs/>
                <w:kern w:val="0"/>
                <w:sz w:val="18"/>
                <w:szCs w:val="18"/>
                <w:lang w:bidi="ar"/>
              </w:rPr>
              <w:br w:type="textWrapping"/>
            </w:r>
            <w:r>
              <w:rPr>
                <w:rFonts w:ascii="宋体" w:hAnsi="宋体" w:cs="宋体"/>
                <w:b/>
                <w:bCs/>
                <w:kern w:val="0"/>
                <w:sz w:val="18"/>
                <w:szCs w:val="18"/>
                <w:lang w:bidi="ar"/>
              </w:rPr>
              <w:t>/国产）</w:t>
            </w:r>
          </w:p>
        </w:tc>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3E0E6B4">
            <w:pPr>
              <w:widowControl/>
              <w:jc w:val="center"/>
              <w:textAlignment w:val="center"/>
              <w:rPr>
                <w:rFonts w:ascii="宋体" w:hAnsi="宋体" w:cs="宋体"/>
                <w:b/>
                <w:bCs/>
                <w:sz w:val="18"/>
                <w:szCs w:val="18"/>
              </w:rPr>
            </w:pPr>
            <w:r>
              <w:rPr>
                <w:rFonts w:ascii="宋体" w:hAnsi="宋体" w:cs="宋体"/>
                <w:b/>
                <w:bCs/>
                <w:kern w:val="0"/>
                <w:sz w:val="18"/>
                <w:szCs w:val="18"/>
                <w:lang w:bidi="ar"/>
              </w:rPr>
              <w:t>单位</w:t>
            </w:r>
          </w:p>
        </w:tc>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F1C6474">
            <w:pPr>
              <w:widowControl/>
              <w:jc w:val="center"/>
              <w:textAlignment w:val="center"/>
              <w:rPr>
                <w:rFonts w:ascii="宋体" w:hAnsi="宋体" w:cs="宋体"/>
                <w:b/>
                <w:bCs/>
                <w:sz w:val="18"/>
                <w:szCs w:val="18"/>
              </w:rPr>
            </w:pPr>
            <w:r>
              <w:rPr>
                <w:rFonts w:ascii="宋体" w:hAnsi="宋体" w:cs="宋体"/>
                <w:b/>
                <w:bCs/>
                <w:kern w:val="0"/>
                <w:sz w:val="18"/>
                <w:szCs w:val="18"/>
                <w:lang w:bidi="ar"/>
              </w:rPr>
              <w:t>参考价格</w:t>
            </w:r>
            <w:r>
              <w:rPr>
                <w:rFonts w:ascii="宋体" w:hAnsi="宋体" w:cs="宋体"/>
                <w:b/>
                <w:bCs/>
                <w:kern w:val="0"/>
                <w:sz w:val="18"/>
                <w:szCs w:val="18"/>
                <w:lang w:bidi="ar"/>
              </w:rPr>
              <w:br w:type="textWrapping"/>
            </w:r>
            <w:r>
              <w:rPr>
                <w:rFonts w:ascii="宋体" w:hAnsi="宋体" w:cs="宋体"/>
                <w:b/>
                <w:bCs/>
                <w:kern w:val="0"/>
                <w:sz w:val="18"/>
                <w:szCs w:val="18"/>
                <w:lang w:bidi="ar"/>
              </w:rPr>
              <w:t>（元）</w:t>
            </w:r>
          </w:p>
        </w:tc>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87A2288">
            <w:pPr>
              <w:widowControl/>
              <w:jc w:val="center"/>
              <w:textAlignment w:val="center"/>
              <w:rPr>
                <w:rFonts w:ascii="宋体" w:hAnsi="宋体" w:cs="宋体"/>
                <w:b/>
                <w:bCs/>
                <w:sz w:val="18"/>
                <w:szCs w:val="18"/>
              </w:rPr>
            </w:pPr>
            <w:r>
              <w:rPr>
                <w:rFonts w:ascii="宋体" w:hAnsi="宋体" w:cs="宋体"/>
                <w:b/>
                <w:bCs/>
                <w:kern w:val="0"/>
                <w:sz w:val="18"/>
                <w:szCs w:val="18"/>
                <w:lang w:bidi="ar"/>
              </w:rPr>
              <w:t>参考用量</w:t>
            </w:r>
            <w:r>
              <w:rPr>
                <w:rFonts w:ascii="宋体" w:hAnsi="宋体" w:cs="宋体"/>
                <w:b/>
                <w:bCs/>
                <w:kern w:val="0"/>
                <w:sz w:val="18"/>
                <w:szCs w:val="18"/>
                <w:lang w:bidi="ar"/>
              </w:rPr>
              <w:br w:type="textWrapping"/>
            </w:r>
            <w:r>
              <w:rPr>
                <w:rFonts w:ascii="宋体" w:hAnsi="宋体" w:cs="宋体"/>
                <w:b/>
                <w:bCs/>
                <w:kern w:val="0"/>
                <w:sz w:val="18"/>
                <w:szCs w:val="18"/>
                <w:lang w:bidi="ar"/>
              </w:rPr>
              <w:t>（年）</w:t>
            </w:r>
          </w:p>
        </w:tc>
      </w:tr>
      <w:tr w14:paraId="3E57742D">
        <w:tblPrEx>
          <w:tblCellMar>
            <w:top w:w="0" w:type="dxa"/>
            <w:left w:w="108" w:type="dxa"/>
            <w:bottom w:w="0" w:type="dxa"/>
            <w:right w:w="108" w:type="dxa"/>
          </w:tblCellMar>
        </w:tblPrEx>
        <w:trPr>
          <w:trHeight w:val="648"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9C671">
            <w:pPr>
              <w:widowControl/>
              <w:jc w:val="center"/>
              <w:textAlignment w:val="center"/>
              <w:rPr>
                <w:rFonts w:ascii="宋体" w:hAnsi="宋体" w:cs="宋体"/>
                <w:sz w:val="18"/>
                <w:szCs w:val="18"/>
              </w:rPr>
            </w:pPr>
            <w:r>
              <w:rPr>
                <w:rFonts w:ascii="宋体" w:hAnsi="宋体" w:cs="宋体"/>
                <w:kern w:val="0"/>
                <w:sz w:val="18"/>
                <w:szCs w:val="18"/>
                <w:lang w:bidi="ar"/>
              </w:rPr>
              <w:t xml:space="preserve">▲1 </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4537">
            <w:pPr>
              <w:widowControl/>
              <w:jc w:val="center"/>
              <w:textAlignment w:val="center"/>
              <w:rPr>
                <w:rFonts w:ascii="宋体" w:hAnsi="宋体" w:cs="宋体"/>
                <w:sz w:val="18"/>
                <w:szCs w:val="18"/>
              </w:rPr>
            </w:pPr>
            <w:r>
              <w:rPr>
                <w:rFonts w:ascii="宋体" w:hAnsi="宋体" w:cs="宋体"/>
                <w:kern w:val="0"/>
                <w:sz w:val="18"/>
                <w:szCs w:val="18"/>
                <w:lang w:bidi="ar"/>
              </w:rPr>
              <w:t>★错合畸形预防训练器（吞咽辅助器）</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255C">
            <w:pPr>
              <w:widowControl/>
              <w:jc w:val="center"/>
              <w:textAlignment w:val="center"/>
              <w:rPr>
                <w:rFonts w:ascii="宋体" w:hAnsi="宋体" w:cs="宋体"/>
                <w:sz w:val="18"/>
                <w:szCs w:val="18"/>
              </w:rPr>
            </w:pPr>
            <w:r>
              <w:rPr>
                <w:rFonts w:ascii="宋体" w:hAnsi="宋体" w:cs="宋体"/>
                <w:kern w:val="0"/>
                <w:sz w:val="18"/>
                <w:szCs w:val="18"/>
                <w:lang w:bidi="ar"/>
              </w:rPr>
              <w:t>含S、M和L码</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6873">
            <w:pPr>
              <w:widowControl/>
              <w:jc w:val="center"/>
              <w:textAlignment w:val="center"/>
              <w:rPr>
                <w:rFonts w:ascii="宋体" w:hAnsi="宋体" w:cs="宋体"/>
                <w:sz w:val="18"/>
                <w:szCs w:val="18"/>
              </w:rPr>
            </w:pPr>
            <w:r>
              <w:rPr>
                <w:rFonts w:ascii="宋体" w:hAnsi="宋体" w:cs="宋体"/>
                <w:kern w:val="0"/>
                <w:sz w:val="18"/>
                <w:szCs w:val="18"/>
                <w:lang w:bidi="ar"/>
              </w:rPr>
              <w:t>国产</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8633">
            <w:pPr>
              <w:widowControl/>
              <w:jc w:val="center"/>
              <w:textAlignment w:val="center"/>
              <w:rPr>
                <w:rFonts w:ascii="宋体" w:hAnsi="宋体" w:cs="宋体"/>
                <w:sz w:val="18"/>
                <w:szCs w:val="18"/>
              </w:rPr>
            </w:pPr>
            <w:r>
              <w:rPr>
                <w:rFonts w:ascii="宋体" w:hAnsi="宋体" w:cs="宋体"/>
                <w:kern w:val="0"/>
                <w:sz w:val="18"/>
                <w:szCs w:val="18"/>
                <w:lang w:bidi="ar"/>
              </w:rPr>
              <w:t>套</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8F39">
            <w:pPr>
              <w:widowControl/>
              <w:jc w:val="center"/>
              <w:textAlignment w:val="center"/>
              <w:rPr>
                <w:rFonts w:ascii="宋体" w:hAnsi="宋体" w:cs="宋体"/>
                <w:sz w:val="18"/>
                <w:szCs w:val="18"/>
              </w:rPr>
            </w:pPr>
            <w:r>
              <w:rPr>
                <w:rFonts w:ascii="宋体" w:hAnsi="宋体" w:cs="宋体"/>
                <w:kern w:val="0"/>
                <w:sz w:val="18"/>
                <w:szCs w:val="18"/>
                <w:lang w:bidi="ar"/>
              </w:rPr>
              <w:t xml:space="preserve">380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95C5">
            <w:pPr>
              <w:widowControl/>
              <w:jc w:val="center"/>
              <w:textAlignment w:val="center"/>
              <w:rPr>
                <w:rFonts w:ascii="宋体" w:hAnsi="宋体" w:cs="宋体"/>
                <w:sz w:val="18"/>
                <w:szCs w:val="18"/>
              </w:rPr>
            </w:pPr>
            <w:r>
              <w:rPr>
                <w:rFonts w:ascii="宋体" w:hAnsi="宋体" w:cs="宋体"/>
                <w:kern w:val="0"/>
                <w:sz w:val="18"/>
                <w:szCs w:val="18"/>
                <w:lang w:bidi="ar"/>
              </w:rPr>
              <w:t xml:space="preserve">100 </w:t>
            </w:r>
          </w:p>
        </w:tc>
      </w:tr>
      <w:tr w14:paraId="43AC1B58">
        <w:tblPrEx>
          <w:tblCellMar>
            <w:top w:w="0" w:type="dxa"/>
            <w:left w:w="108" w:type="dxa"/>
            <w:bottom w:w="0" w:type="dxa"/>
            <w:right w:w="108" w:type="dxa"/>
          </w:tblCellMar>
        </w:tblPrEx>
        <w:trPr>
          <w:trHeight w:val="108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A266">
            <w:pPr>
              <w:widowControl/>
              <w:jc w:val="center"/>
              <w:textAlignment w:val="center"/>
              <w:rPr>
                <w:rFonts w:ascii="宋体" w:hAnsi="宋体" w:cs="宋体"/>
                <w:sz w:val="18"/>
                <w:szCs w:val="18"/>
              </w:rPr>
            </w:pPr>
            <w:r>
              <w:rPr>
                <w:rFonts w:ascii="宋体" w:hAnsi="宋体" w:cs="宋体"/>
                <w:kern w:val="0"/>
                <w:sz w:val="18"/>
                <w:szCs w:val="18"/>
                <w:lang w:bidi="ar"/>
              </w:rPr>
              <w:t xml:space="preserve">▲2 </w:t>
            </w:r>
          </w:p>
        </w:tc>
        <w:tc>
          <w:tcPr>
            <w:tcW w:w="876" w:type="pct"/>
            <w:tcBorders>
              <w:top w:val="single" w:color="000000" w:sz="4" w:space="0"/>
              <w:left w:val="single" w:color="000000" w:sz="4" w:space="0"/>
              <w:bottom w:val="single" w:color="000000" w:sz="4" w:space="0"/>
              <w:right w:val="single" w:color="000000" w:sz="4" w:space="0"/>
            </w:tcBorders>
            <w:shd w:val="clear" w:color="auto" w:fill="auto"/>
          </w:tcPr>
          <w:p w14:paraId="6B34DB15">
            <w:pPr>
              <w:jc w:val="center"/>
              <w:rPr>
                <w:rFonts w:ascii="宋体" w:hAnsi="宋体" w:cs="宋体"/>
                <w:sz w:val="18"/>
                <w:szCs w:val="18"/>
              </w:rPr>
            </w:pPr>
            <w:r>
              <w:rPr>
                <w:rFonts w:hint="eastAsia"/>
                <w:sz w:val="18"/>
                <w:szCs w:val="18"/>
              </w:rPr>
              <w:br w:type="textWrapping"/>
            </w:r>
            <w:r>
              <w:rPr>
                <w:rFonts w:hint="eastAsia"/>
                <w:sz w:val="18"/>
                <w:szCs w:val="18"/>
              </w:rPr>
              <w:t>★正畸个性化唇侧托槽粘接导板</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EA77">
            <w:pPr>
              <w:rPr>
                <w:rFonts w:ascii="宋体" w:hAnsi="宋体" w:cs="宋体"/>
                <w:sz w:val="18"/>
                <w:szCs w:val="18"/>
              </w:rPr>
            </w:pPr>
            <w:r>
              <w:rPr>
                <w:rFonts w:hint="eastAsia"/>
                <w:sz w:val="18"/>
                <w:szCs w:val="18"/>
              </w:rPr>
              <w:t>唇侧个性化定制导板，要兼容大部分国产常用金属 托槽</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BE76">
            <w:pPr>
              <w:jc w:val="center"/>
              <w:rPr>
                <w:rFonts w:ascii="宋体" w:hAnsi="宋体" w:cs="宋体"/>
                <w:sz w:val="18"/>
                <w:szCs w:val="18"/>
              </w:rPr>
            </w:pPr>
            <w:r>
              <w:rPr>
                <w:rFonts w:hint="eastAsia"/>
                <w:sz w:val="18"/>
                <w:szCs w:val="18"/>
              </w:rPr>
              <w:t>国产</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97B7">
            <w:pPr>
              <w:jc w:val="center"/>
              <w:rPr>
                <w:rFonts w:ascii="宋体" w:hAnsi="宋体" w:cs="宋体"/>
                <w:sz w:val="18"/>
                <w:szCs w:val="18"/>
              </w:rPr>
            </w:pPr>
            <w:r>
              <w:rPr>
                <w:rFonts w:hint="eastAsia"/>
                <w:sz w:val="18"/>
                <w:szCs w:val="18"/>
              </w:rPr>
              <w:t>套</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F97F">
            <w:pPr>
              <w:jc w:val="center"/>
              <w:rPr>
                <w:rFonts w:ascii="宋体" w:hAnsi="宋体" w:cs="宋体"/>
                <w:sz w:val="18"/>
                <w:szCs w:val="18"/>
              </w:rPr>
            </w:pPr>
            <w:r>
              <w:rPr>
                <w:rFonts w:hint="eastAsia"/>
                <w:sz w:val="18"/>
                <w:szCs w:val="18"/>
              </w:rPr>
              <w:t xml:space="preserve">1200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1074">
            <w:pPr>
              <w:jc w:val="center"/>
              <w:rPr>
                <w:rFonts w:ascii="宋体" w:hAnsi="宋体" w:cs="宋体"/>
                <w:sz w:val="18"/>
                <w:szCs w:val="18"/>
              </w:rPr>
            </w:pPr>
            <w:r>
              <w:rPr>
                <w:rFonts w:hint="eastAsia"/>
                <w:sz w:val="18"/>
                <w:szCs w:val="18"/>
              </w:rPr>
              <w:t xml:space="preserve">400 </w:t>
            </w:r>
          </w:p>
        </w:tc>
      </w:tr>
    </w:tbl>
    <w:p w14:paraId="0FC62D37">
      <w:pPr>
        <w:spacing w:line="360" w:lineRule="auto"/>
        <w:rPr>
          <w:rFonts w:hAnsi="宋体" w:eastAsia="仿宋"/>
          <w:b/>
          <w:bCs/>
          <w:sz w:val="24"/>
        </w:rPr>
      </w:pPr>
      <w:r>
        <w:rPr>
          <w:rFonts w:hint="eastAsia" w:hAnsi="宋体" w:eastAsia="仿宋"/>
          <w:b/>
          <w:bCs/>
          <w:sz w:val="24"/>
        </w:rPr>
        <w:t>第5包：唇侧个性化间接粘接正畸矫治系统配送清单及规格参数：</w:t>
      </w:r>
    </w:p>
    <w:tbl>
      <w:tblPr>
        <w:tblStyle w:val="14"/>
        <w:tblW w:w="4998" w:type="pct"/>
        <w:tblInd w:w="0" w:type="dxa"/>
        <w:tblLayout w:type="autofit"/>
        <w:tblCellMar>
          <w:top w:w="0" w:type="dxa"/>
          <w:left w:w="108" w:type="dxa"/>
          <w:bottom w:w="0" w:type="dxa"/>
          <w:right w:w="108" w:type="dxa"/>
        </w:tblCellMar>
      </w:tblPr>
      <w:tblGrid>
        <w:gridCol w:w="1723"/>
        <w:gridCol w:w="2589"/>
        <w:gridCol w:w="3572"/>
        <w:gridCol w:w="1724"/>
        <w:gridCol w:w="1724"/>
        <w:gridCol w:w="1724"/>
        <w:gridCol w:w="1724"/>
      </w:tblGrid>
      <w:tr w14:paraId="3445CC33">
        <w:tblPrEx>
          <w:tblCellMar>
            <w:top w:w="0" w:type="dxa"/>
            <w:left w:w="108" w:type="dxa"/>
            <w:bottom w:w="0" w:type="dxa"/>
            <w:right w:w="108" w:type="dxa"/>
          </w:tblCellMar>
        </w:tblPrEx>
        <w:trPr>
          <w:trHeight w:val="648" w:hRule="atLeast"/>
        </w:trPr>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9BDF240">
            <w:pPr>
              <w:widowControl/>
              <w:jc w:val="center"/>
              <w:textAlignment w:val="center"/>
              <w:rPr>
                <w:rFonts w:ascii="宋体" w:hAnsi="宋体" w:cs="宋体"/>
                <w:b/>
                <w:bCs/>
                <w:sz w:val="18"/>
                <w:szCs w:val="18"/>
              </w:rPr>
            </w:pPr>
            <w:r>
              <w:rPr>
                <w:rFonts w:ascii="宋体" w:hAnsi="宋体" w:cs="宋体"/>
                <w:b/>
                <w:bCs/>
                <w:kern w:val="0"/>
                <w:sz w:val="18"/>
                <w:szCs w:val="18"/>
                <w:lang w:bidi="ar"/>
              </w:rPr>
              <w:t>序</w:t>
            </w:r>
            <w:r>
              <w:rPr>
                <w:rFonts w:ascii="宋体" w:hAnsi="宋体" w:cs="宋体"/>
                <w:b/>
                <w:bCs/>
                <w:kern w:val="0"/>
                <w:sz w:val="18"/>
                <w:szCs w:val="18"/>
                <w:lang w:bidi="ar"/>
              </w:rPr>
              <w:br w:type="textWrapping"/>
            </w:r>
            <w:r>
              <w:rPr>
                <w:rFonts w:ascii="宋体" w:hAnsi="宋体" w:cs="宋体"/>
                <w:b/>
                <w:bCs/>
                <w:kern w:val="0"/>
                <w:sz w:val="18"/>
                <w:szCs w:val="18"/>
                <w:lang w:bidi="ar"/>
              </w:rPr>
              <w:t>号</w:t>
            </w:r>
          </w:p>
        </w:tc>
        <w:tc>
          <w:tcPr>
            <w:tcW w:w="87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1EBB118">
            <w:pPr>
              <w:widowControl/>
              <w:jc w:val="center"/>
              <w:textAlignment w:val="center"/>
              <w:rPr>
                <w:rFonts w:ascii="宋体" w:hAnsi="宋体" w:cs="宋体"/>
                <w:b/>
                <w:bCs/>
                <w:sz w:val="18"/>
                <w:szCs w:val="18"/>
              </w:rPr>
            </w:pPr>
            <w:r>
              <w:rPr>
                <w:rFonts w:ascii="宋体" w:hAnsi="宋体" w:cs="宋体"/>
                <w:b/>
                <w:bCs/>
                <w:kern w:val="0"/>
                <w:sz w:val="18"/>
                <w:szCs w:val="18"/>
                <w:lang w:bidi="ar"/>
              </w:rPr>
              <w:t>产品名称</w:t>
            </w:r>
          </w:p>
        </w:tc>
        <w:tc>
          <w:tcPr>
            <w:tcW w:w="1208"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3A65CC7">
            <w:pPr>
              <w:widowControl/>
              <w:jc w:val="center"/>
              <w:textAlignment w:val="center"/>
              <w:rPr>
                <w:rFonts w:ascii="宋体" w:hAnsi="宋体" w:cs="宋体"/>
                <w:b/>
                <w:bCs/>
                <w:sz w:val="18"/>
                <w:szCs w:val="18"/>
              </w:rPr>
            </w:pPr>
            <w:r>
              <w:rPr>
                <w:rFonts w:ascii="宋体" w:hAnsi="宋体" w:cs="宋体"/>
                <w:b/>
                <w:bCs/>
                <w:kern w:val="0"/>
                <w:sz w:val="18"/>
                <w:szCs w:val="18"/>
                <w:lang w:bidi="ar"/>
              </w:rPr>
              <w:t>规格型号</w:t>
            </w:r>
          </w:p>
        </w:tc>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C239248">
            <w:pPr>
              <w:widowControl/>
              <w:jc w:val="center"/>
              <w:textAlignment w:val="center"/>
              <w:rPr>
                <w:rFonts w:ascii="宋体" w:hAnsi="宋体" w:cs="宋体"/>
                <w:b/>
                <w:bCs/>
                <w:sz w:val="18"/>
                <w:szCs w:val="18"/>
              </w:rPr>
            </w:pPr>
            <w:r>
              <w:rPr>
                <w:rFonts w:ascii="宋体" w:hAnsi="宋体" w:cs="宋体"/>
                <w:b/>
                <w:bCs/>
                <w:kern w:val="0"/>
                <w:sz w:val="18"/>
                <w:szCs w:val="18"/>
                <w:lang w:bidi="ar"/>
              </w:rPr>
              <w:t>产地（进口</w:t>
            </w:r>
            <w:r>
              <w:rPr>
                <w:rFonts w:ascii="宋体" w:hAnsi="宋体" w:cs="宋体"/>
                <w:b/>
                <w:bCs/>
                <w:kern w:val="0"/>
                <w:sz w:val="18"/>
                <w:szCs w:val="18"/>
                <w:lang w:bidi="ar"/>
              </w:rPr>
              <w:br w:type="textWrapping"/>
            </w:r>
            <w:r>
              <w:rPr>
                <w:rFonts w:ascii="宋体" w:hAnsi="宋体" w:cs="宋体"/>
                <w:b/>
                <w:bCs/>
                <w:kern w:val="0"/>
                <w:sz w:val="18"/>
                <w:szCs w:val="18"/>
                <w:lang w:bidi="ar"/>
              </w:rPr>
              <w:t>/国产）</w:t>
            </w:r>
          </w:p>
        </w:tc>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B25C121">
            <w:pPr>
              <w:widowControl/>
              <w:jc w:val="center"/>
              <w:textAlignment w:val="center"/>
              <w:rPr>
                <w:rFonts w:ascii="宋体" w:hAnsi="宋体" w:cs="宋体"/>
                <w:b/>
                <w:bCs/>
                <w:sz w:val="18"/>
                <w:szCs w:val="18"/>
              </w:rPr>
            </w:pPr>
            <w:r>
              <w:rPr>
                <w:rFonts w:ascii="宋体" w:hAnsi="宋体" w:cs="宋体"/>
                <w:b/>
                <w:bCs/>
                <w:kern w:val="0"/>
                <w:sz w:val="18"/>
                <w:szCs w:val="18"/>
                <w:lang w:bidi="ar"/>
              </w:rPr>
              <w:t>单位</w:t>
            </w:r>
          </w:p>
        </w:tc>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BD8AFB6">
            <w:pPr>
              <w:widowControl/>
              <w:jc w:val="center"/>
              <w:textAlignment w:val="center"/>
              <w:rPr>
                <w:rFonts w:ascii="宋体" w:hAnsi="宋体" w:cs="宋体"/>
                <w:b/>
                <w:bCs/>
                <w:sz w:val="18"/>
                <w:szCs w:val="18"/>
              </w:rPr>
            </w:pPr>
            <w:r>
              <w:rPr>
                <w:rFonts w:ascii="宋体" w:hAnsi="宋体" w:cs="宋体"/>
                <w:b/>
                <w:bCs/>
                <w:kern w:val="0"/>
                <w:sz w:val="18"/>
                <w:szCs w:val="18"/>
                <w:lang w:bidi="ar"/>
              </w:rPr>
              <w:t>参考价格</w:t>
            </w:r>
            <w:r>
              <w:rPr>
                <w:rFonts w:ascii="宋体" w:hAnsi="宋体" w:cs="宋体"/>
                <w:b/>
                <w:bCs/>
                <w:kern w:val="0"/>
                <w:sz w:val="18"/>
                <w:szCs w:val="18"/>
                <w:lang w:bidi="ar"/>
              </w:rPr>
              <w:br w:type="textWrapping"/>
            </w:r>
            <w:r>
              <w:rPr>
                <w:rFonts w:ascii="宋体" w:hAnsi="宋体" w:cs="宋体"/>
                <w:b/>
                <w:bCs/>
                <w:kern w:val="0"/>
                <w:sz w:val="18"/>
                <w:szCs w:val="18"/>
                <w:lang w:bidi="ar"/>
              </w:rPr>
              <w:t>（元）</w:t>
            </w:r>
          </w:p>
        </w:tc>
        <w:tc>
          <w:tcPr>
            <w:tcW w:w="58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B86CBA9">
            <w:pPr>
              <w:widowControl/>
              <w:jc w:val="center"/>
              <w:textAlignment w:val="center"/>
              <w:rPr>
                <w:rFonts w:ascii="宋体" w:hAnsi="宋体" w:cs="宋体"/>
                <w:b/>
                <w:bCs/>
                <w:sz w:val="18"/>
                <w:szCs w:val="18"/>
              </w:rPr>
            </w:pPr>
            <w:r>
              <w:rPr>
                <w:rFonts w:ascii="宋体" w:hAnsi="宋体" w:cs="宋体"/>
                <w:b/>
                <w:bCs/>
                <w:kern w:val="0"/>
                <w:sz w:val="18"/>
                <w:szCs w:val="18"/>
                <w:lang w:bidi="ar"/>
              </w:rPr>
              <w:t>参考用量</w:t>
            </w:r>
            <w:r>
              <w:rPr>
                <w:rFonts w:ascii="宋体" w:hAnsi="宋体" w:cs="宋体"/>
                <w:b/>
                <w:bCs/>
                <w:kern w:val="0"/>
                <w:sz w:val="18"/>
                <w:szCs w:val="18"/>
                <w:lang w:bidi="ar"/>
              </w:rPr>
              <w:br w:type="textWrapping"/>
            </w:r>
            <w:r>
              <w:rPr>
                <w:rFonts w:ascii="宋体" w:hAnsi="宋体" w:cs="宋体"/>
                <w:b/>
                <w:bCs/>
                <w:kern w:val="0"/>
                <w:sz w:val="18"/>
                <w:szCs w:val="18"/>
                <w:lang w:bidi="ar"/>
              </w:rPr>
              <w:t>（年）</w:t>
            </w:r>
          </w:p>
        </w:tc>
      </w:tr>
      <w:tr w14:paraId="7168534E">
        <w:tblPrEx>
          <w:tblCellMar>
            <w:top w:w="0" w:type="dxa"/>
            <w:left w:w="108" w:type="dxa"/>
            <w:bottom w:w="0" w:type="dxa"/>
            <w:right w:w="108" w:type="dxa"/>
          </w:tblCellMar>
        </w:tblPrEx>
        <w:trPr>
          <w:trHeight w:val="1080" w:hRule="atLeast"/>
        </w:trPr>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A0C6">
            <w:pPr>
              <w:widowControl/>
              <w:jc w:val="center"/>
              <w:textAlignment w:val="center"/>
              <w:rPr>
                <w:rFonts w:ascii="宋体" w:hAnsi="宋体" w:cs="宋体"/>
                <w:sz w:val="18"/>
                <w:szCs w:val="18"/>
              </w:rPr>
            </w:pPr>
            <w:r>
              <w:rPr>
                <w:rFonts w:ascii="宋体" w:hAnsi="宋体" w:cs="宋体"/>
                <w:kern w:val="0"/>
                <w:sz w:val="18"/>
                <w:szCs w:val="18"/>
                <w:lang w:bidi="ar"/>
              </w:rPr>
              <w:t xml:space="preserve">1 </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2DBD">
            <w:pPr>
              <w:widowControl/>
              <w:jc w:val="center"/>
              <w:textAlignment w:val="top"/>
              <w:rPr>
                <w:rFonts w:ascii="宋体" w:hAnsi="宋体" w:cs="宋体"/>
                <w:sz w:val="18"/>
                <w:szCs w:val="18"/>
              </w:rPr>
            </w:pPr>
            <w:r>
              <w:rPr>
                <w:rFonts w:ascii="宋体" w:hAnsi="宋体" w:cs="宋体"/>
                <w:kern w:val="0"/>
                <w:sz w:val="18"/>
                <w:szCs w:val="18"/>
                <w:lang w:bidi="ar"/>
              </w:rPr>
              <w:t>★唇侧个性化间接粘接正畸矫治系统</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EDA4">
            <w:pPr>
              <w:jc w:val="center"/>
              <w:rPr>
                <w:rFonts w:ascii="宋体" w:hAnsi="宋体" w:cs="宋体"/>
                <w:sz w:val="18"/>
                <w:szCs w:val="18"/>
              </w:rPr>
            </w:pPr>
            <w:r>
              <w:rPr>
                <w:rFonts w:hint="eastAsia"/>
                <w:sz w:val="18"/>
                <w:szCs w:val="18"/>
              </w:rPr>
              <w:t>正畸弓丝、金属矫治器、唇侧间接粘接导板、正畸辅助设计</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F82B">
            <w:pPr>
              <w:jc w:val="center"/>
              <w:rPr>
                <w:rFonts w:ascii="宋体" w:hAnsi="宋体" w:cs="宋体"/>
                <w:sz w:val="18"/>
                <w:szCs w:val="18"/>
              </w:rPr>
            </w:pPr>
            <w:r>
              <w:rPr>
                <w:rFonts w:hint="eastAsia"/>
                <w:sz w:val="18"/>
                <w:szCs w:val="18"/>
              </w:rPr>
              <w:t>国产</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2F2D">
            <w:pPr>
              <w:jc w:val="center"/>
              <w:rPr>
                <w:rFonts w:ascii="宋体" w:hAnsi="宋体" w:cs="宋体"/>
                <w:sz w:val="18"/>
                <w:szCs w:val="18"/>
              </w:rPr>
            </w:pPr>
            <w:r>
              <w:rPr>
                <w:rFonts w:hint="eastAsia"/>
                <w:sz w:val="18"/>
                <w:szCs w:val="18"/>
              </w:rPr>
              <w:t>套</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EE99">
            <w:pPr>
              <w:jc w:val="center"/>
              <w:rPr>
                <w:rFonts w:ascii="宋体" w:hAnsi="宋体" w:cs="宋体"/>
                <w:sz w:val="18"/>
                <w:szCs w:val="18"/>
              </w:rPr>
            </w:pPr>
            <w:r>
              <w:rPr>
                <w:rFonts w:hint="eastAsia"/>
                <w:sz w:val="18"/>
                <w:szCs w:val="18"/>
              </w:rPr>
              <w:t>4000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1FA6">
            <w:pPr>
              <w:jc w:val="center"/>
              <w:rPr>
                <w:rFonts w:ascii="宋体" w:hAnsi="宋体" w:cs="宋体"/>
                <w:sz w:val="18"/>
                <w:szCs w:val="18"/>
              </w:rPr>
            </w:pPr>
            <w:r>
              <w:rPr>
                <w:rFonts w:hint="eastAsia"/>
                <w:sz w:val="18"/>
                <w:szCs w:val="18"/>
              </w:rPr>
              <w:t>200</w:t>
            </w:r>
          </w:p>
        </w:tc>
      </w:tr>
    </w:tbl>
    <w:p w14:paraId="0C2F2A8A">
      <w:pPr>
        <w:rPr>
          <w:rFonts w:hAnsi="宋体" w:eastAsia="仿宋"/>
          <w:b/>
          <w:bCs/>
          <w:sz w:val="24"/>
        </w:rPr>
      </w:pPr>
    </w:p>
    <w:p w14:paraId="14F3F9EE">
      <w:pPr>
        <w:rPr>
          <w:rFonts w:hAnsi="宋体" w:eastAsia="仿宋"/>
          <w:b/>
          <w:bCs/>
          <w:sz w:val="24"/>
        </w:rPr>
        <w:sectPr>
          <w:footnotePr>
            <w:numFmt w:val="decimalEnclosedCircleChinese"/>
            <w:numRestart w:val="eachPage"/>
          </w:footnotePr>
          <w:pgSz w:w="16838" w:h="11906" w:orient="landscape"/>
          <w:pgMar w:top="1134" w:right="1134" w:bottom="1134" w:left="1134" w:header="851" w:footer="851" w:gutter="0"/>
          <w:cols w:space="720" w:num="1"/>
          <w:docGrid w:linePitch="312" w:charSpace="0"/>
        </w:sectPr>
      </w:pPr>
    </w:p>
    <w:p w14:paraId="72866078">
      <w:pPr>
        <w:pStyle w:val="2"/>
        <w:widowControl/>
        <w:spacing w:before="0" w:after="0" w:line="240" w:lineRule="auto"/>
        <w:jc w:val="center"/>
        <w:rPr>
          <w:rFonts w:ascii="宋体" w:hAnsi="宋体"/>
        </w:rPr>
      </w:pPr>
      <w:r>
        <w:rPr>
          <w:rFonts w:hint="eastAsia" w:ascii="宋体" w:hAnsi="宋体"/>
        </w:rPr>
        <w:t>第四章资格审查和评标办法（综合评分法）</w:t>
      </w:r>
      <w:bookmarkEnd w:id="848"/>
      <w:bookmarkEnd w:id="849"/>
      <w:bookmarkEnd w:id="850"/>
      <w:bookmarkEnd w:id="851"/>
      <w:bookmarkEnd w:id="852"/>
    </w:p>
    <w:bookmarkEnd w:id="826"/>
    <w:bookmarkEnd w:id="827"/>
    <w:bookmarkEnd w:id="828"/>
    <w:bookmarkEnd w:id="829"/>
    <w:bookmarkEnd w:id="830"/>
    <w:bookmarkEnd w:id="831"/>
    <w:bookmarkEnd w:id="832"/>
    <w:bookmarkEnd w:id="833"/>
    <w:bookmarkEnd w:id="834"/>
    <w:bookmarkEnd w:id="853"/>
    <w:bookmarkEnd w:id="854"/>
    <w:p w14:paraId="3C393765">
      <w:pPr>
        <w:pStyle w:val="3"/>
        <w:jc w:val="center"/>
      </w:pPr>
      <w:bookmarkStart w:id="857" w:name="_Toc4153"/>
      <w:r>
        <w:rPr>
          <w:rFonts w:hint="eastAsia"/>
        </w:rPr>
        <w:t>第一节资格审查</w:t>
      </w:r>
      <w:bookmarkEnd w:id="857"/>
    </w:p>
    <w:p w14:paraId="66BD73AA">
      <w:pPr>
        <w:pStyle w:val="3"/>
        <w:rPr>
          <w:rFonts w:ascii="宋体" w:hAnsi="宋体"/>
        </w:rPr>
      </w:pPr>
      <w:bookmarkStart w:id="858" w:name="_Toc324404867"/>
      <w:bookmarkStart w:id="859" w:name="_Toc417623587"/>
      <w:bookmarkStart w:id="860" w:name="_Toc7579"/>
      <w:r>
        <w:rPr>
          <w:rFonts w:hint="eastAsia" w:ascii="宋体" w:hAnsi="宋体"/>
        </w:rPr>
        <w:t>1.资格审查办法</w:t>
      </w:r>
      <w:bookmarkEnd w:id="858"/>
      <w:bookmarkEnd w:id="859"/>
      <w:bookmarkEnd w:id="860"/>
    </w:p>
    <w:p w14:paraId="7AC1D0BB">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由采购人或代理机构按资格审查表中审查标准对投标供应商资格进行审查。</w:t>
      </w:r>
    </w:p>
    <w:p w14:paraId="0B405AB2">
      <w:pPr>
        <w:pStyle w:val="3"/>
        <w:spacing w:line="413" w:lineRule="auto"/>
        <w:jc w:val="left"/>
        <w:rPr>
          <w:rFonts w:ascii="黑体" w:hAnsi="黑体" w:eastAsia="黑体"/>
        </w:rPr>
      </w:pPr>
      <w:bookmarkStart w:id="861" w:name="_Toc3670"/>
      <w:bookmarkStart w:id="862" w:name="_Toc3215860"/>
      <w:bookmarkStart w:id="863" w:name="_Toc28743"/>
      <w:bookmarkStart w:id="864" w:name="_Toc3295910"/>
      <w:bookmarkStart w:id="865" w:name="_Toc3219840"/>
      <w:bookmarkStart w:id="866" w:name="_Toc25703"/>
      <w:r>
        <w:rPr>
          <w:rFonts w:hint="eastAsia" w:ascii="黑体" w:hAnsi="黑体" w:eastAsia="黑体"/>
        </w:rPr>
        <w:t>2.资格审查标准</w:t>
      </w:r>
      <w:bookmarkEnd w:id="861"/>
      <w:bookmarkEnd w:id="862"/>
      <w:bookmarkEnd w:id="863"/>
      <w:bookmarkEnd w:id="864"/>
      <w:bookmarkEnd w:id="865"/>
      <w:bookmarkEnd w:id="866"/>
    </w:p>
    <w:p w14:paraId="25A9E6CC">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审查标准：见资格审查表。</w:t>
      </w:r>
    </w:p>
    <w:p w14:paraId="6D92DC1A">
      <w:pPr>
        <w:pStyle w:val="3"/>
        <w:spacing w:line="413" w:lineRule="auto"/>
        <w:jc w:val="left"/>
        <w:rPr>
          <w:rFonts w:ascii="黑体" w:hAnsi="黑体" w:eastAsia="黑体"/>
        </w:rPr>
      </w:pPr>
      <w:bookmarkStart w:id="867" w:name="_Toc10934"/>
      <w:bookmarkStart w:id="868" w:name="_Toc6976"/>
      <w:bookmarkStart w:id="869" w:name="_Toc3215861"/>
      <w:bookmarkStart w:id="870" w:name="_Toc3295911"/>
      <w:bookmarkStart w:id="871" w:name="_Toc3219841"/>
      <w:bookmarkStart w:id="872" w:name="_Toc12752"/>
      <w:r>
        <w:rPr>
          <w:rFonts w:hint="eastAsia" w:ascii="黑体" w:hAnsi="黑体" w:eastAsia="黑体"/>
        </w:rPr>
        <w:t>3.资格审查程序</w:t>
      </w:r>
      <w:bookmarkEnd w:id="867"/>
      <w:bookmarkEnd w:id="868"/>
      <w:bookmarkEnd w:id="869"/>
      <w:bookmarkEnd w:id="870"/>
      <w:bookmarkEnd w:id="871"/>
      <w:bookmarkEnd w:id="872"/>
    </w:p>
    <w:p w14:paraId="6E1276C0">
      <w:pPr>
        <w:pStyle w:val="4"/>
        <w:spacing w:before="96" w:beforeLines="40" w:after="96" w:afterLines="40" w:line="400" w:lineRule="exact"/>
        <w:ind w:firstLine="280" w:firstLineChars="100"/>
        <w:jc w:val="left"/>
        <w:rPr>
          <w:rFonts w:ascii="黑体" w:hAnsi="黑体" w:eastAsia="黑体"/>
          <w:b w:val="0"/>
          <w:sz w:val="28"/>
          <w:szCs w:val="28"/>
        </w:rPr>
      </w:pPr>
      <w:bookmarkStart w:id="873" w:name="_Toc3219842"/>
      <w:bookmarkStart w:id="874" w:name="_Toc3295912"/>
      <w:bookmarkStart w:id="875" w:name="_Toc3215862"/>
      <w:r>
        <w:rPr>
          <w:rFonts w:hint="eastAsia" w:ascii="黑体" w:hAnsi="黑体" w:eastAsia="黑体"/>
          <w:b w:val="0"/>
          <w:sz w:val="28"/>
          <w:szCs w:val="28"/>
        </w:rPr>
        <w:t>3.1资格审查</w:t>
      </w:r>
      <w:bookmarkEnd w:id="873"/>
      <w:bookmarkEnd w:id="874"/>
      <w:bookmarkEnd w:id="875"/>
    </w:p>
    <w:p w14:paraId="3C78DF57">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3.1.1审查过程按照规定的资格审查标准，对各投标供应商依次进行审查。有一项不符合审查标准的，资格审查不合格，其投标无效。</w:t>
      </w:r>
    </w:p>
    <w:p w14:paraId="725A2E9F">
      <w:pPr>
        <w:widowControl/>
        <w:adjustRightInd w:val="0"/>
        <w:snapToGrid w:val="0"/>
        <w:spacing w:before="96" w:beforeLines="40" w:after="96" w:afterLines="40" w:line="400" w:lineRule="exact"/>
        <w:ind w:firstLine="420" w:firstLineChars="200"/>
        <w:jc w:val="left"/>
        <w:rPr>
          <w:rFonts w:ascii="宋体" w:hAnsi="宋体"/>
          <w:szCs w:val="21"/>
        </w:rPr>
      </w:pPr>
      <w:r>
        <w:rPr>
          <w:rFonts w:ascii="宋体" w:hAnsi="宋体"/>
          <w:szCs w:val="21"/>
        </w:rPr>
        <w:t>3.</w:t>
      </w:r>
      <w:r>
        <w:rPr>
          <w:rFonts w:hint="eastAsia" w:ascii="宋体" w:hAnsi="宋体"/>
          <w:szCs w:val="21"/>
        </w:rPr>
        <w:t>1.</w:t>
      </w:r>
      <w:r>
        <w:rPr>
          <w:rFonts w:ascii="宋体" w:hAnsi="宋体"/>
          <w:szCs w:val="21"/>
        </w:rPr>
        <w:t>2投标供应商有以下情形之一的，</w:t>
      </w:r>
      <w:r>
        <w:rPr>
          <w:rFonts w:hint="eastAsia" w:ascii="宋体" w:hAnsi="宋体"/>
          <w:szCs w:val="21"/>
        </w:rPr>
        <w:t>资格审查不合格，其投标无效</w:t>
      </w:r>
      <w:r>
        <w:rPr>
          <w:rFonts w:ascii="宋体" w:hAnsi="宋体"/>
          <w:szCs w:val="21"/>
        </w:rPr>
        <w:t>：</w:t>
      </w:r>
    </w:p>
    <w:p w14:paraId="3AA19AE4">
      <w:pPr>
        <w:widowControl/>
        <w:adjustRightInd w:val="0"/>
        <w:snapToGrid w:val="0"/>
        <w:spacing w:before="96" w:beforeLines="40" w:after="96" w:afterLines="40" w:line="400" w:lineRule="exact"/>
        <w:ind w:firstLine="420" w:firstLineChars="200"/>
        <w:jc w:val="left"/>
        <w:rPr>
          <w:rFonts w:ascii="宋体" w:hAnsi="宋体"/>
          <w:szCs w:val="21"/>
        </w:rPr>
      </w:pPr>
      <w:r>
        <w:rPr>
          <w:rFonts w:ascii="宋体" w:hAnsi="宋体"/>
          <w:szCs w:val="21"/>
        </w:rPr>
        <w:t>（</w:t>
      </w:r>
      <w:r>
        <w:rPr>
          <w:rFonts w:hint="eastAsia" w:ascii="宋体" w:hAnsi="宋体"/>
          <w:szCs w:val="21"/>
        </w:rPr>
        <w:t>1</w:t>
      </w:r>
      <w:r>
        <w:rPr>
          <w:rFonts w:ascii="宋体" w:hAnsi="宋体"/>
          <w:szCs w:val="21"/>
        </w:rPr>
        <w:t>）有弄虚作假、</w:t>
      </w:r>
      <w:r>
        <w:rPr>
          <w:rFonts w:hint="eastAsia" w:ascii="宋体" w:hAnsi="宋体"/>
          <w:szCs w:val="21"/>
        </w:rPr>
        <w:t>向采购人或代理机构行贿</w:t>
      </w:r>
      <w:r>
        <w:rPr>
          <w:rFonts w:ascii="宋体" w:hAnsi="宋体"/>
          <w:szCs w:val="21"/>
        </w:rPr>
        <w:t>等违法行为</w:t>
      </w:r>
      <w:r>
        <w:rPr>
          <w:rFonts w:hint="eastAsia" w:ascii="宋体" w:hAnsi="宋体"/>
          <w:szCs w:val="21"/>
        </w:rPr>
        <w:t>；</w:t>
      </w:r>
    </w:p>
    <w:p w14:paraId="2AF9F174">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（2）不按照采购人或代理机构要求澄清或说明的</w:t>
      </w:r>
      <w:r>
        <w:rPr>
          <w:rFonts w:ascii="宋体" w:hAnsi="宋体"/>
          <w:szCs w:val="21"/>
        </w:rPr>
        <w:t>。</w:t>
      </w:r>
    </w:p>
    <w:p w14:paraId="6E876B9F">
      <w:pPr>
        <w:pStyle w:val="4"/>
        <w:spacing w:before="96" w:beforeLines="40" w:after="96" w:afterLines="40" w:line="400" w:lineRule="exact"/>
        <w:ind w:firstLine="280" w:firstLineChars="100"/>
        <w:jc w:val="left"/>
        <w:rPr>
          <w:rFonts w:ascii="黑体" w:hAnsi="黑体" w:eastAsia="黑体"/>
          <w:b w:val="0"/>
          <w:sz w:val="28"/>
          <w:szCs w:val="28"/>
        </w:rPr>
      </w:pPr>
      <w:bookmarkStart w:id="876" w:name="_Toc3219843"/>
      <w:bookmarkStart w:id="877" w:name="_Toc3295913"/>
      <w:bookmarkStart w:id="878" w:name="_Toc3215863"/>
      <w:r>
        <w:rPr>
          <w:rFonts w:hint="eastAsia" w:ascii="黑体" w:hAnsi="黑体" w:eastAsia="黑体"/>
          <w:b w:val="0"/>
          <w:sz w:val="28"/>
          <w:szCs w:val="28"/>
        </w:rPr>
        <w:t>3.2投标文件澄清</w:t>
      </w:r>
      <w:bookmarkEnd w:id="876"/>
      <w:bookmarkEnd w:id="877"/>
      <w:bookmarkEnd w:id="878"/>
    </w:p>
    <w:p w14:paraId="00E0E0BC">
      <w:pPr>
        <w:widowControl/>
        <w:adjustRightInd w:val="0"/>
        <w:snapToGrid w:val="0"/>
        <w:spacing w:before="96" w:beforeLines="40" w:after="96" w:afterLines="40" w:line="400" w:lineRule="exact"/>
        <w:ind w:firstLine="420" w:firstLineChars="200"/>
        <w:jc w:val="left"/>
        <w:rPr>
          <w:rFonts w:ascii="宋体" w:hAnsi="宋体"/>
          <w:szCs w:val="21"/>
        </w:rPr>
      </w:pPr>
      <w:r>
        <w:rPr>
          <w:rFonts w:ascii="宋体" w:hAnsi="宋体"/>
          <w:szCs w:val="21"/>
        </w:rPr>
        <w:t>3.</w:t>
      </w:r>
      <w:r>
        <w:rPr>
          <w:rFonts w:hint="eastAsia" w:ascii="宋体" w:hAnsi="宋体"/>
          <w:szCs w:val="21"/>
        </w:rPr>
        <w:t>2</w:t>
      </w:r>
      <w:r>
        <w:rPr>
          <w:rFonts w:ascii="宋体" w:hAnsi="宋体"/>
          <w:szCs w:val="21"/>
        </w:rPr>
        <w:t>.1在</w:t>
      </w:r>
      <w:r>
        <w:rPr>
          <w:rFonts w:hint="eastAsia" w:ascii="宋体" w:hAnsi="宋体"/>
          <w:szCs w:val="21"/>
        </w:rPr>
        <w:t>资格审查</w:t>
      </w:r>
      <w:r>
        <w:rPr>
          <w:rFonts w:ascii="宋体" w:hAnsi="宋体"/>
          <w:szCs w:val="21"/>
        </w:rPr>
        <w:t>过程中，</w:t>
      </w:r>
      <w:r>
        <w:rPr>
          <w:rFonts w:hint="eastAsia" w:ascii="宋体" w:hAnsi="宋体"/>
          <w:szCs w:val="21"/>
        </w:rPr>
        <w:t>采购人或代理机构</w:t>
      </w:r>
      <w:r>
        <w:rPr>
          <w:rFonts w:ascii="宋体" w:hAnsi="宋体"/>
          <w:szCs w:val="21"/>
        </w:rPr>
        <w:t>可以书面形式要求投标供应商对投标文件中含义不明确、对同类问题表述不一致或者有明显文字错误的内容作必要的澄清或说明。澄清或说明应以书面方式进行</w:t>
      </w:r>
      <w:r>
        <w:rPr>
          <w:rFonts w:hint="eastAsia" w:ascii="宋体" w:hAnsi="宋体"/>
          <w:szCs w:val="21"/>
        </w:rPr>
        <w:t>，且</w:t>
      </w:r>
      <w:r>
        <w:rPr>
          <w:rFonts w:ascii="宋体" w:hAnsi="宋体"/>
          <w:szCs w:val="21"/>
        </w:rPr>
        <w:t>不接受投标供应商主动提出的澄清</w:t>
      </w:r>
      <w:r>
        <w:rPr>
          <w:rFonts w:hint="eastAsia" w:ascii="宋体" w:hAnsi="宋体"/>
          <w:szCs w:val="21"/>
        </w:rPr>
        <w:t>或说明</w:t>
      </w:r>
      <w:r>
        <w:rPr>
          <w:rFonts w:ascii="宋体" w:hAnsi="宋体"/>
          <w:szCs w:val="21"/>
        </w:rPr>
        <w:t>。</w:t>
      </w:r>
    </w:p>
    <w:p w14:paraId="44335CC4">
      <w:pPr>
        <w:widowControl/>
        <w:adjustRightInd w:val="0"/>
        <w:snapToGrid w:val="0"/>
        <w:spacing w:before="96" w:beforeLines="40" w:after="96" w:afterLines="40" w:line="400" w:lineRule="exact"/>
        <w:ind w:firstLine="420" w:firstLineChars="200"/>
        <w:jc w:val="left"/>
        <w:rPr>
          <w:rFonts w:ascii="宋体" w:hAnsi="宋体"/>
          <w:szCs w:val="21"/>
        </w:rPr>
      </w:pPr>
      <w:r>
        <w:rPr>
          <w:rFonts w:ascii="宋体" w:hAnsi="宋体"/>
          <w:szCs w:val="21"/>
        </w:rPr>
        <w:t>3.</w:t>
      </w:r>
      <w:r>
        <w:rPr>
          <w:rFonts w:hint="eastAsia" w:ascii="宋体" w:hAnsi="宋体"/>
          <w:szCs w:val="21"/>
        </w:rPr>
        <w:t>2</w:t>
      </w:r>
      <w:r>
        <w:rPr>
          <w:rFonts w:ascii="宋体" w:hAnsi="宋体"/>
          <w:szCs w:val="21"/>
        </w:rPr>
        <w:t>.2澄清</w:t>
      </w:r>
      <w:r>
        <w:rPr>
          <w:rFonts w:hint="eastAsia" w:ascii="宋体" w:hAnsi="宋体"/>
          <w:szCs w:val="21"/>
        </w:rPr>
        <w:t>或说明</w:t>
      </w:r>
      <w:r>
        <w:rPr>
          <w:rFonts w:ascii="宋体" w:hAnsi="宋体"/>
          <w:szCs w:val="21"/>
        </w:rPr>
        <w:t>不得超出投标文件的范围且不得改变投标文件的实质性内容，并构成投标文件的组成部分。</w:t>
      </w:r>
    </w:p>
    <w:p w14:paraId="76F88B22">
      <w:pPr>
        <w:widowControl/>
        <w:adjustRightInd w:val="0"/>
        <w:snapToGrid w:val="0"/>
        <w:spacing w:before="96" w:beforeLines="40" w:after="96" w:afterLines="40" w:line="400" w:lineRule="exact"/>
        <w:ind w:firstLine="420" w:firstLineChars="200"/>
        <w:jc w:val="left"/>
        <w:rPr>
          <w:rFonts w:ascii="宋体" w:hAnsi="宋体"/>
          <w:szCs w:val="21"/>
        </w:rPr>
      </w:pPr>
      <w:r>
        <w:rPr>
          <w:rFonts w:ascii="宋体" w:hAnsi="宋体"/>
          <w:szCs w:val="21"/>
        </w:rPr>
        <w:t>3.</w:t>
      </w:r>
      <w:r>
        <w:rPr>
          <w:rFonts w:hint="eastAsia" w:ascii="宋体" w:hAnsi="宋体"/>
          <w:szCs w:val="21"/>
        </w:rPr>
        <w:t>2</w:t>
      </w:r>
      <w:r>
        <w:rPr>
          <w:rFonts w:ascii="宋体" w:hAnsi="宋体"/>
          <w:szCs w:val="21"/>
        </w:rPr>
        <w:t>.3</w:t>
      </w:r>
      <w:r>
        <w:rPr>
          <w:rFonts w:hint="eastAsia" w:ascii="宋体" w:hAnsi="宋体"/>
          <w:szCs w:val="21"/>
        </w:rPr>
        <w:t>采购人或代理机构</w:t>
      </w:r>
      <w:r>
        <w:rPr>
          <w:rFonts w:ascii="宋体" w:hAnsi="宋体"/>
          <w:szCs w:val="21"/>
        </w:rPr>
        <w:t>对投标供应商提交的澄清</w:t>
      </w:r>
      <w:r>
        <w:rPr>
          <w:rFonts w:hint="eastAsia" w:ascii="宋体" w:hAnsi="宋体"/>
          <w:szCs w:val="21"/>
        </w:rPr>
        <w:t>或说明</w:t>
      </w:r>
      <w:r>
        <w:rPr>
          <w:rFonts w:ascii="宋体" w:hAnsi="宋体"/>
          <w:szCs w:val="21"/>
        </w:rPr>
        <w:t>有疑问的，可以要求投标供应商进一步澄清</w:t>
      </w:r>
      <w:r>
        <w:rPr>
          <w:rFonts w:hint="eastAsia" w:ascii="宋体" w:hAnsi="宋体"/>
          <w:szCs w:val="21"/>
        </w:rPr>
        <w:t>或说明</w:t>
      </w:r>
      <w:r>
        <w:rPr>
          <w:rFonts w:ascii="宋体" w:hAnsi="宋体"/>
          <w:szCs w:val="21"/>
        </w:rPr>
        <w:t>。</w:t>
      </w:r>
    </w:p>
    <w:p w14:paraId="34A4EEA6">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3.2.4投标文件的澄清与说明由采购人或代理机构以询标的方式告知并要求其以书面方式进行答复。投标供应商应及时登录安天e采在线开标系统并在规定时间内予以回复确认。对于询标后判定为不符合招标文件设定的资格条件要求的，采购人或代理机构要提出充足的否定理由，并予以书面记录。最终对投标供应商的资格审查结论分为通过和未通过。</w:t>
      </w:r>
    </w:p>
    <w:p w14:paraId="7FA964AE">
      <w:pPr>
        <w:pStyle w:val="4"/>
        <w:spacing w:before="96" w:beforeLines="40" w:after="96" w:afterLines="40" w:line="400" w:lineRule="exact"/>
        <w:ind w:firstLine="280" w:firstLineChars="100"/>
        <w:jc w:val="left"/>
        <w:rPr>
          <w:rFonts w:ascii="黑体" w:hAnsi="黑体" w:eastAsia="黑体"/>
          <w:b w:val="0"/>
          <w:sz w:val="28"/>
          <w:szCs w:val="28"/>
        </w:rPr>
      </w:pPr>
      <w:bookmarkStart w:id="879" w:name="_Toc3215864"/>
      <w:bookmarkStart w:id="880" w:name="_Toc3219844"/>
      <w:bookmarkStart w:id="881" w:name="_Toc3295914"/>
      <w:r>
        <w:rPr>
          <w:rFonts w:hint="eastAsia" w:ascii="黑体" w:hAnsi="黑体" w:eastAsia="黑体"/>
          <w:b w:val="0"/>
          <w:sz w:val="28"/>
          <w:szCs w:val="28"/>
        </w:rPr>
        <w:t>3.3资格审查结果</w:t>
      </w:r>
      <w:bookmarkEnd w:id="879"/>
      <w:bookmarkEnd w:id="880"/>
      <w:bookmarkEnd w:id="881"/>
    </w:p>
    <w:p w14:paraId="0F587EF7">
      <w:pPr>
        <w:widowControl/>
        <w:adjustRightInd w:val="0"/>
        <w:snapToGrid w:val="0"/>
        <w:spacing w:before="96" w:beforeLines="40" w:after="96" w:afterLines="40" w:line="400" w:lineRule="exact"/>
        <w:ind w:firstLine="420" w:firstLineChars="200"/>
        <w:jc w:val="left"/>
        <w:rPr>
          <w:rFonts w:ascii="宋体" w:hAnsi="宋体"/>
          <w:szCs w:val="21"/>
        </w:rPr>
      </w:pPr>
      <w:r>
        <w:rPr>
          <w:rFonts w:ascii="宋体" w:hAnsi="宋体"/>
          <w:szCs w:val="21"/>
        </w:rPr>
        <w:t>3.</w:t>
      </w:r>
      <w:r>
        <w:rPr>
          <w:rFonts w:hint="eastAsia" w:ascii="宋体" w:hAnsi="宋体"/>
          <w:szCs w:val="21"/>
        </w:rPr>
        <w:t>3</w:t>
      </w:r>
      <w:r>
        <w:rPr>
          <w:rFonts w:ascii="宋体" w:hAnsi="宋体"/>
          <w:szCs w:val="21"/>
        </w:rPr>
        <w:t>.1</w:t>
      </w:r>
      <w:r>
        <w:rPr>
          <w:rFonts w:hint="eastAsia" w:ascii="宋体" w:hAnsi="宋体"/>
          <w:szCs w:val="21"/>
        </w:rPr>
        <w:t>只有通过资格审查的投标供应商才能进入下一步的评标程序</w:t>
      </w:r>
      <w:r>
        <w:rPr>
          <w:rFonts w:ascii="宋体" w:hAnsi="宋体"/>
          <w:szCs w:val="21"/>
        </w:rPr>
        <w:t>。</w:t>
      </w:r>
    </w:p>
    <w:p w14:paraId="12AB618E">
      <w:pPr>
        <w:widowControl/>
        <w:adjustRightInd w:val="0"/>
        <w:snapToGrid w:val="0"/>
        <w:spacing w:before="96" w:beforeLines="40" w:after="96" w:afterLines="40" w:line="400" w:lineRule="exact"/>
        <w:ind w:firstLine="420" w:firstLineChars="200"/>
        <w:jc w:val="left"/>
        <w:rPr>
          <w:rFonts w:ascii="宋体" w:hAnsi="宋体"/>
          <w:szCs w:val="21"/>
        </w:rPr>
      </w:pPr>
      <w:r>
        <w:rPr>
          <w:rFonts w:hint="eastAsia" w:ascii="宋体" w:hAnsi="宋体"/>
          <w:szCs w:val="21"/>
        </w:rPr>
        <w:t>3.3.2合格投标供应商不足3家的，不得评标。</w:t>
      </w:r>
    </w:p>
    <w:tbl>
      <w:tblPr>
        <w:tblStyle w:val="14"/>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04"/>
        <w:gridCol w:w="5274"/>
        <w:gridCol w:w="2182"/>
      </w:tblGrid>
      <w:tr w14:paraId="1EF9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03455DC">
            <w:pPr>
              <w:adjustRightInd w:val="0"/>
              <w:snapToGrid w:val="0"/>
              <w:spacing w:line="360" w:lineRule="auto"/>
              <w:ind w:right="-10"/>
              <w:jc w:val="center"/>
              <w:rPr>
                <w:rFonts w:ascii="宋体" w:hAnsi="宋体" w:cs="宋体"/>
                <w:szCs w:val="21"/>
              </w:rPr>
            </w:pPr>
            <w:r>
              <w:rPr>
                <w:rFonts w:hint="eastAsia" w:ascii="宋体" w:hAnsi="宋体" w:cs="宋体"/>
                <w:b/>
                <w:szCs w:val="21"/>
              </w:rPr>
              <w:t>资格审查表</w:t>
            </w:r>
          </w:p>
        </w:tc>
      </w:tr>
      <w:tr w14:paraId="5FE7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507AA2AC">
            <w:pPr>
              <w:adjustRightInd w:val="0"/>
              <w:snapToGrid w:val="0"/>
              <w:spacing w:line="360" w:lineRule="auto"/>
              <w:ind w:right="-10"/>
              <w:jc w:val="center"/>
              <w:rPr>
                <w:rFonts w:ascii="宋体" w:hAnsi="宋体" w:cs="宋体"/>
                <w:szCs w:val="21"/>
              </w:rPr>
            </w:pPr>
            <w:r>
              <w:rPr>
                <w:rFonts w:hint="eastAsia" w:ascii="宋体" w:hAnsi="宋体" w:cs="宋体"/>
                <w:szCs w:val="21"/>
              </w:rPr>
              <w:t>序号</w:t>
            </w:r>
          </w:p>
        </w:tc>
        <w:tc>
          <w:tcPr>
            <w:tcW w:w="940" w:type="pct"/>
            <w:tcBorders>
              <w:bottom w:val="single" w:color="auto" w:sz="4" w:space="0"/>
            </w:tcBorders>
            <w:vAlign w:val="center"/>
          </w:tcPr>
          <w:p w14:paraId="34CEE5D5">
            <w:pPr>
              <w:pStyle w:val="23"/>
              <w:pBdr>
                <w:bottom w:val="none" w:color="auto" w:sz="0" w:space="0"/>
              </w:pBdr>
              <w:tabs>
                <w:tab w:val="clear" w:pos="4153"/>
                <w:tab w:val="clear" w:pos="8306"/>
              </w:tabs>
              <w:snapToGrid w:val="0"/>
              <w:spacing w:line="360" w:lineRule="auto"/>
              <w:ind w:right="-10"/>
              <w:textAlignment w:val="auto"/>
              <w:rPr>
                <w:rFonts w:ascii="宋体" w:hAnsi="宋体" w:cs="宋体"/>
                <w:kern w:val="2"/>
                <w:sz w:val="21"/>
                <w:szCs w:val="21"/>
              </w:rPr>
            </w:pPr>
            <w:r>
              <w:rPr>
                <w:rFonts w:hint="eastAsia" w:ascii="宋体" w:hAnsi="宋体" w:cs="宋体"/>
                <w:kern w:val="2"/>
                <w:sz w:val="21"/>
                <w:szCs w:val="21"/>
              </w:rPr>
              <w:t>审查指标</w:t>
            </w:r>
          </w:p>
        </w:tc>
        <w:tc>
          <w:tcPr>
            <w:tcW w:w="2603" w:type="pct"/>
            <w:tcBorders>
              <w:bottom w:val="single" w:color="auto" w:sz="4" w:space="0"/>
            </w:tcBorders>
            <w:vAlign w:val="center"/>
          </w:tcPr>
          <w:p w14:paraId="0B6CA7E4">
            <w:pPr>
              <w:adjustRightInd w:val="0"/>
              <w:snapToGrid w:val="0"/>
              <w:spacing w:line="360" w:lineRule="auto"/>
              <w:ind w:right="-10"/>
              <w:jc w:val="center"/>
              <w:rPr>
                <w:rFonts w:ascii="宋体" w:hAnsi="宋体" w:cs="宋体"/>
                <w:szCs w:val="21"/>
              </w:rPr>
            </w:pPr>
            <w:r>
              <w:rPr>
                <w:rFonts w:hint="eastAsia" w:ascii="宋体" w:hAnsi="宋体" w:cs="宋体"/>
                <w:szCs w:val="21"/>
              </w:rPr>
              <w:t>审查标准</w:t>
            </w:r>
          </w:p>
        </w:tc>
        <w:tc>
          <w:tcPr>
            <w:tcW w:w="1076" w:type="pct"/>
            <w:tcBorders>
              <w:bottom w:val="single" w:color="auto" w:sz="4" w:space="0"/>
            </w:tcBorders>
            <w:vAlign w:val="center"/>
          </w:tcPr>
          <w:p w14:paraId="003636BA">
            <w:pPr>
              <w:adjustRightInd w:val="0"/>
              <w:snapToGrid w:val="0"/>
              <w:spacing w:line="360" w:lineRule="auto"/>
              <w:ind w:right="-10"/>
              <w:jc w:val="center"/>
              <w:rPr>
                <w:rFonts w:ascii="宋体" w:hAnsi="宋体" w:cs="宋体"/>
                <w:szCs w:val="21"/>
              </w:rPr>
            </w:pPr>
            <w:r>
              <w:rPr>
                <w:rFonts w:hint="eastAsia" w:ascii="宋体" w:hAnsi="宋体" w:cs="宋体"/>
                <w:szCs w:val="21"/>
              </w:rPr>
              <w:t>格式要求</w:t>
            </w:r>
          </w:p>
        </w:tc>
      </w:tr>
      <w:tr w14:paraId="089B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0" w:type="pct"/>
            <w:tcBorders>
              <w:bottom w:val="single" w:color="auto" w:sz="4" w:space="0"/>
            </w:tcBorders>
            <w:vAlign w:val="center"/>
          </w:tcPr>
          <w:p w14:paraId="06AB0430">
            <w:pPr>
              <w:adjustRightInd w:val="0"/>
              <w:snapToGrid w:val="0"/>
              <w:spacing w:line="360" w:lineRule="auto"/>
              <w:ind w:right="-10"/>
              <w:jc w:val="center"/>
              <w:rPr>
                <w:rFonts w:ascii="宋体" w:hAnsi="宋体" w:cs="宋体"/>
                <w:szCs w:val="21"/>
              </w:rPr>
            </w:pPr>
            <w:r>
              <w:rPr>
                <w:rFonts w:hint="eastAsia" w:ascii="宋体" w:hAnsi="宋体" w:cs="宋体"/>
                <w:szCs w:val="21"/>
              </w:rPr>
              <w:t>1</w:t>
            </w:r>
          </w:p>
        </w:tc>
        <w:tc>
          <w:tcPr>
            <w:tcW w:w="940" w:type="pct"/>
            <w:tcBorders>
              <w:bottom w:val="single" w:color="auto" w:sz="4" w:space="0"/>
            </w:tcBorders>
            <w:vAlign w:val="center"/>
          </w:tcPr>
          <w:p w14:paraId="0F587914">
            <w:pPr>
              <w:spacing w:after="50" w:line="360" w:lineRule="auto"/>
              <w:ind w:right="-10"/>
              <w:jc w:val="center"/>
              <w:rPr>
                <w:rFonts w:ascii="宋体" w:hAnsi="宋体" w:cs="宋体"/>
                <w:szCs w:val="21"/>
              </w:rPr>
            </w:pPr>
            <w:r>
              <w:rPr>
                <w:rFonts w:hint="eastAsia" w:ascii="宋体" w:hAnsi="宋体" w:cs="宋体"/>
                <w:spacing w:val="9"/>
                <w:szCs w:val="21"/>
              </w:rPr>
              <w:t>营业执照等证明</w:t>
            </w:r>
            <w:r>
              <w:rPr>
                <w:rFonts w:hint="eastAsia" w:ascii="宋体" w:hAnsi="宋体" w:cs="宋体"/>
                <w:spacing w:val="-3"/>
                <w:szCs w:val="21"/>
              </w:rPr>
              <w:t>文件</w:t>
            </w:r>
          </w:p>
        </w:tc>
        <w:tc>
          <w:tcPr>
            <w:tcW w:w="2603" w:type="pct"/>
            <w:tcBorders>
              <w:bottom w:val="single" w:color="auto" w:sz="4" w:space="0"/>
            </w:tcBorders>
            <w:vAlign w:val="center"/>
          </w:tcPr>
          <w:p w14:paraId="256DF95D">
            <w:pPr>
              <w:spacing w:after="50" w:line="360" w:lineRule="auto"/>
              <w:ind w:right="-10"/>
              <w:jc w:val="left"/>
              <w:rPr>
                <w:rFonts w:ascii="宋体" w:hAnsi="宋体" w:cs="宋体"/>
                <w:szCs w:val="21"/>
              </w:rPr>
            </w:pPr>
            <w:r>
              <w:rPr>
                <w:rFonts w:hint="eastAsia" w:ascii="宋体" w:hAnsi="宋体" w:cs="宋体"/>
                <w:szCs w:val="21"/>
              </w:rPr>
              <w:t>（1）投标人为企业（包括合伙企业）的，应提供有效的营业执照；</w:t>
            </w:r>
          </w:p>
          <w:p w14:paraId="5C573A44">
            <w:pPr>
              <w:spacing w:after="50" w:line="360" w:lineRule="auto"/>
              <w:ind w:right="-10"/>
              <w:jc w:val="left"/>
              <w:rPr>
                <w:rFonts w:ascii="宋体" w:hAnsi="宋体" w:cs="宋体"/>
                <w:szCs w:val="21"/>
              </w:rPr>
            </w:pPr>
            <w:r>
              <w:rPr>
                <w:rFonts w:hint="eastAsia" w:ascii="宋体" w:hAnsi="宋体" w:cs="宋体"/>
                <w:szCs w:val="21"/>
              </w:rPr>
              <w:t>（2）投标人为事业单位的，应提供有效的事业单位法人证书；</w:t>
            </w:r>
          </w:p>
          <w:p w14:paraId="7116795E">
            <w:pPr>
              <w:spacing w:after="50" w:line="360" w:lineRule="auto"/>
              <w:ind w:right="-10"/>
              <w:jc w:val="left"/>
              <w:rPr>
                <w:rFonts w:ascii="宋体" w:hAnsi="宋体" w:cs="宋体"/>
                <w:szCs w:val="21"/>
              </w:rPr>
            </w:pPr>
            <w:r>
              <w:rPr>
                <w:rFonts w:hint="eastAsia" w:ascii="宋体" w:hAnsi="宋体" w:cs="宋体"/>
                <w:szCs w:val="21"/>
              </w:rPr>
              <w:t>（3）投标人是非企业机构的，应提供有效的执业许可证或登记证书等证明文件；</w:t>
            </w:r>
          </w:p>
          <w:p w14:paraId="11B0761A">
            <w:pPr>
              <w:spacing w:after="50" w:line="360" w:lineRule="auto"/>
              <w:ind w:right="-10"/>
              <w:jc w:val="left"/>
              <w:rPr>
                <w:rFonts w:ascii="宋体" w:hAnsi="宋体" w:cs="宋体"/>
                <w:szCs w:val="21"/>
              </w:rPr>
            </w:pPr>
            <w:r>
              <w:rPr>
                <w:rFonts w:hint="eastAsia" w:ascii="宋体" w:hAnsi="宋体" w:cs="宋体"/>
                <w:szCs w:val="21"/>
              </w:rPr>
              <w:t>（4）投标人是个体工商户的，应提供有效的个体工商户营业执照；</w:t>
            </w:r>
          </w:p>
          <w:p w14:paraId="0D215F8F">
            <w:pPr>
              <w:spacing w:after="50" w:line="360" w:lineRule="auto"/>
              <w:ind w:right="-10"/>
              <w:jc w:val="left"/>
              <w:rPr>
                <w:rFonts w:ascii="宋体" w:hAnsi="宋体" w:cs="宋体"/>
                <w:szCs w:val="21"/>
              </w:rPr>
            </w:pPr>
            <w:r>
              <w:rPr>
                <w:rFonts w:hint="eastAsia" w:ascii="宋体" w:hAnsi="宋体" w:cs="宋体"/>
                <w:szCs w:val="21"/>
              </w:rPr>
              <w:t>（5）投标人是自然人的，应提供有效的自然人身份证明；</w:t>
            </w:r>
          </w:p>
          <w:p w14:paraId="1DBC6C80">
            <w:pPr>
              <w:spacing w:after="50" w:line="360" w:lineRule="auto"/>
              <w:ind w:right="-10"/>
              <w:jc w:val="left"/>
              <w:rPr>
                <w:rFonts w:ascii="宋体" w:hAnsi="宋体" w:cs="宋体"/>
                <w:szCs w:val="21"/>
              </w:rPr>
            </w:pPr>
            <w:r>
              <w:rPr>
                <w:rFonts w:hint="eastAsia" w:ascii="宋体" w:hAnsi="宋体" w:cs="宋体"/>
                <w:szCs w:val="21"/>
              </w:rPr>
              <w:t>（6）对于银行、保险、石油石化、电力、电信等行业的分公司参加投标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076" w:type="pct"/>
            <w:vAlign w:val="center"/>
          </w:tcPr>
          <w:p w14:paraId="7BB3553A">
            <w:pPr>
              <w:spacing w:line="360" w:lineRule="auto"/>
              <w:jc w:val="left"/>
              <w:rPr>
                <w:rFonts w:ascii="宋体" w:hAnsi="宋体" w:cs="宋体"/>
                <w:szCs w:val="21"/>
              </w:rPr>
            </w:pPr>
            <w:r>
              <w:rPr>
                <w:rFonts w:hint="eastAsia" w:ascii="宋体" w:hAnsi="宋体" w:cs="宋体"/>
                <w:szCs w:val="21"/>
              </w:rPr>
              <w:t>提供材料扫描件或电子证照，应完整的体现出材料或电子证照全部内容。联合体投标的联合体各方均须提供。</w:t>
            </w:r>
          </w:p>
        </w:tc>
      </w:tr>
      <w:tr w14:paraId="6FB7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80" w:type="pct"/>
            <w:tcBorders>
              <w:bottom w:val="single" w:color="auto" w:sz="4" w:space="0"/>
            </w:tcBorders>
            <w:vAlign w:val="center"/>
          </w:tcPr>
          <w:p w14:paraId="2EF6C6B0">
            <w:pPr>
              <w:adjustRightInd w:val="0"/>
              <w:snapToGrid w:val="0"/>
              <w:spacing w:line="360" w:lineRule="auto"/>
              <w:ind w:right="-10"/>
              <w:jc w:val="center"/>
              <w:rPr>
                <w:rFonts w:ascii="宋体" w:hAnsi="宋体" w:cs="宋体"/>
                <w:szCs w:val="21"/>
              </w:rPr>
            </w:pPr>
            <w:r>
              <w:rPr>
                <w:rFonts w:hint="eastAsia" w:ascii="宋体" w:hAnsi="宋体" w:cs="宋体"/>
                <w:szCs w:val="21"/>
              </w:rPr>
              <w:t>2</w:t>
            </w:r>
          </w:p>
        </w:tc>
        <w:tc>
          <w:tcPr>
            <w:tcW w:w="940" w:type="pct"/>
            <w:tcBorders>
              <w:bottom w:val="single" w:color="auto" w:sz="4" w:space="0"/>
            </w:tcBorders>
            <w:vAlign w:val="center"/>
          </w:tcPr>
          <w:p w14:paraId="12244D54">
            <w:pPr>
              <w:adjustRightInd w:val="0"/>
              <w:snapToGrid w:val="0"/>
              <w:spacing w:line="360" w:lineRule="auto"/>
              <w:ind w:right="-10"/>
              <w:jc w:val="center"/>
              <w:rPr>
                <w:rFonts w:ascii="宋体" w:hAnsi="宋体" w:cs="宋体"/>
                <w:szCs w:val="21"/>
              </w:rPr>
            </w:pPr>
            <w:r>
              <w:rPr>
                <w:rFonts w:hint="eastAsia" w:ascii="宋体" w:hAnsi="宋体"/>
                <w:kern w:val="0"/>
                <w:szCs w:val="21"/>
              </w:rPr>
              <w:t>无重大违法记录声明函、无不良信用记录声明函</w:t>
            </w:r>
          </w:p>
        </w:tc>
        <w:tc>
          <w:tcPr>
            <w:tcW w:w="2603" w:type="pct"/>
            <w:tcBorders>
              <w:bottom w:val="single" w:color="auto" w:sz="4" w:space="0"/>
            </w:tcBorders>
            <w:vAlign w:val="center"/>
          </w:tcPr>
          <w:p w14:paraId="526A1AD3">
            <w:pPr>
              <w:spacing w:after="50" w:line="360" w:lineRule="auto"/>
              <w:ind w:right="-10"/>
              <w:jc w:val="left"/>
              <w:rPr>
                <w:rFonts w:ascii="宋体" w:hAnsi="宋体" w:cs="宋体"/>
                <w:szCs w:val="21"/>
              </w:rPr>
            </w:pPr>
            <w:r>
              <w:rPr>
                <w:rFonts w:hint="eastAsia" w:ascii="宋体" w:hAnsi="宋体"/>
                <w:szCs w:val="21"/>
              </w:rPr>
              <w:t>格式、填写要求符合招标文件规定并加盖投标供应商公章</w:t>
            </w:r>
          </w:p>
        </w:tc>
        <w:tc>
          <w:tcPr>
            <w:tcW w:w="1076" w:type="pct"/>
            <w:vAlign w:val="center"/>
          </w:tcPr>
          <w:p w14:paraId="1171B40F">
            <w:pPr>
              <w:spacing w:line="360" w:lineRule="auto"/>
              <w:jc w:val="left"/>
              <w:rPr>
                <w:rFonts w:ascii="宋体" w:hAnsi="宋体" w:cs="宋体"/>
                <w:szCs w:val="21"/>
              </w:rPr>
            </w:pPr>
            <w:r>
              <w:rPr>
                <w:rFonts w:hint="eastAsia" w:ascii="宋体" w:hAnsi="宋体" w:cs="宋体"/>
                <w:szCs w:val="21"/>
              </w:rPr>
              <w:t>详见第六章投标文件格式。</w:t>
            </w:r>
          </w:p>
        </w:tc>
      </w:tr>
      <w:tr w14:paraId="1175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39AF6C38">
            <w:pPr>
              <w:adjustRightInd w:val="0"/>
              <w:snapToGrid w:val="0"/>
              <w:spacing w:line="360" w:lineRule="auto"/>
              <w:ind w:right="-10"/>
              <w:jc w:val="center"/>
              <w:rPr>
                <w:rFonts w:ascii="宋体" w:hAnsi="宋体" w:cs="宋体"/>
                <w:szCs w:val="21"/>
              </w:rPr>
            </w:pPr>
            <w:r>
              <w:rPr>
                <w:rFonts w:hint="eastAsia" w:ascii="宋体" w:hAnsi="宋体" w:cs="宋体"/>
                <w:szCs w:val="21"/>
              </w:rPr>
              <w:t>3</w:t>
            </w:r>
          </w:p>
        </w:tc>
        <w:tc>
          <w:tcPr>
            <w:tcW w:w="940" w:type="pct"/>
            <w:tcBorders>
              <w:bottom w:val="single" w:color="auto" w:sz="4" w:space="0"/>
            </w:tcBorders>
            <w:vAlign w:val="center"/>
          </w:tcPr>
          <w:p w14:paraId="31035DCD">
            <w:pPr>
              <w:spacing w:after="50" w:line="360" w:lineRule="auto"/>
              <w:ind w:right="-10"/>
              <w:jc w:val="center"/>
              <w:rPr>
                <w:rFonts w:ascii="宋体" w:hAnsi="宋体" w:cs="宋体"/>
                <w:szCs w:val="21"/>
              </w:rPr>
            </w:pPr>
            <w:r>
              <w:rPr>
                <w:rFonts w:hint="eastAsia" w:ascii="宋体" w:hAnsi="宋体" w:cs="宋体"/>
                <w:szCs w:val="21"/>
              </w:rPr>
              <w:t>投标人信用记录</w:t>
            </w:r>
          </w:p>
        </w:tc>
        <w:tc>
          <w:tcPr>
            <w:tcW w:w="2603" w:type="pct"/>
            <w:tcBorders>
              <w:bottom w:val="single" w:color="auto" w:sz="4" w:space="0"/>
            </w:tcBorders>
            <w:vAlign w:val="center"/>
          </w:tcPr>
          <w:p w14:paraId="01F63887">
            <w:pPr>
              <w:spacing w:after="50" w:line="360" w:lineRule="auto"/>
              <w:ind w:right="-10"/>
              <w:jc w:val="left"/>
              <w:rPr>
                <w:rFonts w:ascii="宋体" w:hAnsi="宋体" w:cs="宋体"/>
                <w:szCs w:val="21"/>
              </w:rPr>
            </w:pPr>
            <w:r>
              <w:rPr>
                <w:rFonts w:hint="eastAsia" w:ascii="宋体" w:hAnsi="宋体" w:cs="宋体"/>
                <w:szCs w:val="21"/>
                <w:lang w:val="zh-CN"/>
              </w:rPr>
              <w:t>投标人不得存在投标人须知正文第1</w:t>
            </w:r>
            <w:r>
              <w:rPr>
                <w:rFonts w:hint="eastAsia" w:ascii="宋体" w:hAnsi="宋体" w:cs="宋体"/>
                <w:szCs w:val="21"/>
              </w:rPr>
              <w:t>.4</w:t>
            </w:r>
            <w:r>
              <w:rPr>
                <w:rFonts w:hint="eastAsia" w:ascii="宋体" w:hAnsi="宋体" w:cs="宋体"/>
                <w:szCs w:val="21"/>
                <w:lang w:val="zh-CN"/>
              </w:rPr>
              <w:t>.</w:t>
            </w:r>
            <w:r>
              <w:rPr>
                <w:rFonts w:hint="eastAsia" w:ascii="宋体" w:hAnsi="宋体" w:cs="宋体"/>
                <w:szCs w:val="21"/>
              </w:rPr>
              <w:t>3条中的不良信用记录情形。</w:t>
            </w:r>
          </w:p>
          <w:p w14:paraId="19771A4A">
            <w:pPr>
              <w:wordWrap w:val="0"/>
              <w:spacing w:after="50" w:line="360" w:lineRule="auto"/>
              <w:ind w:right="-11"/>
              <w:jc w:val="left"/>
              <w:rPr>
                <w:rFonts w:ascii="宋体" w:hAnsi="宋体" w:cs="宋体"/>
                <w:szCs w:val="21"/>
              </w:rPr>
            </w:pPr>
            <w:r>
              <w:rPr>
                <w:rFonts w:hint="eastAsia" w:ascii="宋体" w:hAnsi="宋体" w:cs="宋体"/>
                <w:szCs w:val="21"/>
              </w:rPr>
              <w:t>（1）被人民法院列入失信被执行人名单的（以www.creditchina.gov.cn查询为准）；</w:t>
            </w:r>
          </w:p>
          <w:p w14:paraId="004D700C">
            <w:pPr>
              <w:wordWrap w:val="0"/>
              <w:spacing w:after="50" w:line="360" w:lineRule="auto"/>
              <w:ind w:right="-11"/>
              <w:jc w:val="left"/>
              <w:rPr>
                <w:rFonts w:ascii="宋体" w:hAnsi="宋体" w:cs="宋体"/>
                <w:szCs w:val="21"/>
              </w:rPr>
            </w:pPr>
            <w:r>
              <w:rPr>
                <w:rFonts w:hint="eastAsia" w:ascii="宋体" w:hAnsi="宋体" w:cs="宋体"/>
                <w:szCs w:val="21"/>
              </w:rPr>
              <w:t>（2）</w:t>
            </w:r>
            <w:r>
              <w:rPr>
                <w:rFonts w:hint="eastAsia" w:ascii="宋体" w:hAnsi="宋体" w:cs="宋体"/>
                <w:szCs w:val="21"/>
                <w:lang w:val="zh-CN"/>
              </w:rPr>
              <w:t>被财政部门列入政府采购严重违法失信行为记录名单的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www.ccgp.gov.cn/</w:t>
            </w:r>
            <w:r>
              <w:rPr>
                <w:rFonts w:hint="eastAsia" w:ascii="宋体" w:hAnsi="宋体" w:cs="宋体"/>
                <w:szCs w:val="21"/>
                <w:lang w:val="zh-CN"/>
              </w:rPr>
              <w:t>查询为准</w:t>
            </w:r>
            <w:r>
              <w:rPr>
                <w:rFonts w:hint="eastAsia" w:ascii="宋体" w:hAnsi="宋体" w:cs="宋体"/>
                <w:szCs w:val="21"/>
              </w:rPr>
              <w:t>）；</w:t>
            </w:r>
          </w:p>
          <w:p w14:paraId="472A4CEC">
            <w:pPr>
              <w:wordWrap w:val="0"/>
              <w:spacing w:after="50" w:line="360" w:lineRule="auto"/>
              <w:ind w:right="-11"/>
              <w:jc w:val="left"/>
              <w:rPr>
                <w:rFonts w:ascii="宋体" w:hAnsi="宋体" w:cs="宋体"/>
                <w:szCs w:val="21"/>
              </w:rPr>
            </w:pPr>
            <w:r>
              <w:rPr>
                <w:rFonts w:hint="eastAsia" w:ascii="宋体" w:hAnsi="宋体" w:cs="宋体"/>
                <w:szCs w:val="21"/>
              </w:rPr>
              <w:t>（3）被税务机关</w:t>
            </w:r>
            <w:r>
              <w:rPr>
                <w:rFonts w:hint="eastAsia" w:ascii="宋体" w:hAnsi="宋体" w:cs="宋体"/>
                <w:szCs w:val="21"/>
                <w:lang w:val="zh-CN"/>
              </w:rPr>
              <w:t>列入重大税收违法失信主体名单的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www.creditchina.gov.cn</w:t>
            </w:r>
            <w:r>
              <w:rPr>
                <w:rFonts w:hint="eastAsia" w:ascii="宋体" w:hAnsi="宋体" w:cs="宋体"/>
                <w:szCs w:val="21"/>
                <w:lang w:val="zh-CN"/>
              </w:rPr>
              <w:t>查询为准</w:t>
            </w:r>
            <w:r>
              <w:rPr>
                <w:rFonts w:hint="eastAsia" w:ascii="宋体" w:hAnsi="宋体" w:cs="宋体"/>
                <w:szCs w:val="21"/>
              </w:rPr>
              <w:t>）；</w:t>
            </w:r>
          </w:p>
          <w:p w14:paraId="6AD80F31">
            <w:pPr>
              <w:wordWrap w:val="0"/>
              <w:spacing w:after="50" w:line="360" w:lineRule="auto"/>
              <w:ind w:right="-11"/>
              <w:jc w:val="left"/>
            </w:pPr>
            <w:r>
              <w:rPr>
                <w:rFonts w:hint="eastAsia" w:ascii="宋体" w:hAnsi="宋体" w:cs="宋体"/>
                <w:szCs w:val="21"/>
              </w:rPr>
              <w:t>（4）</w:t>
            </w:r>
            <w:r>
              <w:rPr>
                <w:rFonts w:hint="eastAsia" w:ascii="宋体" w:hAnsi="宋体" w:cs="宋体"/>
                <w:szCs w:val="21"/>
                <w:lang w:val="zh-CN"/>
              </w:rPr>
              <w:t>被市场监督管理部门列入</w:t>
            </w:r>
            <w:r>
              <w:rPr>
                <w:rFonts w:hint="eastAsia" w:ascii="宋体" w:hAnsi="宋体"/>
                <w:szCs w:val="21"/>
              </w:rPr>
              <w:t>严重违法失信名单</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www.gsxt.gov.cn</w:t>
            </w:r>
            <w:r>
              <w:rPr>
                <w:rFonts w:hint="eastAsia" w:ascii="宋体" w:hAnsi="宋体" w:cs="宋体"/>
                <w:szCs w:val="21"/>
                <w:lang w:val="zh-CN"/>
              </w:rPr>
              <w:t>查询为准</w:t>
            </w:r>
            <w:r>
              <w:rPr>
                <w:rFonts w:hint="eastAsia" w:ascii="宋体" w:hAnsi="宋体" w:cs="宋体"/>
                <w:szCs w:val="21"/>
              </w:rPr>
              <w:t>）；</w:t>
            </w:r>
          </w:p>
        </w:tc>
        <w:tc>
          <w:tcPr>
            <w:tcW w:w="1076" w:type="pct"/>
            <w:tcBorders>
              <w:bottom w:val="single" w:color="auto" w:sz="4" w:space="0"/>
            </w:tcBorders>
            <w:vAlign w:val="center"/>
          </w:tcPr>
          <w:p w14:paraId="15B58C0B">
            <w:pPr>
              <w:spacing w:line="360" w:lineRule="auto"/>
              <w:jc w:val="left"/>
            </w:pPr>
            <w:r>
              <w:rPr>
                <w:rFonts w:hint="eastAsia" w:ascii="宋体" w:hAnsi="宋体" w:cs="宋体"/>
                <w:b/>
                <w:bCs/>
                <w:szCs w:val="21"/>
              </w:rPr>
              <w:t>无须投标人提供，由采购人或采购代理机构在投标截止时间后至评标结束前进行查询并随评标报告一并留存。</w:t>
            </w:r>
          </w:p>
        </w:tc>
      </w:tr>
      <w:tr w14:paraId="11EE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04294F85">
            <w:pPr>
              <w:adjustRightInd w:val="0"/>
              <w:snapToGrid w:val="0"/>
              <w:spacing w:line="360" w:lineRule="auto"/>
              <w:ind w:right="-10"/>
              <w:jc w:val="center"/>
              <w:rPr>
                <w:rFonts w:ascii="宋体" w:hAnsi="宋体" w:cs="宋体"/>
                <w:szCs w:val="21"/>
              </w:rPr>
            </w:pPr>
            <w:r>
              <w:rPr>
                <w:rFonts w:hint="eastAsia" w:ascii="宋体" w:hAnsi="宋体" w:cs="宋体"/>
                <w:szCs w:val="21"/>
              </w:rPr>
              <w:t>4</w:t>
            </w:r>
          </w:p>
        </w:tc>
        <w:tc>
          <w:tcPr>
            <w:tcW w:w="940" w:type="pct"/>
            <w:tcBorders>
              <w:bottom w:val="single" w:color="auto" w:sz="4" w:space="0"/>
            </w:tcBorders>
            <w:vAlign w:val="center"/>
          </w:tcPr>
          <w:p w14:paraId="04C655E5">
            <w:pPr>
              <w:spacing w:after="50" w:line="360" w:lineRule="auto"/>
              <w:ind w:right="-10"/>
              <w:rPr>
                <w:rFonts w:ascii="宋体" w:hAnsi="宋体" w:cs="宋体"/>
                <w:szCs w:val="21"/>
              </w:rPr>
            </w:pPr>
            <w:r>
              <w:rPr>
                <w:rFonts w:hint="eastAsia" w:ascii="宋体" w:hAnsi="宋体" w:cs="宋体"/>
                <w:spacing w:val="10"/>
                <w:szCs w:val="21"/>
              </w:rPr>
              <w:t>其它落实政府采</w:t>
            </w:r>
            <w:r>
              <w:rPr>
                <w:rFonts w:hint="eastAsia" w:ascii="宋体" w:hAnsi="宋体" w:cs="宋体"/>
                <w:spacing w:val="11"/>
                <w:szCs w:val="21"/>
              </w:rPr>
              <w:t>购政策的资格要</w:t>
            </w:r>
            <w:r>
              <w:rPr>
                <w:rFonts w:hint="eastAsia" w:ascii="宋体" w:hAnsi="宋体" w:cs="宋体"/>
                <w:szCs w:val="21"/>
              </w:rPr>
              <w:t>求</w:t>
            </w:r>
          </w:p>
        </w:tc>
        <w:tc>
          <w:tcPr>
            <w:tcW w:w="2603" w:type="pct"/>
            <w:tcBorders>
              <w:bottom w:val="single" w:color="auto" w:sz="4" w:space="0"/>
            </w:tcBorders>
            <w:vAlign w:val="center"/>
          </w:tcPr>
          <w:p w14:paraId="7DEF1468">
            <w:pPr>
              <w:spacing w:after="50" w:line="360" w:lineRule="auto"/>
              <w:ind w:right="-10"/>
              <w:rPr>
                <w:rFonts w:ascii="宋体" w:hAnsi="宋体" w:cs="宋体"/>
                <w:szCs w:val="21"/>
              </w:rPr>
            </w:pPr>
            <w:r>
              <w:rPr>
                <w:rFonts w:hint="eastAsia" w:ascii="宋体" w:hAnsi="宋体" w:cs="宋体"/>
                <w:spacing w:val="10"/>
                <w:szCs w:val="21"/>
              </w:rPr>
              <w:t>详见</w:t>
            </w:r>
            <w:r>
              <w:rPr>
                <w:rFonts w:hint="eastAsia" w:ascii="宋体" w:hAnsi="宋体" w:cs="宋体"/>
                <w:szCs w:val="21"/>
                <w:lang w:val="zh-CN"/>
              </w:rPr>
              <w:t>投标人须知</w:t>
            </w:r>
            <w:r>
              <w:rPr>
                <w:rFonts w:hint="eastAsia" w:ascii="宋体" w:hAnsi="宋体" w:cs="宋体"/>
                <w:szCs w:val="21"/>
              </w:rPr>
              <w:t>前附表</w:t>
            </w:r>
          </w:p>
        </w:tc>
        <w:tc>
          <w:tcPr>
            <w:tcW w:w="1076" w:type="pct"/>
            <w:tcBorders>
              <w:bottom w:val="single" w:color="auto" w:sz="4" w:space="0"/>
            </w:tcBorders>
            <w:vAlign w:val="center"/>
          </w:tcPr>
          <w:p w14:paraId="4B53312A">
            <w:pPr>
              <w:spacing w:after="50" w:line="360" w:lineRule="auto"/>
              <w:ind w:right="-10"/>
              <w:rPr>
                <w:rFonts w:ascii="宋体" w:hAnsi="宋体" w:cs="宋体"/>
                <w:szCs w:val="21"/>
              </w:rPr>
            </w:pPr>
            <w:r>
              <w:rPr>
                <w:rFonts w:hint="eastAsia" w:ascii="宋体" w:hAnsi="宋体" w:cs="宋体"/>
                <w:szCs w:val="21"/>
              </w:rPr>
              <w:t>提供材料扫描件或电子证照，应完整的体现出材料或电子证照全部内容。</w:t>
            </w:r>
          </w:p>
        </w:tc>
      </w:tr>
      <w:tr w14:paraId="04FD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14:paraId="7F48CD0A">
            <w:pPr>
              <w:adjustRightInd w:val="0"/>
              <w:snapToGrid w:val="0"/>
              <w:spacing w:line="360" w:lineRule="auto"/>
              <w:ind w:right="-10"/>
              <w:jc w:val="center"/>
              <w:rPr>
                <w:rFonts w:ascii="宋体" w:hAnsi="宋体" w:cs="宋体"/>
                <w:szCs w:val="21"/>
              </w:rPr>
            </w:pPr>
            <w:r>
              <w:rPr>
                <w:rFonts w:hint="eastAsia" w:ascii="宋体" w:hAnsi="宋体" w:cs="宋体"/>
                <w:szCs w:val="21"/>
              </w:rPr>
              <w:t>5</w:t>
            </w:r>
          </w:p>
        </w:tc>
        <w:tc>
          <w:tcPr>
            <w:tcW w:w="940" w:type="pct"/>
            <w:vAlign w:val="center"/>
          </w:tcPr>
          <w:p w14:paraId="0093F0C1">
            <w:pPr>
              <w:spacing w:after="50" w:line="360" w:lineRule="auto"/>
              <w:ind w:right="-10"/>
              <w:rPr>
                <w:rFonts w:ascii="宋体" w:hAnsi="宋体" w:cs="宋体"/>
                <w:spacing w:val="10"/>
                <w:szCs w:val="21"/>
              </w:rPr>
            </w:pPr>
            <w:r>
              <w:rPr>
                <w:rFonts w:hint="eastAsia" w:ascii="宋体" w:hAnsi="宋体" w:cs="宋体"/>
                <w:spacing w:val="10"/>
                <w:szCs w:val="21"/>
              </w:rPr>
              <w:t>其他特定资格要求</w:t>
            </w:r>
          </w:p>
        </w:tc>
        <w:tc>
          <w:tcPr>
            <w:tcW w:w="2603" w:type="pct"/>
            <w:vAlign w:val="center"/>
          </w:tcPr>
          <w:p w14:paraId="7BC1EE1D">
            <w:pPr>
              <w:spacing w:after="50" w:line="360" w:lineRule="auto"/>
              <w:ind w:right="-10"/>
              <w:rPr>
                <w:rFonts w:ascii="宋体" w:hAnsi="宋体" w:cs="宋体"/>
                <w:spacing w:val="10"/>
                <w:szCs w:val="21"/>
              </w:rPr>
            </w:pPr>
            <w:r>
              <w:rPr>
                <w:rFonts w:hint="eastAsia" w:ascii="宋体" w:hAnsi="宋体" w:cs="宋体"/>
                <w:spacing w:val="10"/>
                <w:szCs w:val="21"/>
              </w:rPr>
              <w:t>如有，见第一章《投标邀请》</w:t>
            </w:r>
          </w:p>
        </w:tc>
        <w:tc>
          <w:tcPr>
            <w:tcW w:w="1076" w:type="pct"/>
            <w:vAlign w:val="center"/>
          </w:tcPr>
          <w:p w14:paraId="359D0078">
            <w:pPr>
              <w:spacing w:after="50" w:line="360" w:lineRule="auto"/>
              <w:ind w:right="-10"/>
              <w:rPr>
                <w:rFonts w:ascii="宋体" w:hAnsi="宋体" w:cs="宋体"/>
                <w:spacing w:val="10"/>
                <w:szCs w:val="21"/>
              </w:rPr>
            </w:pPr>
            <w:r>
              <w:rPr>
                <w:rFonts w:hint="eastAsia" w:ascii="宋体" w:hAnsi="宋体" w:cs="宋体"/>
                <w:szCs w:val="21"/>
              </w:rPr>
              <w:t>提供材料扫描件或电子证照，应完整的体现出材料或电子证照全部内容。</w:t>
            </w:r>
          </w:p>
        </w:tc>
      </w:tr>
    </w:tbl>
    <w:p w14:paraId="027C76AF">
      <w:pPr>
        <w:pStyle w:val="3"/>
        <w:jc w:val="center"/>
      </w:pPr>
      <w:r>
        <w:rPr>
          <w:rFonts w:ascii="宋体" w:hAnsi="宋体"/>
          <w:sz w:val="24"/>
        </w:rPr>
        <w:br w:type="page"/>
      </w:r>
      <w:bookmarkStart w:id="882" w:name="_Toc26676"/>
      <w:r>
        <w:rPr>
          <w:rFonts w:hint="eastAsia"/>
        </w:rPr>
        <w:t>第二节评标办法</w:t>
      </w:r>
      <w:bookmarkEnd w:id="882"/>
    </w:p>
    <w:p w14:paraId="4B4EFA66">
      <w:pPr>
        <w:tabs>
          <w:tab w:val="left" w:pos="360"/>
          <w:tab w:val="left" w:pos="540"/>
          <w:tab w:val="left" w:pos="3600"/>
          <w:tab w:val="left" w:pos="3780"/>
          <w:tab w:val="left" w:pos="8460"/>
          <w:tab w:val="left" w:pos="9180"/>
        </w:tabs>
        <w:adjustRightInd w:val="0"/>
        <w:snapToGrid w:val="0"/>
        <w:spacing w:before="260" w:after="260" w:line="413" w:lineRule="auto"/>
        <w:jc w:val="left"/>
        <w:outlineLvl w:val="1"/>
        <w:rPr>
          <w:rFonts w:ascii="黑体" w:hAnsi="黑体" w:eastAsia="黑体"/>
          <w:b/>
          <w:sz w:val="32"/>
          <w:szCs w:val="32"/>
        </w:rPr>
      </w:pPr>
      <w:bookmarkStart w:id="883" w:name="_Toc13811"/>
      <w:bookmarkStart w:id="884" w:name="_Toc23587"/>
      <w:bookmarkStart w:id="885" w:name="_Toc15957"/>
      <w:r>
        <w:rPr>
          <w:rFonts w:hint="eastAsia" w:ascii="黑体" w:hAnsi="黑体" w:eastAsia="黑体"/>
          <w:b/>
          <w:sz w:val="32"/>
          <w:szCs w:val="32"/>
        </w:rPr>
        <w:t>1、总则</w:t>
      </w:r>
      <w:bookmarkEnd w:id="883"/>
      <w:bookmarkEnd w:id="884"/>
      <w:bookmarkEnd w:id="885"/>
    </w:p>
    <w:p w14:paraId="63BAE736">
      <w:pPr>
        <w:widowControl/>
        <w:adjustRightInd w:val="0"/>
        <w:snapToGrid w:val="0"/>
        <w:spacing w:before="96" w:beforeLines="40" w:after="96" w:afterLines="40" w:line="400" w:lineRule="exact"/>
        <w:ind w:firstLine="422" w:firstLineChars="200"/>
        <w:jc w:val="left"/>
        <w:rPr>
          <w:rFonts w:ascii="宋体" w:hAnsi="宋体"/>
          <w:szCs w:val="21"/>
        </w:rPr>
      </w:pPr>
      <w:r>
        <w:rPr>
          <w:rFonts w:hint="eastAsia" w:ascii="宋体" w:hAnsi="宋体"/>
          <w:b/>
          <w:szCs w:val="21"/>
        </w:rPr>
        <w:t>第一条</w:t>
      </w:r>
      <w:r>
        <w:rPr>
          <w:rFonts w:hint="eastAsia" w:ascii="宋体" w:hAnsi="宋体"/>
          <w:szCs w:val="21"/>
        </w:rPr>
        <w:t>为了做好本项目的招标评标工作，保证项目评审工作的正常有序进行，维护采购人、投标供应商的合法权益，依据政府采购法律法规，本着公开、公平、公正的原则，制定本评标办法。</w:t>
      </w:r>
    </w:p>
    <w:p w14:paraId="1EEDCCF1">
      <w:pPr>
        <w:widowControl/>
        <w:adjustRightInd w:val="0"/>
        <w:snapToGrid w:val="0"/>
        <w:spacing w:before="96" w:beforeLines="40" w:after="96" w:afterLines="40" w:line="400" w:lineRule="exact"/>
        <w:ind w:firstLine="422" w:firstLineChars="200"/>
        <w:jc w:val="left"/>
        <w:rPr>
          <w:rFonts w:ascii="宋体" w:hAnsi="宋体"/>
          <w:szCs w:val="21"/>
        </w:rPr>
      </w:pPr>
      <w:r>
        <w:rPr>
          <w:rFonts w:hint="eastAsia" w:ascii="宋体" w:hAnsi="宋体"/>
          <w:b/>
          <w:szCs w:val="21"/>
        </w:rPr>
        <w:t>第二条</w:t>
      </w:r>
      <w:r>
        <w:rPr>
          <w:rFonts w:hint="eastAsia" w:ascii="宋体" w:hAnsi="宋体"/>
          <w:szCs w:val="21"/>
        </w:rPr>
        <w:t>本次项目评标办法采用综合评分法。</w:t>
      </w:r>
    </w:p>
    <w:p w14:paraId="3DFE89A7">
      <w:pPr>
        <w:widowControl/>
        <w:adjustRightInd w:val="0"/>
        <w:snapToGrid w:val="0"/>
        <w:spacing w:before="96" w:beforeLines="40" w:after="96" w:afterLines="40" w:line="400" w:lineRule="exact"/>
        <w:ind w:firstLine="422" w:firstLineChars="200"/>
        <w:jc w:val="left"/>
        <w:rPr>
          <w:rFonts w:ascii="宋体" w:hAnsi="宋体"/>
          <w:szCs w:val="21"/>
        </w:rPr>
      </w:pPr>
      <w:r>
        <w:rPr>
          <w:rFonts w:hint="eastAsia" w:ascii="宋体" w:hAnsi="宋体"/>
          <w:b/>
          <w:szCs w:val="21"/>
        </w:rPr>
        <w:t>第三条</w:t>
      </w:r>
      <w:r>
        <w:rPr>
          <w:rFonts w:hint="eastAsia" w:ascii="宋体" w:hAnsi="宋体"/>
          <w:szCs w:val="21"/>
        </w:rPr>
        <w:t>本项目将按照投标供应商须知前附表的要求组建评标委员会，负责本项目的评标工作。</w:t>
      </w:r>
    </w:p>
    <w:p w14:paraId="51785F81">
      <w:pPr>
        <w:widowControl/>
        <w:adjustRightInd w:val="0"/>
        <w:snapToGrid w:val="0"/>
        <w:spacing w:before="96" w:beforeLines="40" w:after="96" w:afterLines="40" w:line="400" w:lineRule="exact"/>
        <w:ind w:firstLine="422" w:firstLineChars="200"/>
        <w:jc w:val="left"/>
        <w:rPr>
          <w:rFonts w:ascii="宋体" w:hAnsi="宋体"/>
          <w:szCs w:val="21"/>
        </w:rPr>
      </w:pPr>
      <w:r>
        <w:rPr>
          <w:rFonts w:hint="eastAsia" w:ascii="宋体" w:hAnsi="宋体"/>
          <w:b/>
          <w:szCs w:val="21"/>
        </w:rPr>
        <w:t>第四条</w:t>
      </w:r>
      <w:r>
        <w:rPr>
          <w:rFonts w:hint="eastAsia" w:ascii="宋体" w:hAnsi="宋体"/>
          <w:szCs w:val="21"/>
        </w:rPr>
        <w:t>评标委员会按照“公平、公正、科学、择优”的原则，评价参加本次招标的投标供应商所提供的产品价格、性能、质量、服务及对招标文件的符合性及响应性。</w:t>
      </w:r>
    </w:p>
    <w:p w14:paraId="0D3EF69A">
      <w:pPr>
        <w:widowControl/>
        <w:adjustRightInd w:val="0"/>
        <w:snapToGrid w:val="0"/>
        <w:spacing w:before="96" w:beforeLines="40" w:after="96" w:afterLines="40" w:line="400" w:lineRule="exact"/>
        <w:ind w:firstLine="420" w:firstLineChars="200"/>
        <w:jc w:val="left"/>
        <w:rPr>
          <w:rFonts w:ascii="宋体" w:hAnsi="宋体"/>
          <w:szCs w:val="21"/>
        </w:rPr>
      </w:pPr>
    </w:p>
    <w:p w14:paraId="49F3B047">
      <w:pPr>
        <w:tabs>
          <w:tab w:val="left" w:pos="360"/>
          <w:tab w:val="left" w:pos="540"/>
          <w:tab w:val="left" w:pos="3600"/>
          <w:tab w:val="left" w:pos="3780"/>
          <w:tab w:val="left" w:pos="8460"/>
          <w:tab w:val="left" w:pos="9180"/>
        </w:tabs>
        <w:adjustRightInd w:val="0"/>
        <w:snapToGrid w:val="0"/>
        <w:spacing w:before="260" w:after="260" w:line="413" w:lineRule="auto"/>
        <w:jc w:val="left"/>
        <w:outlineLvl w:val="1"/>
        <w:rPr>
          <w:rFonts w:ascii="黑体" w:hAnsi="黑体" w:eastAsia="黑体"/>
          <w:b/>
          <w:sz w:val="32"/>
          <w:szCs w:val="32"/>
        </w:rPr>
      </w:pPr>
      <w:bookmarkStart w:id="886" w:name="_Toc30669"/>
      <w:bookmarkStart w:id="887" w:name="_Toc13583"/>
      <w:bookmarkStart w:id="888" w:name="_Toc9845"/>
      <w:r>
        <w:rPr>
          <w:rFonts w:hint="eastAsia" w:ascii="黑体" w:hAnsi="黑体" w:eastAsia="黑体"/>
          <w:b/>
          <w:sz w:val="32"/>
          <w:szCs w:val="32"/>
        </w:rPr>
        <w:t>2、评标程序及评审细则</w:t>
      </w:r>
      <w:bookmarkEnd w:id="886"/>
      <w:bookmarkEnd w:id="887"/>
      <w:bookmarkEnd w:id="888"/>
    </w:p>
    <w:p w14:paraId="1F49A1A5">
      <w:pPr>
        <w:adjustRightInd w:val="0"/>
        <w:snapToGrid w:val="0"/>
        <w:spacing w:before="96" w:beforeLines="40" w:after="96" w:afterLines="40" w:line="400" w:lineRule="exact"/>
        <w:ind w:firstLine="422" w:firstLineChars="200"/>
        <w:rPr>
          <w:rFonts w:ascii="宋体" w:hAnsi="宋体"/>
          <w:szCs w:val="21"/>
        </w:rPr>
      </w:pPr>
      <w:bookmarkStart w:id="889" w:name="_Toc14624"/>
      <w:bookmarkStart w:id="890" w:name="_Toc9070"/>
      <w:bookmarkStart w:id="891" w:name="_Toc28701"/>
      <w:r>
        <w:rPr>
          <w:rFonts w:hint="eastAsia" w:ascii="宋体" w:hAnsi="宋体"/>
          <w:b/>
          <w:szCs w:val="21"/>
        </w:rPr>
        <w:t>第五条</w:t>
      </w:r>
      <w:r>
        <w:rPr>
          <w:rFonts w:hint="eastAsia" w:ascii="宋体" w:hAnsi="宋体"/>
          <w:szCs w:val="21"/>
        </w:rPr>
        <w:t>评标工作于开标后进行。评标委员会应认真研究招标文件，至少应了解和熟悉以下内容：</w:t>
      </w:r>
    </w:p>
    <w:p w14:paraId="4C2487FB">
      <w:pPr>
        <w:spacing w:before="96" w:beforeLines="40" w:after="96" w:afterLines="40" w:line="400" w:lineRule="exact"/>
        <w:ind w:firstLine="420" w:firstLineChars="200"/>
        <w:rPr>
          <w:rFonts w:ascii="宋体" w:hAnsi="宋体"/>
          <w:szCs w:val="21"/>
        </w:rPr>
      </w:pPr>
      <w:r>
        <w:rPr>
          <w:rFonts w:hint="eastAsia" w:ascii="宋体" w:hAnsi="宋体"/>
          <w:szCs w:val="21"/>
        </w:rPr>
        <w:t>（一）招标的目标；</w:t>
      </w:r>
    </w:p>
    <w:p w14:paraId="064ECEF7">
      <w:pPr>
        <w:spacing w:before="96" w:beforeLines="40" w:after="96" w:afterLines="40" w:line="400" w:lineRule="exact"/>
        <w:ind w:firstLine="420" w:firstLineChars="200"/>
        <w:rPr>
          <w:rFonts w:ascii="宋体" w:hAnsi="宋体"/>
          <w:szCs w:val="21"/>
        </w:rPr>
      </w:pPr>
      <w:r>
        <w:rPr>
          <w:rFonts w:hint="eastAsia" w:ascii="宋体" w:hAnsi="宋体"/>
          <w:szCs w:val="21"/>
        </w:rPr>
        <w:t>（二）招标项目的范围和性质；</w:t>
      </w:r>
    </w:p>
    <w:p w14:paraId="3E3A11AB">
      <w:pPr>
        <w:spacing w:before="96" w:beforeLines="40" w:after="96" w:afterLines="40" w:line="400" w:lineRule="exact"/>
        <w:ind w:firstLine="420" w:firstLineChars="200"/>
        <w:rPr>
          <w:rFonts w:ascii="宋体" w:hAnsi="宋体"/>
          <w:szCs w:val="21"/>
        </w:rPr>
      </w:pPr>
      <w:r>
        <w:rPr>
          <w:rFonts w:hint="eastAsia" w:ascii="宋体" w:hAnsi="宋体"/>
          <w:szCs w:val="21"/>
        </w:rPr>
        <w:t>（三）招标文件中规定的主要技术要求、标准和商务条款；</w:t>
      </w:r>
    </w:p>
    <w:p w14:paraId="737FC188">
      <w:pPr>
        <w:spacing w:before="96" w:beforeLines="40" w:after="96" w:afterLines="40" w:line="400" w:lineRule="exact"/>
        <w:ind w:firstLine="420" w:firstLineChars="200"/>
        <w:rPr>
          <w:rFonts w:ascii="宋体" w:hAnsi="宋体"/>
          <w:szCs w:val="21"/>
        </w:rPr>
      </w:pPr>
      <w:r>
        <w:rPr>
          <w:rFonts w:hint="eastAsia" w:ascii="宋体" w:hAnsi="宋体"/>
          <w:szCs w:val="21"/>
        </w:rPr>
        <w:t>（四）招标文件规定的评标标准、评标方法和在评标过程中考虑的相关因素。</w:t>
      </w:r>
    </w:p>
    <w:p w14:paraId="39940F50">
      <w:pPr>
        <w:adjustRightInd w:val="0"/>
        <w:snapToGrid w:val="0"/>
        <w:spacing w:before="96" w:beforeLines="40" w:after="96" w:afterLines="40" w:line="400" w:lineRule="exact"/>
        <w:ind w:firstLine="422" w:firstLineChars="200"/>
        <w:rPr>
          <w:rFonts w:ascii="宋体" w:hAnsi="宋体"/>
          <w:szCs w:val="21"/>
        </w:rPr>
      </w:pPr>
      <w:r>
        <w:rPr>
          <w:rFonts w:hint="eastAsia" w:ascii="宋体" w:hAnsi="宋体"/>
          <w:b/>
          <w:szCs w:val="21"/>
        </w:rPr>
        <w:t>第六条</w:t>
      </w:r>
      <w:r>
        <w:rPr>
          <w:rFonts w:hint="eastAsia" w:ascii="宋体" w:hAnsi="宋体"/>
          <w:szCs w:val="21"/>
        </w:rPr>
        <w:t>有效投标应符合以下原则：</w:t>
      </w:r>
    </w:p>
    <w:p w14:paraId="65F466E6">
      <w:pPr>
        <w:spacing w:before="96" w:beforeLines="40" w:after="96" w:afterLines="40" w:line="400" w:lineRule="exact"/>
        <w:ind w:firstLine="420" w:firstLineChars="200"/>
        <w:rPr>
          <w:rFonts w:ascii="宋体" w:hAnsi="宋体"/>
          <w:szCs w:val="21"/>
        </w:rPr>
      </w:pPr>
      <w:r>
        <w:rPr>
          <w:rFonts w:hint="eastAsia" w:ascii="宋体" w:hAnsi="宋体"/>
          <w:szCs w:val="21"/>
        </w:rPr>
        <w:t>（一）满足招标文件的实质性要求；</w:t>
      </w:r>
    </w:p>
    <w:p w14:paraId="1CDF6113">
      <w:pPr>
        <w:spacing w:before="96" w:beforeLines="40" w:after="96" w:afterLines="40" w:line="400" w:lineRule="exact"/>
        <w:ind w:firstLine="420" w:firstLineChars="200"/>
        <w:rPr>
          <w:rFonts w:ascii="宋体" w:hAnsi="宋体"/>
          <w:szCs w:val="21"/>
        </w:rPr>
      </w:pPr>
      <w:r>
        <w:rPr>
          <w:rFonts w:hint="eastAsia" w:ascii="宋体" w:hAnsi="宋体"/>
          <w:szCs w:val="21"/>
        </w:rPr>
        <w:t>（二）无重大偏离、保留或采购人不能接受的附加条件；</w:t>
      </w:r>
    </w:p>
    <w:p w14:paraId="79627DF0">
      <w:pPr>
        <w:spacing w:before="96" w:beforeLines="40" w:after="96" w:afterLines="40" w:line="400" w:lineRule="exact"/>
        <w:ind w:firstLine="420" w:firstLineChars="200"/>
        <w:rPr>
          <w:rFonts w:ascii="宋体" w:hAnsi="宋体"/>
          <w:szCs w:val="21"/>
        </w:rPr>
      </w:pPr>
      <w:r>
        <w:rPr>
          <w:rFonts w:hint="eastAsia" w:ascii="宋体" w:hAnsi="宋体"/>
          <w:szCs w:val="21"/>
        </w:rPr>
        <w:t>（三）通过投标有效性评审；</w:t>
      </w:r>
    </w:p>
    <w:p w14:paraId="630ED4D4">
      <w:pPr>
        <w:spacing w:before="96" w:beforeLines="40" w:after="96" w:afterLines="40" w:line="400" w:lineRule="exact"/>
        <w:ind w:firstLine="420" w:firstLineChars="200"/>
        <w:rPr>
          <w:rFonts w:ascii="宋体" w:hAnsi="宋体"/>
          <w:szCs w:val="21"/>
        </w:rPr>
      </w:pPr>
      <w:r>
        <w:rPr>
          <w:rFonts w:hint="eastAsia" w:ascii="宋体" w:hAnsi="宋体"/>
          <w:szCs w:val="21"/>
        </w:rPr>
        <w:t>（四）评标委员会依据招标文件认定的其他原则。</w:t>
      </w:r>
    </w:p>
    <w:p w14:paraId="3644DC3F">
      <w:pPr>
        <w:adjustRightInd w:val="0"/>
        <w:snapToGrid w:val="0"/>
        <w:spacing w:before="96" w:beforeLines="40" w:after="96" w:afterLines="40" w:line="400" w:lineRule="exact"/>
        <w:ind w:firstLine="422" w:firstLineChars="200"/>
        <w:rPr>
          <w:rFonts w:ascii="宋体" w:hAnsi="宋体"/>
          <w:szCs w:val="21"/>
        </w:rPr>
      </w:pPr>
      <w:r>
        <w:rPr>
          <w:rFonts w:hint="eastAsia" w:ascii="宋体" w:hAnsi="宋体"/>
          <w:b/>
          <w:szCs w:val="21"/>
        </w:rPr>
        <w:t>第七条</w:t>
      </w:r>
      <w:r>
        <w:rPr>
          <w:rFonts w:hint="eastAsia" w:ascii="宋体" w:hAnsi="宋体"/>
          <w:szCs w:val="21"/>
        </w:rPr>
        <w:t>评审中，评标委员会发现投标供应商的投标文件中对同类问题表述不一致、前后矛盾、有明显文字和计算错误的内容、有可能不符合招标文件规定等情况需要澄清时，评标委员会将以询标的方式告知并要求投标供应商以书面方式进行必要的澄清或说明。对于询标后判定为不符合招标文件的投标文件，评标委员会要提出充足的否定理由，并予以书面记录。最终对投标供应商的评审结论分为通过和未通过。</w:t>
      </w:r>
    </w:p>
    <w:p w14:paraId="181E7282">
      <w:pPr>
        <w:adjustRightInd w:val="0"/>
        <w:snapToGrid w:val="0"/>
        <w:spacing w:before="96" w:beforeLines="40" w:after="96" w:afterLines="40" w:line="400" w:lineRule="exact"/>
        <w:ind w:firstLine="420" w:firstLineChars="200"/>
        <w:rPr>
          <w:rFonts w:ascii="宋体" w:hAnsi="宋体"/>
          <w:szCs w:val="21"/>
        </w:rPr>
      </w:pPr>
      <w:r>
        <w:rPr>
          <w:rFonts w:hint="eastAsia" w:ascii="宋体" w:hAnsi="宋体"/>
          <w:szCs w:val="21"/>
        </w:rPr>
        <w:t>当投标文件出现</w:t>
      </w:r>
      <w:r>
        <w:rPr>
          <w:rFonts w:ascii="宋体" w:hAnsi="宋体"/>
          <w:szCs w:val="21"/>
        </w:rPr>
        <w:t>大写金额和小写金额不一致的，以大写金额为准；总价金额与单价金额不一致的，以单价金额为准，但单价金额小数点有明显错误的除外；对不同文字文本投标文件的解释发生异议的，以中文文本为准，其他未尽事宜可以参照合同法有关合同条款的解释规定。</w:t>
      </w:r>
    </w:p>
    <w:p w14:paraId="3829A5BC">
      <w:pPr>
        <w:adjustRightInd w:val="0"/>
        <w:snapToGrid w:val="0"/>
        <w:spacing w:before="96" w:beforeLines="40" w:after="96" w:afterLines="40" w:line="400" w:lineRule="exact"/>
        <w:ind w:firstLine="422" w:firstLineChars="200"/>
        <w:rPr>
          <w:rFonts w:ascii="宋体" w:hAnsi="宋体"/>
          <w:szCs w:val="21"/>
        </w:rPr>
      </w:pPr>
      <w:r>
        <w:rPr>
          <w:rFonts w:hint="eastAsia" w:ascii="宋体" w:hAnsi="宋体"/>
          <w:b/>
          <w:szCs w:val="21"/>
        </w:rPr>
        <w:t>第八条</w:t>
      </w:r>
      <w:r>
        <w:rPr>
          <w:rFonts w:hint="eastAsia" w:ascii="宋体" w:hAnsi="宋体"/>
          <w:szCs w:val="21"/>
        </w:rPr>
        <w:t>综合评分方法是在最大限度地满足招标文件实质性要求前提下，按照招标文件中规定的各项因素进行综合评审后，以评审总得分最高的投标供应商作为中标候选人。综合评分法的主要因素为技术资信及价格部分。满分为100分。</w:t>
      </w:r>
    </w:p>
    <w:p w14:paraId="5C717238">
      <w:pPr>
        <w:adjustRightInd w:val="0"/>
        <w:snapToGrid w:val="0"/>
        <w:spacing w:before="96" w:beforeLines="40" w:after="96" w:afterLines="40" w:line="400" w:lineRule="exact"/>
        <w:ind w:firstLine="422" w:firstLineChars="200"/>
        <w:rPr>
          <w:rFonts w:ascii="宋体" w:hAnsi="宋体"/>
          <w:b/>
          <w:szCs w:val="21"/>
        </w:rPr>
      </w:pPr>
      <w:r>
        <w:rPr>
          <w:rFonts w:hint="eastAsia" w:ascii="宋体" w:hAnsi="宋体"/>
          <w:b/>
          <w:szCs w:val="21"/>
        </w:rPr>
        <w:t>第九条</w:t>
      </w:r>
      <w:r>
        <w:rPr>
          <w:rFonts w:hint="eastAsia" w:ascii="宋体" w:hAnsi="宋体"/>
          <w:szCs w:val="21"/>
        </w:rPr>
        <w:t>各投标供应商的得分分值一经得出，并核对无误后，任何人不得更改。</w:t>
      </w:r>
    </w:p>
    <w:p w14:paraId="66C4640C">
      <w:pPr>
        <w:adjustRightInd w:val="0"/>
        <w:snapToGrid w:val="0"/>
        <w:spacing w:before="96" w:beforeLines="40" w:after="96" w:afterLines="40" w:line="400" w:lineRule="exact"/>
        <w:ind w:firstLine="422" w:firstLineChars="200"/>
        <w:rPr>
          <w:rFonts w:ascii="宋体" w:hAnsi="宋体"/>
          <w:szCs w:val="21"/>
        </w:rPr>
      </w:pPr>
      <w:r>
        <w:rPr>
          <w:rFonts w:hint="eastAsia" w:ascii="宋体" w:hAnsi="宋体"/>
          <w:b/>
          <w:szCs w:val="21"/>
        </w:rPr>
        <w:t>第十条</w:t>
      </w:r>
      <w:r>
        <w:rPr>
          <w:rFonts w:ascii="宋体" w:hAnsi="宋体"/>
          <w:szCs w:val="21"/>
        </w:rPr>
        <w:t>按照投标供应商总得分从高到低排出中标候选人。若出现不同投标供应商总得分相同的情况，依次按照以下顺序，直至确定1～3名中标候选人：</w:t>
      </w:r>
    </w:p>
    <w:p w14:paraId="2ECC05D1">
      <w:pPr>
        <w:adjustRightInd w:val="0"/>
        <w:snapToGrid w:val="0"/>
        <w:spacing w:before="96" w:beforeLines="40" w:after="96" w:afterLines="40" w:line="400" w:lineRule="exact"/>
        <w:ind w:firstLine="420" w:firstLineChars="200"/>
        <w:rPr>
          <w:rFonts w:ascii="宋体" w:hAnsi="宋体"/>
          <w:szCs w:val="21"/>
        </w:rPr>
      </w:pPr>
      <w:r>
        <w:rPr>
          <w:rFonts w:hint="eastAsia" w:ascii="宋体" w:hAnsi="宋体"/>
          <w:szCs w:val="21"/>
        </w:rPr>
        <w:t>1、</w:t>
      </w:r>
      <w:r>
        <w:rPr>
          <w:rFonts w:ascii="宋体" w:hAnsi="宋体"/>
          <w:szCs w:val="21"/>
        </w:rPr>
        <w:t>按照下述原则依次排序：</w:t>
      </w:r>
    </w:p>
    <w:p w14:paraId="2BDA8CA1">
      <w:pPr>
        <w:adjustRightInd w:val="0"/>
        <w:snapToGrid w:val="0"/>
        <w:spacing w:before="96" w:beforeLines="40" w:after="96" w:afterLines="40" w:line="400" w:lineRule="exact"/>
        <w:ind w:firstLine="420" w:firstLineChars="200"/>
        <w:rPr>
          <w:rFonts w:ascii="宋体" w:hAnsi="宋体"/>
          <w:szCs w:val="21"/>
        </w:rPr>
      </w:pPr>
      <w:r>
        <w:rPr>
          <w:rFonts w:ascii="宋体" w:hAnsi="宋体"/>
          <w:szCs w:val="21"/>
        </w:rPr>
        <w:t>①所投产品为节能或环保产品者排序优先于非节能或环保产品者；</w:t>
      </w:r>
    </w:p>
    <w:p w14:paraId="21358FF4">
      <w:pPr>
        <w:adjustRightInd w:val="0"/>
        <w:snapToGrid w:val="0"/>
        <w:spacing w:before="96" w:beforeLines="40" w:after="96" w:afterLines="40" w:line="400" w:lineRule="exact"/>
        <w:ind w:firstLine="420" w:firstLineChars="200"/>
        <w:rPr>
          <w:rFonts w:ascii="宋体" w:hAnsi="宋体"/>
          <w:szCs w:val="21"/>
        </w:rPr>
      </w:pPr>
      <w:r>
        <w:rPr>
          <w:rFonts w:ascii="宋体" w:hAnsi="宋体"/>
          <w:szCs w:val="21"/>
        </w:rPr>
        <w:t>②</w:t>
      </w:r>
      <w:r>
        <w:rPr>
          <w:rFonts w:hint="eastAsia" w:ascii="宋体" w:hAnsi="宋体"/>
          <w:szCs w:val="21"/>
        </w:rPr>
        <w:t>所投产品均为节能或环保品目产品的，节能及环保产品证书多者优先</w:t>
      </w:r>
      <w:r>
        <w:rPr>
          <w:rFonts w:ascii="宋体" w:hAnsi="宋体"/>
          <w:szCs w:val="21"/>
        </w:rPr>
        <w:t>；</w:t>
      </w:r>
    </w:p>
    <w:p w14:paraId="06ABED91">
      <w:pPr>
        <w:adjustRightInd w:val="0"/>
        <w:snapToGrid w:val="0"/>
        <w:spacing w:before="96" w:beforeLines="40" w:after="96" w:afterLines="40" w:line="400" w:lineRule="exact"/>
        <w:ind w:firstLine="420" w:firstLineChars="200"/>
        <w:rPr>
          <w:rFonts w:ascii="宋体" w:hAnsi="宋体"/>
          <w:szCs w:val="21"/>
        </w:rPr>
      </w:pPr>
      <w:r>
        <w:rPr>
          <w:rFonts w:hint="eastAsia" w:ascii="宋体" w:hAnsi="宋体"/>
          <w:szCs w:val="21"/>
        </w:rPr>
        <w:t>③</w:t>
      </w:r>
      <w:r>
        <w:rPr>
          <w:rFonts w:ascii="宋体" w:hAnsi="宋体"/>
          <w:szCs w:val="21"/>
        </w:rPr>
        <w:t>所投产品同时为节能和环保产品者排序优先于只具有节能或环保产品之一者</w:t>
      </w:r>
      <w:r>
        <w:rPr>
          <w:rFonts w:hint="eastAsia" w:ascii="宋体" w:hAnsi="宋体"/>
          <w:szCs w:val="21"/>
        </w:rPr>
        <w:t>。</w:t>
      </w:r>
    </w:p>
    <w:p w14:paraId="01617B09">
      <w:pPr>
        <w:adjustRightInd w:val="0"/>
        <w:snapToGrid w:val="0"/>
        <w:spacing w:before="96" w:beforeLines="40" w:after="96" w:afterLines="40" w:line="400" w:lineRule="exact"/>
        <w:ind w:firstLine="420" w:firstLineChars="200"/>
        <w:rPr>
          <w:rFonts w:ascii="宋体" w:hAnsi="宋体"/>
          <w:b/>
          <w:szCs w:val="21"/>
        </w:rPr>
      </w:pPr>
      <w:r>
        <w:rPr>
          <w:rFonts w:ascii="宋体" w:hAnsi="宋体"/>
          <w:szCs w:val="21"/>
        </w:rPr>
        <w:t>2</w:t>
      </w:r>
      <w:r>
        <w:rPr>
          <w:rFonts w:hint="eastAsia" w:ascii="宋体" w:hAnsi="宋体"/>
          <w:szCs w:val="21"/>
        </w:rPr>
        <w:t>、</w:t>
      </w:r>
      <w:r>
        <w:rPr>
          <w:rFonts w:ascii="宋体" w:hAnsi="宋体"/>
          <w:szCs w:val="21"/>
        </w:rPr>
        <w:t>若按照上述1排序原则仍然出现名次并列情况，</w:t>
      </w:r>
      <w:r>
        <w:rPr>
          <w:rFonts w:hint="eastAsia" w:ascii="宋体" w:hAnsi="宋体"/>
        </w:rPr>
        <w:t>按投标报价由低到高排序；总得分且投标报价均相同的，按技术指标优劣顺序排列；技术指标相同的，</w:t>
      </w:r>
      <w:r>
        <w:rPr>
          <w:rFonts w:ascii="宋体" w:hAnsi="宋体"/>
          <w:szCs w:val="21"/>
        </w:rPr>
        <w:t>则由评标委员会采取抽签方式确定中标候选人。</w:t>
      </w:r>
    </w:p>
    <w:p w14:paraId="432C808C">
      <w:pPr>
        <w:pStyle w:val="7"/>
        <w:spacing w:after="0" w:line="400" w:lineRule="exact"/>
        <w:ind w:left="0" w:leftChars="0" w:firstLine="422" w:firstLineChars="200"/>
        <w:rPr>
          <w:rFonts w:ascii="宋体" w:hAnsi="宋体"/>
          <w:b/>
          <w:szCs w:val="21"/>
        </w:rPr>
      </w:pPr>
      <w:r>
        <w:rPr>
          <w:rFonts w:hint="eastAsia" w:ascii="宋体" w:hAnsi="宋体"/>
          <w:b/>
          <w:szCs w:val="21"/>
        </w:rPr>
        <w:t>第十一条</w:t>
      </w:r>
      <w:r>
        <w:rPr>
          <w:rFonts w:hint="eastAsia"/>
        </w:rPr>
        <w:t>评标委员会在评标过程中发现的问题，应当区别情形及时作出处理或者向采购人提出处理建议，并作书面记录。</w:t>
      </w:r>
    </w:p>
    <w:p w14:paraId="622A153C">
      <w:pPr>
        <w:adjustRightInd w:val="0"/>
        <w:snapToGrid w:val="0"/>
        <w:spacing w:before="96" w:beforeLines="40" w:after="96" w:afterLines="40" w:line="400" w:lineRule="exact"/>
        <w:ind w:firstLine="422" w:firstLineChars="200"/>
        <w:rPr>
          <w:rFonts w:ascii="宋体" w:hAnsi="宋体"/>
          <w:bCs/>
          <w:szCs w:val="21"/>
        </w:rPr>
      </w:pPr>
      <w:r>
        <w:rPr>
          <w:rFonts w:hint="eastAsia" w:ascii="宋体" w:hAnsi="宋体"/>
          <w:b/>
          <w:szCs w:val="21"/>
        </w:rPr>
        <w:t>第</w:t>
      </w:r>
      <w:r>
        <w:rPr>
          <w:rFonts w:hint="eastAsia" w:ascii="宋体" w:hAnsi="宋体"/>
          <w:b/>
          <w:bCs/>
          <w:szCs w:val="21"/>
        </w:rPr>
        <w:t>十</w:t>
      </w:r>
      <w:r>
        <w:rPr>
          <w:rFonts w:hint="eastAsia" w:ascii="宋体" w:hAnsi="宋体"/>
          <w:b/>
          <w:szCs w:val="21"/>
        </w:rPr>
        <w:t>二条</w:t>
      </w:r>
      <w:r>
        <w:rPr>
          <w:rFonts w:hint="eastAsia" w:ascii="宋体" w:hAnsi="宋体"/>
          <w:bCs/>
          <w:szCs w:val="21"/>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11890A1E">
      <w:pPr>
        <w:pStyle w:val="29"/>
        <w:adjustRightInd w:val="0"/>
        <w:snapToGrid w:val="0"/>
        <w:spacing w:before="96" w:beforeLines="40" w:after="96" w:afterLines="40" w:line="400" w:lineRule="exact"/>
        <w:ind w:firstLine="420" w:firstLineChars="200"/>
        <w:rPr>
          <w:rFonts w:ascii="宋体" w:hAnsi="宋体"/>
          <w:bCs/>
          <w:kern w:val="2"/>
        </w:rPr>
      </w:pPr>
      <w:r>
        <w:rPr>
          <w:rFonts w:hint="eastAsia" w:ascii="宋体" w:hAnsi="宋体"/>
          <w:bCs/>
          <w:kern w:val="2"/>
        </w:rPr>
        <w:t>其他按照无效投标处理的情形：</w:t>
      </w:r>
    </w:p>
    <w:p w14:paraId="0429BEAE">
      <w:pPr>
        <w:pStyle w:val="29"/>
        <w:adjustRightInd w:val="0"/>
        <w:snapToGrid w:val="0"/>
        <w:spacing w:before="96" w:beforeLines="40" w:after="96" w:afterLines="40" w:line="400" w:lineRule="exact"/>
        <w:ind w:firstLine="420" w:firstLineChars="200"/>
        <w:rPr>
          <w:rFonts w:ascii="宋体" w:hAnsi="宋体"/>
          <w:bCs/>
          <w:kern w:val="2"/>
        </w:rPr>
      </w:pPr>
      <w:r>
        <w:rPr>
          <w:rFonts w:hint="eastAsia" w:ascii="宋体" w:hAnsi="宋体"/>
          <w:bCs/>
          <w:kern w:val="2"/>
        </w:rPr>
        <w:t>（1）不按评标委员会要求澄清或说明的；</w:t>
      </w:r>
    </w:p>
    <w:p w14:paraId="60F09642">
      <w:pPr>
        <w:pStyle w:val="29"/>
        <w:adjustRightInd w:val="0"/>
        <w:snapToGrid w:val="0"/>
        <w:spacing w:before="96" w:beforeLines="40" w:after="96" w:afterLines="40" w:line="400" w:lineRule="exact"/>
        <w:ind w:firstLine="420" w:firstLineChars="200"/>
        <w:rPr>
          <w:rFonts w:ascii="宋体" w:hAnsi="宋体"/>
          <w:bCs/>
          <w:kern w:val="2"/>
        </w:rPr>
      </w:pPr>
      <w:r>
        <w:rPr>
          <w:rFonts w:hint="eastAsia" w:ascii="宋体" w:hAnsi="宋体"/>
          <w:bCs/>
          <w:kern w:val="2"/>
        </w:rPr>
        <w:t>（2）未实质性响应招标文件的；</w:t>
      </w:r>
    </w:p>
    <w:p w14:paraId="6545260A">
      <w:pPr>
        <w:pStyle w:val="29"/>
        <w:adjustRightInd w:val="0"/>
        <w:snapToGrid w:val="0"/>
        <w:spacing w:before="96" w:beforeLines="40" w:after="96" w:afterLines="40" w:line="400" w:lineRule="exact"/>
        <w:ind w:firstLine="420" w:firstLineChars="200"/>
        <w:rPr>
          <w:rFonts w:ascii="宋体" w:hAnsi="宋体"/>
          <w:bCs/>
          <w:kern w:val="2"/>
        </w:rPr>
      </w:pPr>
      <w:r>
        <w:rPr>
          <w:rFonts w:hint="eastAsia" w:ascii="宋体" w:hAnsi="宋体"/>
          <w:bCs/>
          <w:kern w:val="2"/>
        </w:rPr>
        <w:t>（3）投标文件中存在采购人不能接受的其它附加实质性条件的；</w:t>
      </w:r>
    </w:p>
    <w:p w14:paraId="68EF08D4">
      <w:pPr>
        <w:pStyle w:val="29"/>
        <w:adjustRightInd w:val="0"/>
        <w:snapToGrid w:val="0"/>
        <w:spacing w:before="96" w:beforeLines="40" w:after="96" w:afterLines="40" w:line="400" w:lineRule="exact"/>
        <w:ind w:firstLine="420" w:firstLineChars="200"/>
        <w:rPr>
          <w:rFonts w:ascii="宋体" w:hAnsi="宋体"/>
          <w:bCs/>
          <w:kern w:val="2"/>
        </w:rPr>
      </w:pPr>
      <w:r>
        <w:rPr>
          <w:rFonts w:hint="eastAsia" w:ascii="宋体" w:hAnsi="宋体"/>
          <w:bCs/>
          <w:kern w:val="2"/>
        </w:rPr>
        <w:t>（4）参数、规格偏离超过招标文件规定的</w:t>
      </w:r>
    </w:p>
    <w:p w14:paraId="24420BA2">
      <w:pPr>
        <w:pStyle w:val="29"/>
        <w:adjustRightInd w:val="0"/>
        <w:snapToGrid w:val="0"/>
        <w:spacing w:before="96" w:beforeLines="40" w:after="96" w:afterLines="40" w:line="400" w:lineRule="exact"/>
        <w:ind w:firstLine="420" w:firstLineChars="200"/>
        <w:rPr>
          <w:rFonts w:ascii="宋体" w:hAnsi="宋体"/>
          <w:bCs/>
          <w:kern w:val="2"/>
        </w:rPr>
      </w:pPr>
      <w:r>
        <w:rPr>
          <w:rFonts w:hint="eastAsia" w:ascii="宋体" w:hAnsi="宋体"/>
          <w:bCs/>
          <w:kern w:val="2"/>
        </w:rPr>
        <w:t>（5）串通投标或弄虚作假或有其他违法行为的；</w:t>
      </w:r>
    </w:p>
    <w:p w14:paraId="42C02A5C">
      <w:pPr>
        <w:adjustRightInd w:val="0"/>
        <w:snapToGrid w:val="0"/>
        <w:spacing w:before="96" w:beforeLines="40" w:after="96" w:afterLines="40" w:line="400" w:lineRule="exact"/>
        <w:ind w:firstLine="420" w:firstLineChars="200"/>
        <w:rPr>
          <w:rFonts w:ascii="宋体" w:hAnsi="宋体"/>
          <w:bCs/>
          <w:szCs w:val="21"/>
        </w:rPr>
      </w:pPr>
      <w:r>
        <w:rPr>
          <w:rFonts w:hint="eastAsia" w:ascii="宋体" w:hAnsi="宋体"/>
          <w:bCs/>
          <w:szCs w:val="21"/>
        </w:rPr>
        <w:t>（6）法律、法规和规章规定的其他情形的。</w:t>
      </w:r>
    </w:p>
    <w:p w14:paraId="47F6F820">
      <w:pPr>
        <w:adjustRightInd w:val="0"/>
        <w:snapToGrid w:val="0"/>
        <w:spacing w:before="96" w:beforeLines="40" w:after="96" w:afterLines="40" w:line="400" w:lineRule="exact"/>
        <w:ind w:firstLine="420" w:firstLineChars="200"/>
        <w:rPr>
          <w:rFonts w:ascii="宋体" w:hAnsi="宋体"/>
          <w:b/>
          <w:szCs w:val="21"/>
        </w:rPr>
      </w:pPr>
      <w:r>
        <w:rPr>
          <w:rFonts w:hint="eastAsia" w:ascii="宋体" w:hAnsi="宋体"/>
          <w:bCs/>
          <w:szCs w:val="21"/>
        </w:rPr>
        <w:t>评标委员会成员对需要共同认定的事项存在争议的，应当按照少数服从多数的原则作出结论。持不同意见的评标委员会成员应当在评标报告</w:t>
      </w:r>
      <w:r>
        <w:rPr>
          <w:rFonts w:hint="eastAsia" w:ascii="宋体" w:hAnsi="宋体"/>
          <w:szCs w:val="21"/>
        </w:rPr>
        <w:t>上签署不同意见及理由，否则视为同意评标报告。</w:t>
      </w:r>
    </w:p>
    <w:p w14:paraId="5EDC222D">
      <w:pPr>
        <w:adjustRightInd w:val="0"/>
        <w:snapToGrid w:val="0"/>
        <w:spacing w:before="96" w:beforeLines="40" w:after="96" w:afterLines="40" w:line="400" w:lineRule="exact"/>
        <w:ind w:firstLine="422" w:firstLineChars="200"/>
        <w:rPr>
          <w:rFonts w:ascii="宋体" w:hAnsi="宋体"/>
          <w:szCs w:val="21"/>
        </w:rPr>
      </w:pPr>
      <w:r>
        <w:rPr>
          <w:rFonts w:hint="eastAsia" w:ascii="宋体" w:hAnsi="宋体"/>
          <w:b/>
          <w:bCs/>
          <w:szCs w:val="21"/>
        </w:rPr>
        <w:t>第十三条</w:t>
      </w:r>
      <w:r>
        <w:rPr>
          <w:rFonts w:hint="eastAsia" w:ascii="宋体" w:hAnsi="宋体"/>
          <w:szCs w:val="21"/>
        </w:rPr>
        <w:t>投标供应商有串通投标、弄虚作假、行贿等违法行为，评委会有权否决其投标。</w:t>
      </w:r>
    </w:p>
    <w:p w14:paraId="5DB104D2">
      <w:pPr>
        <w:adjustRightInd w:val="0"/>
        <w:snapToGrid w:val="0"/>
        <w:spacing w:before="96" w:beforeLines="40" w:after="96" w:afterLines="40" w:line="400" w:lineRule="exact"/>
        <w:ind w:firstLine="422" w:firstLineChars="200"/>
        <w:rPr>
          <w:rFonts w:ascii="宋体" w:hAnsi="宋体"/>
          <w:szCs w:val="21"/>
        </w:rPr>
      </w:pPr>
      <w:r>
        <w:rPr>
          <w:rFonts w:hint="eastAsia" w:ascii="宋体" w:hAnsi="宋体"/>
          <w:b/>
          <w:bCs/>
          <w:szCs w:val="21"/>
        </w:rPr>
        <w:t>第十四条</w:t>
      </w:r>
      <w:r>
        <w:rPr>
          <w:rFonts w:hint="eastAsia" w:ascii="宋体" w:hAnsi="宋体"/>
          <w:szCs w:val="21"/>
        </w:rPr>
        <w:t>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或说明事项。</w:t>
      </w:r>
    </w:p>
    <w:p w14:paraId="62886E01">
      <w:pPr>
        <w:tabs>
          <w:tab w:val="left" w:pos="360"/>
          <w:tab w:val="left" w:pos="540"/>
          <w:tab w:val="left" w:pos="3600"/>
          <w:tab w:val="left" w:pos="3780"/>
          <w:tab w:val="left" w:pos="8460"/>
          <w:tab w:val="left" w:pos="9180"/>
        </w:tabs>
        <w:adjustRightInd w:val="0"/>
        <w:snapToGrid w:val="0"/>
        <w:spacing w:before="260" w:after="260" w:line="413" w:lineRule="auto"/>
        <w:ind w:firstLine="422" w:firstLineChars="200"/>
        <w:jc w:val="left"/>
        <w:outlineLvl w:val="1"/>
        <w:rPr>
          <w:rFonts w:ascii="宋体" w:hAnsi="宋体"/>
          <w:szCs w:val="21"/>
        </w:rPr>
      </w:pPr>
      <w:r>
        <w:rPr>
          <w:rFonts w:hint="eastAsia" w:ascii="宋体" w:hAnsi="宋体"/>
          <w:b/>
          <w:szCs w:val="21"/>
        </w:rPr>
        <w:t>第十五条</w:t>
      </w:r>
      <w:r>
        <w:rPr>
          <w:rFonts w:hint="eastAsia" w:ascii="宋体" w:hAnsi="宋体"/>
          <w:szCs w:val="21"/>
        </w:rPr>
        <w:t>评标委员会成员应当在评标报告上签字，对自己的评审意见承担法律责任。对评标报告有异议的，应当在评标报告上签署不同意见，并说明理由，否则视为同意评标报告。</w:t>
      </w:r>
    </w:p>
    <w:p w14:paraId="373EBF09">
      <w:pPr>
        <w:tabs>
          <w:tab w:val="left" w:pos="360"/>
          <w:tab w:val="left" w:pos="540"/>
          <w:tab w:val="left" w:pos="3600"/>
          <w:tab w:val="left" w:pos="3780"/>
          <w:tab w:val="left" w:pos="8460"/>
          <w:tab w:val="left" w:pos="9180"/>
        </w:tabs>
        <w:adjustRightInd w:val="0"/>
        <w:snapToGrid w:val="0"/>
        <w:spacing w:before="260" w:after="260" w:line="413" w:lineRule="auto"/>
        <w:jc w:val="left"/>
        <w:outlineLvl w:val="1"/>
        <w:rPr>
          <w:rFonts w:ascii="黑体" w:hAnsi="黑体" w:eastAsia="黑体"/>
          <w:b/>
          <w:sz w:val="32"/>
          <w:szCs w:val="32"/>
        </w:rPr>
      </w:pPr>
      <w:r>
        <w:rPr>
          <w:rFonts w:hint="eastAsia" w:ascii="黑体" w:hAnsi="黑体" w:eastAsia="黑体"/>
          <w:b/>
          <w:sz w:val="32"/>
          <w:szCs w:val="32"/>
        </w:rPr>
        <w:t>3、评标纪律</w:t>
      </w:r>
      <w:bookmarkEnd w:id="889"/>
      <w:bookmarkEnd w:id="890"/>
      <w:bookmarkEnd w:id="891"/>
    </w:p>
    <w:p w14:paraId="214BE213">
      <w:pPr>
        <w:adjustRightInd w:val="0"/>
        <w:snapToGrid w:val="0"/>
        <w:spacing w:before="96" w:beforeLines="40" w:after="96" w:afterLines="40" w:line="400" w:lineRule="exact"/>
        <w:ind w:firstLine="422" w:firstLineChars="200"/>
        <w:rPr>
          <w:rFonts w:ascii="宋体" w:hAnsi="宋体"/>
          <w:szCs w:val="21"/>
        </w:rPr>
      </w:pPr>
      <w:r>
        <w:rPr>
          <w:rFonts w:hint="eastAsia" w:ascii="宋体" w:hAnsi="宋体"/>
          <w:b/>
          <w:szCs w:val="21"/>
        </w:rPr>
        <w:t>第十六条</w:t>
      </w:r>
      <w:r>
        <w:rPr>
          <w:rFonts w:hint="eastAsia" w:ascii="宋体" w:hAnsi="宋体"/>
          <w:szCs w:val="21"/>
        </w:rPr>
        <w:t>评标委员会和评标工作人员应严格遵守国家的法律、法规和规章制度；严格按照本次招标文件进行评标；公正廉洁、不徇私情，不得损害国家利益；保护采购人、投标供应商的合法权益。</w:t>
      </w:r>
    </w:p>
    <w:p w14:paraId="35C167B7">
      <w:pPr>
        <w:adjustRightInd w:val="0"/>
        <w:snapToGrid w:val="0"/>
        <w:spacing w:before="96" w:beforeLines="40" w:after="96" w:afterLines="40" w:line="400" w:lineRule="exact"/>
        <w:ind w:firstLine="422" w:firstLineChars="200"/>
        <w:rPr>
          <w:rFonts w:ascii="宋体" w:hAnsi="宋体"/>
          <w:szCs w:val="21"/>
        </w:rPr>
      </w:pPr>
      <w:r>
        <w:rPr>
          <w:rFonts w:hint="eastAsia" w:ascii="宋体" w:hAnsi="宋体"/>
          <w:b/>
          <w:szCs w:val="21"/>
        </w:rPr>
        <w:t>第十</w:t>
      </w:r>
      <w:r>
        <w:rPr>
          <w:rFonts w:hint="eastAsia" w:ascii="宋体" w:hAnsi="宋体"/>
          <w:b/>
          <w:bCs/>
          <w:szCs w:val="21"/>
        </w:rPr>
        <w:t>七</w:t>
      </w:r>
      <w:r>
        <w:rPr>
          <w:rFonts w:hint="eastAsia" w:ascii="宋体" w:hAnsi="宋体"/>
          <w:b/>
          <w:szCs w:val="21"/>
        </w:rPr>
        <w:t>条</w:t>
      </w:r>
      <w:r>
        <w:rPr>
          <w:rFonts w:hint="eastAsia" w:ascii="宋体" w:hAnsi="宋体"/>
          <w:szCs w:val="21"/>
        </w:rPr>
        <w:t>在评标过程中，评委及其他评标工作人员必须对评标情况严格保密，任何人不得将评标情况透露给与投标供应商有关的单位和个人。如有违反评标纪律的情况发生，将依据政府采购法律法规的规定，追究有关当事人的责任。</w:t>
      </w:r>
    </w:p>
    <w:p w14:paraId="1E1BCDB6">
      <w:pPr>
        <w:tabs>
          <w:tab w:val="left" w:pos="360"/>
          <w:tab w:val="left" w:pos="540"/>
          <w:tab w:val="left" w:pos="3600"/>
          <w:tab w:val="left" w:pos="3780"/>
          <w:tab w:val="left" w:pos="8460"/>
          <w:tab w:val="left" w:pos="9180"/>
        </w:tabs>
        <w:adjustRightInd w:val="0"/>
        <w:snapToGrid w:val="0"/>
        <w:spacing w:before="260" w:after="260" w:line="413" w:lineRule="auto"/>
        <w:jc w:val="left"/>
        <w:outlineLvl w:val="1"/>
        <w:rPr>
          <w:rFonts w:ascii="黑体" w:hAnsi="黑体" w:eastAsia="黑体"/>
          <w:b/>
          <w:sz w:val="32"/>
          <w:szCs w:val="32"/>
        </w:rPr>
      </w:pPr>
      <w:r>
        <w:rPr>
          <w:rFonts w:hint="eastAsia" w:ascii="黑体" w:hAnsi="黑体" w:eastAsia="黑体"/>
          <w:b/>
          <w:sz w:val="32"/>
          <w:szCs w:val="32"/>
        </w:rPr>
        <w:t>4、具体评标办法</w:t>
      </w:r>
    </w:p>
    <w:p w14:paraId="15E4F92B">
      <w:pPr>
        <w:adjustRightInd w:val="0"/>
        <w:snapToGrid w:val="0"/>
        <w:spacing w:before="96" w:beforeLines="40" w:after="96" w:afterLines="40" w:line="400" w:lineRule="exact"/>
        <w:ind w:firstLine="422" w:firstLineChars="200"/>
        <w:rPr>
          <w:rFonts w:ascii="宋体" w:hAnsi="宋体"/>
          <w:b/>
          <w:bCs/>
          <w:szCs w:val="21"/>
        </w:rPr>
      </w:pPr>
      <w:r>
        <w:rPr>
          <w:rFonts w:hint="eastAsia" w:ascii="宋体" w:hAnsi="宋体"/>
          <w:b/>
          <w:bCs/>
          <w:szCs w:val="21"/>
        </w:rPr>
        <w:t>1、资格审查合格后，评标委员会对投标文件进行符合性审查。</w:t>
      </w:r>
    </w:p>
    <w:tbl>
      <w:tblPr>
        <w:tblStyle w:val="14"/>
        <w:tblW w:w="498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4"/>
        <w:gridCol w:w="2027"/>
        <w:gridCol w:w="4471"/>
        <w:gridCol w:w="2340"/>
      </w:tblGrid>
      <w:tr w14:paraId="4691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5000" w:type="pct"/>
            <w:gridSpan w:val="4"/>
            <w:vAlign w:val="center"/>
          </w:tcPr>
          <w:p w14:paraId="2CF3EF82">
            <w:pPr>
              <w:widowControl/>
              <w:jc w:val="center"/>
              <w:rPr>
                <w:rFonts w:ascii="宋体" w:hAnsi="宋体"/>
                <w:b/>
                <w:kern w:val="0"/>
                <w:szCs w:val="21"/>
              </w:rPr>
            </w:pPr>
            <w:r>
              <w:rPr>
                <w:rFonts w:hint="eastAsia" w:ascii="宋体" w:hAnsi="宋体"/>
                <w:b/>
                <w:kern w:val="0"/>
                <w:szCs w:val="21"/>
              </w:rPr>
              <w:t>符合性审查表</w:t>
            </w:r>
          </w:p>
        </w:tc>
      </w:tr>
      <w:tr w14:paraId="15BA5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1" w:type="pct"/>
            <w:vAlign w:val="center"/>
          </w:tcPr>
          <w:p w14:paraId="0946861A">
            <w:pPr>
              <w:widowControl/>
              <w:jc w:val="center"/>
              <w:rPr>
                <w:rFonts w:ascii="宋体" w:hAnsi="宋体"/>
                <w:b/>
                <w:kern w:val="0"/>
                <w:szCs w:val="21"/>
              </w:rPr>
            </w:pPr>
            <w:r>
              <w:rPr>
                <w:rFonts w:hint="eastAsia" w:ascii="宋体" w:hAnsi="宋体"/>
                <w:b/>
                <w:kern w:val="0"/>
                <w:szCs w:val="21"/>
              </w:rPr>
              <w:t>序号</w:t>
            </w:r>
          </w:p>
        </w:tc>
        <w:tc>
          <w:tcPr>
            <w:tcW w:w="1032" w:type="pct"/>
            <w:vAlign w:val="center"/>
          </w:tcPr>
          <w:p w14:paraId="12B65BD0">
            <w:pPr>
              <w:widowControl/>
              <w:jc w:val="center"/>
              <w:rPr>
                <w:rFonts w:ascii="宋体" w:hAnsi="宋体"/>
                <w:b/>
                <w:kern w:val="0"/>
                <w:szCs w:val="21"/>
              </w:rPr>
            </w:pPr>
            <w:r>
              <w:rPr>
                <w:rFonts w:hint="eastAsia" w:ascii="宋体" w:hAnsi="宋体"/>
                <w:b/>
                <w:kern w:val="0"/>
                <w:szCs w:val="21"/>
              </w:rPr>
              <w:t>审查指标</w:t>
            </w:r>
          </w:p>
        </w:tc>
        <w:tc>
          <w:tcPr>
            <w:tcW w:w="2276" w:type="pct"/>
            <w:vAlign w:val="center"/>
          </w:tcPr>
          <w:p w14:paraId="702B180C">
            <w:pPr>
              <w:widowControl/>
              <w:jc w:val="center"/>
              <w:rPr>
                <w:rFonts w:ascii="宋体" w:hAnsi="宋体"/>
                <w:b/>
                <w:kern w:val="0"/>
                <w:szCs w:val="21"/>
              </w:rPr>
            </w:pPr>
            <w:r>
              <w:rPr>
                <w:rFonts w:hint="eastAsia" w:ascii="宋体" w:hAnsi="宋体"/>
                <w:b/>
                <w:kern w:val="0"/>
                <w:szCs w:val="21"/>
              </w:rPr>
              <w:t>审查标准</w:t>
            </w:r>
          </w:p>
        </w:tc>
        <w:tc>
          <w:tcPr>
            <w:tcW w:w="1189" w:type="pct"/>
            <w:vAlign w:val="center"/>
          </w:tcPr>
          <w:p w14:paraId="2CE18AE8">
            <w:pPr>
              <w:widowControl/>
              <w:jc w:val="center"/>
              <w:rPr>
                <w:rFonts w:ascii="宋体" w:hAnsi="宋体"/>
                <w:b/>
                <w:kern w:val="0"/>
                <w:szCs w:val="21"/>
              </w:rPr>
            </w:pPr>
            <w:r>
              <w:rPr>
                <w:rFonts w:hint="eastAsia" w:ascii="宋体" w:hAnsi="宋体"/>
                <w:b/>
                <w:kern w:val="0"/>
                <w:szCs w:val="21"/>
              </w:rPr>
              <w:t>格式要求</w:t>
            </w:r>
          </w:p>
        </w:tc>
      </w:tr>
      <w:tr w14:paraId="0A6AA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1" w:type="pct"/>
            <w:vAlign w:val="center"/>
          </w:tcPr>
          <w:p w14:paraId="07E4FB45">
            <w:pPr>
              <w:widowControl/>
              <w:jc w:val="center"/>
              <w:rPr>
                <w:rFonts w:ascii="宋体" w:hAnsi="宋体"/>
                <w:kern w:val="0"/>
                <w:szCs w:val="21"/>
              </w:rPr>
            </w:pPr>
            <w:r>
              <w:rPr>
                <w:rFonts w:hint="eastAsia" w:ascii="宋体" w:hAnsi="宋体"/>
                <w:kern w:val="0"/>
                <w:szCs w:val="21"/>
              </w:rPr>
              <w:t>1</w:t>
            </w:r>
          </w:p>
        </w:tc>
        <w:tc>
          <w:tcPr>
            <w:tcW w:w="1032" w:type="pct"/>
            <w:vAlign w:val="center"/>
          </w:tcPr>
          <w:p w14:paraId="3B4C58E5">
            <w:pPr>
              <w:widowControl/>
              <w:jc w:val="center"/>
              <w:rPr>
                <w:rFonts w:ascii="宋体" w:hAnsi="宋体"/>
                <w:kern w:val="0"/>
                <w:szCs w:val="21"/>
              </w:rPr>
            </w:pPr>
            <w:r>
              <w:rPr>
                <w:rFonts w:hint="eastAsia" w:ascii="宋体" w:hAnsi="宋体"/>
                <w:kern w:val="0"/>
                <w:szCs w:val="21"/>
              </w:rPr>
              <w:t>投标函</w:t>
            </w:r>
          </w:p>
        </w:tc>
        <w:tc>
          <w:tcPr>
            <w:tcW w:w="2276" w:type="pct"/>
            <w:vAlign w:val="center"/>
          </w:tcPr>
          <w:p w14:paraId="125675FA">
            <w:pPr>
              <w:widowControl/>
              <w:jc w:val="center"/>
              <w:rPr>
                <w:rFonts w:ascii="宋体" w:hAnsi="宋体"/>
                <w:kern w:val="0"/>
                <w:szCs w:val="21"/>
              </w:rPr>
            </w:pPr>
            <w:r>
              <w:rPr>
                <w:rFonts w:hint="eastAsia" w:ascii="宋体" w:hAnsi="宋体"/>
                <w:szCs w:val="21"/>
              </w:rPr>
              <w:t>格式、填写要求符合招标文件规定并加盖投标供应商公章</w:t>
            </w:r>
          </w:p>
        </w:tc>
        <w:tc>
          <w:tcPr>
            <w:tcW w:w="1189" w:type="pct"/>
            <w:vAlign w:val="center"/>
          </w:tcPr>
          <w:p w14:paraId="4A5E6EE3">
            <w:pPr>
              <w:widowControl/>
              <w:jc w:val="center"/>
              <w:rPr>
                <w:rFonts w:ascii="宋体" w:hAnsi="宋体"/>
                <w:kern w:val="0"/>
                <w:szCs w:val="21"/>
              </w:rPr>
            </w:pPr>
            <w:r>
              <w:rPr>
                <w:rFonts w:hint="eastAsia" w:ascii="宋体" w:hAnsi="宋体"/>
                <w:szCs w:val="21"/>
              </w:rPr>
              <w:t>第六章投标文件格式</w:t>
            </w:r>
          </w:p>
        </w:tc>
      </w:tr>
      <w:tr w14:paraId="77982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1" w:type="pct"/>
            <w:vAlign w:val="center"/>
          </w:tcPr>
          <w:p w14:paraId="30D322DF">
            <w:pPr>
              <w:widowControl/>
              <w:jc w:val="center"/>
              <w:rPr>
                <w:rFonts w:ascii="宋体" w:hAnsi="宋体"/>
                <w:kern w:val="0"/>
                <w:szCs w:val="21"/>
              </w:rPr>
            </w:pPr>
            <w:r>
              <w:rPr>
                <w:rFonts w:hint="eastAsia" w:ascii="宋体" w:hAnsi="宋体"/>
                <w:kern w:val="0"/>
                <w:szCs w:val="21"/>
              </w:rPr>
              <w:t>2</w:t>
            </w:r>
          </w:p>
        </w:tc>
        <w:tc>
          <w:tcPr>
            <w:tcW w:w="1032" w:type="pct"/>
            <w:vAlign w:val="center"/>
          </w:tcPr>
          <w:p w14:paraId="6C840203">
            <w:pPr>
              <w:widowControl/>
              <w:jc w:val="center"/>
              <w:rPr>
                <w:rFonts w:ascii="宋体" w:hAnsi="宋体"/>
                <w:kern w:val="0"/>
                <w:szCs w:val="21"/>
              </w:rPr>
            </w:pPr>
            <w:r>
              <w:rPr>
                <w:rFonts w:hint="eastAsia" w:ascii="宋体" w:hAnsi="宋体"/>
                <w:kern w:val="0"/>
                <w:szCs w:val="21"/>
              </w:rPr>
              <w:t>投标文件签署</w:t>
            </w:r>
          </w:p>
        </w:tc>
        <w:tc>
          <w:tcPr>
            <w:tcW w:w="2276" w:type="pct"/>
            <w:vAlign w:val="center"/>
          </w:tcPr>
          <w:p w14:paraId="255F6C30">
            <w:pPr>
              <w:widowControl/>
              <w:jc w:val="center"/>
              <w:rPr>
                <w:rFonts w:ascii="宋体" w:hAnsi="宋体"/>
                <w:kern w:val="0"/>
                <w:szCs w:val="21"/>
              </w:rPr>
            </w:pPr>
            <w:r>
              <w:rPr>
                <w:rFonts w:hint="eastAsia" w:ascii="宋体" w:hAnsi="宋体"/>
                <w:kern w:val="0"/>
                <w:szCs w:val="21"/>
              </w:rPr>
              <w:t>投标文件签字盖章符合招标文件规定</w:t>
            </w:r>
          </w:p>
        </w:tc>
        <w:tc>
          <w:tcPr>
            <w:tcW w:w="1189" w:type="pct"/>
            <w:vAlign w:val="center"/>
          </w:tcPr>
          <w:p w14:paraId="24FC0B42">
            <w:pPr>
              <w:widowControl/>
              <w:jc w:val="center"/>
              <w:rPr>
                <w:rFonts w:ascii="宋体" w:hAnsi="宋体"/>
                <w:kern w:val="0"/>
                <w:szCs w:val="21"/>
              </w:rPr>
            </w:pPr>
          </w:p>
        </w:tc>
      </w:tr>
      <w:tr w14:paraId="4D427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1" w:type="pct"/>
            <w:vAlign w:val="center"/>
          </w:tcPr>
          <w:p w14:paraId="383A59DB">
            <w:pPr>
              <w:spacing w:line="240" w:lineRule="exact"/>
              <w:jc w:val="center"/>
              <w:rPr>
                <w:rFonts w:ascii="宋体" w:hAnsi="宋体"/>
                <w:szCs w:val="21"/>
              </w:rPr>
            </w:pPr>
            <w:r>
              <w:rPr>
                <w:rFonts w:hint="eastAsia" w:ascii="宋体" w:hAnsi="宋体"/>
                <w:szCs w:val="21"/>
              </w:rPr>
              <w:t>3</w:t>
            </w:r>
          </w:p>
        </w:tc>
        <w:tc>
          <w:tcPr>
            <w:tcW w:w="1032" w:type="pct"/>
            <w:vAlign w:val="center"/>
          </w:tcPr>
          <w:p w14:paraId="22045E24">
            <w:pPr>
              <w:spacing w:line="240" w:lineRule="exact"/>
              <w:jc w:val="center"/>
              <w:rPr>
                <w:rFonts w:ascii="宋体" w:hAnsi="宋体"/>
                <w:szCs w:val="21"/>
              </w:rPr>
            </w:pPr>
            <w:r>
              <w:rPr>
                <w:rFonts w:hint="eastAsia" w:ascii="宋体" w:hAnsi="宋体"/>
                <w:szCs w:val="21"/>
              </w:rPr>
              <w:t>授权委托书</w:t>
            </w:r>
          </w:p>
        </w:tc>
        <w:tc>
          <w:tcPr>
            <w:tcW w:w="2276" w:type="pct"/>
            <w:vAlign w:val="center"/>
          </w:tcPr>
          <w:p w14:paraId="72348AB3">
            <w:pPr>
              <w:spacing w:line="240" w:lineRule="exact"/>
              <w:jc w:val="center"/>
              <w:rPr>
                <w:rFonts w:ascii="宋体" w:hAnsi="宋体"/>
                <w:szCs w:val="21"/>
              </w:rPr>
            </w:pPr>
            <w:r>
              <w:rPr>
                <w:rFonts w:hint="eastAsia"/>
              </w:rPr>
              <w:t>格式、填写要求符合招标文件“</w:t>
            </w:r>
            <w:r>
              <w:rPr>
                <w:rFonts w:hint="eastAsia" w:ascii="宋体" w:hAnsi="宋体"/>
                <w:szCs w:val="21"/>
              </w:rPr>
              <w:t>第六章投标文件格式</w:t>
            </w:r>
            <w:r>
              <w:rPr>
                <w:rFonts w:hint="eastAsia"/>
              </w:rPr>
              <w:t>”</w:t>
            </w:r>
            <w:r>
              <w:rPr>
                <w:rFonts w:hint="eastAsia" w:ascii="宋体" w:hAnsi="宋体"/>
                <w:szCs w:val="21"/>
              </w:rPr>
              <w:t>要求</w:t>
            </w:r>
            <w:r>
              <w:rPr>
                <w:rFonts w:hint="eastAsia"/>
              </w:rPr>
              <w:t>并加盖投标供应商公章</w:t>
            </w:r>
          </w:p>
        </w:tc>
        <w:tc>
          <w:tcPr>
            <w:tcW w:w="1189" w:type="pct"/>
            <w:vAlign w:val="center"/>
          </w:tcPr>
          <w:p w14:paraId="21F3F5E2">
            <w:pPr>
              <w:widowControl/>
              <w:jc w:val="center"/>
              <w:rPr>
                <w:rFonts w:ascii="宋体" w:hAnsi="宋体"/>
                <w:szCs w:val="21"/>
              </w:rPr>
            </w:pPr>
            <w:r>
              <w:rPr>
                <w:rFonts w:hint="eastAsia" w:ascii="宋体" w:hAnsi="宋体"/>
                <w:szCs w:val="21"/>
              </w:rPr>
              <w:t>法定代表人（单位负责人）参加投标的无需此件，提供身份证明复制件即可。</w:t>
            </w:r>
          </w:p>
          <w:p w14:paraId="6F99D4B5">
            <w:pPr>
              <w:widowControl/>
              <w:jc w:val="center"/>
              <w:rPr>
                <w:rFonts w:ascii="宋体" w:hAnsi="宋体"/>
                <w:kern w:val="0"/>
                <w:szCs w:val="21"/>
              </w:rPr>
            </w:pPr>
            <w:r>
              <w:rPr>
                <w:rFonts w:hint="eastAsia" w:ascii="宋体" w:hAnsi="宋体"/>
                <w:szCs w:val="21"/>
              </w:rPr>
              <w:t>见第六章投标文件格式</w:t>
            </w:r>
          </w:p>
        </w:tc>
      </w:tr>
      <w:tr w14:paraId="6293B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1" w:type="pct"/>
            <w:vAlign w:val="center"/>
          </w:tcPr>
          <w:p w14:paraId="738C6C2D">
            <w:pPr>
              <w:widowControl/>
              <w:jc w:val="center"/>
              <w:rPr>
                <w:rFonts w:ascii="宋体" w:hAnsi="宋体"/>
                <w:kern w:val="0"/>
                <w:szCs w:val="21"/>
              </w:rPr>
            </w:pPr>
            <w:r>
              <w:rPr>
                <w:rFonts w:hint="eastAsia" w:ascii="宋体" w:hAnsi="宋体"/>
                <w:kern w:val="0"/>
                <w:szCs w:val="21"/>
              </w:rPr>
              <w:t>4</w:t>
            </w:r>
          </w:p>
        </w:tc>
        <w:tc>
          <w:tcPr>
            <w:tcW w:w="1032" w:type="pct"/>
            <w:vAlign w:val="center"/>
          </w:tcPr>
          <w:p w14:paraId="4DA1BBD5">
            <w:pPr>
              <w:widowControl/>
              <w:jc w:val="center"/>
              <w:rPr>
                <w:rFonts w:ascii="宋体" w:hAnsi="宋体"/>
                <w:kern w:val="0"/>
                <w:szCs w:val="21"/>
              </w:rPr>
            </w:pPr>
            <w:r>
              <w:rPr>
                <w:rFonts w:hint="eastAsia" w:ascii="宋体" w:hAnsi="宋体"/>
                <w:kern w:val="0"/>
                <w:szCs w:val="21"/>
              </w:rPr>
              <w:t>投标文件格式</w:t>
            </w:r>
          </w:p>
        </w:tc>
        <w:tc>
          <w:tcPr>
            <w:tcW w:w="2276" w:type="pct"/>
            <w:vAlign w:val="center"/>
          </w:tcPr>
          <w:p w14:paraId="738BF170">
            <w:pPr>
              <w:widowControl/>
              <w:jc w:val="center"/>
              <w:rPr>
                <w:rFonts w:ascii="宋体" w:hAnsi="宋体"/>
                <w:kern w:val="0"/>
                <w:szCs w:val="21"/>
              </w:rPr>
            </w:pPr>
            <w:r>
              <w:rPr>
                <w:rFonts w:hint="eastAsia" w:ascii="宋体" w:hAnsi="宋体"/>
                <w:kern w:val="0"/>
                <w:szCs w:val="21"/>
              </w:rPr>
              <w:t>符合招标文件给定格式要求，实质性内容齐全，关键内容、字迹清晰可辨</w:t>
            </w:r>
          </w:p>
        </w:tc>
        <w:tc>
          <w:tcPr>
            <w:tcW w:w="1189" w:type="pct"/>
            <w:vAlign w:val="center"/>
          </w:tcPr>
          <w:p w14:paraId="6EAEFA85">
            <w:pPr>
              <w:widowControl/>
              <w:jc w:val="center"/>
              <w:rPr>
                <w:rFonts w:ascii="宋体" w:hAnsi="宋体"/>
                <w:kern w:val="0"/>
                <w:szCs w:val="21"/>
              </w:rPr>
            </w:pPr>
          </w:p>
        </w:tc>
      </w:tr>
      <w:tr w14:paraId="624E2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1" w:type="pct"/>
            <w:vAlign w:val="center"/>
          </w:tcPr>
          <w:p w14:paraId="16365C20">
            <w:pPr>
              <w:widowControl/>
              <w:jc w:val="center"/>
              <w:rPr>
                <w:rFonts w:ascii="宋体" w:hAnsi="宋体"/>
                <w:kern w:val="0"/>
                <w:szCs w:val="21"/>
              </w:rPr>
            </w:pPr>
            <w:r>
              <w:rPr>
                <w:rFonts w:hint="eastAsia" w:ascii="宋体" w:hAnsi="宋体"/>
                <w:kern w:val="0"/>
                <w:szCs w:val="21"/>
              </w:rPr>
              <w:t>5</w:t>
            </w:r>
          </w:p>
        </w:tc>
        <w:tc>
          <w:tcPr>
            <w:tcW w:w="1032" w:type="pct"/>
            <w:vAlign w:val="center"/>
          </w:tcPr>
          <w:p w14:paraId="51D56A7F">
            <w:pPr>
              <w:widowControl/>
              <w:jc w:val="center"/>
              <w:rPr>
                <w:rFonts w:ascii="宋体" w:hAnsi="宋体"/>
                <w:kern w:val="0"/>
                <w:szCs w:val="21"/>
              </w:rPr>
            </w:pPr>
            <w:r>
              <w:rPr>
                <w:rFonts w:hint="eastAsia" w:ascii="宋体" w:hAnsi="宋体"/>
                <w:szCs w:val="21"/>
              </w:rPr>
              <w:t>硬件信息</w:t>
            </w:r>
          </w:p>
        </w:tc>
        <w:tc>
          <w:tcPr>
            <w:tcW w:w="2276" w:type="pct"/>
            <w:vAlign w:val="center"/>
          </w:tcPr>
          <w:p w14:paraId="378D7114">
            <w:pPr>
              <w:widowControl/>
              <w:jc w:val="center"/>
              <w:rPr>
                <w:rFonts w:ascii="宋体" w:hAnsi="宋体"/>
                <w:kern w:val="0"/>
                <w:szCs w:val="21"/>
              </w:rPr>
            </w:pPr>
            <w:r>
              <w:rPr>
                <w:rFonts w:hint="eastAsia" w:ascii="宋体" w:hAnsi="宋体"/>
                <w:kern w:val="0"/>
                <w:szCs w:val="21"/>
              </w:rPr>
              <w:t>符合投标供应商须知前附表第12.4条要求</w:t>
            </w:r>
          </w:p>
        </w:tc>
        <w:tc>
          <w:tcPr>
            <w:tcW w:w="1189" w:type="pct"/>
            <w:vAlign w:val="center"/>
          </w:tcPr>
          <w:p w14:paraId="62E247DE">
            <w:pPr>
              <w:widowControl/>
              <w:jc w:val="center"/>
              <w:rPr>
                <w:rFonts w:ascii="宋体" w:hAnsi="宋体"/>
                <w:kern w:val="0"/>
                <w:szCs w:val="21"/>
              </w:rPr>
            </w:pPr>
          </w:p>
        </w:tc>
      </w:tr>
      <w:tr w14:paraId="46F58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1" w:type="pct"/>
            <w:vAlign w:val="center"/>
          </w:tcPr>
          <w:p w14:paraId="107083BE">
            <w:pPr>
              <w:widowControl/>
              <w:jc w:val="center"/>
              <w:rPr>
                <w:rFonts w:ascii="宋体" w:hAnsi="宋体"/>
                <w:szCs w:val="21"/>
              </w:rPr>
            </w:pPr>
            <w:r>
              <w:rPr>
                <w:rFonts w:hint="eastAsia" w:ascii="宋体" w:hAnsi="宋体"/>
                <w:szCs w:val="21"/>
              </w:rPr>
              <w:t>6</w:t>
            </w:r>
          </w:p>
        </w:tc>
        <w:tc>
          <w:tcPr>
            <w:tcW w:w="1032" w:type="pct"/>
            <w:vAlign w:val="center"/>
          </w:tcPr>
          <w:p w14:paraId="0D0436B5">
            <w:pPr>
              <w:widowControl/>
              <w:jc w:val="center"/>
              <w:rPr>
                <w:rFonts w:ascii="宋体" w:hAnsi="宋体"/>
              </w:rPr>
            </w:pPr>
            <w:r>
              <w:rPr>
                <w:rFonts w:hint="eastAsia" w:ascii="宋体" w:hAnsi="宋体"/>
                <w:kern w:val="0"/>
                <w:szCs w:val="21"/>
              </w:rPr>
              <w:t>投标内容</w:t>
            </w:r>
          </w:p>
        </w:tc>
        <w:tc>
          <w:tcPr>
            <w:tcW w:w="2276" w:type="pct"/>
            <w:vAlign w:val="center"/>
          </w:tcPr>
          <w:p w14:paraId="66620453">
            <w:pPr>
              <w:widowControl/>
              <w:jc w:val="center"/>
              <w:rPr>
                <w:rFonts w:ascii="宋体" w:hAnsi="宋体"/>
              </w:rPr>
            </w:pPr>
            <w:r>
              <w:rPr>
                <w:rFonts w:hint="eastAsia" w:ascii="宋体" w:hAnsi="宋体"/>
                <w:kern w:val="0"/>
                <w:szCs w:val="21"/>
              </w:rPr>
              <w:t>符合招标文件要求</w:t>
            </w:r>
          </w:p>
        </w:tc>
        <w:tc>
          <w:tcPr>
            <w:tcW w:w="1189" w:type="pct"/>
            <w:vAlign w:val="center"/>
          </w:tcPr>
          <w:p w14:paraId="74DF1B32">
            <w:pPr>
              <w:widowControl/>
              <w:jc w:val="center"/>
              <w:rPr>
                <w:rFonts w:ascii="宋体" w:hAnsi="宋体"/>
                <w:kern w:val="0"/>
                <w:szCs w:val="21"/>
              </w:rPr>
            </w:pPr>
          </w:p>
        </w:tc>
      </w:tr>
      <w:tr w14:paraId="0043F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1" w:type="pct"/>
            <w:vAlign w:val="center"/>
          </w:tcPr>
          <w:p w14:paraId="3DD45EFC">
            <w:pPr>
              <w:widowControl/>
              <w:jc w:val="center"/>
              <w:rPr>
                <w:rFonts w:ascii="宋体" w:hAnsi="宋体"/>
                <w:kern w:val="0"/>
                <w:szCs w:val="21"/>
              </w:rPr>
            </w:pPr>
            <w:r>
              <w:rPr>
                <w:rFonts w:hint="eastAsia" w:ascii="宋体" w:hAnsi="宋体"/>
                <w:kern w:val="0"/>
                <w:szCs w:val="21"/>
              </w:rPr>
              <w:t>7</w:t>
            </w:r>
          </w:p>
        </w:tc>
        <w:tc>
          <w:tcPr>
            <w:tcW w:w="1032" w:type="pct"/>
            <w:vAlign w:val="center"/>
          </w:tcPr>
          <w:p w14:paraId="4979A5E4">
            <w:pPr>
              <w:widowControl/>
              <w:jc w:val="center"/>
              <w:rPr>
                <w:rFonts w:ascii="宋体" w:hAnsi="宋体"/>
                <w:kern w:val="0"/>
                <w:szCs w:val="21"/>
              </w:rPr>
            </w:pPr>
            <w:r>
              <w:rPr>
                <w:rFonts w:hint="eastAsia" w:ascii="宋体" w:hAnsi="宋体"/>
                <w:kern w:val="0"/>
                <w:szCs w:val="21"/>
              </w:rPr>
              <w:t>服务期限</w:t>
            </w:r>
          </w:p>
        </w:tc>
        <w:tc>
          <w:tcPr>
            <w:tcW w:w="2276" w:type="pct"/>
            <w:vAlign w:val="center"/>
          </w:tcPr>
          <w:p w14:paraId="0E39D9E6">
            <w:pPr>
              <w:widowControl/>
              <w:jc w:val="center"/>
              <w:rPr>
                <w:rFonts w:ascii="宋体" w:hAnsi="宋体"/>
                <w:kern w:val="0"/>
                <w:szCs w:val="21"/>
              </w:rPr>
            </w:pPr>
            <w:r>
              <w:rPr>
                <w:rFonts w:hint="eastAsia" w:ascii="宋体" w:hAnsi="宋体"/>
                <w:kern w:val="0"/>
                <w:szCs w:val="21"/>
              </w:rPr>
              <w:t>符合招标文件的要求</w:t>
            </w:r>
          </w:p>
        </w:tc>
        <w:tc>
          <w:tcPr>
            <w:tcW w:w="1189" w:type="pct"/>
            <w:vAlign w:val="center"/>
          </w:tcPr>
          <w:p w14:paraId="222E84E5">
            <w:pPr>
              <w:widowControl/>
              <w:jc w:val="center"/>
              <w:rPr>
                <w:rFonts w:ascii="宋体" w:hAnsi="宋体"/>
                <w:kern w:val="0"/>
                <w:szCs w:val="21"/>
              </w:rPr>
            </w:pPr>
          </w:p>
        </w:tc>
      </w:tr>
      <w:tr w14:paraId="5325A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1" w:type="pct"/>
            <w:vAlign w:val="center"/>
          </w:tcPr>
          <w:p w14:paraId="7A7C5613">
            <w:pPr>
              <w:widowControl/>
              <w:jc w:val="center"/>
              <w:rPr>
                <w:rFonts w:ascii="宋体" w:hAnsi="宋体"/>
                <w:kern w:val="0"/>
                <w:szCs w:val="21"/>
              </w:rPr>
            </w:pPr>
            <w:r>
              <w:rPr>
                <w:rFonts w:hint="eastAsia" w:ascii="宋体" w:hAnsi="宋体"/>
                <w:kern w:val="0"/>
                <w:szCs w:val="21"/>
              </w:rPr>
              <w:t>8</w:t>
            </w:r>
          </w:p>
        </w:tc>
        <w:tc>
          <w:tcPr>
            <w:tcW w:w="1032" w:type="pct"/>
            <w:vAlign w:val="center"/>
          </w:tcPr>
          <w:p w14:paraId="4D691A44">
            <w:pPr>
              <w:widowControl/>
              <w:jc w:val="center"/>
              <w:rPr>
                <w:rFonts w:ascii="宋体" w:hAnsi="宋体"/>
                <w:kern w:val="0"/>
                <w:szCs w:val="21"/>
              </w:rPr>
            </w:pPr>
            <w:r>
              <w:rPr>
                <w:rFonts w:hint="eastAsia" w:ascii="宋体" w:hAnsi="宋体"/>
                <w:kern w:val="0"/>
                <w:szCs w:val="21"/>
              </w:rPr>
              <w:t>付款方式</w:t>
            </w:r>
          </w:p>
        </w:tc>
        <w:tc>
          <w:tcPr>
            <w:tcW w:w="2276" w:type="pct"/>
            <w:vAlign w:val="center"/>
          </w:tcPr>
          <w:p w14:paraId="3D9314C2">
            <w:pPr>
              <w:widowControl/>
              <w:jc w:val="center"/>
              <w:rPr>
                <w:rFonts w:ascii="宋体" w:hAnsi="宋体"/>
                <w:kern w:val="0"/>
                <w:szCs w:val="21"/>
              </w:rPr>
            </w:pPr>
            <w:r>
              <w:rPr>
                <w:rFonts w:hint="eastAsia" w:ascii="宋体" w:hAnsi="宋体"/>
                <w:kern w:val="0"/>
                <w:szCs w:val="21"/>
              </w:rPr>
              <w:t>符合招标文件的要求</w:t>
            </w:r>
          </w:p>
        </w:tc>
        <w:tc>
          <w:tcPr>
            <w:tcW w:w="1189" w:type="pct"/>
            <w:vAlign w:val="center"/>
          </w:tcPr>
          <w:p w14:paraId="582DED15">
            <w:pPr>
              <w:widowControl/>
              <w:jc w:val="center"/>
              <w:rPr>
                <w:rFonts w:ascii="宋体" w:hAnsi="宋体"/>
                <w:kern w:val="0"/>
                <w:szCs w:val="21"/>
              </w:rPr>
            </w:pPr>
          </w:p>
        </w:tc>
      </w:tr>
      <w:tr w14:paraId="76AAD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1" w:type="pct"/>
            <w:vAlign w:val="center"/>
          </w:tcPr>
          <w:p w14:paraId="422E0B66">
            <w:pPr>
              <w:widowControl/>
              <w:jc w:val="center"/>
              <w:rPr>
                <w:rFonts w:ascii="宋体" w:hAnsi="宋体"/>
                <w:kern w:val="0"/>
                <w:szCs w:val="21"/>
              </w:rPr>
            </w:pPr>
            <w:r>
              <w:rPr>
                <w:rFonts w:hint="eastAsia" w:ascii="宋体" w:hAnsi="宋体"/>
                <w:kern w:val="0"/>
                <w:szCs w:val="21"/>
              </w:rPr>
              <w:t>9</w:t>
            </w:r>
          </w:p>
        </w:tc>
        <w:tc>
          <w:tcPr>
            <w:tcW w:w="1032" w:type="pct"/>
            <w:vAlign w:val="center"/>
          </w:tcPr>
          <w:p w14:paraId="3C974FEA">
            <w:pPr>
              <w:widowControl/>
              <w:jc w:val="center"/>
              <w:rPr>
                <w:rFonts w:ascii="宋体" w:hAnsi="宋体"/>
                <w:kern w:val="0"/>
                <w:szCs w:val="21"/>
              </w:rPr>
            </w:pPr>
            <w:r>
              <w:rPr>
                <w:rFonts w:hint="eastAsia" w:ascii="宋体" w:hAnsi="宋体"/>
                <w:kern w:val="0"/>
                <w:szCs w:val="21"/>
              </w:rPr>
              <w:t>投标有效期</w:t>
            </w:r>
          </w:p>
        </w:tc>
        <w:tc>
          <w:tcPr>
            <w:tcW w:w="2276" w:type="pct"/>
            <w:vAlign w:val="center"/>
          </w:tcPr>
          <w:p w14:paraId="298C02BB">
            <w:pPr>
              <w:widowControl/>
              <w:jc w:val="center"/>
              <w:rPr>
                <w:rFonts w:ascii="宋体" w:hAnsi="宋体"/>
                <w:kern w:val="0"/>
                <w:szCs w:val="21"/>
              </w:rPr>
            </w:pPr>
            <w:r>
              <w:rPr>
                <w:rFonts w:hint="eastAsia" w:ascii="宋体" w:hAnsi="宋体"/>
                <w:kern w:val="0"/>
                <w:szCs w:val="21"/>
              </w:rPr>
              <w:t>符合招标文件要求</w:t>
            </w:r>
          </w:p>
        </w:tc>
        <w:tc>
          <w:tcPr>
            <w:tcW w:w="1189" w:type="pct"/>
            <w:vAlign w:val="center"/>
          </w:tcPr>
          <w:p w14:paraId="29DE8B5C">
            <w:pPr>
              <w:widowControl/>
              <w:jc w:val="center"/>
              <w:rPr>
                <w:rFonts w:ascii="宋体" w:hAnsi="宋体"/>
                <w:kern w:val="0"/>
                <w:szCs w:val="21"/>
              </w:rPr>
            </w:pPr>
          </w:p>
        </w:tc>
      </w:tr>
      <w:tr w14:paraId="1421C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1" w:type="pct"/>
            <w:vAlign w:val="center"/>
          </w:tcPr>
          <w:p w14:paraId="77852F2B">
            <w:pPr>
              <w:widowControl/>
              <w:jc w:val="center"/>
              <w:rPr>
                <w:rFonts w:ascii="宋体" w:hAnsi="宋体"/>
                <w:kern w:val="0"/>
                <w:szCs w:val="21"/>
              </w:rPr>
            </w:pPr>
            <w:r>
              <w:rPr>
                <w:rFonts w:hint="eastAsia" w:ascii="宋体" w:hAnsi="宋体"/>
                <w:kern w:val="0"/>
                <w:szCs w:val="21"/>
              </w:rPr>
              <w:t>10</w:t>
            </w:r>
          </w:p>
        </w:tc>
        <w:tc>
          <w:tcPr>
            <w:tcW w:w="1032" w:type="pct"/>
            <w:vAlign w:val="center"/>
          </w:tcPr>
          <w:p w14:paraId="0D19AD64">
            <w:pPr>
              <w:widowControl/>
              <w:jc w:val="center"/>
              <w:rPr>
                <w:rFonts w:ascii="宋体" w:hAnsi="宋体"/>
                <w:kern w:val="0"/>
                <w:szCs w:val="21"/>
              </w:rPr>
            </w:pPr>
            <w:r>
              <w:rPr>
                <w:rFonts w:hint="eastAsia" w:ascii="宋体" w:hAnsi="宋体"/>
                <w:kern w:val="0"/>
                <w:szCs w:val="21"/>
              </w:rPr>
              <w:t>权利义务</w:t>
            </w:r>
          </w:p>
        </w:tc>
        <w:tc>
          <w:tcPr>
            <w:tcW w:w="2276" w:type="pct"/>
            <w:vAlign w:val="center"/>
          </w:tcPr>
          <w:p w14:paraId="75E3E217">
            <w:pPr>
              <w:widowControl/>
              <w:jc w:val="center"/>
              <w:rPr>
                <w:rFonts w:ascii="宋体" w:hAnsi="宋体"/>
                <w:kern w:val="0"/>
                <w:szCs w:val="21"/>
              </w:rPr>
            </w:pPr>
            <w:r>
              <w:rPr>
                <w:rFonts w:hint="eastAsia" w:ascii="宋体" w:hAnsi="宋体"/>
                <w:kern w:val="0"/>
                <w:szCs w:val="21"/>
              </w:rPr>
              <w:t>符合招标文件合同条款要求，未另行设定采购人不能接受的采购人应承担的义务，未对投标供应商的义务予以削弱</w:t>
            </w:r>
          </w:p>
        </w:tc>
        <w:tc>
          <w:tcPr>
            <w:tcW w:w="1189" w:type="pct"/>
            <w:vAlign w:val="center"/>
          </w:tcPr>
          <w:p w14:paraId="12353042">
            <w:pPr>
              <w:widowControl/>
              <w:jc w:val="center"/>
              <w:rPr>
                <w:rFonts w:ascii="宋体" w:hAnsi="宋体"/>
                <w:kern w:val="0"/>
                <w:szCs w:val="21"/>
              </w:rPr>
            </w:pPr>
          </w:p>
        </w:tc>
      </w:tr>
      <w:tr w14:paraId="06652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1" w:type="pct"/>
            <w:vAlign w:val="center"/>
          </w:tcPr>
          <w:p w14:paraId="62476471">
            <w:pPr>
              <w:widowControl/>
              <w:jc w:val="center"/>
              <w:rPr>
                <w:rFonts w:ascii="宋体" w:hAnsi="宋体"/>
                <w:kern w:val="0"/>
                <w:szCs w:val="21"/>
              </w:rPr>
            </w:pPr>
            <w:r>
              <w:rPr>
                <w:rFonts w:hint="eastAsia" w:ascii="宋体" w:hAnsi="宋体"/>
                <w:kern w:val="0"/>
                <w:szCs w:val="21"/>
              </w:rPr>
              <w:t>11</w:t>
            </w:r>
          </w:p>
        </w:tc>
        <w:tc>
          <w:tcPr>
            <w:tcW w:w="1032" w:type="pct"/>
            <w:vAlign w:val="center"/>
          </w:tcPr>
          <w:p w14:paraId="77E03E59">
            <w:pPr>
              <w:pStyle w:val="29"/>
              <w:jc w:val="center"/>
              <w:rPr>
                <w:rFonts w:ascii="宋体" w:hAnsi="宋体"/>
              </w:rPr>
            </w:pPr>
            <w:r>
              <w:rPr>
                <w:rFonts w:hint="eastAsia" w:ascii="宋体" w:hAnsi="宋体"/>
              </w:rPr>
              <w:t>其他要求</w:t>
            </w:r>
          </w:p>
        </w:tc>
        <w:tc>
          <w:tcPr>
            <w:tcW w:w="2276" w:type="pct"/>
            <w:vAlign w:val="center"/>
          </w:tcPr>
          <w:p w14:paraId="5E7D6214">
            <w:pPr>
              <w:pStyle w:val="29"/>
              <w:jc w:val="center"/>
              <w:rPr>
                <w:rFonts w:ascii="宋体" w:hAnsi="宋体"/>
              </w:rPr>
            </w:pPr>
            <w:r>
              <w:rPr>
                <w:rFonts w:hint="eastAsia" w:ascii="宋体" w:hAnsi="宋体"/>
              </w:rPr>
              <w:t>符合第二章“投标供应商须知”规定</w:t>
            </w:r>
          </w:p>
        </w:tc>
        <w:tc>
          <w:tcPr>
            <w:tcW w:w="1189" w:type="pct"/>
            <w:vAlign w:val="center"/>
          </w:tcPr>
          <w:p w14:paraId="3322558B">
            <w:pPr>
              <w:widowControl/>
              <w:jc w:val="center"/>
              <w:rPr>
                <w:rFonts w:ascii="宋体" w:hAnsi="宋体"/>
                <w:kern w:val="0"/>
                <w:szCs w:val="21"/>
              </w:rPr>
            </w:pPr>
          </w:p>
        </w:tc>
      </w:tr>
      <w:tr w14:paraId="76A2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46EBCE43">
            <w:pPr>
              <w:adjustRightInd w:val="0"/>
              <w:snapToGrid w:val="0"/>
              <w:spacing w:before="40" w:after="40" w:line="400" w:lineRule="exact"/>
              <w:ind w:firstLine="420" w:firstLineChars="200"/>
              <w:rPr>
                <w:rFonts w:ascii="宋体" w:hAnsi="宋体"/>
                <w:kern w:val="0"/>
                <w:szCs w:val="21"/>
              </w:rPr>
            </w:pPr>
            <w:r>
              <w:rPr>
                <w:rFonts w:hint="eastAsia" w:ascii="宋体" w:hAnsi="宋体"/>
                <w:szCs w:val="21"/>
              </w:rPr>
              <w:t>符合性审查指标通过标准：投标供应商必须通过上述全部指标。</w:t>
            </w:r>
          </w:p>
        </w:tc>
      </w:tr>
      <w:tr w14:paraId="4BE28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4"/>
          </w:tcPr>
          <w:p w14:paraId="6F40A6FC">
            <w:pPr>
              <w:adjustRightInd w:val="0"/>
              <w:snapToGrid w:val="0"/>
              <w:spacing w:before="40" w:after="40" w:line="400" w:lineRule="exact"/>
              <w:ind w:firstLine="420" w:firstLineChars="200"/>
              <w:rPr>
                <w:rFonts w:ascii="宋体" w:hAnsi="宋体"/>
                <w:szCs w:val="21"/>
              </w:rPr>
            </w:pPr>
            <w:r>
              <w:rPr>
                <w:rFonts w:hint="eastAsia" w:ascii="宋体" w:hAnsi="宋体"/>
                <w:szCs w:val="21"/>
              </w:rPr>
              <w:t>评委签字：</w:t>
            </w:r>
          </w:p>
          <w:p w14:paraId="6D84820B">
            <w:pPr>
              <w:adjustRightInd w:val="0"/>
              <w:snapToGrid w:val="0"/>
              <w:spacing w:before="40" w:after="40" w:line="400" w:lineRule="exact"/>
              <w:ind w:firstLine="420" w:firstLineChars="200"/>
              <w:rPr>
                <w:rFonts w:ascii="宋体" w:hAnsi="宋体"/>
                <w:kern w:val="0"/>
                <w:szCs w:val="21"/>
              </w:rPr>
            </w:pPr>
            <w:r>
              <w:rPr>
                <w:rFonts w:hint="eastAsia" w:ascii="宋体" w:hAnsi="宋体"/>
                <w:szCs w:val="21"/>
              </w:rPr>
              <w:t>评审时间：</w:t>
            </w:r>
          </w:p>
        </w:tc>
      </w:tr>
      <w:tr w14:paraId="2BBC9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4"/>
          </w:tcPr>
          <w:p w14:paraId="42CACD02">
            <w:pPr>
              <w:adjustRightInd w:val="0"/>
              <w:snapToGrid w:val="0"/>
              <w:spacing w:before="40" w:after="40" w:line="400" w:lineRule="exact"/>
              <w:ind w:firstLine="422" w:firstLineChars="200"/>
              <w:rPr>
                <w:rFonts w:ascii="宋体" w:hAnsi="宋体"/>
                <w:kern w:val="0"/>
                <w:szCs w:val="21"/>
              </w:rPr>
            </w:pPr>
            <w:r>
              <w:rPr>
                <w:rFonts w:hint="eastAsia" w:ascii="宋体" w:hAnsi="宋体"/>
                <w:b/>
                <w:bCs/>
                <w:szCs w:val="21"/>
              </w:rPr>
              <w:t>注：无论何种原因，即使投标供应商开标时携带了证书材料的原件，但在投标文件中未提供与之内容完全一致的复制件的，评标委员会可以视同其未提供。</w:t>
            </w:r>
          </w:p>
        </w:tc>
      </w:tr>
    </w:tbl>
    <w:p w14:paraId="43911D52">
      <w:pPr>
        <w:spacing w:before="96" w:beforeLines="40" w:after="96" w:afterLines="40" w:line="400" w:lineRule="exact"/>
        <w:ind w:firstLine="422" w:firstLineChars="200"/>
        <w:rPr>
          <w:rFonts w:ascii="宋体" w:hAnsi="宋体"/>
          <w:b/>
          <w:bCs/>
          <w:szCs w:val="21"/>
        </w:rPr>
      </w:pPr>
    </w:p>
    <w:p w14:paraId="365D0995">
      <w:pPr>
        <w:spacing w:before="96" w:beforeLines="40" w:after="96" w:afterLines="40" w:line="400" w:lineRule="exact"/>
        <w:ind w:firstLine="422" w:firstLineChars="200"/>
        <w:rPr>
          <w:rFonts w:ascii="宋体" w:hAnsi="宋体"/>
          <w:szCs w:val="21"/>
        </w:rPr>
      </w:pPr>
      <w:r>
        <w:rPr>
          <w:rFonts w:hint="eastAsia" w:ascii="宋体" w:hAnsi="宋体"/>
          <w:b/>
          <w:bCs/>
          <w:szCs w:val="21"/>
        </w:rPr>
        <w:t>2、对投标文件进行详审。</w:t>
      </w:r>
      <w:r>
        <w:rPr>
          <w:rFonts w:hint="eastAsia" w:ascii="宋体" w:hAnsi="宋体"/>
          <w:szCs w:val="21"/>
        </w:rPr>
        <w:t>评标委员会只对通过符合性审查，实质上响应招标文件要求的投标文件按照下述指标表进行详审。</w:t>
      </w:r>
      <w:r>
        <w:rPr>
          <w:rFonts w:hint="eastAsia" w:ascii="宋体" w:hAnsi="宋体"/>
          <w:bCs/>
          <w:szCs w:val="21"/>
        </w:rPr>
        <w:t>评委会对投标供应商某项</w:t>
      </w:r>
      <w:r>
        <w:rPr>
          <w:rFonts w:hint="eastAsia" w:ascii="宋体" w:hAnsi="宋体"/>
          <w:szCs w:val="21"/>
        </w:rPr>
        <w:t>符合性审查</w:t>
      </w:r>
      <w:r>
        <w:rPr>
          <w:rFonts w:hint="eastAsia" w:ascii="宋体" w:hAnsi="宋体"/>
          <w:bCs/>
          <w:szCs w:val="21"/>
        </w:rPr>
        <w:t>指标如有不同意见</w:t>
      </w:r>
      <w:r>
        <w:rPr>
          <w:rFonts w:hint="eastAsia" w:ascii="宋体" w:hAnsi="宋体"/>
          <w:szCs w:val="21"/>
        </w:rPr>
        <w:t>，按照少数服从多数的原则，确定该项指标是否通过。</w:t>
      </w:r>
    </w:p>
    <w:p w14:paraId="7D948FCE">
      <w:pPr>
        <w:pStyle w:val="30"/>
        <w:adjustRightInd w:val="0"/>
        <w:snapToGrid w:val="0"/>
        <w:spacing w:before="0" w:line="360" w:lineRule="auto"/>
        <w:ind w:firstLine="420" w:firstLineChars="200"/>
        <w:outlineLvl w:val="0"/>
        <w:rPr>
          <w:rFonts w:ascii="宋体" w:hAnsi="宋体"/>
          <w:b/>
          <w:sz w:val="21"/>
          <w:szCs w:val="21"/>
        </w:rPr>
      </w:pPr>
      <w:bookmarkStart w:id="892" w:name="_Toc8318"/>
      <w:r>
        <w:rPr>
          <w:rFonts w:hint="eastAsia" w:ascii="宋体" w:hAnsi="宋体"/>
          <w:sz w:val="21"/>
          <w:szCs w:val="21"/>
        </w:rPr>
        <w:t>本项目综合评分满分为1</w:t>
      </w:r>
      <w:r>
        <w:rPr>
          <w:rFonts w:ascii="宋体" w:hAnsi="宋体"/>
          <w:sz w:val="21"/>
          <w:szCs w:val="21"/>
        </w:rPr>
        <w:t>00</w:t>
      </w:r>
      <w:r>
        <w:rPr>
          <w:rFonts w:hint="eastAsia" w:ascii="宋体" w:hAnsi="宋体"/>
          <w:sz w:val="21"/>
          <w:szCs w:val="21"/>
        </w:rPr>
        <w:t>分，其中：</w:t>
      </w:r>
      <w:r>
        <w:rPr>
          <w:rFonts w:hint="eastAsia" w:ascii="宋体" w:hAnsi="宋体"/>
          <w:b/>
          <w:bCs/>
          <w:sz w:val="21"/>
          <w:szCs w:val="21"/>
        </w:rPr>
        <w:t>技术资信分值占总分值的权重为</w:t>
      </w:r>
      <w:r>
        <w:rPr>
          <w:rFonts w:hint="eastAsia" w:ascii="宋体" w:hAnsi="宋体"/>
          <w:b/>
          <w:bCs/>
          <w:sz w:val="21"/>
          <w:szCs w:val="21"/>
          <w:u w:val="single"/>
          <w:lang w:val="en-US" w:eastAsia="zh-CN"/>
        </w:rPr>
        <w:t>85</w:t>
      </w:r>
      <w:r>
        <w:rPr>
          <w:rFonts w:ascii="宋体" w:hAnsi="宋体"/>
          <w:b/>
          <w:bCs/>
          <w:sz w:val="21"/>
          <w:szCs w:val="21"/>
          <w:u w:val="single"/>
        </w:rPr>
        <w:t>%</w:t>
      </w:r>
      <w:r>
        <w:rPr>
          <w:rFonts w:ascii="宋体" w:hAnsi="宋体"/>
          <w:b/>
          <w:bCs/>
          <w:sz w:val="21"/>
          <w:szCs w:val="21"/>
        </w:rPr>
        <w:t>，价格分值占总分值的权重为</w:t>
      </w:r>
      <w:r>
        <w:rPr>
          <w:rFonts w:hint="eastAsia" w:ascii="宋体" w:hAnsi="宋体"/>
          <w:b/>
          <w:bCs/>
          <w:sz w:val="21"/>
          <w:szCs w:val="21"/>
          <w:u w:val="single"/>
          <w:lang w:val="en-US" w:eastAsia="zh-CN"/>
        </w:rPr>
        <w:t>15</w:t>
      </w:r>
      <w:r>
        <w:rPr>
          <w:rFonts w:ascii="宋体" w:hAnsi="宋体"/>
          <w:b/>
          <w:bCs/>
          <w:sz w:val="21"/>
          <w:szCs w:val="21"/>
        </w:rPr>
        <w:t>%</w:t>
      </w:r>
      <w:r>
        <w:rPr>
          <w:rFonts w:ascii="宋体" w:hAnsi="宋体"/>
          <w:sz w:val="21"/>
          <w:szCs w:val="21"/>
        </w:rPr>
        <w:t>。具体评分细则如下：</w:t>
      </w:r>
      <w:bookmarkEnd w:id="892"/>
    </w:p>
    <w:tbl>
      <w:tblPr>
        <w:tblStyle w:val="14"/>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5"/>
        <w:gridCol w:w="1701"/>
        <w:gridCol w:w="4225"/>
        <w:gridCol w:w="2012"/>
      </w:tblGrid>
      <w:tr w14:paraId="73260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Align w:val="center"/>
          </w:tcPr>
          <w:p w14:paraId="4A94D01E">
            <w:pPr>
              <w:snapToGrid w:val="0"/>
              <w:spacing w:line="288" w:lineRule="auto"/>
              <w:jc w:val="center"/>
              <w:rPr>
                <w:b/>
              </w:rPr>
            </w:pPr>
            <w:r>
              <w:rPr>
                <w:rFonts w:hint="eastAsia"/>
                <w:b/>
              </w:rPr>
              <w:t>条款号</w:t>
            </w:r>
          </w:p>
        </w:tc>
        <w:tc>
          <w:tcPr>
            <w:tcW w:w="1701" w:type="dxa"/>
            <w:vAlign w:val="center"/>
          </w:tcPr>
          <w:p w14:paraId="153FE450">
            <w:pPr>
              <w:snapToGrid w:val="0"/>
              <w:spacing w:line="288" w:lineRule="auto"/>
              <w:jc w:val="center"/>
              <w:rPr>
                <w:b/>
              </w:rPr>
            </w:pPr>
            <w:r>
              <w:rPr>
                <w:b/>
              </w:rPr>
              <w:t>条款内容</w:t>
            </w:r>
          </w:p>
        </w:tc>
        <w:tc>
          <w:tcPr>
            <w:tcW w:w="6237" w:type="dxa"/>
            <w:gridSpan w:val="2"/>
            <w:vAlign w:val="center"/>
          </w:tcPr>
          <w:p w14:paraId="2E148ED8">
            <w:pPr>
              <w:widowControl/>
              <w:snapToGrid w:val="0"/>
              <w:spacing w:line="288" w:lineRule="auto"/>
              <w:jc w:val="center"/>
              <w:rPr>
                <w:rFonts w:ascii="宋体" w:hAnsi="宋体"/>
                <w:b/>
                <w:kern w:val="0"/>
                <w:szCs w:val="21"/>
              </w:rPr>
            </w:pPr>
            <w:r>
              <w:rPr>
                <w:b/>
              </w:rPr>
              <w:t>编列内容</w:t>
            </w:r>
          </w:p>
        </w:tc>
      </w:tr>
      <w:tr w14:paraId="0B115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Align w:val="center"/>
          </w:tcPr>
          <w:p w14:paraId="67E3306C">
            <w:pPr>
              <w:widowControl/>
              <w:snapToGrid w:val="0"/>
              <w:spacing w:line="288" w:lineRule="auto"/>
              <w:jc w:val="center"/>
              <w:rPr>
                <w:rFonts w:ascii="宋体" w:hAnsi="宋体"/>
                <w:kern w:val="0"/>
                <w:szCs w:val="21"/>
              </w:rPr>
            </w:pPr>
            <w:r>
              <w:rPr>
                <w:rFonts w:hint="eastAsia" w:ascii="宋体" w:hAnsi="宋体"/>
              </w:rPr>
              <w:t>3.2.1</w:t>
            </w:r>
          </w:p>
        </w:tc>
        <w:tc>
          <w:tcPr>
            <w:tcW w:w="1701" w:type="dxa"/>
            <w:vAlign w:val="center"/>
          </w:tcPr>
          <w:p w14:paraId="78CE3EE9">
            <w:pPr>
              <w:snapToGrid w:val="0"/>
              <w:spacing w:line="288" w:lineRule="auto"/>
              <w:jc w:val="center"/>
              <w:rPr>
                <w:rFonts w:ascii="宋体" w:hAnsi="宋体"/>
              </w:rPr>
            </w:pPr>
            <w:r>
              <w:rPr>
                <w:rFonts w:ascii="宋体" w:hAnsi="宋体"/>
              </w:rPr>
              <w:t>分值构成</w:t>
            </w:r>
          </w:p>
          <w:p w14:paraId="5705C6C5">
            <w:pPr>
              <w:snapToGrid w:val="0"/>
              <w:spacing w:line="288" w:lineRule="auto"/>
              <w:jc w:val="center"/>
              <w:rPr>
                <w:rFonts w:ascii="宋体" w:hAnsi="宋体"/>
              </w:rPr>
            </w:pPr>
            <w:r>
              <w:rPr>
                <w:rFonts w:hint="eastAsia" w:ascii="宋体" w:hAnsi="宋体"/>
              </w:rPr>
              <w:t>（</w:t>
            </w:r>
            <w:r>
              <w:rPr>
                <w:rFonts w:ascii="宋体" w:hAnsi="宋体"/>
              </w:rPr>
              <w:t>总分100分</w:t>
            </w:r>
            <w:r>
              <w:rPr>
                <w:rFonts w:hint="eastAsia" w:ascii="宋体" w:hAnsi="宋体"/>
              </w:rPr>
              <w:t>）</w:t>
            </w:r>
          </w:p>
        </w:tc>
        <w:tc>
          <w:tcPr>
            <w:tcW w:w="6237" w:type="dxa"/>
            <w:gridSpan w:val="2"/>
            <w:vAlign w:val="center"/>
          </w:tcPr>
          <w:p w14:paraId="4034DBDA">
            <w:pPr>
              <w:snapToGrid w:val="0"/>
              <w:spacing w:line="288" w:lineRule="auto"/>
              <w:rPr>
                <w:rFonts w:ascii="宋体" w:hAnsi="宋体"/>
              </w:rPr>
            </w:pPr>
            <w:r>
              <w:rPr>
                <w:rFonts w:hint="eastAsia" w:ascii="宋体" w:hAnsi="宋体"/>
              </w:rPr>
              <w:t>技术资信部分</w:t>
            </w:r>
            <w:r>
              <w:rPr>
                <w:rFonts w:ascii="宋体" w:hAnsi="宋体"/>
              </w:rPr>
              <w:t>：</w:t>
            </w:r>
            <w:r>
              <w:rPr>
                <w:rFonts w:hint="eastAsia" w:ascii="宋体" w:hAnsi="宋体"/>
                <w:u w:val="single"/>
                <w:lang w:val="en-US" w:eastAsia="zh-CN"/>
              </w:rPr>
              <w:t>85</w:t>
            </w:r>
            <w:r>
              <w:rPr>
                <w:rFonts w:ascii="宋体" w:hAnsi="宋体"/>
                <w:u w:val="single"/>
              </w:rPr>
              <w:t>分</w:t>
            </w:r>
          </w:p>
          <w:p w14:paraId="78EAECAA">
            <w:pPr>
              <w:snapToGrid w:val="0"/>
              <w:spacing w:line="288" w:lineRule="auto"/>
              <w:rPr>
                <w:rFonts w:ascii="宋体" w:hAnsi="宋体"/>
                <w:kern w:val="0"/>
                <w:szCs w:val="21"/>
              </w:rPr>
            </w:pPr>
            <w:r>
              <w:rPr>
                <w:rFonts w:ascii="宋体" w:hAnsi="宋体"/>
              </w:rPr>
              <w:t>投标报价：</w:t>
            </w:r>
            <w:r>
              <w:rPr>
                <w:rFonts w:hint="eastAsia" w:ascii="宋体" w:hAnsi="宋体"/>
                <w:u w:val="single"/>
                <w:lang w:val="en-US" w:eastAsia="zh-CN"/>
              </w:rPr>
              <w:t>15</w:t>
            </w:r>
            <w:r>
              <w:rPr>
                <w:rFonts w:hint="eastAsia" w:ascii="宋体" w:hAnsi="宋体"/>
                <w:u w:val="single"/>
              </w:rPr>
              <w:t>分</w:t>
            </w:r>
          </w:p>
        </w:tc>
      </w:tr>
      <w:tr w14:paraId="641A4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585" w:type="dxa"/>
            <w:vAlign w:val="center"/>
          </w:tcPr>
          <w:p w14:paraId="5351B75F">
            <w:pPr>
              <w:widowControl/>
              <w:snapToGrid w:val="0"/>
              <w:spacing w:line="288" w:lineRule="auto"/>
              <w:jc w:val="center"/>
              <w:rPr>
                <w:rFonts w:ascii="宋体" w:hAnsi="宋体"/>
              </w:rPr>
            </w:pPr>
            <w:r>
              <w:rPr>
                <w:rFonts w:hint="eastAsia" w:ascii="宋体" w:hAnsi="宋体"/>
              </w:rPr>
              <w:t>3.2.2</w:t>
            </w:r>
          </w:p>
        </w:tc>
        <w:tc>
          <w:tcPr>
            <w:tcW w:w="1701" w:type="dxa"/>
            <w:vAlign w:val="center"/>
          </w:tcPr>
          <w:p w14:paraId="5F6B7356">
            <w:pPr>
              <w:snapToGrid w:val="0"/>
              <w:spacing w:line="288" w:lineRule="auto"/>
              <w:jc w:val="center"/>
            </w:pPr>
            <w:r>
              <w:rPr>
                <w:rFonts w:hint="eastAsia"/>
              </w:rPr>
              <w:t>评标基准价计算方法</w:t>
            </w:r>
          </w:p>
        </w:tc>
        <w:tc>
          <w:tcPr>
            <w:tcW w:w="6237" w:type="dxa"/>
            <w:gridSpan w:val="2"/>
            <w:vAlign w:val="center"/>
          </w:tcPr>
          <w:p w14:paraId="15BE8DF7">
            <w:pPr>
              <w:snapToGrid w:val="0"/>
              <w:spacing w:line="288" w:lineRule="auto"/>
            </w:pPr>
            <w:r>
              <w:rPr>
                <w:rFonts w:hint="eastAsia" w:ascii="宋体" w:hAnsi="宋体" w:cs="仿宋_GB2312"/>
                <w:szCs w:val="21"/>
                <w:lang w:val="zh-CN"/>
              </w:rPr>
              <w:t>1）投标报价不得超过采购预算（最高限价），</w:t>
            </w:r>
            <w:r>
              <w:rPr>
                <w:rFonts w:hint="eastAsia" w:ascii="宋体" w:hAnsi="宋体"/>
                <w:szCs w:val="21"/>
              </w:rPr>
              <w:t>只能有一个有效报价，不得提交选择性报价（按招标文件规定提交备选投标方案的除外）；</w:t>
            </w:r>
          </w:p>
          <w:p w14:paraId="208573EF">
            <w:pPr>
              <w:snapToGrid w:val="0"/>
              <w:spacing w:line="288" w:lineRule="auto"/>
              <w:ind w:left="-38"/>
              <w:rPr>
                <w:rFonts w:ascii="宋体" w:hAnsi="宋体"/>
                <w:szCs w:val="21"/>
              </w:rPr>
            </w:pPr>
            <w:r>
              <w:rPr>
                <w:rFonts w:hint="eastAsia"/>
              </w:rPr>
              <w:t>2）有效的投标报价中的最低价作为评标基准价</w:t>
            </w:r>
          </w:p>
        </w:tc>
      </w:tr>
      <w:tr w14:paraId="727C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Align w:val="center"/>
          </w:tcPr>
          <w:p w14:paraId="097B9D75">
            <w:pPr>
              <w:snapToGrid w:val="0"/>
              <w:spacing w:line="288" w:lineRule="auto"/>
              <w:jc w:val="center"/>
              <w:rPr>
                <w:b/>
              </w:rPr>
            </w:pPr>
            <w:r>
              <w:rPr>
                <w:rFonts w:hint="eastAsia"/>
                <w:b/>
              </w:rPr>
              <w:t>类别</w:t>
            </w:r>
          </w:p>
        </w:tc>
        <w:tc>
          <w:tcPr>
            <w:tcW w:w="1701" w:type="dxa"/>
            <w:vAlign w:val="center"/>
          </w:tcPr>
          <w:p w14:paraId="4A937943">
            <w:pPr>
              <w:snapToGrid w:val="0"/>
              <w:spacing w:line="288" w:lineRule="auto"/>
              <w:jc w:val="center"/>
              <w:rPr>
                <w:b/>
              </w:rPr>
            </w:pPr>
            <w:r>
              <w:rPr>
                <w:rFonts w:hint="eastAsia"/>
                <w:b/>
              </w:rPr>
              <w:t>评分因素</w:t>
            </w:r>
          </w:p>
        </w:tc>
        <w:tc>
          <w:tcPr>
            <w:tcW w:w="6237" w:type="dxa"/>
            <w:gridSpan w:val="2"/>
            <w:vAlign w:val="center"/>
          </w:tcPr>
          <w:p w14:paraId="5C899A75">
            <w:pPr>
              <w:widowControl/>
              <w:snapToGrid w:val="0"/>
              <w:spacing w:line="288" w:lineRule="auto"/>
              <w:jc w:val="center"/>
              <w:rPr>
                <w:rFonts w:ascii="宋体" w:hAnsi="宋体"/>
                <w:b/>
                <w:kern w:val="0"/>
                <w:szCs w:val="21"/>
              </w:rPr>
            </w:pPr>
            <w:r>
              <w:rPr>
                <w:rFonts w:hint="eastAsia"/>
                <w:b/>
              </w:rPr>
              <w:t>评分标准</w:t>
            </w:r>
          </w:p>
        </w:tc>
      </w:tr>
      <w:tr w14:paraId="468B8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restart"/>
            <w:vAlign w:val="center"/>
          </w:tcPr>
          <w:p w14:paraId="4B1130D9">
            <w:pPr>
              <w:spacing w:line="360" w:lineRule="auto"/>
              <w:jc w:val="center"/>
              <w:rPr>
                <w:rFonts w:ascii="宋体" w:hAnsi="宋体"/>
                <w:szCs w:val="21"/>
              </w:rPr>
            </w:pPr>
            <w:r>
              <w:rPr>
                <w:rFonts w:hint="eastAsia" w:ascii="宋体" w:hAnsi="宋体"/>
                <w:szCs w:val="21"/>
              </w:rPr>
              <w:t>技术资信分</w:t>
            </w:r>
          </w:p>
          <w:p w14:paraId="52549B81">
            <w:pPr>
              <w:widowControl/>
              <w:snapToGrid w:val="0"/>
              <w:spacing w:line="288" w:lineRule="auto"/>
              <w:jc w:val="center"/>
              <w:rPr>
                <w:rFonts w:ascii="宋体" w:hAnsi="宋体"/>
                <w:kern w:val="0"/>
                <w:szCs w:val="21"/>
              </w:rPr>
            </w:pPr>
            <w:r>
              <w:rPr>
                <w:rFonts w:hint="eastAsia" w:ascii="宋体" w:hAnsi="宋体"/>
                <w:szCs w:val="21"/>
              </w:rPr>
              <w:t>（</w:t>
            </w:r>
            <w:r>
              <w:rPr>
                <w:rFonts w:hint="eastAsia" w:ascii="宋体" w:hAnsi="宋体"/>
                <w:szCs w:val="21"/>
                <w:u w:val="single"/>
                <w:lang w:val="en-US" w:eastAsia="zh-CN"/>
              </w:rPr>
              <w:t>85</w:t>
            </w:r>
            <w:r>
              <w:rPr>
                <w:rFonts w:hint="eastAsia" w:ascii="宋体" w:hAnsi="宋体"/>
                <w:szCs w:val="21"/>
              </w:rPr>
              <w:t>分）</w:t>
            </w:r>
          </w:p>
        </w:tc>
        <w:tc>
          <w:tcPr>
            <w:tcW w:w="1701" w:type="dxa"/>
            <w:vAlign w:val="center"/>
          </w:tcPr>
          <w:p w14:paraId="1ED7126A">
            <w:pPr>
              <w:widowControl/>
              <w:snapToGrid w:val="0"/>
              <w:spacing w:line="288" w:lineRule="auto"/>
              <w:rPr>
                <w:rFonts w:ascii="宋体" w:hAnsi="宋体"/>
                <w:szCs w:val="21"/>
              </w:rPr>
            </w:pPr>
            <w:r>
              <w:rPr>
                <w:rFonts w:hint="eastAsia" w:ascii="宋体" w:hAnsi="宋体"/>
                <w:kern w:val="0"/>
                <w:szCs w:val="21"/>
              </w:rPr>
              <w:t>样品</w:t>
            </w:r>
            <w:r>
              <w:rPr>
                <w:rFonts w:hint="eastAsia" w:ascii="宋体" w:hAnsi="宋体"/>
                <w:szCs w:val="21"/>
              </w:rPr>
              <w:t>（5分）</w:t>
            </w:r>
          </w:p>
        </w:tc>
        <w:tc>
          <w:tcPr>
            <w:tcW w:w="6237" w:type="dxa"/>
            <w:gridSpan w:val="2"/>
            <w:vAlign w:val="center"/>
          </w:tcPr>
          <w:p w14:paraId="1248E2A5">
            <w:pPr>
              <w:widowControl/>
              <w:snapToGrid w:val="0"/>
              <w:jc w:val="left"/>
              <w:rPr>
                <w:rFonts w:ascii="宋体" w:hAnsi="宋体"/>
                <w:kern w:val="0"/>
                <w:szCs w:val="21"/>
              </w:rPr>
            </w:pPr>
            <w:r>
              <w:rPr>
                <w:rFonts w:hint="eastAsia" w:ascii="宋体" w:hAnsi="宋体"/>
                <w:kern w:val="0"/>
                <w:szCs w:val="21"/>
              </w:rPr>
              <w:t>评标委员会根据投标人现场提供的样品或产品彩页，对投标产品或样品质量进行综合评分：</w:t>
            </w:r>
          </w:p>
          <w:p w14:paraId="1B7B931D">
            <w:pPr>
              <w:widowControl/>
              <w:snapToGrid w:val="0"/>
              <w:jc w:val="left"/>
              <w:rPr>
                <w:rFonts w:ascii="宋体" w:hAnsi="宋体"/>
                <w:kern w:val="0"/>
                <w:szCs w:val="21"/>
              </w:rPr>
            </w:pPr>
            <w:r>
              <w:rPr>
                <w:rFonts w:hint="eastAsia" w:ascii="宋体" w:hAnsi="宋体"/>
                <w:kern w:val="0"/>
                <w:szCs w:val="21"/>
              </w:rPr>
              <w:t>1、外观、材质、制作工艺等方面均满足需求，得5分；</w:t>
            </w:r>
          </w:p>
          <w:p w14:paraId="1CBB0A7A">
            <w:pPr>
              <w:widowControl/>
              <w:snapToGrid w:val="0"/>
              <w:jc w:val="left"/>
              <w:rPr>
                <w:rFonts w:ascii="宋体" w:hAnsi="宋体"/>
                <w:kern w:val="0"/>
                <w:szCs w:val="21"/>
              </w:rPr>
            </w:pPr>
            <w:r>
              <w:rPr>
                <w:rFonts w:hint="eastAsia" w:ascii="宋体" w:hAnsi="宋体"/>
                <w:kern w:val="0"/>
                <w:szCs w:val="21"/>
              </w:rPr>
              <w:t>2、外观、材质、制作工艺等方面基本满足需求，有少量瑕疵，得3分；</w:t>
            </w:r>
          </w:p>
          <w:p w14:paraId="377FC609">
            <w:pPr>
              <w:widowControl/>
              <w:snapToGrid w:val="0"/>
              <w:jc w:val="left"/>
              <w:rPr>
                <w:rFonts w:ascii="宋体" w:hAnsi="宋体"/>
                <w:kern w:val="0"/>
                <w:szCs w:val="21"/>
              </w:rPr>
            </w:pPr>
            <w:r>
              <w:rPr>
                <w:rFonts w:hint="eastAsia" w:ascii="宋体" w:hAnsi="宋体"/>
                <w:kern w:val="0"/>
                <w:szCs w:val="21"/>
              </w:rPr>
              <w:t>3、外观、材质、制作工艺等方面存在明显瑕疵，但仍可使用，得1分；</w:t>
            </w:r>
          </w:p>
          <w:p w14:paraId="79CAEDFA">
            <w:pPr>
              <w:widowControl/>
              <w:snapToGrid w:val="0"/>
              <w:jc w:val="left"/>
              <w:rPr>
                <w:rFonts w:ascii="宋体" w:hAnsi="宋体"/>
                <w:kern w:val="0"/>
                <w:szCs w:val="21"/>
              </w:rPr>
            </w:pPr>
            <w:r>
              <w:rPr>
                <w:rFonts w:hint="eastAsia" w:ascii="宋体" w:hAnsi="宋体"/>
                <w:kern w:val="0"/>
                <w:szCs w:val="21"/>
              </w:rPr>
              <w:t>4、外观、材质、制作工艺等方面不满足需求，得0分。</w:t>
            </w:r>
          </w:p>
        </w:tc>
      </w:tr>
      <w:tr w14:paraId="6F0FB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64B88B9D">
            <w:pPr>
              <w:widowControl/>
              <w:snapToGrid w:val="0"/>
              <w:spacing w:line="288" w:lineRule="auto"/>
              <w:jc w:val="center"/>
              <w:rPr>
                <w:rFonts w:ascii="宋体" w:hAnsi="宋体"/>
                <w:szCs w:val="21"/>
              </w:rPr>
            </w:pPr>
          </w:p>
        </w:tc>
        <w:tc>
          <w:tcPr>
            <w:tcW w:w="1701" w:type="dxa"/>
            <w:vAlign w:val="center"/>
          </w:tcPr>
          <w:p w14:paraId="3B844830">
            <w:pPr>
              <w:widowControl/>
              <w:snapToGrid w:val="0"/>
              <w:rPr>
                <w:rFonts w:ascii="宋体" w:hAnsi="宋体"/>
                <w:szCs w:val="21"/>
              </w:rPr>
            </w:pPr>
            <w:r>
              <w:rPr>
                <w:rFonts w:hint="eastAsia" w:ascii="宋体" w:hAnsi="宋体"/>
                <w:szCs w:val="21"/>
              </w:rPr>
              <w:t>配送产品技术规范情况（5分）</w:t>
            </w:r>
          </w:p>
        </w:tc>
        <w:tc>
          <w:tcPr>
            <w:tcW w:w="6237" w:type="dxa"/>
            <w:gridSpan w:val="2"/>
            <w:vAlign w:val="center"/>
          </w:tcPr>
          <w:p w14:paraId="0E1C8807">
            <w:pPr>
              <w:widowControl/>
              <w:snapToGrid w:val="0"/>
              <w:jc w:val="left"/>
              <w:rPr>
                <w:rFonts w:ascii="宋体" w:hAnsi="宋体"/>
                <w:kern w:val="0"/>
                <w:szCs w:val="21"/>
              </w:rPr>
            </w:pPr>
            <w:r>
              <w:rPr>
                <w:rFonts w:hint="eastAsia" w:ascii="宋体" w:hAnsi="宋体"/>
                <w:kern w:val="0"/>
                <w:szCs w:val="21"/>
              </w:rPr>
              <w:t>由评标委员会根据所配送产品的技术规范进行综合评分：</w:t>
            </w:r>
          </w:p>
          <w:p w14:paraId="149BC3AC">
            <w:pPr>
              <w:widowControl/>
              <w:snapToGrid w:val="0"/>
              <w:jc w:val="left"/>
              <w:rPr>
                <w:rFonts w:ascii="宋体" w:hAnsi="宋体"/>
                <w:kern w:val="0"/>
                <w:szCs w:val="21"/>
              </w:rPr>
            </w:pPr>
            <w:r>
              <w:rPr>
                <w:rFonts w:hint="eastAsia" w:ascii="宋体" w:hAnsi="宋体"/>
                <w:kern w:val="0"/>
                <w:szCs w:val="21"/>
              </w:rPr>
              <w:t>1、所配送产品稳定可靠，技术规范要求较高，得5分；</w:t>
            </w:r>
          </w:p>
          <w:p w14:paraId="06B81335">
            <w:pPr>
              <w:widowControl/>
              <w:snapToGrid w:val="0"/>
              <w:jc w:val="left"/>
              <w:rPr>
                <w:rFonts w:ascii="宋体" w:hAnsi="宋体"/>
                <w:kern w:val="0"/>
                <w:szCs w:val="21"/>
              </w:rPr>
            </w:pPr>
            <w:r>
              <w:rPr>
                <w:rFonts w:hint="eastAsia" w:ascii="宋体" w:hAnsi="宋体"/>
                <w:kern w:val="0"/>
                <w:szCs w:val="21"/>
              </w:rPr>
              <w:t>2、所配送产品较稳定可靠，技术规范基本满足项目实际需要，得3分；</w:t>
            </w:r>
          </w:p>
          <w:p w14:paraId="5919F880">
            <w:pPr>
              <w:widowControl/>
              <w:snapToGrid w:val="0"/>
              <w:jc w:val="left"/>
              <w:rPr>
                <w:rFonts w:ascii="宋体" w:hAnsi="宋体"/>
                <w:kern w:val="0"/>
                <w:szCs w:val="21"/>
              </w:rPr>
            </w:pPr>
            <w:r>
              <w:rPr>
                <w:rFonts w:hint="eastAsia" w:ascii="宋体" w:hAnsi="宋体"/>
                <w:kern w:val="0"/>
                <w:szCs w:val="21"/>
              </w:rPr>
              <w:t>3、所配送产品性能有待提高的，得1分；</w:t>
            </w:r>
          </w:p>
          <w:p w14:paraId="01B1D8B6">
            <w:pPr>
              <w:widowControl/>
              <w:snapToGrid w:val="0"/>
              <w:jc w:val="left"/>
              <w:rPr>
                <w:rFonts w:ascii="宋体" w:hAnsi="宋体"/>
                <w:kern w:val="0"/>
                <w:szCs w:val="21"/>
              </w:rPr>
            </w:pPr>
            <w:r>
              <w:rPr>
                <w:rFonts w:hint="eastAsia" w:ascii="宋体" w:hAnsi="宋体"/>
                <w:kern w:val="0"/>
                <w:szCs w:val="21"/>
              </w:rPr>
              <w:t>注：投标文件中提供相关证明材料（证明材料无固定形式，如用户评价、产品技术指标、技术资料说明书、检测报告、执行标准等），未提供材料的不得分。</w:t>
            </w:r>
          </w:p>
        </w:tc>
      </w:tr>
      <w:tr w14:paraId="08082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2D4B72C6">
            <w:pPr>
              <w:widowControl/>
              <w:snapToGrid w:val="0"/>
              <w:spacing w:line="288" w:lineRule="auto"/>
              <w:jc w:val="center"/>
              <w:rPr>
                <w:rFonts w:ascii="宋体" w:hAnsi="宋体"/>
                <w:kern w:val="0"/>
                <w:szCs w:val="21"/>
              </w:rPr>
            </w:pPr>
          </w:p>
        </w:tc>
        <w:tc>
          <w:tcPr>
            <w:tcW w:w="1701" w:type="dxa"/>
            <w:vAlign w:val="center"/>
          </w:tcPr>
          <w:p w14:paraId="6A4A529A">
            <w:pPr>
              <w:widowControl/>
              <w:snapToGrid w:val="0"/>
              <w:spacing w:line="288" w:lineRule="auto"/>
              <w:rPr>
                <w:rFonts w:ascii="宋体" w:hAnsi="宋体"/>
                <w:szCs w:val="21"/>
              </w:rPr>
            </w:pPr>
            <w:r>
              <w:rPr>
                <w:rFonts w:hint="eastAsia" w:ascii="宋体" w:hAnsi="宋体"/>
                <w:szCs w:val="21"/>
              </w:rPr>
              <w:t>配送保障服务方案（5分）</w:t>
            </w:r>
          </w:p>
        </w:tc>
        <w:tc>
          <w:tcPr>
            <w:tcW w:w="6237" w:type="dxa"/>
            <w:gridSpan w:val="2"/>
            <w:vAlign w:val="center"/>
          </w:tcPr>
          <w:p w14:paraId="16241ECD">
            <w:pPr>
              <w:widowControl/>
              <w:snapToGrid w:val="0"/>
              <w:spacing w:line="288" w:lineRule="auto"/>
              <w:rPr>
                <w:rFonts w:ascii="宋体" w:hAnsi="宋体"/>
                <w:szCs w:val="21"/>
              </w:rPr>
            </w:pPr>
            <w:r>
              <w:rPr>
                <w:rFonts w:hint="eastAsia" w:ascii="宋体" w:hAnsi="宋体"/>
                <w:szCs w:val="21"/>
              </w:rPr>
              <w:t>由评标委员会根据投标人提供的配送保障服务方案进行综合评分：</w:t>
            </w:r>
          </w:p>
          <w:p w14:paraId="452D6D33">
            <w:pPr>
              <w:widowControl/>
              <w:snapToGrid w:val="0"/>
              <w:spacing w:line="288" w:lineRule="auto"/>
              <w:rPr>
                <w:rFonts w:ascii="宋体" w:hAnsi="宋体"/>
                <w:szCs w:val="21"/>
              </w:rPr>
            </w:pPr>
            <w:r>
              <w:rPr>
                <w:rFonts w:hint="eastAsia" w:ascii="宋体" w:hAnsi="宋体"/>
                <w:szCs w:val="21"/>
              </w:rPr>
              <w:t>1</w:t>
            </w:r>
            <w:r>
              <w:rPr>
                <w:rFonts w:hint="eastAsia" w:ascii="宋体" w:hAnsi="宋体"/>
                <w:kern w:val="0"/>
                <w:szCs w:val="21"/>
              </w:rPr>
              <w:t>、</w:t>
            </w:r>
            <w:r>
              <w:rPr>
                <w:rFonts w:hint="eastAsia" w:ascii="宋体" w:hAnsi="宋体"/>
                <w:szCs w:val="21"/>
              </w:rPr>
              <w:t>方案具有计划性、针对性、实用性，内容完整详实，表述清晰，优于项目需求的，得5分；</w:t>
            </w:r>
          </w:p>
          <w:p w14:paraId="292AC2EB">
            <w:pPr>
              <w:widowControl/>
              <w:snapToGrid w:val="0"/>
              <w:spacing w:line="288" w:lineRule="auto"/>
              <w:rPr>
                <w:rFonts w:ascii="宋体" w:hAnsi="宋体"/>
                <w:szCs w:val="21"/>
              </w:rPr>
            </w:pPr>
            <w:r>
              <w:rPr>
                <w:rFonts w:hint="eastAsia" w:ascii="宋体" w:hAnsi="宋体"/>
                <w:szCs w:val="21"/>
              </w:rPr>
              <w:t>2</w:t>
            </w:r>
            <w:r>
              <w:rPr>
                <w:rFonts w:hint="eastAsia" w:ascii="宋体" w:hAnsi="宋体"/>
                <w:kern w:val="0"/>
                <w:szCs w:val="21"/>
              </w:rPr>
              <w:t>、</w:t>
            </w:r>
            <w:r>
              <w:rPr>
                <w:rFonts w:hint="eastAsia" w:ascii="宋体" w:hAnsi="宋体"/>
                <w:szCs w:val="21"/>
              </w:rPr>
              <w:t>方案具有一定的可行性、准确性、实用性，满足项目需求的，得3分；</w:t>
            </w:r>
          </w:p>
          <w:p w14:paraId="6945A74E">
            <w:pPr>
              <w:widowControl/>
              <w:snapToGrid w:val="0"/>
              <w:spacing w:line="288" w:lineRule="auto"/>
              <w:rPr>
                <w:rFonts w:ascii="宋体" w:hAnsi="宋体"/>
                <w:szCs w:val="21"/>
              </w:rPr>
            </w:pPr>
            <w:r>
              <w:rPr>
                <w:rFonts w:hint="eastAsia" w:ascii="宋体" w:hAnsi="宋体"/>
                <w:szCs w:val="21"/>
              </w:rPr>
              <w:t>3</w:t>
            </w:r>
            <w:r>
              <w:rPr>
                <w:rFonts w:hint="eastAsia" w:ascii="宋体" w:hAnsi="宋体"/>
                <w:kern w:val="0"/>
                <w:szCs w:val="21"/>
              </w:rPr>
              <w:t>、</w:t>
            </w:r>
            <w:r>
              <w:rPr>
                <w:rFonts w:hint="eastAsia" w:ascii="宋体" w:hAnsi="宋体"/>
                <w:szCs w:val="21"/>
              </w:rPr>
              <w:t>方案内容有一定偏离项目实际需要的，内容明显缺失的，得1分；</w:t>
            </w:r>
          </w:p>
          <w:p w14:paraId="393AEFBC">
            <w:pPr>
              <w:widowControl/>
              <w:snapToGrid w:val="0"/>
              <w:spacing w:line="288" w:lineRule="auto"/>
              <w:rPr>
                <w:rFonts w:ascii="宋体" w:hAnsi="宋体"/>
                <w:kern w:val="0"/>
                <w:szCs w:val="21"/>
              </w:rPr>
            </w:pPr>
            <w:r>
              <w:rPr>
                <w:rFonts w:hint="eastAsia" w:ascii="宋体" w:hAnsi="宋体"/>
                <w:szCs w:val="21"/>
              </w:rPr>
              <w:t>4</w:t>
            </w:r>
            <w:r>
              <w:rPr>
                <w:rFonts w:hint="eastAsia" w:ascii="宋体" w:hAnsi="宋体"/>
                <w:kern w:val="0"/>
                <w:szCs w:val="21"/>
              </w:rPr>
              <w:t>、</w:t>
            </w:r>
            <w:r>
              <w:rPr>
                <w:rFonts w:hint="eastAsia" w:ascii="宋体" w:hAnsi="宋体"/>
                <w:szCs w:val="21"/>
              </w:rPr>
              <w:t>未提供的不得分。</w:t>
            </w:r>
          </w:p>
        </w:tc>
      </w:tr>
      <w:tr w14:paraId="3365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5B7BFAFE">
            <w:pPr>
              <w:widowControl/>
              <w:snapToGrid w:val="0"/>
              <w:spacing w:line="288" w:lineRule="auto"/>
              <w:jc w:val="center"/>
              <w:rPr>
                <w:rFonts w:ascii="宋体" w:hAnsi="宋体"/>
                <w:kern w:val="0"/>
                <w:szCs w:val="21"/>
              </w:rPr>
            </w:pPr>
          </w:p>
        </w:tc>
        <w:tc>
          <w:tcPr>
            <w:tcW w:w="1701" w:type="dxa"/>
            <w:vAlign w:val="center"/>
          </w:tcPr>
          <w:p w14:paraId="6F2D4430">
            <w:pPr>
              <w:widowControl/>
              <w:snapToGrid w:val="0"/>
              <w:spacing w:line="288" w:lineRule="auto"/>
              <w:rPr>
                <w:rFonts w:ascii="宋体" w:hAnsi="宋体"/>
                <w:szCs w:val="21"/>
              </w:rPr>
            </w:pPr>
            <w:r>
              <w:rPr>
                <w:rFonts w:hint="eastAsia" w:ascii="宋体" w:hAnsi="宋体"/>
                <w:szCs w:val="21"/>
              </w:rPr>
              <w:t>应急措施方案（5分）</w:t>
            </w:r>
          </w:p>
        </w:tc>
        <w:tc>
          <w:tcPr>
            <w:tcW w:w="6237" w:type="dxa"/>
            <w:gridSpan w:val="2"/>
            <w:vAlign w:val="center"/>
          </w:tcPr>
          <w:p w14:paraId="4045F373">
            <w:pPr>
              <w:widowControl/>
              <w:snapToGrid w:val="0"/>
              <w:spacing w:line="288" w:lineRule="auto"/>
              <w:rPr>
                <w:rFonts w:ascii="宋体" w:hAnsi="宋体"/>
                <w:szCs w:val="21"/>
              </w:rPr>
            </w:pPr>
            <w:r>
              <w:rPr>
                <w:rFonts w:hint="eastAsia" w:ascii="宋体" w:hAnsi="宋体"/>
                <w:szCs w:val="21"/>
              </w:rPr>
              <w:t>由评标委员会根据投标人提供的应急措施方案进行综合评分：</w:t>
            </w:r>
          </w:p>
          <w:p w14:paraId="23459B4A">
            <w:pPr>
              <w:widowControl/>
              <w:snapToGrid w:val="0"/>
              <w:spacing w:line="288" w:lineRule="auto"/>
              <w:rPr>
                <w:rFonts w:ascii="宋体" w:hAnsi="宋体"/>
                <w:szCs w:val="21"/>
              </w:rPr>
            </w:pPr>
            <w:r>
              <w:rPr>
                <w:rFonts w:hint="eastAsia" w:ascii="宋体" w:hAnsi="宋体"/>
                <w:szCs w:val="21"/>
              </w:rPr>
              <w:t>1</w:t>
            </w:r>
            <w:r>
              <w:rPr>
                <w:rFonts w:hint="eastAsia" w:ascii="宋体" w:hAnsi="宋体"/>
                <w:kern w:val="0"/>
                <w:szCs w:val="21"/>
              </w:rPr>
              <w:t>、</w:t>
            </w:r>
            <w:r>
              <w:rPr>
                <w:rFonts w:hint="eastAsia" w:ascii="宋体" w:hAnsi="宋体"/>
                <w:szCs w:val="21"/>
              </w:rPr>
              <w:t>措施针对性强，具有实用性的，得5分；</w:t>
            </w:r>
          </w:p>
          <w:p w14:paraId="49A7EDDE">
            <w:pPr>
              <w:widowControl/>
              <w:snapToGrid w:val="0"/>
              <w:spacing w:line="288" w:lineRule="auto"/>
              <w:rPr>
                <w:rFonts w:ascii="宋体" w:hAnsi="宋体"/>
                <w:szCs w:val="21"/>
              </w:rPr>
            </w:pPr>
            <w:r>
              <w:rPr>
                <w:rFonts w:hint="eastAsia" w:ascii="宋体" w:hAnsi="宋体"/>
                <w:szCs w:val="21"/>
              </w:rPr>
              <w:t>2</w:t>
            </w:r>
            <w:r>
              <w:rPr>
                <w:rFonts w:hint="eastAsia" w:ascii="宋体" w:hAnsi="宋体"/>
                <w:kern w:val="0"/>
                <w:szCs w:val="21"/>
              </w:rPr>
              <w:t>、</w:t>
            </w:r>
            <w:r>
              <w:rPr>
                <w:rFonts w:hint="eastAsia" w:ascii="宋体" w:hAnsi="宋体"/>
                <w:szCs w:val="21"/>
              </w:rPr>
              <w:t>措施针对性不强，具有一定的实用性的，得3分；</w:t>
            </w:r>
          </w:p>
          <w:p w14:paraId="1E690889">
            <w:pPr>
              <w:widowControl/>
              <w:snapToGrid w:val="0"/>
              <w:spacing w:line="288" w:lineRule="auto"/>
              <w:rPr>
                <w:rFonts w:ascii="宋体" w:hAnsi="宋体"/>
                <w:szCs w:val="21"/>
              </w:rPr>
            </w:pPr>
            <w:r>
              <w:rPr>
                <w:rFonts w:hint="eastAsia" w:ascii="宋体" w:hAnsi="宋体"/>
                <w:szCs w:val="21"/>
              </w:rPr>
              <w:t>3</w:t>
            </w:r>
            <w:r>
              <w:rPr>
                <w:rFonts w:hint="eastAsia" w:ascii="宋体" w:hAnsi="宋体"/>
                <w:kern w:val="0"/>
                <w:szCs w:val="21"/>
              </w:rPr>
              <w:t>、</w:t>
            </w:r>
            <w:r>
              <w:rPr>
                <w:rFonts w:hint="eastAsia" w:ascii="宋体" w:hAnsi="宋体"/>
                <w:szCs w:val="21"/>
              </w:rPr>
              <w:t>措施基本可行，措施有待完善的，得1分；</w:t>
            </w:r>
          </w:p>
          <w:p w14:paraId="0956347C">
            <w:pPr>
              <w:widowControl/>
              <w:snapToGrid w:val="0"/>
              <w:spacing w:line="288" w:lineRule="auto"/>
              <w:rPr>
                <w:rFonts w:ascii="宋体" w:hAnsi="宋体"/>
                <w:szCs w:val="21"/>
              </w:rPr>
            </w:pPr>
            <w:r>
              <w:rPr>
                <w:rFonts w:hint="eastAsia" w:ascii="宋体" w:hAnsi="宋体"/>
                <w:szCs w:val="21"/>
              </w:rPr>
              <w:t>4</w:t>
            </w:r>
            <w:r>
              <w:rPr>
                <w:rFonts w:hint="eastAsia" w:ascii="宋体" w:hAnsi="宋体"/>
                <w:kern w:val="0"/>
                <w:szCs w:val="21"/>
              </w:rPr>
              <w:t>、</w:t>
            </w:r>
            <w:r>
              <w:rPr>
                <w:rFonts w:hint="eastAsia" w:ascii="宋体" w:hAnsi="宋体"/>
                <w:szCs w:val="21"/>
              </w:rPr>
              <w:t>未提供的不得分。</w:t>
            </w:r>
          </w:p>
        </w:tc>
      </w:tr>
      <w:tr w14:paraId="49339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4EDF6CB8">
            <w:pPr>
              <w:widowControl/>
              <w:snapToGrid w:val="0"/>
              <w:spacing w:line="288" w:lineRule="auto"/>
              <w:jc w:val="center"/>
              <w:rPr>
                <w:rFonts w:ascii="宋体" w:hAnsi="宋体"/>
                <w:kern w:val="0"/>
                <w:szCs w:val="21"/>
              </w:rPr>
            </w:pPr>
          </w:p>
        </w:tc>
        <w:tc>
          <w:tcPr>
            <w:tcW w:w="1701" w:type="dxa"/>
            <w:vAlign w:val="center"/>
          </w:tcPr>
          <w:p w14:paraId="2CBF0B64">
            <w:pPr>
              <w:widowControl/>
              <w:snapToGrid w:val="0"/>
              <w:spacing w:line="288" w:lineRule="auto"/>
              <w:rPr>
                <w:rFonts w:ascii="宋体" w:hAnsi="宋体"/>
                <w:szCs w:val="21"/>
              </w:rPr>
            </w:pPr>
            <w:r>
              <w:rPr>
                <w:rFonts w:hint="eastAsia" w:ascii="宋体" w:hAnsi="宋体"/>
                <w:szCs w:val="21"/>
              </w:rPr>
              <w:t>所配送产品综合评价（5分）</w:t>
            </w:r>
          </w:p>
        </w:tc>
        <w:tc>
          <w:tcPr>
            <w:tcW w:w="6237" w:type="dxa"/>
            <w:gridSpan w:val="2"/>
            <w:vAlign w:val="center"/>
          </w:tcPr>
          <w:p w14:paraId="0A73E73E">
            <w:pPr>
              <w:widowControl/>
              <w:snapToGrid w:val="0"/>
              <w:spacing w:line="288" w:lineRule="auto"/>
              <w:rPr>
                <w:rFonts w:ascii="宋体" w:hAnsi="宋体"/>
                <w:szCs w:val="21"/>
              </w:rPr>
            </w:pPr>
            <w:r>
              <w:rPr>
                <w:rFonts w:hint="eastAsia" w:ascii="宋体" w:hAnsi="宋体"/>
                <w:szCs w:val="21"/>
              </w:rPr>
              <w:t>投标人对所配送产品安全性性价比进行阐述，评标委员会进行综合评审：</w:t>
            </w:r>
          </w:p>
          <w:p w14:paraId="4073955D">
            <w:pPr>
              <w:widowControl/>
              <w:snapToGrid w:val="0"/>
              <w:spacing w:line="288" w:lineRule="auto"/>
              <w:rPr>
                <w:rFonts w:ascii="宋体" w:hAnsi="宋体"/>
                <w:szCs w:val="21"/>
              </w:rPr>
            </w:pPr>
            <w:r>
              <w:rPr>
                <w:rFonts w:hint="eastAsia" w:ascii="宋体" w:hAnsi="宋体"/>
                <w:szCs w:val="21"/>
              </w:rPr>
              <w:t>1、所配送产品安全性可靠、供应链稳定、生产工艺精细先进、耐久性及使用便利性强，有利于项目实施的，得5分；</w:t>
            </w:r>
          </w:p>
          <w:p w14:paraId="353C9CCD">
            <w:pPr>
              <w:widowControl/>
              <w:snapToGrid w:val="0"/>
              <w:spacing w:line="288" w:lineRule="auto"/>
              <w:rPr>
                <w:rFonts w:ascii="宋体" w:hAnsi="宋体"/>
                <w:szCs w:val="21"/>
              </w:rPr>
            </w:pPr>
            <w:r>
              <w:rPr>
                <w:rFonts w:hint="eastAsia" w:ascii="宋体" w:hAnsi="宋体"/>
                <w:szCs w:val="21"/>
              </w:rPr>
              <w:t>2、所配送产品安全性稳定、供应链较完善，生产工艺较为稳定，基本满足项目需求的，得3分；</w:t>
            </w:r>
          </w:p>
          <w:p w14:paraId="1BFC3C78">
            <w:pPr>
              <w:widowControl/>
              <w:snapToGrid w:val="0"/>
              <w:spacing w:line="288" w:lineRule="auto"/>
              <w:rPr>
                <w:rFonts w:ascii="宋体" w:hAnsi="宋体"/>
                <w:szCs w:val="21"/>
              </w:rPr>
            </w:pPr>
            <w:r>
              <w:rPr>
                <w:rFonts w:hint="eastAsia" w:ascii="宋体" w:hAnsi="宋体"/>
                <w:szCs w:val="21"/>
              </w:rPr>
              <w:t>3、所配送产品安全性有待提升、生产工艺粗糙，与项目需求有偏差的，得1分。</w:t>
            </w:r>
          </w:p>
          <w:p w14:paraId="0D77D6C6">
            <w:pPr>
              <w:widowControl/>
              <w:snapToGrid w:val="0"/>
              <w:spacing w:line="288" w:lineRule="auto"/>
              <w:rPr>
                <w:rFonts w:ascii="宋体" w:hAnsi="宋体"/>
                <w:szCs w:val="21"/>
              </w:rPr>
            </w:pPr>
            <w:r>
              <w:rPr>
                <w:rFonts w:hint="eastAsia" w:ascii="宋体" w:hAnsi="宋体"/>
                <w:szCs w:val="21"/>
              </w:rPr>
              <w:t>4、未提供的不得分。</w:t>
            </w:r>
          </w:p>
          <w:p w14:paraId="1822626E">
            <w:pPr>
              <w:widowControl/>
              <w:snapToGrid w:val="0"/>
              <w:spacing w:line="288" w:lineRule="auto"/>
              <w:rPr>
                <w:rFonts w:ascii="宋体" w:hAnsi="宋体"/>
                <w:szCs w:val="21"/>
              </w:rPr>
            </w:pPr>
            <w:r>
              <w:rPr>
                <w:rFonts w:hint="eastAsia" w:ascii="宋体" w:hAnsi="宋体"/>
                <w:szCs w:val="21"/>
              </w:rPr>
              <w:t>注：投标文件中提供相关证明材料扫描件证明所配送产品综合性能情况，具体形式不限，如产品说明书、技术彩页资料、所获荣誉奖项等，未提供任何材料的不得分。</w:t>
            </w:r>
          </w:p>
        </w:tc>
      </w:tr>
      <w:tr w14:paraId="0C77F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223C1541">
            <w:pPr>
              <w:widowControl/>
              <w:snapToGrid w:val="0"/>
              <w:spacing w:line="288" w:lineRule="auto"/>
              <w:jc w:val="center"/>
              <w:rPr>
                <w:rFonts w:ascii="宋体" w:hAnsi="宋体"/>
                <w:kern w:val="0"/>
                <w:szCs w:val="21"/>
              </w:rPr>
            </w:pPr>
          </w:p>
        </w:tc>
        <w:tc>
          <w:tcPr>
            <w:tcW w:w="1701" w:type="dxa"/>
            <w:vAlign w:val="center"/>
          </w:tcPr>
          <w:p w14:paraId="66FAA9B0">
            <w:pPr>
              <w:widowControl/>
              <w:snapToGrid w:val="0"/>
              <w:spacing w:line="288" w:lineRule="auto"/>
              <w:rPr>
                <w:rFonts w:ascii="宋体" w:hAnsi="宋体"/>
                <w:szCs w:val="21"/>
              </w:rPr>
            </w:pPr>
            <w:r>
              <w:rPr>
                <w:rFonts w:hint="eastAsia" w:ascii="宋体" w:hAnsi="宋体"/>
                <w:szCs w:val="21"/>
              </w:rPr>
              <w:t>服务响应情况</w:t>
            </w:r>
            <w:r>
              <w:rPr>
                <w:rFonts w:ascii="宋体" w:hAnsi="宋体"/>
                <w:szCs w:val="21"/>
              </w:rPr>
              <w:t>（5分）</w:t>
            </w:r>
          </w:p>
        </w:tc>
        <w:tc>
          <w:tcPr>
            <w:tcW w:w="6237" w:type="dxa"/>
            <w:gridSpan w:val="2"/>
            <w:vAlign w:val="center"/>
          </w:tcPr>
          <w:p w14:paraId="1D1634C5">
            <w:pPr>
              <w:widowControl/>
              <w:snapToGrid w:val="0"/>
              <w:spacing w:line="288" w:lineRule="auto"/>
              <w:rPr>
                <w:rFonts w:ascii="宋体" w:hAnsi="宋体"/>
                <w:szCs w:val="21"/>
              </w:rPr>
            </w:pPr>
            <w:r>
              <w:rPr>
                <w:rFonts w:hint="eastAsia" w:ascii="宋体" w:hAnsi="宋体"/>
                <w:szCs w:val="21"/>
              </w:rPr>
              <w:t>评标委员会根据投标文件中提供的服务响应情况进行综合评分：</w:t>
            </w:r>
          </w:p>
          <w:p w14:paraId="27193842">
            <w:pPr>
              <w:widowControl/>
              <w:snapToGrid w:val="0"/>
              <w:spacing w:line="288" w:lineRule="auto"/>
              <w:rPr>
                <w:rFonts w:ascii="宋体" w:hAnsi="宋体"/>
                <w:szCs w:val="21"/>
              </w:rPr>
            </w:pPr>
            <w:r>
              <w:rPr>
                <w:rFonts w:hint="eastAsia" w:ascii="宋体" w:hAnsi="宋体"/>
                <w:szCs w:val="21"/>
              </w:rPr>
              <w:t>1、方案内容详实、表述清晰，整体服务响应时间短的，得5分；</w:t>
            </w:r>
          </w:p>
          <w:p w14:paraId="66342FD2">
            <w:pPr>
              <w:widowControl/>
              <w:snapToGrid w:val="0"/>
              <w:spacing w:line="288" w:lineRule="auto"/>
              <w:rPr>
                <w:rFonts w:ascii="宋体" w:hAnsi="宋体"/>
                <w:szCs w:val="21"/>
              </w:rPr>
            </w:pPr>
            <w:r>
              <w:rPr>
                <w:rFonts w:hint="eastAsia" w:ascii="宋体" w:hAnsi="宋体"/>
                <w:szCs w:val="21"/>
              </w:rPr>
              <w:t>2、内容完整、表述较清晰，整体服务响应时间满足项目需求，得3分；</w:t>
            </w:r>
          </w:p>
          <w:p w14:paraId="1CE244BE">
            <w:pPr>
              <w:widowControl/>
              <w:snapToGrid w:val="0"/>
              <w:spacing w:line="288" w:lineRule="auto"/>
              <w:rPr>
                <w:rFonts w:ascii="宋体" w:hAnsi="宋体"/>
                <w:szCs w:val="21"/>
              </w:rPr>
            </w:pPr>
            <w:r>
              <w:rPr>
                <w:rFonts w:hint="eastAsia" w:ascii="宋体" w:hAnsi="宋体"/>
                <w:szCs w:val="21"/>
              </w:rPr>
              <w:t>3、内容简单，整体服务响应方案有待完善的，得1分；</w:t>
            </w:r>
          </w:p>
          <w:p w14:paraId="0979012B">
            <w:pPr>
              <w:widowControl/>
              <w:snapToGrid w:val="0"/>
              <w:spacing w:line="288" w:lineRule="auto"/>
              <w:rPr>
                <w:rFonts w:ascii="宋体" w:hAnsi="宋体"/>
                <w:szCs w:val="21"/>
              </w:rPr>
            </w:pPr>
            <w:r>
              <w:rPr>
                <w:rFonts w:hint="eastAsia" w:ascii="宋体" w:hAnsi="宋体"/>
                <w:szCs w:val="21"/>
              </w:rPr>
              <w:t>4、未提供的不得分。</w:t>
            </w:r>
          </w:p>
        </w:tc>
      </w:tr>
      <w:tr w14:paraId="2EA0C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634961EE">
            <w:pPr>
              <w:widowControl/>
              <w:snapToGrid w:val="0"/>
              <w:spacing w:line="288" w:lineRule="auto"/>
              <w:jc w:val="center"/>
              <w:rPr>
                <w:rFonts w:ascii="宋体" w:hAnsi="宋体"/>
                <w:kern w:val="0"/>
                <w:szCs w:val="21"/>
              </w:rPr>
            </w:pPr>
          </w:p>
        </w:tc>
        <w:tc>
          <w:tcPr>
            <w:tcW w:w="1701" w:type="dxa"/>
            <w:vAlign w:val="center"/>
          </w:tcPr>
          <w:p w14:paraId="194036DF">
            <w:pPr>
              <w:widowControl/>
              <w:snapToGrid w:val="0"/>
              <w:spacing w:line="288" w:lineRule="auto"/>
              <w:rPr>
                <w:rFonts w:ascii="宋体" w:hAnsi="宋体"/>
                <w:szCs w:val="21"/>
              </w:rPr>
            </w:pPr>
            <w:r>
              <w:rPr>
                <w:rFonts w:hint="eastAsia" w:ascii="宋体" w:hAnsi="宋体"/>
                <w:szCs w:val="21"/>
              </w:rPr>
              <w:t>配送经验（5分）</w:t>
            </w:r>
          </w:p>
        </w:tc>
        <w:tc>
          <w:tcPr>
            <w:tcW w:w="6237" w:type="dxa"/>
            <w:gridSpan w:val="2"/>
            <w:vAlign w:val="center"/>
          </w:tcPr>
          <w:p w14:paraId="26556E9F">
            <w:pPr>
              <w:widowControl/>
              <w:snapToGrid w:val="0"/>
              <w:spacing w:line="288" w:lineRule="auto"/>
              <w:rPr>
                <w:rFonts w:ascii="宋体" w:hAnsi="宋体"/>
                <w:szCs w:val="21"/>
              </w:rPr>
            </w:pPr>
            <w:r>
              <w:rPr>
                <w:rFonts w:hint="eastAsia" w:ascii="宋体" w:hAnsi="宋体"/>
                <w:szCs w:val="21"/>
              </w:rPr>
              <w:t>由评标委员会根据企业配送经验进行评分：</w:t>
            </w:r>
          </w:p>
          <w:p w14:paraId="6B2ABF92">
            <w:pPr>
              <w:widowControl/>
              <w:snapToGrid w:val="0"/>
              <w:spacing w:line="288" w:lineRule="auto"/>
              <w:rPr>
                <w:rFonts w:ascii="宋体" w:hAnsi="宋体"/>
                <w:szCs w:val="21"/>
              </w:rPr>
            </w:pPr>
            <w:r>
              <w:rPr>
                <w:rFonts w:hint="eastAsia" w:ascii="宋体" w:hAnsi="宋体"/>
                <w:szCs w:val="21"/>
              </w:rPr>
              <w:t>1、配送能力强、仓储设施先进、配送经验丰富的，得5分；</w:t>
            </w:r>
          </w:p>
          <w:p w14:paraId="0315C423">
            <w:pPr>
              <w:widowControl/>
              <w:snapToGrid w:val="0"/>
              <w:spacing w:line="288" w:lineRule="auto"/>
              <w:rPr>
                <w:rFonts w:ascii="宋体" w:hAnsi="宋体"/>
                <w:szCs w:val="21"/>
              </w:rPr>
            </w:pPr>
            <w:r>
              <w:rPr>
                <w:rFonts w:hint="eastAsia" w:ascii="宋体" w:hAnsi="宋体"/>
                <w:szCs w:val="21"/>
              </w:rPr>
              <w:t>2、配送能力较强、仓储设施比较先进、配送经验较为丰富的，得3分；</w:t>
            </w:r>
          </w:p>
          <w:p w14:paraId="750E78A4">
            <w:pPr>
              <w:widowControl/>
              <w:snapToGrid w:val="0"/>
              <w:spacing w:line="288" w:lineRule="auto"/>
              <w:rPr>
                <w:rFonts w:ascii="宋体" w:hAnsi="宋体"/>
                <w:szCs w:val="21"/>
              </w:rPr>
            </w:pPr>
            <w:r>
              <w:rPr>
                <w:rFonts w:hint="eastAsia" w:ascii="宋体" w:hAnsi="宋体"/>
                <w:szCs w:val="21"/>
              </w:rPr>
              <w:t>3、配送能力一般、仓储设施有待改善升级、配送经验有待丰富的，得1分；</w:t>
            </w:r>
          </w:p>
          <w:p w14:paraId="37F51367">
            <w:pPr>
              <w:widowControl/>
              <w:snapToGrid w:val="0"/>
              <w:spacing w:line="288" w:lineRule="auto"/>
              <w:rPr>
                <w:rFonts w:ascii="宋体" w:hAnsi="宋体"/>
                <w:szCs w:val="21"/>
              </w:rPr>
            </w:pPr>
            <w:r>
              <w:rPr>
                <w:rFonts w:hint="eastAsia" w:ascii="宋体" w:hAnsi="宋体"/>
                <w:szCs w:val="21"/>
              </w:rPr>
              <w:t>4、差的或未提供不得分。</w:t>
            </w:r>
          </w:p>
        </w:tc>
      </w:tr>
      <w:tr w14:paraId="51DE0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3668357A">
            <w:pPr>
              <w:widowControl/>
              <w:snapToGrid w:val="0"/>
              <w:spacing w:line="288" w:lineRule="auto"/>
              <w:jc w:val="center"/>
              <w:rPr>
                <w:rFonts w:ascii="宋体" w:hAnsi="宋体"/>
                <w:kern w:val="0"/>
                <w:szCs w:val="21"/>
              </w:rPr>
            </w:pPr>
          </w:p>
        </w:tc>
        <w:tc>
          <w:tcPr>
            <w:tcW w:w="1701" w:type="dxa"/>
            <w:vAlign w:val="center"/>
          </w:tcPr>
          <w:p w14:paraId="0C0FC843">
            <w:pPr>
              <w:widowControl/>
              <w:snapToGrid w:val="0"/>
              <w:spacing w:line="288" w:lineRule="auto"/>
              <w:rPr>
                <w:rFonts w:ascii="宋体" w:hAnsi="宋体"/>
                <w:szCs w:val="21"/>
              </w:rPr>
            </w:pPr>
            <w:r>
              <w:rPr>
                <w:rFonts w:hint="eastAsia" w:ascii="宋体" w:hAnsi="宋体"/>
                <w:szCs w:val="21"/>
              </w:rPr>
              <w:t>内部管理制度（5分）</w:t>
            </w:r>
          </w:p>
        </w:tc>
        <w:tc>
          <w:tcPr>
            <w:tcW w:w="6237" w:type="dxa"/>
            <w:gridSpan w:val="2"/>
            <w:vAlign w:val="center"/>
          </w:tcPr>
          <w:p w14:paraId="165B0930">
            <w:pPr>
              <w:widowControl/>
              <w:snapToGrid w:val="0"/>
              <w:spacing w:line="288" w:lineRule="auto"/>
              <w:rPr>
                <w:rFonts w:ascii="宋体" w:hAnsi="宋体"/>
                <w:szCs w:val="21"/>
              </w:rPr>
            </w:pPr>
            <w:r>
              <w:rPr>
                <w:rFonts w:hint="eastAsia" w:ascii="宋体" w:hAnsi="宋体"/>
                <w:szCs w:val="21"/>
              </w:rPr>
              <w:t>评标委员会根据投标人内部管理架构、激励机制、监督机制、信息反馈及处理机制等进行综合评分：</w:t>
            </w:r>
          </w:p>
          <w:p w14:paraId="72AC1EA6">
            <w:pPr>
              <w:widowControl/>
              <w:snapToGrid w:val="0"/>
              <w:spacing w:line="288" w:lineRule="auto"/>
              <w:rPr>
                <w:rFonts w:ascii="宋体" w:hAnsi="宋体"/>
                <w:szCs w:val="21"/>
              </w:rPr>
            </w:pPr>
            <w:r>
              <w:rPr>
                <w:rFonts w:hint="eastAsia" w:ascii="宋体" w:hAnsi="宋体"/>
                <w:szCs w:val="21"/>
              </w:rPr>
              <w:t>1、制度可行，内部管理架构清晰，激励机制、监督机制、信息反馈及处理机制完善的得5分；</w:t>
            </w:r>
          </w:p>
          <w:p w14:paraId="2F8B4226">
            <w:pPr>
              <w:widowControl/>
              <w:snapToGrid w:val="0"/>
              <w:spacing w:line="288" w:lineRule="auto"/>
              <w:rPr>
                <w:rFonts w:ascii="宋体" w:hAnsi="宋体"/>
                <w:szCs w:val="21"/>
              </w:rPr>
            </w:pPr>
            <w:r>
              <w:rPr>
                <w:rFonts w:hint="eastAsia" w:ascii="宋体" w:hAnsi="宋体"/>
                <w:szCs w:val="21"/>
              </w:rPr>
              <w:t>2、制度基本满足项目需求，内部管理架构较清晰，激励机制、监督机制、信息反馈及处理机制较完善的得3分；</w:t>
            </w:r>
          </w:p>
          <w:p w14:paraId="19350849">
            <w:pPr>
              <w:widowControl/>
              <w:snapToGrid w:val="0"/>
              <w:spacing w:line="288" w:lineRule="auto"/>
              <w:rPr>
                <w:rFonts w:ascii="宋体" w:hAnsi="宋体"/>
                <w:szCs w:val="21"/>
              </w:rPr>
            </w:pPr>
            <w:r>
              <w:rPr>
                <w:rFonts w:hint="eastAsia" w:ascii="宋体" w:hAnsi="宋体"/>
                <w:szCs w:val="21"/>
              </w:rPr>
              <w:t>3、制度有待完善，内部管理架构不清晰，激励机制、监督机制、信息反馈及处理机制不完善的得1分；</w:t>
            </w:r>
          </w:p>
          <w:p w14:paraId="6FA6C497">
            <w:pPr>
              <w:widowControl/>
              <w:snapToGrid w:val="0"/>
              <w:spacing w:line="288" w:lineRule="auto"/>
              <w:rPr>
                <w:rFonts w:ascii="宋体" w:hAnsi="宋体"/>
                <w:szCs w:val="21"/>
              </w:rPr>
            </w:pPr>
            <w:r>
              <w:rPr>
                <w:rFonts w:hint="eastAsia" w:ascii="宋体" w:hAnsi="宋体"/>
                <w:szCs w:val="21"/>
              </w:rPr>
              <w:t>4、未提供的不得分。</w:t>
            </w:r>
          </w:p>
        </w:tc>
      </w:tr>
      <w:tr w14:paraId="755BA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14F2CC55">
            <w:pPr>
              <w:widowControl/>
              <w:snapToGrid w:val="0"/>
              <w:spacing w:line="288" w:lineRule="auto"/>
              <w:jc w:val="center"/>
              <w:rPr>
                <w:rFonts w:ascii="宋体" w:hAnsi="宋体"/>
                <w:kern w:val="0"/>
                <w:szCs w:val="21"/>
              </w:rPr>
            </w:pPr>
          </w:p>
        </w:tc>
        <w:tc>
          <w:tcPr>
            <w:tcW w:w="1701" w:type="dxa"/>
            <w:vAlign w:val="center"/>
          </w:tcPr>
          <w:p w14:paraId="44823287">
            <w:pPr>
              <w:widowControl/>
              <w:snapToGrid w:val="0"/>
              <w:spacing w:line="288" w:lineRule="auto"/>
              <w:rPr>
                <w:rFonts w:ascii="宋体" w:hAnsi="宋体"/>
                <w:szCs w:val="21"/>
              </w:rPr>
            </w:pPr>
            <w:r>
              <w:rPr>
                <w:rFonts w:hint="eastAsia" w:ascii="宋体" w:hAnsi="宋体"/>
                <w:szCs w:val="21"/>
              </w:rPr>
              <w:t>售后服务方案(5分)</w:t>
            </w:r>
          </w:p>
        </w:tc>
        <w:tc>
          <w:tcPr>
            <w:tcW w:w="6237" w:type="dxa"/>
            <w:gridSpan w:val="2"/>
            <w:vAlign w:val="center"/>
          </w:tcPr>
          <w:p w14:paraId="778F570C">
            <w:pPr>
              <w:widowControl/>
              <w:snapToGrid w:val="0"/>
              <w:spacing w:line="288" w:lineRule="auto"/>
              <w:rPr>
                <w:rFonts w:ascii="宋体" w:hAnsi="宋体"/>
                <w:szCs w:val="21"/>
              </w:rPr>
            </w:pPr>
            <w:r>
              <w:rPr>
                <w:rFonts w:hint="eastAsia" w:ascii="宋体" w:hAnsi="宋体"/>
                <w:szCs w:val="21"/>
              </w:rPr>
              <w:t>评标委员会依据投标人投标文件中提供售后服务方案及服务承诺（如省平台网采的执行、无条件报损退换、近效期退换、技术服务支持等）等情况综合评分：</w:t>
            </w:r>
          </w:p>
          <w:p w14:paraId="667A61F0">
            <w:pPr>
              <w:widowControl/>
              <w:snapToGrid w:val="0"/>
              <w:spacing w:line="288" w:lineRule="auto"/>
              <w:rPr>
                <w:rFonts w:ascii="宋体" w:hAnsi="宋体"/>
                <w:szCs w:val="21"/>
              </w:rPr>
            </w:pPr>
            <w:r>
              <w:rPr>
                <w:rFonts w:hint="eastAsia" w:ascii="宋体" w:hAnsi="宋体"/>
                <w:szCs w:val="21"/>
              </w:rPr>
              <w:t>1、方案内容详实、表述清晰，售后服务管理制度完善，有具体切实可行的保障措施，售后服务承诺符合实际且可行的得5分；</w:t>
            </w:r>
          </w:p>
          <w:p w14:paraId="73B7D3BF">
            <w:pPr>
              <w:widowControl/>
              <w:snapToGrid w:val="0"/>
              <w:spacing w:line="288" w:lineRule="auto"/>
              <w:rPr>
                <w:rFonts w:ascii="宋体" w:hAnsi="宋体"/>
                <w:szCs w:val="21"/>
              </w:rPr>
            </w:pPr>
            <w:r>
              <w:rPr>
                <w:rFonts w:hint="eastAsia" w:ascii="宋体" w:hAnsi="宋体"/>
                <w:szCs w:val="21"/>
              </w:rPr>
              <w:t>2、方案内容完整、表述较清晰，有保障措施，售后服务承诺较完善可行的得3分；</w:t>
            </w:r>
          </w:p>
          <w:p w14:paraId="2619EFC0">
            <w:pPr>
              <w:widowControl/>
              <w:snapToGrid w:val="0"/>
              <w:spacing w:line="288" w:lineRule="auto"/>
              <w:rPr>
                <w:rFonts w:ascii="宋体" w:hAnsi="宋体"/>
                <w:szCs w:val="21"/>
              </w:rPr>
            </w:pPr>
            <w:r>
              <w:rPr>
                <w:rFonts w:hint="eastAsia" w:ascii="宋体" w:hAnsi="宋体"/>
                <w:szCs w:val="21"/>
              </w:rPr>
              <w:t>3、方案内容简单，细节待完善，售后服务承诺有待完善的得1分；</w:t>
            </w:r>
          </w:p>
          <w:p w14:paraId="1D9AAC0E">
            <w:pPr>
              <w:widowControl/>
              <w:snapToGrid w:val="0"/>
              <w:spacing w:line="288" w:lineRule="auto"/>
              <w:rPr>
                <w:rFonts w:ascii="宋体" w:hAnsi="宋体"/>
                <w:szCs w:val="21"/>
              </w:rPr>
            </w:pPr>
            <w:r>
              <w:rPr>
                <w:rFonts w:hint="eastAsia" w:ascii="宋体" w:hAnsi="宋体"/>
                <w:szCs w:val="21"/>
              </w:rPr>
              <w:t>4、未提供的不得分。</w:t>
            </w:r>
          </w:p>
        </w:tc>
      </w:tr>
      <w:tr w14:paraId="74C3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5C039704">
            <w:pPr>
              <w:widowControl/>
              <w:snapToGrid w:val="0"/>
              <w:spacing w:line="288" w:lineRule="auto"/>
              <w:jc w:val="center"/>
              <w:rPr>
                <w:rFonts w:ascii="宋体" w:hAnsi="宋体"/>
                <w:kern w:val="0"/>
                <w:szCs w:val="21"/>
              </w:rPr>
            </w:pPr>
          </w:p>
        </w:tc>
        <w:tc>
          <w:tcPr>
            <w:tcW w:w="1701" w:type="dxa"/>
            <w:vAlign w:val="center"/>
          </w:tcPr>
          <w:p w14:paraId="18BD9ABF">
            <w:pPr>
              <w:widowControl/>
              <w:snapToGrid w:val="0"/>
              <w:spacing w:line="288" w:lineRule="auto"/>
              <w:rPr>
                <w:rFonts w:ascii="宋体" w:hAnsi="宋体"/>
                <w:szCs w:val="21"/>
              </w:rPr>
            </w:pPr>
            <w:r>
              <w:rPr>
                <w:rFonts w:hint="eastAsia" w:ascii="宋体" w:hAnsi="宋体"/>
                <w:szCs w:val="21"/>
              </w:rPr>
              <w:t>质量保证（5分）</w:t>
            </w:r>
          </w:p>
        </w:tc>
        <w:tc>
          <w:tcPr>
            <w:tcW w:w="6237" w:type="dxa"/>
            <w:gridSpan w:val="2"/>
            <w:vAlign w:val="center"/>
          </w:tcPr>
          <w:p w14:paraId="52F8D17E">
            <w:pPr>
              <w:widowControl/>
              <w:snapToGrid w:val="0"/>
              <w:spacing w:line="288" w:lineRule="auto"/>
              <w:rPr>
                <w:rFonts w:ascii="宋体" w:hAnsi="宋体"/>
                <w:szCs w:val="21"/>
              </w:rPr>
            </w:pPr>
            <w:r>
              <w:rPr>
                <w:rFonts w:hint="eastAsia" w:ascii="宋体" w:hAnsi="宋体"/>
                <w:szCs w:val="21"/>
              </w:rPr>
              <w:t>评标委员会根据投标人提供的质量保证实施措施进行综合评分：</w:t>
            </w:r>
          </w:p>
          <w:p w14:paraId="781202BD">
            <w:pPr>
              <w:widowControl/>
              <w:snapToGrid w:val="0"/>
              <w:spacing w:line="288" w:lineRule="auto"/>
              <w:rPr>
                <w:rFonts w:ascii="宋体" w:hAnsi="宋体"/>
                <w:szCs w:val="21"/>
              </w:rPr>
            </w:pPr>
            <w:r>
              <w:rPr>
                <w:rFonts w:hint="eastAsia" w:ascii="宋体" w:hAnsi="宋体"/>
                <w:szCs w:val="21"/>
              </w:rPr>
              <w:t>1、与本项目的具体特点和实际需要适应度高，利于项目实施的得5分；</w:t>
            </w:r>
          </w:p>
          <w:p w14:paraId="0881007F">
            <w:pPr>
              <w:widowControl/>
              <w:snapToGrid w:val="0"/>
              <w:spacing w:line="288" w:lineRule="auto"/>
              <w:rPr>
                <w:rFonts w:ascii="宋体" w:hAnsi="宋体"/>
                <w:szCs w:val="21"/>
              </w:rPr>
            </w:pPr>
            <w:r>
              <w:rPr>
                <w:rFonts w:hint="eastAsia" w:ascii="宋体" w:hAnsi="宋体"/>
                <w:szCs w:val="21"/>
              </w:rPr>
              <w:t>2、与本项目的具体特点和实际需要相适应程度较高，符合项目实施要求的得3分；</w:t>
            </w:r>
          </w:p>
          <w:p w14:paraId="62A488A5">
            <w:pPr>
              <w:widowControl/>
              <w:snapToGrid w:val="0"/>
              <w:spacing w:line="288" w:lineRule="auto"/>
              <w:rPr>
                <w:rFonts w:ascii="宋体" w:hAnsi="宋体"/>
                <w:szCs w:val="21"/>
              </w:rPr>
            </w:pPr>
            <w:r>
              <w:rPr>
                <w:rFonts w:hint="eastAsia" w:ascii="宋体" w:hAnsi="宋体"/>
                <w:szCs w:val="21"/>
              </w:rPr>
              <w:t>3、与本项目的具体特点以及项目实际需要适应程度不够，基本满足实施要求的得1分；</w:t>
            </w:r>
          </w:p>
          <w:p w14:paraId="6565D461">
            <w:pPr>
              <w:widowControl/>
              <w:snapToGrid w:val="0"/>
              <w:spacing w:line="288" w:lineRule="auto"/>
              <w:rPr>
                <w:rFonts w:ascii="宋体" w:hAnsi="宋体"/>
                <w:szCs w:val="21"/>
              </w:rPr>
            </w:pPr>
            <w:r>
              <w:rPr>
                <w:rFonts w:hint="eastAsia" w:ascii="宋体" w:hAnsi="宋体"/>
                <w:szCs w:val="21"/>
              </w:rPr>
              <w:t>4、未提供相关内容的不得分。</w:t>
            </w:r>
          </w:p>
        </w:tc>
      </w:tr>
      <w:tr w14:paraId="17621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3A8EA23D">
            <w:pPr>
              <w:widowControl/>
              <w:snapToGrid w:val="0"/>
              <w:spacing w:line="288" w:lineRule="auto"/>
              <w:jc w:val="center"/>
              <w:rPr>
                <w:rFonts w:ascii="宋体" w:hAnsi="宋体"/>
                <w:kern w:val="0"/>
                <w:szCs w:val="21"/>
              </w:rPr>
            </w:pPr>
          </w:p>
        </w:tc>
        <w:tc>
          <w:tcPr>
            <w:tcW w:w="1701" w:type="dxa"/>
            <w:vAlign w:val="center"/>
          </w:tcPr>
          <w:p w14:paraId="0D0A45A8">
            <w:pPr>
              <w:widowControl/>
              <w:snapToGrid w:val="0"/>
              <w:spacing w:line="288" w:lineRule="auto"/>
              <w:rPr>
                <w:rFonts w:ascii="宋体" w:hAnsi="宋体"/>
                <w:szCs w:val="21"/>
              </w:rPr>
            </w:pPr>
            <w:r>
              <w:rPr>
                <w:rFonts w:hint="eastAsia" w:ascii="宋体" w:hAnsi="宋体"/>
                <w:szCs w:val="21"/>
              </w:rPr>
              <w:t>重难点分析及解决方案（5分）</w:t>
            </w:r>
          </w:p>
        </w:tc>
        <w:tc>
          <w:tcPr>
            <w:tcW w:w="6237" w:type="dxa"/>
            <w:gridSpan w:val="2"/>
            <w:vAlign w:val="center"/>
          </w:tcPr>
          <w:p w14:paraId="12386072">
            <w:pPr>
              <w:widowControl/>
              <w:snapToGrid w:val="0"/>
              <w:spacing w:line="288" w:lineRule="auto"/>
              <w:rPr>
                <w:rFonts w:ascii="宋体" w:hAnsi="宋体"/>
                <w:szCs w:val="21"/>
              </w:rPr>
            </w:pPr>
            <w:r>
              <w:rPr>
                <w:rFonts w:hint="eastAsia" w:ascii="宋体" w:hAnsi="宋体"/>
                <w:szCs w:val="21"/>
              </w:rPr>
              <w:t>根据投标人投标文件中提供针对本项目实施过程中可能出现的重难点问题预测和总结，并同时提出针对这些问题的解决措施方案：</w:t>
            </w:r>
          </w:p>
          <w:p w14:paraId="1B94A851">
            <w:pPr>
              <w:widowControl/>
              <w:snapToGrid w:val="0"/>
              <w:spacing w:line="288" w:lineRule="auto"/>
              <w:rPr>
                <w:rFonts w:ascii="宋体" w:hAnsi="宋体"/>
                <w:szCs w:val="21"/>
              </w:rPr>
            </w:pPr>
            <w:r>
              <w:rPr>
                <w:rFonts w:hint="eastAsia" w:ascii="宋体" w:hAnsi="宋体"/>
                <w:szCs w:val="21"/>
              </w:rPr>
              <w:t>1、重难点分析及解决措施方案：分析内容透彻，且条理清晰的得5分；</w:t>
            </w:r>
          </w:p>
          <w:p w14:paraId="54425AA7">
            <w:pPr>
              <w:widowControl/>
              <w:snapToGrid w:val="0"/>
              <w:spacing w:line="288" w:lineRule="auto"/>
              <w:rPr>
                <w:rFonts w:ascii="宋体" w:hAnsi="宋体"/>
                <w:szCs w:val="21"/>
              </w:rPr>
            </w:pPr>
            <w:r>
              <w:rPr>
                <w:rFonts w:hint="eastAsia" w:ascii="宋体" w:hAnsi="宋体"/>
                <w:szCs w:val="21"/>
              </w:rPr>
              <w:t>2、分析内容较为透彻，条理较为清晰的得3分；</w:t>
            </w:r>
          </w:p>
          <w:p w14:paraId="434B5711">
            <w:pPr>
              <w:widowControl/>
              <w:snapToGrid w:val="0"/>
              <w:spacing w:line="288" w:lineRule="auto"/>
              <w:rPr>
                <w:rFonts w:ascii="宋体" w:hAnsi="宋体"/>
                <w:szCs w:val="21"/>
              </w:rPr>
            </w:pPr>
            <w:r>
              <w:rPr>
                <w:rFonts w:hint="eastAsia" w:ascii="宋体" w:hAnsi="宋体"/>
                <w:szCs w:val="21"/>
              </w:rPr>
              <w:t>3、分析预测内容较少，且条理性欠缺的得1分。</w:t>
            </w:r>
          </w:p>
          <w:p w14:paraId="3055331E">
            <w:pPr>
              <w:widowControl/>
              <w:snapToGrid w:val="0"/>
              <w:spacing w:line="288" w:lineRule="auto"/>
              <w:rPr>
                <w:rFonts w:ascii="宋体" w:hAnsi="宋体"/>
                <w:szCs w:val="21"/>
              </w:rPr>
            </w:pPr>
            <w:r>
              <w:rPr>
                <w:rFonts w:hint="eastAsia" w:ascii="宋体" w:hAnsi="宋体"/>
                <w:szCs w:val="21"/>
              </w:rPr>
              <w:t>4、未提供的不得分。</w:t>
            </w:r>
          </w:p>
        </w:tc>
      </w:tr>
      <w:tr w14:paraId="04012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0AC81FFB">
            <w:pPr>
              <w:widowControl/>
              <w:snapToGrid w:val="0"/>
              <w:spacing w:line="288" w:lineRule="auto"/>
              <w:jc w:val="center"/>
              <w:rPr>
                <w:rFonts w:ascii="宋体" w:hAnsi="宋体"/>
                <w:kern w:val="0"/>
                <w:szCs w:val="21"/>
              </w:rPr>
            </w:pPr>
          </w:p>
        </w:tc>
        <w:tc>
          <w:tcPr>
            <w:tcW w:w="1701" w:type="dxa"/>
            <w:vAlign w:val="center"/>
          </w:tcPr>
          <w:p w14:paraId="72A4080E">
            <w:pPr>
              <w:widowControl/>
              <w:snapToGrid w:val="0"/>
              <w:spacing w:line="288" w:lineRule="auto"/>
              <w:rPr>
                <w:rFonts w:ascii="宋体" w:hAnsi="宋体"/>
                <w:szCs w:val="21"/>
              </w:rPr>
            </w:pPr>
            <w:r>
              <w:rPr>
                <w:rFonts w:hint="eastAsia" w:ascii="宋体" w:hAnsi="宋体"/>
                <w:szCs w:val="21"/>
              </w:rPr>
              <w:t>整体设想及策划（5分）</w:t>
            </w:r>
          </w:p>
        </w:tc>
        <w:tc>
          <w:tcPr>
            <w:tcW w:w="6237" w:type="dxa"/>
            <w:gridSpan w:val="2"/>
            <w:vAlign w:val="center"/>
          </w:tcPr>
          <w:p w14:paraId="196AEBC4">
            <w:pPr>
              <w:widowControl/>
              <w:snapToGrid w:val="0"/>
              <w:spacing w:line="288" w:lineRule="auto"/>
              <w:rPr>
                <w:rFonts w:ascii="宋体" w:hAnsi="宋体"/>
                <w:szCs w:val="21"/>
              </w:rPr>
            </w:pPr>
            <w:r>
              <w:rPr>
                <w:rFonts w:hint="eastAsia" w:ascii="宋体" w:hAnsi="宋体"/>
                <w:szCs w:val="21"/>
              </w:rPr>
              <w:t>根据投标人投标文件中提供的针对提升本项目的服务水平的整体设想及策划，进行综合评审。</w:t>
            </w:r>
          </w:p>
          <w:p w14:paraId="6CFC3CCC">
            <w:pPr>
              <w:widowControl/>
              <w:snapToGrid w:val="0"/>
              <w:spacing w:line="288" w:lineRule="auto"/>
              <w:rPr>
                <w:rFonts w:ascii="宋体" w:hAnsi="宋体"/>
                <w:szCs w:val="21"/>
              </w:rPr>
            </w:pPr>
            <w:r>
              <w:rPr>
                <w:rFonts w:hint="eastAsia" w:ascii="宋体" w:hAnsi="宋体"/>
                <w:szCs w:val="21"/>
              </w:rPr>
              <w:t>1、设想及策划全面具体，涵盖了项目服务的各个方面，思路可行，措施和方案便于实施，符合项目实际情况的，得5分；</w:t>
            </w:r>
          </w:p>
          <w:p w14:paraId="4FB201B6">
            <w:pPr>
              <w:widowControl/>
              <w:snapToGrid w:val="0"/>
              <w:spacing w:line="288" w:lineRule="auto"/>
              <w:rPr>
                <w:rFonts w:ascii="宋体" w:hAnsi="宋体"/>
                <w:szCs w:val="21"/>
              </w:rPr>
            </w:pPr>
            <w:r>
              <w:rPr>
                <w:rFonts w:hint="eastAsia" w:ascii="宋体" w:hAnsi="宋体"/>
                <w:szCs w:val="21"/>
              </w:rPr>
              <w:t>2、设想及策划内容具有可行性、针对性的，较利于项目实施的，得3分；</w:t>
            </w:r>
          </w:p>
          <w:p w14:paraId="5B2A7090">
            <w:pPr>
              <w:widowControl/>
              <w:snapToGrid w:val="0"/>
              <w:spacing w:line="288" w:lineRule="auto"/>
              <w:rPr>
                <w:rFonts w:ascii="宋体" w:hAnsi="宋体"/>
                <w:szCs w:val="21"/>
              </w:rPr>
            </w:pPr>
            <w:r>
              <w:rPr>
                <w:rFonts w:hint="eastAsia" w:ascii="宋体" w:hAnsi="宋体"/>
                <w:szCs w:val="21"/>
              </w:rPr>
              <w:t>3、设想及策划基本符合要求的，细节待完善的，得1分；</w:t>
            </w:r>
          </w:p>
          <w:p w14:paraId="2DE8E189">
            <w:pPr>
              <w:widowControl/>
              <w:snapToGrid w:val="0"/>
              <w:spacing w:line="288" w:lineRule="auto"/>
              <w:rPr>
                <w:rFonts w:ascii="宋体" w:hAnsi="宋体"/>
                <w:szCs w:val="21"/>
              </w:rPr>
            </w:pPr>
            <w:r>
              <w:rPr>
                <w:rFonts w:hint="eastAsia" w:ascii="宋体" w:hAnsi="宋体"/>
                <w:szCs w:val="21"/>
              </w:rPr>
              <w:t>4、未提供的不得分。</w:t>
            </w:r>
          </w:p>
        </w:tc>
      </w:tr>
      <w:tr w14:paraId="5A41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3CB3A70F">
            <w:pPr>
              <w:widowControl/>
              <w:snapToGrid w:val="0"/>
              <w:spacing w:line="288" w:lineRule="auto"/>
              <w:jc w:val="center"/>
              <w:rPr>
                <w:rFonts w:ascii="宋体" w:hAnsi="宋体"/>
                <w:kern w:val="0"/>
                <w:szCs w:val="21"/>
              </w:rPr>
            </w:pPr>
          </w:p>
        </w:tc>
        <w:tc>
          <w:tcPr>
            <w:tcW w:w="1701" w:type="dxa"/>
            <w:vAlign w:val="center"/>
          </w:tcPr>
          <w:p w14:paraId="1C46930C">
            <w:pPr>
              <w:widowControl/>
              <w:snapToGrid w:val="0"/>
              <w:spacing w:line="288" w:lineRule="auto"/>
              <w:rPr>
                <w:rFonts w:ascii="宋体" w:hAnsi="宋体"/>
                <w:szCs w:val="21"/>
              </w:rPr>
            </w:pPr>
            <w:r>
              <w:rPr>
                <w:rFonts w:hint="eastAsia" w:ascii="宋体" w:hAnsi="宋体"/>
                <w:szCs w:val="21"/>
              </w:rPr>
              <w:t>配套特色服务</w:t>
            </w:r>
          </w:p>
          <w:p w14:paraId="7CB2EFA5">
            <w:pPr>
              <w:widowControl/>
              <w:snapToGrid w:val="0"/>
              <w:spacing w:line="288" w:lineRule="auto"/>
              <w:rPr>
                <w:rFonts w:ascii="宋体" w:hAnsi="宋体"/>
                <w:szCs w:val="21"/>
              </w:rPr>
            </w:pPr>
            <w:r>
              <w:rPr>
                <w:rFonts w:hint="eastAsia" w:ascii="宋体" w:hAnsi="宋体"/>
                <w:szCs w:val="21"/>
              </w:rPr>
              <w:t>（5分）</w:t>
            </w:r>
          </w:p>
        </w:tc>
        <w:tc>
          <w:tcPr>
            <w:tcW w:w="6237" w:type="dxa"/>
            <w:gridSpan w:val="2"/>
            <w:vAlign w:val="center"/>
          </w:tcPr>
          <w:p w14:paraId="6182B3B5">
            <w:pPr>
              <w:widowControl/>
              <w:snapToGrid w:val="0"/>
              <w:spacing w:line="288" w:lineRule="auto"/>
              <w:rPr>
                <w:rFonts w:ascii="宋体" w:hAnsi="宋体"/>
                <w:szCs w:val="21"/>
              </w:rPr>
            </w:pPr>
            <w:r>
              <w:rPr>
                <w:rFonts w:hint="eastAsia" w:ascii="宋体" w:hAnsi="宋体"/>
                <w:szCs w:val="21"/>
              </w:rPr>
              <w:t>由评委会根据投标人提供的具体特色服务（除报价外）进行评审，主要考虑特色服务的实用性及实际价值：</w:t>
            </w:r>
          </w:p>
          <w:p w14:paraId="18B576ED">
            <w:pPr>
              <w:widowControl/>
              <w:snapToGrid w:val="0"/>
              <w:spacing w:line="288" w:lineRule="auto"/>
              <w:rPr>
                <w:rFonts w:ascii="宋体" w:hAnsi="宋体"/>
                <w:szCs w:val="21"/>
              </w:rPr>
            </w:pPr>
            <w:r>
              <w:rPr>
                <w:rFonts w:hint="eastAsia" w:ascii="宋体" w:hAnsi="宋体"/>
                <w:szCs w:val="21"/>
              </w:rPr>
              <w:t>1、特色服务力度大，具有临床实际价值，实用性强的，得5分；</w:t>
            </w:r>
          </w:p>
          <w:p w14:paraId="647609C7">
            <w:pPr>
              <w:widowControl/>
              <w:snapToGrid w:val="0"/>
              <w:spacing w:line="288" w:lineRule="auto"/>
              <w:rPr>
                <w:rFonts w:ascii="宋体" w:hAnsi="宋体"/>
                <w:szCs w:val="21"/>
              </w:rPr>
            </w:pPr>
            <w:r>
              <w:rPr>
                <w:rFonts w:hint="eastAsia" w:ascii="宋体" w:hAnsi="宋体"/>
                <w:szCs w:val="21"/>
              </w:rPr>
              <w:t>2、特色服务力度较大，有一定临床实际价值，实用性较强的，得3分；</w:t>
            </w:r>
          </w:p>
          <w:p w14:paraId="2BE5EBD3">
            <w:pPr>
              <w:widowControl/>
              <w:snapToGrid w:val="0"/>
              <w:spacing w:line="288" w:lineRule="auto"/>
              <w:rPr>
                <w:rFonts w:ascii="宋体" w:hAnsi="宋体"/>
                <w:szCs w:val="21"/>
              </w:rPr>
            </w:pPr>
            <w:r>
              <w:rPr>
                <w:rFonts w:hint="eastAsia" w:ascii="宋体" w:hAnsi="宋体"/>
                <w:szCs w:val="21"/>
              </w:rPr>
              <w:t>3、特色服务力度有待进一步完善的，得1分；</w:t>
            </w:r>
          </w:p>
          <w:p w14:paraId="192095CD">
            <w:pPr>
              <w:widowControl/>
              <w:snapToGrid w:val="0"/>
              <w:spacing w:line="288" w:lineRule="auto"/>
              <w:rPr>
                <w:rFonts w:ascii="宋体" w:hAnsi="宋体"/>
                <w:szCs w:val="21"/>
              </w:rPr>
            </w:pPr>
            <w:r>
              <w:rPr>
                <w:rFonts w:hint="eastAsia" w:ascii="宋体" w:hAnsi="宋体"/>
                <w:szCs w:val="21"/>
              </w:rPr>
              <w:t>4、未提供相应内容的不得分。</w:t>
            </w:r>
          </w:p>
        </w:tc>
      </w:tr>
      <w:tr w14:paraId="23D1C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2893063E">
            <w:pPr>
              <w:widowControl/>
              <w:snapToGrid w:val="0"/>
              <w:spacing w:line="288" w:lineRule="auto"/>
              <w:jc w:val="center"/>
              <w:rPr>
                <w:rFonts w:ascii="宋体" w:hAnsi="宋体"/>
                <w:kern w:val="0"/>
                <w:szCs w:val="21"/>
              </w:rPr>
            </w:pPr>
          </w:p>
        </w:tc>
        <w:tc>
          <w:tcPr>
            <w:tcW w:w="1701" w:type="dxa"/>
            <w:vAlign w:val="center"/>
          </w:tcPr>
          <w:p w14:paraId="709F16A1">
            <w:pPr>
              <w:widowControl/>
              <w:snapToGrid w:val="0"/>
              <w:spacing w:line="288" w:lineRule="auto"/>
              <w:rPr>
                <w:rFonts w:ascii="宋体" w:hAnsi="宋体"/>
                <w:szCs w:val="21"/>
              </w:rPr>
            </w:pPr>
            <w:r>
              <w:rPr>
                <w:rFonts w:hint="eastAsia" w:ascii="宋体" w:hAnsi="宋体"/>
                <w:szCs w:val="21"/>
              </w:rPr>
              <w:t>配套服务人员（5分）</w:t>
            </w:r>
          </w:p>
        </w:tc>
        <w:tc>
          <w:tcPr>
            <w:tcW w:w="6237" w:type="dxa"/>
            <w:gridSpan w:val="2"/>
            <w:vAlign w:val="center"/>
          </w:tcPr>
          <w:p w14:paraId="6C7EE94C">
            <w:pPr>
              <w:widowControl/>
              <w:snapToGrid w:val="0"/>
              <w:spacing w:line="288" w:lineRule="auto"/>
              <w:rPr>
                <w:rFonts w:ascii="宋体" w:hAnsi="宋体"/>
                <w:szCs w:val="21"/>
              </w:rPr>
            </w:pPr>
            <w:r>
              <w:rPr>
                <w:rFonts w:hint="eastAsia" w:ascii="宋体" w:hAnsi="宋体"/>
                <w:szCs w:val="21"/>
              </w:rPr>
              <w:t>根据投标人拟为本项目提供的配套服务人员数量评审：每提供1名得2.5分，满分5分。</w:t>
            </w:r>
          </w:p>
          <w:p w14:paraId="47792D89">
            <w:pPr>
              <w:widowControl/>
              <w:snapToGrid w:val="0"/>
              <w:spacing w:line="288" w:lineRule="auto"/>
              <w:rPr>
                <w:rFonts w:ascii="宋体" w:hAnsi="宋体"/>
                <w:szCs w:val="21"/>
              </w:rPr>
            </w:pPr>
            <w:r>
              <w:rPr>
                <w:rFonts w:hint="eastAsia" w:ascii="宋体" w:hAnsi="宋体"/>
                <w:szCs w:val="21"/>
              </w:rPr>
              <w:t>注：投标文件中提供服务人员数量承诺函。</w:t>
            </w:r>
          </w:p>
        </w:tc>
      </w:tr>
      <w:tr w14:paraId="35C13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Merge w:val="continue"/>
            <w:vAlign w:val="center"/>
          </w:tcPr>
          <w:p w14:paraId="3E3F528A">
            <w:pPr>
              <w:widowControl/>
              <w:snapToGrid w:val="0"/>
              <w:spacing w:line="288" w:lineRule="auto"/>
              <w:jc w:val="center"/>
              <w:rPr>
                <w:rFonts w:ascii="宋体" w:hAnsi="宋体"/>
                <w:kern w:val="0"/>
                <w:szCs w:val="21"/>
              </w:rPr>
            </w:pPr>
          </w:p>
        </w:tc>
        <w:tc>
          <w:tcPr>
            <w:tcW w:w="1701" w:type="dxa"/>
            <w:vAlign w:val="center"/>
          </w:tcPr>
          <w:p w14:paraId="0F2385FA">
            <w:pPr>
              <w:widowControl/>
              <w:snapToGrid w:val="0"/>
              <w:spacing w:line="288" w:lineRule="auto"/>
              <w:rPr>
                <w:rFonts w:ascii="宋体" w:hAnsi="宋体"/>
                <w:szCs w:val="21"/>
              </w:rPr>
            </w:pPr>
            <w:r>
              <w:rPr>
                <w:rFonts w:hint="eastAsia" w:ascii="宋体" w:hAnsi="宋体"/>
                <w:szCs w:val="21"/>
              </w:rPr>
              <w:t>产品业绩（15分）</w:t>
            </w:r>
          </w:p>
        </w:tc>
        <w:tc>
          <w:tcPr>
            <w:tcW w:w="6237" w:type="dxa"/>
            <w:gridSpan w:val="2"/>
            <w:vAlign w:val="center"/>
          </w:tcPr>
          <w:p w14:paraId="11E4D51E">
            <w:pPr>
              <w:widowControl/>
              <w:snapToGrid w:val="0"/>
              <w:spacing w:line="288" w:lineRule="auto"/>
              <w:rPr>
                <w:rFonts w:ascii="宋体" w:hAnsi="宋体"/>
                <w:szCs w:val="21"/>
              </w:rPr>
            </w:pPr>
            <w:r>
              <w:rPr>
                <w:rFonts w:hint="eastAsia" w:ascii="宋体" w:hAnsi="宋体"/>
                <w:szCs w:val="21"/>
              </w:rPr>
              <w:t>2022年1月1日以来（以合同签订时间为准），具有与重要产品（标注▲产品）中任一产品同品牌、同型号产品的医疗机构的配送（或供货）业绩，每提供一个业绩得3分，满分15分。</w:t>
            </w:r>
          </w:p>
          <w:p w14:paraId="1EF784C7">
            <w:pPr>
              <w:widowControl/>
              <w:snapToGrid w:val="0"/>
              <w:spacing w:line="288" w:lineRule="auto"/>
              <w:rPr>
                <w:rFonts w:ascii="宋体" w:hAnsi="宋体"/>
                <w:szCs w:val="21"/>
              </w:rPr>
            </w:pPr>
            <w:r>
              <w:rPr>
                <w:rFonts w:hint="eastAsia" w:ascii="宋体" w:hAnsi="宋体"/>
                <w:szCs w:val="21"/>
              </w:rPr>
              <w:t>注：1）此处业绩系指产品业绩，不限合同签订主体，但合同采购方须为医疗机构。投标文件中提供合同扫描件。如合同中无法体现签订时间、配送产品品牌等评审因素的，须同时提供业主单位加盖公章证明材料扫描件，否则不得分；</w:t>
            </w:r>
          </w:p>
          <w:p w14:paraId="7A31F13A">
            <w:pPr>
              <w:widowControl/>
              <w:snapToGrid w:val="0"/>
              <w:spacing w:line="288" w:lineRule="auto"/>
              <w:rPr>
                <w:rFonts w:ascii="宋体" w:hAnsi="宋体"/>
                <w:szCs w:val="21"/>
              </w:rPr>
            </w:pPr>
            <w:r>
              <w:rPr>
                <w:rFonts w:hint="eastAsia" w:ascii="宋体" w:hAnsi="宋体"/>
                <w:szCs w:val="21"/>
              </w:rPr>
              <w:t>2）业绩中产品须与本次所配送产品同品牌、同型号；</w:t>
            </w:r>
          </w:p>
          <w:p w14:paraId="4A0D8BDD">
            <w:pPr>
              <w:widowControl/>
              <w:snapToGrid w:val="0"/>
              <w:spacing w:line="288" w:lineRule="auto"/>
              <w:rPr>
                <w:rFonts w:ascii="宋体" w:hAnsi="宋体"/>
                <w:szCs w:val="21"/>
              </w:rPr>
            </w:pPr>
            <w:r>
              <w:rPr>
                <w:rFonts w:hint="eastAsia" w:ascii="宋体" w:hAnsi="宋体"/>
                <w:szCs w:val="21"/>
              </w:rPr>
              <w:t>3)同一家医疗机构业绩不累计计分，只计一次分；</w:t>
            </w:r>
          </w:p>
          <w:p w14:paraId="023727FC">
            <w:pPr>
              <w:widowControl/>
              <w:snapToGrid w:val="0"/>
              <w:spacing w:line="288" w:lineRule="auto"/>
              <w:rPr>
                <w:rFonts w:ascii="宋体" w:hAnsi="宋体"/>
                <w:szCs w:val="21"/>
              </w:rPr>
            </w:pPr>
            <w:r>
              <w:rPr>
                <w:rFonts w:hint="eastAsia" w:ascii="宋体" w:hAnsi="宋体"/>
                <w:szCs w:val="21"/>
              </w:rPr>
              <w:t>4）正在履约的和已完成项目业绩均予以认可；</w:t>
            </w:r>
          </w:p>
          <w:p w14:paraId="6CE4DE10">
            <w:pPr>
              <w:widowControl/>
              <w:snapToGrid w:val="0"/>
              <w:spacing w:line="288" w:lineRule="auto"/>
              <w:rPr>
                <w:rFonts w:ascii="宋体" w:hAnsi="宋体"/>
                <w:szCs w:val="21"/>
              </w:rPr>
            </w:pPr>
            <w:r>
              <w:rPr>
                <w:rFonts w:hint="eastAsia" w:ascii="宋体" w:hAnsi="宋体"/>
                <w:szCs w:val="21"/>
              </w:rPr>
              <w:t>5）同一业绩包含多个符合要求的产品，不累计计分。</w:t>
            </w:r>
          </w:p>
        </w:tc>
      </w:tr>
      <w:tr w14:paraId="5BB6F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vAlign w:val="center"/>
          </w:tcPr>
          <w:p w14:paraId="682D50A9">
            <w:pPr>
              <w:spacing w:line="360" w:lineRule="auto"/>
              <w:jc w:val="center"/>
              <w:rPr>
                <w:rFonts w:ascii="宋体" w:hAnsi="宋体"/>
                <w:szCs w:val="21"/>
              </w:rPr>
            </w:pPr>
            <w:r>
              <w:rPr>
                <w:rFonts w:hint="eastAsia" w:ascii="宋体" w:hAnsi="宋体"/>
                <w:szCs w:val="21"/>
              </w:rPr>
              <w:t>价格分</w:t>
            </w:r>
          </w:p>
          <w:p w14:paraId="79DD61D1">
            <w:pPr>
              <w:widowControl/>
              <w:snapToGrid w:val="0"/>
              <w:spacing w:line="288" w:lineRule="auto"/>
              <w:jc w:val="center"/>
              <w:rPr>
                <w:rFonts w:ascii="宋体" w:hAnsi="宋体"/>
                <w:kern w:val="0"/>
                <w:szCs w:val="21"/>
              </w:rPr>
            </w:pPr>
            <w:r>
              <w:rPr>
                <w:rFonts w:hint="eastAsia" w:ascii="宋体" w:hAnsi="宋体"/>
                <w:szCs w:val="21"/>
              </w:rPr>
              <w:t>（</w:t>
            </w:r>
            <w:r>
              <w:rPr>
                <w:rFonts w:hint="eastAsia" w:ascii="宋体" w:hAnsi="宋体"/>
                <w:szCs w:val="21"/>
                <w:u w:val="single"/>
                <w:lang w:val="en-US" w:eastAsia="zh-CN"/>
              </w:rPr>
              <w:t>15</w:t>
            </w:r>
            <w:r>
              <w:rPr>
                <w:rFonts w:hint="eastAsia" w:ascii="宋体" w:hAnsi="宋体"/>
                <w:szCs w:val="21"/>
                <w:u w:val="single"/>
              </w:rPr>
              <w:t>分</w:t>
            </w:r>
            <w:r>
              <w:rPr>
                <w:rFonts w:hint="eastAsia" w:ascii="宋体" w:hAnsi="宋体"/>
                <w:szCs w:val="21"/>
              </w:rPr>
              <w:t>）</w:t>
            </w:r>
          </w:p>
        </w:tc>
        <w:tc>
          <w:tcPr>
            <w:tcW w:w="5926" w:type="dxa"/>
            <w:gridSpan w:val="2"/>
            <w:vAlign w:val="center"/>
          </w:tcPr>
          <w:p w14:paraId="6873CB58">
            <w:pPr>
              <w:spacing w:line="360" w:lineRule="auto"/>
              <w:rPr>
                <w:rFonts w:ascii="宋体" w:hAnsi="宋体"/>
                <w:szCs w:val="21"/>
              </w:rPr>
            </w:pPr>
            <w:r>
              <w:rPr>
                <w:rFonts w:hint="eastAsia" w:ascii="宋体" w:hAnsi="宋体"/>
                <w:szCs w:val="21"/>
              </w:rPr>
              <w:t>价格分统一采用低价优先法，即满足招标文件要求且投标价格最低的投标报价为评标基准价，其价格分为满分</w:t>
            </w:r>
            <w:r>
              <w:rPr>
                <w:rFonts w:hint="eastAsia" w:ascii="宋体" w:hAnsi="宋体"/>
                <w:szCs w:val="21"/>
                <w:u w:val="single"/>
                <w:lang w:val="en-US" w:eastAsia="zh-CN"/>
              </w:rPr>
              <w:t>15</w:t>
            </w:r>
            <w:r>
              <w:rPr>
                <w:rFonts w:hint="eastAsia" w:ascii="宋体" w:hAnsi="宋体"/>
                <w:szCs w:val="21"/>
                <w:u w:val="single"/>
              </w:rPr>
              <w:t>分</w:t>
            </w:r>
            <w:r>
              <w:rPr>
                <w:rFonts w:hint="eastAsia" w:ascii="宋体" w:hAnsi="宋体"/>
                <w:szCs w:val="21"/>
              </w:rPr>
              <w:t>。其他投标人的价格分统一按照下列公式计算：</w:t>
            </w:r>
          </w:p>
          <w:p w14:paraId="62F279C7">
            <w:pPr>
              <w:widowControl/>
              <w:snapToGrid w:val="0"/>
              <w:spacing w:line="288" w:lineRule="auto"/>
              <w:rPr>
                <w:rFonts w:ascii="宋体" w:hAnsi="宋体"/>
                <w:szCs w:val="21"/>
              </w:rPr>
            </w:pPr>
            <w:r>
              <w:rPr>
                <w:rFonts w:hint="eastAsia" w:ascii="宋体" w:hAnsi="宋体"/>
                <w:szCs w:val="21"/>
              </w:rPr>
              <w:t>投标报价得分＝（评标基准价/投标报价）×</w:t>
            </w:r>
            <w:r>
              <w:rPr>
                <w:rFonts w:hint="eastAsia" w:ascii="宋体" w:hAnsi="宋体"/>
                <w:szCs w:val="21"/>
                <w:u w:val="single"/>
                <w:lang w:val="en-US" w:eastAsia="zh-CN"/>
              </w:rPr>
              <w:t>15</w:t>
            </w:r>
            <w:r>
              <w:rPr>
                <w:rFonts w:hint="eastAsia" w:ascii="宋体" w:hAnsi="宋体"/>
                <w:szCs w:val="21"/>
              </w:rPr>
              <w:t>％×100</w:t>
            </w:r>
          </w:p>
        </w:tc>
        <w:tc>
          <w:tcPr>
            <w:tcW w:w="2012" w:type="dxa"/>
            <w:vAlign w:val="center"/>
          </w:tcPr>
          <w:p w14:paraId="4CC0B2A9">
            <w:pPr>
              <w:snapToGrid w:val="0"/>
              <w:spacing w:line="288" w:lineRule="auto"/>
              <w:ind w:left="-38"/>
              <w:rPr>
                <w:rFonts w:ascii="宋体" w:hAnsi="宋体"/>
                <w:i/>
                <w:szCs w:val="21"/>
              </w:rPr>
            </w:pPr>
            <w:r>
              <w:rPr>
                <w:rFonts w:hint="eastAsia" w:ascii="宋体" w:hAnsi="宋体"/>
                <w:szCs w:val="21"/>
              </w:rPr>
              <w:t>符合价格扣除政策的，用扣除后的价格参与计算、评分。</w:t>
            </w:r>
          </w:p>
        </w:tc>
      </w:tr>
    </w:tbl>
    <w:p w14:paraId="138C5F86">
      <w:pPr>
        <w:pStyle w:val="30"/>
        <w:adjustRightInd w:val="0"/>
        <w:snapToGrid w:val="0"/>
        <w:spacing w:before="0" w:line="360" w:lineRule="auto"/>
        <w:ind w:firstLine="422" w:firstLineChars="200"/>
        <w:rPr>
          <w:rFonts w:ascii="宋体" w:hAnsi="宋体" w:cs="宋体"/>
          <w:b/>
          <w:sz w:val="21"/>
          <w:szCs w:val="24"/>
        </w:rPr>
      </w:pPr>
    </w:p>
    <w:p w14:paraId="63F1FF0C">
      <w:pPr>
        <w:spacing w:before="96" w:beforeLines="40" w:after="96" w:afterLines="40" w:line="400" w:lineRule="exact"/>
        <w:ind w:firstLine="422" w:firstLineChars="200"/>
        <w:jc w:val="left"/>
        <w:rPr>
          <w:rFonts w:ascii="宋体" w:hAnsi="宋体" w:cs="宋体"/>
          <w:b/>
          <w:bCs/>
        </w:rPr>
      </w:pPr>
      <w:r>
        <w:rPr>
          <w:rFonts w:hint="eastAsia" w:ascii="宋体" w:hAnsi="宋体" w:cs="宋体"/>
          <w:b/>
          <w:bCs/>
        </w:rPr>
        <w:t>3、详细评审结束后，将对有效投标供应商得分进行汇总排序。</w:t>
      </w:r>
    </w:p>
    <w:p w14:paraId="263BAFCC">
      <w:pPr>
        <w:spacing w:before="96" w:beforeLines="40" w:after="96" w:afterLines="40" w:line="400" w:lineRule="exact"/>
        <w:ind w:firstLine="420" w:firstLineChars="200"/>
        <w:jc w:val="left"/>
        <w:rPr>
          <w:rFonts w:ascii="宋体" w:hAnsi="宋体"/>
        </w:rPr>
      </w:pPr>
      <w:r>
        <w:rPr>
          <w:rFonts w:hint="eastAsia" w:ascii="宋体" w:hAnsi="宋体" w:cs="宋体"/>
        </w:rPr>
        <w:t>（1）将每个有效投标供应商的技术和资信分之和再加上根据上面步骤</w:t>
      </w:r>
      <w:r>
        <w:rPr>
          <w:rFonts w:hint="eastAsia" w:ascii="宋体" w:hAnsi="宋体"/>
        </w:rPr>
        <w:t>计算出的投标报价得分，即为该投标供应商的综合总得分，综合总得分保留两位小数，小数点后第三位四舍五入。</w:t>
      </w:r>
    </w:p>
    <w:p w14:paraId="4F3AE0F3">
      <w:pPr>
        <w:spacing w:before="96" w:beforeLines="40" w:after="96" w:afterLines="40" w:line="400" w:lineRule="exact"/>
        <w:ind w:firstLine="420" w:firstLineChars="200"/>
        <w:jc w:val="left"/>
        <w:rPr>
          <w:rFonts w:ascii="宋体" w:hAnsi="宋体"/>
        </w:rPr>
      </w:pPr>
      <w:r>
        <w:rPr>
          <w:rFonts w:hint="eastAsia" w:ascii="宋体" w:hAnsi="宋体"/>
        </w:rPr>
        <w:t>（2）按照有效投标供应商综合总得分由高到低排出中标候选人。</w:t>
      </w:r>
    </w:p>
    <w:p w14:paraId="7F2ECDCE">
      <w:pPr>
        <w:pStyle w:val="30"/>
        <w:adjustRightInd w:val="0"/>
        <w:snapToGrid w:val="0"/>
        <w:spacing w:before="0" w:line="360" w:lineRule="auto"/>
        <w:ind w:firstLine="422" w:firstLineChars="200"/>
        <w:outlineLvl w:val="9"/>
        <w:rPr>
          <w:rFonts w:ascii="宋体" w:hAnsi="宋体"/>
          <w:b/>
          <w:bCs/>
          <w:kern w:val="2"/>
          <w:sz w:val="21"/>
          <w:szCs w:val="21"/>
        </w:rPr>
      </w:pPr>
      <w:bookmarkStart w:id="893" w:name="_Toc466024573"/>
      <w:bookmarkStart w:id="894" w:name="_Toc256409867"/>
      <w:bookmarkStart w:id="895" w:name="_Toc153636085"/>
      <w:bookmarkStart w:id="896" w:name="_Toc153485042"/>
      <w:bookmarkStart w:id="897" w:name="_Toc256955329"/>
      <w:bookmarkStart w:id="898" w:name="_Toc201377864"/>
      <w:bookmarkStart w:id="899" w:name="_Toc138323410"/>
      <w:bookmarkStart w:id="900" w:name="_Toc255490647"/>
      <w:bookmarkStart w:id="901" w:name="_Toc176780575"/>
      <w:bookmarkStart w:id="902" w:name="_Toc165463683"/>
      <w:bookmarkStart w:id="903" w:name="_Toc153634810"/>
      <w:bookmarkStart w:id="904" w:name="_Toc139194404"/>
      <w:bookmarkStart w:id="905" w:name="_Toc199585022"/>
      <w:bookmarkStart w:id="906" w:name="_Toc177181404"/>
      <w:bookmarkStart w:id="907" w:name="_Toc138638816"/>
      <w:bookmarkStart w:id="908" w:name="_Toc176927207"/>
      <w:bookmarkStart w:id="909" w:name="_Toc162406884"/>
      <w:bookmarkStart w:id="910" w:name="_Toc192231354"/>
      <w:bookmarkStart w:id="911" w:name="_Toc221418700"/>
      <w:bookmarkStart w:id="912" w:name="_Toc153630652"/>
      <w:bookmarkStart w:id="913" w:name="_Toc162410278"/>
      <w:bookmarkStart w:id="914" w:name="_Toc256434217"/>
      <w:bookmarkStart w:id="915" w:name="_Toc153635713"/>
      <w:bookmarkStart w:id="916" w:name="_Toc162331289"/>
      <w:bookmarkStart w:id="917" w:name="_Toc152696791"/>
    </w:p>
    <w:p w14:paraId="1D59E891">
      <w:pPr>
        <w:pStyle w:val="3"/>
        <w:widowControl/>
        <w:adjustRightInd w:val="0"/>
        <w:spacing w:before="0" w:after="0" w:line="360" w:lineRule="auto"/>
        <w:ind w:firstLine="482" w:firstLineChars="200"/>
        <w:rPr>
          <w:rFonts w:ascii="宋体" w:hAnsi="宋体"/>
          <w:sz w:val="24"/>
          <w:szCs w:val="24"/>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bookmarkEnd w:id="893"/>
    <w:p w14:paraId="51136B12">
      <w:pPr>
        <w:pStyle w:val="2"/>
        <w:widowControl/>
        <w:spacing w:before="0" w:after="0" w:line="240" w:lineRule="auto"/>
        <w:jc w:val="center"/>
        <w:rPr>
          <w:rFonts w:ascii="宋体" w:hAnsi="宋体"/>
        </w:rPr>
      </w:pPr>
      <w:bookmarkStart w:id="918" w:name="_Toc445554783"/>
      <w:bookmarkStart w:id="919" w:name="_Toc528829643"/>
      <w:bookmarkStart w:id="920" w:name="_Toc19125"/>
      <w:bookmarkStart w:id="921" w:name="_Toc466024582"/>
      <w:bookmarkStart w:id="922" w:name="_Toc29015"/>
      <w:bookmarkStart w:id="923" w:name="_Toc30969"/>
      <w:bookmarkStart w:id="924" w:name="_Toc284"/>
      <w:r>
        <w:rPr>
          <w:rFonts w:hint="eastAsia" w:ascii="宋体" w:hAnsi="宋体"/>
        </w:rPr>
        <w:t xml:space="preserve">第五章  </w:t>
      </w:r>
      <w:bookmarkEnd w:id="918"/>
      <w:bookmarkEnd w:id="919"/>
      <w:bookmarkEnd w:id="920"/>
      <w:bookmarkEnd w:id="921"/>
      <w:bookmarkEnd w:id="922"/>
      <w:r>
        <w:rPr>
          <w:rFonts w:hint="eastAsia" w:ascii="宋体" w:hAnsi="宋体"/>
        </w:rPr>
        <w:t>政府采购合同</w:t>
      </w:r>
      <w:bookmarkEnd w:id="923"/>
      <w:bookmarkEnd w:id="924"/>
    </w:p>
    <w:p w14:paraId="0EEEAA40">
      <w:pPr>
        <w:rPr>
          <w:rFonts w:ascii="宋体" w:hAnsi="宋体"/>
          <w:b/>
          <w:sz w:val="32"/>
          <w:szCs w:val="32"/>
        </w:rPr>
      </w:pPr>
      <w:bookmarkStart w:id="925" w:name="_Toc466024583"/>
    </w:p>
    <w:p w14:paraId="23B7B60E">
      <w:pPr>
        <w:spacing w:line="480" w:lineRule="auto"/>
        <w:jc w:val="center"/>
        <w:outlineLvl w:val="1"/>
        <w:rPr>
          <w:rFonts w:ascii="仿宋" w:hAnsi="仿宋" w:eastAsia="仿宋" w:cs="仿宋"/>
          <w:b/>
          <w:sz w:val="32"/>
          <w:szCs w:val="32"/>
        </w:rPr>
      </w:pPr>
      <w:r>
        <w:rPr>
          <w:rFonts w:hint="eastAsia" w:ascii="仿宋" w:hAnsi="仿宋" w:eastAsia="仿宋" w:cs="仿宋"/>
          <w:b/>
          <w:sz w:val="32"/>
          <w:szCs w:val="32"/>
        </w:rPr>
        <w:t>政府采购合同参考范本</w:t>
      </w:r>
    </w:p>
    <w:p w14:paraId="1EBF28B6">
      <w:pPr>
        <w:spacing w:line="480" w:lineRule="auto"/>
        <w:jc w:val="center"/>
        <w:outlineLvl w:val="1"/>
        <w:rPr>
          <w:rFonts w:ascii="仿宋" w:hAnsi="仿宋" w:eastAsia="仿宋" w:cs="仿宋"/>
          <w:b/>
          <w:sz w:val="32"/>
          <w:szCs w:val="32"/>
        </w:rPr>
      </w:pPr>
      <w:r>
        <w:rPr>
          <w:rFonts w:hint="eastAsia" w:ascii="仿宋" w:hAnsi="仿宋" w:eastAsia="仿宋" w:cs="仿宋"/>
          <w:b/>
          <w:sz w:val="32"/>
          <w:szCs w:val="32"/>
        </w:rPr>
        <w:t>（服务类）</w:t>
      </w:r>
    </w:p>
    <w:p w14:paraId="59DB19CE">
      <w:pPr>
        <w:spacing w:line="480" w:lineRule="auto"/>
        <w:jc w:val="center"/>
        <w:rPr>
          <w:rFonts w:ascii="仿宋" w:hAnsi="仿宋" w:eastAsia="仿宋" w:cs="仿宋"/>
          <w:b/>
          <w:sz w:val="24"/>
        </w:rPr>
      </w:pPr>
    </w:p>
    <w:p w14:paraId="30FC36F3">
      <w:pPr>
        <w:spacing w:line="480" w:lineRule="auto"/>
        <w:jc w:val="center"/>
        <w:rPr>
          <w:rFonts w:ascii="仿宋" w:hAnsi="仿宋" w:eastAsia="仿宋" w:cs="仿宋"/>
          <w:b/>
          <w:sz w:val="24"/>
        </w:rPr>
      </w:pPr>
    </w:p>
    <w:p w14:paraId="44271EDB">
      <w:pPr>
        <w:spacing w:line="480" w:lineRule="auto"/>
        <w:jc w:val="center"/>
        <w:rPr>
          <w:rFonts w:ascii="仿宋" w:hAnsi="仿宋" w:eastAsia="仿宋" w:cs="仿宋"/>
          <w:b/>
          <w:sz w:val="24"/>
        </w:rPr>
      </w:pPr>
    </w:p>
    <w:p w14:paraId="0E1D5C86">
      <w:pPr>
        <w:spacing w:line="360" w:lineRule="auto"/>
        <w:jc w:val="center"/>
        <w:outlineLvl w:val="1"/>
        <w:rPr>
          <w:rFonts w:ascii="仿宋" w:hAnsi="仿宋" w:eastAsia="仿宋" w:cs="仿宋"/>
          <w:b/>
          <w:sz w:val="24"/>
        </w:rPr>
      </w:pPr>
      <w:r>
        <w:rPr>
          <w:rFonts w:hint="eastAsia" w:ascii="仿宋" w:hAnsi="仿宋" w:eastAsia="仿宋" w:cs="仿宋"/>
          <w:b/>
          <w:sz w:val="24"/>
        </w:rPr>
        <w:t>第一部分合同书</w:t>
      </w:r>
    </w:p>
    <w:p w14:paraId="2BDF85D9">
      <w:pPr>
        <w:spacing w:line="480" w:lineRule="auto"/>
        <w:jc w:val="center"/>
        <w:rPr>
          <w:rFonts w:ascii="仿宋" w:hAnsi="仿宋" w:eastAsia="仿宋" w:cs="仿宋"/>
          <w:b/>
          <w:sz w:val="24"/>
        </w:rPr>
      </w:pPr>
    </w:p>
    <w:p w14:paraId="0F003FCE">
      <w:pPr>
        <w:spacing w:line="480" w:lineRule="auto"/>
        <w:jc w:val="center"/>
        <w:rPr>
          <w:rFonts w:ascii="仿宋" w:hAnsi="仿宋" w:eastAsia="仿宋" w:cs="仿宋"/>
          <w:b/>
          <w:sz w:val="24"/>
        </w:rPr>
      </w:pPr>
    </w:p>
    <w:p w14:paraId="784F0688">
      <w:pPr>
        <w:spacing w:line="480" w:lineRule="auto"/>
        <w:jc w:val="center"/>
        <w:rPr>
          <w:rFonts w:ascii="仿宋" w:hAnsi="仿宋" w:eastAsia="仿宋" w:cs="仿宋"/>
          <w:b/>
          <w:sz w:val="24"/>
        </w:rPr>
      </w:pPr>
    </w:p>
    <w:p w14:paraId="0792C607">
      <w:pPr>
        <w:spacing w:before="120" w:line="480" w:lineRule="auto"/>
        <w:ind w:left="960"/>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iCs/>
          <w:sz w:val="24"/>
        </w:rPr>
        <w:t>安徽医科大学附属口腔医院（安徽省口腔医院）2025年度第五批医用耗材配送服务项目（第X包-）</w:t>
      </w:r>
    </w:p>
    <w:p w14:paraId="08F38A4D">
      <w:pPr>
        <w:spacing w:before="120" w:line="480" w:lineRule="auto"/>
        <w:ind w:left="960"/>
        <w:rPr>
          <w:rFonts w:ascii="仿宋" w:hAnsi="仿宋" w:eastAsia="仿宋" w:cs="仿宋"/>
          <w:sz w:val="24"/>
        </w:rPr>
      </w:pPr>
      <w:r>
        <w:rPr>
          <w:rFonts w:hint="eastAsia" w:ascii="仿宋" w:hAnsi="仿宋" w:eastAsia="仿宋" w:cs="仿宋"/>
          <w:sz w:val="24"/>
        </w:rPr>
        <w:t>项目编号：25AT91036606547</w:t>
      </w:r>
    </w:p>
    <w:p w14:paraId="6420966E">
      <w:pPr>
        <w:spacing w:before="120" w:line="480" w:lineRule="auto"/>
        <w:ind w:left="960"/>
        <w:rPr>
          <w:rFonts w:ascii="仿宋" w:hAnsi="仿宋" w:eastAsia="仿宋" w:cs="仿宋"/>
          <w:sz w:val="24"/>
          <w:u w:val="single"/>
        </w:rPr>
      </w:pPr>
      <w:r>
        <w:rPr>
          <w:rFonts w:hint="eastAsia" w:ascii="仿宋" w:hAnsi="仿宋" w:eastAsia="仿宋" w:cs="仿宋"/>
          <w:sz w:val="24"/>
        </w:rPr>
        <w:t>甲方（采购人）：</w:t>
      </w:r>
      <w:r>
        <w:rPr>
          <w:rFonts w:hint="eastAsia" w:ascii="仿宋" w:hAnsi="仿宋" w:eastAsia="仿宋" w:cs="仿宋"/>
          <w:sz w:val="24"/>
          <w:u w:val="single"/>
        </w:rPr>
        <w:t>安徽医科大学附属口腔医院（安徽省口腔医院）</w:t>
      </w:r>
    </w:p>
    <w:p w14:paraId="25E06DBB">
      <w:pPr>
        <w:spacing w:before="120" w:line="480" w:lineRule="auto"/>
        <w:ind w:left="960"/>
        <w:rPr>
          <w:rFonts w:ascii="仿宋" w:hAnsi="仿宋" w:eastAsia="仿宋" w:cs="仿宋"/>
          <w:sz w:val="24"/>
          <w:u w:val="single"/>
        </w:rPr>
      </w:pPr>
      <w:r>
        <w:rPr>
          <w:rFonts w:hint="eastAsia" w:ascii="仿宋" w:hAnsi="仿宋" w:eastAsia="仿宋" w:cs="仿宋"/>
          <w:sz w:val="24"/>
        </w:rPr>
        <w:t>乙方（中标人）：</w:t>
      </w:r>
    </w:p>
    <w:p w14:paraId="254148FD">
      <w:pPr>
        <w:spacing w:before="120" w:line="480" w:lineRule="auto"/>
        <w:ind w:firstLine="960" w:firstLineChars="400"/>
        <w:rPr>
          <w:rFonts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合肥市</w:t>
      </w:r>
    </w:p>
    <w:p w14:paraId="23BE8720">
      <w:pPr>
        <w:spacing w:before="120" w:line="480" w:lineRule="auto"/>
        <w:ind w:firstLine="960" w:firstLineChars="400"/>
        <w:rPr>
          <w:rFonts w:ascii="仿宋" w:hAnsi="仿宋" w:eastAsia="仿宋" w:cs="仿宋"/>
          <w:sz w:val="24"/>
        </w:rPr>
      </w:pPr>
      <w:r>
        <w:rPr>
          <w:rFonts w:hint="eastAsia" w:ascii="仿宋" w:hAnsi="仿宋" w:eastAsia="仿宋" w:cs="仿宋"/>
          <w:sz w:val="24"/>
        </w:rPr>
        <w:t>签订日期：年月日</w:t>
      </w:r>
    </w:p>
    <w:p w14:paraId="4F44F6C2">
      <w:pPr>
        <w:widowControl/>
        <w:jc w:val="left"/>
        <w:rPr>
          <w:rFonts w:ascii="仿宋" w:hAnsi="仿宋" w:eastAsia="仿宋" w:cs="仿宋"/>
          <w:sz w:val="24"/>
        </w:rPr>
      </w:pPr>
      <w:r>
        <w:rPr>
          <w:rFonts w:hint="eastAsia" w:ascii="仿宋" w:hAnsi="仿宋" w:eastAsia="仿宋" w:cs="仿宋"/>
          <w:sz w:val="24"/>
        </w:rPr>
        <w:br w:type="page"/>
      </w:r>
    </w:p>
    <w:p w14:paraId="5EE1BAF2">
      <w:pPr>
        <w:spacing w:line="360" w:lineRule="auto"/>
        <w:ind w:firstLine="480" w:firstLineChars="200"/>
        <w:rPr>
          <w:rFonts w:ascii="仿宋" w:hAnsi="仿宋" w:eastAsia="仿宋" w:cs="仿宋"/>
          <w:sz w:val="24"/>
        </w:rPr>
      </w:pPr>
      <w:r>
        <w:rPr>
          <w:rFonts w:hint="eastAsia" w:ascii="仿宋" w:hAnsi="仿宋" w:eastAsia="仿宋" w:cs="仿宋"/>
          <w:sz w:val="24"/>
          <w:u w:val="single"/>
        </w:rPr>
        <w:t>安徽医科大学附属口腔医院（安徽省口腔医院）</w:t>
      </w:r>
      <w:r>
        <w:rPr>
          <w:rFonts w:hint="eastAsia" w:ascii="仿宋" w:hAnsi="仿宋" w:eastAsia="仿宋" w:cs="仿宋"/>
          <w:sz w:val="24"/>
        </w:rPr>
        <w:t>（</w:t>
      </w:r>
      <w:r>
        <w:rPr>
          <w:rFonts w:hint="eastAsia" w:ascii="仿宋" w:hAnsi="仿宋" w:eastAsia="仿宋" w:cs="仿宋"/>
          <w:sz w:val="24"/>
          <w:lang w:val="zh-CN"/>
        </w:rPr>
        <w:t>以下简称：甲方</w:t>
      </w:r>
      <w:r>
        <w:rPr>
          <w:rFonts w:hint="eastAsia" w:ascii="仿宋" w:hAnsi="仿宋" w:eastAsia="仿宋" w:cs="仿宋"/>
          <w:sz w:val="24"/>
        </w:rPr>
        <w:t>）通过组织的</w:t>
      </w:r>
      <w:r>
        <w:rPr>
          <w:rFonts w:hint="eastAsia" w:ascii="仿宋" w:hAnsi="仿宋" w:eastAsia="仿宋" w:cs="仿宋"/>
          <w:sz w:val="24"/>
          <w:u w:val="single"/>
        </w:rPr>
        <w:t>公开招标</w:t>
      </w:r>
      <w:r>
        <w:rPr>
          <w:rFonts w:hint="eastAsia" w:ascii="仿宋" w:hAnsi="仿宋" w:eastAsia="仿宋" w:cs="仿宋"/>
          <w:sz w:val="24"/>
        </w:rPr>
        <w:t>方式采购活动，经</w:t>
      </w:r>
      <w:r>
        <w:rPr>
          <w:rFonts w:hint="eastAsia" w:ascii="仿宋" w:hAnsi="仿宋" w:eastAsia="仿宋" w:cs="仿宋"/>
          <w:sz w:val="24"/>
          <w:u w:val="single"/>
        </w:rPr>
        <w:t>评标委员会</w:t>
      </w:r>
      <w:r>
        <w:rPr>
          <w:rFonts w:hint="eastAsia" w:ascii="仿宋" w:hAnsi="仿宋" w:eastAsia="仿宋" w:cs="仿宋"/>
          <w:sz w:val="24"/>
        </w:rPr>
        <w:t>评定，</w:t>
      </w:r>
      <w:r>
        <w:rPr>
          <w:rFonts w:hint="eastAsia" w:ascii="仿宋" w:hAnsi="仿宋" w:eastAsia="仿宋" w:cs="仿宋"/>
          <w:iCs/>
          <w:sz w:val="24"/>
          <w:u w:val="single"/>
        </w:rPr>
        <w:t>（中标人名称）</w:t>
      </w:r>
      <w:r>
        <w:rPr>
          <w:rFonts w:hint="eastAsia" w:ascii="仿宋" w:hAnsi="仿宋" w:eastAsia="仿宋" w:cs="仿宋"/>
          <w:sz w:val="24"/>
        </w:rPr>
        <w:t>（</w:t>
      </w:r>
      <w:r>
        <w:rPr>
          <w:rFonts w:hint="eastAsia" w:ascii="仿宋" w:hAnsi="仿宋" w:eastAsia="仿宋" w:cs="仿宋"/>
          <w:sz w:val="24"/>
          <w:lang w:val="zh-CN"/>
        </w:rPr>
        <w:t>以下简称：乙方</w:t>
      </w:r>
      <w:r>
        <w:rPr>
          <w:rFonts w:hint="eastAsia" w:ascii="仿宋" w:hAnsi="仿宋" w:eastAsia="仿宋" w:cs="仿宋"/>
          <w:sz w:val="24"/>
        </w:rPr>
        <w:t>）为本项目中标人，现按照采购文件确定的事项签订本合同。</w:t>
      </w:r>
    </w:p>
    <w:p w14:paraId="2A5B3D1E">
      <w:pPr>
        <w:spacing w:line="360" w:lineRule="auto"/>
        <w:ind w:firstLine="435"/>
        <w:rPr>
          <w:rFonts w:ascii="仿宋" w:hAnsi="仿宋" w:eastAsia="仿宋" w:cs="仿宋"/>
          <w:sz w:val="24"/>
          <w:lang w:val="zh-CN"/>
        </w:rPr>
      </w:pPr>
      <w:r>
        <w:rPr>
          <w:rFonts w:hint="eastAsia" w:ascii="仿宋" w:hAnsi="仿宋" w:eastAsia="仿宋" w:cs="仿宋"/>
          <w:sz w:val="24"/>
        </w:rPr>
        <w:t>根据《中华人民共和国民法典》《中华人民共和国政府采购法》等相关法律法规之规定，按照平等、自愿、公平和诚实信用的原则，经甲方和乙方协商一致，约定以下合同条款，以兹共同遵守、全面履行。</w:t>
      </w:r>
    </w:p>
    <w:p w14:paraId="726749DC">
      <w:pPr>
        <w:spacing w:line="360" w:lineRule="auto"/>
        <w:ind w:firstLine="437"/>
        <w:outlineLvl w:val="2"/>
        <w:rPr>
          <w:rFonts w:ascii="仿宋" w:hAnsi="仿宋" w:eastAsia="仿宋" w:cs="仿宋"/>
          <w:b/>
          <w:bCs/>
          <w:sz w:val="24"/>
          <w:lang w:val="zh-CN"/>
        </w:rPr>
      </w:pPr>
      <w:bookmarkStart w:id="926" w:name="_Toc3029"/>
      <w:bookmarkStart w:id="927" w:name="_Toc2232"/>
      <w:bookmarkStart w:id="928" w:name="_Toc24059"/>
      <w:r>
        <w:rPr>
          <w:rFonts w:hint="eastAsia" w:ascii="仿宋" w:hAnsi="仿宋" w:eastAsia="仿宋" w:cs="仿宋"/>
          <w:b/>
          <w:bCs/>
          <w:sz w:val="24"/>
          <w:lang w:val="zh-CN"/>
        </w:rPr>
        <w:t>1.1合同组成部分</w:t>
      </w:r>
      <w:bookmarkEnd w:id="926"/>
      <w:bookmarkEnd w:id="927"/>
      <w:bookmarkEnd w:id="928"/>
    </w:p>
    <w:p w14:paraId="3C609B1A">
      <w:pPr>
        <w:spacing w:line="360" w:lineRule="auto"/>
        <w:ind w:firstLine="435"/>
        <w:rPr>
          <w:rFonts w:ascii="仿宋" w:hAnsi="仿宋" w:eastAsia="仿宋" w:cs="仿宋"/>
          <w:sz w:val="24"/>
          <w:lang w:val="zh-CN"/>
        </w:rPr>
      </w:pPr>
      <w:r>
        <w:rPr>
          <w:rFonts w:hint="eastAsia" w:ascii="仿宋" w:hAnsi="仿宋" w:eastAsia="仿宋" w:cs="仿宋"/>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5CDC454">
      <w:pPr>
        <w:spacing w:line="360" w:lineRule="auto"/>
        <w:ind w:firstLine="435"/>
        <w:rPr>
          <w:rFonts w:ascii="仿宋" w:hAnsi="仿宋" w:eastAsia="仿宋" w:cs="仿宋"/>
          <w:sz w:val="24"/>
          <w:lang w:val="zh-CN"/>
        </w:rPr>
      </w:pPr>
      <w:r>
        <w:rPr>
          <w:rFonts w:hint="eastAsia" w:ascii="仿宋" w:hAnsi="仿宋" w:eastAsia="仿宋" w:cs="仿宋"/>
          <w:sz w:val="24"/>
          <w:lang w:val="zh-CN"/>
        </w:rPr>
        <w:t>1.1.1本合同及其补充合同、变更协议；</w:t>
      </w:r>
    </w:p>
    <w:p w14:paraId="5C353E58">
      <w:pPr>
        <w:spacing w:line="360" w:lineRule="auto"/>
        <w:ind w:firstLine="435"/>
        <w:rPr>
          <w:rFonts w:ascii="仿宋" w:hAnsi="仿宋" w:eastAsia="仿宋" w:cs="仿宋"/>
          <w:sz w:val="24"/>
          <w:lang w:val="zh-CN"/>
        </w:rPr>
      </w:pPr>
      <w:r>
        <w:rPr>
          <w:rFonts w:hint="eastAsia" w:ascii="仿宋" w:hAnsi="仿宋" w:eastAsia="仿宋" w:cs="仿宋"/>
          <w:sz w:val="24"/>
          <w:lang w:val="zh-CN"/>
        </w:rPr>
        <w:t>1.1.2中标通知书；</w:t>
      </w:r>
    </w:p>
    <w:p w14:paraId="2B5ECE71">
      <w:pPr>
        <w:spacing w:line="360" w:lineRule="auto"/>
        <w:ind w:firstLine="435"/>
        <w:rPr>
          <w:rFonts w:ascii="仿宋" w:hAnsi="仿宋" w:eastAsia="仿宋" w:cs="仿宋"/>
          <w:sz w:val="24"/>
          <w:lang w:val="zh-CN"/>
        </w:rPr>
      </w:pPr>
      <w:r>
        <w:rPr>
          <w:rFonts w:hint="eastAsia" w:ascii="仿宋" w:hAnsi="仿宋" w:eastAsia="仿宋" w:cs="仿宋"/>
          <w:sz w:val="24"/>
          <w:lang w:val="zh-CN"/>
        </w:rPr>
        <w:t>1.1.3投标文件（含澄清或者说明文件）；</w:t>
      </w:r>
    </w:p>
    <w:p w14:paraId="7E31C785">
      <w:pPr>
        <w:spacing w:line="360" w:lineRule="auto"/>
        <w:ind w:firstLine="435"/>
        <w:rPr>
          <w:rFonts w:ascii="仿宋" w:hAnsi="仿宋" w:eastAsia="仿宋" w:cs="仿宋"/>
          <w:sz w:val="24"/>
          <w:lang w:val="zh-CN"/>
        </w:rPr>
      </w:pPr>
      <w:r>
        <w:rPr>
          <w:rFonts w:hint="eastAsia" w:ascii="仿宋" w:hAnsi="仿宋" w:eastAsia="仿宋" w:cs="仿宋"/>
          <w:sz w:val="24"/>
          <w:lang w:val="zh-CN"/>
        </w:rPr>
        <w:t>1.1.4招标文件（含澄清或者修改文件）；</w:t>
      </w:r>
    </w:p>
    <w:p w14:paraId="623ABD91">
      <w:pPr>
        <w:spacing w:line="360" w:lineRule="auto"/>
        <w:ind w:firstLine="435"/>
        <w:rPr>
          <w:rFonts w:ascii="仿宋" w:hAnsi="仿宋" w:eastAsia="仿宋" w:cs="仿宋"/>
          <w:sz w:val="24"/>
          <w:lang w:val="zh-CN"/>
        </w:rPr>
      </w:pPr>
      <w:r>
        <w:rPr>
          <w:rFonts w:hint="eastAsia" w:ascii="仿宋" w:hAnsi="仿宋" w:eastAsia="仿宋" w:cs="仿宋"/>
          <w:sz w:val="24"/>
          <w:lang w:val="zh-CN"/>
        </w:rPr>
        <w:t>1.1.5其他相关采购文件。</w:t>
      </w:r>
    </w:p>
    <w:p w14:paraId="43E1E662">
      <w:pPr>
        <w:spacing w:line="360" w:lineRule="auto"/>
        <w:ind w:firstLine="437"/>
        <w:outlineLvl w:val="2"/>
        <w:rPr>
          <w:rFonts w:ascii="仿宋" w:hAnsi="仿宋" w:eastAsia="仿宋" w:cs="仿宋"/>
          <w:b/>
          <w:bCs/>
          <w:sz w:val="24"/>
          <w:lang w:val="zh-CN"/>
        </w:rPr>
      </w:pPr>
      <w:bookmarkStart w:id="929" w:name="_Toc2918"/>
      <w:bookmarkStart w:id="930" w:name="_Toc6773"/>
      <w:bookmarkStart w:id="931" w:name="_Toc6311"/>
      <w:bookmarkStart w:id="932" w:name="_Toc22185"/>
      <w:bookmarkStart w:id="933" w:name="_Toc18585"/>
      <w:r>
        <w:rPr>
          <w:rFonts w:hint="eastAsia" w:ascii="仿宋" w:hAnsi="仿宋" w:eastAsia="仿宋" w:cs="仿宋"/>
          <w:b/>
          <w:bCs/>
          <w:sz w:val="24"/>
          <w:lang w:val="zh-CN"/>
        </w:rPr>
        <w:t>1.2</w:t>
      </w:r>
      <w:bookmarkEnd w:id="929"/>
      <w:bookmarkEnd w:id="930"/>
      <w:bookmarkEnd w:id="931"/>
      <w:bookmarkEnd w:id="932"/>
      <w:bookmarkEnd w:id="933"/>
      <w:r>
        <w:rPr>
          <w:rFonts w:hint="eastAsia" w:ascii="仿宋" w:hAnsi="仿宋" w:eastAsia="仿宋" w:cs="仿宋"/>
          <w:b/>
          <w:bCs/>
          <w:sz w:val="24"/>
          <w:lang w:val="zh-CN"/>
        </w:rPr>
        <w:t>服务</w:t>
      </w:r>
    </w:p>
    <w:p w14:paraId="29528CAF">
      <w:pPr>
        <w:spacing w:line="360" w:lineRule="auto"/>
        <w:ind w:firstLine="435"/>
        <w:rPr>
          <w:rFonts w:ascii="仿宋" w:hAnsi="仿宋" w:eastAsia="仿宋" w:cs="仿宋"/>
          <w:sz w:val="24"/>
          <w:u w:val="single"/>
        </w:rPr>
      </w:pPr>
      <w:r>
        <w:rPr>
          <w:rFonts w:hint="eastAsia" w:ascii="仿宋" w:hAnsi="仿宋" w:eastAsia="仿宋" w:cs="仿宋"/>
          <w:sz w:val="24"/>
        </w:rPr>
        <w:t>1.2.1服务名称：</w:t>
      </w:r>
      <w:r>
        <w:rPr>
          <w:rFonts w:hint="eastAsia" w:ascii="仿宋" w:hAnsi="仿宋" w:eastAsia="仿宋" w:cs="仿宋"/>
          <w:sz w:val="24"/>
          <w:u w:val="single"/>
        </w:rPr>
        <w:t xml:space="preserve">                    </w:t>
      </w:r>
      <w:r>
        <w:rPr>
          <w:rFonts w:hint="eastAsia" w:ascii="仿宋" w:hAnsi="仿宋" w:eastAsia="仿宋" w:cs="仿宋"/>
          <w:sz w:val="24"/>
        </w:rPr>
        <w:t>；</w:t>
      </w:r>
    </w:p>
    <w:p w14:paraId="3E710E4F">
      <w:pPr>
        <w:spacing w:line="360" w:lineRule="auto"/>
        <w:ind w:firstLine="435"/>
        <w:rPr>
          <w:rFonts w:ascii="仿宋" w:hAnsi="仿宋" w:eastAsia="仿宋" w:cs="仿宋"/>
          <w:sz w:val="24"/>
          <w:u w:val="single"/>
        </w:rPr>
      </w:pPr>
      <w:r>
        <w:rPr>
          <w:rFonts w:hint="eastAsia" w:ascii="仿宋" w:hAnsi="仿宋" w:eastAsia="仿宋" w:cs="仿宋"/>
          <w:sz w:val="24"/>
        </w:rPr>
        <w:t>1.2.2服务内容：</w:t>
      </w:r>
      <w:r>
        <w:rPr>
          <w:rFonts w:hint="eastAsia" w:ascii="仿宋" w:hAnsi="仿宋" w:eastAsia="仿宋" w:cs="仿宋"/>
          <w:sz w:val="24"/>
          <w:u w:val="single"/>
        </w:rPr>
        <w:t>医用耗材配送服务</w:t>
      </w:r>
      <w:r>
        <w:rPr>
          <w:rFonts w:hint="eastAsia" w:ascii="仿宋" w:hAnsi="仿宋" w:eastAsia="仿宋" w:cs="仿宋"/>
          <w:sz w:val="24"/>
        </w:rPr>
        <w:t>；</w:t>
      </w:r>
    </w:p>
    <w:p w14:paraId="424DD7BF">
      <w:pPr>
        <w:spacing w:line="360" w:lineRule="auto"/>
        <w:ind w:firstLine="435"/>
        <w:rPr>
          <w:rFonts w:ascii="仿宋" w:hAnsi="仿宋" w:eastAsia="仿宋" w:cs="仿宋"/>
          <w:sz w:val="24"/>
        </w:rPr>
      </w:pPr>
      <w:r>
        <w:rPr>
          <w:rFonts w:hint="eastAsia" w:ascii="仿宋" w:hAnsi="仿宋" w:eastAsia="仿宋" w:cs="仿宋"/>
          <w:sz w:val="24"/>
        </w:rPr>
        <w:t>1.2.3服务质量：（1）</w:t>
      </w:r>
      <w:r>
        <w:rPr>
          <w:rFonts w:hint="eastAsia" w:ascii="仿宋" w:hAnsi="仿宋" w:eastAsia="仿宋" w:cs="仿宋"/>
          <w:sz w:val="24"/>
          <w:u w:val="single"/>
        </w:rPr>
        <w:t>乙方提供的产品必须是全新、标识清楚、符合国家规定的质量标准或行业现行标准的要求。没有国家标准和行业标准的，应达到经主管部门批准的企业现行标准要求，符合甲方招标文件和乙方投标文件所要求的技术标准。杜绝证照不全、假冒、伪劣、过期、失效、淘汰或不合格的产品进入医院，否则，乙方承担由此造成的一切后果。（2）乙方提供的产品，每个批次须提供该批次同批号产品检验报告。（3）验收合格后，配送产品距失效日期不得少于12个月。（4）保证是原产地生产的原装产品，否则视为假冒伪劣产品。</w:t>
      </w:r>
    </w:p>
    <w:p w14:paraId="1B30091E">
      <w:pPr>
        <w:spacing w:line="360" w:lineRule="auto"/>
        <w:ind w:firstLine="437"/>
        <w:outlineLvl w:val="2"/>
        <w:rPr>
          <w:rFonts w:ascii="仿宋" w:hAnsi="仿宋" w:eastAsia="仿宋" w:cs="仿宋"/>
          <w:b/>
          <w:bCs/>
          <w:sz w:val="24"/>
          <w:lang w:val="zh-CN"/>
        </w:rPr>
      </w:pPr>
      <w:bookmarkStart w:id="934" w:name="_Toc21551"/>
      <w:bookmarkStart w:id="935" w:name="_Toc23292"/>
      <w:bookmarkStart w:id="936" w:name="_Toc21631"/>
      <w:r>
        <w:rPr>
          <w:rFonts w:hint="eastAsia" w:ascii="仿宋" w:hAnsi="仿宋" w:eastAsia="仿宋" w:cs="仿宋"/>
          <w:b/>
          <w:bCs/>
          <w:sz w:val="24"/>
          <w:lang w:val="zh-CN"/>
        </w:rPr>
        <w:t>1.3价款</w:t>
      </w:r>
      <w:bookmarkEnd w:id="934"/>
      <w:bookmarkEnd w:id="935"/>
      <w:bookmarkEnd w:id="936"/>
    </w:p>
    <w:p w14:paraId="423EEE83">
      <w:pPr>
        <w:spacing w:line="360" w:lineRule="auto"/>
        <w:ind w:firstLine="435"/>
        <w:rPr>
          <w:rFonts w:ascii="仿宋" w:hAnsi="仿宋" w:eastAsia="仿宋" w:cs="仿宋"/>
          <w:sz w:val="24"/>
        </w:rPr>
      </w:pPr>
      <w:r>
        <w:rPr>
          <w:rFonts w:hint="eastAsia" w:ascii="仿宋" w:hAnsi="仿宋" w:eastAsia="仿宋" w:cs="仿宋"/>
          <w:sz w:val="24"/>
        </w:rPr>
        <w:t>分项价格：详见分项报价表</w:t>
      </w:r>
    </w:p>
    <w:p w14:paraId="0ED851DE">
      <w:pPr>
        <w:spacing w:line="360" w:lineRule="auto"/>
        <w:ind w:firstLine="437"/>
        <w:outlineLvl w:val="2"/>
        <w:rPr>
          <w:rFonts w:ascii="仿宋" w:hAnsi="仿宋" w:eastAsia="仿宋" w:cs="仿宋"/>
          <w:b/>
          <w:bCs/>
          <w:sz w:val="24"/>
          <w:lang w:val="zh-CN"/>
        </w:rPr>
      </w:pPr>
      <w:bookmarkStart w:id="937" w:name="_Toc10340"/>
      <w:bookmarkStart w:id="938" w:name="_Toc22618"/>
      <w:bookmarkStart w:id="939" w:name="_Toc1814"/>
      <w:r>
        <w:rPr>
          <w:rFonts w:hint="eastAsia" w:ascii="仿宋" w:hAnsi="仿宋" w:eastAsia="仿宋" w:cs="仿宋"/>
          <w:b/>
          <w:bCs/>
          <w:sz w:val="24"/>
          <w:lang w:val="zh-CN"/>
        </w:rPr>
        <w:t>1.4付款方式和发票开具方式</w:t>
      </w:r>
      <w:bookmarkEnd w:id="937"/>
      <w:bookmarkEnd w:id="938"/>
      <w:bookmarkEnd w:id="939"/>
    </w:p>
    <w:p w14:paraId="187E45E3">
      <w:pPr>
        <w:spacing w:line="360" w:lineRule="auto"/>
        <w:ind w:firstLine="435"/>
        <w:rPr>
          <w:rFonts w:ascii="仿宋" w:hAnsi="仿宋" w:eastAsia="仿宋" w:cs="仿宋"/>
          <w:sz w:val="24"/>
        </w:rPr>
      </w:pPr>
      <w:r>
        <w:rPr>
          <w:rFonts w:hint="eastAsia" w:ascii="仿宋" w:hAnsi="仿宋" w:eastAsia="仿宋" w:cs="仿宋"/>
          <w:sz w:val="24"/>
        </w:rPr>
        <w:t>1.4.1付款方式：</w:t>
      </w:r>
      <w:r>
        <w:rPr>
          <w:rFonts w:hint="eastAsia" w:ascii="仿宋" w:hAnsi="仿宋" w:eastAsia="仿宋" w:cs="仿宋"/>
          <w:sz w:val="24"/>
          <w:u w:val="single"/>
        </w:rPr>
        <w:t>合同签订后，根据每个月的实际配送计算当月配送额，经合同双方确认结算金额，据实支付每个月配送货款，可以以电子化票据形式进行结算。续签合同参照执行。</w:t>
      </w:r>
    </w:p>
    <w:p w14:paraId="22465800">
      <w:pPr>
        <w:spacing w:line="360" w:lineRule="auto"/>
        <w:ind w:firstLine="435"/>
        <w:rPr>
          <w:rFonts w:ascii="仿宋" w:hAnsi="仿宋" w:eastAsia="仿宋" w:cs="仿宋"/>
          <w:sz w:val="24"/>
        </w:rPr>
      </w:pPr>
      <w:r>
        <w:rPr>
          <w:rFonts w:hint="eastAsia" w:ascii="仿宋" w:hAnsi="仿宋" w:eastAsia="仿宋" w:cs="仿宋"/>
          <w:sz w:val="24"/>
        </w:rPr>
        <w:t>1.4.2发票开具方式：</w:t>
      </w:r>
      <w:r>
        <w:rPr>
          <w:rFonts w:hint="eastAsia" w:ascii="仿宋" w:hAnsi="仿宋" w:eastAsia="仿宋" w:cs="仿宋"/>
          <w:sz w:val="24"/>
          <w:u w:val="single"/>
        </w:rPr>
        <w:t>购销产品为政府实施“两票制”范围的产品，乙方须有对产品实行“两票制”的授权资质，严格执行“两票制”有关规定开具发票，且项目要齐全。并附符合生产、经营质量管理规范要求规定的随货同行单，发票（及清单）的购、销方名称应与随货同行单、付款流向、金额一致。</w:t>
      </w:r>
    </w:p>
    <w:p w14:paraId="42D17D77">
      <w:pPr>
        <w:spacing w:line="360" w:lineRule="auto"/>
        <w:ind w:firstLine="437"/>
        <w:outlineLvl w:val="2"/>
        <w:rPr>
          <w:rFonts w:ascii="仿宋" w:hAnsi="仿宋" w:eastAsia="仿宋" w:cs="仿宋"/>
          <w:b/>
          <w:bCs/>
          <w:sz w:val="24"/>
          <w:lang w:val="zh-CN"/>
        </w:rPr>
      </w:pPr>
      <w:bookmarkStart w:id="940" w:name="_Toc32071"/>
      <w:bookmarkStart w:id="941" w:name="_Toc2846"/>
      <w:bookmarkStart w:id="942" w:name="_Toc19304"/>
      <w:r>
        <w:rPr>
          <w:rFonts w:hint="eastAsia" w:ascii="仿宋" w:hAnsi="仿宋" w:eastAsia="仿宋" w:cs="仿宋"/>
          <w:b/>
          <w:bCs/>
          <w:sz w:val="24"/>
          <w:lang w:val="zh-CN"/>
        </w:rPr>
        <w:t>1.5服务期限、地点和方式</w:t>
      </w:r>
      <w:bookmarkEnd w:id="940"/>
      <w:bookmarkEnd w:id="941"/>
      <w:bookmarkEnd w:id="942"/>
    </w:p>
    <w:p w14:paraId="2E7CF91D">
      <w:pPr>
        <w:spacing w:line="360" w:lineRule="auto"/>
        <w:ind w:firstLine="435"/>
        <w:rPr>
          <w:rFonts w:ascii="仿宋" w:hAnsi="仿宋" w:eastAsia="仿宋" w:cs="仿宋"/>
          <w:sz w:val="24"/>
          <w:u w:val="single"/>
        </w:rPr>
      </w:pPr>
      <w:r>
        <w:rPr>
          <w:rFonts w:hint="eastAsia" w:ascii="仿宋" w:hAnsi="仿宋" w:eastAsia="仿宋" w:cs="仿宋"/>
          <w:sz w:val="24"/>
        </w:rPr>
        <w:t>1.5.1服务期限：</w:t>
      </w:r>
      <w:r>
        <w:rPr>
          <w:rFonts w:hint="eastAsia" w:ascii="仿宋" w:hAnsi="仿宋" w:eastAsia="仿宋" w:cs="仿宋"/>
          <w:sz w:val="24"/>
          <w:u w:val="single"/>
        </w:rPr>
        <w:t>一年（2025年月日-2026年月日）。每年度末甲方对乙方本年度服务质量做出综合评价，若评价不合格，甲方有权中止合同。若期间乙方有违法违约行为，甲方可随时终止合同。</w:t>
      </w:r>
    </w:p>
    <w:p w14:paraId="02CA8960">
      <w:pPr>
        <w:spacing w:line="360" w:lineRule="auto"/>
        <w:ind w:firstLine="435"/>
        <w:rPr>
          <w:rFonts w:ascii="仿宋" w:hAnsi="仿宋" w:eastAsia="仿宋" w:cs="仿宋"/>
          <w:sz w:val="24"/>
        </w:rPr>
      </w:pPr>
      <w:r>
        <w:rPr>
          <w:rFonts w:hint="eastAsia" w:ascii="仿宋" w:hAnsi="仿宋" w:eastAsia="仿宋" w:cs="仿宋"/>
          <w:sz w:val="24"/>
        </w:rPr>
        <w:t>1.5.2服务地点：</w:t>
      </w:r>
      <w:r>
        <w:rPr>
          <w:rFonts w:hint="eastAsia" w:ascii="仿宋" w:hAnsi="仿宋" w:eastAsia="仿宋" w:cs="仿宋"/>
          <w:sz w:val="24"/>
          <w:u w:val="single"/>
        </w:rPr>
        <w:t>甲方指定的交货地点</w:t>
      </w:r>
      <w:r>
        <w:rPr>
          <w:rFonts w:hint="eastAsia" w:ascii="仿宋" w:hAnsi="仿宋" w:eastAsia="仿宋" w:cs="仿宋"/>
          <w:sz w:val="24"/>
        </w:rPr>
        <w:t>；</w:t>
      </w:r>
    </w:p>
    <w:p w14:paraId="11C8E2FA">
      <w:pPr>
        <w:spacing w:line="360" w:lineRule="auto"/>
        <w:ind w:firstLine="435"/>
        <w:rPr>
          <w:rFonts w:ascii="仿宋" w:hAnsi="仿宋" w:eastAsia="仿宋" w:cs="仿宋"/>
          <w:sz w:val="24"/>
        </w:rPr>
      </w:pPr>
      <w:r>
        <w:rPr>
          <w:rFonts w:hint="eastAsia" w:ascii="仿宋" w:hAnsi="仿宋" w:eastAsia="仿宋" w:cs="仿宋"/>
          <w:sz w:val="24"/>
        </w:rPr>
        <w:t>1.5.3服务方式：</w:t>
      </w:r>
      <w:r>
        <w:rPr>
          <w:rFonts w:hint="eastAsia" w:ascii="仿宋" w:hAnsi="仿宋" w:eastAsia="仿宋" w:cs="仿宋"/>
          <w:sz w:val="24"/>
          <w:u w:val="single"/>
        </w:rPr>
        <w:t>配送</w:t>
      </w:r>
      <w:r>
        <w:rPr>
          <w:rFonts w:hint="eastAsia" w:ascii="仿宋" w:hAnsi="仿宋" w:eastAsia="仿宋" w:cs="仿宋"/>
          <w:sz w:val="24"/>
        </w:rPr>
        <w:t>。</w:t>
      </w:r>
    </w:p>
    <w:p w14:paraId="300363DD">
      <w:pPr>
        <w:spacing w:line="360" w:lineRule="auto"/>
        <w:ind w:firstLine="437"/>
        <w:outlineLvl w:val="2"/>
        <w:rPr>
          <w:rFonts w:ascii="仿宋" w:hAnsi="仿宋" w:eastAsia="仿宋" w:cs="仿宋"/>
          <w:b/>
          <w:bCs/>
          <w:sz w:val="24"/>
          <w:lang w:val="zh-CN"/>
        </w:rPr>
      </w:pPr>
      <w:bookmarkStart w:id="943" w:name="_Toc21423"/>
      <w:bookmarkStart w:id="944" w:name="_Toc27250"/>
      <w:bookmarkStart w:id="945" w:name="_Toc19554"/>
      <w:r>
        <w:rPr>
          <w:rFonts w:hint="eastAsia" w:ascii="仿宋" w:hAnsi="仿宋" w:eastAsia="仿宋" w:cs="仿宋"/>
          <w:b/>
          <w:bCs/>
          <w:sz w:val="24"/>
          <w:lang w:val="zh-CN"/>
        </w:rPr>
        <w:t>1.6违约责任</w:t>
      </w:r>
      <w:bookmarkEnd w:id="943"/>
      <w:bookmarkEnd w:id="944"/>
      <w:bookmarkEnd w:id="945"/>
    </w:p>
    <w:p w14:paraId="655CEFBA">
      <w:pPr>
        <w:spacing w:line="360" w:lineRule="auto"/>
        <w:ind w:firstLine="435"/>
        <w:rPr>
          <w:rFonts w:ascii="仿宋" w:hAnsi="仿宋" w:eastAsia="仿宋" w:cs="仿宋"/>
          <w:sz w:val="24"/>
        </w:rPr>
      </w:pPr>
      <w:r>
        <w:rPr>
          <w:rFonts w:hint="eastAsia" w:ascii="仿宋" w:hAnsi="仿宋" w:eastAsia="仿宋" w:cs="仿宋"/>
          <w:sz w:val="24"/>
        </w:rPr>
        <w:t>1.6.1除不可抗力外，如果乙方没有按照本合同约定的期限、地点和方式履行，那么甲方可要求乙方支付违约金，违约金按每迟延履行一日的应提供而未提供服务价格的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u w:val="single"/>
        </w:rPr>
        <w:t>0.01</w:t>
      </w:r>
      <w:r>
        <w:rPr>
          <w:rFonts w:hint="eastAsia" w:ascii="仿宋" w:hAnsi="仿宋" w:eastAsia="仿宋" w:cs="仿宋"/>
          <w:sz w:val="24"/>
        </w:rPr>
        <w:t>%计算，最高限额为本合同总价的</w:t>
      </w:r>
      <w:r>
        <w:rPr>
          <w:rFonts w:hint="eastAsia" w:ascii="仿宋" w:hAnsi="仿宋" w:eastAsia="仿宋" w:cs="仿宋"/>
          <w:sz w:val="24"/>
          <w:u w:val="single"/>
        </w:rPr>
        <w:t>5</w:t>
      </w:r>
      <w:r>
        <w:rPr>
          <w:rFonts w:hint="eastAsia" w:ascii="仿宋" w:hAnsi="仿宋" w:eastAsia="仿宋" w:cs="仿宋"/>
          <w:sz w:val="24"/>
        </w:rPr>
        <w:t>%；迟延履行的违约金计算数额达到前述最高限额之日起，甲方有权在要求乙方支付违约金的同时，书面通知乙方解除本合同；</w:t>
      </w:r>
    </w:p>
    <w:p w14:paraId="2C605475">
      <w:pPr>
        <w:spacing w:line="360" w:lineRule="auto"/>
        <w:ind w:firstLine="435"/>
        <w:rPr>
          <w:rFonts w:ascii="仿宋" w:hAnsi="仿宋" w:eastAsia="仿宋" w:cs="仿宋"/>
          <w:sz w:val="24"/>
        </w:rPr>
      </w:pPr>
      <w:r>
        <w:rPr>
          <w:rFonts w:hint="eastAsia" w:ascii="仿宋" w:hAnsi="仿宋" w:eastAsia="仿宋" w:cs="仿宋"/>
          <w:sz w:val="24"/>
        </w:rPr>
        <w:t>1.6.2除不可抗力外，如果甲方没有按照本合同约定的付款方式付款，那么乙方可要求甲方支付违约金，违约金按每迟延付款一日的应付而未付款的</w:t>
      </w:r>
      <w:r>
        <w:rPr>
          <w:rFonts w:hint="eastAsia" w:ascii="仿宋" w:hAnsi="仿宋" w:eastAsia="仿宋" w:cs="仿宋"/>
          <w:sz w:val="24"/>
          <w:u w:val="single"/>
        </w:rPr>
        <w:t>0.01</w:t>
      </w:r>
      <w:r>
        <w:rPr>
          <w:rFonts w:hint="eastAsia" w:ascii="仿宋" w:hAnsi="仿宋" w:eastAsia="仿宋" w:cs="仿宋"/>
          <w:sz w:val="24"/>
        </w:rPr>
        <w:t>%计算，最高限额为本合同总价的</w:t>
      </w:r>
      <w:r>
        <w:rPr>
          <w:rFonts w:hint="eastAsia" w:ascii="仿宋" w:hAnsi="仿宋" w:eastAsia="仿宋" w:cs="仿宋"/>
          <w:sz w:val="24"/>
          <w:u w:val="single"/>
        </w:rPr>
        <w:t>5</w:t>
      </w:r>
      <w:r>
        <w:rPr>
          <w:rFonts w:hint="eastAsia" w:ascii="仿宋" w:hAnsi="仿宋" w:eastAsia="仿宋" w:cs="仿宋"/>
          <w:sz w:val="24"/>
        </w:rPr>
        <w:t>%；</w:t>
      </w:r>
    </w:p>
    <w:p w14:paraId="0B382D01">
      <w:pPr>
        <w:spacing w:line="360" w:lineRule="auto"/>
        <w:ind w:firstLine="435"/>
        <w:rPr>
          <w:rFonts w:ascii="仿宋" w:hAnsi="仿宋" w:eastAsia="仿宋" w:cs="仿宋"/>
          <w:sz w:val="24"/>
        </w:rPr>
      </w:pPr>
      <w:r>
        <w:rPr>
          <w:rFonts w:hint="eastAsia" w:ascii="仿宋" w:hAnsi="仿宋" w:eastAsia="仿宋" w:cs="仿宋"/>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27A20B">
      <w:pPr>
        <w:spacing w:line="360" w:lineRule="auto"/>
        <w:ind w:firstLine="435"/>
        <w:rPr>
          <w:rFonts w:ascii="仿宋" w:hAnsi="仿宋" w:eastAsia="仿宋" w:cs="仿宋"/>
          <w:sz w:val="24"/>
        </w:rPr>
      </w:pPr>
      <w:r>
        <w:rPr>
          <w:rFonts w:hint="eastAsia" w:ascii="仿宋" w:hAnsi="仿宋" w:eastAsia="仿宋" w:cs="仿宋"/>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6A757B">
      <w:pPr>
        <w:spacing w:line="360" w:lineRule="auto"/>
        <w:ind w:firstLine="435"/>
        <w:rPr>
          <w:rFonts w:ascii="仿宋" w:hAnsi="仿宋" w:eastAsia="仿宋" w:cs="仿宋"/>
          <w:sz w:val="24"/>
        </w:rPr>
      </w:pPr>
      <w:r>
        <w:rPr>
          <w:rFonts w:hint="eastAsia" w:ascii="仿宋" w:hAnsi="仿宋" w:eastAsia="仿宋" w:cs="仿宋"/>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BCEB2BF">
      <w:pPr>
        <w:spacing w:line="360" w:lineRule="auto"/>
        <w:ind w:firstLine="435"/>
        <w:rPr>
          <w:rFonts w:ascii="仿宋" w:hAnsi="仿宋" w:eastAsia="仿宋" w:cs="仿宋"/>
          <w:sz w:val="24"/>
        </w:rPr>
      </w:pPr>
      <w:r>
        <w:rPr>
          <w:rFonts w:hint="eastAsia" w:ascii="仿宋" w:hAnsi="仿宋" w:eastAsia="仿宋" w:cs="仿宋"/>
          <w:sz w:val="24"/>
        </w:rPr>
        <w:t>1.6.6如果出现政府采购监督管理部门在处理投诉事项期间，书面通知甲方暂停采购活动的情形，或者询问或质疑事项可能影响中标结果的，导致甲方中止履行合同的情形，均不视为甲方违约。</w:t>
      </w:r>
    </w:p>
    <w:p w14:paraId="114F819D">
      <w:pPr>
        <w:spacing w:line="360" w:lineRule="auto"/>
        <w:ind w:firstLine="435"/>
        <w:rPr>
          <w:rFonts w:ascii="仿宋" w:hAnsi="仿宋" w:eastAsia="仿宋" w:cs="仿宋"/>
          <w:sz w:val="24"/>
        </w:rPr>
      </w:pPr>
      <w:r>
        <w:rPr>
          <w:rFonts w:hint="eastAsia" w:ascii="仿宋" w:hAnsi="仿宋" w:eastAsia="仿宋" w:cs="仿宋"/>
          <w:sz w:val="24"/>
        </w:rPr>
        <w:t>1.6.7因甲方未按合同约定支付价款、未按合同约定受领标的物、擅自解除合同导致乙方遭受的直接损失，乙方可向甲方申请赔偿，赔偿金额由双方协商一致；针对因政策变化等原因不能签订合同或解除合同时，</w:t>
      </w:r>
      <w:r>
        <w:rPr>
          <w:rFonts w:ascii="仿宋" w:hAnsi="仿宋" w:eastAsia="仿宋" w:cs="仿宋"/>
          <w:sz w:val="24"/>
        </w:rPr>
        <w:t>造成乙方合法利益受损的情形，可以给予乙方合理补偿，补偿金额不得超过乙方的直接损失</w:t>
      </w:r>
      <w:r>
        <w:rPr>
          <w:rFonts w:hint="eastAsia" w:ascii="仿宋" w:hAnsi="仿宋" w:eastAsia="仿宋" w:cs="仿宋"/>
          <w:sz w:val="24"/>
        </w:rPr>
        <w:t>。</w:t>
      </w:r>
    </w:p>
    <w:p w14:paraId="4A611498">
      <w:pPr>
        <w:spacing w:line="360" w:lineRule="auto"/>
        <w:ind w:firstLine="437"/>
        <w:outlineLvl w:val="2"/>
        <w:rPr>
          <w:rFonts w:ascii="仿宋" w:hAnsi="仿宋" w:eastAsia="仿宋" w:cs="仿宋"/>
          <w:b/>
          <w:bCs/>
          <w:sz w:val="24"/>
          <w:lang w:val="zh-CN"/>
        </w:rPr>
      </w:pPr>
      <w:bookmarkStart w:id="946" w:name="_Toc16021"/>
      <w:bookmarkStart w:id="947" w:name="_Toc15583"/>
      <w:bookmarkStart w:id="948" w:name="_Toc28375"/>
      <w:r>
        <w:rPr>
          <w:rFonts w:hint="eastAsia" w:ascii="仿宋" w:hAnsi="仿宋" w:eastAsia="仿宋" w:cs="仿宋"/>
          <w:b/>
          <w:bCs/>
          <w:sz w:val="24"/>
          <w:lang w:val="zh-CN"/>
        </w:rPr>
        <w:t>1.7合同争议的解决</w:t>
      </w:r>
      <w:bookmarkEnd w:id="946"/>
      <w:bookmarkEnd w:id="947"/>
      <w:bookmarkEnd w:id="948"/>
    </w:p>
    <w:p w14:paraId="3648332A">
      <w:pPr>
        <w:spacing w:line="360" w:lineRule="auto"/>
        <w:ind w:firstLine="435"/>
        <w:rPr>
          <w:rFonts w:ascii="仿宋" w:hAnsi="仿宋" w:eastAsia="仿宋" w:cs="仿宋"/>
          <w:sz w:val="24"/>
        </w:rPr>
      </w:pPr>
      <w:r>
        <w:rPr>
          <w:rFonts w:hint="eastAsia" w:ascii="仿宋" w:hAnsi="仿宋" w:eastAsia="仿宋" w:cs="仿宋"/>
          <w:sz w:val="24"/>
        </w:rPr>
        <w:t>本合同履行过程中发生的任何争议，双方当事人均可通过和解或者调解解决；不愿和解、调解或者和解、调解不成的，可以选择下列第</w:t>
      </w:r>
      <w:r>
        <w:rPr>
          <w:rFonts w:hint="eastAsia" w:ascii="仿宋" w:hAnsi="仿宋" w:eastAsia="仿宋" w:cs="仿宋"/>
          <w:sz w:val="24"/>
          <w:u w:val="single"/>
        </w:rPr>
        <w:t>二</w:t>
      </w:r>
      <w:r>
        <w:rPr>
          <w:rFonts w:hint="eastAsia" w:ascii="仿宋" w:hAnsi="仿宋" w:eastAsia="仿宋" w:cs="仿宋"/>
          <w:sz w:val="24"/>
        </w:rPr>
        <w:t>种方式解决：</w:t>
      </w:r>
    </w:p>
    <w:p w14:paraId="36BFC980">
      <w:pPr>
        <w:spacing w:line="360" w:lineRule="auto"/>
        <w:ind w:firstLine="435"/>
        <w:rPr>
          <w:rFonts w:ascii="仿宋" w:hAnsi="仿宋" w:eastAsia="仿宋" w:cs="仿宋"/>
          <w:sz w:val="24"/>
        </w:rPr>
      </w:pPr>
      <w:r>
        <w:rPr>
          <w:rFonts w:hint="eastAsia" w:ascii="仿宋" w:hAnsi="仿宋" w:eastAsia="仿宋" w:cs="仿宋"/>
          <w:sz w:val="24"/>
        </w:rPr>
        <w:t>1.7.1将争议提交仲裁委员会依申请仲裁时其现行有效的仲裁规则裁决；</w:t>
      </w:r>
    </w:p>
    <w:p w14:paraId="13C8E009">
      <w:pPr>
        <w:spacing w:line="360" w:lineRule="auto"/>
        <w:ind w:firstLine="435"/>
        <w:rPr>
          <w:rFonts w:ascii="仿宋" w:hAnsi="仿宋" w:eastAsia="仿宋" w:cs="仿宋"/>
          <w:sz w:val="24"/>
        </w:rPr>
      </w:pPr>
      <w:r>
        <w:rPr>
          <w:rFonts w:hint="eastAsia" w:ascii="仿宋" w:hAnsi="仿宋" w:eastAsia="仿宋" w:cs="仿宋"/>
          <w:sz w:val="24"/>
        </w:rPr>
        <w:t>1.7.2向</w:t>
      </w:r>
      <w:r>
        <w:rPr>
          <w:rFonts w:hint="eastAsia" w:ascii="仿宋" w:hAnsi="仿宋" w:eastAsia="仿宋" w:cs="仿宋"/>
          <w:sz w:val="24"/>
          <w:u w:val="single"/>
        </w:rPr>
        <w:t>甲方所在地</w:t>
      </w:r>
      <w:r>
        <w:rPr>
          <w:rFonts w:hint="eastAsia" w:ascii="仿宋" w:hAnsi="仿宋" w:eastAsia="仿宋" w:cs="仿宋"/>
          <w:sz w:val="24"/>
        </w:rPr>
        <w:t>人民法院起诉。</w:t>
      </w:r>
    </w:p>
    <w:p w14:paraId="0B556A61">
      <w:pPr>
        <w:spacing w:line="360" w:lineRule="auto"/>
        <w:ind w:firstLine="437"/>
        <w:outlineLvl w:val="2"/>
        <w:rPr>
          <w:rFonts w:ascii="仿宋" w:hAnsi="仿宋" w:eastAsia="仿宋" w:cs="仿宋"/>
          <w:b/>
          <w:bCs/>
          <w:sz w:val="24"/>
          <w:lang w:val="zh-CN"/>
        </w:rPr>
      </w:pPr>
      <w:bookmarkStart w:id="949" w:name="_Toc15322"/>
      <w:bookmarkStart w:id="950" w:name="_Toc11173"/>
      <w:bookmarkStart w:id="951" w:name="_Toc7245"/>
      <w:r>
        <w:rPr>
          <w:rFonts w:hint="eastAsia" w:ascii="仿宋" w:hAnsi="仿宋" w:eastAsia="仿宋" w:cs="仿宋"/>
          <w:b/>
          <w:bCs/>
          <w:sz w:val="24"/>
          <w:lang w:val="zh-CN"/>
        </w:rPr>
        <w:t>1.8合同生效</w:t>
      </w:r>
      <w:bookmarkEnd w:id="949"/>
      <w:bookmarkEnd w:id="950"/>
      <w:bookmarkEnd w:id="951"/>
    </w:p>
    <w:p w14:paraId="3D4E9574">
      <w:pPr>
        <w:spacing w:line="360" w:lineRule="auto"/>
        <w:ind w:firstLine="435"/>
        <w:rPr>
          <w:rFonts w:ascii="仿宋" w:hAnsi="仿宋" w:eastAsia="仿宋" w:cs="仿宋"/>
          <w:sz w:val="24"/>
        </w:rPr>
      </w:pPr>
      <w:r>
        <w:rPr>
          <w:rFonts w:hint="eastAsia" w:ascii="仿宋" w:hAnsi="仿宋" w:eastAsia="仿宋" w:cs="仿宋"/>
          <w:sz w:val="24"/>
        </w:rPr>
        <w:t>本合同自双方当事人盖章时生效。</w:t>
      </w:r>
    </w:p>
    <w:p w14:paraId="5D0BAE2D">
      <w:pPr>
        <w:autoSpaceDE w:val="0"/>
        <w:autoSpaceDN w:val="0"/>
        <w:adjustRightInd w:val="0"/>
        <w:spacing w:line="560" w:lineRule="exact"/>
        <w:rPr>
          <w:rFonts w:ascii="仿宋" w:hAnsi="仿宋" w:eastAsia="仿宋" w:cs="仿宋"/>
          <w:sz w:val="24"/>
          <w:lang w:val="zh-CN"/>
        </w:rPr>
      </w:pPr>
    </w:p>
    <w:p w14:paraId="36543265">
      <w:pPr>
        <w:autoSpaceDE w:val="0"/>
        <w:autoSpaceDN w:val="0"/>
        <w:adjustRightInd w:val="0"/>
        <w:spacing w:line="560" w:lineRule="exact"/>
        <w:rPr>
          <w:rFonts w:ascii="仿宋" w:hAnsi="仿宋" w:eastAsia="仿宋" w:cs="仿宋"/>
          <w:sz w:val="24"/>
          <w:lang w:val="zh-CN"/>
        </w:rPr>
      </w:pPr>
    </w:p>
    <w:p w14:paraId="4BD35280">
      <w:pPr>
        <w:autoSpaceDE w:val="0"/>
        <w:autoSpaceDN w:val="0"/>
        <w:adjustRightInd w:val="0"/>
        <w:spacing w:line="560" w:lineRule="exact"/>
        <w:rPr>
          <w:rFonts w:ascii="仿宋" w:hAnsi="仿宋" w:eastAsia="仿宋" w:cs="仿宋"/>
          <w:bCs/>
          <w:sz w:val="24"/>
          <w:lang w:val="zh-CN"/>
        </w:rPr>
      </w:pPr>
      <w:r>
        <w:rPr>
          <w:rFonts w:hint="eastAsia" w:ascii="仿宋" w:hAnsi="仿宋" w:eastAsia="仿宋" w:cs="仿宋"/>
          <w:bCs/>
          <w:sz w:val="24"/>
          <w:lang w:val="zh-CN"/>
        </w:rPr>
        <w:t>甲方：</w:t>
      </w:r>
      <w:r>
        <w:rPr>
          <w:rFonts w:hint="eastAsia" w:ascii="仿宋" w:hAnsi="仿宋" w:eastAsia="仿宋" w:cs="仿宋"/>
          <w:bCs/>
          <w:sz w:val="24"/>
          <w:u w:val="single"/>
          <w:lang w:val="zh-CN"/>
        </w:rPr>
        <w:t>（单位盖章）</w:t>
      </w:r>
      <w:r>
        <w:rPr>
          <w:rFonts w:hint="eastAsia" w:ascii="仿宋" w:hAnsi="仿宋" w:eastAsia="仿宋" w:cs="仿宋"/>
          <w:bCs/>
          <w:sz w:val="24"/>
          <w:lang w:val="zh-CN"/>
        </w:rPr>
        <w:t>乙方：</w:t>
      </w:r>
      <w:r>
        <w:rPr>
          <w:rFonts w:hint="eastAsia" w:ascii="仿宋" w:hAnsi="仿宋" w:eastAsia="仿宋" w:cs="仿宋"/>
          <w:bCs/>
          <w:sz w:val="24"/>
          <w:u w:val="single"/>
          <w:lang w:val="zh-CN"/>
        </w:rPr>
        <w:t>（单位盖章）</w:t>
      </w:r>
    </w:p>
    <w:p w14:paraId="7A8D46E4">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法定代表人法定代表人</w:t>
      </w:r>
    </w:p>
    <w:p w14:paraId="298540E6">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或授权代表（签字）：或授权代表（签字）：</w:t>
      </w:r>
    </w:p>
    <w:p w14:paraId="7ACF882D">
      <w:pPr>
        <w:widowControl/>
        <w:spacing w:line="560" w:lineRule="exact"/>
        <w:jc w:val="left"/>
        <w:rPr>
          <w:rFonts w:ascii="仿宋" w:hAnsi="仿宋" w:eastAsia="仿宋" w:cs="仿宋"/>
          <w:bCs/>
          <w:sz w:val="24"/>
        </w:rPr>
      </w:pPr>
      <w:bookmarkStart w:id="952" w:name="_Toc331685783"/>
      <w:r>
        <w:rPr>
          <w:rFonts w:hint="eastAsia" w:ascii="仿宋" w:hAnsi="仿宋" w:eastAsia="仿宋" w:cs="仿宋"/>
          <w:bCs/>
          <w:sz w:val="24"/>
        </w:rPr>
        <w:t>经办人：经办人：</w:t>
      </w:r>
    </w:p>
    <w:p w14:paraId="07AC6C8B">
      <w:pPr>
        <w:widowControl/>
        <w:spacing w:line="560" w:lineRule="exact"/>
        <w:jc w:val="left"/>
        <w:rPr>
          <w:rFonts w:ascii="仿宋" w:hAnsi="仿宋" w:eastAsia="仿宋" w:cs="仿宋"/>
          <w:bCs/>
          <w:sz w:val="24"/>
        </w:rPr>
      </w:pPr>
      <w:r>
        <w:rPr>
          <w:rFonts w:hint="eastAsia" w:ascii="仿宋" w:hAnsi="仿宋" w:eastAsia="仿宋" w:cs="仿宋"/>
          <w:bCs/>
          <w:sz w:val="24"/>
        </w:rPr>
        <w:t>联系电话：0551-65909607联系电话：</w:t>
      </w:r>
    </w:p>
    <w:p w14:paraId="16218270">
      <w:pPr>
        <w:widowControl/>
        <w:spacing w:line="560" w:lineRule="exact"/>
        <w:jc w:val="left"/>
        <w:rPr>
          <w:rFonts w:ascii="仿宋" w:hAnsi="仿宋" w:eastAsia="仿宋" w:cs="仿宋"/>
          <w:bCs/>
          <w:sz w:val="24"/>
          <w:u w:val="single"/>
        </w:rPr>
      </w:pPr>
      <w:r>
        <w:rPr>
          <w:rFonts w:hint="eastAsia" w:ascii="仿宋" w:hAnsi="仿宋" w:eastAsia="仿宋" w:cs="仿宋"/>
          <w:bCs/>
          <w:sz w:val="24"/>
        </w:rPr>
        <w:t>时间：年月日</w:t>
      </w:r>
    </w:p>
    <w:p w14:paraId="64E4438D">
      <w:pPr>
        <w:widowControl/>
        <w:spacing w:line="560" w:lineRule="exact"/>
        <w:jc w:val="left"/>
        <w:rPr>
          <w:rFonts w:ascii="仿宋" w:hAnsi="仿宋" w:eastAsia="仿宋" w:cs="仿宋"/>
          <w:bCs/>
          <w:sz w:val="24"/>
          <w:u w:val="single"/>
        </w:rPr>
      </w:pPr>
    </w:p>
    <w:p w14:paraId="1DD81FF2">
      <w:pPr>
        <w:spacing w:line="360" w:lineRule="auto"/>
        <w:jc w:val="center"/>
        <w:outlineLvl w:val="1"/>
        <w:rPr>
          <w:rFonts w:ascii="仿宋" w:hAnsi="仿宋" w:eastAsia="仿宋" w:cs="仿宋"/>
          <w:b/>
          <w:sz w:val="24"/>
        </w:rPr>
        <w:sectPr>
          <w:footerReference r:id="rId6" w:type="default"/>
          <w:pgSz w:w="11906" w:h="16838"/>
          <w:pgMar w:top="1134" w:right="1361" w:bottom="1077" w:left="1361" w:header="851" w:footer="992" w:gutter="0"/>
          <w:cols w:space="720" w:num="1"/>
          <w:docGrid w:type="lines" w:linePitch="312" w:charSpace="0"/>
        </w:sectPr>
      </w:pPr>
    </w:p>
    <w:p w14:paraId="0D489433">
      <w:pPr>
        <w:spacing w:line="360" w:lineRule="auto"/>
        <w:jc w:val="center"/>
        <w:outlineLvl w:val="1"/>
        <w:rPr>
          <w:rFonts w:ascii="仿宋" w:hAnsi="仿宋" w:eastAsia="仿宋" w:cs="仿宋"/>
          <w:b/>
          <w:sz w:val="24"/>
        </w:rPr>
      </w:pPr>
      <w:r>
        <w:rPr>
          <w:rFonts w:hint="eastAsia" w:ascii="仿宋" w:hAnsi="仿宋" w:eastAsia="仿宋" w:cs="仿宋"/>
          <w:b/>
          <w:sz w:val="24"/>
        </w:rPr>
        <w:t>第二部分合同一般条款</w:t>
      </w:r>
      <w:bookmarkEnd w:id="952"/>
    </w:p>
    <w:p w14:paraId="3B8C7E7F">
      <w:pPr>
        <w:spacing w:line="360" w:lineRule="auto"/>
        <w:ind w:firstLine="437"/>
        <w:outlineLvl w:val="2"/>
        <w:rPr>
          <w:rFonts w:ascii="仿宋" w:hAnsi="仿宋" w:eastAsia="仿宋" w:cs="仿宋"/>
          <w:b/>
          <w:bCs/>
          <w:sz w:val="24"/>
          <w:lang w:val="zh-CN"/>
        </w:rPr>
      </w:pPr>
      <w:bookmarkStart w:id="953" w:name="_Ref467379225"/>
      <w:bookmarkStart w:id="954" w:name="_Toc259093669"/>
      <w:bookmarkStart w:id="955" w:name="_Ref467379214"/>
      <w:bookmarkStart w:id="956" w:name="_Toc16917"/>
      <w:bookmarkStart w:id="957" w:name="_Ref467378463"/>
      <w:bookmarkStart w:id="958" w:name="_Ref467379195"/>
      <w:bookmarkStart w:id="959" w:name="_Ref467379109"/>
      <w:bookmarkStart w:id="960" w:name="_Ref467379101"/>
      <w:bookmarkStart w:id="961" w:name="_Ref467379094"/>
      <w:bookmarkStart w:id="962" w:name="_Ref467379205"/>
      <w:bookmarkStart w:id="963" w:name="_Toc487900349"/>
      <w:bookmarkStart w:id="964" w:name="_Toc19614"/>
      <w:bookmarkStart w:id="965" w:name="_Ref467378404"/>
      <w:bookmarkStart w:id="966" w:name="_Ref467378499"/>
      <w:bookmarkStart w:id="967" w:name="_Toc28763"/>
      <w:bookmarkStart w:id="968" w:name="_Toc279701240"/>
      <w:r>
        <w:rPr>
          <w:rFonts w:hint="eastAsia" w:ascii="仿宋" w:hAnsi="仿宋" w:eastAsia="仿宋" w:cs="仿宋"/>
          <w:b/>
          <w:bCs/>
          <w:sz w:val="24"/>
          <w:lang w:val="zh-CN"/>
        </w:rPr>
        <w:t>2.1定义</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32BF898F">
      <w:pPr>
        <w:spacing w:line="360" w:lineRule="auto"/>
        <w:ind w:firstLine="435"/>
        <w:rPr>
          <w:rFonts w:ascii="仿宋" w:hAnsi="仿宋" w:eastAsia="仿宋" w:cs="仿宋"/>
          <w:sz w:val="24"/>
        </w:rPr>
      </w:pPr>
      <w:r>
        <w:rPr>
          <w:rFonts w:hint="eastAsia" w:ascii="仿宋" w:hAnsi="仿宋" w:eastAsia="仿宋" w:cs="仿宋"/>
          <w:sz w:val="24"/>
        </w:rPr>
        <w:t>本合同中的下列词语应按以下内容进行解释：</w:t>
      </w:r>
    </w:p>
    <w:p w14:paraId="446CB005">
      <w:pPr>
        <w:spacing w:line="360" w:lineRule="auto"/>
        <w:ind w:firstLine="435"/>
        <w:rPr>
          <w:rFonts w:ascii="仿宋" w:hAnsi="仿宋" w:eastAsia="仿宋" w:cs="仿宋"/>
          <w:sz w:val="24"/>
        </w:rPr>
      </w:pPr>
      <w:r>
        <w:rPr>
          <w:rFonts w:hint="eastAsia" w:ascii="仿宋" w:hAnsi="仿宋" w:eastAsia="仿宋" w:cs="仿宋"/>
          <w:sz w:val="24"/>
        </w:rPr>
        <w:t>2.1.1“合同”系指采购人和中标人签订的载明双方当事人所达成的协议，并包括所有的附件、附录和构成合同的其他文件。</w:t>
      </w:r>
    </w:p>
    <w:p w14:paraId="27B66630">
      <w:pPr>
        <w:spacing w:line="360" w:lineRule="auto"/>
        <w:ind w:firstLine="435"/>
        <w:rPr>
          <w:rFonts w:ascii="仿宋" w:hAnsi="仿宋" w:eastAsia="仿宋" w:cs="仿宋"/>
          <w:sz w:val="24"/>
        </w:rPr>
      </w:pPr>
      <w:r>
        <w:rPr>
          <w:rFonts w:hint="eastAsia" w:ascii="仿宋" w:hAnsi="仿宋" w:eastAsia="仿宋" w:cs="仿宋"/>
          <w:sz w:val="24"/>
        </w:rPr>
        <w:t>2.1.2“合同价”系指根据合同约定，中标人在完全履行合同义务后，采购人应支付给中标人的价格。</w:t>
      </w:r>
    </w:p>
    <w:p w14:paraId="351552F2">
      <w:pPr>
        <w:spacing w:line="360" w:lineRule="auto"/>
        <w:ind w:firstLine="435"/>
        <w:rPr>
          <w:rFonts w:ascii="仿宋" w:hAnsi="仿宋" w:eastAsia="仿宋" w:cs="仿宋"/>
          <w:sz w:val="24"/>
        </w:rPr>
      </w:pPr>
      <w:r>
        <w:rPr>
          <w:rFonts w:hint="eastAsia" w:ascii="仿宋" w:hAnsi="仿宋" w:eastAsia="仿宋" w:cs="仿宋"/>
          <w:sz w:val="24"/>
        </w:rPr>
        <w:t>2.1.3“服务”系指中标人根据合同约定应向采购人履行的除货物和工程以外的其他政府采购对象，包括采购人自身需要的服务和向社会公众提供的公共服务。</w:t>
      </w:r>
    </w:p>
    <w:p w14:paraId="6EDEC473">
      <w:pPr>
        <w:spacing w:line="360" w:lineRule="auto"/>
        <w:ind w:firstLine="435"/>
        <w:rPr>
          <w:rFonts w:ascii="仿宋" w:hAnsi="仿宋" w:eastAsia="仿宋" w:cs="仿宋"/>
          <w:sz w:val="24"/>
        </w:rPr>
      </w:pPr>
      <w:bookmarkStart w:id="969" w:name="_Ref467378840"/>
      <w:r>
        <w:rPr>
          <w:rFonts w:hint="eastAsia" w:ascii="仿宋" w:hAnsi="仿宋" w:eastAsia="仿宋" w:cs="仿宋"/>
          <w:sz w:val="24"/>
        </w:rPr>
        <w:t>2.1.4“甲方”系指与中标人签署合同的采购人</w:t>
      </w:r>
      <w:bookmarkEnd w:id="969"/>
      <w:r>
        <w:rPr>
          <w:rFonts w:hint="eastAsia" w:ascii="仿宋" w:hAnsi="仿宋" w:eastAsia="仿宋" w:cs="仿宋"/>
          <w:sz w:val="24"/>
        </w:rPr>
        <w:t>；采购人委托采购代理机构代表其与乙方签订合同的，采购人的授权委托书作为合同附件。</w:t>
      </w:r>
    </w:p>
    <w:p w14:paraId="13FC420B">
      <w:pPr>
        <w:spacing w:line="360" w:lineRule="auto"/>
        <w:ind w:firstLine="435"/>
        <w:rPr>
          <w:rFonts w:ascii="仿宋" w:hAnsi="仿宋" w:eastAsia="仿宋" w:cs="仿宋"/>
          <w:sz w:val="24"/>
        </w:rPr>
      </w:pPr>
      <w:bookmarkStart w:id="970" w:name="_Ref467379400"/>
      <w:r>
        <w:rPr>
          <w:rFonts w:hint="eastAsia" w:ascii="仿宋" w:hAnsi="仿宋" w:eastAsia="仿宋" w:cs="仿宋"/>
          <w:sz w:val="24"/>
        </w:rPr>
        <w:t>2.1.5“乙方”系指根据合同约定提供服务的中标人</w:t>
      </w:r>
      <w:bookmarkEnd w:id="970"/>
      <w:r>
        <w:rPr>
          <w:rFonts w:hint="eastAsia" w:ascii="仿宋" w:hAnsi="仿宋" w:eastAsia="仿宋" w:cs="仿宋"/>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8635EE5">
      <w:pPr>
        <w:spacing w:line="360" w:lineRule="auto"/>
        <w:ind w:firstLine="435"/>
        <w:rPr>
          <w:rFonts w:ascii="仿宋" w:hAnsi="仿宋" w:eastAsia="仿宋" w:cs="仿宋"/>
          <w:sz w:val="24"/>
        </w:rPr>
      </w:pPr>
      <w:bookmarkStart w:id="971" w:name="_Ref467379436"/>
      <w:r>
        <w:rPr>
          <w:rFonts w:hint="eastAsia" w:ascii="仿宋" w:hAnsi="仿宋" w:eastAsia="仿宋" w:cs="仿宋"/>
          <w:sz w:val="24"/>
        </w:rPr>
        <w:t>2.1.6“现场”系指合同约定提供服务的地点。</w:t>
      </w:r>
      <w:bookmarkEnd w:id="971"/>
    </w:p>
    <w:p w14:paraId="7AEE7BFB">
      <w:pPr>
        <w:spacing w:line="360" w:lineRule="auto"/>
        <w:ind w:firstLine="437"/>
        <w:outlineLvl w:val="2"/>
        <w:rPr>
          <w:rFonts w:ascii="仿宋" w:hAnsi="仿宋" w:eastAsia="仿宋" w:cs="仿宋"/>
          <w:b/>
          <w:bCs/>
          <w:sz w:val="24"/>
          <w:lang w:val="zh-CN"/>
        </w:rPr>
      </w:pPr>
      <w:bookmarkStart w:id="972" w:name="_Toc13336"/>
      <w:bookmarkStart w:id="973" w:name="_Toc487900350"/>
      <w:bookmarkStart w:id="974" w:name="_Toc279701241"/>
      <w:bookmarkStart w:id="975" w:name="_Toc27635"/>
      <w:bookmarkStart w:id="976" w:name="_Toc32504"/>
      <w:bookmarkStart w:id="977" w:name="_Toc259093670"/>
      <w:r>
        <w:rPr>
          <w:rFonts w:hint="eastAsia" w:ascii="仿宋" w:hAnsi="仿宋" w:eastAsia="仿宋" w:cs="仿宋"/>
          <w:b/>
          <w:bCs/>
          <w:sz w:val="24"/>
          <w:lang w:val="zh-CN"/>
        </w:rPr>
        <w:t>2.2技术规范</w:t>
      </w:r>
      <w:bookmarkEnd w:id="972"/>
      <w:bookmarkEnd w:id="973"/>
      <w:bookmarkEnd w:id="974"/>
      <w:bookmarkEnd w:id="975"/>
      <w:bookmarkEnd w:id="976"/>
      <w:bookmarkEnd w:id="977"/>
    </w:p>
    <w:p w14:paraId="7C2FEBB5">
      <w:pPr>
        <w:spacing w:line="360" w:lineRule="auto"/>
        <w:ind w:firstLine="435"/>
        <w:rPr>
          <w:rFonts w:ascii="仿宋" w:hAnsi="仿宋" w:eastAsia="仿宋" w:cs="仿宋"/>
          <w:sz w:val="24"/>
        </w:rPr>
      </w:pPr>
      <w:r>
        <w:rPr>
          <w:rFonts w:hint="eastAsia" w:ascii="仿宋" w:hAnsi="仿宋" w:eastAsia="仿宋" w:cs="仿宋"/>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0FC1D3D">
      <w:pPr>
        <w:spacing w:line="360" w:lineRule="auto"/>
        <w:ind w:firstLine="437"/>
        <w:outlineLvl w:val="2"/>
        <w:rPr>
          <w:rFonts w:ascii="仿宋" w:hAnsi="仿宋" w:eastAsia="仿宋" w:cs="仿宋"/>
          <w:b/>
          <w:bCs/>
          <w:sz w:val="24"/>
          <w:lang w:val="zh-CN"/>
        </w:rPr>
      </w:pPr>
      <w:bookmarkStart w:id="978" w:name="_Toc259093671"/>
      <w:bookmarkStart w:id="979" w:name="_Toc27853"/>
      <w:bookmarkStart w:id="980" w:name="_Toc487900351"/>
      <w:bookmarkStart w:id="981" w:name="_Toc31634"/>
      <w:bookmarkStart w:id="982" w:name="_Toc9829"/>
      <w:bookmarkStart w:id="983" w:name="_Toc279701242"/>
      <w:r>
        <w:rPr>
          <w:rFonts w:hint="eastAsia" w:ascii="仿宋" w:hAnsi="仿宋" w:eastAsia="仿宋" w:cs="仿宋"/>
          <w:b/>
          <w:bCs/>
          <w:sz w:val="24"/>
          <w:lang w:val="zh-CN"/>
        </w:rPr>
        <w:t>2.3知识产权</w:t>
      </w:r>
      <w:bookmarkEnd w:id="978"/>
      <w:bookmarkEnd w:id="979"/>
      <w:bookmarkEnd w:id="980"/>
      <w:bookmarkEnd w:id="981"/>
      <w:bookmarkEnd w:id="982"/>
      <w:bookmarkEnd w:id="983"/>
    </w:p>
    <w:p w14:paraId="2DA77C0B">
      <w:pPr>
        <w:spacing w:line="360" w:lineRule="auto"/>
        <w:ind w:firstLine="435"/>
        <w:rPr>
          <w:rFonts w:ascii="仿宋" w:hAnsi="仿宋" w:eastAsia="仿宋" w:cs="仿宋"/>
          <w:sz w:val="24"/>
        </w:rPr>
      </w:pPr>
      <w:r>
        <w:rPr>
          <w:rFonts w:hint="eastAsia" w:ascii="仿宋" w:hAnsi="仿宋" w:eastAsia="仿宋" w:cs="仿宋"/>
          <w:sz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F1936FF">
      <w:pPr>
        <w:spacing w:line="360" w:lineRule="auto"/>
        <w:ind w:firstLine="435"/>
        <w:rPr>
          <w:rFonts w:ascii="仿宋" w:hAnsi="仿宋" w:eastAsia="仿宋" w:cs="仿宋"/>
          <w:sz w:val="24"/>
        </w:rPr>
      </w:pPr>
      <w:r>
        <w:rPr>
          <w:rFonts w:hint="eastAsia" w:ascii="仿宋" w:hAnsi="仿宋" w:eastAsia="仿宋" w:cs="仿宋"/>
          <w:sz w:val="24"/>
        </w:rPr>
        <w:t>2.3.2具有知识产权的计算机软件等货物的知识产权归属，详见</w:t>
      </w:r>
      <w:r>
        <w:rPr>
          <w:rFonts w:hint="eastAsia" w:ascii="仿宋" w:hAnsi="仿宋" w:eastAsia="仿宋" w:cs="仿宋"/>
          <w:b/>
          <w:i/>
          <w:sz w:val="24"/>
          <w:u w:val="single"/>
        </w:rPr>
        <w:t>合同专用条款</w:t>
      </w:r>
      <w:r>
        <w:rPr>
          <w:rFonts w:hint="eastAsia" w:ascii="仿宋" w:hAnsi="仿宋" w:eastAsia="仿宋" w:cs="仿宋"/>
          <w:sz w:val="24"/>
        </w:rPr>
        <w:t>。</w:t>
      </w:r>
    </w:p>
    <w:p w14:paraId="68B5A79F">
      <w:pPr>
        <w:spacing w:line="360" w:lineRule="auto"/>
        <w:ind w:firstLine="437"/>
        <w:outlineLvl w:val="2"/>
        <w:rPr>
          <w:rFonts w:ascii="仿宋" w:hAnsi="仿宋" w:eastAsia="仿宋" w:cs="仿宋"/>
          <w:b/>
          <w:bCs/>
          <w:sz w:val="24"/>
          <w:lang w:val="zh-CN"/>
        </w:rPr>
      </w:pPr>
      <w:bookmarkStart w:id="984" w:name="_Ref467379527"/>
      <w:bookmarkStart w:id="985" w:name="_Ref467378541"/>
      <w:bookmarkStart w:id="986" w:name="_Toc487900354"/>
      <w:bookmarkStart w:id="987" w:name="_Ref467378591"/>
      <w:bookmarkStart w:id="988" w:name="_Toc259093674"/>
      <w:bookmarkStart w:id="989" w:name="_Toc279701245"/>
      <w:bookmarkStart w:id="990" w:name="_Ref467379542"/>
      <w:bookmarkStart w:id="991" w:name="_Ref467379536"/>
      <w:bookmarkStart w:id="992" w:name="_Toc19074"/>
      <w:bookmarkStart w:id="993" w:name="_Toc30272"/>
      <w:bookmarkStart w:id="994" w:name="_Toc26182"/>
      <w:r>
        <w:rPr>
          <w:rFonts w:hint="eastAsia" w:ascii="仿宋" w:hAnsi="仿宋" w:eastAsia="仿宋" w:cs="仿宋"/>
          <w:b/>
          <w:bCs/>
          <w:sz w:val="24"/>
          <w:lang w:val="zh-CN"/>
        </w:rPr>
        <w:t>2.</w:t>
      </w:r>
      <w:bookmarkEnd w:id="984"/>
      <w:bookmarkEnd w:id="985"/>
      <w:bookmarkEnd w:id="986"/>
      <w:bookmarkEnd w:id="987"/>
      <w:bookmarkEnd w:id="988"/>
      <w:bookmarkEnd w:id="989"/>
      <w:bookmarkEnd w:id="990"/>
      <w:bookmarkEnd w:id="991"/>
      <w:r>
        <w:rPr>
          <w:rFonts w:hint="eastAsia" w:ascii="仿宋" w:hAnsi="仿宋" w:eastAsia="仿宋" w:cs="仿宋"/>
          <w:b/>
          <w:bCs/>
          <w:sz w:val="24"/>
          <w:lang w:val="zh-CN"/>
        </w:rPr>
        <w:t>4履约检查和问题反馈</w:t>
      </w:r>
      <w:bookmarkEnd w:id="992"/>
      <w:bookmarkEnd w:id="993"/>
      <w:bookmarkEnd w:id="994"/>
    </w:p>
    <w:p w14:paraId="7B6DC82D">
      <w:pPr>
        <w:spacing w:line="360" w:lineRule="auto"/>
        <w:ind w:firstLine="435"/>
        <w:rPr>
          <w:rFonts w:ascii="仿宋" w:hAnsi="仿宋" w:eastAsia="仿宋" w:cs="仿宋"/>
          <w:sz w:val="24"/>
        </w:rPr>
      </w:pPr>
      <w:bookmarkStart w:id="995" w:name="_Toc186431854"/>
      <w:bookmarkStart w:id="996" w:name="_Ref467379807"/>
      <w:bookmarkStart w:id="997" w:name="_Toc259093676"/>
      <w:bookmarkStart w:id="998" w:name="_Toc487900357"/>
      <w:bookmarkStart w:id="999" w:name="_Toc279701247"/>
      <w:bookmarkStart w:id="1000" w:name="_Ref467379793"/>
      <w:r>
        <w:rPr>
          <w:rFonts w:hint="eastAsia" w:ascii="仿宋" w:hAnsi="仿宋" w:eastAsia="仿宋" w:cs="仿宋"/>
          <w:sz w:val="24"/>
        </w:rPr>
        <w:t>2.4.1甲方有权在其认为必要时，对乙方是否能够按照合同约定提供服务进行履约检查，以确保乙方所提供的服务能够依约满足甲方项目需求，但不得因履约检查妨碍乙方的正常工作，乙方应予积极配合；</w:t>
      </w:r>
    </w:p>
    <w:p w14:paraId="2BAD3140">
      <w:pPr>
        <w:spacing w:line="360" w:lineRule="auto"/>
        <w:ind w:firstLine="435"/>
        <w:rPr>
          <w:rFonts w:ascii="仿宋" w:hAnsi="仿宋" w:eastAsia="仿宋" w:cs="仿宋"/>
          <w:sz w:val="24"/>
        </w:rPr>
      </w:pPr>
      <w:r>
        <w:rPr>
          <w:rFonts w:hint="eastAsia" w:ascii="仿宋" w:hAnsi="仿宋" w:eastAsia="仿宋" w:cs="仿宋"/>
          <w:sz w:val="24"/>
        </w:rPr>
        <w:t>2.4.2合同履行期间，甲方有权将履行过程中出现的问题反馈给乙方，双方当事人应以书面形式约定需要完善和改进的内容</w:t>
      </w:r>
      <w:bookmarkEnd w:id="995"/>
      <w:bookmarkStart w:id="1001" w:name="_Toc186431855"/>
      <w:r>
        <w:rPr>
          <w:rFonts w:hint="eastAsia" w:ascii="仿宋" w:hAnsi="仿宋" w:eastAsia="仿宋" w:cs="仿宋"/>
          <w:sz w:val="24"/>
        </w:rPr>
        <w:t>。</w:t>
      </w:r>
    </w:p>
    <w:bookmarkEnd w:id="1001"/>
    <w:p w14:paraId="478949D4">
      <w:pPr>
        <w:spacing w:line="360" w:lineRule="auto"/>
        <w:ind w:firstLine="437"/>
        <w:outlineLvl w:val="2"/>
        <w:rPr>
          <w:rFonts w:ascii="仿宋" w:hAnsi="仿宋" w:eastAsia="仿宋" w:cs="仿宋"/>
          <w:b/>
          <w:bCs/>
          <w:sz w:val="24"/>
          <w:lang w:val="zh-CN"/>
        </w:rPr>
      </w:pPr>
      <w:bookmarkStart w:id="1002" w:name="_Toc28451"/>
      <w:bookmarkStart w:id="1003" w:name="_Toc7836"/>
      <w:r>
        <w:rPr>
          <w:rFonts w:hint="eastAsia" w:ascii="仿宋" w:hAnsi="仿宋" w:eastAsia="仿宋" w:cs="仿宋"/>
          <w:b/>
          <w:bCs/>
          <w:sz w:val="24"/>
          <w:lang w:val="zh-CN"/>
        </w:rPr>
        <w:t>2.5结算方式和付款条件</w:t>
      </w:r>
      <w:bookmarkEnd w:id="996"/>
      <w:bookmarkEnd w:id="997"/>
      <w:bookmarkEnd w:id="998"/>
      <w:bookmarkEnd w:id="999"/>
      <w:bookmarkEnd w:id="1000"/>
      <w:bookmarkEnd w:id="1002"/>
      <w:bookmarkEnd w:id="1003"/>
    </w:p>
    <w:p w14:paraId="49CD5EDB">
      <w:pPr>
        <w:spacing w:line="360" w:lineRule="auto"/>
        <w:ind w:firstLine="435"/>
        <w:rPr>
          <w:rFonts w:ascii="仿宋" w:hAnsi="仿宋" w:eastAsia="仿宋" w:cs="仿宋"/>
          <w:sz w:val="24"/>
        </w:rPr>
      </w:pPr>
      <w:r>
        <w:rPr>
          <w:rFonts w:hint="eastAsia" w:ascii="仿宋" w:hAnsi="仿宋" w:eastAsia="仿宋" w:cs="仿宋"/>
          <w:sz w:val="24"/>
        </w:rPr>
        <w:t>详见</w:t>
      </w:r>
      <w:r>
        <w:rPr>
          <w:rFonts w:hint="eastAsia" w:ascii="仿宋" w:hAnsi="仿宋" w:eastAsia="仿宋" w:cs="仿宋"/>
          <w:b/>
          <w:i/>
          <w:sz w:val="24"/>
          <w:u w:val="single"/>
        </w:rPr>
        <w:t>合同专用条款</w:t>
      </w:r>
      <w:r>
        <w:rPr>
          <w:rFonts w:hint="eastAsia" w:ascii="仿宋" w:hAnsi="仿宋" w:eastAsia="仿宋" w:cs="仿宋"/>
          <w:sz w:val="24"/>
        </w:rPr>
        <w:t>。</w:t>
      </w:r>
    </w:p>
    <w:p w14:paraId="33548AAC">
      <w:pPr>
        <w:spacing w:line="360" w:lineRule="auto"/>
        <w:ind w:firstLine="437"/>
        <w:outlineLvl w:val="2"/>
        <w:rPr>
          <w:rFonts w:ascii="仿宋" w:hAnsi="仿宋" w:eastAsia="仿宋" w:cs="仿宋"/>
          <w:b/>
          <w:bCs/>
          <w:sz w:val="24"/>
          <w:lang w:val="zh-CN"/>
        </w:rPr>
      </w:pPr>
      <w:bookmarkStart w:id="1004" w:name="_Toc279701248"/>
      <w:bookmarkStart w:id="1005" w:name="_Toc487900358"/>
      <w:bookmarkStart w:id="1006" w:name="_Ref467379863"/>
      <w:bookmarkStart w:id="1007" w:name="_Toc259093677"/>
      <w:bookmarkStart w:id="1008" w:name="_Ref467379852"/>
      <w:bookmarkStart w:id="1009" w:name="_Ref467379923"/>
      <w:bookmarkStart w:id="1010" w:name="_Toc16110"/>
      <w:bookmarkStart w:id="1011" w:name="_Toc3225"/>
      <w:bookmarkStart w:id="1012" w:name="_Toc774"/>
      <w:r>
        <w:rPr>
          <w:rFonts w:hint="eastAsia" w:ascii="仿宋" w:hAnsi="仿宋" w:eastAsia="仿宋" w:cs="仿宋"/>
          <w:b/>
          <w:bCs/>
          <w:sz w:val="24"/>
          <w:lang w:val="zh-CN"/>
        </w:rPr>
        <w:t>2.6技术资料</w:t>
      </w:r>
      <w:bookmarkEnd w:id="1004"/>
      <w:bookmarkEnd w:id="1005"/>
      <w:bookmarkEnd w:id="1006"/>
      <w:bookmarkEnd w:id="1007"/>
      <w:bookmarkEnd w:id="1008"/>
      <w:bookmarkEnd w:id="1009"/>
      <w:r>
        <w:rPr>
          <w:rFonts w:hint="eastAsia" w:ascii="仿宋" w:hAnsi="仿宋" w:eastAsia="仿宋" w:cs="仿宋"/>
          <w:b/>
          <w:bCs/>
          <w:sz w:val="24"/>
          <w:lang w:val="zh-CN"/>
        </w:rPr>
        <w:t>和保密义务</w:t>
      </w:r>
      <w:bookmarkEnd w:id="1010"/>
      <w:bookmarkEnd w:id="1011"/>
      <w:bookmarkEnd w:id="1012"/>
    </w:p>
    <w:p w14:paraId="7D6A2B5C">
      <w:pPr>
        <w:spacing w:line="360" w:lineRule="auto"/>
        <w:ind w:firstLine="435"/>
        <w:rPr>
          <w:rFonts w:ascii="仿宋" w:hAnsi="仿宋" w:eastAsia="仿宋" w:cs="仿宋"/>
          <w:sz w:val="24"/>
        </w:rPr>
      </w:pPr>
      <w:r>
        <w:rPr>
          <w:rFonts w:hint="eastAsia" w:ascii="仿宋" w:hAnsi="仿宋" w:eastAsia="仿宋" w:cs="仿宋"/>
          <w:sz w:val="24"/>
        </w:rPr>
        <w:t>2.6.1乙方有权依据合同约定和项目需要，向甲方了解有关情况，调阅有关资料等，甲方应予积极配合；</w:t>
      </w:r>
    </w:p>
    <w:p w14:paraId="11AAF0CA">
      <w:pPr>
        <w:spacing w:line="360" w:lineRule="auto"/>
        <w:ind w:firstLine="435"/>
        <w:rPr>
          <w:rFonts w:ascii="仿宋" w:hAnsi="仿宋" w:eastAsia="仿宋" w:cs="仿宋"/>
          <w:sz w:val="24"/>
        </w:rPr>
      </w:pPr>
      <w:r>
        <w:rPr>
          <w:rFonts w:hint="eastAsia" w:ascii="仿宋" w:hAnsi="仿宋" w:eastAsia="仿宋" w:cs="仿宋"/>
          <w:sz w:val="24"/>
        </w:rPr>
        <w:t>2.6.2乙方有义务妥善保管和保护由甲方提供的前款信息和资料等；</w:t>
      </w:r>
    </w:p>
    <w:p w14:paraId="05472A3F">
      <w:pPr>
        <w:spacing w:line="360" w:lineRule="auto"/>
        <w:ind w:firstLine="435"/>
        <w:rPr>
          <w:rFonts w:ascii="仿宋" w:hAnsi="仿宋" w:eastAsia="仿宋" w:cs="仿宋"/>
          <w:sz w:val="24"/>
        </w:rPr>
      </w:pPr>
      <w:r>
        <w:rPr>
          <w:rFonts w:hint="eastAsia" w:ascii="仿宋" w:hAnsi="仿宋" w:eastAsia="仿宋" w:cs="仿宋"/>
          <w:sz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091F50D">
      <w:pPr>
        <w:spacing w:line="360" w:lineRule="auto"/>
        <w:ind w:firstLine="437"/>
        <w:outlineLvl w:val="2"/>
        <w:rPr>
          <w:rFonts w:ascii="仿宋" w:hAnsi="仿宋" w:eastAsia="仿宋" w:cs="仿宋"/>
          <w:b/>
          <w:bCs/>
          <w:sz w:val="24"/>
          <w:lang w:val="zh-CN"/>
        </w:rPr>
      </w:pPr>
      <w:bookmarkStart w:id="1013" w:name="_Toc7860"/>
      <w:r>
        <w:rPr>
          <w:rFonts w:hint="eastAsia" w:ascii="仿宋" w:hAnsi="仿宋" w:eastAsia="仿宋" w:cs="仿宋"/>
          <w:b/>
          <w:bCs/>
          <w:sz w:val="24"/>
          <w:lang w:val="zh-CN"/>
        </w:rPr>
        <w:t>2.7质量保证</w:t>
      </w:r>
      <w:bookmarkEnd w:id="1013"/>
    </w:p>
    <w:p w14:paraId="50FF88C7">
      <w:pPr>
        <w:spacing w:line="360" w:lineRule="auto"/>
        <w:ind w:firstLine="435"/>
        <w:rPr>
          <w:rFonts w:ascii="仿宋" w:hAnsi="仿宋" w:eastAsia="仿宋" w:cs="仿宋"/>
          <w:sz w:val="24"/>
        </w:rPr>
      </w:pPr>
      <w:r>
        <w:rPr>
          <w:rFonts w:hint="eastAsia" w:ascii="仿宋" w:hAnsi="仿宋" w:eastAsia="仿宋" w:cs="仿宋"/>
          <w:sz w:val="24"/>
        </w:rPr>
        <w:t>2.7.1乙方应建立和完善履行合同的内部质量保证体系，并提供相关内部规章制度给甲方，以便甲方进行监督检查；</w:t>
      </w:r>
    </w:p>
    <w:p w14:paraId="3DDCECA3">
      <w:pPr>
        <w:spacing w:line="360" w:lineRule="auto"/>
        <w:ind w:firstLine="435"/>
        <w:rPr>
          <w:rFonts w:ascii="仿宋" w:hAnsi="仿宋" w:eastAsia="仿宋" w:cs="仿宋"/>
          <w:sz w:val="24"/>
        </w:rPr>
      </w:pPr>
      <w:r>
        <w:rPr>
          <w:rFonts w:hint="eastAsia" w:ascii="仿宋" w:hAnsi="仿宋" w:eastAsia="仿宋" w:cs="仿宋"/>
          <w:sz w:val="24"/>
        </w:rPr>
        <w:t>2.7.2乙方应保证履行合同的人员数量和素质、软件和硬件设备的配置、场地、环境和设施等满足全面履行合同的要求，并应接受甲方的监督检查。</w:t>
      </w:r>
    </w:p>
    <w:p w14:paraId="07C07BC4">
      <w:pPr>
        <w:spacing w:line="360" w:lineRule="auto"/>
        <w:ind w:firstLine="437"/>
        <w:outlineLvl w:val="2"/>
        <w:rPr>
          <w:rFonts w:ascii="仿宋" w:hAnsi="仿宋" w:eastAsia="仿宋" w:cs="仿宋"/>
          <w:b/>
          <w:sz w:val="24"/>
        </w:rPr>
      </w:pPr>
      <w:bookmarkStart w:id="1014" w:name="_Toc22267"/>
      <w:r>
        <w:rPr>
          <w:rFonts w:hint="eastAsia" w:ascii="仿宋" w:hAnsi="仿宋" w:eastAsia="仿宋" w:cs="仿宋"/>
          <w:b/>
          <w:sz w:val="24"/>
        </w:rPr>
        <w:t>2.8延迟履行</w:t>
      </w:r>
      <w:bookmarkEnd w:id="1014"/>
    </w:p>
    <w:p w14:paraId="6DEF47E3">
      <w:pPr>
        <w:spacing w:line="360" w:lineRule="auto"/>
        <w:ind w:firstLine="435"/>
        <w:rPr>
          <w:rFonts w:ascii="仿宋" w:hAnsi="仿宋" w:eastAsia="仿宋" w:cs="仿宋"/>
          <w:sz w:val="24"/>
        </w:rPr>
      </w:pPr>
      <w:r>
        <w:rPr>
          <w:rFonts w:hint="eastAsia" w:ascii="仿宋" w:hAnsi="仿宋" w:eastAsia="仿宋" w:cs="仿宋"/>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C571EDD">
      <w:pPr>
        <w:spacing w:line="360" w:lineRule="auto"/>
        <w:ind w:firstLine="437"/>
        <w:outlineLvl w:val="2"/>
        <w:rPr>
          <w:rFonts w:ascii="仿宋" w:hAnsi="仿宋" w:eastAsia="仿宋" w:cs="仿宋"/>
          <w:b/>
          <w:bCs/>
          <w:sz w:val="24"/>
          <w:lang w:val="zh-CN"/>
        </w:rPr>
      </w:pPr>
      <w:bookmarkStart w:id="1015" w:name="_Toc7502"/>
      <w:bookmarkStart w:id="1016" w:name="_Ref467378121"/>
      <w:bookmarkStart w:id="1017" w:name="_Toc487900364"/>
      <w:bookmarkStart w:id="1018" w:name="_Toc259093683"/>
      <w:bookmarkStart w:id="1019" w:name="_Toc279701254"/>
      <w:r>
        <w:rPr>
          <w:rFonts w:hint="eastAsia" w:ascii="仿宋" w:hAnsi="仿宋" w:eastAsia="仿宋" w:cs="仿宋"/>
          <w:b/>
          <w:bCs/>
          <w:sz w:val="24"/>
          <w:lang w:val="zh-CN"/>
        </w:rPr>
        <w:t>2.9合同变更</w:t>
      </w:r>
      <w:bookmarkEnd w:id="1015"/>
    </w:p>
    <w:p w14:paraId="725676EA">
      <w:pPr>
        <w:spacing w:line="360" w:lineRule="auto"/>
        <w:ind w:firstLine="435"/>
        <w:rPr>
          <w:rFonts w:ascii="仿宋" w:hAnsi="仿宋" w:eastAsia="仿宋" w:cs="仿宋"/>
          <w:sz w:val="24"/>
        </w:rPr>
      </w:pPr>
      <w:r>
        <w:rPr>
          <w:rFonts w:hint="eastAsia" w:ascii="仿宋" w:hAnsi="仿宋" w:eastAsia="仿宋" w:cs="仿宋"/>
          <w:sz w:val="24"/>
        </w:rPr>
        <w:t>2.9.1双方当事人协商一致，可以签订书面补充合同的形式变更合同，但不得违背采购文件确定的事项；</w:t>
      </w:r>
    </w:p>
    <w:p w14:paraId="45EB1A34">
      <w:pPr>
        <w:spacing w:line="360" w:lineRule="auto"/>
        <w:ind w:firstLine="435"/>
        <w:rPr>
          <w:rFonts w:ascii="仿宋" w:hAnsi="仿宋" w:eastAsia="仿宋" w:cs="仿宋"/>
          <w:sz w:val="24"/>
        </w:rPr>
      </w:pPr>
      <w:r>
        <w:rPr>
          <w:rFonts w:hint="eastAsia" w:ascii="仿宋" w:hAnsi="仿宋" w:eastAsia="仿宋" w:cs="仿宋"/>
          <w:sz w:val="24"/>
        </w:rPr>
        <w:t>2.9.2合同继续履行将损害国家利益和社会公共利益的，双方当事人应当以书面形式变更合同。有过错的一方应当承担赔偿责任，双方当事人都有过错的，各自承担相应的责任。</w:t>
      </w:r>
      <w:bookmarkStart w:id="1020" w:name="_Toc279701259"/>
      <w:bookmarkStart w:id="1021" w:name="_Toc487900369"/>
      <w:bookmarkStart w:id="1022" w:name="_Toc259093688"/>
    </w:p>
    <w:p w14:paraId="6973E4DD">
      <w:pPr>
        <w:spacing w:line="360" w:lineRule="auto"/>
        <w:ind w:firstLine="437"/>
        <w:outlineLvl w:val="2"/>
        <w:rPr>
          <w:rFonts w:ascii="仿宋" w:hAnsi="仿宋" w:eastAsia="仿宋" w:cs="仿宋"/>
          <w:b/>
          <w:bCs/>
          <w:sz w:val="24"/>
          <w:lang w:val="zh-CN"/>
        </w:rPr>
      </w:pPr>
      <w:bookmarkStart w:id="1023" w:name="_Toc22955"/>
      <w:bookmarkStart w:id="1024" w:name="_Toc10366"/>
      <w:bookmarkStart w:id="1025" w:name="_Toc15237"/>
      <w:r>
        <w:rPr>
          <w:rFonts w:hint="eastAsia" w:ascii="仿宋" w:hAnsi="仿宋" w:eastAsia="仿宋" w:cs="仿宋"/>
          <w:b/>
          <w:bCs/>
          <w:sz w:val="24"/>
          <w:lang w:val="zh-CN"/>
        </w:rPr>
        <w:t>2.10合同转让</w:t>
      </w:r>
      <w:bookmarkEnd w:id="1020"/>
      <w:bookmarkEnd w:id="1021"/>
      <w:bookmarkEnd w:id="1022"/>
      <w:r>
        <w:rPr>
          <w:rFonts w:hint="eastAsia" w:ascii="仿宋" w:hAnsi="仿宋" w:eastAsia="仿宋" w:cs="仿宋"/>
          <w:b/>
          <w:bCs/>
          <w:sz w:val="24"/>
          <w:lang w:val="zh-CN"/>
        </w:rPr>
        <w:t>和分包</w:t>
      </w:r>
      <w:bookmarkEnd w:id="1023"/>
      <w:bookmarkEnd w:id="1024"/>
      <w:bookmarkEnd w:id="1025"/>
    </w:p>
    <w:p w14:paraId="4B746FED">
      <w:pPr>
        <w:spacing w:line="360" w:lineRule="auto"/>
        <w:ind w:firstLine="435"/>
        <w:rPr>
          <w:rFonts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AB1BE5C">
      <w:pPr>
        <w:spacing w:line="360" w:lineRule="auto"/>
        <w:ind w:firstLine="437"/>
        <w:outlineLvl w:val="2"/>
        <w:rPr>
          <w:rFonts w:ascii="仿宋" w:hAnsi="仿宋" w:eastAsia="仿宋" w:cs="仿宋"/>
          <w:b/>
          <w:bCs/>
          <w:sz w:val="24"/>
          <w:lang w:val="zh-CN"/>
        </w:rPr>
      </w:pPr>
      <w:bookmarkStart w:id="1026" w:name="_Toc16508"/>
      <w:bookmarkStart w:id="1027" w:name="_Toc14066"/>
      <w:bookmarkStart w:id="1028" w:name="_Toc13566"/>
      <w:r>
        <w:rPr>
          <w:rFonts w:hint="eastAsia" w:ascii="仿宋" w:hAnsi="仿宋" w:eastAsia="仿宋" w:cs="仿宋"/>
          <w:b/>
          <w:bCs/>
          <w:sz w:val="24"/>
          <w:lang w:val="zh-CN"/>
        </w:rPr>
        <w:t>2.11不可抗力</w:t>
      </w:r>
      <w:bookmarkEnd w:id="1026"/>
      <w:bookmarkEnd w:id="1027"/>
      <w:bookmarkEnd w:id="1028"/>
    </w:p>
    <w:p w14:paraId="64FDBC66">
      <w:pPr>
        <w:spacing w:line="360" w:lineRule="auto"/>
        <w:ind w:firstLine="435"/>
        <w:rPr>
          <w:rFonts w:ascii="仿宋" w:hAnsi="仿宋" w:eastAsia="仿宋" w:cs="仿宋"/>
          <w:sz w:val="24"/>
        </w:rPr>
      </w:pPr>
      <w:r>
        <w:rPr>
          <w:rFonts w:hint="eastAsia" w:ascii="仿宋" w:hAnsi="仿宋" w:eastAsia="仿宋" w:cs="仿宋"/>
          <w:sz w:val="24"/>
        </w:rPr>
        <w:t>2.11.1如果任何一方遭遇法律规定的不可抗力，致使合同履行受阻时，履行合同的期限应予延长，延长的期限应相当于不可抗力所影响的时间；</w:t>
      </w:r>
    </w:p>
    <w:p w14:paraId="7D7367A7">
      <w:pPr>
        <w:spacing w:line="360" w:lineRule="auto"/>
        <w:ind w:firstLine="435"/>
        <w:rPr>
          <w:rFonts w:ascii="仿宋" w:hAnsi="仿宋" w:eastAsia="仿宋" w:cs="仿宋"/>
          <w:sz w:val="24"/>
        </w:rPr>
      </w:pPr>
      <w:r>
        <w:rPr>
          <w:rFonts w:hint="eastAsia" w:ascii="仿宋" w:hAnsi="仿宋" w:eastAsia="仿宋" w:cs="仿宋"/>
          <w:sz w:val="24"/>
        </w:rPr>
        <w:t>2.11.2因不可抗力致使不能实现合同目的的，当事人可以解除合同；</w:t>
      </w:r>
    </w:p>
    <w:p w14:paraId="2605E3E0">
      <w:pPr>
        <w:spacing w:line="360" w:lineRule="auto"/>
        <w:ind w:firstLine="435"/>
        <w:rPr>
          <w:rFonts w:ascii="仿宋" w:hAnsi="仿宋" w:eastAsia="仿宋" w:cs="仿宋"/>
          <w:sz w:val="24"/>
        </w:rPr>
      </w:pPr>
      <w:r>
        <w:rPr>
          <w:rFonts w:hint="eastAsia" w:ascii="仿宋" w:hAnsi="仿宋" w:eastAsia="仿宋" w:cs="仿宋"/>
          <w:sz w:val="24"/>
        </w:rPr>
        <w:t>2.11.3因不可抗力致使合同有变更必要的，双方当事人应在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约定时间内以书面形式变更合同；</w:t>
      </w:r>
    </w:p>
    <w:p w14:paraId="5989E06B">
      <w:pPr>
        <w:spacing w:line="360" w:lineRule="auto"/>
        <w:ind w:firstLine="435"/>
        <w:rPr>
          <w:rFonts w:ascii="仿宋" w:hAnsi="仿宋" w:eastAsia="仿宋" w:cs="仿宋"/>
          <w:sz w:val="24"/>
        </w:rPr>
      </w:pPr>
      <w:r>
        <w:rPr>
          <w:rFonts w:hint="eastAsia" w:ascii="仿宋" w:hAnsi="仿宋" w:eastAsia="仿宋" w:cs="仿宋"/>
          <w:sz w:val="24"/>
        </w:rPr>
        <w:t>2.11.4受不可抗力影响的一方在不可抗力发生后，应在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约定时间内以书面形式通知对方当事人，并在</w:t>
      </w:r>
      <w:r>
        <w:rPr>
          <w:rFonts w:hint="eastAsia" w:ascii="仿宋" w:hAnsi="仿宋" w:eastAsia="仿宋" w:cs="仿宋"/>
          <w:b/>
          <w:i/>
          <w:sz w:val="24"/>
          <w:u w:val="single"/>
        </w:rPr>
        <w:t>合同专用条款</w:t>
      </w:r>
      <w:r>
        <w:rPr>
          <w:rFonts w:hint="eastAsia" w:ascii="仿宋" w:hAnsi="仿宋" w:eastAsia="仿宋" w:cs="仿宋"/>
          <w:sz w:val="24"/>
        </w:rPr>
        <w:t>约定时间内，将有关部门出具的证明文件送达对方当事人。</w:t>
      </w:r>
    </w:p>
    <w:p w14:paraId="25468610">
      <w:pPr>
        <w:spacing w:line="360" w:lineRule="auto"/>
        <w:ind w:firstLine="437"/>
        <w:outlineLvl w:val="2"/>
        <w:rPr>
          <w:rFonts w:ascii="仿宋" w:hAnsi="仿宋" w:eastAsia="仿宋" w:cs="仿宋"/>
          <w:b/>
          <w:bCs/>
          <w:sz w:val="24"/>
          <w:lang w:val="zh-CN"/>
        </w:rPr>
      </w:pPr>
      <w:bookmarkStart w:id="1029" w:name="_Toc30676"/>
      <w:bookmarkStart w:id="1030" w:name="_Toc6969"/>
      <w:bookmarkStart w:id="1031" w:name="_Toc689"/>
      <w:bookmarkStart w:id="1032" w:name="_Toc487900365"/>
      <w:bookmarkStart w:id="1033" w:name="_Toc259093684"/>
      <w:bookmarkStart w:id="1034" w:name="_Toc279701255"/>
      <w:r>
        <w:rPr>
          <w:rFonts w:hint="eastAsia" w:ascii="仿宋" w:hAnsi="仿宋" w:eastAsia="仿宋" w:cs="仿宋"/>
          <w:b/>
          <w:bCs/>
          <w:sz w:val="24"/>
          <w:lang w:val="zh-CN"/>
        </w:rPr>
        <w:t>2.12税费</w:t>
      </w:r>
      <w:bookmarkEnd w:id="1029"/>
      <w:bookmarkEnd w:id="1030"/>
      <w:bookmarkEnd w:id="1031"/>
      <w:bookmarkEnd w:id="1032"/>
      <w:bookmarkEnd w:id="1033"/>
      <w:bookmarkEnd w:id="1034"/>
    </w:p>
    <w:p w14:paraId="768A3653">
      <w:pPr>
        <w:spacing w:line="360" w:lineRule="auto"/>
        <w:ind w:firstLine="435"/>
        <w:rPr>
          <w:rFonts w:ascii="仿宋" w:hAnsi="仿宋" w:eastAsia="仿宋" w:cs="仿宋"/>
          <w:sz w:val="24"/>
        </w:rPr>
      </w:pPr>
      <w:r>
        <w:rPr>
          <w:rFonts w:hint="eastAsia" w:ascii="仿宋" w:hAnsi="仿宋" w:eastAsia="仿宋" w:cs="仿宋"/>
          <w:sz w:val="24"/>
        </w:rPr>
        <w:t>与合同有关的一切税费，均按照中华人民共和国法律的相关规定缴纳。</w:t>
      </w:r>
    </w:p>
    <w:p w14:paraId="56AF005E">
      <w:pPr>
        <w:spacing w:line="360" w:lineRule="auto"/>
        <w:ind w:firstLine="437"/>
        <w:outlineLvl w:val="2"/>
        <w:rPr>
          <w:rFonts w:ascii="仿宋" w:hAnsi="仿宋" w:eastAsia="仿宋" w:cs="仿宋"/>
          <w:b/>
          <w:bCs/>
          <w:sz w:val="24"/>
          <w:lang w:val="zh-CN"/>
        </w:rPr>
      </w:pPr>
      <w:bookmarkStart w:id="1035" w:name="_Toc7102"/>
      <w:bookmarkStart w:id="1036" w:name="_Toc279701258"/>
      <w:bookmarkStart w:id="1037" w:name="_Toc8298"/>
      <w:bookmarkStart w:id="1038" w:name="_Toc487900368"/>
      <w:bookmarkStart w:id="1039" w:name="_Toc259093687"/>
      <w:bookmarkStart w:id="1040" w:name="_Toc16959"/>
      <w:r>
        <w:rPr>
          <w:rFonts w:hint="eastAsia" w:ascii="仿宋" w:hAnsi="仿宋" w:eastAsia="仿宋" w:cs="仿宋"/>
          <w:b/>
          <w:bCs/>
          <w:sz w:val="24"/>
          <w:lang w:val="zh-CN"/>
        </w:rPr>
        <w:t>2.13乙方破产</w:t>
      </w:r>
      <w:bookmarkEnd w:id="1035"/>
      <w:bookmarkEnd w:id="1036"/>
      <w:bookmarkEnd w:id="1037"/>
      <w:bookmarkEnd w:id="1038"/>
      <w:bookmarkEnd w:id="1039"/>
      <w:bookmarkEnd w:id="1040"/>
    </w:p>
    <w:p w14:paraId="6F27C957">
      <w:pPr>
        <w:spacing w:line="360" w:lineRule="auto"/>
        <w:ind w:firstLine="435"/>
        <w:rPr>
          <w:rFonts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CAE9825">
      <w:pPr>
        <w:spacing w:line="360" w:lineRule="auto"/>
        <w:ind w:firstLine="437"/>
        <w:outlineLvl w:val="2"/>
        <w:rPr>
          <w:rFonts w:ascii="仿宋" w:hAnsi="仿宋" w:eastAsia="仿宋" w:cs="仿宋"/>
          <w:b/>
          <w:sz w:val="24"/>
        </w:rPr>
      </w:pPr>
      <w:bookmarkStart w:id="1041" w:name="_Toc29333"/>
      <w:bookmarkStart w:id="1042" w:name="_Toc6134"/>
      <w:bookmarkStart w:id="1043" w:name="_Toc15387"/>
      <w:r>
        <w:rPr>
          <w:rFonts w:hint="eastAsia" w:ascii="仿宋" w:hAnsi="仿宋" w:eastAsia="仿宋" w:cs="仿宋"/>
          <w:b/>
          <w:bCs/>
          <w:sz w:val="24"/>
          <w:lang w:val="zh-CN"/>
        </w:rPr>
        <w:t>2.14合同中止、终止</w:t>
      </w:r>
      <w:bookmarkEnd w:id="1041"/>
      <w:bookmarkEnd w:id="1042"/>
      <w:bookmarkEnd w:id="1043"/>
    </w:p>
    <w:p w14:paraId="1136C0D6">
      <w:pPr>
        <w:spacing w:line="360" w:lineRule="auto"/>
        <w:ind w:firstLine="435"/>
        <w:rPr>
          <w:rFonts w:ascii="仿宋" w:hAnsi="仿宋" w:eastAsia="仿宋" w:cs="仿宋"/>
          <w:sz w:val="24"/>
        </w:rPr>
      </w:pPr>
      <w:r>
        <w:rPr>
          <w:rFonts w:hint="eastAsia" w:ascii="仿宋" w:hAnsi="仿宋" w:eastAsia="仿宋" w:cs="仿宋"/>
          <w:sz w:val="24"/>
        </w:rPr>
        <w:t>2.14.1双方当事人不得擅自中止或者终止合同；</w:t>
      </w:r>
    </w:p>
    <w:p w14:paraId="6D219723">
      <w:pPr>
        <w:spacing w:line="360" w:lineRule="auto"/>
        <w:ind w:firstLine="435"/>
        <w:rPr>
          <w:rFonts w:ascii="仿宋" w:hAnsi="仿宋" w:eastAsia="仿宋" w:cs="仿宋"/>
          <w:sz w:val="24"/>
        </w:rPr>
      </w:pPr>
      <w:r>
        <w:rPr>
          <w:rFonts w:hint="eastAsia" w:ascii="仿宋" w:hAnsi="仿宋" w:eastAsia="仿宋" w:cs="仿宋"/>
          <w:sz w:val="24"/>
        </w:rPr>
        <w:t>2.14.2合同继续履行将损害国家利益和社会公共利益的，双方当事人应当中止或者终止合同。有过错的一方应当承担赔偿责任，双方当事人都有过错的，各自承担相应的责任。</w:t>
      </w:r>
    </w:p>
    <w:p w14:paraId="71369F4F">
      <w:pPr>
        <w:spacing w:line="360" w:lineRule="auto"/>
        <w:ind w:firstLine="437"/>
        <w:outlineLvl w:val="2"/>
        <w:rPr>
          <w:rFonts w:ascii="仿宋" w:hAnsi="仿宋" w:eastAsia="仿宋" w:cs="仿宋"/>
          <w:b/>
          <w:bCs/>
          <w:sz w:val="24"/>
          <w:lang w:val="zh-CN"/>
        </w:rPr>
      </w:pPr>
      <w:bookmarkStart w:id="1044" w:name="_Toc14563"/>
      <w:bookmarkStart w:id="1045" w:name="_Toc6596"/>
      <w:bookmarkStart w:id="1046" w:name="_Toc1125"/>
      <w:r>
        <w:rPr>
          <w:rFonts w:hint="eastAsia" w:ascii="仿宋" w:hAnsi="仿宋" w:eastAsia="仿宋" w:cs="仿宋"/>
          <w:b/>
          <w:bCs/>
          <w:sz w:val="24"/>
          <w:lang w:val="zh-CN"/>
        </w:rPr>
        <w:t>2.15检验和验收</w:t>
      </w:r>
      <w:bookmarkEnd w:id="1044"/>
      <w:bookmarkEnd w:id="1045"/>
      <w:bookmarkEnd w:id="1046"/>
    </w:p>
    <w:p w14:paraId="48D12B3A">
      <w:pPr>
        <w:spacing w:line="360" w:lineRule="auto"/>
        <w:ind w:firstLine="435"/>
        <w:rPr>
          <w:rFonts w:ascii="仿宋" w:hAnsi="仿宋" w:eastAsia="仿宋" w:cs="仿宋"/>
          <w:sz w:val="24"/>
        </w:rPr>
      </w:pPr>
      <w:r>
        <w:rPr>
          <w:rFonts w:hint="eastAsia" w:ascii="仿宋" w:hAnsi="仿宋" w:eastAsia="仿宋" w:cs="仿宋"/>
          <w:sz w:val="24"/>
        </w:rPr>
        <w:t>2.15.1乙方按照</w:t>
      </w:r>
      <w:r>
        <w:rPr>
          <w:rFonts w:hint="eastAsia" w:ascii="仿宋" w:hAnsi="仿宋" w:eastAsia="仿宋" w:cs="仿宋"/>
          <w:b/>
          <w:i/>
          <w:sz w:val="24"/>
          <w:u w:val="single"/>
        </w:rPr>
        <w:t>合同专用条款</w:t>
      </w:r>
      <w:r>
        <w:rPr>
          <w:rFonts w:hint="eastAsia" w:ascii="仿宋" w:hAnsi="仿宋" w:eastAsia="仿宋" w:cs="仿宋"/>
          <w:sz w:val="24"/>
        </w:rPr>
        <w:t>的约定，定期提交服务报告，甲方按照</w:t>
      </w:r>
      <w:r>
        <w:rPr>
          <w:rFonts w:hint="eastAsia" w:ascii="仿宋" w:hAnsi="仿宋" w:eastAsia="仿宋" w:cs="仿宋"/>
          <w:b/>
          <w:i/>
          <w:sz w:val="24"/>
          <w:u w:val="single"/>
        </w:rPr>
        <w:t>合同专用条款</w:t>
      </w:r>
      <w:r>
        <w:rPr>
          <w:rFonts w:hint="eastAsia" w:ascii="仿宋" w:hAnsi="仿宋" w:eastAsia="仿宋" w:cs="仿宋"/>
          <w:sz w:val="24"/>
        </w:rPr>
        <w:t>的约定进行定期验收；</w:t>
      </w:r>
    </w:p>
    <w:p w14:paraId="0034B881">
      <w:pPr>
        <w:spacing w:line="360" w:lineRule="auto"/>
        <w:ind w:firstLine="435"/>
        <w:rPr>
          <w:rFonts w:ascii="仿宋" w:hAnsi="仿宋" w:eastAsia="仿宋" w:cs="仿宋"/>
          <w:sz w:val="24"/>
        </w:rPr>
      </w:pPr>
      <w:r>
        <w:rPr>
          <w:rFonts w:hint="eastAsia" w:ascii="仿宋" w:hAnsi="仿宋" w:eastAsia="仿宋" w:cs="仿宋"/>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4114E93">
      <w:pPr>
        <w:spacing w:line="360" w:lineRule="auto"/>
        <w:ind w:firstLine="435"/>
        <w:rPr>
          <w:rFonts w:ascii="仿宋" w:hAnsi="仿宋" w:eastAsia="仿宋" w:cs="仿宋"/>
          <w:sz w:val="24"/>
        </w:rPr>
      </w:pPr>
      <w:r>
        <w:rPr>
          <w:rFonts w:hint="eastAsia" w:ascii="仿宋" w:hAnsi="仿宋" w:eastAsia="仿宋" w:cs="仿宋"/>
          <w:sz w:val="24"/>
        </w:rPr>
        <w:t>2.15.3检验和验收标准、程序等具体内容以及前述验收书的效力详见</w:t>
      </w:r>
      <w:r>
        <w:rPr>
          <w:rFonts w:hint="eastAsia" w:ascii="仿宋" w:hAnsi="仿宋" w:eastAsia="仿宋" w:cs="仿宋"/>
          <w:b/>
          <w:i/>
          <w:sz w:val="24"/>
          <w:u w:val="single"/>
        </w:rPr>
        <w:t>合同专用条款</w:t>
      </w:r>
      <w:r>
        <w:rPr>
          <w:rFonts w:hint="eastAsia" w:ascii="仿宋" w:hAnsi="仿宋" w:eastAsia="仿宋" w:cs="仿宋"/>
          <w:i/>
          <w:sz w:val="24"/>
        </w:rPr>
        <w:t>。</w:t>
      </w:r>
    </w:p>
    <w:bookmarkEnd w:id="1016"/>
    <w:bookmarkEnd w:id="1017"/>
    <w:bookmarkEnd w:id="1018"/>
    <w:bookmarkEnd w:id="1019"/>
    <w:p w14:paraId="152D970B">
      <w:pPr>
        <w:spacing w:line="360" w:lineRule="auto"/>
        <w:ind w:firstLine="437"/>
        <w:outlineLvl w:val="2"/>
        <w:rPr>
          <w:rFonts w:ascii="仿宋" w:hAnsi="仿宋" w:eastAsia="仿宋" w:cs="仿宋"/>
          <w:b/>
          <w:bCs/>
          <w:sz w:val="24"/>
        </w:rPr>
      </w:pPr>
      <w:bookmarkStart w:id="1047" w:name="_Toc259093692"/>
      <w:bookmarkStart w:id="1048" w:name="_Toc10330"/>
      <w:bookmarkStart w:id="1049" w:name="_Toc12773"/>
      <w:bookmarkStart w:id="1050" w:name="_Toc279701263"/>
      <w:bookmarkStart w:id="1051" w:name="_Toc487900373"/>
      <w:bookmarkStart w:id="1052" w:name="_Toc18567"/>
      <w:r>
        <w:rPr>
          <w:rFonts w:hint="eastAsia" w:ascii="仿宋" w:hAnsi="仿宋" w:eastAsia="仿宋" w:cs="仿宋"/>
          <w:b/>
          <w:bCs/>
          <w:sz w:val="24"/>
        </w:rPr>
        <w:t>2.16</w:t>
      </w:r>
      <w:r>
        <w:rPr>
          <w:rFonts w:hint="eastAsia" w:ascii="仿宋" w:hAnsi="仿宋" w:eastAsia="仿宋" w:cs="仿宋"/>
          <w:b/>
          <w:bCs/>
          <w:sz w:val="24"/>
          <w:lang w:val="zh-CN"/>
        </w:rPr>
        <w:t>合同使用的文字和适用的法律</w:t>
      </w:r>
      <w:bookmarkEnd w:id="1047"/>
      <w:bookmarkEnd w:id="1048"/>
      <w:bookmarkEnd w:id="1049"/>
      <w:bookmarkEnd w:id="1050"/>
      <w:bookmarkEnd w:id="1051"/>
      <w:bookmarkEnd w:id="1052"/>
    </w:p>
    <w:p w14:paraId="5BE49BEE">
      <w:pPr>
        <w:spacing w:line="360" w:lineRule="auto"/>
        <w:ind w:firstLine="435"/>
        <w:rPr>
          <w:rFonts w:ascii="仿宋" w:hAnsi="仿宋" w:eastAsia="仿宋" w:cs="仿宋"/>
          <w:sz w:val="24"/>
        </w:rPr>
      </w:pPr>
      <w:r>
        <w:rPr>
          <w:rFonts w:hint="eastAsia" w:ascii="仿宋" w:hAnsi="仿宋" w:eastAsia="仿宋" w:cs="仿宋"/>
          <w:sz w:val="24"/>
        </w:rPr>
        <w:t>2.16.1合同使用汉语书就、变更和解释；</w:t>
      </w:r>
    </w:p>
    <w:p w14:paraId="3E1C3FAC">
      <w:pPr>
        <w:spacing w:line="360" w:lineRule="auto"/>
        <w:ind w:firstLine="435"/>
        <w:rPr>
          <w:rFonts w:ascii="仿宋" w:hAnsi="仿宋" w:eastAsia="仿宋" w:cs="仿宋"/>
          <w:sz w:val="24"/>
        </w:rPr>
      </w:pPr>
      <w:r>
        <w:rPr>
          <w:rFonts w:hint="eastAsia" w:ascii="仿宋" w:hAnsi="仿宋" w:eastAsia="仿宋" w:cs="仿宋"/>
          <w:sz w:val="24"/>
        </w:rPr>
        <w:t>2.16.2合同适用中华人民共和国法律。</w:t>
      </w:r>
    </w:p>
    <w:p w14:paraId="0611BCB5">
      <w:pPr>
        <w:spacing w:line="360" w:lineRule="auto"/>
        <w:ind w:firstLine="437"/>
        <w:outlineLvl w:val="2"/>
        <w:rPr>
          <w:rFonts w:ascii="仿宋" w:hAnsi="仿宋" w:eastAsia="仿宋" w:cs="仿宋"/>
          <w:b/>
          <w:sz w:val="24"/>
        </w:rPr>
      </w:pPr>
      <w:bookmarkStart w:id="1053" w:name="_Toc259093693"/>
      <w:bookmarkStart w:id="1054" w:name="_Toc3148"/>
      <w:bookmarkStart w:id="1055" w:name="_Toc279701264"/>
      <w:bookmarkStart w:id="1056" w:name="_Toc12004"/>
      <w:bookmarkStart w:id="1057" w:name="_Toc16673"/>
      <w:bookmarkStart w:id="1058" w:name="_Toc487900374"/>
      <w:r>
        <w:rPr>
          <w:rFonts w:hint="eastAsia" w:ascii="仿宋" w:hAnsi="仿宋" w:eastAsia="仿宋" w:cs="仿宋"/>
          <w:b/>
          <w:bCs/>
          <w:sz w:val="24"/>
          <w:lang w:val="zh-CN"/>
        </w:rPr>
        <w:t>2.17履约保证金</w:t>
      </w:r>
      <w:bookmarkEnd w:id="1053"/>
      <w:bookmarkEnd w:id="1054"/>
      <w:bookmarkEnd w:id="1055"/>
      <w:bookmarkEnd w:id="1056"/>
      <w:bookmarkEnd w:id="1057"/>
    </w:p>
    <w:p w14:paraId="4CF1C115">
      <w:pPr>
        <w:spacing w:line="360" w:lineRule="auto"/>
        <w:ind w:firstLine="435"/>
        <w:rPr>
          <w:rFonts w:ascii="仿宋" w:hAnsi="仿宋" w:eastAsia="仿宋" w:cs="仿宋"/>
          <w:sz w:val="24"/>
        </w:rPr>
      </w:pPr>
      <w:r>
        <w:rPr>
          <w:rFonts w:hint="eastAsia" w:ascii="仿宋" w:hAnsi="仿宋" w:eastAsia="仿宋" w:cs="仿宋"/>
          <w:sz w:val="24"/>
        </w:rPr>
        <w:t>2.17.1采购文件要求乙方提交履约保证金的，乙方应按</w:t>
      </w:r>
      <w:r>
        <w:rPr>
          <w:rFonts w:hint="eastAsia" w:ascii="仿宋" w:hAnsi="仿宋" w:eastAsia="仿宋" w:cs="仿宋"/>
          <w:b/>
          <w:i/>
          <w:sz w:val="24"/>
          <w:u w:val="single"/>
        </w:rPr>
        <w:t>合同专用条款</w:t>
      </w:r>
      <w:r>
        <w:rPr>
          <w:rFonts w:hint="eastAsia" w:ascii="仿宋" w:hAnsi="仿宋" w:eastAsia="仿宋" w:cs="仿宋"/>
          <w:sz w:val="24"/>
        </w:rPr>
        <w:t>约定的方式，以支票、汇票、本票或者金融机构、担保机构出具的保函等非现金形式提交；</w:t>
      </w:r>
    </w:p>
    <w:p w14:paraId="48FBB735">
      <w:pPr>
        <w:spacing w:line="360" w:lineRule="auto"/>
        <w:ind w:firstLine="435"/>
        <w:rPr>
          <w:rFonts w:ascii="仿宋" w:hAnsi="仿宋" w:eastAsia="仿宋" w:cs="仿宋"/>
          <w:sz w:val="24"/>
        </w:rPr>
      </w:pPr>
      <w:r>
        <w:rPr>
          <w:rFonts w:hint="eastAsia" w:ascii="仿宋" w:hAnsi="仿宋" w:eastAsia="仿宋" w:cs="仿宋"/>
          <w:sz w:val="24"/>
        </w:rPr>
        <w:t>2.17.2履约保证金在</w:t>
      </w:r>
      <w:r>
        <w:rPr>
          <w:rFonts w:hint="eastAsia" w:ascii="仿宋" w:hAnsi="仿宋" w:eastAsia="仿宋" w:cs="仿宋"/>
          <w:b/>
          <w:i/>
          <w:sz w:val="24"/>
          <w:u w:val="single"/>
        </w:rPr>
        <w:t>合同专用条款</w:t>
      </w:r>
      <w:r>
        <w:rPr>
          <w:rFonts w:hint="eastAsia" w:ascii="仿宋" w:hAnsi="仿宋" w:eastAsia="仿宋" w:cs="仿宋"/>
          <w:sz w:val="24"/>
        </w:rPr>
        <w:t>约定期间内不予退还或者应完全有效，前述约定期间届满之日起个工作日内，甲方应将履约保证金退还乙方；</w:t>
      </w:r>
    </w:p>
    <w:p w14:paraId="597F3163">
      <w:pPr>
        <w:spacing w:line="360" w:lineRule="auto"/>
        <w:ind w:firstLine="435"/>
        <w:rPr>
          <w:rFonts w:ascii="仿宋" w:hAnsi="仿宋" w:eastAsia="仿宋" w:cs="仿宋"/>
          <w:sz w:val="24"/>
        </w:rPr>
      </w:pPr>
      <w:r>
        <w:rPr>
          <w:rFonts w:hint="eastAsia" w:ascii="仿宋" w:hAnsi="仿宋" w:eastAsia="仿宋" w:cs="仿宋"/>
          <w:sz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058"/>
    <w:p w14:paraId="18B6D6DE">
      <w:pPr>
        <w:spacing w:line="360" w:lineRule="auto"/>
        <w:ind w:firstLine="437"/>
        <w:outlineLvl w:val="2"/>
        <w:rPr>
          <w:rFonts w:ascii="仿宋" w:hAnsi="仿宋" w:eastAsia="仿宋" w:cs="仿宋"/>
          <w:b/>
          <w:sz w:val="24"/>
        </w:rPr>
      </w:pPr>
      <w:bookmarkStart w:id="1059" w:name="_Toc14001"/>
      <w:bookmarkStart w:id="1060" w:name="_Toc6885"/>
      <w:bookmarkStart w:id="1061" w:name="_Toc19890"/>
      <w:r>
        <w:rPr>
          <w:rFonts w:hint="eastAsia" w:ascii="仿宋" w:hAnsi="仿宋" w:eastAsia="仿宋" w:cs="仿宋"/>
          <w:b/>
          <w:bCs/>
          <w:sz w:val="24"/>
          <w:lang w:val="zh-CN"/>
        </w:rPr>
        <w:t>2.18合同份数</w:t>
      </w:r>
      <w:bookmarkEnd w:id="1059"/>
      <w:bookmarkEnd w:id="1060"/>
      <w:bookmarkEnd w:id="1061"/>
    </w:p>
    <w:p w14:paraId="79B2B943">
      <w:pPr>
        <w:spacing w:line="360" w:lineRule="auto"/>
        <w:ind w:firstLine="435"/>
        <w:rPr>
          <w:rFonts w:ascii="仿宋" w:hAnsi="仿宋" w:eastAsia="仿宋" w:cs="仿宋"/>
          <w:sz w:val="24"/>
        </w:rPr>
      </w:pPr>
      <w:r>
        <w:rPr>
          <w:rFonts w:hint="eastAsia" w:ascii="仿宋" w:hAnsi="仿宋" w:eastAsia="仿宋" w:cs="仿宋"/>
          <w:sz w:val="24"/>
        </w:rPr>
        <w:t>合同份数按</w:t>
      </w:r>
      <w:r>
        <w:rPr>
          <w:rFonts w:hint="eastAsia" w:ascii="仿宋" w:hAnsi="仿宋" w:eastAsia="仿宋" w:cs="仿宋"/>
          <w:b/>
          <w:i/>
          <w:sz w:val="24"/>
          <w:u w:val="single"/>
        </w:rPr>
        <w:t>合同专用条款</w:t>
      </w:r>
      <w:r>
        <w:rPr>
          <w:rFonts w:hint="eastAsia" w:ascii="仿宋" w:hAnsi="仿宋" w:eastAsia="仿宋" w:cs="仿宋"/>
          <w:sz w:val="24"/>
        </w:rPr>
        <w:t>规定，每份均具有同等法律效力。</w:t>
      </w:r>
    </w:p>
    <w:p w14:paraId="71DB1781">
      <w:pPr>
        <w:spacing w:line="360" w:lineRule="auto"/>
        <w:jc w:val="center"/>
        <w:outlineLvl w:val="1"/>
        <w:rPr>
          <w:rFonts w:ascii="仿宋" w:hAnsi="仿宋" w:eastAsia="仿宋" w:cs="仿宋"/>
          <w:b/>
          <w:sz w:val="24"/>
        </w:rPr>
      </w:pPr>
      <w:r>
        <w:rPr>
          <w:rFonts w:hint="eastAsia" w:ascii="仿宋" w:hAnsi="仿宋" w:eastAsia="仿宋" w:cs="仿宋"/>
          <w:sz w:val="24"/>
        </w:rPr>
        <w:br w:type="page"/>
      </w:r>
      <w:bookmarkStart w:id="1062" w:name="_Toc331685784"/>
      <w:r>
        <w:rPr>
          <w:rFonts w:hint="eastAsia" w:ascii="仿宋" w:hAnsi="仿宋" w:eastAsia="仿宋" w:cs="仿宋"/>
          <w:b/>
          <w:sz w:val="24"/>
        </w:rPr>
        <w:t>第三部分合同专用条款</w:t>
      </w:r>
      <w:bookmarkEnd w:id="1062"/>
    </w:p>
    <w:p w14:paraId="617CED28">
      <w:pPr>
        <w:spacing w:line="360" w:lineRule="auto"/>
        <w:ind w:firstLine="435"/>
        <w:rPr>
          <w:rFonts w:ascii="仿宋" w:hAnsi="仿宋" w:eastAsia="仿宋" w:cs="仿宋"/>
          <w:sz w:val="24"/>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4"/>
        <w:tblW w:w="507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379"/>
        <w:gridCol w:w="8005"/>
      </w:tblGrid>
      <w:tr w14:paraId="0FEDB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35" w:type="pct"/>
            <w:tcBorders>
              <w:left w:val="single" w:color="auto" w:sz="4" w:space="0"/>
            </w:tcBorders>
            <w:vAlign w:val="center"/>
          </w:tcPr>
          <w:p w14:paraId="770A05A0">
            <w:pPr>
              <w:jc w:val="center"/>
              <w:rPr>
                <w:rFonts w:ascii="仿宋" w:hAnsi="仿宋" w:eastAsia="仿宋" w:cs="仿宋"/>
                <w:b/>
                <w:sz w:val="24"/>
              </w:rPr>
            </w:pPr>
            <w:r>
              <w:rPr>
                <w:rFonts w:hint="eastAsia" w:ascii="仿宋" w:hAnsi="仿宋" w:eastAsia="仿宋" w:cs="仿宋"/>
                <w:b/>
                <w:sz w:val="24"/>
              </w:rPr>
              <w:t>条款号</w:t>
            </w:r>
          </w:p>
        </w:tc>
        <w:tc>
          <w:tcPr>
            <w:tcW w:w="4265" w:type="pct"/>
            <w:vAlign w:val="center"/>
          </w:tcPr>
          <w:p w14:paraId="7E9EE030">
            <w:pPr>
              <w:jc w:val="center"/>
              <w:rPr>
                <w:rFonts w:ascii="仿宋" w:hAnsi="仿宋" w:eastAsia="仿宋" w:cs="仿宋"/>
                <w:b/>
                <w:sz w:val="24"/>
              </w:rPr>
            </w:pPr>
            <w:r>
              <w:rPr>
                <w:rFonts w:hint="eastAsia" w:ascii="仿宋" w:hAnsi="仿宋" w:eastAsia="仿宋" w:cs="仿宋"/>
                <w:b/>
                <w:sz w:val="24"/>
              </w:rPr>
              <w:t>约定内容</w:t>
            </w:r>
          </w:p>
        </w:tc>
      </w:tr>
      <w:tr w14:paraId="5E68E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35" w:type="pct"/>
            <w:tcBorders>
              <w:left w:val="single" w:color="auto" w:sz="4" w:space="0"/>
            </w:tcBorders>
            <w:vAlign w:val="center"/>
          </w:tcPr>
          <w:p w14:paraId="3955AE6A">
            <w:pPr>
              <w:spacing w:line="560" w:lineRule="exact"/>
              <w:rPr>
                <w:rFonts w:ascii="仿宋" w:hAnsi="仿宋" w:eastAsia="仿宋" w:cs="仿宋"/>
                <w:sz w:val="24"/>
              </w:rPr>
            </w:pPr>
            <w:r>
              <w:rPr>
                <w:rFonts w:hint="eastAsia" w:ascii="仿宋" w:hAnsi="仿宋" w:eastAsia="仿宋" w:cs="仿宋"/>
                <w:sz w:val="24"/>
              </w:rPr>
              <w:t>1.6违约责任</w:t>
            </w:r>
          </w:p>
        </w:tc>
        <w:tc>
          <w:tcPr>
            <w:tcW w:w="4265" w:type="pct"/>
            <w:vAlign w:val="center"/>
          </w:tcPr>
          <w:p w14:paraId="78287485">
            <w:pPr>
              <w:rPr>
                <w:rFonts w:ascii="仿宋" w:hAnsi="仿宋" w:eastAsia="仿宋" w:cs="仿宋"/>
                <w:sz w:val="24"/>
              </w:rPr>
            </w:pPr>
            <w:r>
              <w:rPr>
                <w:rFonts w:hint="eastAsia" w:ascii="仿宋" w:hAnsi="仿宋" w:eastAsia="仿宋" w:cs="仿宋"/>
                <w:sz w:val="24"/>
              </w:rPr>
              <w:t>（1）凡因乙方所生产、经销的产品质量问题引起的医疗事故、医疗纠纷与一切后果，将由乙方承担所有的责任。</w:t>
            </w:r>
          </w:p>
          <w:p w14:paraId="00EA4435">
            <w:pPr>
              <w:pStyle w:val="6"/>
              <w:rPr>
                <w:rFonts w:ascii="仿宋" w:hAnsi="仿宋" w:eastAsia="仿宋" w:cs="仿宋"/>
                <w:sz w:val="24"/>
              </w:rPr>
            </w:pPr>
            <w:r>
              <w:rPr>
                <w:rFonts w:hint="eastAsia" w:ascii="仿宋" w:hAnsi="仿宋" w:eastAsia="仿宋" w:cs="仿宋"/>
                <w:sz w:val="24"/>
              </w:rPr>
              <w:t>（2）合同执行期内，乙方须保证正常供应，且不能变更授权。若授权发生变更，甲方有权书面通知解除合同。同时乙方应向甲方支付其本年度已销售产品总金额的5%作为赔偿金，甲方有权在未支付货款中扣除。</w:t>
            </w:r>
          </w:p>
          <w:p w14:paraId="3368F2C7">
            <w:pPr>
              <w:pStyle w:val="6"/>
              <w:rPr>
                <w:rFonts w:ascii="仿宋" w:hAnsi="仿宋" w:eastAsia="仿宋" w:cs="仿宋"/>
                <w:sz w:val="24"/>
              </w:rPr>
            </w:pPr>
            <w:r>
              <w:rPr>
                <w:rFonts w:hint="eastAsia" w:ascii="仿宋" w:hAnsi="仿宋" w:eastAsia="仿宋" w:cs="仿宋"/>
                <w:sz w:val="24"/>
              </w:rPr>
              <w:t>（3）乙方承诺，在产品购销过程中，无任何不正当手段进行促销，严格遵守国家的法律、法规及甲方对物资采购的各项规定，否则视为违约，将取消其供货资格，并追究其相关法律责任。</w:t>
            </w:r>
          </w:p>
          <w:p w14:paraId="150AF661">
            <w:pPr>
              <w:pStyle w:val="6"/>
            </w:pPr>
            <w:r>
              <w:rPr>
                <w:rFonts w:hint="eastAsia" w:ascii="仿宋" w:hAnsi="仿宋" w:eastAsia="仿宋" w:cs="仿宋"/>
                <w:sz w:val="24"/>
              </w:rPr>
              <w:t>（4）若乙方无法履行合同，须提前3个月通知甲方，甲方有权追究乙方责任，同时乙方应向甲方支付其本年度已销售产品总金额的5%作为赔偿金，甲方有权在未支付货款中扣除。同时由备选公司履行合同供货。</w:t>
            </w:r>
          </w:p>
        </w:tc>
      </w:tr>
      <w:tr w14:paraId="3C196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35" w:type="pct"/>
            <w:tcBorders>
              <w:left w:val="single" w:color="auto" w:sz="4" w:space="0"/>
            </w:tcBorders>
            <w:vAlign w:val="center"/>
          </w:tcPr>
          <w:p w14:paraId="1C448A4D">
            <w:pPr>
              <w:rPr>
                <w:rFonts w:ascii="仿宋" w:hAnsi="仿宋" w:eastAsia="仿宋" w:cs="仿宋"/>
                <w:sz w:val="24"/>
              </w:rPr>
            </w:pPr>
            <w:r>
              <w:rPr>
                <w:rFonts w:hint="eastAsia" w:ascii="仿宋" w:hAnsi="仿宋" w:eastAsia="仿宋" w:cs="仿宋"/>
                <w:sz w:val="24"/>
              </w:rPr>
              <w:t>1.8合同生效</w:t>
            </w:r>
          </w:p>
        </w:tc>
        <w:tc>
          <w:tcPr>
            <w:tcW w:w="4265" w:type="pct"/>
            <w:vAlign w:val="center"/>
          </w:tcPr>
          <w:p w14:paraId="0BFE15A2">
            <w:pPr>
              <w:rPr>
                <w:rFonts w:ascii="仿宋" w:hAnsi="仿宋" w:eastAsia="仿宋" w:cs="仿宋"/>
                <w:sz w:val="24"/>
              </w:rPr>
            </w:pPr>
            <w:r>
              <w:rPr>
                <w:rFonts w:hint="eastAsia" w:ascii="仿宋" w:hAnsi="仿宋" w:eastAsia="仿宋" w:cs="仿宋"/>
                <w:sz w:val="24"/>
              </w:rPr>
              <w:t>自甲乙双方法定代表人或委托代理人签字并盖章后生效。</w:t>
            </w:r>
          </w:p>
        </w:tc>
      </w:tr>
      <w:tr w14:paraId="64219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35" w:type="pct"/>
            <w:tcBorders>
              <w:left w:val="single" w:color="auto" w:sz="4" w:space="0"/>
            </w:tcBorders>
            <w:vAlign w:val="center"/>
          </w:tcPr>
          <w:p w14:paraId="1AF23F87">
            <w:pPr>
              <w:spacing w:line="560" w:lineRule="exact"/>
              <w:rPr>
                <w:rFonts w:ascii="仿宋" w:hAnsi="仿宋" w:eastAsia="仿宋" w:cs="仿宋"/>
                <w:sz w:val="24"/>
              </w:rPr>
            </w:pPr>
            <w:r>
              <w:rPr>
                <w:rFonts w:hint="eastAsia" w:ascii="仿宋" w:hAnsi="仿宋" w:eastAsia="仿宋" w:cs="仿宋"/>
                <w:sz w:val="24"/>
              </w:rPr>
              <w:t>2.4履约检查和问题反馈</w:t>
            </w:r>
          </w:p>
        </w:tc>
        <w:tc>
          <w:tcPr>
            <w:tcW w:w="4265" w:type="pct"/>
            <w:vAlign w:val="center"/>
          </w:tcPr>
          <w:p w14:paraId="6FB85361">
            <w:pPr>
              <w:rPr>
                <w:rFonts w:ascii="仿宋" w:hAnsi="仿宋" w:eastAsia="仿宋" w:cs="仿宋"/>
                <w:sz w:val="24"/>
              </w:rPr>
            </w:pPr>
            <w:r>
              <w:rPr>
                <w:rFonts w:hint="eastAsia" w:ascii="仿宋" w:hAnsi="仿宋" w:eastAsia="仿宋" w:cs="仿宋"/>
                <w:sz w:val="24"/>
              </w:rPr>
              <w:t>（1）乙方必须具备并提供所销售产品相适应的专业指导、技术培训和售后服务，或约定由相关机构提供技术支持。</w:t>
            </w:r>
          </w:p>
          <w:p w14:paraId="65BC1602">
            <w:pPr>
              <w:pStyle w:val="6"/>
              <w:rPr>
                <w:rFonts w:ascii="仿宋" w:hAnsi="仿宋" w:eastAsia="仿宋" w:cs="仿宋"/>
                <w:sz w:val="24"/>
              </w:rPr>
            </w:pPr>
            <w:r>
              <w:rPr>
                <w:rFonts w:hint="eastAsia" w:ascii="仿宋" w:hAnsi="仿宋" w:eastAsia="仿宋" w:cs="仿宋"/>
                <w:sz w:val="24"/>
              </w:rPr>
              <w:t>（2）乙方对产品在保质期内的质量负责，如甲方有疑问，应在12小时内应答。</w:t>
            </w:r>
          </w:p>
          <w:p w14:paraId="2EBD2E87">
            <w:pPr>
              <w:pStyle w:val="6"/>
              <w:rPr>
                <w:rFonts w:ascii="仿宋" w:hAnsi="仿宋" w:eastAsia="仿宋" w:cs="仿宋"/>
                <w:sz w:val="24"/>
              </w:rPr>
            </w:pPr>
            <w:r>
              <w:rPr>
                <w:rFonts w:hint="eastAsia" w:ascii="仿宋" w:hAnsi="仿宋" w:eastAsia="仿宋" w:cs="仿宋"/>
                <w:sz w:val="24"/>
              </w:rPr>
              <w:t>（3）甲方检验或使用科室发现产品有质量问题，经核实后，乙方无条件退换，如因此所造成损失，由乙方承担，甲方保留进一步追究责任的权利。</w:t>
            </w:r>
          </w:p>
        </w:tc>
      </w:tr>
      <w:tr w14:paraId="73E2C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35" w:type="pct"/>
            <w:tcBorders>
              <w:left w:val="single" w:color="auto" w:sz="4" w:space="0"/>
            </w:tcBorders>
            <w:vAlign w:val="center"/>
          </w:tcPr>
          <w:p w14:paraId="717B4250">
            <w:pPr>
              <w:spacing w:line="560" w:lineRule="exact"/>
              <w:rPr>
                <w:rFonts w:ascii="仿宋" w:hAnsi="仿宋" w:eastAsia="仿宋" w:cs="仿宋"/>
                <w:sz w:val="24"/>
              </w:rPr>
            </w:pPr>
            <w:r>
              <w:rPr>
                <w:rFonts w:hint="eastAsia" w:ascii="仿宋" w:hAnsi="仿宋" w:eastAsia="仿宋" w:cs="仿宋"/>
                <w:sz w:val="24"/>
              </w:rPr>
              <w:t>2.15检验和验收</w:t>
            </w:r>
          </w:p>
        </w:tc>
        <w:tc>
          <w:tcPr>
            <w:tcW w:w="4265" w:type="pct"/>
            <w:vAlign w:val="center"/>
          </w:tcPr>
          <w:p w14:paraId="3CC97059">
            <w:pPr>
              <w:pStyle w:val="6"/>
              <w:rPr>
                <w:rFonts w:ascii="仿宋" w:hAnsi="仿宋" w:eastAsia="仿宋" w:cs="仿宋"/>
                <w:sz w:val="24"/>
              </w:rPr>
            </w:pPr>
            <w:r>
              <w:rPr>
                <w:rFonts w:hint="eastAsia" w:ascii="仿宋" w:hAnsi="仿宋" w:eastAsia="仿宋" w:cs="仿宋"/>
                <w:sz w:val="24"/>
              </w:rPr>
              <w:t>（1）乙方负责采取安全方式将产品送到甲方指定的地点，产品到达指定地点前的运输费用由乙方全部负担。</w:t>
            </w:r>
          </w:p>
          <w:p w14:paraId="066423E4">
            <w:pPr>
              <w:pStyle w:val="6"/>
              <w:rPr>
                <w:rFonts w:ascii="仿宋" w:hAnsi="仿宋" w:eastAsia="仿宋" w:cs="仿宋"/>
                <w:sz w:val="24"/>
              </w:rPr>
            </w:pPr>
            <w:r>
              <w:rPr>
                <w:rFonts w:hint="eastAsia" w:ascii="仿宋" w:hAnsi="仿宋" w:eastAsia="仿宋" w:cs="仿宋"/>
                <w:sz w:val="24"/>
              </w:rPr>
              <w:t>（2）乙方所交付的产品，必须采取适合的运输的合理包装。产品交付时，必须包装完好，否则，甲方有权拒收。</w:t>
            </w:r>
          </w:p>
          <w:p w14:paraId="0BE6954F">
            <w:pPr>
              <w:pStyle w:val="6"/>
              <w:rPr>
                <w:rFonts w:ascii="仿宋" w:hAnsi="仿宋" w:eastAsia="仿宋" w:cs="仿宋"/>
                <w:sz w:val="24"/>
              </w:rPr>
            </w:pPr>
            <w:r>
              <w:rPr>
                <w:rFonts w:hint="eastAsia" w:ascii="仿宋" w:hAnsi="仿宋" w:eastAsia="仿宋" w:cs="仿宋"/>
                <w:sz w:val="24"/>
              </w:rPr>
              <w:t>（3）双方同意适用国家标准或行业现行标准并参照招标样品质量标准为本协议项下产品的验收标准。</w:t>
            </w:r>
          </w:p>
          <w:p w14:paraId="69011394">
            <w:pPr>
              <w:pStyle w:val="6"/>
              <w:rPr>
                <w:rFonts w:ascii="仿宋" w:hAnsi="仿宋" w:eastAsia="仿宋" w:cs="仿宋"/>
                <w:sz w:val="24"/>
              </w:rPr>
            </w:pPr>
            <w:r>
              <w:rPr>
                <w:rFonts w:hint="eastAsia" w:ascii="仿宋" w:hAnsi="仿宋" w:eastAsia="仿宋" w:cs="仿宋"/>
                <w:sz w:val="24"/>
              </w:rPr>
              <w:t>（4）属于实施“两票制”范围的产品，按常规验收程序验收入库、提供材料，另需同时提供生产企业销售发票及随货同行单复印件（加盖乙方印章）等。</w:t>
            </w:r>
          </w:p>
          <w:p w14:paraId="6873B03C">
            <w:pPr>
              <w:pStyle w:val="6"/>
              <w:rPr>
                <w:rFonts w:ascii="仿宋" w:hAnsi="仿宋" w:eastAsia="仿宋" w:cs="仿宋"/>
                <w:sz w:val="24"/>
              </w:rPr>
            </w:pPr>
            <w:r>
              <w:rPr>
                <w:rFonts w:hint="eastAsia" w:ascii="仿宋" w:hAnsi="仿宋" w:eastAsia="仿宋" w:cs="仿宋"/>
                <w:sz w:val="24"/>
              </w:rPr>
              <w:t>（5）甲方验收人员须认真查看产品的名称、规格、产地、价格、注册证、批号、效期等。</w:t>
            </w:r>
          </w:p>
          <w:p w14:paraId="756030BB">
            <w:pPr>
              <w:pStyle w:val="6"/>
              <w:rPr>
                <w:rFonts w:ascii="仿宋" w:hAnsi="仿宋" w:eastAsia="仿宋" w:cs="仿宋"/>
                <w:sz w:val="24"/>
              </w:rPr>
            </w:pPr>
            <w:r>
              <w:rPr>
                <w:rFonts w:hint="eastAsia" w:ascii="仿宋" w:hAnsi="仿宋" w:eastAsia="仿宋" w:cs="仿宋"/>
                <w:sz w:val="24"/>
              </w:rPr>
              <w:t>（6）经验收，乙方所交付的产品不合格，甲方第一时间通知乙方，乙方必须无条件进行更换；如果再次验收仍不合格，甲方有权退货，所造成的一切损失由乙方负责，并终止供货协议。</w:t>
            </w:r>
          </w:p>
          <w:p w14:paraId="3769B761">
            <w:pPr>
              <w:pStyle w:val="6"/>
              <w:rPr>
                <w:rFonts w:ascii="仿宋" w:hAnsi="仿宋" w:eastAsia="仿宋" w:cs="仿宋"/>
                <w:sz w:val="24"/>
              </w:rPr>
            </w:pPr>
            <w:r>
              <w:rPr>
                <w:rFonts w:hint="eastAsia" w:ascii="仿宋" w:hAnsi="仿宋" w:eastAsia="仿宋" w:cs="仿宋"/>
                <w:sz w:val="24"/>
              </w:rPr>
              <w:t>（7）甲方指定的收货人员的验收视为甲方的验收。</w:t>
            </w:r>
          </w:p>
        </w:tc>
      </w:tr>
      <w:tr w14:paraId="214C4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35" w:type="pct"/>
            <w:tcBorders>
              <w:left w:val="single" w:color="auto" w:sz="4" w:space="0"/>
            </w:tcBorders>
            <w:vAlign w:val="center"/>
          </w:tcPr>
          <w:p w14:paraId="393E0665">
            <w:pPr>
              <w:rPr>
                <w:rFonts w:ascii="仿宋" w:hAnsi="仿宋" w:eastAsia="仿宋" w:cs="仿宋"/>
                <w:sz w:val="24"/>
              </w:rPr>
            </w:pPr>
            <w:r>
              <w:rPr>
                <w:rFonts w:hint="eastAsia" w:ascii="仿宋" w:hAnsi="仿宋" w:eastAsia="仿宋" w:cs="仿宋"/>
                <w:sz w:val="24"/>
              </w:rPr>
              <w:t>2.17履约保证金</w:t>
            </w:r>
          </w:p>
        </w:tc>
        <w:tc>
          <w:tcPr>
            <w:tcW w:w="4265" w:type="pct"/>
            <w:vAlign w:val="center"/>
          </w:tcPr>
          <w:p w14:paraId="5AD87479">
            <w:pPr>
              <w:spacing w:line="560" w:lineRule="exact"/>
              <w:rPr>
                <w:rFonts w:ascii="仿宋" w:hAnsi="仿宋" w:eastAsia="仿宋" w:cs="仿宋"/>
                <w:sz w:val="24"/>
              </w:rPr>
            </w:pPr>
            <w:r>
              <w:rPr>
                <w:rFonts w:hint="eastAsia" w:ascii="仿宋" w:hAnsi="仿宋" w:eastAsia="仿宋" w:cs="仿宋"/>
                <w:sz w:val="24"/>
              </w:rPr>
              <w:t>履约保证金：不要求</w:t>
            </w:r>
          </w:p>
        </w:tc>
      </w:tr>
      <w:tr w14:paraId="4780C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35" w:type="pct"/>
            <w:tcBorders>
              <w:left w:val="single" w:color="auto" w:sz="4" w:space="0"/>
            </w:tcBorders>
            <w:vAlign w:val="center"/>
          </w:tcPr>
          <w:p w14:paraId="5A9DB61A">
            <w:pPr>
              <w:rPr>
                <w:rFonts w:ascii="仿宋" w:hAnsi="仿宋" w:eastAsia="仿宋" w:cs="仿宋"/>
                <w:sz w:val="24"/>
              </w:rPr>
            </w:pPr>
            <w:r>
              <w:rPr>
                <w:rFonts w:hint="eastAsia" w:ascii="仿宋" w:hAnsi="仿宋" w:eastAsia="仿宋" w:cs="仿宋"/>
                <w:sz w:val="24"/>
              </w:rPr>
              <w:t>2.18合同份数</w:t>
            </w:r>
          </w:p>
        </w:tc>
        <w:tc>
          <w:tcPr>
            <w:tcW w:w="4265" w:type="pct"/>
            <w:vAlign w:val="center"/>
          </w:tcPr>
          <w:p w14:paraId="689E9917">
            <w:pPr>
              <w:spacing w:line="560" w:lineRule="exact"/>
              <w:rPr>
                <w:rFonts w:ascii="仿宋" w:hAnsi="仿宋" w:eastAsia="仿宋" w:cs="仿宋"/>
                <w:sz w:val="24"/>
              </w:rPr>
            </w:pPr>
            <w:r>
              <w:rPr>
                <w:rFonts w:hint="eastAsia" w:ascii="仿宋" w:hAnsi="仿宋" w:eastAsia="仿宋" w:cs="仿宋"/>
                <w:sz w:val="24"/>
              </w:rPr>
              <w:t>本合同一式</w:t>
            </w:r>
            <w:r>
              <w:rPr>
                <w:rFonts w:hint="eastAsia" w:ascii="仿宋" w:hAnsi="仿宋" w:eastAsia="仿宋" w:cs="仿宋"/>
                <w:sz w:val="24"/>
                <w:u w:val="single"/>
              </w:rPr>
              <w:t>伍</w:t>
            </w:r>
            <w:r>
              <w:rPr>
                <w:rFonts w:hint="eastAsia" w:ascii="仿宋" w:hAnsi="仿宋" w:eastAsia="仿宋" w:cs="仿宋"/>
                <w:sz w:val="24"/>
              </w:rPr>
              <w:t>份，甲方持</w:t>
            </w:r>
            <w:r>
              <w:rPr>
                <w:rFonts w:hint="eastAsia" w:ascii="仿宋" w:hAnsi="仿宋" w:eastAsia="仿宋" w:cs="仿宋"/>
                <w:sz w:val="24"/>
                <w:u w:val="single"/>
              </w:rPr>
              <w:t>肆</w:t>
            </w:r>
            <w:r>
              <w:rPr>
                <w:rFonts w:hint="eastAsia" w:ascii="仿宋" w:hAnsi="仿宋" w:eastAsia="仿宋" w:cs="仿宋"/>
                <w:sz w:val="24"/>
              </w:rPr>
              <w:t>份，乙方持</w:t>
            </w:r>
            <w:r>
              <w:rPr>
                <w:rFonts w:hint="eastAsia" w:ascii="仿宋" w:hAnsi="仿宋" w:eastAsia="仿宋" w:cs="仿宋"/>
                <w:sz w:val="24"/>
                <w:u w:val="single"/>
              </w:rPr>
              <w:t>壹</w:t>
            </w:r>
            <w:r>
              <w:rPr>
                <w:rFonts w:hint="eastAsia" w:ascii="仿宋" w:hAnsi="仿宋" w:eastAsia="仿宋" w:cs="仿宋"/>
                <w:sz w:val="24"/>
              </w:rPr>
              <w:t>份，具有同等法律效力。</w:t>
            </w:r>
          </w:p>
        </w:tc>
      </w:tr>
      <w:tr w14:paraId="68C15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35" w:type="pct"/>
            <w:tcBorders>
              <w:left w:val="single" w:color="auto" w:sz="4" w:space="0"/>
            </w:tcBorders>
            <w:vAlign w:val="center"/>
          </w:tcPr>
          <w:p w14:paraId="7A0C371D">
            <w:pPr>
              <w:rPr>
                <w:rFonts w:ascii="仿宋" w:hAnsi="仿宋" w:eastAsia="仿宋" w:cs="仿宋"/>
                <w:sz w:val="24"/>
                <w:highlight w:val="yellow"/>
              </w:rPr>
            </w:pPr>
            <w:r>
              <w:rPr>
                <w:rFonts w:hint="eastAsia" w:ascii="仿宋" w:hAnsi="仿宋" w:eastAsia="仿宋" w:cs="仿宋"/>
                <w:sz w:val="24"/>
                <w:highlight w:val="yellow"/>
              </w:rPr>
              <w:t>3服务要求</w:t>
            </w:r>
          </w:p>
        </w:tc>
        <w:tc>
          <w:tcPr>
            <w:tcW w:w="4265" w:type="pct"/>
            <w:vAlign w:val="center"/>
          </w:tcPr>
          <w:p w14:paraId="70AA31EF">
            <w:pPr>
              <w:spacing w:line="560" w:lineRule="exact"/>
              <w:rPr>
                <w:rFonts w:ascii="仿宋" w:hAnsi="仿宋" w:eastAsia="仿宋" w:cs="仿宋"/>
                <w:sz w:val="24"/>
                <w:highlight w:val="yellow"/>
              </w:rPr>
            </w:pPr>
            <w:r>
              <w:rPr>
                <w:rFonts w:hint="eastAsia" w:ascii="仿宋" w:hAnsi="仿宋" w:eastAsia="仿宋" w:cs="仿宋"/>
                <w:sz w:val="24"/>
                <w:highlight w:val="yellow"/>
              </w:rPr>
              <w:t>（1）乙方须协助甲方完成耗材UDI码的维护工作；</w:t>
            </w:r>
          </w:p>
          <w:p w14:paraId="3D58E36B">
            <w:pPr>
              <w:spacing w:line="560" w:lineRule="exact"/>
              <w:rPr>
                <w:rFonts w:hint="eastAsia" w:ascii="仿宋" w:hAnsi="仿宋" w:eastAsia="仿宋" w:cs="仿宋"/>
                <w:sz w:val="24"/>
                <w:highlight w:val="yellow"/>
                <w:lang w:eastAsia="zh-CN"/>
              </w:rPr>
            </w:pPr>
            <w:r>
              <w:rPr>
                <w:rFonts w:hint="eastAsia" w:ascii="仿宋" w:hAnsi="仿宋" w:eastAsia="仿宋" w:cs="仿宋"/>
                <w:sz w:val="24"/>
                <w:highlight w:val="yellow"/>
              </w:rPr>
              <w:t>（2）如甲方后期上线耗材SPD管理系统，乙方须负责SPD的相关管理费用</w:t>
            </w:r>
            <w:r>
              <w:rPr>
                <w:rFonts w:hint="eastAsia" w:ascii="仿宋" w:hAnsi="仿宋" w:eastAsia="仿宋" w:cs="仿宋"/>
                <w:sz w:val="24"/>
                <w:highlight w:val="yellow"/>
                <w:lang w:eastAsia="zh-CN"/>
              </w:rPr>
              <w:t>。</w:t>
            </w:r>
          </w:p>
        </w:tc>
      </w:tr>
    </w:tbl>
    <w:p w14:paraId="6F3600E0">
      <w:pPr>
        <w:pStyle w:val="6"/>
        <w:sectPr>
          <w:pgSz w:w="11906" w:h="16838"/>
          <w:pgMar w:top="1134" w:right="1361" w:bottom="1077" w:left="1361" w:header="851" w:footer="992" w:gutter="0"/>
          <w:cols w:space="720" w:num="1"/>
          <w:docGrid w:type="lines" w:linePitch="312" w:charSpace="0"/>
        </w:sectPr>
      </w:pPr>
    </w:p>
    <w:p w14:paraId="7042A28B">
      <w:pPr>
        <w:spacing w:line="400" w:lineRule="exact"/>
        <w:jc w:val="center"/>
        <w:rPr>
          <w:b/>
          <w:sz w:val="30"/>
          <w:szCs w:val="30"/>
        </w:rPr>
      </w:pPr>
      <w:r>
        <w:rPr>
          <w:rFonts w:hint="eastAsia"/>
          <w:b/>
          <w:sz w:val="30"/>
          <w:szCs w:val="30"/>
        </w:rPr>
        <w:t>2025年第五批医用耗材配送服务项目（第x包）</w:t>
      </w:r>
    </w:p>
    <w:p w14:paraId="2616C296">
      <w:pPr>
        <w:spacing w:after="240" w:afterLines="100" w:line="400" w:lineRule="exact"/>
        <w:ind w:firstLine="2982" w:firstLineChars="990"/>
        <w:rPr>
          <w:b/>
          <w:sz w:val="30"/>
          <w:szCs w:val="30"/>
        </w:rPr>
      </w:pPr>
      <w:r>
        <w:rPr>
          <w:rFonts w:hint="eastAsia"/>
          <w:b/>
          <w:sz w:val="30"/>
          <w:szCs w:val="30"/>
        </w:rPr>
        <w:t>廉洁购销合同</w:t>
      </w:r>
    </w:p>
    <w:p w14:paraId="6EFACCFF">
      <w:pPr>
        <w:rPr>
          <w:b/>
        </w:rPr>
      </w:pPr>
      <w:r>
        <w:rPr>
          <w:rFonts w:hint="eastAsia"/>
          <w:b/>
        </w:rPr>
        <w:t>项目编号：</w:t>
      </w:r>
    </w:p>
    <w:p w14:paraId="7430E12B">
      <w:r>
        <w:rPr>
          <w:rFonts w:hint="eastAsia"/>
          <w:b/>
        </w:rPr>
        <w:t>甲方</w:t>
      </w:r>
      <w:r>
        <w:rPr>
          <w:rFonts w:hint="eastAsia"/>
        </w:rPr>
        <w:t>：安徽医科大学附属口腔医院（安徽省口腔医院）</w:t>
      </w:r>
    </w:p>
    <w:p w14:paraId="39656596">
      <w:pPr>
        <w:rPr>
          <w:b/>
        </w:rPr>
      </w:pPr>
      <w:r>
        <w:rPr>
          <w:rFonts w:hint="eastAsia"/>
          <w:b/>
        </w:rPr>
        <w:t>乙方</w:t>
      </w:r>
      <w:r>
        <w:rPr>
          <w:rFonts w:hint="eastAsia"/>
        </w:rPr>
        <w:t>：</w:t>
      </w:r>
    </w:p>
    <w:p w14:paraId="088B0985">
      <w:pPr>
        <w:ind w:firstLine="420" w:firstLineChars="200"/>
      </w:pPr>
    </w:p>
    <w:p w14:paraId="0269ACD8">
      <w:pPr>
        <w:ind w:firstLine="420" w:firstLineChars="200"/>
      </w:pPr>
      <w:r>
        <w:rPr>
          <w:rFonts w:hint="eastAsia"/>
        </w:rPr>
        <w:t>为进一步加强医疗卫生行风建设，规范医疗卫生机构医药购销行为，有效防范商业贿赂行为，营造公平交易、诚实守信的购销环境，经甲、乙双方协商，同意签订本合同，并共同遵守：</w:t>
      </w:r>
    </w:p>
    <w:p w14:paraId="701EA433">
      <w:r>
        <w:rPr>
          <w:rFonts w:hint="eastAsia"/>
        </w:rPr>
        <w:t>一、甲乙双方按照《民法典》及医药产品购销合同约定购销药品、医用耗材、医用设备等医药产品。</w:t>
      </w:r>
    </w:p>
    <w:p w14:paraId="64EE9831">
      <w:r>
        <w:rPr>
          <w:rFonts w:hint="eastAsia"/>
        </w:rPr>
        <w:t>二、甲方应当严格执行医药产品购销合同验收、入库制度，对采购医药产品及发票进行查验，不得违反有关规定合同外采购、违价采购或从非规定渠道采购。</w:t>
      </w:r>
    </w:p>
    <w:p w14:paraId="554A2EFD">
      <w:r>
        <w:rPr>
          <w:rFonts w:hint="eastAsia"/>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医院纪委反映情况。</w:t>
      </w:r>
    </w:p>
    <w:p w14:paraId="617DBDF7">
      <w:r>
        <w:rPr>
          <w:rFonts w:hint="eastAsia"/>
        </w:rPr>
        <w:t>四、严禁甲方工作人员利用任何途径和方式，为乙方统计医师个人及临床科室有关医药产品用量信息，或为乙方统计提供便利。</w:t>
      </w:r>
    </w:p>
    <w:p w14:paraId="16DF253A">
      <w:r>
        <w:rPr>
          <w:rFonts w:hint="eastAsia"/>
        </w:rPr>
        <w:t>五、乙方不得以回扣、宴请等方式影响甲方工作人员采购或使用医药产品的选择权，不得在学术活动中提供旅游、超标准支付食宿费用。</w:t>
      </w:r>
    </w:p>
    <w:p w14:paraId="27AE5D00">
      <w:r>
        <w:rPr>
          <w:rFonts w:hint="eastAsia"/>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B32E5E5">
      <w:r>
        <w:rPr>
          <w:rFonts w:hint="eastAsia"/>
        </w:rPr>
        <w:t>七、乙方如违反本合同，一经发现，甲方有权终止购销合同，并向有关卫生健康行政部门报告。如乙方被列入商业贿赂不良记录，则严格按照《安徽省医药购销领域商业贿赂不良记录管理办法》相关规定处理。</w:t>
      </w:r>
    </w:p>
    <w:p w14:paraId="34E71282">
      <w:r>
        <w:rPr>
          <w:rFonts w:hint="eastAsia"/>
        </w:rPr>
        <w:t>八、本合同作为医药产品购销合同的重要组成部分，与购销合同一并执行，具有同等的法律效力。</w:t>
      </w:r>
    </w:p>
    <w:p w14:paraId="68A1A9F8">
      <w:r>
        <w:rPr>
          <w:rFonts w:hint="eastAsia"/>
        </w:rPr>
        <w:t>九、本合同一式陆份，甲方执伍份，乙方执一份。甲方责任科室、纪委办公室各执一份，并从签订之日起生效。</w:t>
      </w:r>
    </w:p>
    <w:p w14:paraId="66B6F9E5">
      <w:pPr>
        <w:spacing w:line="580" w:lineRule="exact"/>
        <w:ind w:left="840" w:hanging="840" w:hangingChars="400"/>
      </w:pPr>
    </w:p>
    <w:p w14:paraId="097EB9C2">
      <w:pPr>
        <w:ind w:left="840" w:hanging="840" w:hangingChars="400"/>
      </w:pPr>
      <w:r>
        <w:rPr>
          <w:rFonts w:hint="eastAsia"/>
        </w:rPr>
        <w:t>甲方（盖章）：安徽医科大学附属口腔医院乙方（盖章）：</w:t>
      </w:r>
    </w:p>
    <w:p w14:paraId="0966CD25">
      <w:pPr>
        <w:ind w:left="840" w:leftChars="400" w:firstLine="525" w:firstLineChars="250"/>
      </w:pPr>
      <w:r>
        <w:rPr>
          <w:rFonts w:hint="eastAsia"/>
        </w:rPr>
        <w:t>（安徽省口腔医院）</w:t>
      </w:r>
    </w:p>
    <w:p w14:paraId="183D3C81"/>
    <w:p w14:paraId="76D87A98">
      <w:r>
        <w:rPr>
          <w:rFonts w:hint="eastAsia"/>
        </w:rPr>
        <w:t>法定（授权）代表人：法定（授权）代表人：</w:t>
      </w:r>
    </w:p>
    <w:p w14:paraId="24D5019E"/>
    <w:p w14:paraId="4A2E7912">
      <w:r>
        <w:rPr>
          <w:rFonts w:hint="eastAsia"/>
        </w:rPr>
        <w:t>经办人签名：经办人签名：</w:t>
      </w:r>
    </w:p>
    <w:p w14:paraId="53D0E1F2">
      <w:pPr>
        <w:ind w:firstLine="6195" w:firstLineChars="2950"/>
      </w:pPr>
    </w:p>
    <w:p w14:paraId="1F011C85">
      <w:pPr>
        <w:jc w:val="left"/>
      </w:pPr>
      <w:r>
        <w:rPr>
          <w:rFonts w:hint="eastAsia"/>
        </w:rPr>
        <w:t>联系电话：0551-65909607联系电话：</w:t>
      </w:r>
    </w:p>
    <w:p w14:paraId="296F0FB9"/>
    <w:p w14:paraId="6A0C6296">
      <w:r>
        <w:rPr>
          <w:rFonts w:hint="eastAsia"/>
        </w:rPr>
        <w:t>签订日期：</w:t>
      </w:r>
    </w:p>
    <w:p w14:paraId="377B3EEA">
      <w:pPr>
        <w:spacing w:line="360" w:lineRule="auto"/>
        <w:rPr>
          <w:rFonts w:ascii="宋体" w:hAnsi="宋体"/>
          <w:sz w:val="24"/>
        </w:rPr>
      </w:pPr>
    </w:p>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25"/>
    <w:p w14:paraId="0F190E34">
      <w:pPr>
        <w:widowControl/>
        <w:rPr>
          <w:rFonts w:ascii="宋体" w:hAnsi="宋体"/>
        </w:rPr>
      </w:pPr>
    </w:p>
    <w:p w14:paraId="570B12CE">
      <w:pPr>
        <w:pStyle w:val="2"/>
        <w:widowControl/>
        <w:spacing w:before="0" w:after="0" w:line="240" w:lineRule="auto"/>
        <w:jc w:val="center"/>
        <w:rPr>
          <w:rFonts w:ascii="宋体" w:hAnsi="宋体"/>
        </w:rPr>
      </w:pPr>
      <w:r>
        <w:rPr>
          <w:rFonts w:ascii="宋体" w:hAnsi="宋体"/>
          <w:sz w:val="30"/>
          <w:szCs w:val="30"/>
        </w:rPr>
        <w:br w:type="page"/>
      </w:r>
      <w:bookmarkStart w:id="1063" w:name="_Toc8453"/>
      <w:bookmarkStart w:id="1064" w:name="_Toc445554784"/>
      <w:bookmarkStart w:id="1065" w:name="_Toc13346"/>
      <w:bookmarkStart w:id="1066" w:name="_Toc528829644"/>
      <w:bookmarkStart w:id="1067" w:name="_Toc28625"/>
      <w:bookmarkStart w:id="1068" w:name="_Toc466024585"/>
      <w:bookmarkStart w:id="1069" w:name="_Toc24227"/>
      <w:r>
        <w:rPr>
          <w:rFonts w:hint="eastAsia" w:ascii="宋体" w:hAnsi="宋体"/>
        </w:rPr>
        <w:t>第六章  投标文件格式</w:t>
      </w:r>
      <w:bookmarkEnd w:id="1063"/>
      <w:bookmarkEnd w:id="1064"/>
      <w:bookmarkEnd w:id="1065"/>
      <w:bookmarkEnd w:id="1066"/>
      <w:bookmarkEnd w:id="1067"/>
      <w:bookmarkEnd w:id="1068"/>
      <w:bookmarkEnd w:id="1069"/>
    </w:p>
    <w:p w14:paraId="6AA29ABB">
      <w:pPr>
        <w:widowControl/>
        <w:spacing w:line="560" w:lineRule="exact"/>
        <w:ind w:firstLine="420" w:firstLineChars="200"/>
        <w:jc w:val="center"/>
        <w:rPr>
          <w:rFonts w:ascii="宋体" w:hAnsi="宋体"/>
          <w:szCs w:val="21"/>
        </w:rPr>
      </w:pPr>
    </w:p>
    <w:p w14:paraId="21C19511">
      <w:pPr>
        <w:widowControl/>
        <w:spacing w:line="560" w:lineRule="exact"/>
        <w:ind w:firstLine="420" w:firstLineChars="200"/>
        <w:jc w:val="center"/>
        <w:rPr>
          <w:rFonts w:ascii="宋体" w:hAnsi="宋体"/>
          <w:szCs w:val="21"/>
        </w:rPr>
      </w:pPr>
    </w:p>
    <w:p w14:paraId="398B3EA7">
      <w:pPr>
        <w:widowControl/>
        <w:spacing w:line="560" w:lineRule="exact"/>
        <w:ind w:firstLine="420" w:firstLineChars="200"/>
        <w:jc w:val="center"/>
        <w:rPr>
          <w:rFonts w:ascii="宋体" w:hAnsi="宋体"/>
          <w:szCs w:val="21"/>
        </w:rPr>
      </w:pPr>
    </w:p>
    <w:p w14:paraId="69DC64FA">
      <w:pPr>
        <w:widowControl/>
        <w:spacing w:line="560" w:lineRule="exact"/>
        <w:ind w:firstLine="420" w:firstLineChars="200"/>
        <w:jc w:val="center"/>
        <w:rPr>
          <w:rFonts w:ascii="宋体" w:hAnsi="宋体"/>
          <w:szCs w:val="21"/>
        </w:rPr>
      </w:pPr>
    </w:p>
    <w:p w14:paraId="3BD9F9A6">
      <w:pPr>
        <w:widowControl/>
        <w:spacing w:line="560" w:lineRule="exact"/>
        <w:ind w:firstLine="420" w:firstLineChars="200"/>
        <w:jc w:val="center"/>
        <w:rPr>
          <w:rFonts w:ascii="宋体" w:hAnsi="宋体"/>
          <w:szCs w:val="21"/>
        </w:rPr>
      </w:pPr>
    </w:p>
    <w:p w14:paraId="03FE5196">
      <w:pPr>
        <w:widowControl/>
        <w:spacing w:line="560" w:lineRule="exact"/>
        <w:ind w:firstLine="880" w:firstLineChars="200"/>
        <w:jc w:val="center"/>
        <w:rPr>
          <w:rFonts w:ascii="宋体" w:hAnsi="宋体"/>
          <w:sz w:val="44"/>
          <w:szCs w:val="44"/>
        </w:rPr>
      </w:pPr>
      <w:r>
        <w:rPr>
          <w:rFonts w:hint="eastAsia" w:ascii="宋体" w:hAnsi="宋体"/>
          <w:sz w:val="44"/>
          <w:szCs w:val="44"/>
          <w:u w:val="single"/>
        </w:rPr>
        <w:t xml:space="preserve">              </w:t>
      </w:r>
      <w:bookmarkStart w:id="1070" w:name="_Toc3447"/>
      <w:r>
        <w:rPr>
          <w:rFonts w:ascii="宋体" w:hAnsi="宋体"/>
          <w:sz w:val="44"/>
          <w:szCs w:val="44"/>
        </w:rPr>
        <w:t>（项目名称）</w:t>
      </w:r>
      <w:bookmarkEnd w:id="1070"/>
    </w:p>
    <w:p w14:paraId="17CED160">
      <w:pPr>
        <w:widowControl/>
        <w:spacing w:line="560" w:lineRule="exact"/>
        <w:ind w:firstLine="400" w:firstLineChars="200"/>
        <w:jc w:val="center"/>
        <w:rPr>
          <w:rFonts w:ascii="宋体" w:hAnsi="宋体"/>
          <w:sz w:val="20"/>
          <w:szCs w:val="20"/>
        </w:rPr>
      </w:pPr>
    </w:p>
    <w:p w14:paraId="100A9444">
      <w:pPr>
        <w:widowControl/>
        <w:spacing w:line="560" w:lineRule="exact"/>
        <w:ind w:firstLine="400" w:firstLineChars="200"/>
        <w:jc w:val="center"/>
        <w:rPr>
          <w:rFonts w:ascii="宋体" w:hAnsi="宋体"/>
          <w:sz w:val="20"/>
          <w:szCs w:val="20"/>
        </w:rPr>
      </w:pPr>
    </w:p>
    <w:p w14:paraId="75F2709E">
      <w:pPr>
        <w:widowControl/>
        <w:snapToGrid w:val="0"/>
        <w:jc w:val="center"/>
        <w:rPr>
          <w:rFonts w:ascii="宋体" w:hAnsi="宋体"/>
          <w:sz w:val="72"/>
          <w:szCs w:val="72"/>
        </w:rPr>
      </w:pPr>
      <w:r>
        <w:rPr>
          <w:rFonts w:ascii="宋体" w:hAnsi="宋体"/>
          <w:sz w:val="72"/>
          <w:szCs w:val="72"/>
        </w:rPr>
        <w:t>投  标  文  件</w:t>
      </w:r>
    </w:p>
    <w:p w14:paraId="05FD00AD">
      <w:pPr>
        <w:widowControl/>
        <w:spacing w:line="560" w:lineRule="exact"/>
        <w:ind w:firstLine="560" w:firstLineChars="200"/>
        <w:rPr>
          <w:rFonts w:ascii="宋体" w:hAnsi="宋体"/>
          <w:sz w:val="28"/>
          <w:szCs w:val="28"/>
        </w:rPr>
      </w:pPr>
    </w:p>
    <w:p w14:paraId="34D69203">
      <w:pPr>
        <w:widowControl/>
        <w:spacing w:line="560" w:lineRule="exact"/>
        <w:ind w:firstLine="560" w:firstLineChars="200"/>
        <w:rPr>
          <w:rFonts w:ascii="宋体" w:hAnsi="宋体"/>
          <w:sz w:val="28"/>
          <w:szCs w:val="28"/>
        </w:rPr>
      </w:pPr>
    </w:p>
    <w:p w14:paraId="44545E4C">
      <w:pPr>
        <w:widowControl/>
        <w:spacing w:line="560" w:lineRule="exact"/>
        <w:ind w:firstLine="560" w:firstLineChars="200"/>
        <w:rPr>
          <w:rFonts w:ascii="宋体" w:hAnsi="宋体"/>
          <w:sz w:val="28"/>
          <w:szCs w:val="28"/>
        </w:rPr>
      </w:pPr>
    </w:p>
    <w:p w14:paraId="2AE7D678">
      <w:pPr>
        <w:spacing w:before="120" w:beforeLines="50" w:after="120" w:afterLines="50"/>
        <w:jc w:val="center"/>
        <w:rPr>
          <w:rFonts w:ascii="宋体" w:hAnsi="宋体"/>
          <w:b/>
          <w:i/>
          <w:sz w:val="32"/>
          <w:szCs w:val="32"/>
        </w:rPr>
      </w:pPr>
    </w:p>
    <w:p w14:paraId="735100E1">
      <w:pPr>
        <w:widowControl/>
        <w:spacing w:line="360" w:lineRule="auto"/>
        <w:ind w:left="2977" w:right="-20"/>
        <w:rPr>
          <w:rFonts w:ascii="宋体" w:hAnsi="宋体"/>
          <w:b/>
          <w:sz w:val="28"/>
          <w:szCs w:val="28"/>
        </w:rPr>
      </w:pPr>
    </w:p>
    <w:p w14:paraId="205BFE6B">
      <w:pPr>
        <w:widowControl/>
        <w:spacing w:line="360" w:lineRule="auto"/>
        <w:ind w:left="2977" w:right="-20"/>
        <w:rPr>
          <w:rFonts w:ascii="宋体" w:hAnsi="宋体"/>
          <w:b/>
          <w:sz w:val="28"/>
          <w:szCs w:val="28"/>
        </w:rPr>
      </w:pPr>
    </w:p>
    <w:p w14:paraId="6E03C5BC">
      <w:pPr>
        <w:widowControl/>
        <w:spacing w:line="360" w:lineRule="auto"/>
        <w:ind w:left="2977" w:right="-20"/>
        <w:rPr>
          <w:rFonts w:ascii="宋体" w:hAnsi="宋体"/>
          <w:b/>
          <w:sz w:val="28"/>
          <w:szCs w:val="28"/>
        </w:rPr>
      </w:pPr>
      <w:r>
        <w:rPr>
          <w:rFonts w:hint="eastAsia" w:ascii="宋体" w:hAnsi="宋体"/>
          <w:b/>
          <w:sz w:val="28"/>
          <w:szCs w:val="28"/>
        </w:rPr>
        <w:t xml:space="preserve">投标供应商电子签章：  </w:t>
      </w:r>
      <w:r>
        <w:rPr>
          <w:rFonts w:ascii="宋体" w:hAnsi="宋体"/>
          <w:b/>
          <w:sz w:val="28"/>
          <w:szCs w:val="28"/>
        </w:rPr>
        <w:t xml:space="preserve">                </w:t>
      </w:r>
      <w:r>
        <w:rPr>
          <w:rFonts w:hint="eastAsia" w:ascii="宋体" w:hAnsi="宋体"/>
          <w:b/>
          <w:sz w:val="28"/>
          <w:szCs w:val="28"/>
        </w:rPr>
        <w:t xml:space="preserve">     </w:t>
      </w:r>
    </w:p>
    <w:p w14:paraId="162BD491">
      <w:pPr>
        <w:widowControl/>
        <w:spacing w:line="560" w:lineRule="exact"/>
        <w:ind w:firstLine="3213" w:firstLineChars="1000"/>
        <w:rPr>
          <w:rFonts w:ascii="宋体" w:hAnsi="宋体"/>
        </w:rPr>
      </w:pP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0E6ED41">
      <w:pPr>
        <w:widowControl/>
        <w:jc w:val="center"/>
        <w:rPr>
          <w:b/>
          <w:bCs/>
          <w:sz w:val="44"/>
          <w:szCs w:val="44"/>
        </w:rPr>
      </w:pPr>
    </w:p>
    <w:p w14:paraId="386475D5">
      <w:pPr>
        <w:spacing w:after="120" w:afterLines="50" w:line="500" w:lineRule="exact"/>
        <w:jc w:val="left"/>
        <w:rPr>
          <w:rFonts w:ascii="宋体" w:hAnsi="宋体"/>
          <w:b/>
          <w:i/>
          <w:sz w:val="24"/>
        </w:rPr>
      </w:pPr>
    </w:p>
    <w:p w14:paraId="74698BC5">
      <w:pPr>
        <w:spacing w:after="120" w:afterLines="50" w:line="500" w:lineRule="exact"/>
        <w:jc w:val="left"/>
        <w:rPr>
          <w:rFonts w:ascii="宋体" w:hAnsi="宋体"/>
          <w:b/>
          <w:i/>
          <w:sz w:val="24"/>
        </w:rPr>
      </w:pPr>
    </w:p>
    <w:p w14:paraId="111F9B08">
      <w:pPr>
        <w:widowControl/>
        <w:jc w:val="center"/>
        <w:rPr>
          <w:b/>
          <w:bCs/>
          <w:sz w:val="44"/>
          <w:szCs w:val="44"/>
        </w:rPr>
      </w:pPr>
    </w:p>
    <w:p w14:paraId="5EAD1C00">
      <w:pPr>
        <w:widowControl/>
        <w:jc w:val="center"/>
        <w:rPr>
          <w:b/>
          <w:bCs/>
          <w:sz w:val="44"/>
          <w:szCs w:val="44"/>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22EA0556">
      <w:pPr>
        <w:widowControl/>
        <w:jc w:val="center"/>
        <w:rPr>
          <w:b/>
          <w:bCs/>
          <w:sz w:val="44"/>
          <w:szCs w:val="44"/>
        </w:rPr>
      </w:pPr>
      <w:r>
        <w:rPr>
          <w:rFonts w:hint="eastAsia"/>
          <w:b/>
          <w:bCs/>
          <w:sz w:val="44"/>
          <w:szCs w:val="44"/>
        </w:rPr>
        <w:t>目录</w:t>
      </w:r>
    </w:p>
    <w:tbl>
      <w:tblPr>
        <w:tblStyle w:val="14"/>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5789"/>
        <w:gridCol w:w="1053"/>
        <w:gridCol w:w="1040"/>
      </w:tblGrid>
      <w:tr w14:paraId="032A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6415A92A">
            <w:pPr>
              <w:spacing w:line="400" w:lineRule="exact"/>
              <w:jc w:val="center"/>
              <w:rPr>
                <w:rFonts w:ascii="宋体" w:hAnsi="宋体"/>
                <w:b/>
                <w:szCs w:val="21"/>
              </w:rPr>
            </w:pPr>
            <w:r>
              <w:rPr>
                <w:rFonts w:hint="eastAsia" w:ascii="宋体" w:hAnsi="宋体"/>
                <w:b/>
                <w:szCs w:val="21"/>
              </w:rPr>
              <w:t>序号</w:t>
            </w:r>
          </w:p>
        </w:tc>
        <w:tc>
          <w:tcPr>
            <w:tcW w:w="5789" w:type="dxa"/>
            <w:vAlign w:val="center"/>
          </w:tcPr>
          <w:p w14:paraId="17C49607">
            <w:pPr>
              <w:spacing w:line="400" w:lineRule="exact"/>
              <w:jc w:val="center"/>
              <w:rPr>
                <w:rFonts w:ascii="宋体" w:hAnsi="宋体"/>
                <w:b/>
                <w:szCs w:val="21"/>
              </w:rPr>
            </w:pPr>
            <w:r>
              <w:rPr>
                <w:rFonts w:hint="eastAsia" w:ascii="宋体" w:hAnsi="宋体"/>
                <w:b/>
                <w:szCs w:val="21"/>
              </w:rPr>
              <w:t>资料名称</w:t>
            </w:r>
          </w:p>
        </w:tc>
        <w:tc>
          <w:tcPr>
            <w:tcW w:w="1053" w:type="dxa"/>
            <w:vAlign w:val="center"/>
          </w:tcPr>
          <w:p w14:paraId="740B6FCD">
            <w:pPr>
              <w:spacing w:line="400" w:lineRule="exact"/>
              <w:jc w:val="center"/>
              <w:rPr>
                <w:rFonts w:ascii="宋体" w:hAnsi="宋体"/>
                <w:b/>
                <w:szCs w:val="21"/>
              </w:rPr>
            </w:pPr>
            <w:r>
              <w:rPr>
                <w:rFonts w:hint="eastAsia" w:ascii="宋体" w:hAnsi="宋体"/>
                <w:b/>
                <w:szCs w:val="21"/>
              </w:rPr>
              <w:t>页码</w:t>
            </w:r>
          </w:p>
        </w:tc>
        <w:tc>
          <w:tcPr>
            <w:tcW w:w="1040" w:type="dxa"/>
            <w:vAlign w:val="center"/>
          </w:tcPr>
          <w:p w14:paraId="2F7DE533">
            <w:pPr>
              <w:spacing w:line="400" w:lineRule="exact"/>
              <w:jc w:val="center"/>
              <w:rPr>
                <w:rFonts w:ascii="宋体" w:hAnsi="宋体"/>
                <w:b/>
                <w:szCs w:val="21"/>
              </w:rPr>
            </w:pPr>
            <w:r>
              <w:rPr>
                <w:rFonts w:hint="eastAsia" w:ascii="宋体" w:hAnsi="宋体"/>
                <w:b/>
                <w:szCs w:val="21"/>
              </w:rPr>
              <w:t>备注</w:t>
            </w:r>
          </w:p>
        </w:tc>
      </w:tr>
      <w:tr w14:paraId="10D7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7A207D6A">
            <w:pPr>
              <w:spacing w:before="96" w:beforeLines="40" w:after="96" w:afterLines="40" w:line="400" w:lineRule="exact"/>
              <w:jc w:val="center"/>
              <w:rPr>
                <w:rFonts w:ascii="宋体" w:hAnsi="宋体"/>
                <w:szCs w:val="21"/>
              </w:rPr>
            </w:pPr>
            <w:r>
              <w:rPr>
                <w:rFonts w:hint="eastAsia" w:ascii="宋体" w:hAnsi="宋体"/>
                <w:szCs w:val="21"/>
              </w:rPr>
              <w:t>一</w:t>
            </w:r>
          </w:p>
        </w:tc>
        <w:tc>
          <w:tcPr>
            <w:tcW w:w="5789" w:type="dxa"/>
            <w:vAlign w:val="center"/>
          </w:tcPr>
          <w:p w14:paraId="1C22FB99">
            <w:pPr>
              <w:spacing w:before="96" w:beforeLines="40" w:after="96" w:afterLines="40" w:line="400" w:lineRule="exact"/>
              <w:rPr>
                <w:rFonts w:ascii="宋体" w:hAnsi="宋体"/>
                <w:szCs w:val="21"/>
                <w:u w:val="single"/>
              </w:rPr>
            </w:pPr>
          </w:p>
        </w:tc>
        <w:tc>
          <w:tcPr>
            <w:tcW w:w="1053" w:type="dxa"/>
            <w:vAlign w:val="center"/>
          </w:tcPr>
          <w:p w14:paraId="084402F1">
            <w:pPr>
              <w:spacing w:before="96" w:beforeLines="40" w:after="96" w:afterLines="40" w:line="400" w:lineRule="exact"/>
              <w:jc w:val="center"/>
              <w:rPr>
                <w:rFonts w:ascii="宋体" w:hAnsi="宋体"/>
                <w:szCs w:val="21"/>
              </w:rPr>
            </w:pPr>
          </w:p>
        </w:tc>
        <w:tc>
          <w:tcPr>
            <w:tcW w:w="1040" w:type="dxa"/>
            <w:vAlign w:val="center"/>
          </w:tcPr>
          <w:p w14:paraId="3FDC7831">
            <w:pPr>
              <w:spacing w:before="96" w:beforeLines="40" w:after="96" w:afterLines="40" w:line="400" w:lineRule="exact"/>
              <w:jc w:val="center"/>
              <w:rPr>
                <w:rFonts w:ascii="宋体" w:hAnsi="宋体"/>
                <w:szCs w:val="21"/>
              </w:rPr>
            </w:pPr>
          </w:p>
        </w:tc>
      </w:tr>
      <w:tr w14:paraId="37B3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4722D69F">
            <w:pPr>
              <w:spacing w:before="96" w:beforeLines="40" w:after="96" w:afterLines="40" w:line="400" w:lineRule="exact"/>
              <w:jc w:val="center"/>
              <w:rPr>
                <w:rFonts w:ascii="宋体" w:hAnsi="宋体"/>
                <w:bCs/>
                <w:szCs w:val="21"/>
              </w:rPr>
            </w:pPr>
            <w:r>
              <w:rPr>
                <w:rFonts w:hint="eastAsia" w:ascii="宋体" w:hAnsi="宋体"/>
                <w:bCs/>
                <w:szCs w:val="21"/>
              </w:rPr>
              <w:t>二</w:t>
            </w:r>
          </w:p>
        </w:tc>
        <w:tc>
          <w:tcPr>
            <w:tcW w:w="5789" w:type="dxa"/>
            <w:vAlign w:val="center"/>
          </w:tcPr>
          <w:p w14:paraId="2D04BF12">
            <w:pPr>
              <w:spacing w:before="96" w:beforeLines="40" w:after="96" w:afterLines="40" w:line="400" w:lineRule="exact"/>
              <w:rPr>
                <w:rFonts w:ascii="宋体" w:hAnsi="宋体"/>
                <w:bCs/>
                <w:szCs w:val="21"/>
              </w:rPr>
            </w:pPr>
          </w:p>
        </w:tc>
        <w:tc>
          <w:tcPr>
            <w:tcW w:w="1053" w:type="dxa"/>
            <w:vAlign w:val="center"/>
          </w:tcPr>
          <w:p w14:paraId="373EC19A">
            <w:pPr>
              <w:spacing w:before="96" w:beforeLines="40" w:after="96" w:afterLines="40" w:line="400" w:lineRule="exact"/>
              <w:jc w:val="left"/>
              <w:rPr>
                <w:rFonts w:ascii="宋体" w:hAnsi="宋体"/>
                <w:szCs w:val="21"/>
              </w:rPr>
            </w:pPr>
          </w:p>
        </w:tc>
        <w:tc>
          <w:tcPr>
            <w:tcW w:w="1040" w:type="dxa"/>
            <w:vAlign w:val="center"/>
          </w:tcPr>
          <w:p w14:paraId="7FC83500">
            <w:pPr>
              <w:spacing w:before="96" w:beforeLines="40" w:after="96" w:afterLines="40" w:line="400" w:lineRule="exact"/>
              <w:jc w:val="left"/>
              <w:rPr>
                <w:rFonts w:ascii="宋体" w:hAnsi="宋体"/>
                <w:szCs w:val="21"/>
              </w:rPr>
            </w:pPr>
          </w:p>
        </w:tc>
      </w:tr>
      <w:tr w14:paraId="5067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3537F837">
            <w:pPr>
              <w:spacing w:before="96" w:beforeLines="40" w:after="96" w:afterLines="40" w:line="400" w:lineRule="exact"/>
              <w:jc w:val="center"/>
              <w:rPr>
                <w:rFonts w:ascii="宋体" w:hAnsi="宋体"/>
                <w:bCs/>
                <w:szCs w:val="21"/>
              </w:rPr>
            </w:pPr>
            <w:r>
              <w:rPr>
                <w:rFonts w:hint="eastAsia" w:ascii="宋体" w:hAnsi="宋体"/>
                <w:bCs/>
                <w:szCs w:val="21"/>
              </w:rPr>
              <w:t>三</w:t>
            </w:r>
          </w:p>
        </w:tc>
        <w:tc>
          <w:tcPr>
            <w:tcW w:w="5789" w:type="dxa"/>
            <w:vAlign w:val="center"/>
          </w:tcPr>
          <w:p w14:paraId="693C827B">
            <w:pPr>
              <w:spacing w:before="96" w:beforeLines="40" w:after="96" w:afterLines="40" w:line="400" w:lineRule="exact"/>
              <w:rPr>
                <w:rFonts w:ascii="宋体" w:hAnsi="宋体"/>
                <w:bCs/>
                <w:szCs w:val="21"/>
              </w:rPr>
            </w:pPr>
          </w:p>
        </w:tc>
        <w:tc>
          <w:tcPr>
            <w:tcW w:w="1053" w:type="dxa"/>
            <w:vAlign w:val="center"/>
          </w:tcPr>
          <w:p w14:paraId="56DE8E4E">
            <w:pPr>
              <w:spacing w:before="96" w:beforeLines="40" w:after="96" w:afterLines="40" w:line="400" w:lineRule="exact"/>
              <w:jc w:val="center"/>
              <w:rPr>
                <w:rFonts w:ascii="宋体" w:hAnsi="宋体"/>
                <w:szCs w:val="21"/>
              </w:rPr>
            </w:pPr>
          </w:p>
        </w:tc>
        <w:tc>
          <w:tcPr>
            <w:tcW w:w="1040" w:type="dxa"/>
            <w:vAlign w:val="center"/>
          </w:tcPr>
          <w:p w14:paraId="75AECF4D">
            <w:pPr>
              <w:spacing w:before="96" w:beforeLines="40" w:after="96" w:afterLines="40" w:line="400" w:lineRule="exact"/>
              <w:jc w:val="center"/>
              <w:rPr>
                <w:rFonts w:ascii="宋体" w:hAnsi="宋体"/>
                <w:szCs w:val="21"/>
              </w:rPr>
            </w:pPr>
          </w:p>
        </w:tc>
      </w:tr>
      <w:tr w14:paraId="56EC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478F5500">
            <w:pPr>
              <w:spacing w:before="96" w:beforeLines="40" w:after="96" w:afterLines="40" w:line="400" w:lineRule="exact"/>
              <w:jc w:val="center"/>
              <w:rPr>
                <w:rFonts w:ascii="宋体" w:hAnsi="宋体"/>
                <w:szCs w:val="21"/>
              </w:rPr>
            </w:pPr>
            <w:r>
              <w:rPr>
                <w:rFonts w:hint="eastAsia" w:ascii="宋体" w:hAnsi="宋体"/>
                <w:szCs w:val="21"/>
              </w:rPr>
              <w:t>四</w:t>
            </w:r>
          </w:p>
        </w:tc>
        <w:tc>
          <w:tcPr>
            <w:tcW w:w="5789" w:type="dxa"/>
            <w:vAlign w:val="center"/>
          </w:tcPr>
          <w:p w14:paraId="658BA5C8">
            <w:pPr>
              <w:spacing w:before="96" w:beforeLines="40" w:after="96" w:afterLines="40" w:line="400" w:lineRule="exact"/>
              <w:rPr>
                <w:rFonts w:ascii="宋体" w:hAnsi="宋体"/>
                <w:bCs/>
                <w:szCs w:val="21"/>
              </w:rPr>
            </w:pPr>
          </w:p>
        </w:tc>
        <w:tc>
          <w:tcPr>
            <w:tcW w:w="1053" w:type="dxa"/>
            <w:vAlign w:val="center"/>
          </w:tcPr>
          <w:p w14:paraId="7BC88869">
            <w:pPr>
              <w:spacing w:before="96" w:beforeLines="40" w:after="96" w:afterLines="40" w:line="400" w:lineRule="exact"/>
              <w:jc w:val="center"/>
              <w:rPr>
                <w:rFonts w:ascii="宋体" w:hAnsi="宋体"/>
                <w:szCs w:val="21"/>
              </w:rPr>
            </w:pPr>
          </w:p>
        </w:tc>
        <w:tc>
          <w:tcPr>
            <w:tcW w:w="1040" w:type="dxa"/>
            <w:vAlign w:val="center"/>
          </w:tcPr>
          <w:p w14:paraId="7EB93EF8">
            <w:pPr>
              <w:spacing w:before="96" w:beforeLines="40" w:after="96" w:afterLines="40" w:line="400" w:lineRule="exact"/>
              <w:jc w:val="center"/>
              <w:rPr>
                <w:rFonts w:ascii="宋体" w:hAnsi="宋体"/>
                <w:szCs w:val="21"/>
              </w:rPr>
            </w:pPr>
          </w:p>
        </w:tc>
      </w:tr>
      <w:tr w14:paraId="7D9C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2D0938F5">
            <w:pPr>
              <w:spacing w:before="96" w:beforeLines="40" w:after="96" w:afterLines="40" w:line="400" w:lineRule="exact"/>
              <w:jc w:val="center"/>
              <w:rPr>
                <w:rFonts w:ascii="宋体" w:hAnsi="宋体"/>
                <w:bCs/>
                <w:szCs w:val="21"/>
              </w:rPr>
            </w:pPr>
            <w:r>
              <w:rPr>
                <w:rFonts w:hint="eastAsia" w:ascii="宋体" w:hAnsi="宋体"/>
                <w:bCs/>
                <w:szCs w:val="21"/>
              </w:rPr>
              <w:t>五</w:t>
            </w:r>
          </w:p>
        </w:tc>
        <w:tc>
          <w:tcPr>
            <w:tcW w:w="5789" w:type="dxa"/>
            <w:vAlign w:val="center"/>
          </w:tcPr>
          <w:p w14:paraId="653A4701">
            <w:pPr>
              <w:spacing w:before="96" w:beforeLines="40" w:after="96" w:afterLines="40" w:line="400" w:lineRule="exact"/>
              <w:rPr>
                <w:rFonts w:ascii="宋体" w:hAnsi="宋体"/>
                <w:bCs/>
                <w:szCs w:val="21"/>
              </w:rPr>
            </w:pPr>
          </w:p>
        </w:tc>
        <w:tc>
          <w:tcPr>
            <w:tcW w:w="1053" w:type="dxa"/>
            <w:vAlign w:val="center"/>
          </w:tcPr>
          <w:p w14:paraId="2393B2D7">
            <w:pPr>
              <w:spacing w:before="96" w:beforeLines="40" w:after="96" w:afterLines="40" w:line="400" w:lineRule="exact"/>
              <w:jc w:val="center"/>
              <w:rPr>
                <w:rFonts w:ascii="宋体" w:hAnsi="宋体"/>
                <w:szCs w:val="21"/>
              </w:rPr>
            </w:pPr>
          </w:p>
        </w:tc>
        <w:tc>
          <w:tcPr>
            <w:tcW w:w="1040" w:type="dxa"/>
            <w:vAlign w:val="center"/>
          </w:tcPr>
          <w:p w14:paraId="49B1A15B">
            <w:pPr>
              <w:spacing w:before="96" w:beforeLines="40" w:after="96" w:afterLines="40" w:line="400" w:lineRule="exact"/>
              <w:jc w:val="center"/>
              <w:rPr>
                <w:rFonts w:ascii="宋体" w:hAnsi="宋体"/>
                <w:szCs w:val="21"/>
              </w:rPr>
            </w:pPr>
          </w:p>
        </w:tc>
      </w:tr>
      <w:tr w14:paraId="61E2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279A7DB3">
            <w:pPr>
              <w:spacing w:before="96" w:beforeLines="40" w:after="96" w:afterLines="40" w:line="400" w:lineRule="exact"/>
              <w:jc w:val="center"/>
              <w:rPr>
                <w:rFonts w:ascii="宋体" w:hAnsi="宋体"/>
                <w:szCs w:val="21"/>
              </w:rPr>
            </w:pPr>
            <w:r>
              <w:rPr>
                <w:rFonts w:hint="eastAsia" w:ascii="宋体" w:hAnsi="宋体"/>
                <w:szCs w:val="21"/>
              </w:rPr>
              <w:t>六</w:t>
            </w:r>
          </w:p>
        </w:tc>
        <w:tc>
          <w:tcPr>
            <w:tcW w:w="5789" w:type="dxa"/>
            <w:vAlign w:val="center"/>
          </w:tcPr>
          <w:p w14:paraId="6A6C875D">
            <w:pPr>
              <w:spacing w:before="96" w:beforeLines="40" w:after="96" w:afterLines="40" w:line="400" w:lineRule="exact"/>
              <w:rPr>
                <w:rFonts w:ascii="宋体" w:hAnsi="宋体"/>
                <w:bCs/>
                <w:szCs w:val="21"/>
              </w:rPr>
            </w:pPr>
          </w:p>
        </w:tc>
        <w:tc>
          <w:tcPr>
            <w:tcW w:w="1053" w:type="dxa"/>
            <w:vAlign w:val="center"/>
          </w:tcPr>
          <w:p w14:paraId="348B4F52">
            <w:pPr>
              <w:spacing w:before="96" w:beforeLines="40" w:after="96" w:afterLines="40" w:line="400" w:lineRule="exact"/>
              <w:jc w:val="center"/>
              <w:rPr>
                <w:rFonts w:ascii="宋体" w:hAnsi="宋体"/>
                <w:szCs w:val="21"/>
              </w:rPr>
            </w:pPr>
          </w:p>
        </w:tc>
        <w:tc>
          <w:tcPr>
            <w:tcW w:w="1040" w:type="dxa"/>
            <w:vAlign w:val="center"/>
          </w:tcPr>
          <w:p w14:paraId="30680B1E">
            <w:pPr>
              <w:spacing w:before="96" w:beforeLines="40" w:after="96" w:afterLines="40" w:line="400" w:lineRule="exact"/>
              <w:jc w:val="center"/>
              <w:rPr>
                <w:rFonts w:ascii="宋体" w:hAnsi="宋体"/>
                <w:szCs w:val="21"/>
              </w:rPr>
            </w:pPr>
          </w:p>
        </w:tc>
      </w:tr>
      <w:tr w14:paraId="73F8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7A8D9846">
            <w:pPr>
              <w:spacing w:before="96" w:beforeLines="40" w:after="96" w:afterLines="40" w:line="400" w:lineRule="exact"/>
              <w:jc w:val="center"/>
              <w:rPr>
                <w:rFonts w:ascii="宋体" w:hAnsi="宋体"/>
                <w:szCs w:val="21"/>
              </w:rPr>
            </w:pPr>
            <w:r>
              <w:rPr>
                <w:rFonts w:hint="eastAsia" w:ascii="宋体" w:hAnsi="宋体"/>
                <w:szCs w:val="21"/>
              </w:rPr>
              <w:t>七</w:t>
            </w:r>
          </w:p>
        </w:tc>
        <w:tc>
          <w:tcPr>
            <w:tcW w:w="5789" w:type="dxa"/>
            <w:vAlign w:val="center"/>
          </w:tcPr>
          <w:p w14:paraId="1CFC5FED">
            <w:pPr>
              <w:pStyle w:val="31"/>
              <w:spacing w:before="96" w:beforeLines="40" w:after="96" w:afterLines="40" w:line="400" w:lineRule="exact"/>
              <w:rPr>
                <w:rFonts w:ascii="宋体" w:hAnsi="宋体"/>
                <w:bCs/>
                <w:sz w:val="21"/>
                <w:szCs w:val="21"/>
              </w:rPr>
            </w:pPr>
          </w:p>
        </w:tc>
        <w:tc>
          <w:tcPr>
            <w:tcW w:w="1053" w:type="dxa"/>
            <w:vAlign w:val="center"/>
          </w:tcPr>
          <w:p w14:paraId="723121F3">
            <w:pPr>
              <w:spacing w:before="96" w:beforeLines="40" w:after="96" w:afterLines="40" w:line="400" w:lineRule="exact"/>
              <w:jc w:val="center"/>
              <w:rPr>
                <w:rFonts w:ascii="宋体" w:hAnsi="宋体"/>
                <w:szCs w:val="21"/>
              </w:rPr>
            </w:pPr>
          </w:p>
        </w:tc>
        <w:tc>
          <w:tcPr>
            <w:tcW w:w="1040" w:type="dxa"/>
            <w:vAlign w:val="center"/>
          </w:tcPr>
          <w:p w14:paraId="6D32C8F5">
            <w:pPr>
              <w:spacing w:before="96" w:beforeLines="40" w:after="96" w:afterLines="40" w:line="400" w:lineRule="exact"/>
              <w:jc w:val="center"/>
              <w:rPr>
                <w:rFonts w:ascii="宋体" w:hAnsi="宋体"/>
                <w:szCs w:val="21"/>
              </w:rPr>
            </w:pPr>
          </w:p>
        </w:tc>
      </w:tr>
      <w:tr w14:paraId="4CB5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31F5966F">
            <w:pPr>
              <w:spacing w:before="96" w:beforeLines="40" w:after="96" w:afterLines="40" w:line="400" w:lineRule="exact"/>
              <w:jc w:val="center"/>
              <w:rPr>
                <w:rFonts w:ascii="宋体" w:hAnsi="宋体"/>
                <w:szCs w:val="21"/>
              </w:rPr>
            </w:pPr>
            <w:r>
              <w:rPr>
                <w:rFonts w:hint="eastAsia" w:ascii="宋体" w:hAnsi="宋体"/>
                <w:szCs w:val="21"/>
              </w:rPr>
              <w:t>八</w:t>
            </w:r>
          </w:p>
        </w:tc>
        <w:tc>
          <w:tcPr>
            <w:tcW w:w="5789" w:type="dxa"/>
            <w:vAlign w:val="center"/>
          </w:tcPr>
          <w:p w14:paraId="0CF88CDA">
            <w:pPr>
              <w:spacing w:before="96" w:beforeLines="40" w:after="96" w:afterLines="40" w:line="400" w:lineRule="exact"/>
              <w:rPr>
                <w:rFonts w:ascii="宋体" w:hAnsi="宋体"/>
                <w:bCs/>
                <w:szCs w:val="21"/>
              </w:rPr>
            </w:pPr>
          </w:p>
        </w:tc>
        <w:tc>
          <w:tcPr>
            <w:tcW w:w="1053" w:type="dxa"/>
            <w:vAlign w:val="center"/>
          </w:tcPr>
          <w:p w14:paraId="13BDD84C">
            <w:pPr>
              <w:spacing w:before="96" w:beforeLines="40" w:after="96" w:afterLines="40" w:line="400" w:lineRule="exact"/>
              <w:jc w:val="center"/>
              <w:rPr>
                <w:rFonts w:ascii="宋体" w:hAnsi="宋体"/>
                <w:szCs w:val="21"/>
              </w:rPr>
            </w:pPr>
          </w:p>
        </w:tc>
        <w:tc>
          <w:tcPr>
            <w:tcW w:w="1040" w:type="dxa"/>
            <w:vAlign w:val="center"/>
          </w:tcPr>
          <w:p w14:paraId="243CFB13">
            <w:pPr>
              <w:spacing w:before="96" w:beforeLines="40" w:after="96" w:afterLines="40" w:line="400" w:lineRule="exact"/>
              <w:jc w:val="center"/>
              <w:rPr>
                <w:rFonts w:ascii="宋体" w:hAnsi="宋体"/>
                <w:szCs w:val="21"/>
              </w:rPr>
            </w:pPr>
          </w:p>
        </w:tc>
      </w:tr>
      <w:tr w14:paraId="6CA6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6656D83F">
            <w:pPr>
              <w:spacing w:before="96" w:beforeLines="40" w:after="96" w:afterLines="40" w:line="400" w:lineRule="exact"/>
              <w:jc w:val="center"/>
              <w:rPr>
                <w:rFonts w:ascii="宋体" w:hAnsi="宋体"/>
                <w:szCs w:val="21"/>
              </w:rPr>
            </w:pPr>
            <w:r>
              <w:rPr>
                <w:rFonts w:hint="eastAsia" w:ascii="宋体" w:hAnsi="宋体"/>
                <w:szCs w:val="21"/>
              </w:rPr>
              <w:t>九</w:t>
            </w:r>
          </w:p>
        </w:tc>
        <w:tc>
          <w:tcPr>
            <w:tcW w:w="5789" w:type="dxa"/>
            <w:vAlign w:val="center"/>
          </w:tcPr>
          <w:p w14:paraId="075E150B">
            <w:pPr>
              <w:spacing w:before="96" w:beforeLines="40" w:after="96" w:afterLines="40" w:line="400" w:lineRule="exact"/>
              <w:rPr>
                <w:rFonts w:ascii="宋体" w:hAnsi="宋体"/>
                <w:szCs w:val="21"/>
              </w:rPr>
            </w:pPr>
          </w:p>
        </w:tc>
        <w:tc>
          <w:tcPr>
            <w:tcW w:w="1053" w:type="dxa"/>
            <w:vAlign w:val="center"/>
          </w:tcPr>
          <w:p w14:paraId="3AE7EFE2">
            <w:pPr>
              <w:spacing w:before="96" w:beforeLines="40" w:after="96" w:afterLines="40" w:line="400" w:lineRule="exact"/>
              <w:jc w:val="center"/>
              <w:rPr>
                <w:rFonts w:ascii="宋体" w:hAnsi="宋体"/>
                <w:szCs w:val="21"/>
              </w:rPr>
            </w:pPr>
          </w:p>
        </w:tc>
        <w:tc>
          <w:tcPr>
            <w:tcW w:w="1040" w:type="dxa"/>
            <w:vAlign w:val="center"/>
          </w:tcPr>
          <w:p w14:paraId="2C69B069">
            <w:pPr>
              <w:spacing w:before="96" w:beforeLines="40" w:after="96" w:afterLines="40" w:line="400" w:lineRule="exact"/>
              <w:jc w:val="center"/>
              <w:rPr>
                <w:rFonts w:ascii="宋体" w:hAnsi="宋体"/>
                <w:szCs w:val="21"/>
              </w:rPr>
            </w:pPr>
          </w:p>
        </w:tc>
      </w:tr>
      <w:tr w14:paraId="520A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4FEAC619">
            <w:pPr>
              <w:spacing w:before="96" w:beforeLines="40" w:after="96" w:afterLines="40" w:line="400" w:lineRule="exact"/>
              <w:jc w:val="center"/>
              <w:rPr>
                <w:rFonts w:ascii="宋体" w:hAnsi="宋体"/>
                <w:szCs w:val="21"/>
              </w:rPr>
            </w:pPr>
            <w:r>
              <w:rPr>
                <w:rFonts w:hint="eastAsia" w:ascii="宋体" w:hAnsi="宋体"/>
                <w:szCs w:val="21"/>
              </w:rPr>
              <w:t>十</w:t>
            </w:r>
          </w:p>
        </w:tc>
        <w:tc>
          <w:tcPr>
            <w:tcW w:w="5789" w:type="dxa"/>
            <w:vAlign w:val="center"/>
          </w:tcPr>
          <w:p w14:paraId="514340E0">
            <w:pPr>
              <w:spacing w:before="96" w:beforeLines="40" w:after="96" w:afterLines="40" w:line="400" w:lineRule="exact"/>
              <w:rPr>
                <w:rFonts w:ascii="宋体" w:hAnsi="宋体"/>
                <w:szCs w:val="21"/>
              </w:rPr>
            </w:pPr>
          </w:p>
        </w:tc>
        <w:tc>
          <w:tcPr>
            <w:tcW w:w="1053" w:type="dxa"/>
            <w:vAlign w:val="center"/>
          </w:tcPr>
          <w:p w14:paraId="6EA17D77">
            <w:pPr>
              <w:spacing w:before="96" w:beforeLines="40" w:after="96" w:afterLines="40" w:line="400" w:lineRule="exact"/>
              <w:jc w:val="center"/>
              <w:rPr>
                <w:rFonts w:ascii="宋体" w:hAnsi="宋体"/>
                <w:szCs w:val="21"/>
              </w:rPr>
            </w:pPr>
          </w:p>
        </w:tc>
        <w:tc>
          <w:tcPr>
            <w:tcW w:w="1040" w:type="dxa"/>
            <w:vAlign w:val="center"/>
          </w:tcPr>
          <w:p w14:paraId="140AAD78">
            <w:pPr>
              <w:spacing w:before="96" w:beforeLines="40" w:after="96" w:afterLines="40" w:line="400" w:lineRule="exact"/>
              <w:jc w:val="center"/>
              <w:rPr>
                <w:rFonts w:ascii="宋体" w:hAnsi="宋体"/>
                <w:szCs w:val="21"/>
              </w:rPr>
            </w:pPr>
          </w:p>
        </w:tc>
      </w:tr>
      <w:tr w14:paraId="3A69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17CE63EB">
            <w:pPr>
              <w:spacing w:before="96" w:beforeLines="40" w:after="96" w:afterLines="40" w:line="400" w:lineRule="exact"/>
              <w:jc w:val="center"/>
              <w:rPr>
                <w:rFonts w:ascii="宋体" w:hAnsi="宋体"/>
                <w:szCs w:val="21"/>
              </w:rPr>
            </w:pPr>
            <w:r>
              <w:rPr>
                <w:rFonts w:hint="eastAsia" w:ascii="宋体" w:hAnsi="宋体"/>
                <w:szCs w:val="21"/>
              </w:rPr>
              <w:t>十一</w:t>
            </w:r>
          </w:p>
        </w:tc>
        <w:tc>
          <w:tcPr>
            <w:tcW w:w="5789" w:type="dxa"/>
            <w:vAlign w:val="center"/>
          </w:tcPr>
          <w:p w14:paraId="3B59D1CA">
            <w:pPr>
              <w:spacing w:before="96" w:beforeLines="40" w:after="96" w:afterLines="40" w:line="400" w:lineRule="exact"/>
              <w:rPr>
                <w:rFonts w:ascii="宋体" w:hAnsi="宋体"/>
                <w:szCs w:val="21"/>
              </w:rPr>
            </w:pPr>
          </w:p>
        </w:tc>
        <w:tc>
          <w:tcPr>
            <w:tcW w:w="1053" w:type="dxa"/>
            <w:vAlign w:val="center"/>
          </w:tcPr>
          <w:p w14:paraId="7E20695D">
            <w:pPr>
              <w:spacing w:before="96" w:beforeLines="40" w:after="96" w:afterLines="40" w:line="400" w:lineRule="exact"/>
              <w:jc w:val="center"/>
              <w:rPr>
                <w:rFonts w:ascii="宋体" w:hAnsi="宋体"/>
                <w:szCs w:val="21"/>
              </w:rPr>
            </w:pPr>
          </w:p>
        </w:tc>
        <w:tc>
          <w:tcPr>
            <w:tcW w:w="1040" w:type="dxa"/>
            <w:vAlign w:val="center"/>
          </w:tcPr>
          <w:p w14:paraId="4DE90C9E">
            <w:pPr>
              <w:spacing w:before="96" w:beforeLines="40" w:after="96" w:afterLines="40" w:line="400" w:lineRule="exact"/>
              <w:jc w:val="center"/>
              <w:rPr>
                <w:rFonts w:ascii="宋体" w:hAnsi="宋体"/>
                <w:szCs w:val="21"/>
              </w:rPr>
            </w:pPr>
          </w:p>
        </w:tc>
      </w:tr>
      <w:tr w14:paraId="09F2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0C2FF3BF">
            <w:pPr>
              <w:spacing w:before="96" w:beforeLines="40" w:after="96" w:afterLines="40" w:line="400" w:lineRule="exact"/>
              <w:jc w:val="center"/>
              <w:rPr>
                <w:rFonts w:ascii="宋体" w:hAnsi="宋体"/>
                <w:szCs w:val="21"/>
              </w:rPr>
            </w:pPr>
            <w:r>
              <w:rPr>
                <w:rFonts w:hint="eastAsia" w:ascii="宋体" w:hAnsi="宋体"/>
                <w:szCs w:val="21"/>
              </w:rPr>
              <w:t>十二</w:t>
            </w:r>
          </w:p>
        </w:tc>
        <w:tc>
          <w:tcPr>
            <w:tcW w:w="5789" w:type="dxa"/>
            <w:vAlign w:val="center"/>
          </w:tcPr>
          <w:p w14:paraId="4421989E">
            <w:pPr>
              <w:spacing w:before="96" w:beforeLines="40" w:after="96" w:afterLines="40" w:line="400" w:lineRule="exact"/>
              <w:rPr>
                <w:rFonts w:ascii="宋体" w:hAnsi="宋体"/>
                <w:szCs w:val="21"/>
              </w:rPr>
            </w:pPr>
          </w:p>
        </w:tc>
        <w:tc>
          <w:tcPr>
            <w:tcW w:w="1053" w:type="dxa"/>
            <w:vAlign w:val="center"/>
          </w:tcPr>
          <w:p w14:paraId="51C6330E">
            <w:pPr>
              <w:spacing w:before="96" w:beforeLines="40" w:after="96" w:afterLines="40" w:line="400" w:lineRule="exact"/>
              <w:jc w:val="center"/>
              <w:rPr>
                <w:rFonts w:ascii="宋体" w:hAnsi="宋体"/>
                <w:szCs w:val="21"/>
              </w:rPr>
            </w:pPr>
          </w:p>
        </w:tc>
        <w:tc>
          <w:tcPr>
            <w:tcW w:w="1040" w:type="dxa"/>
            <w:vAlign w:val="center"/>
          </w:tcPr>
          <w:p w14:paraId="7E8FE81C">
            <w:pPr>
              <w:spacing w:before="96" w:beforeLines="40" w:after="96" w:afterLines="40" w:line="400" w:lineRule="exact"/>
              <w:jc w:val="center"/>
              <w:rPr>
                <w:rFonts w:ascii="宋体" w:hAnsi="宋体"/>
                <w:szCs w:val="21"/>
              </w:rPr>
            </w:pPr>
          </w:p>
        </w:tc>
      </w:tr>
      <w:tr w14:paraId="22AC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04B37CC7">
            <w:pPr>
              <w:spacing w:before="96" w:beforeLines="40" w:after="96" w:afterLines="40" w:line="400" w:lineRule="exact"/>
              <w:jc w:val="center"/>
              <w:rPr>
                <w:rFonts w:ascii="宋体" w:hAnsi="宋体"/>
                <w:szCs w:val="21"/>
              </w:rPr>
            </w:pPr>
            <w:r>
              <w:rPr>
                <w:rFonts w:hint="eastAsia" w:ascii="宋体" w:hAnsi="宋体"/>
                <w:szCs w:val="21"/>
              </w:rPr>
              <w:t>十三</w:t>
            </w:r>
          </w:p>
        </w:tc>
        <w:tc>
          <w:tcPr>
            <w:tcW w:w="5789" w:type="dxa"/>
            <w:vAlign w:val="center"/>
          </w:tcPr>
          <w:p w14:paraId="61699F1E">
            <w:pPr>
              <w:spacing w:before="96" w:beforeLines="40" w:after="96" w:afterLines="40" w:line="400" w:lineRule="exact"/>
              <w:rPr>
                <w:rFonts w:ascii="宋体" w:hAnsi="宋体"/>
                <w:szCs w:val="21"/>
              </w:rPr>
            </w:pPr>
          </w:p>
        </w:tc>
        <w:tc>
          <w:tcPr>
            <w:tcW w:w="1053" w:type="dxa"/>
            <w:vAlign w:val="center"/>
          </w:tcPr>
          <w:p w14:paraId="1975B10B">
            <w:pPr>
              <w:spacing w:before="96" w:beforeLines="40" w:after="96" w:afterLines="40" w:line="400" w:lineRule="exact"/>
              <w:jc w:val="center"/>
              <w:rPr>
                <w:rFonts w:ascii="宋体" w:hAnsi="宋体"/>
                <w:szCs w:val="21"/>
              </w:rPr>
            </w:pPr>
          </w:p>
        </w:tc>
        <w:tc>
          <w:tcPr>
            <w:tcW w:w="1040" w:type="dxa"/>
            <w:vAlign w:val="center"/>
          </w:tcPr>
          <w:p w14:paraId="6A447531">
            <w:pPr>
              <w:spacing w:before="96" w:beforeLines="40" w:after="96" w:afterLines="40" w:line="400" w:lineRule="exact"/>
              <w:jc w:val="center"/>
              <w:rPr>
                <w:rFonts w:ascii="宋体" w:hAnsi="宋体"/>
                <w:szCs w:val="21"/>
              </w:rPr>
            </w:pPr>
          </w:p>
        </w:tc>
      </w:tr>
      <w:tr w14:paraId="7A60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42068739">
            <w:pPr>
              <w:spacing w:before="96" w:beforeLines="40" w:after="96" w:afterLines="40" w:line="400" w:lineRule="exact"/>
              <w:jc w:val="center"/>
              <w:rPr>
                <w:rFonts w:ascii="宋体" w:hAnsi="宋体"/>
                <w:szCs w:val="21"/>
              </w:rPr>
            </w:pPr>
            <w:r>
              <w:rPr>
                <w:rFonts w:hint="eastAsia" w:ascii="宋体" w:hAnsi="宋体"/>
                <w:szCs w:val="21"/>
              </w:rPr>
              <w:t>十四</w:t>
            </w:r>
          </w:p>
        </w:tc>
        <w:tc>
          <w:tcPr>
            <w:tcW w:w="5789" w:type="dxa"/>
            <w:vAlign w:val="center"/>
          </w:tcPr>
          <w:p w14:paraId="144F3785">
            <w:pPr>
              <w:spacing w:before="96" w:beforeLines="40" w:after="96" w:afterLines="40" w:line="400" w:lineRule="exact"/>
              <w:rPr>
                <w:rFonts w:ascii="宋体" w:hAnsi="宋体"/>
                <w:szCs w:val="21"/>
              </w:rPr>
            </w:pPr>
          </w:p>
        </w:tc>
        <w:tc>
          <w:tcPr>
            <w:tcW w:w="1053" w:type="dxa"/>
            <w:vAlign w:val="center"/>
          </w:tcPr>
          <w:p w14:paraId="7E8EE132">
            <w:pPr>
              <w:spacing w:before="96" w:beforeLines="40" w:after="96" w:afterLines="40" w:line="400" w:lineRule="exact"/>
              <w:jc w:val="center"/>
              <w:rPr>
                <w:rFonts w:ascii="宋体" w:hAnsi="宋体"/>
                <w:szCs w:val="21"/>
              </w:rPr>
            </w:pPr>
          </w:p>
        </w:tc>
        <w:tc>
          <w:tcPr>
            <w:tcW w:w="1040" w:type="dxa"/>
            <w:vAlign w:val="center"/>
          </w:tcPr>
          <w:p w14:paraId="2BC94233">
            <w:pPr>
              <w:spacing w:before="96" w:beforeLines="40" w:after="96" w:afterLines="40" w:line="400" w:lineRule="exact"/>
              <w:jc w:val="center"/>
              <w:rPr>
                <w:rFonts w:ascii="宋体" w:hAnsi="宋体"/>
                <w:szCs w:val="21"/>
              </w:rPr>
            </w:pPr>
          </w:p>
        </w:tc>
      </w:tr>
      <w:tr w14:paraId="0876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69AF5767">
            <w:pPr>
              <w:spacing w:before="96" w:beforeLines="40" w:after="96" w:afterLines="40" w:line="400" w:lineRule="exact"/>
              <w:jc w:val="center"/>
              <w:rPr>
                <w:rFonts w:ascii="宋体" w:hAnsi="宋体"/>
                <w:szCs w:val="21"/>
              </w:rPr>
            </w:pPr>
            <w:r>
              <w:rPr>
                <w:rFonts w:hint="eastAsia" w:ascii="宋体" w:hAnsi="宋体"/>
                <w:szCs w:val="21"/>
              </w:rPr>
              <w:t>十五</w:t>
            </w:r>
          </w:p>
        </w:tc>
        <w:tc>
          <w:tcPr>
            <w:tcW w:w="5789" w:type="dxa"/>
            <w:vAlign w:val="center"/>
          </w:tcPr>
          <w:p w14:paraId="790F177E">
            <w:pPr>
              <w:spacing w:before="96" w:beforeLines="40" w:after="96" w:afterLines="40" w:line="400" w:lineRule="exact"/>
              <w:rPr>
                <w:rFonts w:ascii="宋体" w:hAnsi="宋体"/>
                <w:szCs w:val="21"/>
              </w:rPr>
            </w:pPr>
          </w:p>
        </w:tc>
        <w:tc>
          <w:tcPr>
            <w:tcW w:w="1053" w:type="dxa"/>
            <w:vAlign w:val="center"/>
          </w:tcPr>
          <w:p w14:paraId="59A71931">
            <w:pPr>
              <w:spacing w:before="96" w:beforeLines="40" w:after="96" w:afterLines="40" w:line="400" w:lineRule="exact"/>
              <w:jc w:val="center"/>
              <w:rPr>
                <w:rFonts w:ascii="宋体" w:hAnsi="宋体"/>
                <w:szCs w:val="21"/>
              </w:rPr>
            </w:pPr>
          </w:p>
        </w:tc>
        <w:tc>
          <w:tcPr>
            <w:tcW w:w="1040" w:type="dxa"/>
            <w:vAlign w:val="center"/>
          </w:tcPr>
          <w:p w14:paraId="426EC8FB">
            <w:pPr>
              <w:spacing w:before="96" w:beforeLines="40" w:after="96" w:afterLines="40" w:line="400" w:lineRule="exact"/>
              <w:jc w:val="center"/>
              <w:rPr>
                <w:rFonts w:ascii="宋体" w:hAnsi="宋体"/>
                <w:szCs w:val="21"/>
              </w:rPr>
            </w:pPr>
          </w:p>
        </w:tc>
      </w:tr>
      <w:tr w14:paraId="5D95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70F80309">
            <w:pPr>
              <w:spacing w:before="96" w:beforeLines="40" w:after="96" w:afterLines="40" w:line="400" w:lineRule="exact"/>
              <w:jc w:val="center"/>
              <w:rPr>
                <w:rFonts w:ascii="宋体" w:hAnsi="宋体"/>
                <w:szCs w:val="21"/>
              </w:rPr>
            </w:pPr>
            <w:r>
              <w:rPr>
                <w:rFonts w:hint="eastAsia" w:ascii="宋体" w:hAnsi="宋体"/>
                <w:szCs w:val="21"/>
              </w:rPr>
              <w:t>十六</w:t>
            </w:r>
          </w:p>
        </w:tc>
        <w:tc>
          <w:tcPr>
            <w:tcW w:w="5789" w:type="dxa"/>
            <w:vAlign w:val="center"/>
          </w:tcPr>
          <w:p w14:paraId="0715FDE1">
            <w:pPr>
              <w:spacing w:before="96" w:beforeLines="40" w:after="96" w:afterLines="40" w:line="400" w:lineRule="exact"/>
              <w:rPr>
                <w:rFonts w:ascii="宋体" w:hAnsi="宋体"/>
                <w:szCs w:val="21"/>
              </w:rPr>
            </w:pPr>
          </w:p>
        </w:tc>
        <w:tc>
          <w:tcPr>
            <w:tcW w:w="1053" w:type="dxa"/>
            <w:vAlign w:val="center"/>
          </w:tcPr>
          <w:p w14:paraId="79E0DCF6">
            <w:pPr>
              <w:spacing w:before="96" w:beforeLines="40" w:after="96" w:afterLines="40" w:line="400" w:lineRule="exact"/>
              <w:jc w:val="center"/>
              <w:rPr>
                <w:rFonts w:ascii="宋体" w:hAnsi="宋体"/>
                <w:szCs w:val="21"/>
              </w:rPr>
            </w:pPr>
          </w:p>
        </w:tc>
        <w:tc>
          <w:tcPr>
            <w:tcW w:w="1040" w:type="dxa"/>
            <w:vAlign w:val="center"/>
          </w:tcPr>
          <w:p w14:paraId="12F69DC6">
            <w:pPr>
              <w:spacing w:before="96" w:beforeLines="40" w:after="96" w:afterLines="40" w:line="400" w:lineRule="exact"/>
              <w:jc w:val="center"/>
              <w:rPr>
                <w:rFonts w:ascii="宋体" w:hAnsi="宋体"/>
                <w:szCs w:val="21"/>
              </w:rPr>
            </w:pPr>
          </w:p>
        </w:tc>
      </w:tr>
      <w:tr w14:paraId="63E0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4BC6630A">
            <w:pPr>
              <w:spacing w:before="96" w:beforeLines="40" w:after="96" w:afterLines="40" w:line="400" w:lineRule="exact"/>
              <w:jc w:val="center"/>
              <w:rPr>
                <w:rFonts w:ascii="宋体" w:hAnsi="宋体"/>
                <w:szCs w:val="21"/>
              </w:rPr>
            </w:pPr>
            <w:r>
              <w:rPr>
                <w:rFonts w:hint="eastAsia" w:ascii="宋体" w:hAnsi="宋体"/>
                <w:szCs w:val="21"/>
              </w:rPr>
              <w:t>……</w:t>
            </w:r>
          </w:p>
        </w:tc>
        <w:tc>
          <w:tcPr>
            <w:tcW w:w="5789" w:type="dxa"/>
            <w:vAlign w:val="center"/>
          </w:tcPr>
          <w:p w14:paraId="16CBE0BF">
            <w:pPr>
              <w:spacing w:before="96" w:beforeLines="40" w:after="96" w:afterLines="40" w:line="400" w:lineRule="exact"/>
              <w:rPr>
                <w:rFonts w:ascii="宋体" w:hAnsi="宋体"/>
                <w:szCs w:val="21"/>
              </w:rPr>
            </w:pPr>
          </w:p>
        </w:tc>
        <w:tc>
          <w:tcPr>
            <w:tcW w:w="1053" w:type="dxa"/>
            <w:vAlign w:val="center"/>
          </w:tcPr>
          <w:p w14:paraId="1C3635D2">
            <w:pPr>
              <w:spacing w:before="96" w:beforeLines="40" w:after="96" w:afterLines="40" w:line="400" w:lineRule="exact"/>
              <w:jc w:val="center"/>
              <w:rPr>
                <w:rFonts w:ascii="宋体" w:hAnsi="宋体"/>
                <w:szCs w:val="21"/>
              </w:rPr>
            </w:pPr>
          </w:p>
        </w:tc>
        <w:tc>
          <w:tcPr>
            <w:tcW w:w="1040" w:type="dxa"/>
            <w:vAlign w:val="center"/>
          </w:tcPr>
          <w:p w14:paraId="7954E244">
            <w:pPr>
              <w:spacing w:before="96" w:beforeLines="40" w:after="96" w:afterLines="40" w:line="400" w:lineRule="exact"/>
              <w:jc w:val="center"/>
              <w:rPr>
                <w:rFonts w:ascii="宋体" w:hAnsi="宋体"/>
                <w:szCs w:val="21"/>
              </w:rPr>
            </w:pPr>
          </w:p>
        </w:tc>
      </w:tr>
      <w:tr w14:paraId="2CDD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Align w:val="center"/>
          </w:tcPr>
          <w:p w14:paraId="4EE12E74">
            <w:pPr>
              <w:spacing w:before="96" w:beforeLines="40" w:after="96" w:afterLines="40" w:line="400" w:lineRule="exact"/>
              <w:jc w:val="center"/>
              <w:rPr>
                <w:rFonts w:ascii="宋体" w:hAnsi="宋体"/>
                <w:szCs w:val="21"/>
              </w:rPr>
            </w:pPr>
          </w:p>
        </w:tc>
        <w:tc>
          <w:tcPr>
            <w:tcW w:w="5789" w:type="dxa"/>
            <w:vAlign w:val="center"/>
          </w:tcPr>
          <w:p w14:paraId="51CD5DEE">
            <w:pPr>
              <w:spacing w:before="96" w:beforeLines="40" w:after="96" w:afterLines="40" w:line="400" w:lineRule="exact"/>
              <w:rPr>
                <w:rFonts w:ascii="宋体" w:hAnsi="宋体"/>
                <w:szCs w:val="21"/>
              </w:rPr>
            </w:pPr>
          </w:p>
        </w:tc>
        <w:tc>
          <w:tcPr>
            <w:tcW w:w="1053" w:type="dxa"/>
            <w:vAlign w:val="center"/>
          </w:tcPr>
          <w:p w14:paraId="4AFF00CB">
            <w:pPr>
              <w:spacing w:before="96" w:beforeLines="40" w:after="96" w:afterLines="40" w:line="400" w:lineRule="exact"/>
              <w:jc w:val="center"/>
              <w:rPr>
                <w:rFonts w:ascii="宋体" w:hAnsi="宋体"/>
                <w:szCs w:val="21"/>
              </w:rPr>
            </w:pPr>
          </w:p>
        </w:tc>
        <w:tc>
          <w:tcPr>
            <w:tcW w:w="1040" w:type="dxa"/>
            <w:vAlign w:val="center"/>
          </w:tcPr>
          <w:p w14:paraId="59EF0B4E">
            <w:pPr>
              <w:spacing w:before="96" w:beforeLines="40" w:after="96" w:afterLines="40" w:line="400" w:lineRule="exact"/>
              <w:jc w:val="center"/>
              <w:rPr>
                <w:rFonts w:ascii="宋体" w:hAnsi="宋体"/>
                <w:szCs w:val="21"/>
              </w:rPr>
            </w:pPr>
          </w:p>
        </w:tc>
      </w:tr>
    </w:tbl>
    <w:p w14:paraId="445B84A2">
      <w:pPr>
        <w:widowControl/>
        <w:rPr>
          <w:rFonts w:ascii="Arial" w:hAnsi="Arial" w:cs="Arial"/>
          <w:b/>
          <w:szCs w:val="21"/>
        </w:rPr>
      </w:pPr>
    </w:p>
    <w:p w14:paraId="661A1E34">
      <w:pPr>
        <w:pStyle w:val="3"/>
        <w:widowControl/>
        <w:spacing w:before="120" w:after="120" w:line="240" w:lineRule="auto"/>
        <w:jc w:val="center"/>
        <w:rPr>
          <w:rStyle w:val="19"/>
          <w:rFonts w:ascii="宋体" w:hAnsi="宋体" w:eastAsia="宋体"/>
          <w:b w:val="0"/>
          <w:bCs/>
          <w:sz w:val="30"/>
          <w:szCs w:val="30"/>
        </w:rPr>
      </w:pPr>
      <w:bookmarkStart w:id="1071" w:name="_Toc466024587"/>
      <w:bookmarkStart w:id="1072" w:name="_Toc9526"/>
      <w:bookmarkStart w:id="1073" w:name="_Toc445554786"/>
      <w:r>
        <w:rPr>
          <w:rStyle w:val="19"/>
          <w:rFonts w:hint="eastAsia" w:ascii="宋体" w:hAnsi="宋体" w:eastAsia="宋体"/>
          <w:b w:val="0"/>
          <w:bCs/>
          <w:sz w:val="30"/>
          <w:szCs w:val="30"/>
        </w:rPr>
        <w:br w:type="page"/>
      </w:r>
      <w:r>
        <w:rPr>
          <w:rStyle w:val="19"/>
          <w:rFonts w:hint="eastAsia" w:ascii="宋体" w:hAnsi="宋体" w:eastAsia="宋体"/>
          <w:b/>
          <w:bCs/>
          <w:sz w:val="30"/>
          <w:szCs w:val="30"/>
        </w:rPr>
        <w:t>一、开标一览表</w:t>
      </w:r>
      <w:bookmarkEnd w:id="1071"/>
      <w:bookmarkEnd w:id="1072"/>
      <w:bookmarkEnd w:id="1073"/>
    </w:p>
    <w:p w14:paraId="7286D2B0">
      <w:pPr>
        <w:widowControl/>
        <w:spacing w:line="333" w:lineRule="atLeast"/>
        <w:jc w:val="right"/>
        <w:rPr>
          <w:rFonts w:ascii="宋体" w:hAnsi="宋体"/>
          <w:kern w:val="0"/>
          <w:szCs w:val="21"/>
        </w:rPr>
      </w:pPr>
      <w:r>
        <w:rPr>
          <w:rFonts w:hint="eastAsia" w:ascii="宋体" w:hAnsi="宋体"/>
          <w:spacing w:val="-1"/>
          <w:kern w:val="0"/>
          <w:position w:val="-4"/>
          <w:szCs w:val="21"/>
        </w:rPr>
        <w:t>货</w:t>
      </w:r>
      <w:r>
        <w:rPr>
          <w:rFonts w:hint="eastAsia" w:ascii="宋体" w:hAnsi="宋体"/>
          <w:kern w:val="0"/>
          <w:position w:val="-4"/>
          <w:szCs w:val="21"/>
        </w:rPr>
        <w:t>币单位</w:t>
      </w:r>
      <w:r>
        <w:rPr>
          <w:rFonts w:hint="eastAsia" w:ascii="宋体" w:hAnsi="宋体"/>
          <w:spacing w:val="-24"/>
          <w:kern w:val="0"/>
          <w:position w:val="-4"/>
          <w:szCs w:val="21"/>
        </w:rPr>
        <w:t>：</w:t>
      </w:r>
      <w:r>
        <w:rPr>
          <w:rFonts w:hint="eastAsia" w:ascii="宋体" w:hAnsi="宋体"/>
          <w:kern w:val="0"/>
          <w:position w:val="-4"/>
          <w:szCs w:val="21"/>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68C4C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vAlign w:val="center"/>
          </w:tcPr>
          <w:p w14:paraId="070AA11D">
            <w:pPr>
              <w:widowControl/>
              <w:adjustRightInd w:val="0"/>
              <w:snapToGrid w:val="0"/>
              <w:jc w:val="center"/>
              <w:rPr>
                <w:rFonts w:ascii="宋体" w:hAnsi="宋体"/>
                <w:b/>
                <w:kern w:val="0"/>
                <w:szCs w:val="21"/>
              </w:rPr>
            </w:pPr>
            <w:r>
              <w:rPr>
                <w:rFonts w:hint="eastAsia" w:ascii="宋体" w:hAnsi="宋体"/>
                <w:b/>
                <w:kern w:val="0"/>
                <w:szCs w:val="21"/>
              </w:rPr>
              <w:t>序号</w:t>
            </w:r>
          </w:p>
        </w:tc>
        <w:tc>
          <w:tcPr>
            <w:tcW w:w="2715" w:type="dxa"/>
            <w:vAlign w:val="center"/>
          </w:tcPr>
          <w:p w14:paraId="45F1A8E3">
            <w:pPr>
              <w:widowControl/>
              <w:adjustRightInd w:val="0"/>
              <w:snapToGrid w:val="0"/>
              <w:jc w:val="center"/>
              <w:rPr>
                <w:rFonts w:ascii="宋体" w:hAnsi="宋体"/>
                <w:b/>
                <w:kern w:val="0"/>
                <w:szCs w:val="21"/>
              </w:rPr>
            </w:pPr>
            <w:r>
              <w:rPr>
                <w:rFonts w:hint="eastAsia" w:ascii="宋体" w:hAnsi="宋体"/>
                <w:b/>
                <w:kern w:val="0"/>
                <w:szCs w:val="21"/>
              </w:rPr>
              <w:t>项目</w:t>
            </w:r>
          </w:p>
        </w:tc>
        <w:tc>
          <w:tcPr>
            <w:tcW w:w="6095" w:type="dxa"/>
            <w:vAlign w:val="center"/>
          </w:tcPr>
          <w:p w14:paraId="225D2617">
            <w:pPr>
              <w:widowControl/>
              <w:adjustRightInd w:val="0"/>
              <w:snapToGrid w:val="0"/>
              <w:jc w:val="center"/>
              <w:rPr>
                <w:rFonts w:ascii="宋体" w:hAnsi="宋体"/>
                <w:b/>
                <w:kern w:val="0"/>
                <w:szCs w:val="21"/>
              </w:rPr>
            </w:pPr>
            <w:r>
              <w:rPr>
                <w:rFonts w:hint="eastAsia" w:ascii="宋体" w:hAnsi="宋体"/>
                <w:b/>
                <w:kern w:val="0"/>
                <w:szCs w:val="21"/>
              </w:rPr>
              <w:t>内容</w:t>
            </w:r>
          </w:p>
        </w:tc>
      </w:tr>
      <w:tr w14:paraId="4BE1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vAlign w:val="center"/>
          </w:tcPr>
          <w:p w14:paraId="44656A53">
            <w:pPr>
              <w:widowControl/>
              <w:adjustRightInd w:val="0"/>
              <w:snapToGrid w:val="0"/>
              <w:jc w:val="center"/>
              <w:rPr>
                <w:rFonts w:ascii="宋体" w:hAnsi="宋体"/>
                <w:kern w:val="0"/>
                <w:szCs w:val="21"/>
              </w:rPr>
            </w:pPr>
            <w:r>
              <w:rPr>
                <w:rFonts w:hint="eastAsia" w:ascii="宋体" w:hAnsi="宋体"/>
                <w:kern w:val="0"/>
                <w:szCs w:val="21"/>
              </w:rPr>
              <w:t>1</w:t>
            </w:r>
          </w:p>
        </w:tc>
        <w:tc>
          <w:tcPr>
            <w:tcW w:w="2715" w:type="dxa"/>
            <w:vAlign w:val="center"/>
          </w:tcPr>
          <w:p w14:paraId="72574699">
            <w:pPr>
              <w:widowControl/>
              <w:adjustRightInd w:val="0"/>
              <w:snapToGrid w:val="0"/>
              <w:jc w:val="center"/>
              <w:rPr>
                <w:rFonts w:ascii="宋体" w:hAnsi="宋体"/>
                <w:kern w:val="0"/>
                <w:szCs w:val="21"/>
              </w:rPr>
            </w:pPr>
            <w:r>
              <w:rPr>
                <w:rFonts w:hint="eastAsia" w:ascii="宋体" w:hAnsi="宋体"/>
                <w:kern w:val="0"/>
                <w:szCs w:val="21"/>
              </w:rPr>
              <w:t>项目名称</w:t>
            </w:r>
          </w:p>
        </w:tc>
        <w:tc>
          <w:tcPr>
            <w:tcW w:w="6095" w:type="dxa"/>
            <w:vAlign w:val="center"/>
          </w:tcPr>
          <w:p w14:paraId="0FC468C6">
            <w:pPr>
              <w:widowControl/>
              <w:adjustRightInd w:val="0"/>
              <w:snapToGrid w:val="0"/>
              <w:rPr>
                <w:rFonts w:ascii="宋体" w:hAnsi="宋体"/>
                <w:kern w:val="0"/>
                <w:szCs w:val="21"/>
              </w:rPr>
            </w:pPr>
          </w:p>
        </w:tc>
      </w:tr>
      <w:tr w14:paraId="46170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vAlign w:val="center"/>
          </w:tcPr>
          <w:p w14:paraId="4EE099A1">
            <w:pPr>
              <w:widowControl/>
              <w:adjustRightInd w:val="0"/>
              <w:snapToGrid w:val="0"/>
              <w:jc w:val="center"/>
              <w:rPr>
                <w:rFonts w:ascii="宋体" w:hAnsi="宋体"/>
                <w:kern w:val="0"/>
                <w:szCs w:val="21"/>
              </w:rPr>
            </w:pPr>
            <w:r>
              <w:rPr>
                <w:rFonts w:hint="eastAsia" w:ascii="宋体" w:hAnsi="宋体"/>
                <w:kern w:val="0"/>
                <w:szCs w:val="21"/>
              </w:rPr>
              <w:t>2</w:t>
            </w:r>
          </w:p>
        </w:tc>
        <w:tc>
          <w:tcPr>
            <w:tcW w:w="2715" w:type="dxa"/>
            <w:vAlign w:val="center"/>
          </w:tcPr>
          <w:p w14:paraId="59F8343A">
            <w:pPr>
              <w:widowControl/>
              <w:adjustRightInd w:val="0"/>
              <w:snapToGrid w:val="0"/>
              <w:jc w:val="center"/>
              <w:rPr>
                <w:rFonts w:ascii="宋体" w:hAnsi="宋体"/>
                <w:kern w:val="0"/>
                <w:szCs w:val="21"/>
              </w:rPr>
            </w:pPr>
            <w:r>
              <w:rPr>
                <w:rFonts w:hint="eastAsia" w:ascii="宋体" w:hAnsi="宋体"/>
                <w:kern w:val="0"/>
                <w:szCs w:val="21"/>
              </w:rPr>
              <w:t>招标编号</w:t>
            </w:r>
          </w:p>
        </w:tc>
        <w:tc>
          <w:tcPr>
            <w:tcW w:w="6095" w:type="dxa"/>
            <w:vAlign w:val="center"/>
          </w:tcPr>
          <w:p w14:paraId="050A3573">
            <w:pPr>
              <w:widowControl/>
              <w:adjustRightInd w:val="0"/>
              <w:snapToGrid w:val="0"/>
              <w:rPr>
                <w:rFonts w:ascii="宋体" w:hAnsi="宋体"/>
                <w:kern w:val="0"/>
                <w:szCs w:val="21"/>
              </w:rPr>
            </w:pPr>
          </w:p>
        </w:tc>
      </w:tr>
      <w:tr w14:paraId="18EFF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vAlign w:val="center"/>
          </w:tcPr>
          <w:p w14:paraId="2C8E4A2C">
            <w:pPr>
              <w:widowControl/>
              <w:adjustRightInd w:val="0"/>
              <w:snapToGrid w:val="0"/>
              <w:jc w:val="center"/>
              <w:rPr>
                <w:rFonts w:ascii="宋体" w:hAnsi="宋体"/>
                <w:kern w:val="0"/>
                <w:szCs w:val="21"/>
              </w:rPr>
            </w:pPr>
            <w:r>
              <w:rPr>
                <w:rFonts w:hint="eastAsia" w:ascii="宋体" w:hAnsi="宋体"/>
                <w:kern w:val="0"/>
                <w:szCs w:val="21"/>
              </w:rPr>
              <w:t>3</w:t>
            </w:r>
          </w:p>
        </w:tc>
        <w:tc>
          <w:tcPr>
            <w:tcW w:w="2715" w:type="dxa"/>
            <w:vAlign w:val="center"/>
          </w:tcPr>
          <w:p w14:paraId="75E6E05D">
            <w:pPr>
              <w:widowControl/>
              <w:adjustRightInd w:val="0"/>
              <w:snapToGrid w:val="0"/>
              <w:jc w:val="center"/>
              <w:rPr>
                <w:rFonts w:ascii="宋体" w:hAnsi="宋体"/>
                <w:kern w:val="0"/>
                <w:szCs w:val="21"/>
              </w:rPr>
            </w:pPr>
            <w:r>
              <w:rPr>
                <w:rFonts w:hint="eastAsia" w:ascii="宋体" w:hAnsi="宋体"/>
                <w:kern w:val="0"/>
                <w:szCs w:val="21"/>
              </w:rPr>
              <w:t>分包号（无分包，不填写）</w:t>
            </w:r>
          </w:p>
        </w:tc>
        <w:tc>
          <w:tcPr>
            <w:tcW w:w="6095" w:type="dxa"/>
            <w:vAlign w:val="center"/>
          </w:tcPr>
          <w:p w14:paraId="022B0A18">
            <w:pPr>
              <w:widowControl/>
              <w:adjustRightInd w:val="0"/>
              <w:snapToGrid w:val="0"/>
              <w:rPr>
                <w:rFonts w:ascii="宋体" w:hAnsi="宋体"/>
                <w:kern w:val="0"/>
                <w:szCs w:val="21"/>
              </w:rPr>
            </w:pPr>
          </w:p>
        </w:tc>
      </w:tr>
      <w:tr w14:paraId="5B91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1" w:hRule="atLeast"/>
        </w:trPr>
        <w:tc>
          <w:tcPr>
            <w:tcW w:w="728" w:type="dxa"/>
            <w:vAlign w:val="center"/>
          </w:tcPr>
          <w:p w14:paraId="103A04FA">
            <w:pPr>
              <w:widowControl/>
              <w:adjustRightInd w:val="0"/>
              <w:snapToGrid w:val="0"/>
              <w:jc w:val="center"/>
              <w:rPr>
                <w:rFonts w:ascii="宋体" w:hAnsi="宋体"/>
                <w:kern w:val="0"/>
                <w:szCs w:val="21"/>
              </w:rPr>
            </w:pPr>
            <w:r>
              <w:rPr>
                <w:rFonts w:hint="eastAsia" w:ascii="宋体" w:hAnsi="宋体"/>
                <w:kern w:val="0"/>
                <w:szCs w:val="21"/>
              </w:rPr>
              <w:t>4</w:t>
            </w:r>
          </w:p>
        </w:tc>
        <w:tc>
          <w:tcPr>
            <w:tcW w:w="2715" w:type="dxa"/>
            <w:vAlign w:val="center"/>
          </w:tcPr>
          <w:p w14:paraId="1CC7C77E">
            <w:pPr>
              <w:widowControl/>
              <w:adjustRightInd w:val="0"/>
              <w:snapToGrid w:val="0"/>
              <w:jc w:val="center"/>
              <w:rPr>
                <w:rFonts w:ascii="宋体" w:hAnsi="宋体"/>
                <w:kern w:val="0"/>
                <w:szCs w:val="21"/>
              </w:rPr>
            </w:pPr>
            <w:r>
              <w:rPr>
                <w:rFonts w:hint="eastAsia" w:ascii="宋体" w:hAnsi="宋体"/>
                <w:kern w:val="0"/>
                <w:szCs w:val="21"/>
              </w:rPr>
              <w:t>投标总价（元/年）</w:t>
            </w:r>
          </w:p>
        </w:tc>
        <w:tc>
          <w:tcPr>
            <w:tcW w:w="6095" w:type="dxa"/>
            <w:vAlign w:val="center"/>
          </w:tcPr>
          <w:p w14:paraId="2825E54A">
            <w:pPr>
              <w:widowControl/>
              <w:adjustRightInd w:val="0"/>
              <w:snapToGrid w:val="0"/>
              <w:rPr>
                <w:rFonts w:ascii="宋体" w:hAnsi="宋体"/>
                <w:kern w:val="0"/>
                <w:szCs w:val="21"/>
                <w:u w:val="single"/>
              </w:rPr>
            </w:pPr>
            <w:r>
              <w:rPr>
                <w:rFonts w:hint="eastAsia" w:ascii="宋体" w:hAnsi="宋体"/>
                <w:kern w:val="0"/>
                <w:szCs w:val="21"/>
              </w:rPr>
              <w:t>大写：</w:t>
            </w:r>
          </w:p>
          <w:p w14:paraId="4D8BEDDF">
            <w:pPr>
              <w:widowControl/>
              <w:adjustRightInd w:val="0"/>
              <w:snapToGrid w:val="0"/>
              <w:rPr>
                <w:rFonts w:ascii="宋体" w:hAnsi="宋体"/>
                <w:kern w:val="0"/>
                <w:szCs w:val="21"/>
              </w:rPr>
            </w:pPr>
          </w:p>
          <w:p w14:paraId="2252064B">
            <w:pPr>
              <w:widowControl/>
              <w:adjustRightInd w:val="0"/>
              <w:snapToGrid w:val="0"/>
              <w:rPr>
                <w:rFonts w:ascii="宋体" w:hAnsi="宋体"/>
                <w:kern w:val="0"/>
                <w:szCs w:val="21"/>
              </w:rPr>
            </w:pPr>
            <w:r>
              <w:rPr>
                <w:rFonts w:hint="eastAsia" w:ascii="宋体" w:hAnsi="宋体"/>
                <w:kern w:val="0"/>
                <w:szCs w:val="21"/>
              </w:rPr>
              <w:t>小写：</w:t>
            </w:r>
          </w:p>
        </w:tc>
      </w:tr>
      <w:tr w14:paraId="7E4A2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vAlign w:val="center"/>
          </w:tcPr>
          <w:p w14:paraId="4FBD43B7">
            <w:pPr>
              <w:widowControl/>
              <w:adjustRightInd w:val="0"/>
              <w:snapToGrid w:val="0"/>
              <w:jc w:val="center"/>
              <w:rPr>
                <w:rFonts w:hint="eastAsia" w:ascii="宋体" w:hAnsi="宋体" w:eastAsia="宋体"/>
                <w:kern w:val="0"/>
                <w:szCs w:val="21"/>
                <w:lang w:eastAsia="zh-CN"/>
              </w:rPr>
            </w:pPr>
            <w:r>
              <w:rPr>
                <w:rFonts w:hint="eastAsia" w:ascii="宋体" w:hAnsi="宋体"/>
                <w:kern w:val="0"/>
                <w:szCs w:val="21"/>
                <w:lang w:val="en-US" w:eastAsia="zh-CN"/>
              </w:rPr>
              <w:t>5</w:t>
            </w:r>
          </w:p>
        </w:tc>
        <w:tc>
          <w:tcPr>
            <w:tcW w:w="2715" w:type="dxa"/>
            <w:vAlign w:val="center"/>
          </w:tcPr>
          <w:p w14:paraId="7DCF349E">
            <w:pPr>
              <w:widowControl/>
              <w:adjustRightInd w:val="0"/>
              <w:snapToGrid w:val="0"/>
              <w:jc w:val="center"/>
              <w:rPr>
                <w:rFonts w:ascii="宋体" w:hAnsi="宋体"/>
                <w:kern w:val="0"/>
                <w:szCs w:val="21"/>
              </w:rPr>
            </w:pPr>
            <w:r>
              <w:rPr>
                <w:rFonts w:hint="eastAsia" w:ascii="宋体" w:hAnsi="宋体"/>
                <w:kern w:val="0"/>
                <w:szCs w:val="21"/>
              </w:rPr>
              <w:t>服务期限</w:t>
            </w:r>
          </w:p>
        </w:tc>
        <w:tc>
          <w:tcPr>
            <w:tcW w:w="6095" w:type="dxa"/>
            <w:vAlign w:val="center"/>
          </w:tcPr>
          <w:p w14:paraId="6233C239">
            <w:pPr>
              <w:widowControl/>
              <w:adjustRightInd w:val="0"/>
              <w:snapToGrid w:val="0"/>
              <w:rPr>
                <w:rFonts w:ascii="宋体" w:hAnsi="宋体"/>
                <w:kern w:val="0"/>
                <w:szCs w:val="21"/>
              </w:rPr>
            </w:pPr>
            <w:r>
              <w:rPr>
                <w:rFonts w:hint="eastAsia" w:ascii="宋体" w:hAnsi="宋体"/>
                <w:kern w:val="0"/>
                <w:szCs w:val="21"/>
              </w:rPr>
              <w:t>响应招标文件要求</w:t>
            </w:r>
          </w:p>
        </w:tc>
      </w:tr>
      <w:tr w14:paraId="46DB4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vAlign w:val="center"/>
          </w:tcPr>
          <w:p w14:paraId="66E89842">
            <w:pPr>
              <w:widowControl/>
              <w:adjustRightInd w:val="0"/>
              <w:snapToGrid w:val="0"/>
              <w:jc w:val="center"/>
              <w:rPr>
                <w:rFonts w:ascii="宋体" w:hAnsi="宋体"/>
                <w:kern w:val="0"/>
                <w:szCs w:val="21"/>
              </w:rPr>
            </w:pPr>
            <w:r>
              <w:rPr>
                <w:rFonts w:hint="eastAsia" w:ascii="宋体" w:hAnsi="宋体"/>
                <w:kern w:val="0"/>
                <w:szCs w:val="21"/>
              </w:rPr>
              <w:t>…</w:t>
            </w:r>
          </w:p>
        </w:tc>
        <w:tc>
          <w:tcPr>
            <w:tcW w:w="2715" w:type="dxa"/>
            <w:vAlign w:val="center"/>
          </w:tcPr>
          <w:p w14:paraId="45FE3E2A">
            <w:pPr>
              <w:widowControl/>
              <w:adjustRightInd w:val="0"/>
              <w:snapToGrid w:val="0"/>
              <w:jc w:val="center"/>
              <w:rPr>
                <w:rFonts w:ascii="宋体" w:hAnsi="宋体"/>
                <w:kern w:val="0"/>
                <w:szCs w:val="21"/>
              </w:rPr>
            </w:pPr>
          </w:p>
        </w:tc>
        <w:tc>
          <w:tcPr>
            <w:tcW w:w="6095" w:type="dxa"/>
            <w:vAlign w:val="center"/>
          </w:tcPr>
          <w:p w14:paraId="55217054">
            <w:pPr>
              <w:widowControl/>
              <w:adjustRightInd w:val="0"/>
              <w:snapToGrid w:val="0"/>
              <w:jc w:val="center"/>
              <w:rPr>
                <w:rFonts w:ascii="宋体" w:hAnsi="宋体"/>
                <w:kern w:val="0"/>
                <w:szCs w:val="21"/>
              </w:rPr>
            </w:pPr>
          </w:p>
        </w:tc>
      </w:tr>
    </w:tbl>
    <w:p w14:paraId="7372AC1B">
      <w:pPr>
        <w:widowControl/>
        <w:spacing w:line="200" w:lineRule="atLeast"/>
        <w:rPr>
          <w:rFonts w:ascii="宋体" w:hAnsi="宋体"/>
          <w:kern w:val="0"/>
          <w:szCs w:val="21"/>
        </w:rPr>
      </w:pPr>
    </w:p>
    <w:p w14:paraId="7165790F">
      <w:pPr>
        <w:widowControl/>
        <w:spacing w:before="18" w:line="280" w:lineRule="atLeast"/>
        <w:rPr>
          <w:rFonts w:ascii="宋体" w:hAnsi="宋体"/>
          <w:kern w:val="0"/>
          <w:szCs w:val="21"/>
        </w:rPr>
      </w:pPr>
    </w:p>
    <w:p w14:paraId="75C4B3F5">
      <w:pPr>
        <w:widowControl/>
        <w:spacing w:line="360" w:lineRule="auto"/>
        <w:ind w:left="2977" w:right="-20"/>
        <w:rPr>
          <w:rFonts w:ascii="宋体" w:hAnsi="宋体"/>
          <w:b/>
          <w:szCs w:val="21"/>
        </w:rPr>
      </w:pPr>
    </w:p>
    <w:p w14:paraId="4BEBEEE5">
      <w:pPr>
        <w:widowControl/>
        <w:spacing w:line="360" w:lineRule="auto"/>
        <w:ind w:left="2977" w:right="-20"/>
        <w:rPr>
          <w:rFonts w:ascii="宋体" w:hAnsi="宋体"/>
          <w:b/>
          <w:szCs w:val="21"/>
        </w:rPr>
      </w:pPr>
    </w:p>
    <w:p w14:paraId="742FF6EA">
      <w:pPr>
        <w:widowControl/>
        <w:spacing w:line="360" w:lineRule="auto"/>
        <w:ind w:left="2977" w:right="-20"/>
        <w:rPr>
          <w:rFonts w:ascii="宋体" w:hAnsi="宋体"/>
          <w:b/>
          <w:szCs w:val="21"/>
        </w:rPr>
      </w:pPr>
    </w:p>
    <w:p w14:paraId="0BC18F02">
      <w:pPr>
        <w:widowControl/>
        <w:spacing w:line="360" w:lineRule="auto"/>
        <w:ind w:left="2977" w:right="-20"/>
        <w:rPr>
          <w:rFonts w:ascii="宋体" w:hAnsi="宋体"/>
          <w:b/>
          <w:szCs w:val="21"/>
        </w:rPr>
      </w:pPr>
      <w:r>
        <w:rPr>
          <w:rFonts w:hint="eastAsia" w:ascii="宋体" w:hAnsi="宋体"/>
          <w:b/>
          <w:szCs w:val="21"/>
        </w:rPr>
        <w:t>投标供应商（盖章）：</w:t>
      </w:r>
    </w:p>
    <w:p w14:paraId="3CC61108">
      <w:pPr>
        <w:widowControl/>
        <w:spacing w:line="360" w:lineRule="auto"/>
        <w:ind w:left="2977" w:right="-20"/>
        <w:rPr>
          <w:rFonts w:ascii="宋体" w:hAnsi="宋体"/>
          <w:b/>
          <w:szCs w:val="21"/>
        </w:rPr>
      </w:pPr>
    </w:p>
    <w:p w14:paraId="3C96F47C">
      <w:pPr>
        <w:widowControl/>
        <w:spacing w:before="34"/>
        <w:ind w:left="5516" w:right="-20"/>
        <w:rPr>
          <w:rFonts w:ascii="宋体" w:hAnsi="宋体"/>
          <w:kern w:val="0"/>
          <w:szCs w:val="21"/>
        </w:rPr>
        <w:sectPr>
          <w:footnotePr>
            <w:numFmt w:val="decimalEnclosedCircleChinese"/>
            <w:numRestart w:val="eachPage"/>
          </w:footnotePr>
          <w:pgSz w:w="11906" w:h="16838"/>
          <w:pgMar w:top="1134" w:right="1134" w:bottom="1134" w:left="1134" w:header="851" w:footer="851" w:gutter="0"/>
          <w:cols w:space="720" w:num="1"/>
          <w:docGrid w:linePitch="286" w:charSpace="0"/>
        </w:sectPr>
      </w:pPr>
      <w:r>
        <w:rPr>
          <w:rFonts w:hint="eastAsia" w:ascii="宋体" w:hAnsi="宋体"/>
          <w:kern w:val="0"/>
          <w:szCs w:val="21"/>
        </w:rPr>
        <w:t>年月日</w:t>
      </w:r>
    </w:p>
    <w:p w14:paraId="5CBBBE71">
      <w:pPr>
        <w:pStyle w:val="3"/>
        <w:widowControl/>
        <w:spacing w:before="120" w:after="120" w:line="240" w:lineRule="auto"/>
        <w:jc w:val="center"/>
        <w:rPr>
          <w:rStyle w:val="19"/>
          <w:rFonts w:ascii="宋体" w:hAnsi="宋体" w:eastAsia="宋体"/>
          <w:b/>
          <w:bCs/>
          <w:sz w:val="30"/>
          <w:szCs w:val="30"/>
        </w:rPr>
      </w:pPr>
      <w:bookmarkStart w:id="1074" w:name="_Toc466024588"/>
      <w:bookmarkStart w:id="1075" w:name="_Toc19557"/>
      <w:bookmarkStart w:id="1076" w:name="_Toc445554787"/>
      <w:r>
        <w:rPr>
          <w:rStyle w:val="19"/>
          <w:rFonts w:hint="eastAsia" w:ascii="宋体" w:hAnsi="宋体" w:eastAsia="宋体"/>
          <w:b/>
          <w:bCs/>
          <w:sz w:val="30"/>
          <w:szCs w:val="30"/>
        </w:rPr>
        <w:t>二、分项报价表</w:t>
      </w:r>
      <w:bookmarkEnd w:id="1074"/>
      <w:bookmarkEnd w:id="1075"/>
      <w:bookmarkEnd w:id="1076"/>
    </w:p>
    <w:p w14:paraId="733AD034">
      <w:pPr>
        <w:rPr>
          <w:rFonts w:ascii="宋体" w:hAnsi="宋体"/>
          <w:szCs w:val="22"/>
        </w:rPr>
      </w:pPr>
      <w:r>
        <w:rPr>
          <w:rFonts w:hint="eastAsia" w:ascii="宋体" w:hAnsi="宋体"/>
          <w:szCs w:val="22"/>
        </w:rPr>
        <w:t>招标项目编号：标包号：</w:t>
      </w:r>
    </w:p>
    <w:tbl>
      <w:tblPr>
        <w:tblStyle w:val="14"/>
        <w:tblpPr w:leftFromText="180" w:rightFromText="180" w:vertAnchor="text" w:horzAnchor="page" w:tblpXSpec="center" w:tblpY="228"/>
        <w:tblOverlap w:val="never"/>
        <w:tblW w:w="13485" w:type="dxa"/>
        <w:jc w:val="center"/>
        <w:tblLayout w:type="fixed"/>
        <w:tblCellMar>
          <w:top w:w="0" w:type="dxa"/>
          <w:left w:w="108" w:type="dxa"/>
          <w:bottom w:w="0" w:type="dxa"/>
          <w:right w:w="108" w:type="dxa"/>
        </w:tblCellMar>
      </w:tblPr>
      <w:tblGrid>
        <w:gridCol w:w="480"/>
        <w:gridCol w:w="678"/>
        <w:gridCol w:w="480"/>
        <w:gridCol w:w="762"/>
        <w:gridCol w:w="830"/>
        <w:gridCol w:w="762"/>
        <w:gridCol w:w="764"/>
        <w:gridCol w:w="539"/>
        <w:gridCol w:w="655"/>
        <w:gridCol w:w="490"/>
        <w:gridCol w:w="640"/>
        <w:gridCol w:w="945"/>
        <w:gridCol w:w="730"/>
        <w:gridCol w:w="530"/>
        <w:gridCol w:w="800"/>
        <w:gridCol w:w="790"/>
        <w:gridCol w:w="670"/>
        <w:gridCol w:w="670"/>
        <w:gridCol w:w="560"/>
        <w:gridCol w:w="710"/>
      </w:tblGrid>
      <w:tr w14:paraId="66A2E26D">
        <w:tblPrEx>
          <w:tblCellMar>
            <w:top w:w="0" w:type="dxa"/>
            <w:left w:w="108" w:type="dxa"/>
            <w:bottom w:w="0" w:type="dxa"/>
            <w:right w:w="108" w:type="dxa"/>
          </w:tblCellMar>
        </w:tblPrEx>
        <w:trPr>
          <w:trHeight w:val="27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00256A12">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w:t>
            </w:r>
          </w:p>
        </w:tc>
        <w:tc>
          <w:tcPr>
            <w:tcW w:w="678" w:type="dxa"/>
            <w:tcBorders>
              <w:top w:val="single" w:color="auto" w:sz="4" w:space="0"/>
              <w:left w:val="single" w:color="auto" w:sz="4" w:space="0"/>
              <w:bottom w:val="single" w:color="auto" w:sz="4" w:space="0"/>
              <w:right w:val="single" w:color="auto" w:sz="4" w:space="0"/>
            </w:tcBorders>
            <w:vAlign w:val="center"/>
          </w:tcPr>
          <w:p w14:paraId="6F35D8B5">
            <w:pPr>
              <w:widowControl/>
              <w:adjustRightInd w:val="0"/>
              <w:snapToGrid w:val="0"/>
              <w:jc w:val="center"/>
              <w:rPr>
                <w:rFonts w:ascii="宋体" w:hAnsi="宋体" w:cs="宋体"/>
                <w:kern w:val="0"/>
                <w:sz w:val="15"/>
                <w:szCs w:val="15"/>
              </w:rPr>
            </w:pPr>
            <w:r>
              <w:rPr>
                <w:rFonts w:hint="eastAsia" w:ascii="宋体" w:hAnsi="宋体" w:cs="宋体"/>
                <w:kern w:val="0"/>
                <w:sz w:val="15"/>
                <w:szCs w:val="15"/>
              </w:rPr>
              <w:t>2</w:t>
            </w:r>
          </w:p>
        </w:tc>
        <w:tc>
          <w:tcPr>
            <w:tcW w:w="480" w:type="dxa"/>
            <w:tcBorders>
              <w:top w:val="single" w:color="auto" w:sz="4" w:space="0"/>
              <w:left w:val="single" w:color="auto" w:sz="4" w:space="0"/>
              <w:bottom w:val="single" w:color="auto" w:sz="4" w:space="0"/>
              <w:right w:val="single" w:color="auto" w:sz="4" w:space="0"/>
            </w:tcBorders>
            <w:vAlign w:val="center"/>
          </w:tcPr>
          <w:p w14:paraId="4788A2A9">
            <w:pPr>
              <w:widowControl/>
              <w:adjustRightInd w:val="0"/>
              <w:snapToGrid w:val="0"/>
              <w:jc w:val="center"/>
              <w:rPr>
                <w:rFonts w:ascii="宋体" w:hAnsi="宋体" w:cs="宋体"/>
                <w:kern w:val="0"/>
                <w:sz w:val="15"/>
                <w:szCs w:val="15"/>
              </w:rPr>
            </w:pPr>
            <w:r>
              <w:rPr>
                <w:rFonts w:hint="eastAsia" w:ascii="宋体" w:hAnsi="宋体" w:cs="宋体"/>
                <w:kern w:val="0"/>
                <w:sz w:val="15"/>
                <w:szCs w:val="15"/>
              </w:rPr>
              <w:t>3</w:t>
            </w:r>
          </w:p>
        </w:tc>
        <w:tc>
          <w:tcPr>
            <w:tcW w:w="762" w:type="dxa"/>
            <w:tcBorders>
              <w:top w:val="single" w:color="auto" w:sz="4" w:space="0"/>
              <w:left w:val="nil"/>
              <w:bottom w:val="single" w:color="auto" w:sz="4" w:space="0"/>
              <w:right w:val="single" w:color="auto" w:sz="4" w:space="0"/>
            </w:tcBorders>
            <w:noWrap/>
            <w:vAlign w:val="center"/>
          </w:tcPr>
          <w:p w14:paraId="70ACAE82">
            <w:pPr>
              <w:widowControl/>
              <w:adjustRightInd w:val="0"/>
              <w:snapToGrid w:val="0"/>
              <w:jc w:val="center"/>
              <w:rPr>
                <w:rFonts w:ascii="宋体" w:hAnsi="宋体" w:cs="宋体"/>
                <w:kern w:val="0"/>
                <w:sz w:val="15"/>
                <w:szCs w:val="15"/>
              </w:rPr>
            </w:pPr>
            <w:r>
              <w:rPr>
                <w:rFonts w:hint="eastAsia" w:ascii="宋体" w:hAnsi="宋体" w:cs="宋体"/>
                <w:kern w:val="0"/>
                <w:sz w:val="15"/>
                <w:szCs w:val="15"/>
              </w:rPr>
              <w:t>4</w:t>
            </w:r>
          </w:p>
        </w:tc>
        <w:tc>
          <w:tcPr>
            <w:tcW w:w="830" w:type="dxa"/>
            <w:tcBorders>
              <w:top w:val="single" w:color="auto" w:sz="4" w:space="0"/>
              <w:left w:val="nil"/>
              <w:bottom w:val="single" w:color="auto" w:sz="4" w:space="0"/>
              <w:right w:val="single" w:color="auto" w:sz="4" w:space="0"/>
            </w:tcBorders>
            <w:noWrap/>
            <w:vAlign w:val="center"/>
          </w:tcPr>
          <w:p w14:paraId="4028DC1B">
            <w:pPr>
              <w:widowControl/>
              <w:adjustRightInd w:val="0"/>
              <w:snapToGrid w:val="0"/>
              <w:jc w:val="center"/>
              <w:rPr>
                <w:rFonts w:ascii="宋体" w:hAnsi="宋体" w:cs="宋体"/>
                <w:kern w:val="0"/>
                <w:sz w:val="15"/>
                <w:szCs w:val="15"/>
              </w:rPr>
            </w:pPr>
            <w:r>
              <w:rPr>
                <w:rFonts w:hint="eastAsia" w:ascii="宋体" w:hAnsi="宋体" w:cs="宋体"/>
                <w:kern w:val="0"/>
                <w:sz w:val="15"/>
                <w:szCs w:val="15"/>
              </w:rPr>
              <w:t>5</w:t>
            </w:r>
          </w:p>
        </w:tc>
        <w:tc>
          <w:tcPr>
            <w:tcW w:w="762" w:type="dxa"/>
            <w:tcBorders>
              <w:top w:val="single" w:color="auto" w:sz="4" w:space="0"/>
              <w:left w:val="nil"/>
              <w:bottom w:val="single" w:color="auto" w:sz="4" w:space="0"/>
              <w:right w:val="single" w:color="auto" w:sz="4" w:space="0"/>
            </w:tcBorders>
            <w:noWrap/>
            <w:vAlign w:val="center"/>
          </w:tcPr>
          <w:p w14:paraId="46B192EE">
            <w:pPr>
              <w:widowControl/>
              <w:adjustRightInd w:val="0"/>
              <w:snapToGrid w:val="0"/>
              <w:jc w:val="center"/>
              <w:rPr>
                <w:rFonts w:ascii="宋体" w:hAnsi="宋体" w:cs="宋体"/>
                <w:kern w:val="0"/>
                <w:sz w:val="15"/>
                <w:szCs w:val="15"/>
              </w:rPr>
            </w:pPr>
            <w:r>
              <w:rPr>
                <w:rFonts w:hint="eastAsia" w:ascii="宋体" w:hAnsi="宋体" w:cs="宋体"/>
                <w:kern w:val="0"/>
                <w:sz w:val="15"/>
                <w:szCs w:val="15"/>
              </w:rPr>
              <w:t>6</w:t>
            </w:r>
          </w:p>
        </w:tc>
        <w:tc>
          <w:tcPr>
            <w:tcW w:w="764" w:type="dxa"/>
            <w:tcBorders>
              <w:top w:val="single" w:color="auto" w:sz="4" w:space="0"/>
              <w:left w:val="nil"/>
              <w:bottom w:val="single" w:color="auto" w:sz="4" w:space="0"/>
              <w:right w:val="single" w:color="auto" w:sz="4" w:space="0"/>
            </w:tcBorders>
            <w:noWrap/>
            <w:vAlign w:val="center"/>
          </w:tcPr>
          <w:p w14:paraId="26FC9302">
            <w:pPr>
              <w:widowControl/>
              <w:adjustRightInd w:val="0"/>
              <w:snapToGrid w:val="0"/>
              <w:jc w:val="center"/>
              <w:rPr>
                <w:rFonts w:ascii="宋体" w:hAnsi="宋体" w:cs="宋体"/>
                <w:kern w:val="0"/>
                <w:sz w:val="15"/>
                <w:szCs w:val="15"/>
              </w:rPr>
            </w:pPr>
            <w:r>
              <w:rPr>
                <w:rFonts w:hint="eastAsia" w:ascii="宋体" w:hAnsi="宋体" w:cs="宋体"/>
                <w:kern w:val="0"/>
                <w:sz w:val="15"/>
                <w:szCs w:val="15"/>
              </w:rPr>
              <w:t>7</w:t>
            </w:r>
          </w:p>
        </w:tc>
        <w:tc>
          <w:tcPr>
            <w:tcW w:w="539" w:type="dxa"/>
            <w:tcBorders>
              <w:top w:val="single" w:color="auto" w:sz="4" w:space="0"/>
              <w:left w:val="nil"/>
              <w:bottom w:val="single" w:color="auto" w:sz="4" w:space="0"/>
              <w:right w:val="single" w:color="auto" w:sz="4" w:space="0"/>
            </w:tcBorders>
            <w:noWrap/>
            <w:vAlign w:val="center"/>
          </w:tcPr>
          <w:p w14:paraId="7729BEE1">
            <w:pPr>
              <w:widowControl/>
              <w:adjustRightInd w:val="0"/>
              <w:snapToGrid w:val="0"/>
              <w:jc w:val="center"/>
              <w:rPr>
                <w:rFonts w:ascii="宋体" w:hAnsi="宋体" w:cs="宋体"/>
                <w:kern w:val="0"/>
                <w:sz w:val="15"/>
                <w:szCs w:val="15"/>
              </w:rPr>
            </w:pPr>
            <w:r>
              <w:rPr>
                <w:rFonts w:hint="eastAsia" w:ascii="宋体" w:hAnsi="宋体" w:cs="宋体"/>
                <w:kern w:val="0"/>
                <w:sz w:val="15"/>
                <w:szCs w:val="15"/>
              </w:rPr>
              <w:t>8</w:t>
            </w:r>
          </w:p>
        </w:tc>
        <w:tc>
          <w:tcPr>
            <w:tcW w:w="655" w:type="dxa"/>
            <w:tcBorders>
              <w:top w:val="single" w:color="auto" w:sz="4" w:space="0"/>
              <w:left w:val="nil"/>
              <w:bottom w:val="single" w:color="auto" w:sz="4" w:space="0"/>
              <w:right w:val="single" w:color="auto" w:sz="4" w:space="0"/>
            </w:tcBorders>
            <w:noWrap/>
            <w:vAlign w:val="center"/>
          </w:tcPr>
          <w:p w14:paraId="394F0AC1">
            <w:pPr>
              <w:widowControl/>
              <w:adjustRightInd w:val="0"/>
              <w:snapToGrid w:val="0"/>
              <w:jc w:val="center"/>
              <w:rPr>
                <w:rFonts w:ascii="宋体" w:hAnsi="宋体" w:cs="宋体"/>
                <w:kern w:val="0"/>
                <w:sz w:val="15"/>
                <w:szCs w:val="15"/>
              </w:rPr>
            </w:pPr>
            <w:r>
              <w:rPr>
                <w:rFonts w:hint="eastAsia" w:ascii="宋体" w:hAnsi="宋体" w:cs="宋体"/>
                <w:kern w:val="0"/>
                <w:sz w:val="15"/>
                <w:szCs w:val="15"/>
              </w:rPr>
              <w:t>9</w:t>
            </w:r>
          </w:p>
        </w:tc>
        <w:tc>
          <w:tcPr>
            <w:tcW w:w="490" w:type="dxa"/>
            <w:tcBorders>
              <w:top w:val="single" w:color="auto" w:sz="4" w:space="0"/>
              <w:left w:val="nil"/>
              <w:bottom w:val="single" w:color="auto" w:sz="4" w:space="0"/>
              <w:right w:val="single" w:color="auto" w:sz="4" w:space="0"/>
            </w:tcBorders>
            <w:noWrap/>
            <w:vAlign w:val="center"/>
          </w:tcPr>
          <w:p w14:paraId="56F202E6">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10</w:t>
            </w:r>
          </w:p>
        </w:tc>
        <w:tc>
          <w:tcPr>
            <w:tcW w:w="640" w:type="dxa"/>
            <w:tcBorders>
              <w:top w:val="single" w:color="auto" w:sz="4" w:space="0"/>
              <w:left w:val="nil"/>
              <w:bottom w:val="single" w:color="auto" w:sz="4" w:space="0"/>
              <w:right w:val="single" w:color="auto" w:sz="4" w:space="0"/>
            </w:tcBorders>
            <w:noWrap/>
            <w:vAlign w:val="center"/>
          </w:tcPr>
          <w:p w14:paraId="387E0CC3">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11</w:t>
            </w:r>
          </w:p>
        </w:tc>
        <w:tc>
          <w:tcPr>
            <w:tcW w:w="945" w:type="dxa"/>
            <w:tcBorders>
              <w:top w:val="single" w:color="auto" w:sz="4" w:space="0"/>
              <w:left w:val="nil"/>
              <w:bottom w:val="single" w:color="auto" w:sz="4" w:space="0"/>
              <w:right w:val="single" w:color="auto" w:sz="4" w:space="0"/>
            </w:tcBorders>
            <w:noWrap/>
            <w:vAlign w:val="center"/>
          </w:tcPr>
          <w:p w14:paraId="58547510">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12</w:t>
            </w:r>
          </w:p>
        </w:tc>
        <w:tc>
          <w:tcPr>
            <w:tcW w:w="730" w:type="dxa"/>
            <w:tcBorders>
              <w:top w:val="single" w:color="auto" w:sz="4" w:space="0"/>
              <w:left w:val="nil"/>
              <w:bottom w:val="single" w:color="auto" w:sz="4" w:space="0"/>
              <w:right w:val="single" w:color="auto" w:sz="4" w:space="0"/>
            </w:tcBorders>
            <w:noWrap/>
            <w:vAlign w:val="center"/>
          </w:tcPr>
          <w:p w14:paraId="7BE09A07">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13</w:t>
            </w:r>
          </w:p>
        </w:tc>
        <w:tc>
          <w:tcPr>
            <w:tcW w:w="530" w:type="dxa"/>
            <w:tcBorders>
              <w:top w:val="single" w:color="auto" w:sz="4" w:space="0"/>
              <w:left w:val="single" w:color="auto" w:sz="6" w:space="0"/>
              <w:bottom w:val="single" w:color="auto" w:sz="6" w:space="0"/>
              <w:right w:val="single" w:color="auto" w:sz="4" w:space="0"/>
            </w:tcBorders>
            <w:vAlign w:val="center"/>
          </w:tcPr>
          <w:p w14:paraId="6E212023">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14</w:t>
            </w:r>
          </w:p>
        </w:tc>
        <w:tc>
          <w:tcPr>
            <w:tcW w:w="800" w:type="dxa"/>
            <w:tcBorders>
              <w:top w:val="single" w:color="auto" w:sz="4" w:space="0"/>
              <w:left w:val="single" w:color="auto" w:sz="6" w:space="0"/>
              <w:bottom w:val="single" w:color="auto" w:sz="6" w:space="0"/>
              <w:right w:val="single" w:color="auto" w:sz="4" w:space="0"/>
            </w:tcBorders>
            <w:vAlign w:val="center"/>
          </w:tcPr>
          <w:p w14:paraId="44940319">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15</w:t>
            </w:r>
          </w:p>
        </w:tc>
        <w:tc>
          <w:tcPr>
            <w:tcW w:w="790" w:type="dxa"/>
            <w:tcBorders>
              <w:top w:val="single" w:color="auto" w:sz="4" w:space="0"/>
              <w:left w:val="single" w:color="auto" w:sz="6" w:space="0"/>
              <w:bottom w:val="single" w:color="auto" w:sz="6" w:space="0"/>
              <w:right w:val="single" w:color="auto" w:sz="4" w:space="0"/>
            </w:tcBorders>
            <w:vAlign w:val="center"/>
          </w:tcPr>
          <w:p w14:paraId="6D4AB3BB">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16</w:t>
            </w:r>
          </w:p>
        </w:tc>
        <w:tc>
          <w:tcPr>
            <w:tcW w:w="670" w:type="dxa"/>
            <w:tcBorders>
              <w:top w:val="single" w:color="auto" w:sz="4" w:space="0"/>
              <w:left w:val="single" w:color="auto" w:sz="6" w:space="0"/>
              <w:bottom w:val="single" w:color="auto" w:sz="6" w:space="0"/>
              <w:right w:val="single" w:color="auto" w:sz="4" w:space="0"/>
            </w:tcBorders>
            <w:vAlign w:val="center"/>
          </w:tcPr>
          <w:p w14:paraId="5D9065F1">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17</w:t>
            </w:r>
          </w:p>
        </w:tc>
        <w:tc>
          <w:tcPr>
            <w:tcW w:w="670" w:type="dxa"/>
            <w:tcBorders>
              <w:top w:val="single" w:color="auto" w:sz="4" w:space="0"/>
              <w:left w:val="single" w:color="auto" w:sz="6" w:space="0"/>
              <w:bottom w:val="single" w:color="auto" w:sz="6" w:space="0"/>
              <w:right w:val="single" w:color="auto" w:sz="4" w:space="0"/>
            </w:tcBorders>
            <w:vAlign w:val="center"/>
          </w:tcPr>
          <w:p w14:paraId="7C6AA9FF">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18</w:t>
            </w:r>
          </w:p>
        </w:tc>
        <w:tc>
          <w:tcPr>
            <w:tcW w:w="560" w:type="dxa"/>
            <w:tcBorders>
              <w:top w:val="single" w:color="auto" w:sz="4" w:space="0"/>
              <w:left w:val="single" w:color="auto" w:sz="6" w:space="0"/>
              <w:bottom w:val="single" w:color="auto" w:sz="6" w:space="0"/>
              <w:right w:val="single" w:color="auto" w:sz="4" w:space="0"/>
            </w:tcBorders>
            <w:vAlign w:val="center"/>
          </w:tcPr>
          <w:p w14:paraId="2DA599ED">
            <w:pPr>
              <w:widowControl/>
              <w:adjustRightInd w:val="0"/>
              <w:snapToGrid w:val="0"/>
              <w:jc w:val="center"/>
              <w:rPr>
                <w:rFonts w:ascii="宋体" w:hAnsi="宋体" w:cs="宋体"/>
                <w:kern w:val="0"/>
                <w:sz w:val="15"/>
                <w:szCs w:val="15"/>
              </w:rPr>
            </w:pPr>
            <w:r>
              <w:rPr>
                <w:rFonts w:hint="eastAsia" w:ascii="宋体" w:hAnsi="宋体" w:cs="宋体"/>
                <w:kern w:val="0"/>
                <w:sz w:val="15"/>
                <w:szCs w:val="15"/>
              </w:rPr>
              <w:t>19</w:t>
            </w:r>
          </w:p>
        </w:tc>
        <w:tc>
          <w:tcPr>
            <w:tcW w:w="710" w:type="dxa"/>
            <w:tcBorders>
              <w:top w:val="single" w:color="auto" w:sz="4" w:space="0"/>
              <w:left w:val="single" w:color="auto" w:sz="6" w:space="0"/>
              <w:bottom w:val="single" w:color="auto" w:sz="6" w:space="0"/>
              <w:right w:val="single" w:color="auto" w:sz="4" w:space="0"/>
            </w:tcBorders>
            <w:vAlign w:val="center"/>
          </w:tcPr>
          <w:p w14:paraId="1FE32947">
            <w:pPr>
              <w:widowControl/>
              <w:adjustRightInd w:val="0"/>
              <w:snapToGrid w:val="0"/>
              <w:jc w:val="center"/>
              <w:rPr>
                <w:rFonts w:ascii="宋体" w:hAnsi="宋体" w:cs="宋体"/>
                <w:kern w:val="0"/>
                <w:sz w:val="15"/>
                <w:szCs w:val="15"/>
              </w:rPr>
            </w:pPr>
            <w:r>
              <w:rPr>
                <w:rFonts w:hint="eastAsia" w:ascii="宋体" w:hAnsi="宋体" w:cs="宋体"/>
                <w:kern w:val="0"/>
                <w:sz w:val="15"/>
                <w:szCs w:val="15"/>
              </w:rPr>
              <w:t>20</w:t>
            </w:r>
          </w:p>
        </w:tc>
      </w:tr>
      <w:tr w14:paraId="0E34718D">
        <w:tblPrEx>
          <w:tblCellMar>
            <w:top w:w="0" w:type="dxa"/>
            <w:left w:w="108" w:type="dxa"/>
            <w:bottom w:w="0" w:type="dxa"/>
            <w:right w:w="108" w:type="dxa"/>
          </w:tblCellMar>
        </w:tblPrEx>
        <w:trPr>
          <w:trHeight w:val="270" w:hRule="atLeast"/>
          <w:jc w:val="center"/>
        </w:trPr>
        <w:tc>
          <w:tcPr>
            <w:tcW w:w="480" w:type="dxa"/>
            <w:tcBorders>
              <w:top w:val="nil"/>
              <w:left w:val="single" w:color="auto" w:sz="4" w:space="0"/>
              <w:bottom w:val="single" w:color="auto" w:sz="4" w:space="0"/>
              <w:right w:val="single" w:color="auto" w:sz="4" w:space="0"/>
            </w:tcBorders>
            <w:vAlign w:val="center"/>
          </w:tcPr>
          <w:p w14:paraId="20885502">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品目号</w:t>
            </w:r>
          </w:p>
        </w:tc>
        <w:tc>
          <w:tcPr>
            <w:tcW w:w="678" w:type="dxa"/>
            <w:tcBorders>
              <w:top w:val="nil"/>
              <w:left w:val="single" w:color="auto" w:sz="4" w:space="0"/>
              <w:bottom w:val="single" w:color="auto" w:sz="4" w:space="0"/>
              <w:right w:val="single" w:color="auto" w:sz="4" w:space="0"/>
            </w:tcBorders>
            <w:vAlign w:val="center"/>
          </w:tcPr>
          <w:p w14:paraId="7094B4BB">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序号</w:t>
            </w:r>
          </w:p>
          <w:p w14:paraId="0C6C2D9C">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(不同品目独立编写)</w:t>
            </w:r>
          </w:p>
        </w:tc>
        <w:tc>
          <w:tcPr>
            <w:tcW w:w="480" w:type="dxa"/>
            <w:tcBorders>
              <w:top w:val="nil"/>
              <w:left w:val="single" w:color="auto" w:sz="4" w:space="0"/>
              <w:bottom w:val="single" w:color="auto" w:sz="4" w:space="0"/>
              <w:right w:val="single" w:color="auto" w:sz="4" w:space="0"/>
            </w:tcBorders>
            <w:vAlign w:val="center"/>
          </w:tcPr>
          <w:p w14:paraId="50814BB6">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配送产品名称</w:t>
            </w:r>
          </w:p>
        </w:tc>
        <w:tc>
          <w:tcPr>
            <w:tcW w:w="762" w:type="dxa"/>
            <w:tcBorders>
              <w:top w:val="nil"/>
              <w:left w:val="nil"/>
              <w:bottom w:val="single" w:color="auto" w:sz="4" w:space="0"/>
              <w:right w:val="single" w:color="auto" w:sz="4" w:space="0"/>
            </w:tcBorders>
            <w:noWrap/>
            <w:vAlign w:val="center"/>
          </w:tcPr>
          <w:p w14:paraId="0AF28391">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配送产品医疗器械注册证号</w:t>
            </w:r>
          </w:p>
        </w:tc>
        <w:tc>
          <w:tcPr>
            <w:tcW w:w="830" w:type="dxa"/>
            <w:tcBorders>
              <w:top w:val="nil"/>
              <w:left w:val="nil"/>
              <w:bottom w:val="single" w:color="auto" w:sz="4" w:space="0"/>
              <w:right w:val="single" w:color="auto" w:sz="4" w:space="0"/>
            </w:tcBorders>
            <w:noWrap/>
            <w:vAlign w:val="center"/>
          </w:tcPr>
          <w:p w14:paraId="282A1026">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医疗器械注册证中产品名称</w:t>
            </w:r>
          </w:p>
        </w:tc>
        <w:tc>
          <w:tcPr>
            <w:tcW w:w="762" w:type="dxa"/>
            <w:tcBorders>
              <w:top w:val="nil"/>
              <w:left w:val="nil"/>
              <w:bottom w:val="single" w:color="auto" w:sz="4" w:space="0"/>
              <w:right w:val="single" w:color="auto" w:sz="4" w:space="0"/>
            </w:tcBorders>
            <w:noWrap/>
            <w:vAlign w:val="center"/>
          </w:tcPr>
          <w:p w14:paraId="55859622">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配送产品规格型号(按注册证填写</w:t>
            </w:r>
            <w:r>
              <w:rPr>
                <w:rFonts w:ascii="宋体" w:hAnsi="宋体" w:cs="宋体"/>
                <w:kern w:val="0"/>
                <w:sz w:val="15"/>
                <w:szCs w:val="15"/>
              </w:rPr>
              <w:t>)</w:t>
            </w:r>
          </w:p>
        </w:tc>
        <w:tc>
          <w:tcPr>
            <w:tcW w:w="764" w:type="dxa"/>
            <w:tcBorders>
              <w:top w:val="nil"/>
              <w:left w:val="nil"/>
              <w:bottom w:val="single" w:color="auto" w:sz="4" w:space="0"/>
              <w:right w:val="single" w:color="auto" w:sz="4" w:space="0"/>
            </w:tcBorders>
            <w:noWrap/>
            <w:vAlign w:val="center"/>
          </w:tcPr>
          <w:p w14:paraId="3684ACFC">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安徽省医保收费目录（如无，则不填写）（27位）</w:t>
            </w:r>
          </w:p>
        </w:tc>
        <w:tc>
          <w:tcPr>
            <w:tcW w:w="539" w:type="dxa"/>
            <w:tcBorders>
              <w:top w:val="nil"/>
              <w:left w:val="nil"/>
              <w:bottom w:val="single" w:color="auto" w:sz="4" w:space="0"/>
              <w:right w:val="single" w:color="auto" w:sz="4" w:space="0"/>
            </w:tcBorders>
            <w:noWrap/>
            <w:vAlign w:val="center"/>
          </w:tcPr>
          <w:p w14:paraId="764F1F55">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生产厂家企业名称</w:t>
            </w:r>
          </w:p>
        </w:tc>
        <w:tc>
          <w:tcPr>
            <w:tcW w:w="655" w:type="dxa"/>
            <w:tcBorders>
              <w:top w:val="nil"/>
              <w:left w:val="nil"/>
              <w:bottom w:val="single" w:color="auto" w:sz="4" w:space="0"/>
              <w:right w:val="single" w:color="auto" w:sz="4" w:space="0"/>
            </w:tcBorders>
            <w:noWrap/>
            <w:vAlign w:val="center"/>
          </w:tcPr>
          <w:p w14:paraId="2AE1E230">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产地</w:t>
            </w:r>
          </w:p>
          <w:p w14:paraId="0CD5ECDC">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（进口/国产）</w:t>
            </w:r>
          </w:p>
        </w:tc>
        <w:tc>
          <w:tcPr>
            <w:tcW w:w="490" w:type="dxa"/>
            <w:tcBorders>
              <w:top w:val="nil"/>
              <w:left w:val="nil"/>
              <w:bottom w:val="single" w:color="auto" w:sz="4" w:space="0"/>
              <w:right w:val="single" w:color="auto" w:sz="4" w:space="0"/>
            </w:tcBorders>
            <w:noWrap/>
            <w:vAlign w:val="center"/>
          </w:tcPr>
          <w:p w14:paraId="1BA2AF6C">
            <w:pPr>
              <w:widowControl/>
              <w:adjustRightInd w:val="0"/>
              <w:snapToGrid w:val="0"/>
              <w:ind w:left="-53" w:leftChars="-25" w:right="-53" w:rightChars="-25"/>
              <w:jc w:val="center"/>
              <w:rPr>
                <w:rFonts w:ascii="宋体" w:hAnsi="宋体" w:cs="宋体"/>
                <w:spacing w:val="-8"/>
                <w:kern w:val="0"/>
                <w:sz w:val="15"/>
                <w:szCs w:val="15"/>
              </w:rPr>
            </w:pPr>
            <w:r>
              <w:rPr>
                <w:rFonts w:hint="eastAsia" w:ascii="宋体" w:hAnsi="宋体" w:cs="宋体"/>
                <w:kern w:val="0"/>
                <w:sz w:val="15"/>
                <w:szCs w:val="15"/>
              </w:rPr>
              <w:t>品牌</w:t>
            </w:r>
          </w:p>
        </w:tc>
        <w:tc>
          <w:tcPr>
            <w:tcW w:w="640" w:type="dxa"/>
            <w:tcBorders>
              <w:top w:val="nil"/>
              <w:left w:val="nil"/>
              <w:bottom w:val="single" w:color="auto" w:sz="4" w:space="0"/>
              <w:right w:val="single" w:color="auto" w:sz="4" w:space="0"/>
            </w:tcBorders>
            <w:noWrap/>
            <w:vAlign w:val="center"/>
          </w:tcPr>
          <w:p w14:paraId="4C8DC719">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最小包装(含耗材数量)</w:t>
            </w:r>
          </w:p>
        </w:tc>
        <w:tc>
          <w:tcPr>
            <w:tcW w:w="945" w:type="dxa"/>
            <w:tcBorders>
              <w:top w:val="nil"/>
              <w:left w:val="nil"/>
              <w:bottom w:val="single" w:color="auto" w:sz="4" w:space="0"/>
              <w:right w:val="single" w:color="auto" w:sz="4" w:space="0"/>
            </w:tcBorders>
            <w:noWrap/>
            <w:vAlign w:val="center"/>
          </w:tcPr>
          <w:p w14:paraId="0D8A90F8">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spacing w:val="-8"/>
                <w:kern w:val="0"/>
                <w:sz w:val="15"/>
                <w:szCs w:val="15"/>
              </w:rPr>
              <w:t>省医药采购平台流水号（注明交易目录或备案目录）</w:t>
            </w:r>
          </w:p>
        </w:tc>
        <w:tc>
          <w:tcPr>
            <w:tcW w:w="730" w:type="dxa"/>
            <w:tcBorders>
              <w:top w:val="nil"/>
              <w:left w:val="nil"/>
              <w:bottom w:val="single" w:color="auto" w:sz="4" w:space="0"/>
              <w:right w:val="single" w:color="auto" w:sz="4" w:space="0"/>
            </w:tcBorders>
            <w:noWrap/>
            <w:vAlign w:val="center"/>
          </w:tcPr>
          <w:p w14:paraId="75EA86CB">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耗材的使用有效期(月</w:t>
            </w:r>
            <w:r>
              <w:rPr>
                <w:rFonts w:ascii="宋体" w:hAnsi="宋体" w:cs="宋体"/>
                <w:kern w:val="0"/>
                <w:sz w:val="15"/>
                <w:szCs w:val="15"/>
              </w:rPr>
              <w:t>)</w:t>
            </w:r>
          </w:p>
        </w:tc>
        <w:tc>
          <w:tcPr>
            <w:tcW w:w="530" w:type="dxa"/>
            <w:tcBorders>
              <w:top w:val="single" w:color="auto" w:sz="6" w:space="0"/>
              <w:left w:val="single" w:color="auto" w:sz="6" w:space="0"/>
              <w:bottom w:val="single" w:color="auto" w:sz="6" w:space="0"/>
              <w:right w:val="single" w:color="auto" w:sz="4" w:space="0"/>
            </w:tcBorders>
            <w:vAlign w:val="center"/>
          </w:tcPr>
          <w:p w14:paraId="7D77B20A">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单位（不得更改）</w:t>
            </w:r>
          </w:p>
        </w:tc>
        <w:tc>
          <w:tcPr>
            <w:tcW w:w="800" w:type="dxa"/>
            <w:tcBorders>
              <w:top w:val="single" w:color="auto" w:sz="6" w:space="0"/>
              <w:left w:val="single" w:color="auto" w:sz="6" w:space="0"/>
              <w:bottom w:val="single" w:color="auto" w:sz="6" w:space="0"/>
              <w:right w:val="single" w:color="auto" w:sz="4" w:space="0"/>
            </w:tcBorders>
            <w:vAlign w:val="center"/>
          </w:tcPr>
          <w:p w14:paraId="4A754576">
            <w:pPr>
              <w:widowControl/>
              <w:adjustRightInd w:val="0"/>
              <w:snapToGrid w:val="0"/>
              <w:ind w:left="-15" w:leftChars="-50" w:right="-105" w:rightChars="-50" w:hanging="90" w:hangingChars="60"/>
              <w:jc w:val="center"/>
              <w:rPr>
                <w:rFonts w:ascii="宋体" w:hAnsi="宋体" w:cs="宋体"/>
                <w:kern w:val="0"/>
                <w:sz w:val="15"/>
                <w:szCs w:val="15"/>
              </w:rPr>
            </w:pPr>
            <w:r>
              <w:rPr>
                <w:rFonts w:hint="eastAsia" w:ascii="宋体" w:hAnsi="宋体" w:cs="宋体"/>
                <w:kern w:val="0"/>
                <w:sz w:val="15"/>
                <w:szCs w:val="15"/>
              </w:rPr>
              <w:t>最高投标限价(元/单位)（不得更改）</w:t>
            </w:r>
          </w:p>
        </w:tc>
        <w:tc>
          <w:tcPr>
            <w:tcW w:w="790" w:type="dxa"/>
            <w:tcBorders>
              <w:top w:val="single" w:color="auto" w:sz="6" w:space="0"/>
              <w:left w:val="single" w:color="auto" w:sz="6" w:space="0"/>
              <w:bottom w:val="single" w:color="auto" w:sz="6" w:space="0"/>
              <w:right w:val="single" w:color="auto" w:sz="4" w:space="0"/>
            </w:tcBorders>
            <w:vAlign w:val="center"/>
          </w:tcPr>
          <w:p w14:paraId="7FCA6E60">
            <w:pPr>
              <w:widowControl/>
              <w:adjustRightInd w:val="0"/>
              <w:snapToGrid w:val="0"/>
              <w:ind w:left="-88" w:leftChars="-42" w:right="-53" w:rightChars="-25" w:firstLine="36" w:firstLineChars="24"/>
              <w:jc w:val="center"/>
              <w:rPr>
                <w:rFonts w:ascii="宋体" w:hAnsi="宋体" w:cs="宋体"/>
                <w:kern w:val="0"/>
                <w:sz w:val="15"/>
                <w:szCs w:val="15"/>
              </w:rPr>
            </w:pPr>
            <w:r>
              <w:rPr>
                <w:rFonts w:hint="eastAsia" w:ascii="宋体" w:hAnsi="宋体" w:cs="宋体"/>
                <w:kern w:val="0"/>
                <w:sz w:val="15"/>
                <w:szCs w:val="15"/>
              </w:rPr>
              <w:t>投标单价</w:t>
            </w:r>
          </w:p>
          <w:p w14:paraId="61D651AC">
            <w:pPr>
              <w:widowControl/>
              <w:adjustRightInd w:val="0"/>
              <w:snapToGrid w:val="0"/>
              <w:ind w:left="-15" w:leftChars="-50" w:right="-105" w:rightChars="-50" w:hanging="90" w:hangingChars="60"/>
              <w:jc w:val="center"/>
              <w:rPr>
                <w:rFonts w:ascii="宋体" w:hAnsi="宋体" w:cs="宋体"/>
                <w:kern w:val="0"/>
                <w:sz w:val="15"/>
                <w:szCs w:val="15"/>
              </w:rPr>
            </w:pPr>
            <w:r>
              <w:rPr>
                <w:rFonts w:ascii="宋体" w:hAnsi="宋体" w:cs="宋体"/>
                <w:kern w:val="0"/>
                <w:sz w:val="15"/>
                <w:szCs w:val="15"/>
              </w:rPr>
              <w:t>(</w:t>
            </w:r>
            <w:r>
              <w:rPr>
                <w:rFonts w:hint="eastAsia" w:ascii="宋体" w:hAnsi="宋体" w:cs="宋体"/>
                <w:kern w:val="0"/>
                <w:sz w:val="15"/>
                <w:szCs w:val="15"/>
              </w:rPr>
              <w:t>元/单位</w:t>
            </w:r>
            <w:r>
              <w:rPr>
                <w:rFonts w:ascii="宋体" w:hAnsi="宋体" w:cs="宋体"/>
                <w:kern w:val="0"/>
                <w:sz w:val="15"/>
                <w:szCs w:val="15"/>
              </w:rPr>
              <w:t>)</w:t>
            </w:r>
          </w:p>
        </w:tc>
        <w:tc>
          <w:tcPr>
            <w:tcW w:w="670" w:type="dxa"/>
            <w:tcBorders>
              <w:top w:val="single" w:color="auto" w:sz="6" w:space="0"/>
              <w:left w:val="single" w:color="auto" w:sz="6" w:space="0"/>
              <w:bottom w:val="single" w:color="auto" w:sz="6" w:space="0"/>
              <w:right w:val="single" w:color="auto" w:sz="4" w:space="0"/>
            </w:tcBorders>
            <w:vAlign w:val="center"/>
          </w:tcPr>
          <w:p w14:paraId="17B74A5D">
            <w:pPr>
              <w:widowControl/>
              <w:adjustRightInd w:val="0"/>
              <w:snapToGrid w:val="0"/>
              <w:ind w:left="-15" w:leftChars="-50" w:right="-105" w:rightChars="-50" w:hanging="90" w:hangingChars="60"/>
              <w:jc w:val="center"/>
              <w:rPr>
                <w:rFonts w:ascii="宋体" w:hAnsi="宋体" w:cs="宋体"/>
                <w:kern w:val="0"/>
                <w:sz w:val="15"/>
                <w:szCs w:val="15"/>
              </w:rPr>
            </w:pPr>
            <w:r>
              <w:rPr>
                <w:rFonts w:hint="eastAsia" w:ascii="宋体" w:hAnsi="宋体" w:cs="宋体"/>
                <w:kern w:val="0"/>
                <w:sz w:val="15"/>
                <w:szCs w:val="15"/>
              </w:rPr>
              <w:t>平均综合单价（如有）</w:t>
            </w:r>
          </w:p>
        </w:tc>
        <w:tc>
          <w:tcPr>
            <w:tcW w:w="670" w:type="dxa"/>
            <w:tcBorders>
              <w:top w:val="single" w:color="auto" w:sz="6" w:space="0"/>
              <w:left w:val="single" w:color="auto" w:sz="6" w:space="0"/>
              <w:bottom w:val="single" w:color="auto" w:sz="6" w:space="0"/>
              <w:right w:val="single" w:color="auto" w:sz="4" w:space="0"/>
            </w:tcBorders>
            <w:vAlign w:val="center"/>
          </w:tcPr>
          <w:p w14:paraId="3AF97AA2">
            <w:pPr>
              <w:widowControl/>
              <w:adjustRightInd w:val="0"/>
              <w:snapToGrid w:val="0"/>
              <w:ind w:left="-15" w:leftChars="-50" w:right="-105" w:rightChars="-50" w:hanging="90" w:hangingChars="60"/>
              <w:jc w:val="center"/>
              <w:rPr>
                <w:rFonts w:ascii="宋体" w:hAnsi="宋体" w:cs="宋体"/>
                <w:kern w:val="0"/>
                <w:sz w:val="15"/>
                <w:szCs w:val="15"/>
              </w:rPr>
            </w:pPr>
            <w:r>
              <w:rPr>
                <w:rFonts w:hint="eastAsia" w:ascii="宋体" w:hAnsi="宋体" w:cs="宋体"/>
                <w:kern w:val="0"/>
                <w:sz w:val="15"/>
                <w:szCs w:val="15"/>
              </w:rPr>
              <w:t>年使用预估量（不得更改）</w:t>
            </w:r>
          </w:p>
        </w:tc>
        <w:tc>
          <w:tcPr>
            <w:tcW w:w="560" w:type="dxa"/>
            <w:tcBorders>
              <w:top w:val="single" w:color="auto" w:sz="6" w:space="0"/>
              <w:left w:val="single" w:color="auto" w:sz="6" w:space="0"/>
              <w:bottom w:val="single" w:color="auto" w:sz="6" w:space="0"/>
              <w:right w:val="single" w:color="auto" w:sz="4" w:space="0"/>
            </w:tcBorders>
            <w:vAlign w:val="center"/>
          </w:tcPr>
          <w:p w14:paraId="26D53BE5">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小计</w:t>
            </w:r>
          </w:p>
        </w:tc>
        <w:tc>
          <w:tcPr>
            <w:tcW w:w="710" w:type="dxa"/>
            <w:tcBorders>
              <w:top w:val="single" w:color="auto" w:sz="6" w:space="0"/>
              <w:left w:val="single" w:color="auto" w:sz="6" w:space="0"/>
              <w:bottom w:val="single" w:color="auto" w:sz="6" w:space="0"/>
              <w:right w:val="single" w:color="auto" w:sz="4" w:space="0"/>
            </w:tcBorders>
            <w:vAlign w:val="center"/>
          </w:tcPr>
          <w:p w14:paraId="56C0DB44">
            <w:pPr>
              <w:widowControl/>
              <w:adjustRightInd w:val="0"/>
              <w:snapToGrid w:val="0"/>
              <w:ind w:left="-53" w:leftChars="-25" w:right="-53" w:rightChars="-25"/>
              <w:jc w:val="center"/>
              <w:rPr>
                <w:rFonts w:ascii="宋体" w:hAnsi="宋体" w:cs="宋体"/>
                <w:kern w:val="0"/>
                <w:sz w:val="15"/>
                <w:szCs w:val="15"/>
              </w:rPr>
            </w:pPr>
            <w:r>
              <w:rPr>
                <w:rFonts w:hint="eastAsia" w:ascii="宋体" w:hAnsi="宋体" w:cs="宋体"/>
                <w:kern w:val="0"/>
                <w:sz w:val="15"/>
                <w:szCs w:val="15"/>
              </w:rPr>
              <w:t>备注</w:t>
            </w:r>
          </w:p>
        </w:tc>
      </w:tr>
      <w:tr w14:paraId="7A6CCBF9">
        <w:tblPrEx>
          <w:tblCellMar>
            <w:top w:w="0" w:type="dxa"/>
            <w:left w:w="108" w:type="dxa"/>
            <w:bottom w:w="0" w:type="dxa"/>
            <w:right w:w="108" w:type="dxa"/>
          </w:tblCellMar>
        </w:tblPrEx>
        <w:trPr>
          <w:trHeight w:val="270" w:hRule="atLeast"/>
          <w:jc w:val="center"/>
        </w:trPr>
        <w:tc>
          <w:tcPr>
            <w:tcW w:w="480" w:type="dxa"/>
            <w:tcBorders>
              <w:top w:val="nil"/>
              <w:left w:val="single" w:color="auto" w:sz="4" w:space="0"/>
              <w:bottom w:val="single" w:color="auto" w:sz="4" w:space="0"/>
              <w:right w:val="single" w:color="auto" w:sz="4" w:space="0"/>
            </w:tcBorders>
            <w:vAlign w:val="center"/>
          </w:tcPr>
          <w:p w14:paraId="5B4BDDF5">
            <w:pPr>
              <w:widowControl/>
              <w:adjustRightInd w:val="0"/>
              <w:snapToGrid w:val="0"/>
              <w:jc w:val="center"/>
              <w:rPr>
                <w:rFonts w:ascii="宋体" w:hAnsi="宋体" w:cs="宋体"/>
                <w:kern w:val="0"/>
                <w:sz w:val="15"/>
                <w:szCs w:val="15"/>
              </w:rPr>
            </w:pPr>
          </w:p>
        </w:tc>
        <w:tc>
          <w:tcPr>
            <w:tcW w:w="678" w:type="dxa"/>
            <w:tcBorders>
              <w:top w:val="nil"/>
              <w:left w:val="single" w:color="auto" w:sz="4" w:space="0"/>
              <w:bottom w:val="single" w:color="auto" w:sz="4" w:space="0"/>
              <w:right w:val="single" w:color="auto" w:sz="4" w:space="0"/>
            </w:tcBorders>
            <w:vAlign w:val="center"/>
          </w:tcPr>
          <w:p w14:paraId="3B58E6F4">
            <w:pPr>
              <w:widowControl/>
              <w:adjustRightInd w:val="0"/>
              <w:snapToGrid w:val="0"/>
              <w:jc w:val="center"/>
              <w:rPr>
                <w:rFonts w:ascii="宋体" w:hAnsi="宋体" w:cs="宋体"/>
                <w:kern w:val="0"/>
                <w:sz w:val="15"/>
                <w:szCs w:val="15"/>
              </w:rPr>
            </w:pPr>
          </w:p>
        </w:tc>
        <w:tc>
          <w:tcPr>
            <w:tcW w:w="480" w:type="dxa"/>
            <w:tcBorders>
              <w:top w:val="nil"/>
              <w:left w:val="single" w:color="auto" w:sz="4" w:space="0"/>
              <w:bottom w:val="single" w:color="auto" w:sz="4" w:space="0"/>
              <w:right w:val="single" w:color="auto" w:sz="4" w:space="0"/>
            </w:tcBorders>
            <w:vAlign w:val="center"/>
          </w:tcPr>
          <w:p w14:paraId="1BEDF766">
            <w:pPr>
              <w:widowControl/>
              <w:adjustRightInd w:val="0"/>
              <w:snapToGrid w:val="0"/>
              <w:jc w:val="center"/>
              <w:rPr>
                <w:rFonts w:ascii="宋体" w:hAnsi="宋体" w:cs="宋体"/>
                <w:kern w:val="0"/>
                <w:sz w:val="15"/>
                <w:szCs w:val="15"/>
              </w:rPr>
            </w:pPr>
          </w:p>
        </w:tc>
        <w:tc>
          <w:tcPr>
            <w:tcW w:w="762" w:type="dxa"/>
            <w:tcBorders>
              <w:top w:val="nil"/>
              <w:left w:val="nil"/>
              <w:bottom w:val="single" w:color="auto" w:sz="4" w:space="0"/>
              <w:right w:val="single" w:color="auto" w:sz="4" w:space="0"/>
            </w:tcBorders>
            <w:noWrap/>
            <w:vAlign w:val="center"/>
          </w:tcPr>
          <w:p w14:paraId="40DA70B2">
            <w:pPr>
              <w:widowControl/>
              <w:adjustRightInd w:val="0"/>
              <w:snapToGrid w:val="0"/>
              <w:ind w:left="-53" w:leftChars="-25" w:right="-53" w:rightChars="-25"/>
              <w:jc w:val="center"/>
              <w:rPr>
                <w:rFonts w:ascii="宋体" w:hAnsi="宋体" w:cs="宋体"/>
                <w:kern w:val="0"/>
                <w:sz w:val="15"/>
                <w:szCs w:val="15"/>
              </w:rPr>
            </w:pPr>
          </w:p>
        </w:tc>
        <w:tc>
          <w:tcPr>
            <w:tcW w:w="830" w:type="dxa"/>
            <w:tcBorders>
              <w:top w:val="nil"/>
              <w:left w:val="nil"/>
              <w:bottom w:val="single" w:color="auto" w:sz="4" w:space="0"/>
              <w:right w:val="single" w:color="auto" w:sz="4" w:space="0"/>
            </w:tcBorders>
            <w:noWrap/>
            <w:vAlign w:val="center"/>
          </w:tcPr>
          <w:p w14:paraId="622A957C">
            <w:pPr>
              <w:widowControl/>
              <w:adjustRightInd w:val="0"/>
              <w:snapToGrid w:val="0"/>
              <w:ind w:left="-53" w:leftChars="-25" w:right="-53" w:rightChars="-25"/>
              <w:jc w:val="center"/>
              <w:rPr>
                <w:rFonts w:ascii="宋体" w:hAnsi="宋体" w:cs="宋体"/>
                <w:kern w:val="0"/>
                <w:sz w:val="15"/>
                <w:szCs w:val="15"/>
              </w:rPr>
            </w:pPr>
          </w:p>
        </w:tc>
        <w:tc>
          <w:tcPr>
            <w:tcW w:w="762" w:type="dxa"/>
            <w:tcBorders>
              <w:top w:val="nil"/>
              <w:left w:val="nil"/>
              <w:bottom w:val="single" w:color="auto" w:sz="4" w:space="0"/>
              <w:right w:val="single" w:color="auto" w:sz="4" w:space="0"/>
            </w:tcBorders>
            <w:noWrap/>
            <w:vAlign w:val="center"/>
          </w:tcPr>
          <w:p w14:paraId="6D89AB83">
            <w:pPr>
              <w:widowControl/>
              <w:adjustRightInd w:val="0"/>
              <w:snapToGrid w:val="0"/>
              <w:ind w:left="-53" w:leftChars="-25" w:right="-53" w:rightChars="-25"/>
              <w:jc w:val="center"/>
              <w:rPr>
                <w:rFonts w:ascii="宋体" w:hAnsi="宋体" w:cs="宋体"/>
                <w:kern w:val="0"/>
                <w:sz w:val="15"/>
                <w:szCs w:val="15"/>
              </w:rPr>
            </w:pPr>
          </w:p>
        </w:tc>
        <w:tc>
          <w:tcPr>
            <w:tcW w:w="764" w:type="dxa"/>
            <w:tcBorders>
              <w:top w:val="nil"/>
              <w:left w:val="nil"/>
              <w:bottom w:val="single" w:color="auto" w:sz="4" w:space="0"/>
              <w:right w:val="single" w:color="auto" w:sz="4" w:space="0"/>
            </w:tcBorders>
            <w:noWrap/>
            <w:vAlign w:val="center"/>
          </w:tcPr>
          <w:p w14:paraId="2AC18148">
            <w:pPr>
              <w:widowControl/>
              <w:adjustRightInd w:val="0"/>
              <w:snapToGrid w:val="0"/>
              <w:ind w:left="-53" w:leftChars="-25" w:right="-53" w:rightChars="-25"/>
              <w:jc w:val="center"/>
              <w:rPr>
                <w:rFonts w:ascii="宋体" w:hAnsi="宋体" w:cs="宋体"/>
                <w:kern w:val="0"/>
                <w:sz w:val="15"/>
                <w:szCs w:val="15"/>
              </w:rPr>
            </w:pPr>
          </w:p>
        </w:tc>
        <w:tc>
          <w:tcPr>
            <w:tcW w:w="539" w:type="dxa"/>
            <w:tcBorders>
              <w:top w:val="nil"/>
              <w:left w:val="nil"/>
              <w:bottom w:val="single" w:color="auto" w:sz="4" w:space="0"/>
              <w:right w:val="single" w:color="auto" w:sz="4" w:space="0"/>
            </w:tcBorders>
            <w:noWrap/>
            <w:vAlign w:val="center"/>
          </w:tcPr>
          <w:p w14:paraId="453DA6C0">
            <w:pPr>
              <w:widowControl/>
              <w:adjustRightInd w:val="0"/>
              <w:snapToGrid w:val="0"/>
              <w:ind w:left="-53" w:leftChars="-25" w:right="-53" w:rightChars="-25"/>
              <w:jc w:val="center"/>
              <w:rPr>
                <w:rFonts w:ascii="宋体" w:hAnsi="宋体" w:cs="宋体"/>
                <w:kern w:val="0"/>
                <w:sz w:val="15"/>
                <w:szCs w:val="15"/>
              </w:rPr>
            </w:pPr>
          </w:p>
        </w:tc>
        <w:tc>
          <w:tcPr>
            <w:tcW w:w="655" w:type="dxa"/>
            <w:tcBorders>
              <w:top w:val="nil"/>
              <w:left w:val="nil"/>
              <w:bottom w:val="single" w:color="auto" w:sz="4" w:space="0"/>
              <w:right w:val="single" w:color="auto" w:sz="4" w:space="0"/>
            </w:tcBorders>
            <w:noWrap/>
            <w:vAlign w:val="center"/>
          </w:tcPr>
          <w:p w14:paraId="61DC2DC3">
            <w:pPr>
              <w:widowControl/>
              <w:adjustRightInd w:val="0"/>
              <w:snapToGrid w:val="0"/>
              <w:ind w:left="-105" w:leftChars="-50" w:right="-105" w:rightChars="-50"/>
              <w:jc w:val="center"/>
              <w:rPr>
                <w:rFonts w:ascii="宋体" w:hAnsi="宋体" w:cs="宋体"/>
                <w:spacing w:val="-8"/>
                <w:kern w:val="0"/>
                <w:sz w:val="15"/>
                <w:szCs w:val="15"/>
              </w:rPr>
            </w:pPr>
          </w:p>
        </w:tc>
        <w:tc>
          <w:tcPr>
            <w:tcW w:w="490" w:type="dxa"/>
            <w:tcBorders>
              <w:top w:val="nil"/>
              <w:left w:val="nil"/>
              <w:bottom w:val="single" w:color="auto" w:sz="4" w:space="0"/>
              <w:right w:val="single" w:color="auto" w:sz="4" w:space="0"/>
            </w:tcBorders>
            <w:noWrap/>
            <w:vAlign w:val="center"/>
          </w:tcPr>
          <w:p w14:paraId="58980FBD">
            <w:pPr>
              <w:widowControl/>
              <w:adjustRightInd w:val="0"/>
              <w:snapToGrid w:val="0"/>
              <w:ind w:left="-53" w:leftChars="-25" w:right="-53" w:rightChars="-25"/>
              <w:jc w:val="center"/>
              <w:rPr>
                <w:rFonts w:ascii="宋体" w:hAnsi="宋体" w:cs="宋体"/>
                <w:kern w:val="0"/>
                <w:sz w:val="15"/>
                <w:szCs w:val="15"/>
              </w:rPr>
            </w:pPr>
          </w:p>
        </w:tc>
        <w:tc>
          <w:tcPr>
            <w:tcW w:w="640" w:type="dxa"/>
            <w:tcBorders>
              <w:top w:val="nil"/>
              <w:left w:val="nil"/>
              <w:bottom w:val="single" w:color="auto" w:sz="4" w:space="0"/>
              <w:right w:val="single" w:color="auto" w:sz="4" w:space="0"/>
            </w:tcBorders>
            <w:noWrap/>
            <w:vAlign w:val="center"/>
          </w:tcPr>
          <w:p w14:paraId="2FF89E95">
            <w:pPr>
              <w:widowControl/>
              <w:adjustRightInd w:val="0"/>
              <w:snapToGrid w:val="0"/>
              <w:jc w:val="center"/>
              <w:rPr>
                <w:rFonts w:ascii="宋体" w:hAnsi="宋体" w:cs="宋体"/>
                <w:kern w:val="0"/>
                <w:sz w:val="15"/>
                <w:szCs w:val="15"/>
              </w:rPr>
            </w:pPr>
          </w:p>
        </w:tc>
        <w:tc>
          <w:tcPr>
            <w:tcW w:w="945" w:type="dxa"/>
            <w:tcBorders>
              <w:top w:val="nil"/>
              <w:left w:val="nil"/>
              <w:bottom w:val="single" w:color="auto" w:sz="4" w:space="0"/>
              <w:right w:val="single" w:color="auto" w:sz="4" w:space="0"/>
            </w:tcBorders>
            <w:noWrap/>
            <w:vAlign w:val="center"/>
          </w:tcPr>
          <w:p w14:paraId="4685AB94">
            <w:pPr>
              <w:widowControl/>
              <w:adjustRightInd w:val="0"/>
              <w:snapToGrid w:val="0"/>
              <w:jc w:val="center"/>
              <w:rPr>
                <w:rFonts w:ascii="宋体" w:hAnsi="宋体" w:cs="宋体"/>
                <w:kern w:val="0"/>
                <w:sz w:val="15"/>
                <w:szCs w:val="15"/>
              </w:rPr>
            </w:pPr>
          </w:p>
        </w:tc>
        <w:tc>
          <w:tcPr>
            <w:tcW w:w="730" w:type="dxa"/>
            <w:tcBorders>
              <w:top w:val="nil"/>
              <w:left w:val="nil"/>
              <w:bottom w:val="single" w:color="auto" w:sz="4" w:space="0"/>
              <w:right w:val="single" w:color="auto" w:sz="4" w:space="0"/>
            </w:tcBorders>
            <w:noWrap/>
            <w:vAlign w:val="center"/>
          </w:tcPr>
          <w:p w14:paraId="063FF166">
            <w:pPr>
              <w:widowControl/>
              <w:adjustRightInd w:val="0"/>
              <w:snapToGrid w:val="0"/>
              <w:jc w:val="center"/>
              <w:rPr>
                <w:rFonts w:ascii="宋体" w:hAnsi="宋体" w:cs="宋体"/>
                <w:kern w:val="0"/>
                <w:sz w:val="15"/>
                <w:szCs w:val="15"/>
              </w:rPr>
            </w:pPr>
          </w:p>
        </w:tc>
        <w:tc>
          <w:tcPr>
            <w:tcW w:w="530" w:type="dxa"/>
            <w:tcBorders>
              <w:top w:val="single" w:color="auto" w:sz="6" w:space="0"/>
              <w:left w:val="single" w:color="auto" w:sz="6" w:space="0"/>
              <w:bottom w:val="single" w:color="auto" w:sz="6" w:space="0"/>
              <w:right w:val="single" w:color="auto" w:sz="4" w:space="0"/>
            </w:tcBorders>
            <w:vAlign w:val="center"/>
          </w:tcPr>
          <w:p w14:paraId="7DECF467">
            <w:pPr>
              <w:widowControl/>
              <w:adjustRightInd w:val="0"/>
              <w:snapToGrid w:val="0"/>
              <w:jc w:val="center"/>
              <w:rPr>
                <w:rFonts w:ascii="宋体" w:hAnsi="宋体" w:cs="宋体"/>
                <w:kern w:val="0"/>
                <w:sz w:val="15"/>
                <w:szCs w:val="15"/>
              </w:rPr>
            </w:pPr>
          </w:p>
        </w:tc>
        <w:tc>
          <w:tcPr>
            <w:tcW w:w="800" w:type="dxa"/>
            <w:tcBorders>
              <w:top w:val="single" w:color="auto" w:sz="6" w:space="0"/>
              <w:left w:val="single" w:color="auto" w:sz="6" w:space="0"/>
              <w:bottom w:val="single" w:color="auto" w:sz="6" w:space="0"/>
              <w:right w:val="single" w:color="auto" w:sz="4" w:space="0"/>
            </w:tcBorders>
            <w:vAlign w:val="center"/>
          </w:tcPr>
          <w:p w14:paraId="71E9D230">
            <w:pPr>
              <w:widowControl/>
              <w:adjustRightInd w:val="0"/>
              <w:snapToGrid w:val="0"/>
              <w:jc w:val="center"/>
              <w:rPr>
                <w:rFonts w:ascii="宋体" w:hAnsi="宋体" w:cs="宋体"/>
                <w:kern w:val="0"/>
                <w:sz w:val="15"/>
                <w:szCs w:val="15"/>
              </w:rPr>
            </w:pPr>
          </w:p>
        </w:tc>
        <w:tc>
          <w:tcPr>
            <w:tcW w:w="790" w:type="dxa"/>
            <w:tcBorders>
              <w:top w:val="single" w:color="auto" w:sz="6" w:space="0"/>
              <w:left w:val="single" w:color="auto" w:sz="6" w:space="0"/>
              <w:bottom w:val="single" w:color="auto" w:sz="6" w:space="0"/>
              <w:right w:val="single" w:color="auto" w:sz="4" w:space="0"/>
            </w:tcBorders>
            <w:vAlign w:val="center"/>
          </w:tcPr>
          <w:p w14:paraId="52521920">
            <w:pPr>
              <w:widowControl/>
              <w:adjustRightInd w:val="0"/>
              <w:snapToGrid w:val="0"/>
              <w:jc w:val="center"/>
              <w:rPr>
                <w:rFonts w:ascii="宋体" w:hAnsi="宋体" w:cs="宋体"/>
                <w:kern w:val="0"/>
                <w:sz w:val="15"/>
                <w:szCs w:val="15"/>
              </w:rPr>
            </w:pPr>
          </w:p>
        </w:tc>
        <w:tc>
          <w:tcPr>
            <w:tcW w:w="670" w:type="dxa"/>
            <w:tcBorders>
              <w:top w:val="single" w:color="auto" w:sz="6" w:space="0"/>
              <w:left w:val="single" w:color="auto" w:sz="6" w:space="0"/>
              <w:bottom w:val="single" w:color="auto" w:sz="6" w:space="0"/>
              <w:right w:val="single" w:color="auto" w:sz="4" w:space="0"/>
            </w:tcBorders>
            <w:vAlign w:val="center"/>
          </w:tcPr>
          <w:p w14:paraId="11917E91">
            <w:pPr>
              <w:widowControl/>
              <w:adjustRightInd w:val="0"/>
              <w:snapToGrid w:val="0"/>
              <w:jc w:val="center"/>
              <w:rPr>
                <w:rFonts w:ascii="宋体" w:hAnsi="宋体" w:cs="宋体"/>
                <w:kern w:val="0"/>
                <w:sz w:val="15"/>
                <w:szCs w:val="15"/>
              </w:rPr>
            </w:pPr>
          </w:p>
        </w:tc>
        <w:tc>
          <w:tcPr>
            <w:tcW w:w="670" w:type="dxa"/>
            <w:tcBorders>
              <w:top w:val="single" w:color="auto" w:sz="6" w:space="0"/>
              <w:left w:val="single" w:color="auto" w:sz="6" w:space="0"/>
              <w:bottom w:val="single" w:color="auto" w:sz="6" w:space="0"/>
              <w:right w:val="single" w:color="auto" w:sz="4" w:space="0"/>
            </w:tcBorders>
            <w:vAlign w:val="center"/>
          </w:tcPr>
          <w:p w14:paraId="01BBFAC7">
            <w:pPr>
              <w:widowControl/>
              <w:adjustRightInd w:val="0"/>
              <w:snapToGrid w:val="0"/>
              <w:jc w:val="center"/>
              <w:rPr>
                <w:rFonts w:ascii="宋体" w:hAnsi="宋体" w:cs="宋体"/>
                <w:kern w:val="0"/>
                <w:sz w:val="15"/>
                <w:szCs w:val="15"/>
              </w:rPr>
            </w:pPr>
          </w:p>
        </w:tc>
        <w:tc>
          <w:tcPr>
            <w:tcW w:w="560" w:type="dxa"/>
            <w:tcBorders>
              <w:top w:val="single" w:color="auto" w:sz="6" w:space="0"/>
              <w:left w:val="single" w:color="auto" w:sz="6" w:space="0"/>
              <w:bottom w:val="single" w:color="auto" w:sz="6" w:space="0"/>
              <w:right w:val="single" w:color="auto" w:sz="4" w:space="0"/>
            </w:tcBorders>
            <w:vAlign w:val="center"/>
          </w:tcPr>
          <w:p w14:paraId="6F989E00">
            <w:pPr>
              <w:widowControl/>
              <w:adjustRightInd w:val="0"/>
              <w:snapToGrid w:val="0"/>
              <w:jc w:val="center"/>
              <w:rPr>
                <w:rFonts w:ascii="宋体" w:hAnsi="宋体" w:cs="宋体"/>
                <w:kern w:val="0"/>
                <w:sz w:val="15"/>
                <w:szCs w:val="15"/>
              </w:rPr>
            </w:pPr>
          </w:p>
        </w:tc>
        <w:tc>
          <w:tcPr>
            <w:tcW w:w="710" w:type="dxa"/>
            <w:tcBorders>
              <w:top w:val="single" w:color="auto" w:sz="6" w:space="0"/>
              <w:left w:val="single" w:color="auto" w:sz="6" w:space="0"/>
              <w:bottom w:val="single" w:color="auto" w:sz="6" w:space="0"/>
              <w:right w:val="single" w:color="auto" w:sz="4" w:space="0"/>
            </w:tcBorders>
            <w:vAlign w:val="center"/>
          </w:tcPr>
          <w:p w14:paraId="5902A502">
            <w:pPr>
              <w:widowControl/>
              <w:adjustRightInd w:val="0"/>
              <w:snapToGrid w:val="0"/>
              <w:jc w:val="center"/>
              <w:rPr>
                <w:rFonts w:ascii="宋体" w:hAnsi="宋体" w:cs="宋体"/>
                <w:kern w:val="0"/>
                <w:sz w:val="15"/>
                <w:szCs w:val="15"/>
              </w:rPr>
            </w:pPr>
          </w:p>
        </w:tc>
      </w:tr>
      <w:tr w14:paraId="31B01853">
        <w:tblPrEx>
          <w:tblCellMar>
            <w:top w:w="0" w:type="dxa"/>
            <w:left w:w="108" w:type="dxa"/>
            <w:bottom w:w="0" w:type="dxa"/>
            <w:right w:w="108" w:type="dxa"/>
          </w:tblCellMar>
        </w:tblPrEx>
        <w:trPr>
          <w:trHeight w:val="270" w:hRule="atLeast"/>
          <w:jc w:val="center"/>
        </w:trPr>
        <w:tc>
          <w:tcPr>
            <w:tcW w:w="480" w:type="dxa"/>
            <w:tcBorders>
              <w:top w:val="nil"/>
              <w:left w:val="single" w:color="auto" w:sz="4" w:space="0"/>
              <w:bottom w:val="single" w:color="auto" w:sz="4" w:space="0"/>
              <w:right w:val="single" w:color="auto" w:sz="4" w:space="0"/>
            </w:tcBorders>
            <w:vAlign w:val="center"/>
          </w:tcPr>
          <w:p w14:paraId="774FC1B1">
            <w:pPr>
              <w:widowControl/>
              <w:adjustRightInd w:val="0"/>
              <w:snapToGrid w:val="0"/>
              <w:jc w:val="center"/>
              <w:rPr>
                <w:rFonts w:ascii="宋体" w:hAnsi="宋体" w:cs="宋体"/>
                <w:kern w:val="0"/>
                <w:sz w:val="15"/>
                <w:szCs w:val="15"/>
              </w:rPr>
            </w:pPr>
          </w:p>
        </w:tc>
        <w:tc>
          <w:tcPr>
            <w:tcW w:w="678" w:type="dxa"/>
            <w:tcBorders>
              <w:top w:val="nil"/>
              <w:left w:val="single" w:color="auto" w:sz="4" w:space="0"/>
              <w:bottom w:val="single" w:color="auto" w:sz="4" w:space="0"/>
              <w:right w:val="single" w:color="auto" w:sz="4" w:space="0"/>
            </w:tcBorders>
            <w:vAlign w:val="center"/>
          </w:tcPr>
          <w:p w14:paraId="35729BA3">
            <w:pPr>
              <w:widowControl/>
              <w:adjustRightInd w:val="0"/>
              <w:snapToGrid w:val="0"/>
              <w:jc w:val="center"/>
              <w:rPr>
                <w:rFonts w:ascii="宋体" w:hAnsi="宋体" w:cs="宋体"/>
                <w:kern w:val="0"/>
                <w:sz w:val="15"/>
                <w:szCs w:val="15"/>
              </w:rPr>
            </w:pPr>
          </w:p>
        </w:tc>
        <w:tc>
          <w:tcPr>
            <w:tcW w:w="480" w:type="dxa"/>
            <w:tcBorders>
              <w:top w:val="nil"/>
              <w:left w:val="single" w:color="auto" w:sz="4" w:space="0"/>
              <w:bottom w:val="single" w:color="auto" w:sz="4" w:space="0"/>
              <w:right w:val="single" w:color="auto" w:sz="4" w:space="0"/>
            </w:tcBorders>
            <w:vAlign w:val="center"/>
          </w:tcPr>
          <w:p w14:paraId="594F9C0E">
            <w:pPr>
              <w:widowControl/>
              <w:adjustRightInd w:val="0"/>
              <w:snapToGrid w:val="0"/>
              <w:jc w:val="center"/>
              <w:rPr>
                <w:rFonts w:ascii="宋体" w:hAnsi="宋体" w:cs="宋体"/>
                <w:kern w:val="0"/>
                <w:sz w:val="15"/>
                <w:szCs w:val="15"/>
              </w:rPr>
            </w:pPr>
          </w:p>
        </w:tc>
        <w:tc>
          <w:tcPr>
            <w:tcW w:w="762" w:type="dxa"/>
            <w:tcBorders>
              <w:top w:val="nil"/>
              <w:left w:val="nil"/>
              <w:bottom w:val="single" w:color="auto" w:sz="4" w:space="0"/>
              <w:right w:val="single" w:color="auto" w:sz="4" w:space="0"/>
            </w:tcBorders>
            <w:noWrap/>
            <w:vAlign w:val="center"/>
          </w:tcPr>
          <w:p w14:paraId="5EA4E445">
            <w:pPr>
              <w:widowControl/>
              <w:adjustRightInd w:val="0"/>
              <w:snapToGrid w:val="0"/>
              <w:jc w:val="center"/>
              <w:rPr>
                <w:rFonts w:ascii="宋体" w:hAnsi="宋体" w:cs="宋体"/>
                <w:kern w:val="0"/>
                <w:sz w:val="15"/>
                <w:szCs w:val="15"/>
              </w:rPr>
            </w:pPr>
          </w:p>
        </w:tc>
        <w:tc>
          <w:tcPr>
            <w:tcW w:w="830" w:type="dxa"/>
            <w:tcBorders>
              <w:top w:val="nil"/>
              <w:left w:val="nil"/>
              <w:bottom w:val="single" w:color="auto" w:sz="4" w:space="0"/>
              <w:right w:val="single" w:color="auto" w:sz="4" w:space="0"/>
            </w:tcBorders>
            <w:noWrap/>
            <w:vAlign w:val="center"/>
          </w:tcPr>
          <w:p w14:paraId="3BE049CC">
            <w:pPr>
              <w:widowControl/>
              <w:adjustRightInd w:val="0"/>
              <w:snapToGrid w:val="0"/>
              <w:jc w:val="center"/>
              <w:rPr>
                <w:rFonts w:ascii="宋体" w:hAnsi="宋体" w:cs="宋体"/>
                <w:kern w:val="0"/>
                <w:sz w:val="15"/>
                <w:szCs w:val="15"/>
              </w:rPr>
            </w:pPr>
          </w:p>
        </w:tc>
        <w:tc>
          <w:tcPr>
            <w:tcW w:w="762" w:type="dxa"/>
            <w:tcBorders>
              <w:top w:val="nil"/>
              <w:left w:val="nil"/>
              <w:bottom w:val="single" w:color="auto" w:sz="4" w:space="0"/>
              <w:right w:val="single" w:color="auto" w:sz="4" w:space="0"/>
            </w:tcBorders>
            <w:noWrap/>
            <w:vAlign w:val="center"/>
          </w:tcPr>
          <w:p w14:paraId="54BEFD2C">
            <w:pPr>
              <w:widowControl/>
              <w:adjustRightInd w:val="0"/>
              <w:snapToGrid w:val="0"/>
              <w:jc w:val="center"/>
              <w:rPr>
                <w:rFonts w:ascii="宋体" w:hAnsi="宋体" w:cs="宋体"/>
                <w:strike/>
                <w:kern w:val="0"/>
                <w:sz w:val="15"/>
                <w:szCs w:val="15"/>
              </w:rPr>
            </w:pPr>
          </w:p>
        </w:tc>
        <w:tc>
          <w:tcPr>
            <w:tcW w:w="764" w:type="dxa"/>
            <w:tcBorders>
              <w:top w:val="nil"/>
              <w:left w:val="nil"/>
              <w:bottom w:val="single" w:color="auto" w:sz="4" w:space="0"/>
              <w:right w:val="single" w:color="auto" w:sz="4" w:space="0"/>
            </w:tcBorders>
            <w:noWrap/>
            <w:vAlign w:val="center"/>
          </w:tcPr>
          <w:p w14:paraId="7A6D15BE">
            <w:pPr>
              <w:widowControl/>
              <w:adjustRightInd w:val="0"/>
              <w:snapToGrid w:val="0"/>
              <w:jc w:val="center"/>
              <w:rPr>
                <w:rFonts w:ascii="宋体" w:hAnsi="宋体" w:cs="宋体"/>
                <w:kern w:val="0"/>
                <w:sz w:val="15"/>
                <w:szCs w:val="15"/>
              </w:rPr>
            </w:pPr>
          </w:p>
        </w:tc>
        <w:tc>
          <w:tcPr>
            <w:tcW w:w="539" w:type="dxa"/>
            <w:tcBorders>
              <w:top w:val="nil"/>
              <w:left w:val="nil"/>
              <w:bottom w:val="single" w:color="auto" w:sz="4" w:space="0"/>
              <w:right w:val="single" w:color="auto" w:sz="4" w:space="0"/>
            </w:tcBorders>
            <w:noWrap/>
            <w:vAlign w:val="center"/>
          </w:tcPr>
          <w:p w14:paraId="1D156BB8">
            <w:pPr>
              <w:widowControl/>
              <w:adjustRightInd w:val="0"/>
              <w:snapToGrid w:val="0"/>
              <w:jc w:val="center"/>
              <w:rPr>
                <w:rFonts w:ascii="宋体" w:hAnsi="宋体" w:cs="宋体"/>
                <w:kern w:val="0"/>
                <w:sz w:val="15"/>
                <w:szCs w:val="15"/>
              </w:rPr>
            </w:pPr>
          </w:p>
        </w:tc>
        <w:tc>
          <w:tcPr>
            <w:tcW w:w="655" w:type="dxa"/>
            <w:tcBorders>
              <w:top w:val="nil"/>
              <w:left w:val="nil"/>
              <w:bottom w:val="single" w:color="auto" w:sz="4" w:space="0"/>
              <w:right w:val="single" w:color="auto" w:sz="4" w:space="0"/>
            </w:tcBorders>
            <w:noWrap/>
            <w:vAlign w:val="center"/>
          </w:tcPr>
          <w:p w14:paraId="4134FB6A">
            <w:pPr>
              <w:widowControl/>
              <w:adjustRightInd w:val="0"/>
              <w:snapToGrid w:val="0"/>
              <w:jc w:val="center"/>
              <w:rPr>
                <w:rFonts w:ascii="宋体" w:hAnsi="宋体" w:cs="宋体"/>
                <w:kern w:val="0"/>
                <w:sz w:val="15"/>
                <w:szCs w:val="15"/>
              </w:rPr>
            </w:pPr>
          </w:p>
        </w:tc>
        <w:tc>
          <w:tcPr>
            <w:tcW w:w="490" w:type="dxa"/>
            <w:tcBorders>
              <w:top w:val="nil"/>
              <w:left w:val="nil"/>
              <w:bottom w:val="single" w:color="auto" w:sz="4" w:space="0"/>
              <w:right w:val="single" w:color="auto" w:sz="4" w:space="0"/>
            </w:tcBorders>
            <w:noWrap/>
            <w:vAlign w:val="center"/>
          </w:tcPr>
          <w:p w14:paraId="2040CD78">
            <w:pPr>
              <w:widowControl/>
              <w:adjustRightInd w:val="0"/>
              <w:snapToGrid w:val="0"/>
              <w:jc w:val="center"/>
              <w:rPr>
                <w:rFonts w:ascii="宋体" w:hAnsi="宋体" w:cs="宋体"/>
                <w:kern w:val="0"/>
                <w:sz w:val="15"/>
                <w:szCs w:val="15"/>
              </w:rPr>
            </w:pPr>
          </w:p>
        </w:tc>
        <w:tc>
          <w:tcPr>
            <w:tcW w:w="640" w:type="dxa"/>
            <w:tcBorders>
              <w:top w:val="nil"/>
              <w:left w:val="nil"/>
              <w:bottom w:val="single" w:color="auto" w:sz="4" w:space="0"/>
              <w:right w:val="single" w:color="auto" w:sz="4" w:space="0"/>
            </w:tcBorders>
            <w:noWrap/>
            <w:vAlign w:val="center"/>
          </w:tcPr>
          <w:p w14:paraId="3BB7ED21">
            <w:pPr>
              <w:widowControl/>
              <w:adjustRightInd w:val="0"/>
              <w:snapToGrid w:val="0"/>
              <w:jc w:val="center"/>
              <w:rPr>
                <w:rFonts w:ascii="宋体" w:hAnsi="宋体" w:cs="宋体"/>
                <w:kern w:val="0"/>
                <w:sz w:val="15"/>
                <w:szCs w:val="15"/>
              </w:rPr>
            </w:pPr>
          </w:p>
        </w:tc>
        <w:tc>
          <w:tcPr>
            <w:tcW w:w="945" w:type="dxa"/>
            <w:tcBorders>
              <w:top w:val="nil"/>
              <w:left w:val="nil"/>
              <w:bottom w:val="single" w:color="auto" w:sz="4" w:space="0"/>
              <w:right w:val="single" w:color="auto" w:sz="4" w:space="0"/>
            </w:tcBorders>
            <w:noWrap/>
            <w:vAlign w:val="center"/>
          </w:tcPr>
          <w:p w14:paraId="486010D7">
            <w:pPr>
              <w:widowControl/>
              <w:adjustRightInd w:val="0"/>
              <w:snapToGrid w:val="0"/>
              <w:jc w:val="center"/>
              <w:rPr>
                <w:rFonts w:ascii="宋体" w:hAnsi="宋体" w:cs="宋体"/>
                <w:kern w:val="0"/>
                <w:sz w:val="15"/>
                <w:szCs w:val="15"/>
              </w:rPr>
            </w:pPr>
          </w:p>
        </w:tc>
        <w:tc>
          <w:tcPr>
            <w:tcW w:w="730" w:type="dxa"/>
            <w:tcBorders>
              <w:top w:val="nil"/>
              <w:left w:val="nil"/>
              <w:bottom w:val="single" w:color="auto" w:sz="4" w:space="0"/>
              <w:right w:val="single" w:color="auto" w:sz="4" w:space="0"/>
            </w:tcBorders>
            <w:noWrap/>
            <w:vAlign w:val="center"/>
          </w:tcPr>
          <w:p w14:paraId="11F88466">
            <w:pPr>
              <w:widowControl/>
              <w:adjustRightInd w:val="0"/>
              <w:snapToGrid w:val="0"/>
              <w:jc w:val="center"/>
              <w:rPr>
                <w:rFonts w:ascii="宋体" w:hAnsi="宋体" w:cs="宋体"/>
                <w:kern w:val="0"/>
                <w:sz w:val="15"/>
                <w:szCs w:val="15"/>
              </w:rPr>
            </w:pPr>
          </w:p>
        </w:tc>
        <w:tc>
          <w:tcPr>
            <w:tcW w:w="530" w:type="dxa"/>
            <w:tcBorders>
              <w:top w:val="single" w:color="auto" w:sz="6" w:space="0"/>
              <w:left w:val="single" w:color="auto" w:sz="6" w:space="0"/>
              <w:bottom w:val="single" w:color="auto" w:sz="4" w:space="0"/>
              <w:right w:val="single" w:color="auto" w:sz="4" w:space="0"/>
            </w:tcBorders>
            <w:vAlign w:val="center"/>
          </w:tcPr>
          <w:p w14:paraId="6DDA8CD0">
            <w:pPr>
              <w:widowControl/>
              <w:adjustRightInd w:val="0"/>
              <w:snapToGrid w:val="0"/>
              <w:jc w:val="center"/>
              <w:rPr>
                <w:rFonts w:ascii="宋体" w:hAnsi="宋体" w:cs="宋体"/>
                <w:kern w:val="0"/>
                <w:sz w:val="15"/>
                <w:szCs w:val="15"/>
              </w:rPr>
            </w:pPr>
          </w:p>
        </w:tc>
        <w:tc>
          <w:tcPr>
            <w:tcW w:w="800" w:type="dxa"/>
            <w:tcBorders>
              <w:top w:val="single" w:color="auto" w:sz="6" w:space="0"/>
              <w:left w:val="single" w:color="auto" w:sz="6" w:space="0"/>
              <w:bottom w:val="single" w:color="auto" w:sz="4" w:space="0"/>
              <w:right w:val="single" w:color="auto" w:sz="4" w:space="0"/>
            </w:tcBorders>
            <w:vAlign w:val="center"/>
          </w:tcPr>
          <w:p w14:paraId="170DFEE8">
            <w:pPr>
              <w:widowControl/>
              <w:adjustRightInd w:val="0"/>
              <w:snapToGrid w:val="0"/>
              <w:jc w:val="center"/>
              <w:rPr>
                <w:rFonts w:ascii="宋体" w:hAnsi="宋体" w:cs="宋体"/>
                <w:kern w:val="0"/>
                <w:sz w:val="15"/>
                <w:szCs w:val="15"/>
              </w:rPr>
            </w:pPr>
          </w:p>
        </w:tc>
        <w:tc>
          <w:tcPr>
            <w:tcW w:w="790" w:type="dxa"/>
            <w:tcBorders>
              <w:top w:val="single" w:color="auto" w:sz="6" w:space="0"/>
              <w:left w:val="single" w:color="auto" w:sz="6" w:space="0"/>
              <w:bottom w:val="single" w:color="auto" w:sz="4" w:space="0"/>
              <w:right w:val="single" w:color="auto" w:sz="4" w:space="0"/>
            </w:tcBorders>
            <w:vAlign w:val="center"/>
          </w:tcPr>
          <w:p w14:paraId="7599BA2B">
            <w:pPr>
              <w:widowControl/>
              <w:adjustRightInd w:val="0"/>
              <w:snapToGrid w:val="0"/>
              <w:jc w:val="center"/>
              <w:rPr>
                <w:rFonts w:ascii="宋体" w:hAnsi="宋体" w:cs="宋体"/>
                <w:kern w:val="0"/>
                <w:sz w:val="15"/>
                <w:szCs w:val="15"/>
              </w:rPr>
            </w:pPr>
          </w:p>
        </w:tc>
        <w:tc>
          <w:tcPr>
            <w:tcW w:w="670" w:type="dxa"/>
            <w:tcBorders>
              <w:top w:val="single" w:color="auto" w:sz="6" w:space="0"/>
              <w:left w:val="single" w:color="auto" w:sz="6" w:space="0"/>
              <w:bottom w:val="single" w:color="auto" w:sz="4" w:space="0"/>
              <w:right w:val="single" w:color="auto" w:sz="4" w:space="0"/>
            </w:tcBorders>
            <w:vAlign w:val="center"/>
          </w:tcPr>
          <w:p w14:paraId="64E9B7A4">
            <w:pPr>
              <w:widowControl/>
              <w:adjustRightInd w:val="0"/>
              <w:snapToGrid w:val="0"/>
              <w:jc w:val="center"/>
              <w:rPr>
                <w:rFonts w:ascii="宋体" w:hAnsi="宋体" w:cs="宋体"/>
                <w:kern w:val="0"/>
                <w:sz w:val="15"/>
                <w:szCs w:val="15"/>
              </w:rPr>
            </w:pPr>
          </w:p>
        </w:tc>
        <w:tc>
          <w:tcPr>
            <w:tcW w:w="670" w:type="dxa"/>
            <w:tcBorders>
              <w:top w:val="single" w:color="auto" w:sz="6" w:space="0"/>
              <w:left w:val="single" w:color="auto" w:sz="6" w:space="0"/>
              <w:bottom w:val="single" w:color="auto" w:sz="4" w:space="0"/>
              <w:right w:val="single" w:color="auto" w:sz="4" w:space="0"/>
            </w:tcBorders>
            <w:vAlign w:val="center"/>
          </w:tcPr>
          <w:p w14:paraId="104AA324">
            <w:pPr>
              <w:widowControl/>
              <w:adjustRightInd w:val="0"/>
              <w:snapToGrid w:val="0"/>
              <w:jc w:val="center"/>
              <w:rPr>
                <w:rFonts w:ascii="宋体" w:hAnsi="宋体" w:cs="宋体"/>
                <w:kern w:val="0"/>
                <w:sz w:val="15"/>
                <w:szCs w:val="15"/>
              </w:rPr>
            </w:pPr>
          </w:p>
        </w:tc>
        <w:tc>
          <w:tcPr>
            <w:tcW w:w="560" w:type="dxa"/>
            <w:tcBorders>
              <w:top w:val="single" w:color="auto" w:sz="6" w:space="0"/>
              <w:left w:val="single" w:color="auto" w:sz="6" w:space="0"/>
              <w:bottom w:val="single" w:color="auto" w:sz="4" w:space="0"/>
              <w:right w:val="single" w:color="auto" w:sz="4" w:space="0"/>
            </w:tcBorders>
            <w:vAlign w:val="center"/>
          </w:tcPr>
          <w:p w14:paraId="6D718D65">
            <w:pPr>
              <w:widowControl/>
              <w:adjustRightInd w:val="0"/>
              <w:snapToGrid w:val="0"/>
              <w:jc w:val="center"/>
              <w:rPr>
                <w:rFonts w:ascii="宋体" w:hAnsi="宋体" w:cs="宋体"/>
                <w:kern w:val="0"/>
                <w:sz w:val="15"/>
                <w:szCs w:val="15"/>
              </w:rPr>
            </w:pPr>
          </w:p>
        </w:tc>
        <w:tc>
          <w:tcPr>
            <w:tcW w:w="710" w:type="dxa"/>
            <w:tcBorders>
              <w:top w:val="single" w:color="auto" w:sz="6" w:space="0"/>
              <w:left w:val="single" w:color="auto" w:sz="6" w:space="0"/>
              <w:bottom w:val="single" w:color="auto" w:sz="4" w:space="0"/>
              <w:right w:val="single" w:color="auto" w:sz="4" w:space="0"/>
            </w:tcBorders>
            <w:vAlign w:val="center"/>
          </w:tcPr>
          <w:p w14:paraId="51F26F33">
            <w:pPr>
              <w:widowControl/>
              <w:adjustRightInd w:val="0"/>
              <w:snapToGrid w:val="0"/>
              <w:jc w:val="center"/>
              <w:rPr>
                <w:rFonts w:ascii="宋体" w:hAnsi="宋体" w:cs="宋体"/>
                <w:kern w:val="0"/>
                <w:sz w:val="15"/>
                <w:szCs w:val="15"/>
              </w:rPr>
            </w:pPr>
          </w:p>
        </w:tc>
      </w:tr>
      <w:tr w14:paraId="33F5062E">
        <w:tblPrEx>
          <w:tblCellMar>
            <w:top w:w="0" w:type="dxa"/>
            <w:left w:w="108" w:type="dxa"/>
            <w:bottom w:w="0" w:type="dxa"/>
            <w:right w:w="108" w:type="dxa"/>
          </w:tblCellMar>
        </w:tblPrEx>
        <w:trPr>
          <w:trHeight w:val="27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1DDBC58F">
            <w:pPr>
              <w:widowControl/>
              <w:adjustRightInd w:val="0"/>
              <w:snapToGrid w:val="0"/>
              <w:jc w:val="center"/>
              <w:rPr>
                <w:rFonts w:ascii="宋体" w:hAnsi="宋体" w:cs="宋体"/>
                <w:kern w:val="0"/>
                <w:sz w:val="15"/>
                <w:szCs w:val="15"/>
              </w:rPr>
            </w:pPr>
          </w:p>
        </w:tc>
        <w:tc>
          <w:tcPr>
            <w:tcW w:w="678" w:type="dxa"/>
            <w:tcBorders>
              <w:top w:val="single" w:color="auto" w:sz="4" w:space="0"/>
              <w:left w:val="single" w:color="auto" w:sz="4" w:space="0"/>
              <w:bottom w:val="single" w:color="auto" w:sz="4" w:space="0"/>
              <w:right w:val="single" w:color="auto" w:sz="4" w:space="0"/>
            </w:tcBorders>
            <w:vAlign w:val="center"/>
          </w:tcPr>
          <w:p w14:paraId="4E1958B8">
            <w:pPr>
              <w:widowControl/>
              <w:adjustRightInd w:val="0"/>
              <w:snapToGrid w:val="0"/>
              <w:jc w:val="center"/>
              <w:rPr>
                <w:rFonts w:ascii="宋体" w:hAnsi="宋体" w:cs="宋体"/>
                <w:kern w:val="0"/>
                <w:sz w:val="15"/>
                <w:szCs w:val="15"/>
              </w:rPr>
            </w:pPr>
          </w:p>
        </w:tc>
        <w:tc>
          <w:tcPr>
            <w:tcW w:w="480" w:type="dxa"/>
            <w:tcBorders>
              <w:top w:val="single" w:color="auto" w:sz="4" w:space="0"/>
              <w:left w:val="single" w:color="auto" w:sz="4" w:space="0"/>
              <w:bottom w:val="single" w:color="auto" w:sz="4" w:space="0"/>
              <w:right w:val="single" w:color="auto" w:sz="4" w:space="0"/>
            </w:tcBorders>
            <w:vAlign w:val="center"/>
          </w:tcPr>
          <w:p w14:paraId="24D0E4D2">
            <w:pPr>
              <w:widowControl/>
              <w:adjustRightInd w:val="0"/>
              <w:snapToGrid w:val="0"/>
              <w:jc w:val="center"/>
              <w:rPr>
                <w:rFonts w:ascii="宋体" w:hAnsi="宋体" w:cs="宋体"/>
                <w:kern w:val="0"/>
                <w:sz w:val="15"/>
                <w:szCs w:val="15"/>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1F7D9CD4">
            <w:pPr>
              <w:widowControl/>
              <w:adjustRightInd w:val="0"/>
              <w:snapToGrid w:val="0"/>
              <w:jc w:val="center"/>
              <w:rPr>
                <w:rFonts w:ascii="宋体" w:hAnsi="宋体" w:cs="宋体"/>
                <w:kern w:val="0"/>
                <w:sz w:val="15"/>
                <w:szCs w:val="15"/>
              </w:rPr>
            </w:pPr>
          </w:p>
        </w:tc>
        <w:tc>
          <w:tcPr>
            <w:tcW w:w="830" w:type="dxa"/>
            <w:tcBorders>
              <w:top w:val="single" w:color="auto" w:sz="4" w:space="0"/>
              <w:left w:val="single" w:color="auto" w:sz="4" w:space="0"/>
              <w:bottom w:val="single" w:color="auto" w:sz="4" w:space="0"/>
              <w:right w:val="single" w:color="auto" w:sz="4" w:space="0"/>
            </w:tcBorders>
            <w:noWrap/>
            <w:vAlign w:val="center"/>
          </w:tcPr>
          <w:p w14:paraId="3D467DF7">
            <w:pPr>
              <w:widowControl/>
              <w:adjustRightInd w:val="0"/>
              <w:snapToGrid w:val="0"/>
              <w:jc w:val="center"/>
              <w:rPr>
                <w:rFonts w:ascii="宋体" w:hAnsi="宋体" w:cs="宋体"/>
                <w:kern w:val="0"/>
                <w:sz w:val="15"/>
                <w:szCs w:val="15"/>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55277B2E">
            <w:pPr>
              <w:widowControl/>
              <w:adjustRightInd w:val="0"/>
              <w:snapToGrid w:val="0"/>
              <w:jc w:val="center"/>
              <w:rPr>
                <w:rFonts w:ascii="宋体" w:hAnsi="宋体" w:cs="宋体"/>
                <w:strike/>
                <w:kern w:val="0"/>
                <w:sz w:val="15"/>
                <w:szCs w:val="15"/>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2608C835">
            <w:pPr>
              <w:widowControl/>
              <w:adjustRightInd w:val="0"/>
              <w:snapToGrid w:val="0"/>
              <w:jc w:val="center"/>
              <w:rPr>
                <w:rFonts w:ascii="宋体" w:hAnsi="宋体" w:cs="宋体"/>
                <w:kern w:val="0"/>
                <w:sz w:val="15"/>
                <w:szCs w:val="15"/>
              </w:rPr>
            </w:pPr>
          </w:p>
        </w:tc>
        <w:tc>
          <w:tcPr>
            <w:tcW w:w="539" w:type="dxa"/>
            <w:tcBorders>
              <w:top w:val="single" w:color="auto" w:sz="4" w:space="0"/>
              <w:left w:val="single" w:color="auto" w:sz="4" w:space="0"/>
              <w:bottom w:val="single" w:color="auto" w:sz="4" w:space="0"/>
              <w:right w:val="single" w:color="auto" w:sz="4" w:space="0"/>
            </w:tcBorders>
            <w:noWrap/>
            <w:vAlign w:val="center"/>
          </w:tcPr>
          <w:p w14:paraId="078B9F06">
            <w:pPr>
              <w:widowControl/>
              <w:adjustRightInd w:val="0"/>
              <w:snapToGrid w:val="0"/>
              <w:jc w:val="center"/>
              <w:rPr>
                <w:rFonts w:ascii="宋体" w:hAnsi="宋体" w:cs="宋体"/>
                <w:kern w:val="0"/>
                <w:sz w:val="15"/>
                <w:szCs w:val="15"/>
              </w:rPr>
            </w:pPr>
          </w:p>
        </w:tc>
        <w:tc>
          <w:tcPr>
            <w:tcW w:w="655" w:type="dxa"/>
            <w:tcBorders>
              <w:top w:val="single" w:color="auto" w:sz="4" w:space="0"/>
              <w:left w:val="single" w:color="auto" w:sz="4" w:space="0"/>
              <w:bottom w:val="single" w:color="auto" w:sz="4" w:space="0"/>
              <w:right w:val="single" w:color="auto" w:sz="4" w:space="0"/>
            </w:tcBorders>
            <w:noWrap/>
            <w:vAlign w:val="center"/>
          </w:tcPr>
          <w:p w14:paraId="4A4444FC">
            <w:pPr>
              <w:widowControl/>
              <w:adjustRightInd w:val="0"/>
              <w:snapToGrid w:val="0"/>
              <w:jc w:val="center"/>
              <w:rPr>
                <w:rFonts w:ascii="宋体" w:hAnsi="宋体" w:cs="宋体"/>
                <w:kern w:val="0"/>
                <w:sz w:val="15"/>
                <w:szCs w:val="15"/>
              </w:rPr>
            </w:pPr>
          </w:p>
        </w:tc>
        <w:tc>
          <w:tcPr>
            <w:tcW w:w="490" w:type="dxa"/>
            <w:tcBorders>
              <w:top w:val="single" w:color="auto" w:sz="4" w:space="0"/>
              <w:left w:val="single" w:color="auto" w:sz="4" w:space="0"/>
              <w:bottom w:val="single" w:color="auto" w:sz="4" w:space="0"/>
              <w:right w:val="single" w:color="auto" w:sz="4" w:space="0"/>
            </w:tcBorders>
            <w:noWrap/>
            <w:vAlign w:val="center"/>
          </w:tcPr>
          <w:p w14:paraId="0AE6379D">
            <w:pPr>
              <w:widowControl/>
              <w:adjustRightInd w:val="0"/>
              <w:snapToGrid w:val="0"/>
              <w:jc w:val="center"/>
              <w:rPr>
                <w:rFonts w:ascii="宋体" w:hAnsi="宋体" w:cs="宋体"/>
                <w:kern w:val="0"/>
                <w:sz w:val="15"/>
                <w:szCs w:val="15"/>
              </w:rPr>
            </w:pPr>
          </w:p>
        </w:tc>
        <w:tc>
          <w:tcPr>
            <w:tcW w:w="640" w:type="dxa"/>
            <w:tcBorders>
              <w:top w:val="single" w:color="auto" w:sz="4" w:space="0"/>
              <w:left w:val="single" w:color="auto" w:sz="4" w:space="0"/>
              <w:bottom w:val="single" w:color="auto" w:sz="4" w:space="0"/>
              <w:right w:val="single" w:color="auto" w:sz="4" w:space="0"/>
            </w:tcBorders>
            <w:noWrap/>
            <w:vAlign w:val="center"/>
          </w:tcPr>
          <w:p w14:paraId="05B2485E">
            <w:pPr>
              <w:widowControl/>
              <w:adjustRightInd w:val="0"/>
              <w:snapToGrid w:val="0"/>
              <w:jc w:val="center"/>
              <w:rPr>
                <w:rFonts w:ascii="宋体" w:hAnsi="宋体" w:cs="宋体"/>
                <w:kern w:val="0"/>
                <w:sz w:val="15"/>
                <w:szCs w:val="15"/>
              </w:rPr>
            </w:pPr>
          </w:p>
        </w:tc>
        <w:tc>
          <w:tcPr>
            <w:tcW w:w="945" w:type="dxa"/>
            <w:tcBorders>
              <w:top w:val="single" w:color="auto" w:sz="4" w:space="0"/>
              <w:left w:val="single" w:color="auto" w:sz="4" w:space="0"/>
              <w:bottom w:val="single" w:color="auto" w:sz="4" w:space="0"/>
              <w:right w:val="single" w:color="auto" w:sz="4" w:space="0"/>
            </w:tcBorders>
            <w:noWrap/>
            <w:vAlign w:val="center"/>
          </w:tcPr>
          <w:p w14:paraId="531561E9">
            <w:pPr>
              <w:widowControl/>
              <w:adjustRightInd w:val="0"/>
              <w:snapToGrid w:val="0"/>
              <w:jc w:val="center"/>
              <w:rPr>
                <w:rFonts w:ascii="宋体" w:hAnsi="宋体" w:cs="宋体"/>
                <w:kern w:val="0"/>
                <w:sz w:val="15"/>
                <w:szCs w:val="15"/>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02CA64FF">
            <w:pPr>
              <w:widowControl/>
              <w:adjustRightInd w:val="0"/>
              <w:snapToGrid w:val="0"/>
              <w:jc w:val="center"/>
              <w:rPr>
                <w:rFonts w:ascii="宋体" w:hAnsi="宋体" w:cs="宋体"/>
                <w:kern w:val="0"/>
                <w:sz w:val="15"/>
                <w:szCs w:val="15"/>
              </w:rPr>
            </w:pPr>
          </w:p>
        </w:tc>
        <w:tc>
          <w:tcPr>
            <w:tcW w:w="530" w:type="dxa"/>
            <w:tcBorders>
              <w:top w:val="single" w:color="auto" w:sz="4" w:space="0"/>
              <w:left w:val="single" w:color="auto" w:sz="4" w:space="0"/>
              <w:bottom w:val="single" w:color="auto" w:sz="4" w:space="0"/>
              <w:right w:val="single" w:color="auto" w:sz="4" w:space="0"/>
            </w:tcBorders>
            <w:vAlign w:val="center"/>
          </w:tcPr>
          <w:p w14:paraId="7F0665B8">
            <w:pPr>
              <w:widowControl/>
              <w:adjustRightInd w:val="0"/>
              <w:snapToGrid w:val="0"/>
              <w:jc w:val="center"/>
              <w:rPr>
                <w:rFonts w:ascii="宋体" w:hAnsi="宋体" w:cs="宋体"/>
                <w:kern w:val="0"/>
                <w:sz w:val="15"/>
                <w:szCs w:val="15"/>
              </w:rPr>
            </w:pPr>
          </w:p>
        </w:tc>
        <w:tc>
          <w:tcPr>
            <w:tcW w:w="800" w:type="dxa"/>
            <w:tcBorders>
              <w:top w:val="single" w:color="auto" w:sz="4" w:space="0"/>
              <w:left w:val="single" w:color="auto" w:sz="4" w:space="0"/>
              <w:bottom w:val="single" w:color="auto" w:sz="4" w:space="0"/>
              <w:right w:val="single" w:color="auto" w:sz="4" w:space="0"/>
            </w:tcBorders>
            <w:vAlign w:val="center"/>
          </w:tcPr>
          <w:p w14:paraId="00F18CBE">
            <w:pPr>
              <w:widowControl/>
              <w:adjustRightInd w:val="0"/>
              <w:snapToGrid w:val="0"/>
              <w:jc w:val="center"/>
              <w:rPr>
                <w:rFonts w:ascii="宋体" w:hAnsi="宋体" w:cs="宋体"/>
                <w:kern w:val="0"/>
                <w:sz w:val="15"/>
                <w:szCs w:val="15"/>
              </w:rPr>
            </w:pPr>
          </w:p>
        </w:tc>
        <w:tc>
          <w:tcPr>
            <w:tcW w:w="790" w:type="dxa"/>
            <w:tcBorders>
              <w:top w:val="single" w:color="auto" w:sz="4" w:space="0"/>
              <w:left w:val="single" w:color="auto" w:sz="4" w:space="0"/>
              <w:bottom w:val="single" w:color="auto" w:sz="4" w:space="0"/>
              <w:right w:val="single" w:color="auto" w:sz="4" w:space="0"/>
            </w:tcBorders>
            <w:vAlign w:val="center"/>
          </w:tcPr>
          <w:p w14:paraId="55014DC7">
            <w:pPr>
              <w:widowControl/>
              <w:adjustRightInd w:val="0"/>
              <w:snapToGrid w:val="0"/>
              <w:jc w:val="center"/>
              <w:rPr>
                <w:rFonts w:ascii="宋体" w:hAnsi="宋体" w:cs="宋体"/>
                <w:kern w:val="0"/>
                <w:sz w:val="15"/>
                <w:szCs w:val="15"/>
              </w:rPr>
            </w:pPr>
          </w:p>
        </w:tc>
        <w:tc>
          <w:tcPr>
            <w:tcW w:w="670" w:type="dxa"/>
            <w:tcBorders>
              <w:top w:val="single" w:color="auto" w:sz="4" w:space="0"/>
              <w:left w:val="single" w:color="auto" w:sz="4" w:space="0"/>
              <w:bottom w:val="single" w:color="auto" w:sz="4" w:space="0"/>
              <w:right w:val="single" w:color="auto" w:sz="4" w:space="0"/>
            </w:tcBorders>
            <w:vAlign w:val="center"/>
          </w:tcPr>
          <w:p w14:paraId="686367C2">
            <w:pPr>
              <w:widowControl/>
              <w:adjustRightInd w:val="0"/>
              <w:snapToGrid w:val="0"/>
              <w:jc w:val="center"/>
              <w:rPr>
                <w:rFonts w:ascii="宋体" w:hAnsi="宋体" w:cs="宋体"/>
                <w:kern w:val="0"/>
                <w:sz w:val="15"/>
                <w:szCs w:val="15"/>
              </w:rPr>
            </w:pPr>
          </w:p>
        </w:tc>
        <w:tc>
          <w:tcPr>
            <w:tcW w:w="670" w:type="dxa"/>
            <w:tcBorders>
              <w:top w:val="single" w:color="auto" w:sz="4" w:space="0"/>
              <w:left w:val="single" w:color="auto" w:sz="4" w:space="0"/>
              <w:bottom w:val="single" w:color="auto" w:sz="4" w:space="0"/>
              <w:right w:val="single" w:color="auto" w:sz="4" w:space="0"/>
            </w:tcBorders>
            <w:vAlign w:val="center"/>
          </w:tcPr>
          <w:p w14:paraId="2CA0C6B3">
            <w:pPr>
              <w:widowControl/>
              <w:adjustRightInd w:val="0"/>
              <w:snapToGrid w:val="0"/>
              <w:jc w:val="center"/>
              <w:rPr>
                <w:rFonts w:ascii="宋体" w:hAnsi="宋体" w:cs="宋体"/>
                <w:kern w:val="0"/>
                <w:sz w:val="15"/>
                <w:szCs w:val="15"/>
              </w:rPr>
            </w:pPr>
          </w:p>
        </w:tc>
        <w:tc>
          <w:tcPr>
            <w:tcW w:w="560" w:type="dxa"/>
            <w:tcBorders>
              <w:top w:val="single" w:color="auto" w:sz="4" w:space="0"/>
              <w:left w:val="single" w:color="auto" w:sz="4" w:space="0"/>
              <w:bottom w:val="single" w:color="auto" w:sz="4" w:space="0"/>
              <w:right w:val="single" w:color="auto" w:sz="4" w:space="0"/>
            </w:tcBorders>
            <w:vAlign w:val="center"/>
          </w:tcPr>
          <w:p w14:paraId="18D6686C">
            <w:pPr>
              <w:widowControl/>
              <w:adjustRightInd w:val="0"/>
              <w:snapToGrid w:val="0"/>
              <w:jc w:val="center"/>
              <w:rPr>
                <w:rFonts w:ascii="宋体" w:hAnsi="宋体" w:cs="宋体"/>
                <w:kern w:val="0"/>
                <w:sz w:val="15"/>
                <w:szCs w:val="15"/>
              </w:rPr>
            </w:pPr>
          </w:p>
        </w:tc>
        <w:tc>
          <w:tcPr>
            <w:tcW w:w="710" w:type="dxa"/>
            <w:tcBorders>
              <w:top w:val="single" w:color="auto" w:sz="4" w:space="0"/>
              <w:left w:val="single" w:color="auto" w:sz="4" w:space="0"/>
              <w:bottom w:val="single" w:color="auto" w:sz="4" w:space="0"/>
              <w:right w:val="single" w:color="auto" w:sz="4" w:space="0"/>
            </w:tcBorders>
            <w:vAlign w:val="center"/>
          </w:tcPr>
          <w:p w14:paraId="1F43D73A">
            <w:pPr>
              <w:widowControl/>
              <w:adjustRightInd w:val="0"/>
              <w:snapToGrid w:val="0"/>
              <w:jc w:val="center"/>
              <w:rPr>
                <w:rFonts w:ascii="宋体" w:hAnsi="宋体" w:cs="宋体"/>
                <w:kern w:val="0"/>
                <w:sz w:val="15"/>
                <w:szCs w:val="15"/>
              </w:rPr>
            </w:pPr>
          </w:p>
        </w:tc>
      </w:tr>
      <w:tr w14:paraId="0C6F6027">
        <w:tblPrEx>
          <w:tblCellMar>
            <w:top w:w="0" w:type="dxa"/>
            <w:left w:w="108" w:type="dxa"/>
            <w:bottom w:w="0" w:type="dxa"/>
            <w:right w:w="108" w:type="dxa"/>
          </w:tblCellMar>
        </w:tblPrEx>
        <w:trPr>
          <w:trHeight w:val="224" w:hRule="atLeast"/>
          <w:jc w:val="center"/>
        </w:trPr>
        <w:tc>
          <w:tcPr>
            <w:tcW w:w="13485" w:type="dxa"/>
            <w:gridSpan w:val="20"/>
            <w:tcBorders>
              <w:top w:val="single" w:color="auto" w:sz="4" w:space="0"/>
              <w:left w:val="single" w:color="auto" w:sz="4" w:space="0"/>
              <w:bottom w:val="single" w:color="auto" w:sz="4" w:space="0"/>
              <w:right w:val="single" w:color="auto" w:sz="4" w:space="0"/>
            </w:tcBorders>
            <w:vAlign w:val="center"/>
          </w:tcPr>
          <w:p w14:paraId="19C074E1">
            <w:pPr>
              <w:widowControl/>
              <w:adjustRightInd w:val="0"/>
              <w:snapToGrid w:val="0"/>
              <w:jc w:val="center"/>
              <w:rPr>
                <w:rFonts w:ascii="宋体" w:hAnsi="宋体" w:cs="宋体"/>
                <w:kern w:val="0"/>
                <w:sz w:val="15"/>
                <w:szCs w:val="15"/>
              </w:rPr>
            </w:pPr>
            <w:r>
              <w:rPr>
                <w:rFonts w:hint="eastAsia" w:ascii="宋体" w:hAnsi="宋体" w:cs="宋体"/>
                <w:kern w:val="0"/>
                <w:sz w:val="15"/>
                <w:szCs w:val="15"/>
              </w:rPr>
              <w:t>合计（投标报价）</w:t>
            </w:r>
          </w:p>
        </w:tc>
      </w:tr>
    </w:tbl>
    <w:p w14:paraId="31950FD1">
      <w:pPr>
        <w:pStyle w:val="6"/>
      </w:pPr>
    </w:p>
    <w:p w14:paraId="581F20F9">
      <w:pPr>
        <w:pStyle w:val="6"/>
      </w:pPr>
    </w:p>
    <w:p w14:paraId="2D77D5C0">
      <w:pPr>
        <w:adjustRightInd w:val="0"/>
        <w:snapToGrid w:val="0"/>
        <w:spacing w:before="48" w:beforeLines="20" w:after="48" w:afterLines="20" w:line="400" w:lineRule="exact"/>
        <w:rPr>
          <w:rFonts w:ascii="宋体" w:hAnsi="宋体"/>
          <w:szCs w:val="22"/>
        </w:rPr>
      </w:pPr>
      <w:r>
        <w:rPr>
          <w:rFonts w:hint="eastAsia" w:ascii="宋体" w:hAnsi="宋体"/>
          <w:szCs w:val="22"/>
        </w:rPr>
        <w:t>注：</w:t>
      </w:r>
    </w:p>
    <w:p w14:paraId="22720073">
      <w:pPr>
        <w:adjustRightInd w:val="0"/>
        <w:snapToGrid w:val="0"/>
        <w:spacing w:line="320" w:lineRule="exact"/>
        <w:ind w:firstLine="426" w:firstLineChars="202"/>
        <w:rPr>
          <w:rFonts w:ascii="宋体" w:hAnsi="宋体"/>
          <w:b/>
          <w:bCs/>
          <w:szCs w:val="22"/>
        </w:rPr>
      </w:pPr>
      <w:r>
        <w:rPr>
          <w:rFonts w:hint="eastAsia" w:ascii="宋体" w:hAnsi="宋体"/>
          <w:b/>
          <w:bCs/>
          <w:szCs w:val="22"/>
        </w:rPr>
        <w:t>1.投标报价不得高于招标文件中公布的对应品目的最高投标限价（如有），否则其投标将被否决。</w:t>
      </w:r>
    </w:p>
    <w:p w14:paraId="73DEDE33">
      <w:pPr>
        <w:adjustRightInd w:val="0"/>
        <w:snapToGrid w:val="0"/>
        <w:spacing w:line="320" w:lineRule="exact"/>
        <w:ind w:firstLine="424" w:firstLineChars="202"/>
        <w:rPr>
          <w:rFonts w:ascii="宋体" w:hAnsi="宋体"/>
          <w:szCs w:val="22"/>
        </w:rPr>
      </w:pPr>
      <w:r>
        <w:rPr>
          <w:rFonts w:hint="eastAsia" w:ascii="宋体" w:hAnsi="宋体"/>
          <w:szCs w:val="22"/>
        </w:rPr>
        <w:t>投标人应就所投标的每一标包号分别填写一张分项报价表。</w:t>
      </w:r>
    </w:p>
    <w:p w14:paraId="76FEF832">
      <w:pPr>
        <w:adjustRightInd w:val="0"/>
        <w:snapToGrid w:val="0"/>
        <w:spacing w:line="320" w:lineRule="exact"/>
        <w:ind w:firstLine="424" w:firstLineChars="202"/>
        <w:rPr>
          <w:rFonts w:ascii="宋体" w:hAnsi="宋体"/>
          <w:szCs w:val="22"/>
        </w:rPr>
      </w:pPr>
      <w:r>
        <w:rPr>
          <w:rFonts w:hint="eastAsia" w:ascii="宋体" w:hAnsi="宋体"/>
          <w:szCs w:val="22"/>
        </w:rPr>
        <w:t>2.本表第16列所填投标单价是指对应品目的投标产品单位数量的价格，包括投标产品（含相关部件、连接件等）的供货、包装运输（包括装卸至指定地点的配送服务）、保险、检验、培训、技术服务、售后服务、利润、税费等内容的全部相关费用。</w:t>
      </w:r>
    </w:p>
    <w:p w14:paraId="75FE82A5">
      <w:pPr>
        <w:adjustRightInd w:val="0"/>
        <w:snapToGrid w:val="0"/>
        <w:spacing w:line="320" w:lineRule="exact"/>
        <w:ind w:firstLine="424" w:firstLineChars="202"/>
        <w:rPr>
          <w:rFonts w:ascii="宋体" w:hAnsi="宋体"/>
          <w:szCs w:val="22"/>
        </w:rPr>
      </w:pPr>
      <w:r>
        <w:rPr>
          <w:rFonts w:hint="eastAsia" w:ascii="宋体" w:hAnsi="宋体"/>
          <w:szCs w:val="22"/>
        </w:rPr>
        <w:t>3.本表应按招标人发出的“货物需求一览表”中的清单顺序填写，不得改变原清单品目顺序。</w:t>
      </w:r>
    </w:p>
    <w:p w14:paraId="2CC894FB">
      <w:pPr>
        <w:adjustRightInd w:val="0"/>
        <w:snapToGrid w:val="0"/>
        <w:spacing w:line="320" w:lineRule="exact"/>
        <w:ind w:firstLine="424" w:firstLineChars="202"/>
        <w:rPr>
          <w:rFonts w:ascii="宋体" w:hAnsi="宋体"/>
          <w:szCs w:val="22"/>
        </w:rPr>
      </w:pPr>
      <w:r>
        <w:rPr>
          <w:rFonts w:hint="eastAsia" w:ascii="宋体" w:hAnsi="宋体"/>
          <w:szCs w:val="22"/>
        </w:rPr>
        <w:t>4.本表中品目号应根据“货物需求一览表”中所列品目填写，若“货物需求一览表”中未列明，可填写序号。以下表格可按同样方式填写。</w:t>
      </w:r>
    </w:p>
    <w:p w14:paraId="6548C2A1">
      <w:pPr>
        <w:adjustRightInd w:val="0"/>
        <w:snapToGrid w:val="0"/>
        <w:spacing w:line="320" w:lineRule="exact"/>
        <w:ind w:firstLine="424" w:firstLineChars="202"/>
        <w:rPr>
          <w:rFonts w:ascii="宋体" w:hAnsi="宋体"/>
          <w:szCs w:val="22"/>
        </w:rPr>
      </w:pPr>
      <w:r>
        <w:rPr>
          <w:rFonts w:hint="eastAsia" w:ascii="宋体" w:hAnsi="宋体"/>
          <w:szCs w:val="22"/>
        </w:rPr>
        <w:t>5.本表所有</w:t>
      </w:r>
      <w:r>
        <w:rPr>
          <w:rFonts w:hint="eastAsia" w:ascii="宋体"/>
          <w:szCs w:val="21"/>
        </w:rPr>
        <w:t>列必须填写</w:t>
      </w:r>
      <w:r>
        <w:rPr>
          <w:rFonts w:hint="eastAsia" w:ascii="宋体" w:hAnsi="宋体"/>
          <w:szCs w:val="22"/>
        </w:rPr>
        <w:t>，如因客观原因确实没有相关信息的，可以填写“无”或“/”；其他列如没有相关信息的，可以填写“无”或“/”。</w:t>
      </w:r>
    </w:p>
    <w:p w14:paraId="04CBE111">
      <w:pPr>
        <w:adjustRightInd w:val="0"/>
        <w:snapToGrid w:val="0"/>
        <w:spacing w:line="320" w:lineRule="exact"/>
        <w:ind w:firstLine="424" w:firstLineChars="202"/>
        <w:rPr>
          <w:rFonts w:ascii="宋体" w:hAnsi="宋体"/>
          <w:szCs w:val="22"/>
        </w:rPr>
      </w:pPr>
      <w:r>
        <w:rPr>
          <w:rFonts w:hint="eastAsia" w:ascii="宋体" w:hAnsi="宋体"/>
          <w:szCs w:val="22"/>
        </w:rPr>
        <w:t>6.除招标文件中已明确外，如招标要求各型号的，投标人应在“投标产品规格型号”列中填写所投标的多种规格型号，型号之间用逗号隔开。</w:t>
      </w:r>
    </w:p>
    <w:p w14:paraId="4D963875">
      <w:pPr>
        <w:adjustRightInd w:val="0"/>
        <w:snapToGrid w:val="0"/>
        <w:spacing w:line="320" w:lineRule="exact"/>
        <w:ind w:firstLine="424" w:firstLineChars="202"/>
        <w:rPr>
          <w:rFonts w:ascii="宋体" w:hAnsi="宋体"/>
          <w:szCs w:val="22"/>
        </w:rPr>
      </w:pPr>
      <w:r>
        <w:rPr>
          <w:rFonts w:hint="eastAsia" w:ascii="宋体" w:hAnsi="宋体"/>
          <w:szCs w:val="22"/>
        </w:rPr>
        <w:t>7.此表合计项的“合计（投标报价）”若与开标一览表中“投标报价”有出入，以分项报价表中的合计（投标报价）为准，修正开标一览表中的投标报价。</w:t>
      </w:r>
    </w:p>
    <w:p w14:paraId="53B4AD15">
      <w:pPr>
        <w:adjustRightInd w:val="0"/>
        <w:snapToGrid w:val="0"/>
        <w:spacing w:line="320" w:lineRule="exact"/>
        <w:ind w:firstLine="426" w:firstLineChars="202"/>
        <w:rPr>
          <w:rFonts w:ascii="宋体" w:hAnsi="宋体"/>
          <w:b/>
          <w:bCs/>
          <w:szCs w:val="22"/>
        </w:rPr>
      </w:pPr>
      <w:r>
        <w:rPr>
          <w:rFonts w:hint="eastAsia" w:ascii="宋体" w:hAnsi="宋体"/>
          <w:b/>
          <w:bCs/>
          <w:szCs w:val="22"/>
        </w:rPr>
        <w:t>8.投标分项报价excel版：应在上传加密的电子投标文件时同时作为附件一并上传。</w:t>
      </w:r>
    </w:p>
    <w:p w14:paraId="5BBEBEBE">
      <w:pPr>
        <w:pStyle w:val="6"/>
      </w:pPr>
    </w:p>
    <w:p w14:paraId="03E62413">
      <w:pPr>
        <w:pStyle w:val="29"/>
        <w:spacing w:line="390" w:lineRule="atLeast"/>
        <w:jc w:val="right"/>
        <w:rPr>
          <w:rFonts w:ascii="宋体" w:hAnsi="宋体"/>
        </w:rPr>
      </w:pPr>
      <w:r>
        <w:rPr>
          <w:rFonts w:hint="eastAsia" w:ascii="宋体" w:hAnsi="宋体"/>
        </w:rPr>
        <w:t>投标供应商：</w:t>
      </w:r>
      <w:r>
        <w:rPr>
          <w:rFonts w:hint="eastAsia" w:ascii="宋体" w:hAnsi="宋体"/>
          <w:szCs w:val="24"/>
          <w:u w:val="single"/>
        </w:rPr>
        <w:t>（盖章）</w:t>
      </w:r>
    </w:p>
    <w:p w14:paraId="3B63D6C3">
      <w:pPr>
        <w:pStyle w:val="29"/>
        <w:spacing w:line="390" w:lineRule="atLeast"/>
        <w:jc w:val="right"/>
        <w:rPr>
          <w:rFonts w:ascii="宋体" w:hAnsi="宋体"/>
        </w:rPr>
      </w:pPr>
      <w:r>
        <w:rPr>
          <w:rFonts w:hint="eastAsia" w:ascii="宋体" w:hAnsi="宋体"/>
        </w:rPr>
        <w:t>年月日</w:t>
      </w:r>
    </w:p>
    <w:p w14:paraId="5A42BB2E">
      <w:pPr>
        <w:pStyle w:val="29"/>
        <w:spacing w:line="390" w:lineRule="atLeast"/>
        <w:jc w:val="right"/>
        <w:rPr>
          <w:rFonts w:ascii="宋体" w:hAnsi="宋体"/>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p>
    <w:p w14:paraId="64FA8106">
      <w:pPr>
        <w:pStyle w:val="3"/>
        <w:widowControl/>
        <w:spacing w:before="120" w:after="120" w:line="240" w:lineRule="auto"/>
        <w:jc w:val="center"/>
        <w:rPr>
          <w:rStyle w:val="19"/>
          <w:rFonts w:ascii="宋体" w:hAnsi="宋体" w:eastAsia="宋体"/>
          <w:b/>
          <w:bCs w:val="0"/>
          <w:sz w:val="30"/>
          <w:szCs w:val="30"/>
        </w:rPr>
      </w:pPr>
      <w:bookmarkStart w:id="1077" w:name="_Toc466024594"/>
      <w:bookmarkStart w:id="1078" w:name="_Toc445554791"/>
      <w:bookmarkStart w:id="1079" w:name="_Toc14964"/>
      <w:bookmarkStart w:id="1080" w:name="_Toc445554789"/>
      <w:bookmarkStart w:id="1081" w:name="_Toc466024592"/>
      <w:r>
        <w:rPr>
          <w:rStyle w:val="19"/>
          <w:rFonts w:hint="eastAsia" w:ascii="宋体" w:hAnsi="宋体" w:eastAsia="宋体"/>
          <w:b/>
          <w:bCs w:val="0"/>
          <w:sz w:val="30"/>
          <w:szCs w:val="30"/>
        </w:rPr>
        <w:t>三、投标函</w:t>
      </w:r>
      <w:bookmarkEnd w:id="1077"/>
      <w:bookmarkEnd w:id="1078"/>
      <w:bookmarkEnd w:id="1079"/>
    </w:p>
    <w:p w14:paraId="695A84F3">
      <w:pPr>
        <w:widowControl/>
        <w:tabs>
          <w:tab w:val="left" w:leader="underscore" w:pos="2880"/>
        </w:tabs>
        <w:spacing w:line="400" w:lineRule="exact"/>
        <w:rPr>
          <w:rFonts w:ascii="Arial" w:hAnsi="Arial" w:cs="Arial"/>
          <w:b/>
          <w:szCs w:val="21"/>
        </w:rPr>
      </w:pPr>
      <w:r>
        <w:rPr>
          <w:rFonts w:hint="eastAsia" w:ascii="Arial" w:hAnsi="Arial" w:cs="Arial"/>
          <w:szCs w:val="21"/>
        </w:rPr>
        <w:t>致：（采购人名称</w:t>
      </w:r>
      <w:r>
        <w:rPr>
          <w:rFonts w:ascii="Arial" w:hAnsi="Arial" w:cs="Arial"/>
          <w:szCs w:val="21"/>
        </w:rPr>
        <w:t>)</w:t>
      </w:r>
    </w:p>
    <w:p w14:paraId="68A66C13">
      <w:pPr>
        <w:widowControl/>
        <w:spacing w:line="400" w:lineRule="exact"/>
        <w:ind w:firstLine="420" w:firstLineChars="200"/>
        <w:rPr>
          <w:rFonts w:ascii="宋体" w:hAnsi="宋体" w:cs="Arial"/>
          <w:szCs w:val="21"/>
        </w:rPr>
      </w:pPr>
      <w:r>
        <w:rPr>
          <w:rFonts w:hint="eastAsia" w:ascii="宋体" w:hAnsi="宋体" w:cs="Arial"/>
          <w:szCs w:val="21"/>
        </w:rPr>
        <w:t>（采购代理名称</w:t>
      </w:r>
      <w:r>
        <w:rPr>
          <w:rFonts w:ascii="宋体" w:hAnsi="宋体" w:cs="Arial"/>
          <w:szCs w:val="21"/>
        </w:rPr>
        <w:t>)</w:t>
      </w:r>
    </w:p>
    <w:p w14:paraId="6B3E3A7F">
      <w:pPr>
        <w:widowControl/>
        <w:spacing w:line="400" w:lineRule="exact"/>
        <w:ind w:firstLine="420" w:firstLineChars="200"/>
        <w:rPr>
          <w:rFonts w:ascii="宋体" w:hAnsi="宋体" w:cs="Arial"/>
          <w:szCs w:val="21"/>
        </w:rPr>
      </w:pPr>
    </w:p>
    <w:p w14:paraId="050D35AE">
      <w:pPr>
        <w:widowControl/>
        <w:spacing w:line="400" w:lineRule="exact"/>
        <w:ind w:firstLine="420" w:firstLineChars="200"/>
        <w:rPr>
          <w:rFonts w:ascii="宋体" w:hAnsi="宋体" w:cs="Arial"/>
          <w:szCs w:val="21"/>
        </w:rPr>
      </w:pPr>
      <w:r>
        <w:rPr>
          <w:rFonts w:hint="eastAsia" w:ascii="宋体" w:hAnsi="宋体" w:cs="Arial"/>
          <w:szCs w:val="21"/>
        </w:rPr>
        <w:t>1、我方已仔细研究了编号为（招标编号）的（项目名称）招标文件的全部内容，接受你方在招标文件中对投标供应商的约束条件。我方愿意以商务标中确定的投标总价，按照合同的约定履行合同义务。</w:t>
      </w:r>
    </w:p>
    <w:p w14:paraId="6ABB7ED2">
      <w:pPr>
        <w:widowControl/>
        <w:spacing w:line="400" w:lineRule="exact"/>
        <w:ind w:firstLine="630" w:firstLineChars="300"/>
        <w:rPr>
          <w:rFonts w:ascii="宋体" w:hAnsi="宋体" w:cs="Arial"/>
          <w:szCs w:val="21"/>
          <w:u w:val="single"/>
        </w:rPr>
      </w:pPr>
      <w:r>
        <w:rPr>
          <w:rFonts w:hint="eastAsia" w:ascii="宋体" w:hAnsi="宋体"/>
          <w:kern w:val="0"/>
          <w:szCs w:val="21"/>
        </w:rPr>
        <w:t>投标有效期承诺：</w:t>
      </w:r>
      <w:r>
        <w:rPr>
          <w:rFonts w:hint="eastAsia" w:ascii="宋体" w:hAnsi="宋体"/>
          <w:kern w:val="0"/>
          <w:szCs w:val="21"/>
          <w:u w:val="single"/>
        </w:rPr>
        <w:t>完全响应招标文件要求。</w:t>
      </w:r>
    </w:p>
    <w:p w14:paraId="6FF0CF12">
      <w:pPr>
        <w:widowControl/>
        <w:spacing w:line="400" w:lineRule="exact"/>
        <w:ind w:firstLine="420" w:firstLineChars="200"/>
        <w:rPr>
          <w:rFonts w:ascii="宋体" w:hAnsi="宋体" w:cs="Arial"/>
          <w:szCs w:val="21"/>
        </w:rPr>
      </w:pPr>
      <w:r>
        <w:rPr>
          <w:rFonts w:hint="eastAsia" w:ascii="宋体" w:hAnsi="宋体" w:cs="Arial"/>
          <w:szCs w:val="21"/>
        </w:rPr>
        <w:t>2、我方承诺在招标文件规定的投标有效期内不修改、撤销投标文件</w:t>
      </w:r>
      <w:r>
        <w:rPr>
          <w:rFonts w:hint="eastAsia" w:ascii="宋体" w:hAnsi="宋体"/>
        </w:rPr>
        <w:t>，且随时准备接受你方发出的中标通知书</w:t>
      </w:r>
      <w:r>
        <w:rPr>
          <w:rFonts w:hint="eastAsia" w:ascii="宋体" w:hAnsi="宋体" w:cs="Arial"/>
          <w:szCs w:val="21"/>
        </w:rPr>
        <w:t>。</w:t>
      </w:r>
    </w:p>
    <w:p w14:paraId="6B1860F0">
      <w:pPr>
        <w:widowControl/>
        <w:spacing w:line="400" w:lineRule="exact"/>
        <w:ind w:firstLine="420" w:firstLineChars="200"/>
        <w:rPr>
          <w:rFonts w:ascii="宋体" w:hAnsi="宋体" w:cs="Arial"/>
          <w:szCs w:val="21"/>
        </w:rPr>
      </w:pPr>
      <w:r>
        <w:rPr>
          <w:rFonts w:hint="eastAsia" w:ascii="宋体" w:hAnsi="宋体" w:cs="Arial"/>
          <w:szCs w:val="21"/>
        </w:rPr>
        <w:t>3、随同本投标函提交投标保证金一份，金额为人民币元。</w:t>
      </w:r>
    </w:p>
    <w:p w14:paraId="60B8E907">
      <w:pPr>
        <w:widowControl/>
        <w:spacing w:line="400" w:lineRule="exact"/>
        <w:ind w:firstLine="420" w:firstLineChars="200"/>
        <w:rPr>
          <w:rFonts w:ascii="宋体" w:hAnsi="宋体" w:cs="Arial"/>
          <w:szCs w:val="21"/>
        </w:rPr>
      </w:pPr>
      <w:r>
        <w:rPr>
          <w:rFonts w:hint="eastAsia" w:ascii="宋体" w:hAnsi="宋体" w:cs="Arial"/>
          <w:szCs w:val="21"/>
        </w:rPr>
        <w:t>4、我方已详细审查全部招标文件，包括全部澄清、修改、答疑补充文件。我们完全理解并同意放弃对这方面有不明及误解的权力。</w:t>
      </w:r>
    </w:p>
    <w:p w14:paraId="5837F033">
      <w:pPr>
        <w:widowControl/>
        <w:spacing w:line="400" w:lineRule="exact"/>
        <w:ind w:firstLine="420" w:firstLineChars="200"/>
        <w:rPr>
          <w:rFonts w:ascii="宋体" w:hAnsi="宋体" w:cs="Arial"/>
          <w:szCs w:val="21"/>
        </w:rPr>
      </w:pPr>
      <w:r>
        <w:rPr>
          <w:rFonts w:hint="eastAsia" w:ascii="宋体" w:hAnsi="宋体" w:cs="Arial"/>
          <w:szCs w:val="21"/>
        </w:rPr>
        <w:t>5、我方在此声明，所递交的投标文件及有关资料内容完整、真实和准确，且不存在招标文件第二章“投标供应商须知”第1.4.3项规定的任何一种情形。</w:t>
      </w:r>
    </w:p>
    <w:p w14:paraId="421C11A5">
      <w:pPr>
        <w:widowControl/>
        <w:spacing w:line="400" w:lineRule="exact"/>
        <w:ind w:firstLine="420" w:firstLineChars="200"/>
        <w:rPr>
          <w:rFonts w:ascii="宋体" w:hAnsi="宋体" w:cs="Arial"/>
          <w:szCs w:val="21"/>
        </w:rPr>
      </w:pPr>
      <w:r>
        <w:rPr>
          <w:rFonts w:hint="eastAsia" w:ascii="宋体" w:hAnsi="宋体" w:cs="Arial"/>
          <w:szCs w:val="21"/>
        </w:rPr>
        <w:t>6、如我方中标：</w:t>
      </w:r>
    </w:p>
    <w:p w14:paraId="20440CB6">
      <w:pPr>
        <w:widowControl/>
        <w:spacing w:line="400" w:lineRule="exact"/>
        <w:ind w:firstLine="420" w:firstLineChars="200"/>
        <w:rPr>
          <w:rFonts w:ascii="宋体" w:hAnsi="宋体" w:cs="Arial"/>
          <w:szCs w:val="21"/>
        </w:rPr>
      </w:pPr>
      <w:r>
        <w:rPr>
          <w:rFonts w:hint="eastAsia" w:ascii="宋体" w:hAnsi="宋体" w:cs="Arial"/>
          <w:szCs w:val="21"/>
        </w:rPr>
        <w:t>（1）我方承诺在收到中标通知书后，在中标通知书规定的期限内与你方签订合同；</w:t>
      </w:r>
    </w:p>
    <w:p w14:paraId="1469B2EF">
      <w:pPr>
        <w:widowControl/>
        <w:spacing w:line="400" w:lineRule="exact"/>
        <w:ind w:firstLine="420" w:firstLineChars="200"/>
        <w:rPr>
          <w:rFonts w:ascii="宋体" w:hAnsi="宋体" w:cs="Arial"/>
          <w:szCs w:val="21"/>
        </w:rPr>
      </w:pPr>
      <w:r>
        <w:rPr>
          <w:rFonts w:hint="eastAsia" w:ascii="宋体" w:hAnsi="宋体" w:cs="Arial"/>
          <w:szCs w:val="21"/>
        </w:rPr>
        <w:t>（2）在签订合同时不向你方提出附加条件；</w:t>
      </w:r>
    </w:p>
    <w:p w14:paraId="598040CD">
      <w:pPr>
        <w:widowControl/>
        <w:spacing w:line="400" w:lineRule="exact"/>
        <w:ind w:firstLine="420" w:firstLineChars="200"/>
        <w:rPr>
          <w:rFonts w:ascii="宋体" w:hAnsi="宋体" w:cs="Arial"/>
          <w:szCs w:val="21"/>
        </w:rPr>
      </w:pPr>
      <w:r>
        <w:rPr>
          <w:rFonts w:hint="eastAsia" w:ascii="宋体" w:hAnsi="宋体" w:cs="Arial"/>
          <w:szCs w:val="21"/>
        </w:rPr>
        <w:t>（3）我方承诺按照招标文件规定向你方递交履约保证金；</w:t>
      </w:r>
    </w:p>
    <w:p w14:paraId="1AB239A1">
      <w:pPr>
        <w:widowControl/>
        <w:spacing w:line="400" w:lineRule="exact"/>
        <w:ind w:firstLine="420" w:firstLineChars="200"/>
        <w:rPr>
          <w:rFonts w:ascii="宋体" w:hAnsi="宋体" w:cs="Arial"/>
          <w:szCs w:val="21"/>
        </w:rPr>
      </w:pPr>
      <w:r>
        <w:rPr>
          <w:rFonts w:hint="eastAsia" w:ascii="宋体" w:hAnsi="宋体" w:cs="Arial"/>
          <w:szCs w:val="21"/>
        </w:rPr>
        <w:t>（4）我方承诺在合同约定的期限内提供并交付服务，履行合同规定的各项义务。</w:t>
      </w:r>
    </w:p>
    <w:p w14:paraId="1A0B5586">
      <w:pPr>
        <w:widowControl/>
        <w:spacing w:line="400" w:lineRule="exact"/>
        <w:ind w:firstLine="420" w:firstLineChars="200"/>
        <w:rPr>
          <w:rFonts w:ascii="宋体" w:hAnsi="宋体" w:cs="Arial"/>
          <w:szCs w:val="21"/>
        </w:rPr>
      </w:pPr>
      <w:r>
        <w:rPr>
          <w:rFonts w:hint="eastAsia" w:ascii="宋体" w:hAnsi="宋体" w:cs="Arial"/>
          <w:szCs w:val="21"/>
        </w:rPr>
        <w:t>7、我方同意按照你方要求提供与我方投标有关的一切数据或资料，完全理解你方不一定接受最低价的投标或收到的任何投标。</w:t>
      </w:r>
    </w:p>
    <w:p w14:paraId="3C398E6B">
      <w:pPr>
        <w:widowControl/>
        <w:spacing w:line="400" w:lineRule="exact"/>
        <w:ind w:firstLine="420" w:firstLineChars="200"/>
        <w:rPr>
          <w:rFonts w:ascii="宋体" w:hAnsi="宋体" w:cs="Arial"/>
          <w:szCs w:val="21"/>
        </w:rPr>
      </w:pPr>
      <w:r>
        <w:rPr>
          <w:rFonts w:hint="eastAsia" w:ascii="宋体" w:hAnsi="宋体" w:cs="Arial"/>
          <w:szCs w:val="21"/>
        </w:rPr>
        <w:t>8、我方对投标文件中所提供资料、文件、证书及证件的真实性、合法性和有效性负责。</w:t>
      </w:r>
    </w:p>
    <w:p w14:paraId="5B0EEFFE">
      <w:pPr>
        <w:widowControl/>
        <w:tabs>
          <w:tab w:val="left" w:leader="underscore" w:pos="3600"/>
          <w:tab w:val="left" w:leader="underscore" w:pos="5400"/>
        </w:tabs>
        <w:spacing w:line="400" w:lineRule="exact"/>
        <w:ind w:firstLine="422" w:firstLineChars="200"/>
        <w:rPr>
          <w:rFonts w:ascii="宋体" w:hAnsi="宋体" w:cs="Arial"/>
          <w:b/>
          <w:u w:val="single"/>
        </w:rPr>
      </w:pPr>
      <w:r>
        <w:rPr>
          <w:rFonts w:hint="eastAsia" w:ascii="宋体" w:hAnsi="宋体" w:cs="Arial"/>
          <w:b/>
        </w:rPr>
        <w:t>9、其他补充说明：</w:t>
      </w:r>
    </w:p>
    <w:p w14:paraId="49B020ED">
      <w:pPr>
        <w:widowControl/>
        <w:tabs>
          <w:tab w:val="left" w:leader="underscore" w:pos="3600"/>
          <w:tab w:val="left" w:leader="underscore" w:pos="5400"/>
        </w:tabs>
        <w:spacing w:line="400" w:lineRule="exact"/>
        <w:ind w:firstLine="422" w:firstLineChars="200"/>
        <w:rPr>
          <w:rFonts w:ascii="宋体" w:hAnsi="宋体" w:cs="Arial"/>
          <w:b/>
        </w:rPr>
      </w:pPr>
    </w:p>
    <w:p w14:paraId="3E05793E">
      <w:pPr>
        <w:pStyle w:val="29"/>
        <w:spacing w:line="390" w:lineRule="atLeast"/>
        <w:rPr>
          <w:rFonts w:ascii="宋体" w:hAnsi="宋体"/>
        </w:rPr>
      </w:pPr>
      <w:r>
        <w:rPr>
          <w:rFonts w:hint="eastAsia" w:ascii="宋体" w:hAnsi="宋体"/>
        </w:rPr>
        <w:t>投标供应商：</w:t>
      </w:r>
      <w:r>
        <w:rPr>
          <w:rFonts w:hint="eastAsia" w:ascii="宋体" w:hAnsi="宋体"/>
          <w:szCs w:val="24"/>
          <w:u w:val="single"/>
        </w:rPr>
        <w:t>（盖章）</w:t>
      </w:r>
    </w:p>
    <w:p w14:paraId="6F33EB58">
      <w:pPr>
        <w:pStyle w:val="29"/>
        <w:spacing w:line="390" w:lineRule="atLeast"/>
        <w:rPr>
          <w:rFonts w:ascii="宋体" w:hAnsi="宋体"/>
        </w:rPr>
      </w:pPr>
      <w:r>
        <w:rPr>
          <w:rFonts w:hint="eastAsia" w:ascii="宋体" w:hAnsi="宋体"/>
          <w:spacing w:val="-1"/>
        </w:rPr>
        <w:t>地</w:t>
      </w:r>
      <w:r>
        <w:rPr>
          <w:rFonts w:hint="eastAsia" w:ascii="宋体" w:hAnsi="宋体"/>
          <w:spacing w:val="1"/>
        </w:rPr>
        <w:t>址</w:t>
      </w:r>
      <w:r>
        <w:rPr>
          <w:rFonts w:hint="eastAsia" w:ascii="宋体" w:hAnsi="宋体"/>
          <w:spacing w:val="-1"/>
        </w:rPr>
        <w:t>邮</w:t>
      </w:r>
      <w:r>
        <w:rPr>
          <w:rFonts w:hint="eastAsia" w:ascii="宋体" w:hAnsi="宋体"/>
        </w:rPr>
        <w:t>编</w:t>
      </w:r>
    </w:p>
    <w:p w14:paraId="26E2B72F">
      <w:pPr>
        <w:pStyle w:val="29"/>
        <w:spacing w:line="390" w:lineRule="atLeast"/>
        <w:rPr>
          <w:rFonts w:ascii="宋体" w:hAnsi="宋体"/>
        </w:rPr>
      </w:pPr>
      <w:r>
        <w:rPr>
          <w:rFonts w:hint="eastAsia" w:ascii="宋体" w:hAnsi="宋体"/>
          <w:spacing w:val="-1"/>
        </w:rPr>
        <w:t>电</w:t>
      </w:r>
      <w:r>
        <w:rPr>
          <w:rFonts w:hint="eastAsia" w:ascii="宋体" w:hAnsi="宋体"/>
          <w:spacing w:val="1"/>
        </w:rPr>
        <w:t>话</w:t>
      </w:r>
      <w:r>
        <w:rPr>
          <w:rFonts w:hint="eastAsia" w:ascii="宋体" w:hAnsi="宋体"/>
          <w:spacing w:val="-1"/>
        </w:rPr>
        <w:t>传</w:t>
      </w:r>
      <w:r>
        <w:rPr>
          <w:rFonts w:hint="eastAsia" w:ascii="宋体" w:hAnsi="宋体"/>
        </w:rPr>
        <w:t>真</w:t>
      </w:r>
    </w:p>
    <w:p w14:paraId="78E5D1A4">
      <w:pPr>
        <w:pStyle w:val="29"/>
        <w:spacing w:line="390" w:lineRule="atLeast"/>
        <w:rPr>
          <w:rFonts w:ascii="宋体" w:hAnsi="宋体"/>
        </w:rPr>
      </w:pPr>
      <w:r>
        <w:rPr>
          <w:rFonts w:hint="eastAsia" w:ascii="宋体" w:hAnsi="宋体"/>
        </w:rPr>
        <w:t>电子邮箱网址：</w:t>
      </w:r>
    </w:p>
    <w:p w14:paraId="19BF4A0F">
      <w:pPr>
        <w:pStyle w:val="29"/>
        <w:spacing w:line="200" w:lineRule="atLeast"/>
        <w:rPr>
          <w:rFonts w:ascii="宋体" w:hAnsi="宋体"/>
        </w:rPr>
      </w:pPr>
      <w:r>
        <w:rPr>
          <w:rFonts w:hint="eastAsia" w:ascii="宋体" w:hAnsi="宋体"/>
        </w:rPr>
        <w:t>年月日</w:t>
      </w:r>
    </w:p>
    <w:p w14:paraId="3307BBE5">
      <w:pPr>
        <w:pStyle w:val="29"/>
        <w:spacing w:line="200" w:lineRule="atLeast"/>
        <w:rPr>
          <w:rFonts w:ascii="宋体" w:hAnsi="宋体"/>
          <w:sz w:val="20"/>
          <w:szCs w:val="20"/>
        </w:rPr>
      </w:pPr>
    </w:p>
    <w:p w14:paraId="286D47F0">
      <w:pPr>
        <w:pStyle w:val="29"/>
        <w:spacing w:before="6" w:line="220" w:lineRule="atLeast"/>
        <w:rPr>
          <w:rFonts w:ascii="微软雅黑" w:hAnsi="微软雅黑" w:eastAsia="微软雅黑"/>
          <w:sz w:val="22"/>
          <w:szCs w:val="22"/>
        </w:rPr>
      </w:pPr>
    </w:p>
    <w:p w14:paraId="2A761C35">
      <w:pPr>
        <w:pStyle w:val="29"/>
        <w:ind w:left="120" w:right="-20"/>
        <w:rPr>
          <w:rFonts w:ascii="宋体" w:hAnsi="宋体"/>
        </w:rPr>
        <w:sectPr>
          <w:footnotePr>
            <w:numFmt w:val="decimalEnclosedCircleChinese"/>
            <w:numRestart w:val="eachPage"/>
          </w:footnotePr>
          <w:pgSz w:w="11906" w:h="16838"/>
          <w:pgMar w:top="1134" w:right="1134" w:bottom="1134" w:left="1134" w:header="851" w:footer="851" w:gutter="0"/>
          <w:cols w:space="720" w:num="1"/>
          <w:docGrid w:linePitch="286" w:charSpace="0"/>
        </w:sectPr>
      </w:pPr>
      <w:r>
        <w:rPr>
          <w:rFonts w:hint="eastAsia" w:ascii="宋体" w:hAnsi="宋体"/>
        </w:rPr>
        <w:t>注：采用资格预审的，资格审查资料如有更新或补充，投标供应商应在第10条中说明。</w:t>
      </w:r>
    </w:p>
    <w:p w14:paraId="5466E402">
      <w:pPr>
        <w:pStyle w:val="3"/>
        <w:widowControl/>
        <w:spacing w:before="120" w:after="120" w:line="240" w:lineRule="auto"/>
        <w:jc w:val="center"/>
        <w:rPr>
          <w:rFonts w:ascii="宋体" w:hAnsi="宋体"/>
          <w:kern w:val="0"/>
          <w:sz w:val="28"/>
          <w:szCs w:val="28"/>
        </w:rPr>
      </w:pPr>
      <w:bookmarkStart w:id="1082" w:name="_Toc19231"/>
      <w:r>
        <w:rPr>
          <w:rFonts w:hint="eastAsia" w:ascii="宋体" w:hAnsi="宋体"/>
          <w:kern w:val="0"/>
          <w:sz w:val="28"/>
          <w:szCs w:val="28"/>
        </w:rPr>
        <w:t>四、</w:t>
      </w:r>
      <w:bookmarkEnd w:id="1080"/>
      <w:bookmarkEnd w:id="1081"/>
      <w:r>
        <w:rPr>
          <w:rFonts w:hint="eastAsia" w:ascii="宋体" w:hAnsi="宋体"/>
          <w:kern w:val="0"/>
          <w:sz w:val="28"/>
          <w:szCs w:val="28"/>
        </w:rPr>
        <w:t>授权委托书</w:t>
      </w:r>
      <w:bookmarkEnd w:id="1082"/>
    </w:p>
    <w:p w14:paraId="657ABC7E">
      <w:pPr>
        <w:widowControl/>
        <w:spacing w:before="3" w:line="260" w:lineRule="atLeast"/>
        <w:rPr>
          <w:rFonts w:ascii="宋体" w:hAnsi="宋体"/>
          <w:kern w:val="0"/>
          <w:sz w:val="26"/>
          <w:szCs w:val="26"/>
        </w:rPr>
      </w:pPr>
    </w:p>
    <w:p w14:paraId="7A044FCA">
      <w:pPr>
        <w:widowControl/>
        <w:spacing w:line="360" w:lineRule="auto"/>
        <w:ind w:left="120" w:right="31" w:firstLine="421"/>
        <w:rPr>
          <w:rFonts w:ascii="宋体" w:hAnsi="宋体"/>
          <w:kern w:val="0"/>
        </w:rPr>
      </w:pPr>
      <w:r>
        <w:rPr>
          <w:rFonts w:hint="eastAsia" w:ascii="宋体" w:hAnsi="宋体"/>
          <w:kern w:val="0"/>
        </w:rPr>
        <w:t>本人（</w:t>
      </w:r>
      <w:r>
        <w:rPr>
          <w:rFonts w:hint="eastAsia" w:ascii="宋体" w:hAnsi="宋体"/>
          <w:spacing w:val="-1"/>
          <w:kern w:val="0"/>
        </w:rPr>
        <w:t>姓</w:t>
      </w:r>
      <w:r>
        <w:rPr>
          <w:rFonts w:hint="eastAsia" w:ascii="宋体" w:hAnsi="宋体"/>
          <w:kern w:val="0"/>
        </w:rPr>
        <w:t>名）系（投标供应商名称）</w:t>
      </w:r>
      <w:r>
        <w:rPr>
          <w:rFonts w:hint="eastAsia" w:ascii="宋体" w:hAnsi="宋体"/>
          <w:spacing w:val="1"/>
          <w:kern w:val="0"/>
        </w:rPr>
        <w:t>的</w:t>
      </w:r>
      <w:r>
        <w:rPr>
          <w:rFonts w:hint="eastAsia" w:ascii="宋体" w:hAnsi="宋体"/>
          <w:kern w:val="0"/>
        </w:rPr>
        <w:t>法定代表</w:t>
      </w:r>
      <w:r>
        <w:rPr>
          <w:rFonts w:hint="eastAsia" w:ascii="宋体" w:hAnsi="宋体"/>
          <w:spacing w:val="1"/>
          <w:kern w:val="0"/>
        </w:rPr>
        <w:t>人</w:t>
      </w:r>
      <w:r>
        <w:rPr>
          <w:rFonts w:hint="eastAsia" w:ascii="宋体" w:hAnsi="宋体"/>
          <w:kern w:val="0"/>
        </w:rPr>
        <w:t>，</w:t>
      </w:r>
      <w:r>
        <w:rPr>
          <w:rFonts w:hint="eastAsia" w:ascii="宋体" w:hAnsi="宋体"/>
          <w:spacing w:val="1"/>
          <w:kern w:val="0"/>
        </w:rPr>
        <w:t>现</w:t>
      </w:r>
      <w:r>
        <w:rPr>
          <w:rFonts w:hint="eastAsia" w:ascii="宋体" w:hAnsi="宋体"/>
          <w:kern w:val="0"/>
        </w:rPr>
        <w:t>委托</w:t>
      </w:r>
      <w:r>
        <w:rPr>
          <w:rFonts w:hint="eastAsia" w:ascii="宋体" w:hAnsi="宋体"/>
          <w:spacing w:val="-1"/>
          <w:kern w:val="0"/>
        </w:rPr>
        <w:t>（</w:t>
      </w:r>
      <w:r>
        <w:rPr>
          <w:rFonts w:hint="eastAsia" w:ascii="宋体" w:hAnsi="宋体"/>
          <w:kern w:val="0"/>
        </w:rPr>
        <w:t>姓名）为我方代理人。代理人根据授权，以我方名义签署、澄清、说明、递交</w:t>
      </w:r>
      <w:r>
        <w:rPr>
          <w:rFonts w:hint="eastAsia" w:ascii="宋体" w:hAnsi="宋体"/>
          <w:spacing w:val="-13"/>
          <w:kern w:val="0"/>
        </w:rPr>
        <w:t>、</w:t>
      </w:r>
      <w:r>
        <w:rPr>
          <w:rFonts w:hint="eastAsia" w:ascii="宋体" w:hAnsi="宋体"/>
          <w:kern w:val="0"/>
        </w:rPr>
        <w:t>撤回</w:t>
      </w:r>
      <w:r>
        <w:rPr>
          <w:rFonts w:hint="eastAsia" w:ascii="宋体" w:hAnsi="宋体"/>
          <w:spacing w:val="-13"/>
          <w:kern w:val="0"/>
        </w:rPr>
        <w:t>、</w:t>
      </w:r>
      <w:r>
        <w:rPr>
          <w:rFonts w:hint="eastAsia" w:ascii="宋体" w:hAnsi="宋体"/>
          <w:kern w:val="0"/>
        </w:rPr>
        <w:t>修改（项目名</w:t>
      </w:r>
      <w:r>
        <w:rPr>
          <w:rFonts w:hint="eastAsia" w:ascii="宋体" w:hAnsi="宋体"/>
          <w:spacing w:val="-1"/>
          <w:kern w:val="0"/>
        </w:rPr>
        <w:t>称</w:t>
      </w:r>
      <w:r>
        <w:rPr>
          <w:rFonts w:hint="eastAsia" w:ascii="宋体" w:hAnsi="宋体"/>
          <w:spacing w:val="-13"/>
          <w:kern w:val="0"/>
        </w:rPr>
        <w:t>）</w:t>
      </w:r>
      <w:r>
        <w:rPr>
          <w:rFonts w:hint="eastAsia" w:ascii="宋体" w:hAnsi="宋体"/>
          <w:spacing w:val="-1"/>
          <w:kern w:val="0"/>
        </w:rPr>
        <w:t>（</w:t>
      </w:r>
      <w:r>
        <w:rPr>
          <w:rFonts w:hint="eastAsia" w:ascii="宋体" w:hAnsi="宋体"/>
          <w:kern w:val="0"/>
        </w:rPr>
        <w:t>标包号。未分包的，此处不填写</w:t>
      </w:r>
      <w:r>
        <w:rPr>
          <w:rFonts w:hint="eastAsia" w:ascii="宋体" w:hAnsi="宋体"/>
          <w:spacing w:val="-13"/>
          <w:kern w:val="0"/>
        </w:rPr>
        <w:t>）</w:t>
      </w:r>
      <w:r>
        <w:rPr>
          <w:rFonts w:hint="eastAsia" w:ascii="宋体" w:hAnsi="宋体"/>
          <w:kern w:val="0"/>
        </w:rPr>
        <w:t>投标文件</w:t>
      </w:r>
      <w:r>
        <w:rPr>
          <w:rFonts w:hint="eastAsia" w:ascii="宋体" w:hAnsi="宋体"/>
          <w:spacing w:val="-13"/>
          <w:kern w:val="0"/>
        </w:rPr>
        <w:t>、</w:t>
      </w:r>
      <w:r>
        <w:rPr>
          <w:rFonts w:hint="eastAsia" w:ascii="宋体" w:hAnsi="宋体"/>
          <w:kern w:val="0"/>
        </w:rPr>
        <w:t>签订合同和处理有关事宜，其法律后果由我方承担。</w:t>
      </w:r>
    </w:p>
    <w:p w14:paraId="593E1A27">
      <w:pPr>
        <w:widowControl/>
        <w:spacing w:before="12" w:line="360" w:lineRule="auto"/>
        <w:ind w:left="556" w:right="5491" w:hanging="14"/>
        <w:rPr>
          <w:rFonts w:ascii="宋体" w:hAnsi="宋体"/>
          <w:kern w:val="0"/>
        </w:rPr>
      </w:pPr>
      <w:r>
        <w:rPr>
          <w:rFonts w:hint="eastAsia" w:ascii="宋体" w:hAnsi="宋体"/>
          <w:kern w:val="0"/>
        </w:rPr>
        <w:t>代理人无转委托权。</w:t>
      </w:r>
    </w:p>
    <w:p w14:paraId="1A8804A2">
      <w:pPr>
        <w:widowControl/>
        <w:spacing w:line="360" w:lineRule="auto"/>
        <w:ind w:left="120" w:right="31" w:firstLine="421"/>
        <w:rPr>
          <w:rFonts w:ascii="宋体" w:hAnsi="宋体"/>
          <w:kern w:val="0"/>
        </w:rPr>
      </w:pPr>
    </w:p>
    <w:p w14:paraId="2424E4E4">
      <w:pPr>
        <w:widowControl/>
        <w:spacing w:line="360" w:lineRule="auto"/>
        <w:ind w:left="120" w:right="31" w:firstLine="421"/>
        <w:rPr>
          <w:rFonts w:ascii="宋体" w:hAnsi="宋体"/>
          <w:kern w:val="0"/>
        </w:rPr>
      </w:pPr>
      <w:r>
        <w:rPr>
          <w:rFonts w:hint="eastAsia" w:ascii="宋体" w:hAnsi="宋体"/>
          <w:kern w:val="0"/>
        </w:rPr>
        <w:t>本授权书自出具之日起生效。</w:t>
      </w:r>
    </w:p>
    <w:p w14:paraId="6B145E1E">
      <w:pPr>
        <w:widowControl/>
        <w:spacing w:line="360" w:lineRule="auto"/>
        <w:ind w:left="120" w:right="31" w:firstLine="421"/>
        <w:rPr>
          <w:rFonts w:ascii="宋体" w:hAnsi="宋体"/>
          <w:kern w:val="0"/>
        </w:rPr>
      </w:pPr>
      <w:r>
        <w:rPr>
          <w:rFonts w:hint="eastAsia" w:ascii="宋体" w:hAnsi="宋体"/>
          <w:kern w:val="0"/>
        </w:rPr>
        <w:t>附：</w:t>
      </w:r>
      <w:r>
        <w:rPr>
          <w:rFonts w:hint="eastAsia" w:ascii="宋体" w:hAnsi="宋体"/>
          <w:b/>
          <w:bCs/>
          <w:kern w:val="0"/>
        </w:rPr>
        <w:t>法定代表人</w:t>
      </w:r>
      <w:r>
        <w:rPr>
          <w:rFonts w:hint="eastAsia" w:ascii="宋体" w:hAnsi="宋体"/>
          <w:kern w:val="0"/>
        </w:rPr>
        <w:t>（单位负责人）及</w:t>
      </w:r>
      <w:r>
        <w:rPr>
          <w:rFonts w:hint="eastAsia" w:ascii="宋体" w:hAnsi="宋体"/>
          <w:b/>
          <w:bCs/>
          <w:kern w:val="0"/>
        </w:rPr>
        <w:t>授权代表</w:t>
      </w:r>
      <w:r>
        <w:rPr>
          <w:rFonts w:hint="eastAsia" w:ascii="宋体" w:hAnsi="宋体"/>
          <w:kern w:val="0"/>
        </w:rPr>
        <w:t>身份证明复制件：</w:t>
      </w:r>
    </w:p>
    <w:p w14:paraId="58F3B2E9">
      <w:pPr>
        <w:widowControl/>
        <w:spacing w:before="12" w:line="360" w:lineRule="auto"/>
        <w:ind w:left="556" w:right="1983" w:hanging="14"/>
        <w:rPr>
          <w:rFonts w:ascii="宋体" w:hAnsi="宋体"/>
          <w:sz w:val="24"/>
          <w:szCs w:val="28"/>
        </w:rPr>
      </w:pPr>
    </w:p>
    <w:p w14:paraId="73EC6868">
      <w:pPr>
        <w:widowControl/>
        <w:spacing w:before="12" w:line="360" w:lineRule="auto"/>
        <w:ind w:left="556" w:right="1983" w:hanging="14"/>
        <w:rPr>
          <w:rFonts w:ascii="宋体" w:hAnsi="宋体"/>
          <w:kern w:val="0"/>
        </w:rPr>
      </w:pPr>
    </w:p>
    <w:p w14:paraId="6375DDB0">
      <w:pPr>
        <w:widowControl/>
        <w:spacing w:line="360" w:lineRule="auto"/>
        <w:rPr>
          <w:rFonts w:ascii="宋体" w:hAnsi="宋体"/>
          <w:kern w:val="0"/>
        </w:rPr>
      </w:pPr>
    </w:p>
    <w:p w14:paraId="4F182624">
      <w:pPr>
        <w:pStyle w:val="29"/>
        <w:spacing w:line="360" w:lineRule="auto"/>
        <w:jc w:val="center"/>
        <w:rPr>
          <w:rFonts w:ascii="宋体" w:hAnsi="宋体"/>
          <w:szCs w:val="24"/>
          <w:u w:val="single"/>
        </w:rPr>
      </w:pPr>
      <w:r>
        <w:rPr>
          <w:rFonts w:hint="eastAsia" w:ascii="宋体" w:hAnsi="宋体"/>
          <w:szCs w:val="24"/>
        </w:rPr>
        <w:t>代理人：性别：年龄：</w:t>
      </w:r>
    </w:p>
    <w:p w14:paraId="7BE7583E">
      <w:pPr>
        <w:pStyle w:val="29"/>
        <w:spacing w:line="360" w:lineRule="auto"/>
        <w:ind w:firstLine="2520" w:firstLineChars="1200"/>
        <w:rPr>
          <w:rFonts w:ascii="宋体" w:hAnsi="宋体"/>
          <w:szCs w:val="24"/>
          <w:u w:val="single"/>
        </w:rPr>
      </w:pPr>
      <w:r>
        <w:rPr>
          <w:rFonts w:hint="eastAsia" w:ascii="宋体" w:hAnsi="宋体"/>
          <w:szCs w:val="24"/>
        </w:rPr>
        <w:t>身份证号码：职务：</w:t>
      </w:r>
    </w:p>
    <w:p w14:paraId="221CF56F">
      <w:pPr>
        <w:pStyle w:val="29"/>
        <w:spacing w:line="360" w:lineRule="auto"/>
        <w:ind w:firstLine="2520" w:firstLineChars="1200"/>
        <w:rPr>
          <w:rFonts w:ascii="宋体" w:hAnsi="宋体"/>
          <w:szCs w:val="24"/>
          <w:u w:val="single"/>
        </w:rPr>
      </w:pPr>
      <w:r>
        <w:rPr>
          <w:rFonts w:hint="eastAsia" w:ascii="宋体" w:hAnsi="宋体"/>
          <w:szCs w:val="24"/>
        </w:rPr>
        <w:t>投标供应商：</w:t>
      </w:r>
      <w:r>
        <w:rPr>
          <w:rFonts w:hint="eastAsia" w:ascii="宋体" w:hAnsi="宋体"/>
          <w:szCs w:val="24"/>
          <w:u w:val="single"/>
        </w:rPr>
        <w:t>（盖章）</w:t>
      </w:r>
    </w:p>
    <w:p w14:paraId="584A3DB2">
      <w:pPr>
        <w:pStyle w:val="29"/>
        <w:spacing w:line="360" w:lineRule="auto"/>
        <w:ind w:firstLine="2520" w:firstLineChars="1200"/>
        <w:rPr>
          <w:rFonts w:ascii="宋体" w:hAnsi="宋体"/>
          <w:szCs w:val="24"/>
          <w:u w:val="single"/>
        </w:rPr>
      </w:pPr>
      <w:r>
        <w:rPr>
          <w:rFonts w:hint="eastAsia" w:ascii="宋体" w:hAnsi="宋体"/>
          <w:szCs w:val="24"/>
        </w:rPr>
        <w:t>法定代表人（单位负责人）：</w:t>
      </w:r>
      <w:r>
        <w:rPr>
          <w:rFonts w:hint="eastAsia" w:ascii="宋体" w:hAnsi="宋体"/>
          <w:szCs w:val="24"/>
          <w:u w:val="single"/>
        </w:rPr>
        <w:t>（签字或电子签章）</w:t>
      </w:r>
    </w:p>
    <w:p w14:paraId="5B7F86F9">
      <w:pPr>
        <w:pStyle w:val="29"/>
        <w:spacing w:line="360" w:lineRule="auto"/>
        <w:ind w:firstLine="2520" w:firstLineChars="1200"/>
        <w:rPr>
          <w:rFonts w:ascii="宋体" w:hAnsi="宋体"/>
          <w:szCs w:val="24"/>
        </w:rPr>
      </w:pPr>
      <w:r>
        <w:rPr>
          <w:rFonts w:hint="eastAsia" w:ascii="宋体" w:hAnsi="宋体"/>
          <w:szCs w:val="24"/>
        </w:rPr>
        <w:t>授权代表电子邮箱：</w:t>
      </w:r>
    </w:p>
    <w:p w14:paraId="609E362E">
      <w:pPr>
        <w:pStyle w:val="29"/>
        <w:spacing w:line="360" w:lineRule="auto"/>
        <w:ind w:firstLine="2520" w:firstLineChars="1200"/>
        <w:rPr>
          <w:rFonts w:ascii="宋体" w:hAnsi="宋体"/>
          <w:szCs w:val="24"/>
        </w:rPr>
      </w:pPr>
      <w:r>
        <w:rPr>
          <w:rFonts w:hint="eastAsia" w:ascii="宋体" w:hAnsi="宋体"/>
          <w:szCs w:val="24"/>
        </w:rPr>
        <w:t>授权代表联系电话：</w:t>
      </w:r>
    </w:p>
    <w:p w14:paraId="196C096D">
      <w:pPr>
        <w:pStyle w:val="29"/>
        <w:spacing w:line="360" w:lineRule="auto"/>
        <w:ind w:firstLine="2520" w:firstLineChars="1200"/>
        <w:rPr>
          <w:rFonts w:ascii="宋体" w:hAnsi="宋体"/>
          <w:szCs w:val="24"/>
        </w:rPr>
      </w:pPr>
      <w:r>
        <w:rPr>
          <w:rFonts w:hint="eastAsia" w:ascii="宋体" w:hAnsi="宋体"/>
          <w:szCs w:val="24"/>
        </w:rPr>
        <w:t>授权委托日期：年月日</w:t>
      </w:r>
    </w:p>
    <w:p w14:paraId="6EA637D2">
      <w:pPr>
        <w:widowControl/>
        <w:spacing w:before="2" w:line="100" w:lineRule="atLeast"/>
        <w:rPr>
          <w:rFonts w:ascii="宋体" w:hAnsi="宋体"/>
          <w:kern w:val="0"/>
          <w:sz w:val="24"/>
        </w:rPr>
      </w:pPr>
    </w:p>
    <w:p w14:paraId="7535773F">
      <w:pPr>
        <w:pStyle w:val="8"/>
        <w:snapToGrid w:val="0"/>
        <w:spacing w:line="360" w:lineRule="auto"/>
        <w:jc w:val="left"/>
        <w:rPr>
          <w:rFonts w:hAnsi="宋体"/>
          <w:sz w:val="24"/>
          <w:szCs w:val="28"/>
        </w:rPr>
      </w:pPr>
      <w:r>
        <w:rPr>
          <w:rFonts w:hint="eastAsia" w:ascii="微软雅黑" w:hAnsi="微软雅黑" w:eastAsia="微软雅黑"/>
          <w:kern w:val="0"/>
        </w:rPr>
        <w:t>注：</w:t>
      </w:r>
      <w:r>
        <w:rPr>
          <w:rFonts w:hint="eastAsia" w:hAnsi="宋体"/>
          <w:sz w:val="24"/>
          <w:szCs w:val="28"/>
        </w:rPr>
        <w:t>1、本项目只允许有唯一的投标供应商授权代表（提供身份证明复制件及联系方式）；</w:t>
      </w:r>
    </w:p>
    <w:p w14:paraId="017EE5C8">
      <w:pPr>
        <w:widowControl/>
        <w:spacing w:line="295" w:lineRule="atLeast"/>
        <w:ind w:left="556" w:right="-20"/>
        <w:rPr>
          <w:rFonts w:ascii="微软雅黑" w:hAnsi="微软雅黑" w:eastAsia="微软雅黑"/>
          <w:kern w:val="0"/>
          <w:szCs w:val="21"/>
        </w:rPr>
      </w:pPr>
      <w:r>
        <w:rPr>
          <w:rFonts w:hint="eastAsia" w:hAnsi="宋体"/>
          <w:sz w:val="24"/>
          <w:szCs w:val="28"/>
        </w:rPr>
        <w:t>2、法定代表人、单位负责人参加投标的无需提供投标授权书，仅提供身份证明复制件及联系方式即可。</w:t>
      </w:r>
    </w:p>
    <w:p w14:paraId="0084B914">
      <w:pPr>
        <w:pStyle w:val="3"/>
        <w:spacing w:before="0" w:after="0" w:line="240" w:lineRule="auto"/>
        <w:jc w:val="center"/>
        <w:rPr>
          <w:rFonts w:ascii="Calibri" w:hAnsi="Calibri"/>
          <w:bCs w:val="0"/>
        </w:rPr>
      </w:pPr>
      <w:bookmarkStart w:id="1083" w:name="_Toc466024593"/>
      <w:bookmarkStart w:id="1084" w:name="_Toc445554790"/>
      <w:bookmarkStart w:id="1085" w:name="_Toc27191"/>
      <w:r>
        <w:rPr>
          <w:rFonts w:hint="eastAsia" w:ascii="宋体" w:hAnsi="宋体"/>
          <w:kern w:val="0"/>
          <w:sz w:val="28"/>
          <w:szCs w:val="28"/>
        </w:rPr>
        <w:br w:type="page"/>
      </w:r>
      <w:r>
        <w:rPr>
          <w:rFonts w:hint="eastAsia" w:ascii="宋体" w:hAnsi="宋体"/>
          <w:kern w:val="0"/>
          <w:sz w:val="28"/>
          <w:szCs w:val="28"/>
        </w:rPr>
        <w:t>五、无重大违法记录声明函、无不良信用记录声明函</w:t>
      </w:r>
    </w:p>
    <w:p w14:paraId="7FAFEB1D">
      <w:pPr>
        <w:spacing w:before="96" w:beforeLines="40" w:after="96" w:afterLines="40" w:line="400" w:lineRule="exact"/>
        <w:ind w:firstLine="420" w:firstLineChars="200"/>
        <w:jc w:val="left"/>
        <w:rPr>
          <w:rFonts w:ascii="宋体" w:hAnsi="宋体"/>
          <w:szCs w:val="21"/>
        </w:rPr>
      </w:pPr>
      <w:r>
        <w:rPr>
          <w:rFonts w:hint="eastAsia" w:ascii="宋体" w:hAnsi="宋体"/>
          <w:szCs w:val="21"/>
        </w:rPr>
        <w:t>1、本单位郑重声明，根据《中华人民共和国政府采购法》及《中华人民共和国政府采购法实施条例》的规定，本单位符合《中华人民共和国政府采购法》第二十二条的规定，且参加政府采购活动前三年内，本单位在经营活动中没有重大违法记录，没有因违法经营受到刑事处罚或者责令停产停业、吊销许可证或者执照、较大数额罚款等行政处罚和招标文件规定的其他限制性情形。</w:t>
      </w:r>
    </w:p>
    <w:p w14:paraId="329EC5AA">
      <w:pPr>
        <w:spacing w:before="96" w:beforeLines="40" w:after="96" w:afterLines="40" w:line="400" w:lineRule="exact"/>
        <w:ind w:firstLine="420" w:firstLineChars="200"/>
        <w:jc w:val="left"/>
        <w:rPr>
          <w:rFonts w:ascii="宋体" w:hAnsi="宋体"/>
          <w:szCs w:val="21"/>
        </w:rPr>
      </w:pPr>
      <w:r>
        <w:rPr>
          <w:rFonts w:hint="eastAsia" w:ascii="宋体"/>
          <w:szCs w:val="21"/>
        </w:rPr>
        <w:t>2、</w:t>
      </w:r>
      <w:r>
        <w:rPr>
          <w:rFonts w:hint="eastAsia" w:ascii="宋体" w:hAnsi="宋体"/>
          <w:szCs w:val="21"/>
        </w:rPr>
        <w:t>本单位郑重声明，我单位无以下不良信用记录情形：</w:t>
      </w:r>
    </w:p>
    <w:p w14:paraId="4F64C8C9">
      <w:pPr>
        <w:spacing w:before="96" w:beforeLines="40" w:after="96" w:afterLines="40" w:line="400" w:lineRule="exact"/>
        <w:ind w:firstLine="420" w:firstLineChars="200"/>
        <w:jc w:val="left"/>
        <w:rPr>
          <w:rFonts w:ascii="宋体" w:hAnsi="宋体"/>
          <w:szCs w:val="21"/>
        </w:rPr>
      </w:pPr>
      <w:r>
        <w:rPr>
          <w:rFonts w:hint="eastAsia" w:ascii="宋体" w:hAnsi="宋体"/>
          <w:szCs w:val="21"/>
        </w:rPr>
        <w:t>（1）被人民法院列入失信被执行人；</w:t>
      </w:r>
    </w:p>
    <w:p w14:paraId="716CFA36">
      <w:pPr>
        <w:tabs>
          <w:tab w:val="left" w:pos="2842"/>
        </w:tabs>
        <w:autoSpaceDE w:val="0"/>
        <w:autoSpaceDN w:val="0"/>
        <w:adjustRightInd w:val="0"/>
        <w:spacing w:before="96" w:beforeLines="40" w:after="96" w:afterLines="40" w:line="400" w:lineRule="exact"/>
        <w:ind w:firstLine="420" w:firstLineChars="200"/>
        <w:jc w:val="left"/>
        <w:rPr>
          <w:rFonts w:ascii="宋体" w:hAnsi="宋体"/>
          <w:szCs w:val="21"/>
        </w:rPr>
      </w:pPr>
      <w:r>
        <w:rPr>
          <w:rFonts w:hint="eastAsia" w:ascii="宋体" w:hAnsi="宋体"/>
          <w:szCs w:val="21"/>
        </w:rPr>
        <w:t>（2）供应商或其法定代表人或拟派项目经理（项目负责人）被人民检察院列入行贿犯罪档案的；</w:t>
      </w:r>
    </w:p>
    <w:p w14:paraId="5C32CBEC">
      <w:pPr>
        <w:spacing w:before="96" w:beforeLines="40" w:after="96" w:afterLines="40" w:line="400" w:lineRule="exact"/>
        <w:ind w:firstLine="420" w:firstLineChars="200"/>
        <w:jc w:val="left"/>
        <w:rPr>
          <w:rFonts w:ascii="宋体" w:hAnsi="宋体"/>
          <w:szCs w:val="21"/>
        </w:rPr>
      </w:pPr>
      <w:r>
        <w:rPr>
          <w:rFonts w:hint="eastAsia" w:ascii="宋体" w:hAnsi="宋体"/>
          <w:szCs w:val="21"/>
        </w:rPr>
        <w:t>（3）被市场监督管理部门列入严重违法失信名单；</w:t>
      </w:r>
    </w:p>
    <w:p w14:paraId="34797F22">
      <w:pPr>
        <w:spacing w:before="96" w:beforeLines="40" w:after="96" w:afterLines="40" w:line="400" w:lineRule="exact"/>
        <w:ind w:firstLine="420" w:firstLineChars="200"/>
        <w:jc w:val="left"/>
        <w:rPr>
          <w:rFonts w:ascii="宋体" w:hAnsi="宋体"/>
          <w:szCs w:val="21"/>
        </w:rPr>
      </w:pPr>
      <w:r>
        <w:rPr>
          <w:rFonts w:hint="eastAsia" w:ascii="宋体" w:hAnsi="宋体"/>
          <w:szCs w:val="21"/>
        </w:rPr>
        <w:t>（4）被税务机关列入重大税收违法失信主体名单；</w:t>
      </w:r>
    </w:p>
    <w:p w14:paraId="1A8C34C5">
      <w:pPr>
        <w:spacing w:before="96" w:beforeLines="40" w:after="96" w:afterLines="40" w:line="400" w:lineRule="exact"/>
        <w:ind w:firstLine="420" w:firstLineChars="200"/>
        <w:jc w:val="left"/>
        <w:rPr>
          <w:rFonts w:ascii="宋体" w:hAnsi="宋体"/>
          <w:szCs w:val="21"/>
        </w:rPr>
      </w:pPr>
      <w:r>
        <w:rPr>
          <w:rFonts w:hint="eastAsia" w:ascii="宋体" w:hAnsi="宋体"/>
          <w:szCs w:val="21"/>
        </w:rPr>
        <w:t>（5）被财政部门列入政府采购严重违法失信行为记录名单。</w:t>
      </w:r>
    </w:p>
    <w:p w14:paraId="59390DB8">
      <w:pPr>
        <w:spacing w:before="96" w:beforeLines="40" w:after="96" w:afterLines="40" w:line="400" w:lineRule="exact"/>
        <w:ind w:firstLine="420" w:firstLineChars="200"/>
        <w:jc w:val="left"/>
        <w:rPr>
          <w:rFonts w:ascii="宋体" w:hAnsi="宋体"/>
          <w:szCs w:val="21"/>
        </w:rPr>
      </w:pPr>
      <w:r>
        <w:rPr>
          <w:rFonts w:hint="eastAsia" w:ascii="宋体" w:hAnsi="宋体"/>
          <w:szCs w:val="21"/>
        </w:rPr>
        <w:t>3、本单位郑重承诺，我单位不存在《中华人民共和国政府采购法》、《中华人民共和国政府采购法实施条例》及其他相关法律法规规定的禁止投标情形。</w:t>
      </w:r>
    </w:p>
    <w:p w14:paraId="25F43B1D">
      <w:pPr>
        <w:spacing w:before="96" w:beforeLines="40" w:after="96" w:afterLines="40" w:line="400" w:lineRule="exact"/>
        <w:ind w:firstLine="420" w:firstLineChars="200"/>
        <w:jc w:val="left"/>
        <w:rPr>
          <w:rFonts w:ascii="仿宋" w:hAnsi="仿宋" w:cs="宋体"/>
          <w:kern w:val="0"/>
          <w:szCs w:val="21"/>
        </w:rPr>
      </w:pPr>
      <w:r>
        <w:rPr>
          <w:rFonts w:ascii="宋体" w:hAnsi="宋体"/>
          <w:szCs w:val="21"/>
        </w:rPr>
        <w:t>我</w:t>
      </w:r>
      <w:r>
        <w:rPr>
          <w:rFonts w:hint="eastAsia" w:ascii="宋体" w:hAnsi="宋体"/>
          <w:szCs w:val="21"/>
        </w:rPr>
        <w:t>单位</w:t>
      </w:r>
      <w:r>
        <w:rPr>
          <w:rFonts w:ascii="宋体" w:hAnsi="宋体"/>
          <w:szCs w:val="21"/>
        </w:rPr>
        <w:t>承诺</w:t>
      </w:r>
      <w:r>
        <w:rPr>
          <w:rFonts w:hint="eastAsia" w:ascii="宋体" w:hAnsi="宋体"/>
          <w:szCs w:val="21"/>
        </w:rPr>
        <w:t>：合同签订前，</w:t>
      </w:r>
      <w:r>
        <w:rPr>
          <w:rFonts w:ascii="宋体" w:hAnsi="宋体"/>
          <w:szCs w:val="21"/>
        </w:rPr>
        <w:t>若我</w:t>
      </w:r>
      <w:r>
        <w:rPr>
          <w:rFonts w:hint="eastAsia" w:ascii="宋体" w:hAnsi="宋体"/>
          <w:szCs w:val="21"/>
        </w:rPr>
        <w:t>单位</w:t>
      </w:r>
      <w:r>
        <w:rPr>
          <w:rFonts w:ascii="宋体" w:hAnsi="宋体"/>
          <w:szCs w:val="21"/>
        </w:rPr>
        <w:t>具有</w:t>
      </w:r>
      <w:r>
        <w:rPr>
          <w:rFonts w:hint="eastAsia" w:ascii="宋体" w:hAnsi="宋体"/>
          <w:szCs w:val="21"/>
        </w:rPr>
        <w:t>上述</w:t>
      </w:r>
      <w:r>
        <w:rPr>
          <w:rFonts w:ascii="宋体" w:hAnsi="宋体"/>
          <w:szCs w:val="21"/>
        </w:rPr>
        <w:t>情形，贵方可取消我</w:t>
      </w:r>
      <w:r>
        <w:rPr>
          <w:rFonts w:hint="eastAsia" w:ascii="宋体" w:hAnsi="宋体"/>
          <w:szCs w:val="21"/>
        </w:rPr>
        <w:t>单位</w:t>
      </w:r>
      <w:r>
        <w:rPr>
          <w:rFonts w:ascii="宋体" w:hAnsi="宋体"/>
          <w:szCs w:val="21"/>
        </w:rPr>
        <w:t>中标资格</w:t>
      </w:r>
      <w:r>
        <w:rPr>
          <w:rFonts w:hint="eastAsia" w:ascii="宋体" w:hAnsi="宋体"/>
          <w:szCs w:val="21"/>
        </w:rPr>
        <w:t>或者</w:t>
      </w:r>
      <w:r>
        <w:rPr>
          <w:rFonts w:ascii="宋体" w:hAnsi="宋体"/>
          <w:szCs w:val="21"/>
        </w:rPr>
        <w:t>不授予合同；</w:t>
      </w:r>
      <w:r>
        <w:rPr>
          <w:rFonts w:hint="eastAsia" w:ascii="宋体" w:hAnsi="宋体"/>
          <w:szCs w:val="21"/>
        </w:rPr>
        <w:t>合同签订后，贵方可解除合同</w:t>
      </w:r>
      <w:r>
        <w:rPr>
          <w:rFonts w:ascii="宋体" w:hAnsi="宋体"/>
          <w:szCs w:val="21"/>
        </w:rPr>
        <w:t>。所有责任由我</w:t>
      </w:r>
      <w:r>
        <w:rPr>
          <w:rFonts w:hint="eastAsia" w:ascii="宋体" w:hAnsi="宋体"/>
          <w:szCs w:val="21"/>
        </w:rPr>
        <w:t>单位</w:t>
      </w:r>
      <w:r>
        <w:rPr>
          <w:rFonts w:ascii="宋体" w:hAnsi="宋体"/>
          <w:szCs w:val="21"/>
        </w:rPr>
        <w:t>自行承担。同时，我</w:t>
      </w:r>
      <w:r>
        <w:rPr>
          <w:rFonts w:hint="eastAsia" w:ascii="宋体" w:hAnsi="宋体"/>
          <w:szCs w:val="21"/>
        </w:rPr>
        <w:t>单位</w:t>
      </w:r>
      <w:r>
        <w:rPr>
          <w:rFonts w:ascii="宋体" w:hAnsi="宋体"/>
          <w:szCs w:val="21"/>
        </w:rPr>
        <w:t>愿意无条件接受监管部门</w:t>
      </w:r>
      <w:r>
        <w:rPr>
          <w:rFonts w:hint="eastAsia" w:ascii="宋体" w:hAnsi="宋体"/>
          <w:szCs w:val="21"/>
        </w:rPr>
        <w:t>及招标人</w:t>
      </w:r>
      <w:r>
        <w:rPr>
          <w:rFonts w:ascii="宋体" w:hAnsi="宋体"/>
          <w:szCs w:val="21"/>
        </w:rPr>
        <w:t>的调查处理。</w:t>
      </w:r>
    </w:p>
    <w:p w14:paraId="5C7991EE">
      <w:pPr>
        <w:spacing w:before="96" w:beforeLines="40" w:after="96" w:afterLines="40" w:line="400" w:lineRule="exact"/>
        <w:ind w:firstLine="420" w:firstLineChars="200"/>
        <w:jc w:val="left"/>
        <w:rPr>
          <w:rFonts w:ascii="宋体" w:hAnsi="宋体"/>
          <w:szCs w:val="21"/>
        </w:rPr>
      </w:pPr>
      <w:r>
        <w:rPr>
          <w:rFonts w:hint="eastAsia" w:ascii="宋体" w:hAnsi="宋体"/>
          <w:szCs w:val="21"/>
        </w:rPr>
        <w:t>本单位对上述声明的真实性负责。如有虚假，将依法承担提供虚假材料的相应责任。</w:t>
      </w:r>
    </w:p>
    <w:p w14:paraId="71AC05B4">
      <w:pPr>
        <w:spacing w:line="360" w:lineRule="auto"/>
        <w:ind w:firstLine="435"/>
        <w:rPr>
          <w:rFonts w:ascii="宋体"/>
          <w:szCs w:val="21"/>
        </w:rPr>
      </w:pPr>
    </w:p>
    <w:p w14:paraId="4D53AE3C">
      <w:pPr>
        <w:spacing w:line="360" w:lineRule="auto"/>
        <w:ind w:firstLine="435"/>
        <w:rPr>
          <w:rFonts w:ascii="宋体"/>
          <w:szCs w:val="21"/>
        </w:rPr>
      </w:pPr>
    </w:p>
    <w:p w14:paraId="370D0B62">
      <w:pPr>
        <w:spacing w:before="96" w:beforeLines="40" w:after="96" w:afterLines="40" w:line="400" w:lineRule="exact"/>
        <w:ind w:firstLine="2520" w:firstLineChars="1200"/>
        <w:rPr>
          <w:rFonts w:ascii="宋体" w:hAnsi="宋体"/>
          <w:szCs w:val="21"/>
          <w:u w:val="single"/>
        </w:rPr>
      </w:pPr>
      <w:r>
        <w:rPr>
          <w:rFonts w:hint="eastAsia" w:ascii="宋体" w:hAnsi="宋体"/>
          <w:szCs w:val="21"/>
        </w:rPr>
        <w:t>投标供应商（盖章）：</w:t>
      </w:r>
    </w:p>
    <w:p w14:paraId="1C6E0B1A">
      <w:pPr>
        <w:tabs>
          <w:tab w:val="left" w:pos="4620"/>
        </w:tabs>
        <w:spacing w:before="40" w:after="40" w:line="400" w:lineRule="exact"/>
        <w:ind w:firstLine="2835" w:firstLineChars="1350"/>
        <w:rPr>
          <w:rFonts w:ascii="宋体" w:hAnsi="宋体"/>
          <w:szCs w:val="21"/>
          <w:u w:val="single"/>
        </w:rPr>
      </w:pPr>
      <w:r>
        <w:rPr>
          <w:rFonts w:hint="eastAsia" w:ascii="宋体" w:hAnsi="宋体"/>
          <w:szCs w:val="21"/>
        </w:rPr>
        <w:t>日期：</w:t>
      </w:r>
    </w:p>
    <w:p w14:paraId="5CB167E6">
      <w:pPr>
        <w:pStyle w:val="3"/>
        <w:widowControl/>
        <w:spacing w:before="120" w:after="120" w:line="240" w:lineRule="auto"/>
        <w:jc w:val="center"/>
        <w:rPr>
          <w:rStyle w:val="19"/>
          <w:rFonts w:ascii="宋体" w:hAnsi="宋体" w:eastAsia="宋体"/>
          <w:b/>
          <w:bCs/>
          <w:sz w:val="30"/>
          <w:szCs w:val="30"/>
        </w:rPr>
      </w:pPr>
      <w:r>
        <w:rPr>
          <w:rFonts w:hint="eastAsia" w:ascii="宋体" w:hAnsi="宋体"/>
          <w:kern w:val="0"/>
          <w:sz w:val="28"/>
          <w:szCs w:val="28"/>
        </w:rPr>
        <w:br w:type="page"/>
      </w:r>
      <w:r>
        <w:rPr>
          <w:rFonts w:hint="eastAsia" w:ascii="宋体" w:hAnsi="宋体"/>
          <w:kern w:val="0"/>
          <w:sz w:val="28"/>
          <w:szCs w:val="28"/>
        </w:rPr>
        <w:t>六、</w:t>
      </w:r>
      <w:r>
        <w:rPr>
          <w:rStyle w:val="19"/>
          <w:rFonts w:hint="eastAsia" w:ascii="宋体" w:hAnsi="宋体" w:eastAsia="宋体"/>
          <w:b/>
          <w:bCs/>
          <w:sz w:val="30"/>
          <w:szCs w:val="30"/>
        </w:rPr>
        <w:t>商务条款偏离表</w:t>
      </w:r>
    </w:p>
    <w:tbl>
      <w:tblPr>
        <w:tblStyle w:val="14"/>
        <w:tblW w:w="0" w:type="auto"/>
        <w:tblInd w:w="0" w:type="dxa"/>
        <w:tblLayout w:type="fixed"/>
        <w:tblCellMar>
          <w:top w:w="0" w:type="dxa"/>
          <w:left w:w="108" w:type="dxa"/>
          <w:bottom w:w="0" w:type="dxa"/>
          <w:right w:w="108" w:type="dxa"/>
        </w:tblCellMar>
      </w:tblPr>
      <w:tblGrid>
        <w:gridCol w:w="738"/>
        <w:gridCol w:w="1370"/>
        <w:gridCol w:w="2382"/>
        <w:gridCol w:w="2553"/>
        <w:gridCol w:w="1570"/>
        <w:gridCol w:w="1365"/>
      </w:tblGrid>
      <w:tr w14:paraId="4C86960C">
        <w:tblPrEx>
          <w:tblCellMar>
            <w:top w:w="0" w:type="dxa"/>
            <w:left w:w="108" w:type="dxa"/>
            <w:bottom w:w="0" w:type="dxa"/>
            <w:right w:w="108" w:type="dxa"/>
          </w:tblCellMar>
        </w:tblPrEx>
        <w:trPr>
          <w:trHeight w:val="454" w:hRule="atLeast"/>
        </w:trPr>
        <w:tc>
          <w:tcPr>
            <w:tcW w:w="738" w:type="dxa"/>
            <w:vMerge w:val="restart"/>
            <w:tcBorders>
              <w:top w:val="single" w:color="000000" w:sz="4" w:space="0"/>
              <w:left w:val="single" w:color="000000" w:sz="4" w:space="0"/>
              <w:right w:val="single" w:color="000000" w:sz="4" w:space="0"/>
            </w:tcBorders>
            <w:vAlign w:val="center"/>
          </w:tcPr>
          <w:p w14:paraId="74D3C330">
            <w:pPr>
              <w:widowControl/>
              <w:jc w:val="center"/>
              <w:rPr>
                <w:rFonts w:ascii="宋体" w:hAnsi="宋体" w:cs="宋体"/>
                <w:b/>
                <w:kern w:val="0"/>
                <w:szCs w:val="21"/>
              </w:rPr>
            </w:pPr>
            <w:r>
              <w:rPr>
                <w:rFonts w:hint="eastAsia" w:ascii="宋体" w:hAnsi="宋体" w:cs="宋体"/>
                <w:b/>
                <w:kern w:val="0"/>
                <w:szCs w:val="21"/>
              </w:rPr>
              <w:t>序号</w:t>
            </w:r>
          </w:p>
        </w:tc>
        <w:tc>
          <w:tcPr>
            <w:tcW w:w="1370" w:type="dxa"/>
            <w:vMerge w:val="restart"/>
            <w:tcBorders>
              <w:top w:val="single" w:color="000000" w:sz="4" w:space="0"/>
              <w:left w:val="nil"/>
              <w:right w:val="single" w:color="000000" w:sz="4" w:space="0"/>
            </w:tcBorders>
            <w:vAlign w:val="center"/>
          </w:tcPr>
          <w:p w14:paraId="068B6AEE">
            <w:pPr>
              <w:widowControl/>
              <w:jc w:val="center"/>
              <w:rPr>
                <w:rFonts w:ascii="宋体" w:hAnsi="宋体" w:cs="宋体"/>
                <w:b/>
                <w:kern w:val="0"/>
                <w:szCs w:val="21"/>
              </w:rPr>
            </w:pPr>
            <w:r>
              <w:rPr>
                <w:rFonts w:hint="eastAsia" w:ascii="宋体" w:hAnsi="宋体" w:cs="宋体"/>
                <w:b/>
                <w:kern w:val="0"/>
                <w:szCs w:val="21"/>
              </w:rPr>
              <w:t>内容</w:t>
            </w:r>
          </w:p>
        </w:tc>
        <w:tc>
          <w:tcPr>
            <w:tcW w:w="2382" w:type="dxa"/>
            <w:vMerge w:val="restart"/>
            <w:tcBorders>
              <w:top w:val="single" w:color="000000" w:sz="4" w:space="0"/>
              <w:left w:val="nil"/>
              <w:right w:val="single" w:color="000000" w:sz="4" w:space="0"/>
            </w:tcBorders>
            <w:vAlign w:val="center"/>
          </w:tcPr>
          <w:p w14:paraId="397FB4CD">
            <w:pPr>
              <w:widowControl/>
              <w:jc w:val="center"/>
              <w:rPr>
                <w:rFonts w:ascii="宋体" w:hAnsi="宋体" w:cs="宋体"/>
                <w:b/>
                <w:kern w:val="0"/>
                <w:szCs w:val="21"/>
              </w:rPr>
            </w:pPr>
            <w:r>
              <w:rPr>
                <w:rFonts w:hint="eastAsia" w:ascii="宋体" w:hAnsi="宋体" w:cs="宋体"/>
                <w:b/>
                <w:kern w:val="0"/>
                <w:szCs w:val="21"/>
              </w:rPr>
              <w:t>招标文件的条款</w:t>
            </w:r>
          </w:p>
        </w:tc>
        <w:tc>
          <w:tcPr>
            <w:tcW w:w="2553" w:type="dxa"/>
            <w:vMerge w:val="restart"/>
            <w:tcBorders>
              <w:top w:val="single" w:color="000000" w:sz="4" w:space="0"/>
              <w:left w:val="nil"/>
              <w:right w:val="single" w:color="000000" w:sz="4" w:space="0"/>
            </w:tcBorders>
            <w:vAlign w:val="center"/>
          </w:tcPr>
          <w:p w14:paraId="4CC59C4F">
            <w:pPr>
              <w:widowControl/>
              <w:jc w:val="center"/>
              <w:rPr>
                <w:rFonts w:ascii="宋体" w:hAnsi="宋体" w:cs="宋体"/>
                <w:b/>
                <w:kern w:val="0"/>
                <w:szCs w:val="21"/>
              </w:rPr>
            </w:pPr>
            <w:r>
              <w:rPr>
                <w:rFonts w:hint="eastAsia" w:ascii="宋体" w:hAnsi="宋体" w:cs="宋体"/>
                <w:b/>
                <w:kern w:val="0"/>
                <w:szCs w:val="21"/>
              </w:rPr>
              <w:t>投标文件的条款</w:t>
            </w:r>
          </w:p>
        </w:tc>
        <w:tc>
          <w:tcPr>
            <w:tcW w:w="1570" w:type="dxa"/>
            <w:tcBorders>
              <w:top w:val="single" w:color="000000" w:sz="4" w:space="0"/>
              <w:left w:val="nil"/>
              <w:bottom w:val="single" w:color="000000" w:sz="4" w:space="0"/>
              <w:right w:val="single" w:color="000000" w:sz="4" w:space="0"/>
            </w:tcBorders>
            <w:vAlign w:val="center"/>
          </w:tcPr>
          <w:p w14:paraId="6196EB1B">
            <w:pPr>
              <w:widowControl/>
              <w:jc w:val="center"/>
              <w:rPr>
                <w:rFonts w:ascii="宋体" w:hAnsi="宋体" w:cs="宋体"/>
                <w:b/>
                <w:kern w:val="0"/>
                <w:szCs w:val="21"/>
              </w:rPr>
            </w:pPr>
            <w:r>
              <w:rPr>
                <w:rFonts w:hint="eastAsia" w:ascii="宋体" w:hAnsi="宋体" w:cs="宋体"/>
                <w:b/>
                <w:kern w:val="0"/>
                <w:szCs w:val="21"/>
              </w:rPr>
              <w:t>偏离说明</w:t>
            </w:r>
          </w:p>
        </w:tc>
        <w:tc>
          <w:tcPr>
            <w:tcW w:w="1365" w:type="dxa"/>
            <w:vMerge w:val="restart"/>
            <w:tcBorders>
              <w:top w:val="single" w:color="000000" w:sz="4" w:space="0"/>
              <w:left w:val="nil"/>
              <w:right w:val="single" w:color="000000" w:sz="4" w:space="0"/>
            </w:tcBorders>
            <w:vAlign w:val="center"/>
          </w:tcPr>
          <w:p w14:paraId="7F99E2B9">
            <w:pPr>
              <w:widowControl/>
              <w:jc w:val="center"/>
              <w:rPr>
                <w:rFonts w:ascii="宋体" w:hAnsi="宋体" w:cs="宋体"/>
                <w:b/>
                <w:kern w:val="0"/>
                <w:szCs w:val="21"/>
              </w:rPr>
            </w:pPr>
            <w:r>
              <w:rPr>
                <w:rFonts w:hint="eastAsia" w:ascii="宋体" w:hAnsi="宋体" w:cs="宋体"/>
                <w:b/>
                <w:kern w:val="0"/>
                <w:szCs w:val="21"/>
              </w:rPr>
              <w:t>备注</w:t>
            </w:r>
          </w:p>
        </w:tc>
      </w:tr>
      <w:tr w14:paraId="11D46057">
        <w:tblPrEx>
          <w:tblCellMar>
            <w:top w:w="0" w:type="dxa"/>
            <w:left w:w="108" w:type="dxa"/>
            <w:bottom w:w="0" w:type="dxa"/>
            <w:right w:w="108" w:type="dxa"/>
          </w:tblCellMar>
        </w:tblPrEx>
        <w:trPr>
          <w:trHeight w:val="454" w:hRule="atLeast"/>
        </w:trPr>
        <w:tc>
          <w:tcPr>
            <w:tcW w:w="738" w:type="dxa"/>
            <w:vMerge w:val="continue"/>
            <w:tcBorders>
              <w:left w:val="single" w:color="000000" w:sz="4" w:space="0"/>
              <w:bottom w:val="single" w:color="000000" w:sz="4" w:space="0"/>
              <w:right w:val="single" w:color="000000" w:sz="4" w:space="0"/>
            </w:tcBorders>
            <w:vAlign w:val="center"/>
          </w:tcPr>
          <w:p w14:paraId="7BEB4A61">
            <w:pPr>
              <w:widowControl/>
              <w:jc w:val="center"/>
              <w:rPr>
                <w:rFonts w:ascii="宋体" w:hAnsi="宋体" w:cs="宋体"/>
                <w:kern w:val="0"/>
                <w:szCs w:val="21"/>
              </w:rPr>
            </w:pPr>
          </w:p>
        </w:tc>
        <w:tc>
          <w:tcPr>
            <w:tcW w:w="1370" w:type="dxa"/>
            <w:vMerge w:val="continue"/>
            <w:tcBorders>
              <w:left w:val="nil"/>
              <w:bottom w:val="single" w:color="000000" w:sz="4" w:space="0"/>
              <w:right w:val="single" w:color="000000" w:sz="4" w:space="0"/>
            </w:tcBorders>
            <w:vAlign w:val="center"/>
          </w:tcPr>
          <w:p w14:paraId="6B485B2A">
            <w:pPr>
              <w:widowControl/>
              <w:jc w:val="center"/>
              <w:rPr>
                <w:rFonts w:ascii="楷体" w:hAnsi="楷体" w:eastAsia="楷体" w:cs="宋体"/>
                <w:kern w:val="0"/>
                <w:szCs w:val="21"/>
              </w:rPr>
            </w:pPr>
          </w:p>
        </w:tc>
        <w:tc>
          <w:tcPr>
            <w:tcW w:w="2382" w:type="dxa"/>
            <w:vMerge w:val="continue"/>
            <w:tcBorders>
              <w:left w:val="nil"/>
              <w:bottom w:val="single" w:color="000000" w:sz="4" w:space="0"/>
              <w:right w:val="single" w:color="000000" w:sz="4" w:space="0"/>
            </w:tcBorders>
            <w:vAlign w:val="center"/>
          </w:tcPr>
          <w:p w14:paraId="458C515D">
            <w:pPr>
              <w:widowControl/>
              <w:jc w:val="center"/>
              <w:rPr>
                <w:rFonts w:ascii="宋体" w:hAnsi="宋体" w:cs="宋体"/>
                <w:kern w:val="0"/>
                <w:szCs w:val="21"/>
              </w:rPr>
            </w:pPr>
          </w:p>
        </w:tc>
        <w:tc>
          <w:tcPr>
            <w:tcW w:w="2553" w:type="dxa"/>
            <w:vMerge w:val="continue"/>
            <w:tcBorders>
              <w:left w:val="nil"/>
              <w:bottom w:val="single" w:color="000000" w:sz="4" w:space="0"/>
              <w:right w:val="single" w:color="000000" w:sz="4" w:space="0"/>
            </w:tcBorders>
            <w:vAlign w:val="center"/>
          </w:tcPr>
          <w:p w14:paraId="647A7E91">
            <w:pPr>
              <w:widowControl/>
              <w:jc w:val="center"/>
              <w:rPr>
                <w:rFonts w:ascii="宋体" w:hAnsi="宋体" w:cs="宋体"/>
                <w:kern w:val="0"/>
                <w:szCs w:val="21"/>
              </w:rPr>
            </w:pPr>
          </w:p>
        </w:tc>
        <w:tc>
          <w:tcPr>
            <w:tcW w:w="1570" w:type="dxa"/>
            <w:tcBorders>
              <w:top w:val="single" w:color="000000" w:sz="4" w:space="0"/>
              <w:left w:val="nil"/>
              <w:bottom w:val="single" w:color="000000" w:sz="4" w:space="0"/>
              <w:right w:val="single" w:color="000000" w:sz="4" w:space="0"/>
            </w:tcBorders>
            <w:vAlign w:val="center"/>
          </w:tcPr>
          <w:p w14:paraId="0C0BE547">
            <w:pPr>
              <w:widowControl/>
              <w:jc w:val="center"/>
              <w:rPr>
                <w:rFonts w:ascii="宋体" w:hAnsi="宋体" w:cs="宋体"/>
                <w:bCs/>
                <w:kern w:val="0"/>
                <w:sz w:val="24"/>
              </w:rPr>
            </w:pPr>
            <w:r>
              <w:rPr>
                <w:rFonts w:hint="eastAsia" w:ascii="宋体" w:hAnsi="宋体" w:cs="宋体"/>
                <w:bCs/>
                <w:kern w:val="0"/>
                <w:sz w:val="24"/>
              </w:rPr>
              <w:t>无偏离</w:t>
            </w:r>
          </w:p>
          <w:p w14:paraId="33A255E7">
            <w:pPr>
              <w:widowControl/>
              <w:jc w:val="center"/>
              <w:rPr>
                <w:rFonts w:ascii="宋体" w:hAnsi="宋体" w:cs="宋体"/>
                <w:bCs/>
                <w:kern w:val="0"/>
                <w:sz w:val="24"/>
              </w:rPr>
            </w:pPr>
            <w:r>
              <w:rPr>
                <w:rFonts w:hint="eastAsia" w:ascii="宋体" w:hAnsi="宋体" w:cs="宋体"/>
                <w:bCs/>
                <w:kern w:val="0"/>
                <w:sz w:val="24"/>
              </w:rPr>
              <w:t>正偏离</w:t>
            </w:r>
          </w:p>
          <w:p w14:paraId="020A7F1E">
            <w:pPr>
              <w:widowControl/>
              <w:jc w:val="center"/>
              <w:rPr>
                <w:rFonts w:ascii="宋体" w:hAnsi="宋体" w:cs="宋体"/>
                <w:bCs/>
                <w:kern w:val="0"/>
                <w:sz w:val="24"/>
              </w:rPr>
            </w:pPr>
            <w:r>
              <w:rPr>
                <w:rFonts w:hint="eastAsia" w:ascii="宋体" w:hAnsi="宋体" w:cs="宋体"/>
                <w:bCs/>
                <w:kern w:val="0"/>
                <w:sz w:val="24"/>
              </w:rPr>
              <w:t>负偏离</w:t>
            </w:r>
          </w:p>
        </w:tc>
        <w:tc>
          <w:tcPr>
            <w:tcW w:w="1365" w:type="dxa"/>
            <w:vMerge w:val="continue"/>
            <w:tcBorders>
              <w:left w:val="nil"/>
              <w:bottom w:val="single" w:color="000000" w:sz="4" w:space="0"/>
              <w:right w:val="single" w:color="000000" w:sz="4" w:space="0"/>
            </w:tcBorders>
            <w:vAlign w:val="center"/>
          </w:tcPr>
          <w:p w14:paraId="54E046AF">
            <w:pPr>
              <w:widowControl/>
              <w:jc w:val="center"/>
              <w:rPr>
                <w:rFonts w:ascii="宋体" w:hAnsi="宋体" w:cs="宋体"/>
                <w:kern w:val="0"/>
                <w:szCs w:val="21"/>
              </w:rPr>
            </w:pPr>
          </w:p>
        </w:tc>
      </w:tr>
      <w:tr w14:paraId="7512E1D7">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61E63CA8">
            <w:pPr>
              <w:widowControl/>
              <w:jc w:val="center"/>
              <w:rPr>
                <w:rFonts w:ascii="宋体" w:hAnsi="宋体" w:cs="宋体"/>
                <w:kern w:val="0"/>
                <w:szCs w:val="21"/>
              </w:rPr>
            </w:pPr>
            <w:r>
              <w:rPr>
                <w:rFonts w:hint="eastAsia" w:ascii="宋体" w:hAnsi="宋体" w:cs="宋体"/>
                <w:kern w:val="0"/>
                <w:szCs w:val="21"/>
              </w:rPr>
              <w:t>1</w:t>
            </w:r>
          </w:p>
        </w:tc>
        <w:tc>
          <w:tcPr>
            <w:tcW w:w="1370" w:type="dxa"/>
            <w:tcBorders>
              <w:top w:val="single" w:color="000000" w:sz="4" w:space="0"/>
              <w:left w:val="nil"/>
              <w:bottom w:val="single" w:color="000000" w:sz="4" w:space="0"/>
              <w:right w:val="single" w:color="000000" w:sz="4" w:space="0"/>
            </w:tcBorders>
            <w:vAlign w:val="center"/>
          </w:tcPr>
          <w:p w14:paraId="47BBA3BA">
            <w:pPr>
              <w:widowControl/>
              <w:jc w:val="center"/>
              <w:rPr>
                <w:rFonts w:ascii="宋体" w:hAnsi="宋体" w:cs="宋体"/>
                <w:kern w:val="0"/>
                <w:szCs w:val="21"/>
              </w:rPr>
            </w:pPr>
            <w:r>
              <w:rPr>
                <w:rFonts w:hint="eastAsia" w:ascii="宋体" w:hAnsi="宋体" w:cs="宋体"/>
                <w:kern w:val="0"/>
                <w:szCs w:val="21"/>
              </w:rPr>
              <w:t>服务地点</w:t>
            </w:r>
          </w:p>
        </w:tc>
        <w:tc>
          <w:tcPr>
            <w:tcW w:w="2382" w:type="dxa"/>
            <w:tcBorders>
              <w:top w:val="single" w:color="000000" w:sz="4" w:space="0"/>
              <w:left w:val="nil"/>
              <w:bottom w:val="single" w:color="000000" w:sz="4" w:space="0"/>
              <w:right w:val="single" w:color="000000" w:sz="4" w:space="0"/>
            </w:tcBorders>
            <w:vAlign w:val="center"/>
          </w:tcPr>
          <w:p w14:paraId="34B3B5C3">
            <w:pPr>
              <w:widowControl/>
              <w:jc w:val="center"/>
              <w:rPr>
                <w:rFonts w:ascii="宋体" w:hAnsi="宋体" w:cs="宋体"/>
                <w:kern w:val="0"/>
                <w:szCs w:val="21"/>
              </w:rPr>
            </w:pPr>
          </w:p>
        </w:tc>
        <w:tc>
          <w:tcPr>
            <w:tcW w:w="2553" w:type="dxa"/>
            <w:tcBorders>
              <w:top w:val="single" w:color="000000" w:sz="4" w:space="0"/>
              <w:left w:val="nil"/>
              <w:bottom w:val="single" w:color="000000" w:sz="4" w:space="0"/>
              <w:right w:val="single" w:color="000000" w:sz="4" w:space="0"/>
            </w:tcBorders>
            <w:vAlign w:val="center"/>
          </w:tcPr>
          <w:p w14:paraId="3F635DED">
            <w:pPr>
              <w:widowControl/>
              <w:jc w:val="center"/>
              <w:rPr>
                <w:rFonts w:ascii="宋体" w:hAnsi="宋体" w:cs="宋体"/>
                <w:kern w:val="0"/>
                <w:szCs w:val="21"/>
              </w:rPr>
            </w:pPr>
          </w:p>
        </w:tc>
        <w:tc>
          <w:tcPr>
            <w:tcW w:w="1570" w:type="dxa"/>
            <w:tcBorders>
              <w:top w:val="single" w:color="000000" w:sz="4" w:space="0"/>
              <w:left w:val="nil"/>
              <w:bottom w:val="single" w:color="000000" w:sz="4" w:space="0"/>
              <w:right w:val="single" w:color="000000" w:sz="4" w:space="0"/>
            </w:tcBorders>
            <w:vAlign w:val="center"/>
          </w:tcPr>
          <w:p w14:paraId="001FFA69">
            <w:pPr>
              <w:widowControl/>
              <w:jc w:val="center"/>
              <w:rPr>
                <w:rFonts w:ascii="宋体" w:hAnsi="宋体" w:cs="宋体"/>
                <w:kern w:val="0"/>
                <w:szCs w:val="21"/>
              </w:rPr>
            </w:pPr>
          </w:p>
        </w:tc>
        <w:tc>
          <w:tcPr>
            <w:tcW w:w="1365" w:type="dxa"/>
            <w:tcBorders>
              <w:top w:val="single" w:color="000000" w:sz="4" w:space="0"/>
              <w:left w:val="nil"/>
              <w:bottom w:val="single" w:color="000000" w:sz="4" w:space="0"/>
              <w:right w:val="single" w:color="000000" w:sz="4" w:space="0"/>
            </w:tcBorders>
            <w:vAlign w:val="center"/>
          </w:tcPr>
          <w:p w14:paraId="512E42B6">
            <w:pPr>
              <w:widowControl/>
              <w:jc w:val="center"/>
              <w:rPr>
                <w:rFonts w:ascii="宋体" w:hAnsi="宋体" w:cs="宋体"/>
                <w:kern w:val="0"/>
                <w:szCs w:val="21"/>
              </w:rPr>
            </w:pPr>
          </w:p>
        </w:tc>
      </w:tr>
      <w:tr w14:paraId="549D8B10">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59BF3323">
            <w:pPr>
              <w:widowControl/>
              <w:jc w:val="center"/>
              <w:rPr>
                <w:rFonts w:ascii="宋体" w:hAnsi="宋体" w:cs="宋体"/>
                <w:kern w:val="0"/>
                <w:szCs w:val="21"/>
              </w:rPr>
            </w:pPr>
            <w:r>
              <w:rPr>
                <w:rFonts w:hint="eastAsia" w:ascii="宋体" w:hAnsi="宋体" w:cs="宋体"/>
                <w:kern w:val="0"/>
                <w:szCs w:val="21"/>
              </w:rPr>
              <w:t>2</w:t>
            </w:r>
          </w:p>
        </w:tc>
        <w:tc>
          <w:tcPr>
            <w:tcW w:w="1370" w:type="dxa"/>
            <w:tcBorders>
              <w:top w:val="single" w:color="000000" w:sz="4" w:space="0"/>
              <w:left w:val="nil"/>
              <w:bottom w:val="single" w:color="000000" w:sz="4" w:space="0"/>
              <w:right w:val="single" w:color="000000" w:sz="4" w:space="0"/>
            </w:tcBorders>
            <w:vAlign w:val="center"/>
          </w:tcPr>
          <w:p w14:paraId="2648A948">
            <w:pPr>
              <w:widowControl/>
              <w:jc w:val="center"/>
              <w:rPr>
                <w:rFonts w:ascii="宋体" w:hAnsi="宋体" w:cs="宋体"/>
                <w:kern w:val="0"/>
                <w:szCs w:val="21"/>
              </w:rPr>
            </w:pPr>
            <w:r>
              <w:rPr>
                <w:rFonts w:hint="eastAsia" w:ascii="宋体" w:hAnsi="宋体" w:cs="宋体"/>
                <w:kern w:val="0"/>
                <w:szCs w:val="21"/>
              </w:rPr>
              <w:t>服务期限</w:t>
            </w:r>
          </w:p>
        </w:tc>
        <w:tc>
          <w:tcPr>
            <w:tcW w:w="2382" w:type="dxa"/>
            <w:tcBorders>
              <w:top w:val="single" w:color="000000" w:sz="4" w:space="0"/>
              <w:left w:val="nil"/>
              <w:bottom w:val="single" w:color="000000" w:sz="4" w:space="0"/>
              <w:right w:val="single" w:color="000000" w:sz="4" w:space="0"/>
            </w:tcBorders>
            <w:vAlign w:val="center"/>
          </w:tcPr>
          <w:p w14:paraId="580C7FF9">
            <w:pPr>
              <w:widowControl/>
              <w:jc w:val="center"/>
              <w:rPr>
                <w:rFonts w:ascii="宋体" w:hAnsi="宋体" w:cs="宋体"/>
                <w:kern w:val="0"/>
                <w:szCs w:val="21"/>
              </w:rPr>
            </w:pPr>
          </w:p>
        </w:tc>
        <w:tc>
          <w:tcPr>
            <w:tcW w:w="2553" w:type="dxa"/>
            <w:tcBorders>
              <w:top w:val="single" w:color="000000" w:sz="4" w:space="0"/>
              <w:left w:val="nil"/>
              <w:bottom w:val="single" w:color="000000" w:sz="4" w:space="0"/>
              <w:right w:val="single" w:color="000000" w:sz="4" w:space="0"/>
            </w:tcBorders>
            <w:vAlign w:val="center"/>
          </w:tcPr>
          <w:p w14:paraId="77092881">
            <w:pPr>
              <w:widowControl/>
              <w:jc w:val="center"/>
              <w:rPr>
                <w:rFonts w:ascii="宋体" w:hAnsi="宋体" w:cs="宋体"/>
                <w:kern w:val="0"/>
                <w:szCs w:val="21"/>
              </w:rPr>
            </w:pPr>
          </w:p>
        </w:tc>
        <w:tc>
          <w:tcPr>
            <w:tcW w:w="1570" w:type="dxa"/>
            <w:tcBorders>
              <w:top w:val="single" w:color="000000" w:sz="4" w:space="0"/>
              <w:left w:val="nil"/>
              <w:bottom w:val="single" w:color="000000" w:sz="4" w:space="0"/>
              <w:right w:val="single" w:color="000000" w:sz="4" w:space="0"/>
            </w:tcBorders>
            <w:vAlign w:val="center"/>
          </w:tcPr>
          <w:p w14:paraId="33B99B38">
            <w:pPr>
              <w:widowControl/>
              <w:jc w:val="center"/>
              <w:rPr>
                <w:rFonts w:ascii="宋体" w:hAnsi="宋体" w:cs="宋体"/>
                <w:kern w:val="0"/>
                <w:szCs w:val="21"/>
              </w:rPr>
            </w:pPr>
          </w:p>
        </w:tc>
        <w:tc>
          <w:tcPr>
            <w:tcW w:w="1365" w:type="dxa"/>
            <w:tcBorders>
              <w:top w:val="single" w:color="000000" w:sz="4" w:space="0"/>
              <w:left w:val="nil"/>
              <w:bottom w:val="single" w:color="000000" w:sz="4" w:space="0"/>
              <w:right w:val="single" w:color="000000" w:sz="4" w:space="0"/>
            </w:tcBorders>
            <w:vAlign w:val="center"/>
          </w:tcPr>
          <w:p w14:paraId="3E757B9F">
            <w:pPr>
              <w:widowControl/>
              <w:jc w:val="center"/>
              <w:rPr>
                <w:rFonts w:ascii="宋体" w:hAnsi="宋体" w:cs="宋体"/>
                <w:kern w:val="0"/>
                <w:szCs w:val="21"/>
              </w:rPr>
            </w:pPr>
          </w:p>
        </w:tc>
      </w:tr>
      <w:tr w14:paraId="090C078E">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6CBA2BC2">
            <w:pPr>
              <w:widowControl/>
              <w:jc w:val="center"/>
              <w:rPr>
                <w:rFonts w:ascii="宋体" w:hAnsi="宋体" w:cs="宋体"/>
                <w:kern w:val="0"/>
                <w:szCs w:val="21"/>
              </w:rPr>
            </w:pPr>
            <w:r>
              <w:rPr>
                <w:rFonts w:hint="eastAsia" w:ascii="宋体" w:hAnsi="宋体" w:cs="宋体"/>
                <w:kern w:val="0"/>
                <w:szCs w:val="21"/>
              </w:rPr>
              <w:t>3</w:t>
            </w:r>
          </w:p>
        </w:tc>
        <w:tc>
          <w:tcPr>
            <w:tcW w:w="1370" w:type="dxa"/>
            <w:tcBorders>
              <w:top w:val="single" w:color="000000" w:sz="4" w:space="0"/>
              <w:left w:val="nil"/>
              <w:bottom w:val="single" w:color="000000" w:sz="4" w:space="0"/>
              <w:right w:val="single" w:color="000000" w:sz="4" w:space="0"/>
            </w:tcBorders>
            <w:vAlign w:val="center"/>
          </w:tcPr>
          <w:p w14:paraId="4124A1BD">
            <w:pPr>
              <w:widowControl/>
              <w:jc w:val="center"/>
              <w:rPr>
                <w:rFonts w:ascii="宋体" w:hAnsi="宋体" w:cs="宋体"/>
                <w:kern w:val="0"/>
                <w:szCs w:val="21"/>
              </w:rPr>
            </w:pPr>
            <w:r>
              <w:rPr>
                <w:rFonts w:hint="eastAsia" w:ascii="宋体" w:hAnsi="宋体" w:cs="宋体"/>
                <w:kern w:val="0"/>
                <w:szCs w:val="21"/>
              </w:rPr>
              <w:t>付款方式</w:t>
            </w:r>
          </w:p>
        </w:tc>
        <w:tc>
          <w:tcPr>
            <w:tcW w:w="2382" w:type="dxa"/>
            <w:tcBorders>
              <w:top w:val="single" w:color="000000" w:sz="4" w:space="0"/>
              <w:left w:val="nil"/>
              <w:bottom w:val="single" w:color="000000" w:sz="4" w:space="0"/>
              <w:right w:val="single" w:color="000000" w:sz="4" w:space="0"/>
            </w:tcBorders>
            <w:vAlign w:val="center"/>
          </w:tcPr>
          <w:p w14:paraId="5271A329">
            <w:pPr>
              <w:widowControl/>
              <w:jc w:val="center"/>
              <w:rPr>
                <w:rFonts w:ascii="宋体" w:hAnsi="宋体" w:cs="宋体"/>
                <w:kern w:val="0"/>
                <w:szCs w:val="21"/>
              </w:rPr>
            </w:pPr>
          </w:p>
        </w:tc>
        <w:tc>
          <w:tcPr>
            <w:tcW w:w="2553" w:type="dxa"/>
            <w:tcBorders>
              <w:top w:val="single" w:color="000000" w:sz="4" w:space="0"/>
              <w:left w:val="nil"/>
              <w:bottom w:val="single" w:color="000000" w:sz="4" w:space="0"/>
              <w:right w:val="single" w:color="000000" w:sz="4" w:space="0"/>
            </w:tcBorders>
            <w:vAlign w:val="center"/>
          </w:tcPr>
          <w:p w14:paraId="6B91A790">
            <w:pPr>
              <w:widowControl/>
              <w:jc w:val="center"/>
              <w:rPr>
                <w:rFonts w:ascii="宋体" w:hAnsi="宋体" w:cs="宋体"/>
                <w:kern w:val="0"/>
                <w:szCs w:val="21"/>
              </w:rPr>
            </w:pPr>
          </w:p>
        </w:tc>
        <w:tc>
          <w:tcPr>
            <w:tcW w:w="1570" w:type="dxa"/>
            <w:tcBorders>
              <w:top w:val="single" w:color="000000" w:sz="4" w:space="0"/>
              <w:left w:val="nil"/>
              <w:bottom w:val="single" w:color="000000" w:sz="4" w:space="0"/>
              <w:right w:val="single" w:color="000000" w:sz="4" w:space="0"/>
            </w:tcBorders>
            <w:vAlign w:val="center"/>
          </w:tcPr>
          <w:p w14:paraId="6AF9C708">
            <w:pPr>
              <w:widowControl/>
              <w:jc w:val="center"/>
              <w:rPr>
                <w:rFonts w:ascii="宋体" w:hAnsi="宋体" w:cs="宋体"/>
                <w:kern w:val="0"/>
                <w:szCs w:val="21"/>
              </w:rPr>
            </w:pPr>
          </w:p>
        </w:tc>
        <w:tc>
          <w:tcPr>
            <w:tcW w:w="1365" w:type="dxa"/>
            <w:tcBorders>
              <w:top w:val="single" w:color="000000" w:sz="4" w:space="0"/>
              <w:left w:val="nil"/>
              <w:bottom w:val="single" w:color="000000" w:sz="4" w:space="0"/>
              <w:right w:val="single" w:color="000000" w:sz="4" w:space="0"/>
            </w:tcBorders>
            <w:vAlign w:val="center"/>
          </w:tcPr>
          <w:p w14:paraId="0F168039">
            <w:pPr>
              <w:widowControl/>
              <w:jc w:val="center"/>
              <w:rPr>
                <w:rFonts w:ascii="宋体" w:hAnsi="宋体" w:cs="宋体"/>
                <w:kern w:val="0"/>
                <w:szCs w:val="21"/>
              </w:rPr>
            </w:pPr>
          </w:p>
        </w:tc>
      </w:tr>
      <w:tr w14:paraId="12B99C43">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0177572A">
            <w:pPr>
              <w:widowControl/>
              <w:jc w:val="center"/>
              <w:rPr>
                <w:rFonts w:ascii="宋体" w:hAnsi="宋体" w:cs="宋体"/>
                <w:kern w:val="0"/>
                <w:szCs w:val="21"/>
              </w:rPr>
            </w:pPr>
            <w:r>
              <w:rPr>
                <w:rFonts w:hint="eastAsia" w:ascii="宋体" w:hAnsi="宋体" w:cs="宋体"/>
                <w:kern w:val="0"/>
                <w:szCs w:val="21"/>
              </w:rPr>
              <w:t>4</w:t>
            </w:r>
          </w:p>
        </w:tc>
        <w:tc>
          <w:tcPr>
            <w:tcW w:w="1370" w:type="dxa"/>
            <w:tcBorders>
              <w:top w:val="single" w:color="000000" w:sz="4" w:space="0"/>
              <w:left w:val="nil"/>
              <w:bottom w:val="single" w:color="000000" w:sz="4" w:space="0"/>
              <w:right w:val="single" w:color="000000" w:sz="4" w:space="0"/>
            </w:tcBorders>
            <w:vAlign w:val="center"/>
          </w:tcPr>
          <w:p w14:paraId="433C62DC">
            <w:pPr>
              <w:widowControl/>
              <w:jc w:val="center"/>
              <w:rPr>
                <w:rFonts w:ascii="宋体" w:hAnsi="宋体" w:cs="宋体"/>
                <w:kern w:val="0"/>
                <w:szCs w:val="21"/>
              </w:rPr>
            </w:pPr>
            <w:r>
              <w:rPr>
                <w:rFonts w:ascii="宋体" w:hAnsi="宋体" w:cs="宋体"/>
                <w:kern w:val="0"/>
                <w:szCs w:val="21"/>
              </w:rPr>
              <w:t>……</w:t>
            </w:r>
          </w:p>
        </w:tc>
        <w:tc>
          <w:tcPr>
            <w:tcW w:w="2382" w:type="dxa"/>
            <w:tcBorders>
              <w:top w:val="single" w:color="000000" w:sz="4" w:space="0"/>
              <w:left w:val="nil"/>
              <w:bottom w:val="single" w:color="000000" w:sz="4" w:space="0"/>
              <w:right w:val="single" w:color="000000" w:sz="4" w:space="0"/>
            </w:tcBorders>
            <w:vAlign w:val="center"/>
          </w:tcPr>
          <w:p w14:paraId="75A60F7D">
            <w:pPr>
              <w:widowControl/>
              <w:jc w:val="center"/>
              <w:rPr>
                <w:rFonts w:ascii="宋体" w:hAnsi="宋体" w:cs="宋体"/>
                <w:kern w:val="0"/>
                <w:szCs w:val="21"/>
              </w:rPr>
            </w:pPr>
          </w:p>
        </w:tc>
        <w:tc>
          <w:tcPr>
            <w:tcW w:w="2553" w:type="dxa"/>
            <w:tcBorders>
              <w:top w:val="single" w:color="000000" w:sz="4" w:space="0"/>
              <w:left w:val="nil"/>
              <w:bottom w:val="single" w:color="000000" w:sz="4" w:space="0"/>
              <w:right w:val="single" w:color="000000" w:sz="4" w:space="0"/>
            </w:tcBorders>
            <w:vAlign w:val="center"/>
          </w:tcPr>
          <w:p w14:paraId="61AE6E16">
            <w:pPr>
              <w:widowControl/>
              <w:jc w:val="center"/>
              <w:rPr>
                <w:rFonts w:ascii="宋体" w:hAnsi="宋体" w:cs="宋体"/>
                <w:kern w:val="0"/>
                <w:szCs w:val="21"/>
              </w:rPr>
            </w:pPr>
          </w:p>
        </w:tc>
        <w:tc>
          <w:tcPr>
            <w:tcW w:w="1570" w:type="dxa"/>
            <w:tcBorders>
              <w:top w:val="single" w:color="000000" w:sz="4" w:space="0"/>
              <w:left w:val="nil"/>
              <w:bottom w:val="single" w:color="000000" w:sz="4" w:space="0"/>
              <w:right w:val="single" w:color="000000" w:sz="4" w:space="0"/>
            </w:tcBorders>
            <w:vAlign w:val="center"/>
          </w:tcPr>
          <w:p w14:paraId="2BA128C5">
            <w:pPr>
              <w:widowControl/>
              <w:jc w:val="center"/>
              <w:rPr>
                <w:rFonts w:ascii="宋体" w:hAnsi="宋体" w:cs="宋体"/>
                <w:kern w:val="0"/>
                <w:szCs w:val="21"/>
              </w:rPr>
            </w:pPr>
          </w:p>
        </w:tc>
        <w:tc>
          <w:tcPr>
            <w:tcW w:w="1365" w:type="dxa"/>
            <w:tcBorders>
              <w:top w:val="single" w:color="000000" w:sz="4" w:space="0"/>
              <w:left w:val="nil"/>
              <w:bottom w:val="single" w:color="000000" w:sz="4" w:space="0"/>
              <w:right w:val="single" w:color="000000" w:sz="4" w:space="0"/>
            </w:tcBorders>
            <w:vAlign w:val="center"/>
          </w:tcPr>
          <w:p w14:paraId="28EB06E9">
            <w:pPr>
              <w:widowControl/>
              <w:jc w:val="center"/>
              <w:rPr>
                <w:rFonts w:ascii="宋体" w:hAnsi="宋体" w:cs="宋体"/>
                <w:kern w:val="0"/>
                <w:szCs w:val="21"/>
              </w:rPr>
            </w:pPr>
          </w:p>
        </w:tc>
      </w:tr>
      <w:tr w14:paraId="524AF0D8">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4A9B189E">
            <w:pPr>
              <w:widowControl/>
              <w:jc w:val="center"/>
              <w:rPr>
                <w:rFonts w:ascii="宋体" w:hAnsi="宋体" w:cs="宋体"/>
                <w:kern w:val="0"/>
                <w:szCs w:val="21"/>
              </w:rPr>
            </w:pPr>
          </w:p>
        </w:tc>
        <w:tc>
          <w:tcPr>
            <w:tcW w:w="1370" w:type="dxa"/>
            <w:tcBorders>
              <w:top w:val="single" w:color="000000" w:sz="4" w:space="0"/>
              <w:left w:val="nil"/>
              <w:bottom w:val="single" w:color="000000" w:sz="4" w:space="0"/>
              <w:right w:val="single" w:color="000000" w:sz="4" w:space="0"/>
            </w:tcBorders>
            <w:vAlign w:val="center"/>
          </w:tcPr>
          <w:p w14:paraId="67AD2373">
            <w:pPr>
              <w:widowControl/>
              <w:jc w:val="center"/>
              <w:rPr>
                <w:rFonts w:ascii="宋体" w:hAnsi="宋体" w:cs="宋体"/>
                <w:kern w:val="0"/>
                <w:szCs w:val="21"/>
              </w:rPr>
            </w:pPr>
          </w:p>
        </w:tc>
        <w:tc>
          <w:tcPr>
            <w:tcW w:w="2382" w:type="dxa"/>
            <w:tcBorders>
              <w:top w:val="single" w:color="000000" w:sz="4" w:space="0"/>
              <w:left w:val="nil"/>
              <w:bottom w:val="single" w:color="000000" w:sz="4" w:space="0"/>
              <w:right w:val="single" w:color="000000" w:sz="4" w:space="0"/>
            </w:tcBorders>
            <w:vAlign w:val="center"/>
          </w:tcPr>
          <w:p w14:paraId="00897F23">
            <w:pPr>
              <w:widowControl/>
              <w:jc w:val="center"/>
              <w:rPr>
                <w:rFonts w:ascii="宋体" w:hAnsi="宋体" w:cs="宋体"/>
                <w:kern w:val="0"/>
                <w:szCs w:val="21"/>
              </w:rPr>
            </w:pPr>
          </w:p>
        </w:tc>
        <w:tc>
          <w:tcPr>
            <w:tcW w:w="2553" w:type="dxa"/>
            <w:tcBorders>
              <w:top w:val="single" w:color="000000" w:sz="4" w:space="0"/>
              <w:left w:val="nil"/>
              <w:bottom w:val="single" w:color="000000" w:sz="4" w:space="0"/>
              <w:right w:val="single" w:color="000000" w:sz="4" w:space="0"/>
            </w:tcBorders>
            <w:vAlign w:val="center"/>
          </w:tcPr>
          <w:p w14:paraId="4B21CB5D">
            <w:pPr>
              <w:widowControl/>
              <w:jc w:val="center"/>
              <w:rPr>
                <w:rFonts w:ascii="宋体" w:hAnsi="宋体" w:cs="宋体"/>
                <w:kern w:val="0"/>
                <w:szCs w:val="21"/>
              </w:rPr>
            </w:pPr>
          </w:p>
        </w:tc>
        <w:tc>
          <w:tcPr>
            <w:tcW w:w="1570" w:type="dxa"/>
            <w:tcBorders>
              <w:top w:val="single" w:color="000000" w:sz="4" w:space="0"/>
              <w:left w:val="nil"/>
              <w:bottom w:val="single" w:color="000000" w:sz="4" w:space="0"/>
              <w:right w:val="single" w:color="000000" w:sz="4" w:space="0"/>
            </w:tcBorders>
            <w:vAlign w:val="center"/>
          </w:tcPr>
          <w:p w14:paraId="47B3DFE3">
            <w:pPr>
              <w:widowControl/>
              <w:jc w:val="center"/>
              <w:rPr>
                <w:rFonts w:ascii="宋体" w:hAnsi="宋体" w:cs="宋体"/>
                <w:kern w:val="0"/>
                <w:szCs w:val="21"/>
              </w:rPr>
            </w:pPr>
          </w:p>
        </w:tc>
        <w:tc>
          <w:tcPr>
            <w:tcW w:w="1365" w:type="dxa"/>
            <w:tcBorders>
              <w:top w:val="single" w:color="000000" w:sz="4" w:space="0"/>
              <w:left w:val="nil"/>
              <w:bottom w:val="single" w:color="000000" w:sz="4" w:space="0"/>
              <w:right w:val="single" w:color="000000" w:sz="4" w:space="0"/>
            </w:tcBorders>
            <w:vAlign w:val="center"/>
          </w:tcPr>
          <w:p w14:paraId="50CB299A">
            <w:pPr>
              <w:widowControl/>
              <w:jc w:val="center"/>
              <w:rPr>
                <w:rFonts w:ascii="宋体" w:hAnsi="宋体" w:cs="宋体"/>
                <w:kern w:val="0"/>
                <w:szCs w:val="21"/>
              </w:rPr>
            </w:pPr>
          </w:p>
        </w:tc>
      </w:tr>
    </w:tbl>
    <w:p w14:paraId="60E4E37D">
      <w:pPr>
        <w:widowControl/>
        <w:spacing w:line="360" w:lineRule="exact"/>
        <w:ind w:firstLine="411" w:firstLineChars="196"/>
        <w:rPr>
          <w:rFonts w:ascii="宋体" w:hAnsi="宋体"/>
        </w:rPr>
      </w:pPr>
      <w:r>
        <w:rPr>
          <w:rFonts w:hint="eastAsia" w:ascii="宋体" w:hAnsi="宋体"/>
        </w:rPr>
        <w:t>注：</w:t>
      </w:r>
      <w:r>
        <w:rPr>
          <w:rFonts w:ascii="宋体" w:hAnsi="宋体"/>
        </w:rPr>
        <w:t>投标供应商根据项目实际填写，表中</w:t>
      </w:r>
      <w:r>
        <w:rPr>
          <w:rFonts w:hint="eastAsia" w:ascii="宋体" w:hAnsi="宋体"/>
        </w:rPr>
        <w:t>项目</w:t>
      </w:r>
      <w:r>
        <w:rPr>
          <w:rFonts w:ascii="宋体" w:hAnsi="宋体"/>
        </w:rPr>
        <w:t>招标要求不涉及的可留空或自行调整。</w:t>
      </w:r>
      <w:r>
        <w:rPr>
          <w:rFonts w:hint="eastAsia" w:ascii="宋体" w:hAnsi="宋体"/>
        </w:rPr>
        <w:t>对合同条款的偏离也应在本表提出。</w:t>
      </w:r>
      <w:r>
        <w:rPr>
          <w:rFonts w:hint="eastAsia" w:ascii="宋体" w:hAnsi="宋体"/>
          <w:b/>
          <w:bCs/>
        </w:rPr>
        <w:t>如不填写视为响应招标文件所有商务条款</w:t>
      </w:r>
      <w:r>
        <w:rPr>
          <w:rFonts w:hint="eastAsia" w:ascii="宋体" w:hAnsi="宋体"/>
        </w:rPr>
        <w:t>。</w:t>
      </w:r>
    </w:p>
    <w:p w14:paraId="49D17855">
      <w:pPr>
        <w:widowControl/>
        <w:spacing w:line="360" w:lineRule="exact"/>
        <w:ind w:firstLine="411" w:firstLineChars="196"/>
        <w:rPr>
          <w:rFonts w:ascii="宋体" w:hAnsi="宋体"/>
        </w:rPr>
      </w:pPr>
    </w:p>
    <w:p w14:paraId="4681B8E1">
      <w:pPr>
        <w:widowControl/>
        <w:spacing w:line="360" w:lineRule="exact"/>
        <w:ind w:firstLine="411" w:firstLineChars="196"/>
        <w:rPr>
          <w:rFonts w:ascii="宋体" w:hAnsi="宋体"/>
        </w:rPr>
      </w:pPr>
    </w:p>
    <w:p w14:paraId="02895DD5">
      <w:pPr>
        <w:widowControl/>
        <w:spacing w:line="360" w:lineRule="exact"/>
        <w:ind w:firstLine="411" w:firstLineChars="196"/>
        <w:rPr>
          <w:rFonts w:ascii="宋体" w:hAnsi="宋体"/>
        </w:rPr>
      </w:pPr>
    </w:p>
    <w:p w14:paraId="57CD516F">
      <w:pPr>
        <w:pStyle w:val="3"/>
        <w:widowControl/>
        <w:spacing w:before="120" w:after="120" w:line="240" w:lineRule="auto"/>
        <w:jc w:val="center"/>
        <w:rPr>
          <w:rStyle w:val="19"/>
          <w:rFonts w:ascii="宋体" w:hAnsi="宋体" w:eastAsia="宋体"/>
          <w:b/>
          <w:bCs w:val="0"/>
          <w:sz w:val="30"/>
          <w:szCs w:val="30"/>
        </w:rPr>
      </w:pPr>
      <w:r>
        <w:rPr>
          <w:rStyle w:val="19"/>
          <w:rFonts w:hint="eastAsia" w:ascii="宋体" w:hAnsi="宋体" w:eastAsia="宋体"/>
          <w:b/>
          <w:bCs w:val="0"/>
          <w:sz w:val="30"/>
          <w:szCs w:val="30"/>
        </w:rPr>
        <w:t>七、服务要求偏离表（详见招标文件第三章-三、服务需求）</w:t>
      </w:r>
    </w:p>
    <w:tbl>
      <w:tblPr>
        <w:tblStyle w:val="14"/>
        <w:tblW w:w="0" w:type="auto"/>
        <w:tblInd w:w="93" w:type="dxa"/>
        <w:tblLayout w:type="fixed"/>
        <w:tblCellMar>
          <w:top w:w="0" w:type="dxa"/>
          <w:left w:w="108" w:type="dxa"/>
          <w:bottom w:w="0" w:type="dxa"/>
          <w:right w:w="108" w:type="dxa"/>
        </w:tblCellMar>
      </w:tblPr>
      <w:tblGrid>
        <w:gridCol w:w="1023"/>
        <w:gridCol w:w="1372"/>
        <w:gridCol w:w="2665"/>
        <w:gridCol w:w="1615"/>
        <w:gridCol w:w="1420"/>
        <w:gridCol w:w="1843"/>
      </w:tblGrid>
      <w:tr w14:paraId="403F6DA3">
        <w:tblPrEx>
          <w:tblCellMar>
            <w:top w:w="0" w:type="dxa"/>
            <w:left w:w="108" w:type="dxa"/>
            <w:bottom w:w="0" w:type="dxa"/>
            <w:right w:w="108" w:type="dxa"/>
          </w:tblCellMar>
        </w:tblPrEx>
        <w:trPr>
          <w:trHeight w:val="340" w:hRule="atLeast"/>
        </w:trPr>
        <w:tc>
          <w:tcPr>
            <w:tcW w:w="1023" w:type="dxa"/>
            <w:vMerge w:val="restart"/>
            <w:tcBorders>
              <w:top w:val="single" w:color="000000" w:sz="4" w:space="0"/>
              <w:left w:val="single" w:color="000000" w:sz="4" w:space="0"/>
              <w:right w:val="single" w:color="000000" w:sz="4" w:space="0"/>
            </w:tcBorders>
            <w:vAlign w:val="center"/>
          </w:tcPr>
          <w:p w14:paraId="1382415E">
            <w:pPr>
              <w:widowControl/>
              <w:jc w:val="center"/>
              <w:rPr>
                <w:rFonts w:ascii="宋体" w:hAnsi="宋体" w:cs="宋体"/>
                <w:bCs/>
                <w:kern w:val="0"/>
                <w:sz w:val="24"/>
              </w:rPr>
            </w:pPr>
            <w:r>
              <w:rPr>
                <w:rFonts w:hint="eastAsia" w:ascii="宋体" w:hAnsi="宋体" w:cs="宋体"/>
                <w:bCs/>
                <w:kern w:val="0"/>
                <w:sz w:val="24"/>
              </w:rPr>
              <w:t>序号</w:t>
            </w:r>
          </w:p>
        </w:tc>
        <w:tc>
          <w:tcPr>
            <w:tcW w:w="1372" w:type="dxa"/>
            <w:vMerge w:val="restart"/>
            <w:tcBorders>
              <w:top w:val="single" w:color="000000" w:sz="4" w:space="0"/>
              <w:left w:val="nil"/>
              <w:right w:val="single" w:color="000000" w:sz="4" w:space="0"/>
            </w:tcBorders>
            <w:vAlign w:val="center"/>
          </w:tcPr>
          <w:p w14:paraId="058B6F4F">
            <w:pPr>
              <w:widowControl/>
              <w:jc w:val="center"/>
              <w:rPr>
                <w:rFonts w:ascii="宋体" w:hAnsi="宋体" w:cs="宋体"/>
                <w:bCs/>
                <w:kern w:val="0"/>
                <w:sz w:val="24"/>
              </w:rPr>
            </w:pPr>
            <w:r>
              <w:rPr>
                <w:rFonts w:hint="eastAsia" w:ascii="宋体" w:hAnsi="宋体" w:cs="宋体"/>
                <w:bCs/>
                <w:kern w:val="0"/>
                <w:sz w:val="24"/>
              </w:rPr>
              <w:t>内容</w:t>
            </w:r>
          </w:p>
        </w:tc>
        <w:tc>
          <w:tcPr>
            <w:tcW w:w="2665" w:type="dxa"/>
            <w:vMerge w:val="restart"/>
            <w:tcBorders>
              <w:top w:val="single" w:color="000000" w:sz="4" w:space="0"/>
              <w:left w:val="nil"/>
              <w:right w:val="single" w:color="000000" w:sz="4" w:space="0"/>
            </w:tcBorders>
            <w:vAlign w:val="center"/>
          </w:tcPr>
          <w:p w14:paraId="2C75C489">
            <w:pPr>
              <w:widowControl/>
              <w:jc w:val="center"/>
              <w:rPr>
                <w:rFonts w:ascii="宋体" w:hAnsi="宋体" w:cs="宋体"/>
                <w:bCs/>
                <w:kern w:val="0"/>
                <w:sz w:val="24"/>
              </w:rPr>
            </w:pPr>
            <w:r>
              <w:rPr>
                <w:rFonts w:hint="eastAsia" w:ascii="宋体" w:hAnsi="宋体" w:cs="宋体"/>
                <w:bCs/>
                <w:kern w:val="0"/>
                <w:sz w:val="24"/>
              </w:rPr>
              <w:t>招标要求</w:t>
            </w:r>
          </w:p>
        </w:tc>
        <w:tc>
          <w:tcPr>
            <w:tcW w:w="1615" w:type="dxa"/>
            <w:vMerge w:val="restart"/>
            <w:tcBorders>
              <w:top w:val="single" w:color="000000" w:sz="4" w:space="0"/>
              <w:left w:val="nil"/>
              <w:right w:val="single" w:color="000000" w:sz="4" w:space="0"/>
            </w:tcBorders>
            <w:vAlign w:val="center"/>
          </w:tcPr>
          <w:p w14:paraId="7FB328FD">
            <w:pPr>
              <w:widowControl/>
              <w:jc w:val="center"/>
              <w:rPr>
                <w:rFonts w:ascii="宋体" w:hAnsi="宋体" w:cs="宋体"/>
                <w:bCs/>
                <w:kern w:val="0"/>
                <w:sz w:val="24"/>
              </w:rPr>
            </w:pPr>
            <w:r>
              <w:rPr>
                <w:rFonts w:hint="eastAsia" w:ascii="宋体" w:hAnsi="宋体" w:cs="宋体"/>
                <w:bCs/>
                <w:kern w:val="0"/>
                <w:sz w:val="24"/>
              </w:rPr>
              <w:t>投标响应</w:t>
            </w:r>
          </w:p>
        </w:tc>
        <w:tc>
          <w:tcPr>
            <w:tcW w:w="1420" w:type="dxa"/>
            <w:tcBorders>
              <w:top w:val="single" w:color="000000" w:sz="4" w:space="0"/>
              <w:left w:val="nil"/>
              <w:bottom w:val="single" w:color="000000" w:sz="4" w:space="0"/>
              <w:right w:val="single" w:color="000000" w:sz="4" w:space="0"/>
            </w:tcBorders>
            <w:vAlign w:val="center"/>
          </w:tcPr>
          <w:p w14:paraId="6887951D">
            <w:pPr>
              <w:widowControl/>
              <w:jc w:val="center"/>
              <w:rPr>
                <w:rFonts w:ascii="宋体" w:hAnsi="宋体" w:cs="宋体"/>
                <w:bCs/>
                <w:kern w:val="0"/>
                <w:sz w:val="24"/>
              </w:rPr>
            </w:pPr>
            <w:r>
              <w:rPr>
                <w:rFonts w:hint="eastAsia" w:ascii="宋体" w:hAnsi="宋体" w:cs="宋体"/>
                <w:bCs/>
                <w:kern w:val="0"/>
                <w:sz w:val="24"/>
              </w:rPr>
              <w:t>偏离说明</w:t>
            </w:r>
          </w:p>
        </w:tc>
        <w:tc>
          <w:tcPr>
            <w:tcW w:w="1843" w:type="dxa"/>
            <w:vMerge w:val="restart"/>
            <w:tcBorders>
              <w:top w:val="single" w:color="000000" w:sz="4" w:space="0"/>
              <w:left w:val="nil"/>
              <w:right w:val="single" w:color="000000" w:sz="4" w:space="0"/>
            </w:tcBorders>
          </w:tcPr>
          <w:p w14:paraId="539E6CC1">
            <w:pPr>
              <w:widowControl/>
              <w:jc w:val="center"/>
              <w:rPr>
                <w:rFonts w:ascii="宋体" w:hAnsi="宋体" w:cs="宋体"/>
                <w:bCs/>
                <w:kern w:val="0"/>
                <w:sz w:val="24"/>
              </w:rPr>
            </w:pPr>
          </w:p>
          <w:p w14:paraId="1EF2C6DA">
            <w:pPr>
              <w:widowControl/>
              <w:jc w:val="center"/>
              <w:rPr>
                <w:rFonts w:ascii="宋体" w:hAnsi="宋体" w:cs="宋体"/>
                <w:bCs/>
                <w:kern w:val="0"/>
                <w:sz w:val="24"/>
              </w:rPr>
            </w:pPr>
            <w:r>
              <w:rPr>
                <w:rFonts w:hint="eastAsia" w:ascii="宋体" w:hAnsi="宋体" w:cs="宋体"/>
                <w:bCs/>
                <w:kern w:val="0"/>
                <w:sz w:val="24"/>
              </w:rPr>
              <w:t>备注</w:t>
            </w:r>
          </w:p>
          <w:p w14:paraId="705ED6AF">
            <w:pPr>
              <w:widowControl/>
              <w:jc w:val="center"/>
              <w:rPr>
                <w:rFonts w:ascii="宋体" w:hAnsi="宋体" w:cs="宋体"/>
                <w:bCs/>
                <w:kern w:val="0"/>
                <w:sz w:val="24"/>
              </w:rPr>
            </w:pPr>
            <w:r>
              <w:rPr>
                <w:rFonts w:hint="eastAsia" w:ascii="宋体" w:hAnsi="宋体" w:cs="宋体"/>
                <w:bCs/>
                <w:kern w:val="0"/>
                <w:sz w:val="24"/>
              </w:rPr>
              <w:t>(可填写偏离原因和依据)</w:t>
            </w:r>
          </w:p>
        </w:tc>
      </w:tr>
      <w:tr w14:paraId="5CB28105">
        <w:tblPrEx>
          <w:tblCellMar>
            <w:top w:w="0" w:type="dxa"/>
            <w:left w:w="108" w:type="dxa"/>
            <w:bottom w:w="0" w:type="dxa"/>
            <w:right w:w="108" w:type="dxa"/>
          </w:tblCellMar>
        </w:tblPrEx>
        <w:trPr>
          <w:trHeight w:val="340" w:hRule="atLeast"/>
        </w:trPr>
        <w:tc>
          <w:tcPr>
            <w:tcW w:w="1023" w:type="dxa"/>
            <w:vMerge w:val="continue"/>
            <w:tcBorders>
              <w:left w:val="single" w:color="000000" w:sz="4" w:space="0"/>
              <w:bottom w:val="single" w:color="auto" w:sz="4" w:space="0"/>
              <w:right w:val="single" w:color="000000" w:sz="4" w:space="0"/>
            </w:tcBorders>
            <w:vAlign w:val="center"/>
          </w:tcPr>
          <w:p w14:paraId="01EE0E3F">
            <w:pPr>
              <w:widowControl/>
              <w:rPr>
                <w:rFonts w:ascii="宋体" w:hAnsi="宋体" w:cs="宋体"/>
                <w:bCs/>
                <w:kern w:val="0"/>
                <w:sz w:val="24"/>
              </w:rPr>
            </w:pPr>
          </w:p>
        </w:tc>
        <w:tc>
          <w:tcPr>
            <w:tcW w:w="1372" w:type="dxa"/>
            <w:vMerge w:val="continue"/>
            <w:tcBorders>
              <w:left w:val="nil"/>
              <w:bottom w:val="single" w:color="auto" w:sz="4" w:space="0"/>
              <w:right w:val="single" w:color="000000" w:sz="4" w:space="0"/>
            </w:tcBorders>
            <w:vAlign w:val="center"/>
          </w:tcPr>
          <w:p w14:paraId="5840B52C">
            <w:pPr>
              <w:widowControl/>
              <w:rPr>
                <w:rFonts w:ascii="宋体" w:hAnsi="宋体" w:cs="宋体"/>
                <w:kern w:val="0"/>
                <w:sz w:val="24"/>
              </w:rPr>
            </w:pPr>
          </w:p>
        </w:tc>
        <w:tc>
          <w:tcPr>
            <w:tcW w:w="2665" w:type="dxa"/>
            <w:vMerge w:val="continue"/>
            <w:tcBorders>
              <w:left w:val="nil"/>
              <w:bottom w:val="single" w:color="000000" w:sz="4" w:space="0"/>
              <w:right w:val="single" w:color="000000" w:sz="4" w:space="0"/>
            </w:tcBorders>
            <w:vAlign w:val="center"/>
          </w:tcPr>
          <w:p w14:paraId="02D0A085">
            <w:pPr>
              <w:widowControl/>
              <w:rPr>
                <w:rFonts w:ascii="宋体" w:hAnsi="宋体" w:cs="宋体"/>
                <w:kern w:val="0"/>
                <w:sz w:val="24"/>
              </w:rPr>
            </w:pPr>
          </w:p>
        </w:tc>
        <w:tc>
          <w:tcPr>
            <w:tcW w:w="1615" w:type="dxa"/>
            <w:vMerge w:val="continue"/>
            <w:tcBorders>
              <w:left w:val="nil"/>
              <w:bottom w:val="single" w:color="000000" w:sz="4" w:space="0"/>
              <w:right w:val="single" w:color="000000" w:sz="4" w:space="0"/>
            </w:tcBorders>
            <w:vAlign w:val="center"/>
          </w:tcPr>
          <w:p w14:paraId="69584F09">
            <w:pPr>
              <w:widowControl/>
              <w:rPr>
                <w:rFonts w:ascii="宋体" w:hAnsi="宋体" w:cs="宋体"/>
                <w:kern w:val="0"/>
                <w:sz w:val="24"/>
              </w:rPr>
            </w:pPr>
          </w:p>
        </w:tc>
        <w:tc>
          <w:tcPr>
            <w:tcW w:w="1420" w:type="dxa"/>
            <w:tcBorders>
              <w:top w:val="single" w:color="000000" w:sz="4" w:space="0"/>
              <w:left w:val="nil"/>
              <w:bottom w:val="single" w:color="000000" w:sz="4" w:space="0"/>
              <w:right w:val="single" w:color="000000" w:sz="4" w:space="0"/>
            </w:tcBorders>
          </w:tcPr>
          <w:p w14:paraId="58F77B4A">
            <w:pPr>
              <w:widowControl/>
              <w:jc w:val="center"/>
              <w:rPr>
                <w:rFonts w:ascii="宋体" w:hAnsi="宋体" w:cs="宋体"/>
                <w:bCs/>
                <w:kern w:val="0"/>
                <w:sz w:val="24"/>
              </w:rPr>
            </w:pPr>
            <w:r>
              <w:rPr>
                <w:rFonts w:hint="eastAsia" w:ascii="宋体" w:hAnsi="宋体" w:cs="宋体"/>
                <w:bCs/>
                <w:kern w:val="0"/>
                <w:sz w:val="24"/>
              </w:rPr>
              <w:t>无偏离</w:t>
            </w:r>
          </w:p>
          <w:p w14:paraId="4BC34A0B">
            <w:pPr>
              <w:widowControl/>
              <w:jc w:val="center"/>
              <w:rPr>
                <w:rFonts w:ascii="宋体" w:hAnsi="宋体" w:cs="宋体"/>
                <w:bCs/>
                <w:kern w:val="0"/>
                <w:sz w:val="24"/>
              </w:rPr>
            </w:pPr>
            <w:r>
              <w:rPr>
                <w:rFonts w:hint="eastAsia" w:ascii="宋体" w:hAnsi="宋体" w:cs="宋体"/>
                <w:bCs/>
                <w:kern w:val="0"/>
                <w:sz w:val="24"/>
              </w:rPr>
              <w:t>正偏离</w:t>
            </w:r>
          </w:p>
          <w:p w14:paraId="5BB32938">
            <w:pPr>
              <w:widowControl/>
              <w:jc w:val="center"/>
              <w:rPr>
                <w:rFonts w:ascii="宋体" w:hAnsi="宋体" w:cs="宋体"/>
                <w:bCs/>
                <w:kern w:val="0"/>
                <w:sz w:val="24"/>
              </w:rPr>
            </w:pPr>
            <w:r>
              <w:rPr>
                <w:rFonts w:hint="eastAsia" w:ascii="宋体" w:hAnsi="宋体" w:cs="宋体"/>
                <w:bCs/>
                <w:kern w:val="0"/>
                <w:sz w:val="24"/>
              </w:rPr>
              <w:t>负偏离</w:t>
            </w:r>
          </w:p>
        </w:tc>
        <w:tc>
          <w:tcPr>
            <w:tcW w:w="1843" w:type="dxa"/>
            <w:vMerge w:val="continue"/>
            <w:tcBorders>
              <w:left w:val="nil"/>
              <w:bottom w:val="single" w:color="000000" w:sz="4" w:space="0"/>
              <w:right w:val="single" w:color="000000" w:sz="4" w:space="0"/>
            </w:tcBorders>
          </w:tcPr>
          <w:p w14:paraId="6DBA3B8F">
            <w:pPr>
              <w:widowControl/>
              <w:jc w:val="left"/>
              <w:rPr>
                <w:rFonts w:ascii="宋体" w:hAnsi="宋体" w:cs="宋体"/>
                <w:bCs/>
                <w:kern w:val="0"/>
                <w:sz w:val="24"/>
              </w:rPr>
            </w:pPr>
          </w:p>
        </w:tc>
      </w:tr>
      <w:tr w14:paraId="071D26B3">
        <w:tblPrEx>
          <w:tblCellMar>
            <w:top w:w="0" w:type="dxa"/>
            <w:left w:w="108" w:type="dxa"/>
            <w:bottom w:w="0" w:type="dxa"/>
            <w:right w:w="108" w:type="dxa"/>
          </w:tblCellMar>
        </w:tblPrEx>
        <w:trPr>
          <w:trHeight w:val="340" w:hRule="atLeast"/>
        </w:trPr>
        <w:tc>
          <w:tcPr>
            <w:tcW w:w="1023" w:type="dxa"/>
            <w:tcBorders>
              <w:top w:val="single" w:color="auto" w:sz="4" w:space="0"/>
              <w:left w:val="single" w:color="000000" w:sz="4" w:space="0"/>
              <w:bottom w:val="single" w:color="auto" w:sz="4" w:space="0"/>
              <w:right w:val="single" w:color="000000" w:sz="4" w:space="0"/>
            </w:tcBorders>
            <w:vAlign w:val="center"/>
          </w:tcPr>
          <w:p w14:paraId="40117CC2">
            <w:pPr>
              <w:widowControl/>
              <w:jc w:val="left"/>
              <w:rPr>
                <w:rFonts w:ascii="宋体" w:hAnsi="宋体" w:cs="宋体"/>
                <w:bCs/>
                <w:kern w:val="0"/>
                <w:sz w:val="24"/>
              </w:rPr>
            </w:pPr>
            <w:r>
              <w:rPr>
                <w:rFonts w:hint="eastAsia" w:ascii="宋体" w:hAnsi="宋体" w:cs="宋体"/>
                <w:bCs/>
                <w:kern w:val="0"/>
                <w:sz w:val="24"/>
              </w:rPr>
              <w:t>1</w:t>
            </w:r>
          </w:p>
        </w:tc>
        <w:tc>
          <w:tcPr>
            <w:tcW w:w="1372" w:type="dxa"/>
            <w:tcBorders>
              <w:top w:val="single" w:color="auto" w:sz="4" w:space="0"/>
              <w:left w:val="nil"/>
              <w:bottom w:val="single" w:color="auto" w:sz="4" w:space="0"/>
              <w:right w:val="single" w:color="000000" w:sz="4" w:space="0"/>
            </w:tcBorders>
            <w:vAlign w:val="center"/>
          </w:tcPr>
          <w:p w14:paraId="6C8B87FA">
            <w:pPr>
              <w:widowControl/>
              <w:jc w:val="left"/>
              <w:rPr>
                <w:rFonts w:ascii="宋体" w:hAnsi="宋体" w:cs="宋体"/>
                <w:kern w:val="0"/>
                <w:sz w:val="24"/>
              </w:rPr>
            </w:pPr>
          </w:p>
        </w:tc>
        <w:tc>
          <w:tcPr>
            <w:tcW w:w="2665" w:type="dxa"/>
            <w:tcBorders>
              <w:top w:val="single" w:color="000000" w:sz="4" w:space="0"/>
              <w:left w:val="nil"/>
              <w:bottom w:val="single" w:color="000000" w:sz="4" w:space="0"/>
              <w:right w:val="single" w:color="000000" w:sz="4" w:space="0"/>
            </w:tcBorders>
            <w:vAlign w:val="center"/>
          </w:tcPr>
          <w:p w14:paraId="74115963">
            <w:pPr>
              <w:widowControl/>
              <w:jc w:val="left"/>
              <w:rPr>
                <w:rFonts w:ascii="宋体" w:hAnsi="宋体" w:cs="宋体"/>
                <w:kern w:val="0"/>
                <w:sz w:val="24"/>
              </w:rPr>
            </w:pPr>
          </w:p>
        </w:tc>
        <w:tc>
          <w:tcPr>
            <w:tcW w:w="1615" w:type="dxa"/>
            <w:tcBorders>
              <w:top w:val="single" w:color="000000" w:sz="4" w:space="0"/>
              <w:left w:val="nil"/>
              <w:bottom w:val="single" w:color="000000" w:sz="4" w:space="0"/>
              <w:right w:val="single" w:color="000000" w:sz="4" w:space="0"/>
            </w:tcBorders>
          </w:tcPr>
          <w:p w14:paraId="7BCF246C">
            <w:pPr>
              <w:widowControl/>
              <w:jc w:val="left"/>
              <w:rPr>
                <w:rFonts w:ascii="宋体" w:hAnsi="宋体" w:cs="宋体"/>
                <w:kern w:val="0"/>
                <w:sz w:val="24"/>
              </w:rPr>
            </w:pPr>
          </w:p>
        </w:tc>
        <w:tc>
          <w:tcPr>
            <w:tcW w:w="1420" w:type="dxa"/>
            <w:tcBorders>
              <w:top w:val="single" w:color="000000" w:sz="4" w:space="0"/>
              <w:left w:val="nil"/>
              <w:bottom w:val="single" w:color="000000" w:sz="4" w:space="0"/>
              <w:right w:val="single" w:color="000000" w:sz="4" w:space="0"/>
            </w:tcBorders>
          </w:tcPr>
          <w:p w14:paraId="2FE472A4">
            <w:pPr>
              <w:widowControl/>
              <w:jc w:val="left"/>
              <w:rPr>
                <w:rFonts w:ascii="宋体" w:hAnsi="宋体" w:cs="宋体"/>
                <w:kern w:val="0"/>
                <w:sz w:val="24"/>
              </w:rPr>
            </w:pPr>
          </w:p>
        </w:tc>
        <w:tc>
          <w:tcPr>
            <w:tcW w:w="1843" w:type="dxa"/>
            <w:tcBorders>
              <w:top w:val="single" w:color="000000" w:sz="4" w:space="0"/>
              <w:left w:val="nil"/>
              <w:bottom w:val="single" w:color="000000" w:sz="4" w:space="0"/>
              <w:right w:val="single" w:color="000000" w:sz="4" w:space="0"/>
            </w:tcBorders>
          </w:tcPr>
          <w:p w14:paraId="66676D80">
            <w:pPr>
              <w:widowControl/>
              <w:jc w:val="left"/>
              <w:rPr>
                <w:rFonts w:ascii="宋体" w:hAnsi="宋体" w:cs="宋体"/>
                <w:kern w:val="0"/>
                <w:sz w:val="24"/>
              </w:rPr>
            </w:pPr>
          </w:p>
        </w:tc>
      </w:tr>
      <w:tr w14:paraId="4C1F1020">
        <w:tblPrEx>
          <w:tblCellMar>
            <w:top w:w="0" w:type="dxa"/>
            <w:left w:w="108" w:type="dxa"/>
            <w:bottom w:w="0" w:type="dxa"/>
            <w:right w:w="108" w:type="dxa"/>
          </w:tblCellMar>
        </w:tblPrEx>
        <w:trPr>
          <w:trHeight w:val="340" w:hRule="atLeast"/>
        </w:trPr>
        <w:tc>
          <w:tcPr>
            <w:tcW w:w="1023" w:type="dxa"/>
            <w:tcBorders>
              <w:top w:val="single" w:color="auto" w:sz="4" w:space="0"/>
              <w:left w:val="single" w:color="000000" w:sz="4" w:space="0"/>
              <w:bottom w:val="single" w:color="auto" w:sz="4" w:space="0"/>
              <w:right w:val="single" w:color="000000" w:sz="4" w:space="0"/>
            </w:tcBorders>
            <w:vAlign w:val="center"/>
          </w:tcPr>
          <w:p w14:paraId="0BD75D3C">
            <w:pPr>
              <w:widowControl/>
              <w:jc w:val="left"/>
              <w:rPr>
                <w:rFonts w:ascii="宋体" w:hAnsi="宋体" w:cs="宋体"/>
                <w:bCs/>
                <w:kern w:val="0"/>
                <w:sz w:val="24"/>
              </w:rPr>
            </w:pPr>
            <w:r>
              <w:rPr>
                <w:rFonts w:hint="eastAsia" w:ascii="宋体" w:hAnsi="宋体" w:cs="宋体"/>
                <w:bCs/>
                <w:kern w:val="0"/>
                <w:sz w:val="24"/>
              </w:rPr>
              <w:t>2</w:t>
            </w:r>
          </w:p>
        </w:tc>
        <w:tc>
          <w:tcPr>
            <w:tcW w:w="1372" w:type="dxa"/>
            <w:tcBorders>
              <w:top w:val="single" w:color="auto" w:sz="4" w:space="0"/>
              <w:left w:val="nil"/>
              <w:bottom w:val="single" w:color="auto" w:sz="4" w:space="0"/>
              <w:right w:val="single" w:color="000000" w:sz="4" w:space="0"/>
            </w:tcBorders>
            <w:vAlign w:val="center"/>
          </w:tcPr>
          <w:p w14:paraId="0253F42A">
            <w:pPr>
              <w:widowControl/>
              <w:jc w:val="left"/>
              <w:rPr>
                <w:rFonts w:ascii="宋体" w:hAnsi="宋体" w:cs="宋体"/>
                <w:kern w:val="0"/>
                <w:sz w:val="24"/>
              </w:rPr>
            </w:pPr>
          </w:p>
        </w:tc>
        <w:tc>
          <w:tcPr>
            <w:tcW w:w="2665" w:type="dxa"/>
            <w:tcBorders>
              <w:top w:val="single" w:color="000000" w:sz="4" w:space="0"/>
              <w:left w:val="nil"/>
              <w:bottom w:val="single" w:color="000000" w:sz="4" w:space="0"/>
              <w:right w:val="single" w:color="000000" w:sz="4" w:space="0"/>
            </w:tcBorders>
            <w:vAlign w:val="center"/>
          </w:tcPr>
          <w:p w14:paraId="1911BA0E">
            <w:pPr>
              <w:widowControl/>
              <w:jc w:val="left"/>
              <w:rPr>
                <w:rFonts w:ascii="宋体" w:hAnsi="宋体" w:cs="宋体"/>
                <w:kern w:val="0"/>
                <w:sz w:val="24"/>
              </w:rPr>
            </w:pPr>
          </w:p>
        </w:tc>
        <w:tc>
          <w:tcPr>
            <w:tcW w:w="1615" w:type="dxa"/>
            <w:tcBorders>
              <w:top w:val="single" w:color="000000" w:sz="4" w:space="0"/>
              <w:left w:val="nil"/>
              <w:bottom w:val="single" w:color="000000" w:sz="4" w:space="0"/>
              <w:right w:val="single" w:color="000000" w:sz="4" w:space="0"/>
            </w:tcBorders>
          </w:tcPr>
          <w:p w14:paraId="7994497D">
            <w:pPr>
              <w:widowControl/>
              <w:jc w:val="left"/>
              <w:rPr>
                <w:rFonts w:ascii="宋体" w:hAnsi="宋体" w:cs="宋体"/>
                <w:kern w:val="0"/>
                <w:sz w:val="24"/>
              </w:rPr>
            </w:pPr>
          </w:p>
        </w:tc>
        <w:tc>
          <w:tcPr>
            <w:tcW w:w="1420" w:type="dxa"/>
            <w:tcBorders>
              <w:top w:val="single" w:color="000000" w:sz="4" w:space="0"/>
              <w:left w:val="nil"/>
              <w:bottom w:val="single" w:color="000000" w:sz="4" w:space="0"/>
              <w:right w:val="single" w:color="000000" w:sz="4" w:space="0"/>
            </w:tcBorders>
          </w:tcPr>
          <w:p w14:paraId="390A7E7B">
            <w:pPr>
              <w:widowControl/>
              <w:jc w:val="left"/>
              <w:rPr>
                <w:rFonts w:ascii="宋体" w:hAnsi="宋体" w:cs="宋体"/>
                <w:kern w:val="0"/>
                <w:sz w:val="24"/>
              </w:rPr>
            </w:pPr>
          </w:p>
        </w:tc>
        <w:tc>
          <w:tcPr>
            <w:tcW w:w="1843" w:type="dxa"/>
            <w:tcBorders>
              <w:top w:val="single" w:color="000000" w:sz="4" w:space="0"/>
              <w:left w:val="nil"/>
              <w:bottom w:val="single" w:color="000000" w:sz="4" w:space="0"/>
              <w:right w:val="single" w:color="000000" w:sz="4" w:space="0"/>
            </w:tcBorders>
          </w:tcPr>
          <w:p w14:paraId="26C642B0">
            <w:pPr>
              <w:widowControl/>
              <w:jc w:val="left"/>
              <w:rPr>
                <w:rFonts w:ascii="宋体" w:hAnsi="宋体" w:cs="宋体"/>
                <w:kern w:val="0"/>
                <w:sz w:val="24"/>
              </w:rPr>
            </w:pPr>
          </w:p>
        </w:tc>
      </w:tr>
      <w:tr w14:paraId="5B6AD3C7">
        <w:tblPrEx>
          <w:tblCellMar>
            <w:top w:w="0" w:type="dxa"/>
            <w:left w:w="108" w:type="dxa"/>
            <w:bottom w:w="0" w:type="dxa"/>
            <w:right w:w="108" w:type="dxa"/>
          </w:tblCellMar>
        </w:tblPrEx>
        <w:trPr>
          <w:trHeight w:val="340" w:hRule="atLeast"/>
        </w:trPr>
        <w:tc>
          <w:tcPr>
            <w:tcW w:w="1023" w:type="dxa"/>
            <w:tcBorders>
              <w:top w:val="single" w:color="auto" w:sz="4" w:space="0"/>
              <w:left w:val="single" w:color="000000" w:sz="4" w:space="0"/>
              <w:bottom w:val="single" w:color="auto" w:sz="4" w:space="0"/>
              <w:right w:val="single" w:color="000000" w:sz="4" w:space="0"/>
            </w:tcBorders>
            <w:vAlign w:val="center"/>
          </w:tcPr>
          <w:p w14:paraId="491EA06D">
            <w:pPr>
              <w:widowControl/>
              <w:jc w:val="left"/>
              <w:rPr>
                <w:rFonts w:ascii="宋体" w:hAnsi="宋体" w:cs="宋体"/>
                <w:bCs/>
                <w:kern w:val="0"/>
                <w:sz w:val="24"/>
              </w:rPr>
            </w:pPr>
          </w:p>
        </w:tc>
        <w:tc>
          <w:tcPr>
            <w:tcW w:w="1372" w:type="dxa"/>
            <w:tcBorders>
              <w:top w:val="single" w:color="auto" w:sz="4" w:space="0"/>
              <w:left w:val="nil"/>
              <w:bottom w:val="single" w:color="auto" w:sz="4" w:space="0"/>
              <w:right w:val="single" w:color="000000" w:sz="4" w:space="0"/>
            </w:tcBorders>
            <w:vAlign w:val="center"/>
          </w:tcPr>
          <w:p w14:paraId="0E17F6BB">
            <w:pPr>
              <w:widowControl/>
              <w:jc w:val="left"/>
              <w:rPr>
                <w:rFonts w:ascii="宋体" w:hAnsi="宋体" w:cs="宋体"/>
                <w:kern w:val="0"/>
                <w:sz w:val="24"/>
              </w:rPr>
            </w:pPr>
          </w:p>
        </w:tc>
        <w:tc>
          <w:tcPr>
            <w:tcW w:w="2665" w:type="dxa"/>
            <w:tcBorders>
              <w:top w:val="single" w:color="000000" w:sz="4" w:space="0"/>
              <w:left w:val="nil"/>
              <w:bottom w:val="single" w:color="000000" w:sz="4" w:space="0"/>
              <w:right w:val="single" w:color="000000" w:sz="4" w:space="0"/>
            </w:tcBorders>
            <w:vAlign w:val="center"/>
          </w:tcPr>
          <w:p w14:paraId="2F4B16FA">
            <w:pPr>
              <w:widowControl/>
              <w:jc w:val="left"/>
              <w:rPr>
                <w:rFonts w:ascii="宋体" w:hAnsi="宋体" w:cs="宋体"/>
                <w:kern w:val="0"/>
                <w:sz w:val="24"/>
              </w:rPr>
            </w:pPr>
          </w:p>
        </w:tc>
        <w:tc>
          <w:tcPr>
            <w:tcW w:w="1615" w:type="dxa"/>
            <w:tcBorders>
              <w:top w:val="single" w:color="000000" w:sz="4" w:space="0"/>
              <w:left w:val="nil"/>
              <w:bottom w:val="single" w:color="000000" w:sz="4" w:space="0"/>
              <w:right w:val="single" w:color="000000" w:sz="4" w:space="0"/>
            </w:tcBorders>
          </w:tcPr>
          <w:p w14:paraId="1DE92EF9">
            <w:pPr>
              <w:widowControl/>
              <w:jc w:val="left"/>
              <w:rPr>
                <w:rFonts w:ascii="宋体" w:hAnsi="宋体" w:cs="宋体"/>
                <w:kern w:val="0"/>
                <w:sz w:val="24"/>
              </w:rPr>
            </w:pPr>
          </w:p>
        </w:tc>
        <w:tc>
          <w:tcPr>
            <w:tcW w:w="1420" w:type="dxa"/>
            <w:tcBorders>
              <w:top w:val="single" w:color="000000" w:sz="4" w:space="0"/>
              <w:left w:val="nil"/>
              <w:bottom w:val="single" w:color="000000" w:sz="4" w:space="0"/>
              <w:right w:val="single" w:color="000000" w:sz="4" w:space="0"/>
            </w:tcBorders>
          </w:tcPr>
          <w:p w14:paraId="31838E95">
            <w:pPr>
              <w:widowControl/>
              <w:jc w:val="left"/>
              <w:rPr>
                <w:rFonts w:ascii="宋体" w:hAnsi="宋体" w:cs="宋体"/>
                <w:kern w:val="0"/>
                <w:sz w:val="24"/>
              </w:rPr>
            </w:pPr>
          </w:p>
        </w:tc>
        <w:tc>
          <w:tcPr>
            <w:tcW w:w="1843" w:type="dxa"/>
            <w:tcBorders>
              <w:top w:val="single" w:color="000000" w:sz="4" w:space="0"/>
              <w:left w:val="nil"/>
              <w:bottom w:val="single" w:color="000000" w:sz="4" w:space="0"/>
              <w:right w:val="single" w:color="000000" w:sz="4" w:space="0"/>
            </w:tcBorders>
          </w:tcPr>
          <w:p w14:paraId="05683625">
            <w:pPr>
              <w:widowControl/>
              <w:jc w:val="left"/>
              <w:rPr>
                <w:rFonts w:ascii="宋体" w:hAnsi="宋体" w:cs="宋体"/>
                <w:kern w:val="0"/>
                <w:sz w:val="24"/>
              </w:rPr>
            </w:pPr>
          </w:p>
        </w:tc>
      </w:tr>
      <w:tr w14:paraId="0E2668AA">
        <w:tblPrEx>
          <w:tblCellMar>
            <w:top w:w="0" w:type="dxa"/>
            <w:left w:w="108" w:type="dxa"/>
            <w:bottom w:w="0" w:type="dxa"/>
            <w:right w:w="108" w:type="dxa"/>
          </w:tblCellMar>
        </w:tblPrEx>
        <w:trPr>
          <w:trHeight w:val="340" w:hRule="atLeast"/>
        </w:trPr>
        <w:tc>
          <w:tcPr>
            <w:tcW w:w="1023" w:type="dxa"/>
            <w:tcBorders>
              <w:top w:val="single" w:color="auto" w:sz="4" w:space="0"/>
              <w:left w:val="single" w:color="000000" w:sz="4" w:space="0"/>
              <w:bottom w:val="single" w:color="auto" w:sz="4" w:space="0"/>
              <w:right w:val="single" w:color="000000" w:sz="4" w:space="0"/>
            </w:tcBorders>
            <w:vAlign w:val="center"/>
          </w:tcPr>
          <w:p w14:paraId="4E7C546A">
            <w:pPr>
              <w:widowControl/>
              <w:jc w:val="left"/>
              <w:rPr>
                <w:rFonts w:ascii="宋体" w:hAnsi="宋体" w:cs="宋体"/>
                <w:bCs/>
                <w:kern w:val="0"/>
                <w:sz w:val="24"/>
              </w:rPr>
            </w:pPr>
          </w:p>
        </w:tc>
        <w:tc>
          <w:tcPr>
            <w:tcW w:w="1372" w:type="dxa"/>
            <w:tcBorders>
              <w:top w:val="single" w:color="auto" w:sz="4" w:space="0"/>
              <w:left w:val="nil"/>
              <w:bottom w:val="single" w:color="auto" w:sz="4" w:space="0"/>
              <w:right w:val="single" w:color="000000" w:sz="4" w:space="0"/>
            </w:tcBorders>
            <w:vAlign w:val="center"/>
          </w:tcPr>
          <w:p w14:paraId="5F8688DA">
            <w:pPr>
              <w:widowControl/>
              <w:jc w:val="left"/>
              <w:rPr>
                <w:rFonts w:ascii="宋体" w:hAnsi="宋体" w:cs="宋体"/>
                <w:kern w:val="0"/>
                <w:sz w:val="24"/>
              </w:rPr>
            </w:pPr>
          </w:p>
        </w:tc>
        <w:tc>
          <w:tcPr>
            <w:tcW w:w="2665" w:type="dxa"/>
            <w:tcBorders>
              <w:top w:val="single" w:color="000000" w:sz="4" w:space="0"/>
              <w:left w:val="nil"/>
              <w:bottom w:val="single" w:color="000000" w:sz="4" w:space="0"/>
              <w:right w:val="single" w:color="000000" w:sz="4" w:space="0"/>
            </w:tcBorders>
            <w:vAlign w:val="center"/>
          </w:tcPr>
          <w:p w14:paraId="7066AD74">
            <w:pPr>
              <w:widowControl/>
              <w:jc w:val="left"/>
              <w:rPr>
                <w:rFonts w:ascii="宋体" w:hAnsi="宋体" w:cs="宋体"/>
                <w:kern w:val="0"/>
                <w:sz w:val="24"/>
              </w:rPr>
            </w:pPr>
          </w:p>
        </w:tc>
        <w:tc>
          <w:tcPr>
            <w:tcW w:w="1615" w:type="dxa"/>
            <w:tcBorders>
              <w:top w:val="single" w:color="000000" w:sz="4" w:space="0"/>
              <w:left w:val="nil"/>
              <w:bottom w:val="single" w:color="000000" w:sz="4" w:space="0"/>
              <w:right w:val="single" w:color="000000" w:sz="4" w:space="0"/>
            </w:tcBorders>
          </w:tcPr>
          <w:p w14:paraId="7B3D2373">
            <w:pPr>
              <w:widowControl/>
              <w:jc w:val="left"/>
              <w:rPr>
                <w:rFonts w:ascii="宋体" w:hAnsi="宋体" w:cs="宋体"/>
                <w:kern w:val="0"/>
                <w:sz w:val="24"/>
              </w:rPr>
            </w:pPr>
          </w:p>
        </w:tc>
        <w:tc>
          <w:tcPr>
            <w:tcW w:w="1420" w:type="dxa"/>
            <w:tcBorders>
              <w:top w:val="single" w:color="000000" w:sz="4" w:space="0"/>
              <w:left w:val="nil"/>
              <w:bottom w:val="single" w:color="000000" w:sz="4" w:space="0"/>
              <w:right w:val="single" w:color="000000" w:sz="4" w:space="0"/>
            </w:tcBorders>
          </w:tcPr>
          <w:p w14:paraId="20CEB911">
            <w:pPr>
              <w:widowControl/>
              <w:jc w:val="left"/>
              <w:rPr>
                <w:rFonts w:ascii="宋体" w:hAnsi="宋体" w:cs="宋体"/>
                <w:kern w:val="0"/>
                <w:sz w:val="24"/>
              </w:rPr>
            </w:pPr>
          </w:p>
        </w:tc>
        <w:tc>
          <w:tcPr>
            <w:tcW w:w="1843" w:type="dxa"/>
            <w:tcBorders>
              <w:top w:val="single" w:color="000000" w:sz="4" w:space="0"/>
              <w:left w:val="nil"/>
              <w:bottom w:val="single" w:color="000000" w:sz="4" w:space="0"/>
              <w:right w:val="single" w:color="000000" w:sz="4" w:space="0"/>
            </w:tcBorders>
          </w:tcPr>
          <w:p w14:paraId="1F4E0C07">
            <w:pPr>
              <w:widowControl/>
              <w:jc w:val="left"/>
              <w:rPr>
                <w:rFonts w:ascii="宋体" w:hAnsi="宋体" w:cs="宋体"/>
                <w:kern w:val="0"/>
                <w:sz w:val="24"/>
              </w:rPr>
            </w:pPr>
          </w:p>
        </w:tc>
      </w:tr>
      <w:tr w14:paraId="6EDB9323">
        <w:tblPrEx>
          <w:tblCellMar>
            <w:top w:w="0" w:type="dxa"/>
            <w:left w:w="108" w:type="dxa"/>
            <w:bottom w:w="0" w:type="dxa"/>
            <w:right w:w="108" w:type="dxa"/>
          </w:tblCellMar>
        </w:tblPrEx>
        <w:trPr>
          <w:trHeight w:val="340" w:hRule="atLeast"/>
        </w:trPr>
        <w:tc>
          <w:tcPr>
            <w:tcW w:w="1023" w:type="dxa"/>
            <w:tcBorders>
              <w:top w:val="single" w:color="auto" w:sz="4" w:space="0"/>
              <w:left w:val="single" w:color="000000" w:sz="4" w:space="0"/>
              <w:bottom w:val="single" w:color="000000" w:sz="4" w:space="0"/>
              <w:right w:val="single" w:color="000000" w:sz="4" w:space="0"/>
            </w:tcBorders>
            <w:vAlign w:val="center"/>
          </w:tcPr>
          <w:p w14:paraId="6F2582E0">
            <w:pPr>
              <w:widowControl/>
              <w:jc w:val="left"/>
              <w:rPr>
                <w:rFonts w:ascii="宋体" w:hAnsi="宋体" w:cs="宋体"/>
                <w:bCs/>
                <w:kern w:val="0"/>
                <w:sz w:val="24"/>
              </w:rPr>
            </w:pPr>
          </w:p>
        </w:tc>
        <w:tc>
          <w:tcPr>
            <w:tcW w:w="1372" w:type="dxa"/>
            <w:tcBorders>
              <w:top w:val="single" w:color="auto" w:sz="4" w:space="0"/>
              <w:left w:val="nil"/>
              <w:bottom w:val="single" w:color="000000" w:sz="4" w:space="0"/>
              <w:right w:val="single" w:color="000000" w:sz="4" w:space="0"/>
            </w:tcBorders>
            <w:vAlign w:val="center"/>
          </w:tcPr>
          <w:p w14:paraId="5D35FC7F">
            <w:pPr>
              <w:widowControl/>
              <w:jc w:val="left"/>
              <w:rPr>
                <w:rFonts w:ascii="宋体" w:hAnsi="宋体" w:cs="宋体"/>
                <w:kern w:val="0"/>
                <w:sz w:val="24"/>
              </w:rPr>
            </w:pPr>
          </w:p>
        </w:tc>
        <w:tc>
          <w:tcPr>
            <w:tcW w:w="2665" w:type="dxa"/>
            <w:tcBorders>
              <w:top w:val="single" w:color="000000" w:sz="4" w:space="0"/>
              <w:left w:val="nil"/>
              <w:bottom w:val="single" w:color="000000" w:sz="4" w:space="0"/>
              <w:right w:val="single" w:color="000000" w:sz="4" w:space="0"/>
            </w:tcBorders>
            <w:vAlign w:val="center"/>
          </w:tcPr>
          <w:p w14:paraId="51AA259E">
            <w:pPr>
              <w:widowControl/>
              <w:jc w:val="left"/>
              <w:rPr>
                <w:rFonts w:ascii="宋体" w:hAnsi="宋体" w:cs="宋体"/>
                <w:kern w:val="0"/>
                <w:sz w:val="24"/>
              </w:rPr>
            </w:pPr>
          </w:p>
        </w:tc>
        <w:tc>
          <w:tcPr>
            <w:tcW w:w="1615" w:type="dxa"/>
            <w:tcBorders>
              <w:top w:val="single" w:color="000000" w:sz="4" w:space="0"/>
              <w:left w:val="nil"/>
              <w:bottom w:val="single" w:color="000000" w:sz="4" w:space="0"/>
              <w:right w:val="single" w:color="000000" w:sz="4" w:space="0"/>
            </w:tcBorders>
          </w:tcPr>
          <w:p w14:paraId="37A85B29">
            <w:pPr>
              <w:widowControl/>
              <w:jc w:val="left"/>
              <w:rPr>
                <w:rFonts w:ascii="宋体" w:hAnsi="宋体" w:cs="宋体"/>
                <w:kern w:val="0"/>
                <w:sz w:val="24"/>
              </w:rPr>
            </w:pPr>
          </w:p>
        </w:tc>
        <w:tc>
          <w:tcPr>
            <w:tcW w:w="1420" w:type="dxa"/>
            <w:tcBorders>
              <w:top w:val="single" w:color="000000" w:sz="4" w:space="0"/>
              <w:left w:val="nil"/>
              <w:bottom w:val="single" w:color="000000" w:sz="4" w:space="0"/>
              <w:right w:val="single" w:color="000000" w:sz="4" w:space="0"/>
            </w:tcBorders>
          </w:tcPr>
          <w:p w14:paraId="235D9D5D">
            <w:pPr>
              <w:widowControl/>
              <w:jc w:val="left"/>
              <w:rPr>
                <w:rFonts w:ascii="宋体" w:hAnsi="宋体" w:cs="宋体"/>
                <w:kern w:val="0"/>
                <w:sz w:val="24"/>
              </w:rPr>
            </w:pPr>
          </w:p>
        </w:tc>
        <w:tc>
          <w:tcPr>
            <w:tcW w:w="1843" w:type="dxa"/>
            <w:tcBorders>
              <w:top w:val="single" w:color="000000" w:sz="4" w:space="0"/>
              <w:left w:val="nil"/>
              <w:bottom w:val="single" w:color="000000" w:sz="4" w:space="0"/>
              <w:right w:val="single" w:color="000000" w:sz="4" w:space="0"/>
            </w:tcBorders>
          </w:tcPr>
          <w:p w14:paraId="10FFBC09">
            <w:pPr>
              <w:widowControl/>
              <w:jc w:val="left"/>
              <w:rPr>
                <w:rFonts w:ascii="宋体" w:hAnsi="宋体" w:cs="宋体"/>
                <w:kern w:val="0"/>
                <w:sz w:val="24"/>
              </w:rPr>
            </w:pPr>
          </w:p>
        </w:tc>
      </w:tr>
    </w:tbl>
    <w:p w14:paraId="669C8191">
      <w:pPr>
        <w:widowControl/>
        <w:spacing w:line="360" w:lineRule="exact"/>
        <w:ind w:firstLine="411" w:firstLineChars="196"/>
        <w:rPr>
          <w:rFonts w:ascii="宋体" w:hAnsi="宋体"/>
        </w:rPr>
      </w:pPr>
      <w:r>
        <w:rPr>
          <w:rFonts w:hint="eastAsia" w:ascii="宋体" w:hAnsi="宋体"/>
        </w:rPr>
        <w:t>注：1、</w:t>
      </w:r>
      <w:r>
        <w:rPr>
          <w:rFonts w:hint="eastAsia" w:ascii="宋体" w:hAnsi="宋体"/>
          <w:szCs w:val="21"/>
        </w:rPr>
        <w:t>投标供应商应对照招标文件服务要求，在“服务要求偏离表”中逐条应答，表明拟供服务对采购人的服务要求做出了实质性的响应。应答时应进行详细描述，如</w:t>
      </w:r>
      <w:r>
        <w:rPr>
          <w:rFonts w:hint="eastAsia" w:ascii="宋体" w:hAnsi="宋体"/>
        </w:rPr>
        <w:t>仅在响应栏填“响应”或未填写或复制（包括复制全部或部分服务要求）招标文件服务要求的，包括有选择性的服务响应</w:t>
      </w:r>
      <w:r>
        <w:rPr>
          <w:rFonts w:hint="eastAsia" w:ascii="宋体" w:hAnsi="宋体"/>
          <w:b/>
          <w:bCs/>
        </w:rPr>
        <w:t>均可能导致投标无效</w:t>
      </w:r>
      <w:r>
        <w:rPr>
          <w:rFonts w:hint="eastAsia" w:ascii="宋体" w:hAnsi="宋体"/>
        </w:rPr>
        <w:t>；</w:t>
      </w:r>
    </w:p>
    <w:p w14:paraId="132D98BF">
      <w:pPr>
        <w:widowControl/>
        <w:spacing w:line="360" w:lineRule="exact"/>
        <w:ind w:firstLine="411" w:firstLineChars="196"/>
        <w:rPr>
          <w:rFonts w:ascii="宋体" w:hAnsi="宋体"/>
        </w:rPr>
      </w:pPr>
      <w:r>
        <w:rPr>
          <w:rFonts w:hint="eastAsia" w:ascii="宋体" w:hAnsi="宋体"/>
        </w:rPr>
        <w:t>2、投标供应商所提供的内容如与招标文件的要求不一致，则须在上表偏离说明中详细注明“正偏离”或“负偏离”。</w:t>
      </w:r>
      <w:r>
        <w:rPr>
          <w:rFonts w:hint="eastAsia" w:ascii="宋体" w:hAnsi="宋体"/>
          <w:b/>
          <w:bCs/>
        </w:rPr>
        <w:t>如不填写可能导致投标无效</w:t>
      </w:r>
      <w:r>
        <w:rPr>
          <w:rFonts w:hint="eastAsia" w:ascii="宋体" w:hAnsi="宋体"/>
        </w:rPr>
        <w:t>。</w:t>
      </w:r>
    </w:p>
    <w:p w14:paraId="419177E9">
      <w:pPr>
        <w:pStyle w:val="3"/>
        <w:widowControl/>
        <w:spacing w:before="120" w:after="120" w:line="240" w:lineRule="auto"/>
        <w:jc w:val="center"/>
        <w:rPr>
          <w:rFonts w:ascii="宋体" w:hAnsi="宋体"/>
          <w:kern w:val="0"/>
          <w:sz w:val="28"/>
          <w:szCs w:val="28"/>
        </w:rPr>
      </w:pPr>
      <w:r>
        <w:rPr>
          <w:rFonts w:hint="eastAsia" w:ascii="宋体" w:hAnsi="宋体"/>
          <w:kern w:val="0"/>
          <w:sz w:val="28"/>
          <w:szCs w:val="28"/>
        </w:rPr>
        <w:br w:type="page"/>
      </w:r>
      <w:r>
        <w:rPr>
          <w:rFonts w:hint="eastAsia" w:ascii="宋体" w:hAnsi="宋体"/>
          <w:kern w:val="0"/>
          <w:sz w:val="28"/>
          <w:szCs w:val="28"/>
        </w:rPr>
        <w:t>八、投标业绩承诺函</w:t>
      </w:r>
    </w:p>
    <w:p w14:paraId="5F1E75C3">
      <w:pPr>
        <w:pStyle w:val="9"/>
        <w:spacing w:line="360" w:lineRule="auto"/>
        <w:rPr>
          <w:rFonts w:hAnsi="宋体" w:cs="宋体"/>
          <w:sz w:val="21"/>
          <w:szCs w:val="21"/>
          <w:u w:val="single"/>
        </w:rPr>
      </w:pPr>
      <w:r>
        <w:rPr>
          <w:rFonts w:hint="eastAsia" w:hAnsi="宋体" w:cs="宋体"/>
          <w:sz w:val="21"/>
          <w:szCs w:val="21"/>
        </w:rPr>
        <w:t>致：</w:t>
      </w:r>
      <w:r>
        <w:rPr>
          <w:rFonts w:hint="eastAsia" w:hAnsi="宋体" w:cs="宋体"/>
          <w:sz w:val="21"/>
          <w:szCs w:val="21"/>
          <w:u w:val="single"/>
        </w:rPr>
        <w:t>某采购单位</w:t>
      </w:r>
    </w:p>
    <w:p w14:paraId="74E5F139">
      <w:pPr>
        <w:rPr>
          <w:rFonts w:ascii="宋体" w:hAnsi="宋体" w:cs="宋体"/>
          <w:szCs w:val="21"/>
        </w:rPr>
      </w:pPr>
    </w:p>
    <w:p w14:paraId="21DD8784">
      <w:pPr>
        <w:spacing w:line="360" w:lineRule="auto"/>
        <w:ind w:firstLine="435"/>
        <w:rPr>
          <w:rFonts w:ascii="宋体" w:hAnsi="宋体" w:cs="宋体"/>
          <w:szCs w:val="21"/>
        </w:rPr>
      </w:pPr>
      <w:r>
        <w:rPr>
          <w:rFonts w:hint="eastAsia" w:ascii="宋体" w:hAnsi="宋体" w:cs="宋体"/>
          <w:b/>
          <w:bCs/>
          <w:szCs w:val="21"/>
        </w:rPr>
        <w:t>我单位承诺</w:t>
      </w:r>
      <w:r>
        <w:rPr>
          <w:rFonts w:hint="eastAsia" w:ascii="宋体" w:hAnsi="宋体" w:cs="宋体"/>
          <w:szCs w:val="21"/>
        </w:rPr>
        <w:t>：投标文件中所提供的业绩均真实有效，若有质疑，我单位承诺会将3个工作日内可就以下业绩信息提供(合同、对应的发票、验收报告或用户评价意见)原件供贵单位核对。若被发现存在任何虚假、隐瞒情况，我单位承担由此产生的一切后果。</w:t>
      </w:r>
    </w:p>
    <w:p w14:paraId="1FA661DD">
      <w:pPr>
        <w:spacing w:line="360" w:lineRule="auto"/>
        <w:ind w:firstLine="3715" w:firstLineChars="1762"/>
        <w:rPr>
          <w:rFonts w:ascii="宋体" w:hAnsi="宋体" w:cs="宋体"/>
          <w:b/>
          <w:szCs w:val="21"/>
        </w:rPr>
      </w:pPr>
    </w:p>
    <w:p w14:paraId="3E7020B5">
      <w:pPr>
        <w:spacing w:line="360" w:lineRule="auto"/>
        <w:ind w:firstLine="3715" w:firstLineChars="1762"/>
        <w:rPr>
          <w:rFonts w:ascii="宋体" w:hAnsi="宋体" w:cs="宋体"/>
          <w:szCs w:val="21"/>
          <w:u w:val="single"/>
        </w:rPr>
      </w:pPr>
      <w:r>
        <w:rPr>
          <w:rFonts w:hint="eastAsia" w:ascii="宋体" w:hAnsi="宋体" w:cs="宋体"/>
          <w:b/>
          <w:szCs w:val="21"/>
        </w:rPr>
        <w:t>投标供应商（盖章）</w:t>
      </w:r>
    </w:p>
    <w:p w14:paraId="4FC03327">
      <w:pPr>
        <w:tabs>
          <w:tab w:val="left" w:pos="630"/>
        </w:tabs>
        <w:spacing w:line="360" w:lineRule="auto"/>
        <w:ind w:firstLine="3700" w:firstLineChars="1762"/>
        <w:rPr>
          <w:rFonts w:ascii="宋体" w:hAnsi="宋体" w:cs="宋体"/>
          <w:szCs w:val="21"/>
        </w:rPr>
      </w:pPr>
      <w:r>
        <w:rPr>
          <w:rFonts w:hint="eastAsia" w:ascii="宋体" w:hAnsi="宋体" w:cs="宋体"/>
          <w:szCs w:val="21"/>
        </w:rPr>
        <w:t>日期：</w:t>
      </w:r>
    </w:p>
    <w:p w14:paraId="629F197C">
      <w:pPr>
        <w:jc w:val="center"/>
        <w:rPr>
          <w:rFonts w:ascii="宋体" w:hAnsi="宋体" w:cs="宋体"/>
          <w:szCs w:val="21"/>
        </w:rPr>
      </w:pPr>
    </w:p>
    <w:p w14:paraId="6CAC73AE">
      <w:pPr>
        <w:jc w:val="center"/>
        <w:outlineLvl w:val="0"/>
        <w:rPr>
          <w:rFonts w:ascii="宋体" w:hAnsi="宋体" w:cs="宋体"/>
          <w:szCs w:val="21"/>
        </w:rPr>
      </w:pPr>
      <w:bookmarkStart w:id="1086" w:name="_Toc24071"/>
      <w:r>
        <w:rPr>
          <w:rFonts w:hint="eastAsia" w:ascii="宋体" w:hAnsi="宋体" w:cs="宋体"/>
          <w:szCs w:val="21"/>
        </w:rPr>
        <w:t>业绩汇总表</w:t>
      </w:r>
      <w:bookmarkEnd w:id="108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466"/>
        <w:gridCol w:w="1845"/>
        <w:gridCol w:w="1247"/>
        <w:gridCol w:w="1865"/>
        <w:gridCol w:w="1535"/>
        <w:gridCol w:w="926"/>
      </w:tblGrid>
      <w:tr w14:paraId="72AE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Align w:val="center"/>
          </w:tcPr>
          <w:p w14:paraId="2EBFCAC5">
            <w:pPr>
              <w:jc w:val="center"/>
              <w:rPr>
                <w:rFonts w:ascii="宋体" w:hAnsi="宋体" w:cs="宋体"/>
                <w:b/>
                <w:szCs w:val="21"/>
              </w:rPr>
            </w:pPr>
            <w:r>
              <w:rPr>
                <w:rFonts w:hint="eastAsia" w:ascii="宋体" w:hAnsi="宋体" w:cs="宋体"/>
                <w:b/>
                <w:szCs w:val="21"/>
              </w:rPr>
              <w:t>序号</w:t>
            </w:r>
          </w:p>
        </w:tc>
        <w:tc>
          <w:tcPr>
            <w:tcW w:w="1466" w:type="dxa"/>
            <w:vAlign w:val="center"/>
          </w:tcPr>
          <w:p w14:paraId="399868E1">
            <w:pPr>
              <w:jc w:val="center"/>
              <w:rPr>
                <w:rFonts w:ascii="宋体" w:hAnsi="宋体" w:cs="宋体"/>
                <w:b/>
                <w:szCs w:val="21"/>
              </w:rPr>
            </w:pPr>
            <w:r>
              <w:rPr>
                <w:rFonts w:hint="eastAsia" w:ascii="宋体" w:hAnsi="宋体" w:cs="宋体"/>
                <w:b/>
                <w:szCs w:val="21"/>
              </w:rPr>
              <w:t>项目名称</w:t>
            </w:r>
          </w:p>
        </w:tc>
        <w:tc>
          <w:tcPr>
            <w:tcW w:w="1845" w:type="dxa"/>
            <w:vAlign w:val="center"/>
          </w:tcPr>
          <w:p w14:paraId="33CA0AD9">
            <w:pPr>
              <w:widowControl/>
              <w:jc w:val="center"/>
              <w:rPr>
                <w:rFonts w:ascii="宋体" w:hAnsi="宋体" w:cs="宋体"/>
                <w:b/>
                <w:szCs w:val="21"/>
              </w:rPr>
            </w:pPr>
            <w:r>
              <w:rPr>
                <w:rFonts w:hint="eastAsia" w:ascii="宋体" w:hAnsi="宋体" w:cs="宋体"/>
                <w:b/>
                <w:szCs w:val="21"/>
              </w:rPr>
              <w:t>合同主要内容</w:t>
            </w:r>
          </w:p>
        </w:tc>
        <w:tc>
          <w:tcPr>
            <w:tcW w:w="1247" w:type="dxa"/>
            <w:vAlign w:val="center"/>
          </w:tcPr>
          <w:p w14:paraId="1C0E8A4A">
            <w:pPr>
              <w:jc w:val="center"/>
              <w:rPr>
                <w:rFonts w:ascii="宋体" w:hAnsi="宋体" w:cs="宋体"/>
                <w:b/>
                <w:szCs w:val="21"/>
              </w:rPr>
            </w:pPr>
            <w:r>
              <w:rPr>
                <w:rFonts w:hint="eastAsia" w:ascii="宋体" w:hAnsi="宋体" w:cs="宋体"/>
                <w:b/>
                <w:szCs w:val="21"/>
              </w:rPr>
              <w:t>签约合同价金额（如有）</w:t>
            </w:r>
          </w:p>
        </w:tc>
        <w:tc>
          <w:tcPr>
            <w:tcW w:w="1865" w:type="dxa"/>
            <w:vAlign w:val="center"/>
          </w:tcPr>
          <w:p w14:paraId="712A5B0F">
            <w:pPr>
              <w:jc w:val="center"/>
              <w:rPr>
                <w:rFonts w:ascii="宋体" w:hAnsi="宋体" w:cs="宋体"/>
                <w:b/>
                <w:szCs w:val="21"/>
              </w:rPr>
            </w:pPr>
            <w:r>
              <w:rPr>
                <w:rFonts w:hint="eastAsia" w:ascii="宋体" w:hAnsi="宋体" w:cs="宋体"/>
                <w:b/>
                <w:szCs w:val="21"/>
              </w:rPr>
              <w:t>业主单位</w:t>
            </w:r>
          </w:p>
          <w:p w14:paraId="6A184A06">
            <w:pPr>
              <w:jc w:val="center"/>
              <w:rPr>
                <w:rFonts w:ascii="宋体" w:hAnsi="宋体" w:cs="宋体"/>
                <w:b/>
                <w:szCs w:val="21"/>
              </w:rPr>
            </w:pPr>
            <w:r>
              <w:rPr>
                <w:rFonts w:hint="eastAsia" w:ascii="宋体" w:hAnsi="宋体" w:cs="宋体"/>
                <w:b/>
                <w:szCs w:val="21"/>
              </w:rPr>
              <w:t>及联系电话</w:t>
            </w:r>
          </w:p>
        </w:tc>
        <w:tc>
          <w:tcPr>
            <w:tcW w:w="1535" w:type="dxa"/>
            <w:vAlign w:val="center"/>
          </w:tcPr>
          <w:p w14:paraId="0C5C37E0">
            <w:pPr>
              <w:jc w:val="center"/>
              <w:rPr>
                <w:rFonts w:ascii="宋体" w:hAnsi="宋体" w:cs="宋体"/>
                <w:b/>
                <w:szCs w:val="21"/>
              </w:rPr>
            </w:pPr>
            <w:r>
              <w:rPr>
                <w:rFonts w:hint="eastAsia" w:ascii="宋体" w:hAnsi="宋体" w:cs="宋体"/>
                <w:b/>
                <w:szCs w:val="21"/>
              </w:rPr>
              <w:t>合同签订时间</w:t>
            </w:r>
          </w:p>
        </w:tc>
        <w:tc>
          <w:tcPr>
            <w:tcW w:w="926" w:type="dxa"/>
            <w:vAlign w:val="center"/>
          </w:tcPr>
          <w:p w14:paraId="1F3CCF8B">
            <w:pPr>
              <w:jc w:val="center"/>
              <w:rPr>
                <w:rFonts w:ascii="宋体" w:hAnsi="宋体" w:cs="宋体"/>
                <w:b/>
                <w:szCs w:val="21"/>
              </w:rPr>
            </w:pPr>
            <w:r>
              <w:rPr>
                <w:rFonts w:hint="eastAsia" w:ascii="宋体" w:hAnsi="宋体" w:cs="宋体"/>
                <w:b/>
                <w:szCs w:val="21"/>
              </w:rPr>
              <w:t>备注</w:t>
            </w:r>
          </w:p>
        </w:tc>
      </w:tr>
      <w:tr w14:paraId="5D39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Align w:val="center"/>
          </w:tcPr>
          <w:p w14:paraId="18A229E3">
            <w:pPr>
              <w:jc w:val="center"/>
              <w:rPr>
                <w:rFonts w:ascii="宋体" w:hAnsi="宋体" w:cs="宋体"/>
                <w:szCs w:val="21"/>
              </w:rPr>
            </w:pPr>
            <w:r>
              <w:rPr>
                <w:rFonts w:hint="eastAsia" w:ascii="宋体" w:hAnsi="宋体" w:cs="宋体"/>
                <w:szCs w:val="21"/>
              </w:rPr>
              <w:t>1</w:t>
            </w:r>
          </w:p>
        </w:tc>
        <w:tc>
          <w:tcPr>
            <w:tcW w:w="1466" w:type="dxa"/>
            <w:vAlign w:val="center"/>
          </w:tcPr>
          <w:p w14:paraId="6B2567D7">
            <w:pPr>
              <w:rPr>
                <w:rFonts w:ascii="宋体" w:hAnsi="宋体" w:cs="宋体"/>
                <w:szCs w:val="21"/>
              </w:rPr>
            </w:pPr>
          </w:p>
        </w:tc>
        <w:tc>
          <w:tcPr>
            <w:tcW w:w="1845" w:type="dxa"/>
            <w:vAlign w:val="center"/>
          </w:tcPr>
          <w:p w14:paraId="6EFBE368">
            <w:pPr>
              <w:rPr>
                <w:rFonts w:ascii="宋体" w:hAnsi="宋体" w:cs="宋体"/>
                <w:szCs w:val="21"/>
              </w:rPr>
            </w:pPr>
          </w:p>
        </w:tc>
        <w:tc>
          <w:tcPr>
            <w:tcW w:w="1247" w:type="dxa"/>
            <w:vAlign w:val="center"/>
          </w:tcPr>
          <w:p w14:paraId="155B4F55">
            <w:pPr>
              <w:rPr>
                <w:rFonts w:ascii="宋体" w:hAnsi="宋体" w:cs="宋体"/>
                <w:szCs w:val="21"/>
              </w:rPr>
            </w:pPr>
          </w:p>
        </w:tc>
        <w:tc>
          <w:tcPr>
            <w:tcW w:w="1865" w:type="dxa"/>
            <w:vAlign w:val="center"/>
          </w:tcPr>
          <w:p w14:paraId="7D396431">
            <w:pPr>
              <w:rPr>
                <w:rFonts w:ascii="宋体" w:hAnsi="宋体" w:cs="宋体"/>
                <w:szCs w:val="21"/>
              </w:rPr>
            </w:pPr>
          </w:p>
        </w:tc>
        <w:tc>
          <w:tcPr>
            <w:tcW w:w="1535" w:type="dxa"/>
          </w:tcPr>
          <w:p w14:paraId="3745B86C">
            <w:pPr>
              <w:rPr>
                <w:rFonts w:ascii="宋体" w:hAnsi="宋体" w:cs="宋体"/>
                <w:szCs w:val="21"/>
              </w:rPr>
            </w:pPr>
          </w:p>
        </w:tc>
        <w:tc>
          <w:tcPr>
            <w:tcW w:w="926" w:type="dxa"/>
            <w:vAlign w:val="center"/>
          </w:tcPr>
          <w:p w14:paraId="38267DFB">
            <w:pPr>
              <w:rPr>
                <w:rFonts w:ascii="宋体" w:hAnsi="宋体" w:cs="宋体"/>
                <w:szCs w:val="21"/>
              </w:rPr>
            </w:pPr>
          </w:p>
        </w:tc>
      </w:tr>
      <w:tr w14:paraId="2318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Align w:val="center"/>
          </w:tcPr>
          <w:p w14:paraId="56406791">
            <w:pPr>
              <w:jc w:val="center"/>
              <w:rPr>
                <w:rFonts w:ascii="宋体" w:hAnsi="宋体" w:cs="宋体"/>
                <w:szCs w:val="21"/>
              </w:rPr>
            </w:pPr>
            <w:r>
              <w:rPr>
                <w:rFonts w:hint="eastAsia" w:ascii="宋体" w:hAnsi="宋体" w:cs="宋体"/>
                <w:szCs w:val="21"/>
              </w:rPr>
              <w:t>2</w:t>
            </w:r>
          </w:p>
        </w:tc>
        <w:tc>
          <w:tcPr>
            <w:tcW w:w="1466" w:type="dxa"/>
            <w:vAlign w:val="center"/>
          </w:tcPr>
          <w:p w14:paraId="4E230161">
            <w:pPr>
              <w:rPr>
                <w:rFonts w:ascii="宋体" w:hAnsi="宋体" w:cs="宋体"/>
                <w:szCs w:val="21"/>
              </w:rPr>
            </w:pPr>
          </w:p>
        </w:tc>
        <w:tc>
          <w:tcPr>
            <w:tcW w:w="1845" w:type="dxa"/>
            <w:vAlign w:val="center"/>
          </w:tcPr>
          <w:p w14:paraId="111AE2A5">
            <w:pPr>
              <w:rPr>
                <w:rFonts w:ascii="宋体" w:hAnsi="宋体" w:cs="宋体"/>
                <w:szCs w:val="21"/>
              </w:rPr>
            </w:pPr>
          </w:p>
        </w:tc>
        <w:tc>
          <w:tcPr>
            <w:tcW w:w="1247" w:type="dxa"/>
            <w:vAlign w:val="center"/>
          </w:tcPr>
          <w:p w14:paraId="255D6816">
            <w:pPr>
              <w:rPr>
                <w:rFonts w:ascii="宋体" w:hAnsi="宋体" w:cs="宋体"/>
                <w:szCs w:val="21"/>
              </w:rPr>
            </w:pPr>
          </w:p>
        </w:tc>
        <w:tc>
          <w:tcPr>
            <w:tcW w:w="1865" w:type="dxa"/>
            <w:vAlign w:val="center"/>
          </w:tcPr>
          <w:p w14:paraId="28CF7C27">
            <w:pPr>
              <w:rPr>
                <w:rFonts w:ascii="宋体" w:hAnsi="宋体" w:cs="宋体"/>
                <w:szCs w:val="21"/>
              </w:rPr>
            </w:pPr>
          </w:p>
        </w:tc>
        <w:tc>
          <w:tcPr>
            <w:tcW w:w="1535" w:type="dxa"/>
          </w:tcPr>
          <w:p w14:paraId="473E6724">
            <w:pPr>
              <w:rPr>
                <w:rFonts w:ascii="宋体" w:hAnsi="宋体" w:cs="宋体"/>
                <w:szCs w:val="21"/>
              </w:rPr>
            </w:pPr>
          </w:p>
        </w:tc>
        <w:tc>
          <w:tcPr>
            <w:tcW w:w="926" w:type="dxa"/>
            <w:vAlign w:val="center"/>
          </w:tcPr>
          <w:p w14:paraId="45A600CE">
            <w:pPr>
              <w:rPr>
                <w:rFonts w:ascii="宋体" w:hAnsi="宋体" w:cs="宋体"/>
                <w:szCs w:val="21"/>
              </w:rPr>
            </w:pPr>
          </w:p>
        </w:tc>
      </w:tr>
      <w:tr w14:paraId="2525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Align w:val="center"/>
          </w:tcPr>
          <w:p w14:paraId="4027EEC3">
            <w:pPr>
              <w:jc w:val="center"/>
              <w:rPr>
                <w:rFonts w:ascii="宋体" w:hAnsi="宋体" w:cs="宋体"/>
                <w:szCs w:val="21"/>
              </w:rPr>
            </w:pPr>
            <w:r>
              <w:rPr>
                <w:rFonts w:hint="eastAsia" w:ascii="宋体" w:hAnsi="宋体" w:cs="宋体"/>
                <w:szCs w:val="21"/>
              </w:rPr>
              <w:t>3</w:t>
            </w:r>
          </w:p>
        </w:tc>
        <w:tc>
          <w:tcPr>
            <w:tcW w:w="1466" w:type="dxa"/>
            <w:vAlign w:val="center"/>
          </w:tcPr>
          <w:p w14:paraId="084B79AE">
            <w:pPr>
              <w:rPr>
                <w:rFonts w:ascii="宋体" w:hAnsi="宋体" w:cs="宋体"/>
                <w:szCs w:val="21"/>
              </w:rPr>
            </w:pPr>
          </w:p>
        </w:tc>
        <w:tc>
          <w:tcPr>
            <w:tcW w:w="1845" w:type="dxa"/>
            <w:vAlign w:val="center"/>
          </w:tcPr>
          <w:p w14:paraId="755F76FD">
            <w:pPr>
              <w:rPr>
                <w:rFonts w:ascii="宋体" w:hAnsi="宋体" w:cs="宋体"/>
                <w:szCs w:val="21"/>
              </w:rPr>
            </w:pPr>
          </w:p>
        </w:tc>
        <w:tc>
          <w:tcPr>
            <w:tcW w:w="1247" w:type="dxa"/>
            <w:vAlign w:val="center"/>
          </w:tcPr>
          <w:p w14:paraId="1128BA67">
            <w:pPr>
              <w:rPr>
                <w:rFonts w:ascii="宋体" w:hAnsi="宋体" w:cs="宋体"/>
                <w:szCs w:val="21"/>
              </w:rPr>
            </w:pPr>
          </w:p>
        </w:tc>
        <w:tc>
          <w:tcPr>
            <w:tcW w:w="1865" w:type="dxa"/>
            <w:vAlign w:val="center"/>
          </w:tcPr>
          <w:p w14:paraId="52C2C52E">
            <w:pPr>
              <w:rPr>
                <w:rFonts w:ascii="宋体" w:hAnsi="宋体" w:cs="宋体"/>
                <w:szCs w:val="21"/>
              </w:rPr>
            </w:pPr>
          </w:p>
        </w:tc>
        <w:tc>
          <w:tcPr>
            <w:tcW w:w="1535" w:type="dxa"/>
          </w:tcPr>
          <w:p w14:paraId="64AE64BE">
            <w:pPr>
              <w:rPr>
                <w:rFonts w:ascii="宋体" w:hAnsi="宋体" w:cs="宋体"/>
                <w:szCs w:val="21"/>
              </w:rPr>
            </w:pPr>
          </w:p>
        </w:tc>
        <w:tc>
          <w:tcPr>
            <w:tcW w:w="926" w:type="dxa"/>
            <w:vAlign w:val="center"/>
          </w:tcPr>
          <w:p w14:paraId="0D98AA4A">
            <w:pPr>
              <w:rPr>
                <w:rFonts w:ascii="宋体" w:hAnsi="宋体" w:cs="宋体"/>
                <w:szCs w:val="21"/>
              </w:rPr>
            </w:pPr>
          </w:p>
        </w:tc>
      </w:tr>
      <w:tr w14:paraId="3F59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Align w:val="center"/>
          </w:tcPr>
          <w:p w14:paraId="6E3ECAB2">
            <w:pPr>
              <w:jc w:val="center"/>
              <w:rPr>
                <w:rFonts w:ascii="宋体" w:hAnsi="宋体" w:cs="宋体"/>
                <w:szCs w:val="21"/>
              </w:rPr>
            </w:pPr>
            <w:r>
              <w:rPr>
                <w:rFonts w:hint="eastAsia" w:ascii="宋体" w:hAnsi="宋体" w:cs="宋体"/>
                <w:szCs w:val="21"/>
              </w:rPr>
              <w:t>4</w:t>
            </w:r>
          </w:p>
        </w:tc>
        <w:tc>
          <w:tcPr>
            <w:tcW w:w="1466" w:type="dxa"/>
            <w:vAlign w:val="center"/>
          </w:tcPr>
          <w:p w14:paraId="19D54820">
            <w:pPr>
              <w:rPr>
                <w:rFonts w:ascii="宋体" w:hAnsi="宋体" w:cs="宋体"/>
                <w:szCs w:val="21"/>
              </w:rPr>
            </w:pPr>
          </w:p>
        </w:tc>
        <w:tc>
          <w:tcPr>
            <w:tcW w:w="1845" w:type="dxa"/>
            <w:vAlign w:val="center"/>
          </w:tcPr>
          <w:p w14:paraId="362CCEA9">
            <w:pPr>
              <w:rPr>
                <w:rFonts w:ascii="宋体" w:hAnsi="宋体" w:cs="宋体"/>
                <w:szCs w:val="21"/>
              </w:rPr>
            </w:pPr>
          </w:p>
        </w:tc>
        <w:tc>
          <w:tcPr>
            <w:tcW w:w="1247" w:type="dxa"/>
            <w:vAlign w:val="center"/>
          </w:tcPr>
          <w:p w14:paraId="7119B044">
            <w:pPr>
              <w:rPr>
                <w:rFonts w:ascii="宋体" w:hAnsi="宋体" w:cs="宋体"/>
                <w:szCs w:val="21"/>
              </w:rPr>
            </w:pPr>
          </w:p>
        </w:tc>
        <w:tc>
          <w:tcPr>
            <w:tcW w:w="1865" w:type="dxa"/>
            <w:vAlign w:val="center"/>
          </w:tcPr>
          <w:p w14:paraId="204523B7">
            <w:pPr>
              <w:rPr>
                <w:rFonts w:ascii="宋体" w:hAnsi="宋体" w:cs="宋体"/>
                <w:szCs w:val="21"/>
              </w:rPr>
            </w:pPr>
          </w:p>
        </w:tc>
        <w:tc>
          <w:tcPr>
            <w:tcW w:w="1535" w:type="dxa"/>
          </w:tcPr>
          <w:p w14:paraId="5EB78C68">
            <w:pPr>
              <w:rPr>
                <w:rFonts w:ascii="宋体" w:hAnsi="宋体" w:cs="宋体"/>
                <w:szCs w:val="21"/>
              </w:rPr>
            </w:pPr>
          </w:p>
        </w:tc>
        <w:tc>
          <w:tcPr>
            <w:tcW w:w="926" w:type="dxa"/>
            <w:vAlign w:val="center"/>
          </w:tcPr>
          <w:p w14:paraId="78919350">
            <w:pPr>
              <w:rPr>
                <w:rFonts w:ascii="宋体" w:hAnsi="宋体" w:cs="宋体"/>
                <w:szCs w:val="21"/>
              </w:rPr>
            </w:pPr>
          </w:p>
        </w:tc>
      </w:tr>
      <w:tr w14:paraId="4825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Align w:val="center"/>
          </w:tcPr>
          <w:p w14:paraId="79E0C20D">
            <w:pPr>
              <w:jc w:val="center"/>
              <w:rPr>
                <w:rFonts w:ascii="宋体" w:hAnsi="宋体" w:cs="宋体"/>
                <w:szCs w:val="21"/>
              </w:rPr>
            </w:pPr>
            <w:r>
              <w:rPr>
                <w:rFonts w:hint="eastAsia" w:ascii="宋体" w:hAnsi="宋体" w:cs="宋体"/>
                <w:szCs w:val="21"/>
              </w:rPr>
              <w:t>5</w:t>
            </w:r>
          </w:p>
        </w:tc>
        <w:tc>
          <w:tcPr>
            <w:tcW w:w="1466" w:type="dxa"/>
            <w:vAlign w:val="center"/>
          </w:tcPr>
          <w:p w14:paraId="76225FAC">
            <w:pPr>
              <w:rPr>
                <w:rFonts w:ascii="宋体" w:hAnsi="宋体" w:cs="宋体"/>
                <w:szCs w:val="21"/>
              </w:rPr>
            </w:pPr>
          </w:p>
        </w:tc>
        <w:tc>
          <w:tcPr>
            <w:tcW w:w="1845" w:type="dxa"/>
            <w:vAlign w:val="center"/>
          </w:tcPr>
          <w:p w14:paraId="704CFBA4">
            <w:pPr>
              <w:rPr>
                <w:rFonts w:ascii="宋体" w:hAnsi="宋体" w:cs="宋体"/>
                <w:szCs w:val="21"/>
              </w:rPr>
            </w:pPr>
          </w:p>
        </w:tc>
        <w:tc>
          <w:tcPr>
            <w:tcW w:w="1247" w:type="dxa"/>
            <w:vAlign w:val="center"/>
          </w:tcPr>
          <w:p w14:paraId="7F9ACD0D">
            <w:pPr>
              <w:rPr>
                <w:rFonts w:ascii="宋体" w:hAnsi="宋体" w:cs="宋体"/>
                <w:szCs w:val="21"/>
              </w:rPr>
            </w:pPr>
          </w:p>
        </w:tc>
        <w:tc>
          <w:tcPr>
            <w:tcW w:w="1865" w:type="dxa"/>
            <w:vAlign w:val="center"/>
          </w:tcPr>
          <w:p w14:paraId="76A93A2A">
            <w:pPr>
              <w:rPr>
                <w:rFonts w:ascii="宋体" w:hAnsi="宋体" w:cs="宋体"/>
                <w:szCs w:val="21"/>
              </w:rPr>
            </w:pPr>
          </w:p>
        </w:tc>
        <w:tc>
          <w:tcPr>
            <w:tcW w:w="1535" w:type="dxa"/>
          </w:tcPr>
          <w:p w14:paraId="378CF4A8">
            <w:pPr>
              <w:rPr>
                <w:rFonts w:ascii="宋体" w:hAnsi="宋体" w:cs="宋体"/>
                <w:szCs w:val="21"/>
              </w:rPr>
            </w:pPr>
          </w:p>
        </w:tc>
        <w:tc>
          <w:tcPr>
            <w:tcW w:w="926" w:type="dxa"/>
            <w:vAlign w:val="center"/>
          </w:tcPr>
          <w:p w14:paraId="2694FA00">
            <w:pPr>
              <w:rPr>
                <w:rFonts w:ascii="宋体" w:hAnsi="宋体" w:cs="宋体"/>
                <w:szCs w:val="21"/>
              </w:rPr>
            </w:pPr>
          </w:p>
        </w:tc>
      </w:tr>
      <w:tr w14:paraId="58F3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Align w:val="center"/>
          </w:tcPr>
          <w:p w14:paraId="7C5BFCB1">
            <w:pPr>
              <w:jc w:val="center"/>
              <w:rPr>
                <w:rFonts w:ascii="宋体" w:hAnsi="宋体" w:cs="宋体"/>
                <w:szCs w:val="21"/>
              </w:rPr>
            </w:pPr>
            <w:r>
              <w:rPr>
                <w:rFonts w:hint="eastAsia" w:ascii="宋体" w:hAnsi="宋体" w:cs="宋体"/>
                <w:szCs w:val="21"/>
              </w:rPr>
              <w:t>……</w:t>
            </w:r>
          </w:p>
        </w:tc>
        <w:tc>
          <w:tcPr>
            <w:tcW w:w="1466" w:type="dxa"/>
            <w:vAlign w:val="center"/>
          </w:tcPr>
          <w:p w14:paraId="3F26316A">
            <w:pPr>
              <w:rPr>
                <w:rFonts w:ascii="宋体" w:hAnsi="宋体" w:cs="宋体"/>
                <w:szCs w:val="21"/>
              </w:rPr>
            </w:pPr>
          </w:p>
        </w:tc>
        <w:tc>
          <w:tcPr>
            <w:tcW w:w="1845" w:type="dxa"/>
            <w:vAlign w:val="center"/>
          </w:tcPr>
          <w:p w14:paraId="56FEC122">
            <w:pPr>
              <w:rPr>
                <w:rFonts w:ascii="宋体" w:hAnsi="宋体" w:cs="宋体"/>
                <w:szCs w:val="21"/>
              </w:rPr>
            </w:pPr>
          </w:p>
        </w:tc>
        <w:tc>
          <w:tcPr>
            <w:tcW w:w="1247" w:type="dxa"/>
            <w:vAlign w:val="center"/>
          </w:tcPr>
          <w:p w14:paraId="6098DF18">
            <w:pPr>
              <w:rPr>
                <w:rFonts w:ascii="宋体" w:hAnsi="宋体" w:cs="宋体"/>
                <w:szCs w:val="21"/>
              </w:rPr>
            </w:pPr>
          </w:p>
        </w:tc>
        <w:tc>
          <w:tcPr>
            <w:tcW w:w="1865" w:type="dxa"/>
            <w:vAlign w:val="center"/>
          </w:tcPr>
          <w:p w14:paraId="7544B47C">
            <w:pPr>
              <w:rPr>
                <w:rFonts w:ascii="宋体" w:hAnsi="宋体" w:cs="宋体"/>
                <w:szCs w:val="21"/>
              </w:rPr>
            </w:pPr>
          </w:p>
        </w:tc>
        <w:tc>
          <w:tcPr>
            <w:tcW w:w="1535" w:type="dxa"/>
          </w:tcPr>
          <w:p w14:paraId="74AD2624">
            <w:pPr>
              <w:rPr>
                <w:rFonts w:ascii="宋体" w:hAnsi="宋体" w:cs="宋体"/>
                <w:szCs w:val="21"/>
              </w:rPr>
            </w:pPr>
          </w:p>
        </w:tc>
        <w:tc>
          <w:tcPr>
            <w:tcW w:w="926" w:type="dxa"/>
            <w:vAlign w:val="center"/>
          </w:tcPr>
          <w:p w14:paraId="28CF3655">
            <w:pPr>
              <w:rPr>
                <w:rFonts w:ascii="宋体" w:hAnsi="宋体" w:cs="宋体"/>
                <w:szCs w:val="21"/>
              </w:rPr>
            </w:pPr>
          </w:p>
        </w:tc>
      </w:tr>
    </w:tbl>
    <w:p w14:paraId="50F4031B">
      <w:pPr>
        <w:widowControl/>
        <w:jc w:val="left"/>
        <w:rPr>
          <w:rFonts w:ascii="宋体" w:hAnsi="宋体" w:cs="宋体"/>
          <w:szCs w:val="21"/>
        </w:rPr>
      </w:pPr>
    </w:p>
    <w:p w14:paraId="2F680934">
      <w:pPr>
        <w:widowControl/>
        <w:jc w:val="left"/>
        <w:rPr>
          <w:rFonts w:ascii="宋体" w:hAnsi="宋体" w:cs="宋体"/>
          <w:szCs w:val="21"/>
        </w:rPr>
      </w:pPr>
      <w:r>
        <w:rPr>
          <w:rFonts w:hint="eastAsia" w:ascii="宋体" w:hAnsi="宋体" w:cs="宋体"/>
          <w:szCs w:val="21"/>
        </w:rPr>
        <w:t>注：</w:t>
      </w:r>
    </w:p>
    <w:p w14:paraId="53676406">
      <w:pPr>
        <w:pStyle w:val="6"/>
      </w:pPr>
    </w:p>
    <w:p w14:paraId="16C94805">
      <w:pPr>
        <w:adjustRightInd w:val="0"/>
        <w:snapToGrid w:val="0"/>
        <w:spacing w:line="360" w:lineRule="auto"/>
        <w:rPr>
          <w:rFonts w:ascii="宋体" w:hAnsi="宋体" w:cs="宋体"/>
          <w:b/>
          <w:bCs/>
          <w:szCs w:val="21"/>
        </w:rPr>
      </w:pPr>
      <w:r>
        <w:rPr>
          <w:rFonts w:hint="eastAsia" w:ascii="宋体" w:hAnsi="宋体" w:cs="宋体"/>
          <w:b/>
          <w:bCs/>
          <w:szCs w:val="21"/>
        </w:rPr>
        <w:t>1、</w:t>
      </w:r>
      <w:r>
        <w:rPr>
          <w:rFonts w:hint="eastAsia" w:ascii="宋体" w:hAnsi="宋体" w:cs="宋体"/>
          <w:b/>
          <w:szCs w:val="21"/>
        </w:rPr>
        <w:t>表中所列业绩应为投标供应商满足要求的业绩</w:t>
      </w:r>
      <w:r>
        <w:rPr>
          <w:rFonts w:hint="eastAsia" w:ascii="宋体" w:hAnsi="宋体" w:cs="宋体"/>
          <w:b/>
          <w:bCs/>
          <w:szCs w:val="21"/>
        </w:rPr>
        <w:t>；</w:t>
      </w:r>
    </w:p>
    <w:p w14:paraId="19516B4A">
      <w:pPr>
        <w:widowControl/>
        <w:spacing w:line="360" w:lineRule="auto"/>
        <w:jc w:val="left"/>
        <w:rPr>
          <w:rFonts w:ascii="宋体" w:hAnsi="宋体" w:cs="宋体"/>
          <w:b/>
          <w:szCs w:val="21"/>
        </w:rPr>
      </w:pPr>
      <w:r>
        <w:rPr>
          <w:rFonts w:hint="eastAsia" w:ascii="宋体" w:hAnsi="宋体" w:cs="宋体"/>
          <w:b/>
          <w:szCs w:val="21"/>
        </w:rPr>
        <w:t>2、后附：业绩证明材料（符合文件对业绩证明材料的规定）；</w:t>
      </w:r>
    </w:p>
    <w:p w14:paraId="0E57EA99">
      <w:pPr>
        <w:widowControl/>
        <w:spacing w:line="360" w:lineRule="auto"/>
        <w:jc w:val="left"/>
        <w:rPr>
          <w:rFonts w:ascii="宋体" w:hAnsi="宋体" w:cs="宋体"/>
          <w:b/>
          <w:szCs w:val="21"/>
        </w:rPr>
      </w:pPr>
      <w:r>
        <w:rPr>
          <w:rFonts w:hint="eastAsia" w:ascii="宋体" w:hAnsi="宋体" w:cs="宋体"/>
          <w:b/>
          <w:szCs w:val="21"/>
        </w:rPr>
        <w:t>3、投标供应商提供的以上业绩情况须含项目名称、服务范围等。</w:t>
      </w:r>
    </w:p>
    <w:p w14:paraId="57C752A8">
      <w:pPr>
        <w:keepNext/>
        <w:keepLines/>
        <w:spacing w:line="400" w:lineRule="exact"/>
        <w:jc w:val="center"/>
        <w:outlineLvl w:val="1"/>
        <w:rPr>
          <w:rFonts w:ascii="Cambria" w:hAnsi="宋体"/>
          <w:b/>
          <w:bCs/>
          <w:kern w:val="0"/>
          <w:sz w:val="30"/>
          <w:szCs w:val="30"/>
        </w:rPr>
      </w:pPr>
      <w:r>
        <w:rPr>
          <w:rFonts w:hint="eastAsia" w:ascii="宋体" w:hAnsi="宋体"/>
          <w:b/>
          <w:sz w:val="24"/>
        </w:rPr>
        <w:br w:type="page"/>
      </w:r>
      <w:r>
        <w:rPr>
          <w:rFonts w:hint="eastAsia" w:ascii="宋体" w:hAnsi="宋体"/>
          <w:b/>
          <w:bCs/>
          <w:kern w:val="0"/>
          <w:sz w:val="28"/>
          <w:szCs w:val="28"/>
        </w:rPr>
        <w:t>九、中小企业声明函（服务）</w:t>
      </w:r>
    </w:p>
    <w:p w14:paraId="3E1DD97D">
      <w:pPr>
        <w:spacing w:line="400" w:lineRule="exact"/>
        <w:jc w:val="center"/>
        <w:rPr>
          <w:rFonts w:ascii="宋体" w:hAnsi="宋体"/>
          <w:szCs w:val="21"/>
        </w:rPr>
      </w:pPr>
      <w:r>
        <w:rPr>
          <w:rFonts w:hint="eastAsia" w:ascii="宋体" w:hAnsi="宋体"/>
          <w:szCs w:val="21"/>
        </w:rPr>
        <w:t>（非中小企业投标，不需此件）</w:t>
      </w:r>
    </w:p>
    <w:p w14:paraId="22B9EDE7">
      <w:pPr>
        <w:spacing w:line="400" w:lineRule="exact"/>
        <w:ind w:firstLine="420" w:firstLineChars="200"/>
        <w:rPr>
          <w:szCs w:val="21"/>
        </w:rPr>
      </w:pPr>
    </w:p>
    <w:p w14:paraId="556E01B9">
      <w:pPr>
        <w:spacing w:line="400" w:lineRule="exact"/>
        <w:ind w:firstLine="420" w:firstLineChars="200"/>
        <w:rPr>
          <w:rFonts w:ascii="宋体" w:hAnsi="宋体"/>
          <w:szCs w:val="21"/>
        </w:rPr>
      </w:pPr>
      <w:r>
        <w:rPr>
          <w:szCs w:val="21"/>
        </w:rPr>
        <w:t>      </w:t>
      </w:r>
      <w:r>
        <w:rPr>
          <w:rFonts w:ascii="宋体" w:hAnsi="宋体"/>
          <w:szCs w:val="21"/>
        </w:rPr>
        <w:t>本公司(联合体)郑重声明，根据《政府采购促进中小企业发展管理办法》(财库(2020)46号)的规定，本公司(联合体)参加</w:t>
      </w:r>
      <w:r>
        <w:rPr>
          <w:rFonts w:ascii="宋体" w:hAnsi="宋体"/>
          <w:szCs w:val="21"/>
          <w:u w:val="single"/>
        </w:rPr>
        <w:t>_ </w:t>
      </w:r>
      <w:r>
        <w:rPr>
          <w:rFonts w:ascii="宋体" w:hAnsi="宋体"/>
          <w:szCs w:val="21"/>
        </w:rPr>
        <w:t>(单位名称)的_</w:t>
      </w:r>
      <w:r>
        <w:rPr>
          <w:rFonts w:ascii="宋体" w:hAnsi="宋体"/>
          <w:szCs w:val="21"/>
          <w:u w:val="single"/>
        </w:rPr>
        <w:t> </w:t>
      </w:r>
      <w:r>
        <w:rPr>
          <w:rFonts w:ascii="宋体" w:hAnsi="宋体"/>
          <w:szCs w:val="21"/>
        </w:rPr>
        <w:t> (项目名称)采购活动，</w:t>
      </w:r>
      <w:r>
        <w:rPr>
          <w:rFonts w:hint="eastAsia" w:ascii="宋体" w:hAnsi="宋体"/>
          <w:szCs w:val="21"/>
        </w:rPr>
        <w:t>服务全部由符合政策要求的中小企业承接</w:t>
      </w:r>
      <w:r>
        <w:rPr>
          <w:rFonts w:ascii="宋体" w:hAnsi="宋体"/>
          <w:szCs w:val="21"/>
        </w:rPr>
        <w:t>。相关企业(含联合体中的中小企业、签订分包意向协议的中小企业)的具体情况如下:</w:t>
      </w:r>
    </w:p>
    <w:p w14:paraId="0A476464">
      <w:pPr>
        <w:spacing w:line="400" w:lineRule="exact"/>
        <w:ind w:firstLine="420" w:firstLineChars="200"/>
        <w:rPr>
          <w:rFonts w:ascii="宋体" w:hAnsi="宋体"/>
          <w:szCs w:val="21"/>
        </w:rPr>
      </w:pPr>
      <w:r>
        <w:rPr>
          <w:rFonts w:ascii="宋体" w:hAnsi="宋体"/>
          <w:szCs w:val="21"/>
        </w:rPr>
        <w:t>1._</w:t>
      </w:r>
      <w:r>
        <w:rPr>
          <w:rFonts w:ascii="宋体" w:hAnsi="宋体"/>
          <w:szCs w:val="21"/>
          <w:u w:val="single"/>
        </w:rPr>
        <w:t> (标的名称) _</w:t>
      </w:r>
      <w:r>
        <w:rPr>
          <w:rFonts w:ascii="宋体" w:hAnsi="宋体"/>
          <w:szCs w:val="21"/>
        </w:rPr>
        <w:t>，属于</w:t>
      </w:r>
      <w:r>
        <w:rPr>
          <w:rFonts w:ascii="宋体" w:hAnsi="宋体"/>
          <w:szCs w:val="21"/>
          <w:u w:val="single"/>
        </w:rPr>
        <w:t>_ (采购文件中明确的所属行业</w:t>
      </w:r>
      <w:r>
        <w:rPr>
          <w:rFonts w:hint="eastAsia" w:ascii="宋体" w:hAnsi="宋体"/>
          <w:szCs w:val="21"/>
          <w:u w:val="single"/>
        </w:rPr>
        <w:t>)</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szCs w:val="21"/>
          <w:u w:val="single"/>
        </w:rPr>
        <w:t>_ (企业名称)</w:t>
      </w:r>
      <w:r>
        <w:rPr>
          <w:rFonts w:ascii="宋体" w:hAnsi="宋体"/>
          <w:szCs w:val="21"/>
        </w:rPr>
        <w:t>,从业人员人， 营业收入为万元，资产总额为万元，属于</w:t>
      </w:r>
      <w:r>
        <w:rPr>
          <w:rFonts w:ascii="宋体" w:hAnsi="宋体"/>
          <w:szCs w:val="21"/>
          <w:u w:val="single"/>
        </w:rPr>
        <w:t>(中型企业、</w:t>
      </w:r>
      <w:r>
        <w:rPr>
          <w:rFonts w:hint="eastAsia" w:ascii="宋体" w:hAnsi="宋体"/>
          <w:szCs w:val="21"/>
          <w:u w:val="single"/>
        </w:rPr>
        <w:t>小</w:t>
      </w:r>
      <w:r>
        <w:rPr>
          <w:rFonts w:ascii="宋体" w:hAnsi="宋体"/>
          <w:szCs w:val="21"/>
          <w:u w:val="single"/>
        </w:rPr>
        <w:t>型企业、微型企业</w:t>
      </w:r>
      <w:r>
        <w:rPr>
          <w:rFonts w:hint="eastAsia" w:ascii="宋体" w:hAnsi="宋体"/>
          <w:szCs w:val="21"/>
          <w:u w:val="single"/>
        </w:rPr>
        <w:t>)</w:t>
      </w:r>
      <w:r>
        <w:rPr>
          <w:rFonts w:ascii="宋体" w:hAnsi="宋体"/>
          <w:szCs w:val="21"/>
        </w:rPr>
        <w:t>;     </w:t>
      </w:r>
    </w:p>
    <w:p w14:paraId="0F2AF7B4">
      <w:pPr>
        <w:spacing w:line="400" w:lineRule="exact"/>
        <w:ind w:firstLine="420" w:firstLineChars="200"/>
        <w:rPr>
          <w:rFonts w:ascii="宋体" w:hAnsi="宋体"/>
          <w:szCs w:val="21"/>
        </w:rPr>
      </w:pPr>
      <w:r>
        <w:rPr>
          <w:rFonts w:ascii="宋体" w:hAnsi="宋体"/>
          <w:szCs w:val="21"/>
        </w:rPr>
        <w:t>2.</w:t>
      </w:r>
      <w:r>
        <w:rPr>
          <w:rFonts w:ascii="宋体" w:hAnsi="宋体"/>
          <w:szCs w:val="21"/>
          <w:u w:val="single"/>
        </w:rPr>
        <w:t>_ (标的名称) _</w:t>
      </w:r>
      <w:r>
        <w:rPr>
          <w:rFonts w:ascii="宋体" w:hAnsi="宋体"/>
          <w:szCs w:val="21"/>
        </w:rPr>
        <w:t>，属于</w:t>
      </w:r>
      <w:r>
        <w:rPr>
          <w:rFonts w:ascii="宋体" w:hAnsi="宋体"/>
          <w:szCs w:val="21"/>
          <w:u w:val="single"/>
        </w:rPr>
        <w:t>(采购文件中明确的所属行业)</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szCs w:val="21"/>
          <w:u w:val="single"/>
        </w:rPr>
        <w:t>_ (企业名称)</w:t>
      </w:r>
      <w:r>
        <w:rPr>
          <w:rFonts w:ascii="宋体" w:hAnsi="宋体"/>
          <w:szCs w:val="21"/>
        </w:rPr>
        <w:t>，从业人员人，营业收入为万元，资产总额为万元，属于</w:t>
      </w:r>
      <w:r>
        <w:rPr>
          <w:rFonts w:ascii="宋体" w:hAnsi="宋体"/>
          <w:szCs w:val="21"/>
          <w:u w:val="single"/>
        </w:rPr>
        <w:t>_(中型企业、小型企业、微型企业</w:t>
      </w:r>
      <w:r>
        <w:rPr>
          <w:rFonts w:hint="eastAsia" w:ascii="宋体" w:hAnsi="宋体"/>
          <w:szCs w:val="21"/>
          <w:u w:val="single"/>
        </w:rPr>
        <w:t>)</w:t>
      </w:r>
      <w:r>
        <w:rPr>
          <w:rFonts w:ascii="宋体" w:hAnsi="宋体"/>
          <w:szCs w:val="21"/>
        </w:rPr>
        <w:t>;</w:t>
      </w:r>
    </w:p>
    <w:p w14:paraId="4A3621E9">
      <w:pPr>
        <w:tabs>
          <w:tab w:val="left" w:pos="4620"/>
        </w:tabs>
        <w:spacing w:line="400" w:lineRule="exact"/>
        <w:ind w:firstLine="420" w:firstLineChars="200"/>
        <w:jc w:val="left"/>
        <w:rPr>
          <w:rFonts w:ascii="宋体" w:hAnsi="宋体"/>
          <w:szCs w:val="21"/>
        </w:rPr>
      </w:pPr>
      <w:r>
        <w:rPr>
          <w:rFonts w:ascii="宋体" w:hAnsi="宋体"/>
          <w:szCs w:val="21"/>
        </w:rPr>
        <w:t>......</w:t>
      </w:r>
    </w:p>
    <w:p w14:paraId="3D15593C">
      <w:pPr>
        <w:tabs>
          <w:tab w:val="left" w:pos="4620"/>
        </w:tabs>
        <w:spacing w:line="400" w:lineRule="exact"/>
        <w:ind w:firstLine="420" w:firstLineChars="200"/>
        <w:jc w:val="left"/>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40F8F4ED">
      <w:pPr>
        <w:tabs>
          <w:tab w:val="left" w:pos="4620"/>
        </w:tabs>
        <w:spacing w:line="400" w:lineRule="exact"/>
        <w:ind w:firstLine="420" w:firstLineChars="200"/>
        <w:jc w:val="left"/>
        <w:rPr>
          <w:rFonts w:ascii="宋体" w:hAnsi="宋体"/>
          <w:szCs w:val="21"/>
        </w:rPr>
      </w:pPr>
      <w:r>
        <w:rPr>
          <w:rFonts w:ascii="宋体" w:hAnsi="宋体"/>
          <w:szCs w:val="21"/>
        </w:rPr>
        <w:t>本企业对上述声明内容的真实性负责。如有虚假，将依法承担相应责任。</w:t>
      </w:r>
    </w:p>
    <w:p w14:paraId="0C92C369">
      <w:pPr>
        <w:tabs>
          <w:tab w:val="left" w:pos="4620"/>
        </w:tabs>
        <w:spacing w:line="400" w:lineRule="exact"/>
        <w:jc w:val="right"/>
        <w:rPr>
          <w:rFonts w:ascii="宋体" w:hAnsi="宋体"/>
          <w:szCs w:val="21"/>
        </w:rPr>
      </w:pPr>
      <w:r>
        <w:rPr>
          <w:rFonts w:ascii="宋体" w:hAnsi="宋体"/>
          <w:szCs w:val="21"/>
        </w:rPr>
        <w:t>企业名称(</w:t>
      </w:r>
      <w:r>
        <w:rPr>
          <w:rFonts w:hint="eastAsia" w:ascii="宋体" w:hAnsi="宋体"/>
          <w:szCs w:val="21"/>
        </w:rPr>
        <w:t>盖章</w:t>
      </w:r>
      <w:r>
        <w:rPr>
          <w:rFonts w:ascii="宋体" w:hAnsi="宋体"/>
          <w:szCs w:val="21"/>
        </w:rPr>
        <w:t>):</w:t>
      </w:r>
    </w:p>
    <w:p w14:paraId="359F53CB">
      <w:pPr>
        <w:tabs>
          <w:tab w:val="left" w:pos="4620"/>
        </w:tabs>
        <w:spacing w:line="400" w:lineRule="exact"/>
        <w:jc w:val="right"/>
        <w:rPr>
          <w:rFonts w:ascii="宋体" w:hAnsi="宋体"/>
          <w:szCs w:val="21"/>
        </w:rPr>
      </w:pPr>
      <w:r>
        <w:rPr>
          <w:rFonts w:ascii="宋体" w:hAnsi="宋体"/>
          <w:szCs w:val="21"/>
        </w:rPr>
        <w:t>日期:</w:t>
      </w:r>
    </w:p>
    <w:p w14:paraId="62B41009">
      <w:pPr>
        <w:tabs>
          <w:tab w:val="left" w:pos="4620"/>
        </w:tabs>
        <w:ind w:firstLine="352" w:firstLineChars="200"/>
        <w:jc w:val="left"/>
        <w:rPr>
          <w:rFonts w:ascii="宋体" w:hAnsi="宋体"/>
          <w:spacing w:val="-17"/>
          <w:szCs w:val="21"/>
        </w:rPr>
      </w:pPr>
    </w:p>
    <w:p w14:paraId="35A60B9D">
      <w:pPr>
        <w:tabs>
          <w:tab w:val="left" w:pos="4620"/>
        </w:tabs>
        <w:ind w:firstLine="352" w:firstLineChars="200"/>
        <w:jc w:val="left"/>
        <w:rPr>
          <w:rFonts w:ascii="宋体" w:hAnsi="宋体"/>
          <w:spacing w:val="-17"/>
          <w:szCs w:val="21"/>
        </w:rPr>
      </w:pPr>
    </w:p>
    <w:p w14:paraId="3C7133ED">
      <w:pPr>
        <w:tabs>
          <w:tab w:val="left" w:pos="4620"/>
        </w:tabs>
        <w:ind w:firstLine="352" w:firstLineChars="200"/>
        <w:jc w:val="left"/>
        <w:rPr>
          <w:rFonts w:ascii="宋体" w:hAnsi="宋体"/>
          <w:spacing w:val="-17"/>
          <w:szCs w:val="21"/>
        </w:rPr>
      </w:pPr>
    </w:p>
    <w:p w14:paraId="7542C3F6">
      <w:pPr>
        <w:tabs>
          <w:tab w:val="left" w:pos="4620"/>
        </w:tabs>
        <w:ind w:firstLine="352" w:firstLineChars="200"/>
        <w:jc w:val="left"/>
        <w:rPr>
          <w:rFonts w:ascii="宋体" w:hAnsi="宋体"/>
          <w:spacing w:val="-17"/>
          <w:szCs w:val="21"/>
        </w:rPr>
      </w:pPr>
    </w:p>
    <w:p w14:paraId="77B580C9">
      <w:pPr>
        <w:tabs>
          <w:tab w:val="left" w:pos="4620"/>
        </w:tabs>
        <w:spacing w:line="360" w:lineRule="auto"/>
        <w:ind w:firstLine="352" w:firstLineChars="200"/>
        <w:jc w:val="left"/>
        <w:rPr>
          <w:rFonts w:ascii="宋体" w:hAnsi="宋体"/>
          <w:spacing w:val="-17"/>
          <w:szCs w:val="21"/>
        </w:rPr>
      </w:pPr>
      <w:r>
        <w:rPr>
          <w:rFonts w:ascii="宋体" w:hAnsi="宋体"/>
          <w:spacing w:val="-17"/>
          <w:szCs w:val="21"/>
        </w:rPr>
        <w:t>注：</w:t>
      </w:r>
    </w:p>
    <w:p w14:paraId="3A302672">
      <w:pPr>
        <w:tabs>
          <w:tab w:val="left" w:pos="4620"/>
        </w:tabs>
        <w:spacing w:line="360" w:lineRule="auto"/>
        <w:ind w:firstLine="420" w:firstLineChars="200"/>
        <w:jc w:val="left"/>
        <w:rPr>
          <w:rFonts w:ascii="宋体" w:hAnsi="宋体"/>
          <w:szCs w:val="22"/>
        </w:rPr>
      </w:pPr>
      <w:r>
        <w:rPr>
          <w:rFonts w:ascii="宋体" w:hAnsi="宋体"/>
          <w:szCs w:val="22"/>
        </w:rPr>
        <w:t>1.从业人员、营业收入、资产总额填报上一年数据，无上一年数据的新成立企业可不填报。</w:t>
      </w:r>
    </w:p>
    <w:p w14:paraId="4315FA3F">
      <w:pPr>
        <w:tabs>
          <w:tab w:val="left" w:pos="4620"/>
        </w:tabs>
        <w:spacing w:line="360" w:lineRule="auto"/>
        <w:ind w:firstLine="422" w:firstLineChars="200"/>
        <w:jc w:val="left"/>
        <w:rPr>
          <w:rFonts w:ascii="宋体" w:hAnsi="宋体"/>
          <w:b/>
          <w:bCs/>
          <w:szCs w:val="22"/>
        </w:rPr>
      </w:pPr>
      <w:r>
        <w:rPr>
          <w:rFonts w:ascii="宋体" w:hAnsi="宋体"/>
          <w:b/>
          <w:bCs/>
          <w:szCs w:val="22"/>
        </w:rPr>
        <w:t>2.投标人应根据《政府采购促进中小企业发展管理办法》（财库﹝2020﹞46号）和《关于印发中小企业划型标准规定的通知》(工信部联企业〔2011〕300号)相关规定，如实填写中小企业声明函。</w:t>
      </w:r>
      <w:r>
        <w:rPr>
          <w:rFonts w:ascii="宋体" w:hAnsi="宋体"/>
          <w:b/>
          <w:bCs/>
          <w:szCs w:val="22"/>
          <w:lang w:val="zh-CN"/>
        </w:rPr>
        <w:t>如有虚假，将依法承担相应责任。</w:t>
      </w:r>
      <w:r>
        <w:rPr>
          <w:rFonts w:ascii="宋体" w:hAnsi="宋体"/>
          <w:b/>
          <w:bCs/>
          <w:szCs w:val="22"/>
        </w:rPr>
        <w:t>投标人自行登录工业和信息化部官网进行中小企业规模类型自测（查询网址https://www.miit.gov.cn/）。</w:t>
      </w:r>
    </w:p>
    <w:p w14:paraId="2E3A2C70">
      <w:pPr>
        <w:tabs>
          <w:tab w:val="left" w:pos="4620"/>
        </w:tabs>
        <w:spacing w:line="360" w:lineRule="auto"/>
        <w:ind w:firstLine="422" w:firstLineChars="200"/>
        <w:jc w:val="left"/>
        <w:rPr>
          <w:rFonts w:ascii="宋体" w:hAnsi="宋体"/>
          <w:b/>
          <w:bCs/>
          <w:szCs w:val="22"/>
        </w:rPr>
      </w:pPr>
      <w:r>
        <w:rPr>
          <w:rFonts w:ascii="宋体" w:hAnsi="宋体"/>
          <w:b/>
          <w:bCs/>
          <w:szCs w:val="22"/>
        </w:rPr>
        <w:t>3.上述“</w:t>
      </w:r>
      <w:r>
        <w:rPr>
          <w:rFonts w:ascii="宋体" w:hAnsi="宋体"/>
          <w:b/>
          <w:bCs/>
          <w:szCs w:val="22"/>
          <w:lang w:val="zh-CN"/>
        </w:rPr>
        <w:t>标的名称</w:t>
      </w:r>
      <w:r>
        <w:rPr>
          <w:rFonts w:ascii="宋体" w:hAnsi="宋体"/>
          <w:b/>
          <w:bCs/>
          <w:szCs w:val="22"/>
        </w:rPr>
        <w:t>”，详见第三章采购需求中明确的“</w:t>
      </w:r>
      <w:r>
        <w:rPr>
          <w:rFonts w:hint="eastAsia" w:ascii="宋体" w:hAnsi="宋体"/>
          <w:b/>
          <w:bCs/>
          <w:szCs w:val="22"/>
        </w:rPr>
        <w:t>标的名称</w:t>
      </w:r>
      <w:r>
        <w:rPr>
          <w:rFonts w:ascii="宋体" w:hAnsi="宋体"/>
          <w:b/>
          <w:bCs/>
          <w:szCs w:val="22"/>
        </w:rPr>
        <w:t>”。</w:t>
      </w:r>
    </w:p>
    <w:p w14:paraId="20D9512E">
      <w:pPr>
        <w:tabs>
          <w:tab w:val="left" w:pos="4620"/>
        </w:tabs>
        <w:spacing w:line="360" w:lineRule="auto"/>
        <w:ind w:firstLine="422" w:firstLineChars="200"/>
        <w:jc w:val="left"/>
        <w:rPr>
          <w:rFonts w:ascii="宋体" w:hAnsi="宋体"/>
          <w:b/>
          <w:bCs/>
          <w:szCs w:val="22"/>
        </w:rPr>
      </w:pPr>
      <w:r>
        <w:rPr>
          <w:rFonts w:ascii="宋体" w:hAnsi="宋体"/>
          <w:b/>
          <w:bCs/>
          <w:szCs w:val="22"/>
        </w:rPr>
        <w:t>4.上述“采购文件中明确的所属行业”，详见第三章采购需求中明确的“所属行业”。</w:t>
      </w:r>
    </w:p>
    <w:p w14:paraId="356755E9">
      <w:pPr>
        <w:tabs>
          <w:tab w:val="left" w:pos="4620"/>
        </w:tabs>
        <w:spacing w:line="360" w:lineRule="auto"/>
        <w:ind w:firstLine="422" w:firstLineChars="200"/>
        <w:jc w:val="left"/>
        <w:rPr>
          <w:rFonts w:ascii="宋体" w:hAnsi="宋体"/>
          <w:b/>
          <w:bCs/>
          <w:szCs w:val="22"/>
        </w:rPr>
      </w:pPr>
      <w:r>
        <w:rPr>
          <w:rFonts w:ascii="宋体" w:hAnsi="宋体"/>
          <w:b/>
          <w:bCs/>
          <w:szCs w:val="22"/>
        </w:rPr>
        <w:t>5．采用联合或合同分包方式的，供应商提供对应的《中小企业声明函》</w:t>
      </w:r>
      <w:r>
        <w:rPr>
          <w:rFonts w:ascii="宋体" w:hAnsi="宋体"/>
          <w:b/>
          <w:bCs/>
          <w:szCs w:val="22"/>
          <w:lang w:val="zh-CN"/>
        </w:rPr>
        <w:t>。</w:t>
      </w:r>
    </w:p>
    <w:p w14:paraId="0240DEA1">
      <w:pPr>
        <w:tabs>
          <w:tab w:val="left" w:pos="4620"/>
        </w:tabs>
        <w:spacing w:before="40" w:after="40" w:line="400" w:lineRule="exact"/>
        <w:rPr>
          <w:rFonts w:ascii="宋体" w:hAnsi="宋体"/>
          <w:szCs w:val="21"/>
          <w:u w:val="single"/>
        </w:rPr>
      </w:pPr>
      <w:r>
        <w:rPr>
          <w:rFonts w:ascii="宋体"/>
          <w:szCs w:val="21"/>
        </w:rPr>
        <w:br w:type="page"/>
      </w:r>
    </w:p>
    <w:p w14:paraId="39B493C1">
      <w:pPr>
        <w:spacing w:line="400" w:lineRule="exact"/>
        <w:jc w:val="center"/>
        <w:rPr>
          <w:rFonts w:ascii="宋体" w:hAnsi="宋体"/>
          <w:b/>
          <w:spacing w:val="6"/>
          <w:szCs w:val="21"/>
        </w:rPr>
      </w:pPr>
      <w:r>
        <w:rPr>
          <w:rFonts w:hint="eastAsia" w:ascii="宋体" w:hAnsi="宋体"/>
          <w:b/>
          <w:spacing w:val="6"/>
          <w:szCs w:val="21"/>
        </w:rPr>
        <w:t>残疾人福利性单位声明函</w:t>
      </w:r>
    </w:p>
    <w:p w14:paraId="0115CF15">
      <w:pPr>
        <w:spacing w:line="400" w:lineRule="exact"/>
        <w:jc w:val="center"/>
        <w:rPr>
          <w:rFonts w:ascii="宋体" w:hAnsi="宋体"/>
          <w:b/>
          <w:szCs w:val="21"/>
        </w:rPr>
      </w:pPr>
      <w:r>
        <w:rPr>
          <w:rFonts w:hint="eastAsia" w:ascii="宋体" w:hAnsi="宋体"/>
          <w:b/>
          <w:szCs w:val="21"/>
        </w:rPr>
        <w:t>（非残疾人福利性单位投标，不需此件）</w:t>
      </w:r>
    </w:p>
    <w:p w14:paraId="2BC374D5">
      <w:pPr>
        <w:spacing w:before="96" w:beforeLines="40" w:after="96" w:afterLines="40" w:line="400" w:lineRule="exact"/>
        <w:ind w:firstLine="444" w:firstLineChars="200"/>
        <w:rPr>
          <w:szCs w:val="21"/>
        </w:rPr>
      </w:pPr>
      <w:r>
        <w:rPr>
          <w:rFonts w:hint="eastAsia" w:ascii="宋体" w:hAnsi="宋体"/>
          <w:spacing w:val="6"/>
          <w:szCs w:val="21"/>
        </w:rPr>
        <w:t>本单位郑重声明，根据《财政部民政部中国残疾人联合会关于促进残疾人就业政府采购政策的通知》（财库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w:t>
      </w:r>
      <w:r>
        <w:rPr>
          <w:rFonts w:hint="eastAsia" w:ascii="宋体" w:hAnsi="宋体"/>
          <w:b/>
          <w:spacing w:val="6"/>
          <w:szCs w:val="21"/>
          <w:u w:val="single"/>
        </w:rPr>
        <w:t>某采购单位</w:t>
      </w:r>
      <w:r>
        <w:rPr>
          <w:rFonts w:hint="eastAsia" w:ascii="宋体" w:hAnsi="宋体"/>
          <w:spacing w:val="6"/>
          <w:szCs w:val="21"/>
        </w:rPr>
        <w:t>的</w:t>
      </w:r>
      <w:r>
        <w:rPr>
          <w:rFonts w:hint="eastAsia" w:ascii="宋体" w:hAnsi="宋体"/>
          <w:b/>
          <w:spacing w:val="6"/>
          <w:szCs w:val="21"/>
          <w:u w:val="single"/>
        </w:rPr>
        <w:t>某项目</w:t>
      </w:r>
      <w:r>
        <w:rPr>
          <w:rFonts w:hint="eastAsia" w:ascii="宋体" w:hAnsi="宋体"/>
          <w:spacing w:val="6"/>
          <w:szCs w:val="21"/>
        </w:rPr>
        <w:t>（项目编号：</w:t>
      </w:r>
      <w:r>
        <w:rPr>
          <w:rFonts w:hint="eastAsia" w:ascii="宋体" w:hAnsi="宋体"/>
          <w:b/>
          <w:spacing w:val="6"/>
          <w:szCs w:val="21"/>
          <w:u w:val="single"/>
        </w:rPr>
        <w:t>某编号</w:t>
      </w:r>
      <w:r>
        <w:rPr>
          <w:rFonts w:hint="eastAsia" w:ascii="宋体" w:hAnsi="宋体"/>
          <w:spacing w:val="6"/>
          <w:szCs w:val="21"/>
        </w:rPr>
        <w:t>）采购活动</w:t>
      </w:r>
      <w:r>
        <w:rPr>
          <w:szCs w:val="21"/>
        </w:rPr>
        <w:t>由本单位提供服务。</w:t>
      </w:r>
    </w:p>
    <w:p w14:paraId="18BB92AB">
      <w:pPr>
        <w:spacing w:before="96" w:beforeLines="40" w:after="96" w:afterLines="40" w:line="400" w:lineRule="exact"/>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63F4417E">
      <w:pPr>
        <w:spacing w:line="400" w:lineRule="exact"/>
        <w:ind w:firstLine="444" w:firstLineChars="200"/>
        <w:rPr>
          <w:rFonts w:ascii="宋体" w:hAnsi="宋体"/>
          <w:spacing w:val="6"/>
          <w:szCs w:val="21"/>
        </w:rPr>
      </w:pPr>
    </w:p>
    <w:p w14:paraId="1088E63F">
      <w:pPr>
        <w:spacing w:line="400" w:lineRule="exact"/>
        <w:ind w:firstLine="444" w:firstLineChars="200"/>
        <w:rPr>
          <w:rFonts w:ascii="宋体" w:hAnsi="宋体"/>
          <w:spacing w:val="6"/>
          <w:szCs w:val="21"/>
        </w:rPr>
      </w:pPr>
    </w:p>
    <w:p w14:paraId="751045E6">
      <w:pPr>
        <w:spacing w:before="96" w:beforeLines="40" w:after="96" w:afterLines="40" w:line="400" w:lineRule="exact"/>
        <w:ind w:firstLine="2520" w:firstLineChars="1200"/>
        <w:rPr>
          <w:rFonts w:ascii="宋体" w:hAnsi="宋体"/>
          <w:szCs w:val="21"/>
          <w:u w:val="single"/>
        </w:rPr>
      </w:pPr>
      <w:r>
        <w:rPr>
          <w:rFonts w:hint="eastAsia" w:ascii="宋体" w:hAnsi="宋体"/>
          <w:szCs w:val="21"/>
        </w:rPr>
        <w:t>投标供应商（盖章）：</w:t>
      </w:r>
    </w:p>
    <w:p w14:paraId="027ECC42">
      <w:pPr>
        <w:tabs>
          <w:tab w:val="left" w:pos="4620"/>
        </w:tabs>
        <w:spacing w:before="40" w:after="40" w:line="400" w:lineRule="exact"/>
        <w:ind w:firstLine="2520" w:firstLineChars="1200"/>
        <w:rPr>
          <w:rFonts w:ascii="宋体" w:hAnsi="宋体"/>
          <w:szCs w:val="21"/>
          <w:u w:val="single"/>
        </w:rPr>
      </w:pPr>
      <w:r>
        <w:rPr>
          <w:rFonts w:hint="eastAsia" w:ascii="宋体" w:hAnsi="宋体"/>
          <w:szCs w:val="21"/>
        </w:rPr>
        <w:t>日期：</w:t>
      </w:r>
    </w:p>
    <w:p w14:paraId="0C6B9D03">
      <w:pPr>
        <w:pStyle w:val="6"/>
        <w:rPr>
          <w:rFonts w:ascii="宋体" w:hAnsi="宋体"/>
          <w:szCs w:val="21"/>
          <w:u w:val="single"/>
        </w:rPr>
      </w:pPr>
    </w:p>
    <w:p w14:paraId="5F60E951">
      <w:pPr>
        <w:pStyle w:val="6"/>
        <w:rPr>
          <w:rFonts w:ascii="宋体" w:hAnsi="宋体"/>
          <w:szCs w:val="21"/>
          <w:u w:val="single"/>
        </w:rPr>
      </w:pPr>
    </w:p>
    <w:p w14:paraId="6F30A4EC">
      <w:pPr>
        <w:pStyle w:val="6"/>
        <w:rPr>
          <w:rFonts w:ascii="宋体" w:hAnsi="宋体"/>
          <w:szCs w:val="21"/>
          <w:u w:val="single"/>
        </w:rPr>
      </w:pPr>
    </w:p>
    <w:p w14:paraId="3C88D852">
      <w:pPr>
        <w:spacing w:line="400" w:lineRule="exact"/>
        <w:jc w:val="center"/>
        <w:rPr>
          <w:rFonts w:ascii="宋体" w:hAnsi="宋体"/>
          <w:b/>
          <w:spacing w:val="6"/>
          <w:szCs w:val="21"/>
        </w:rPr>
      </w:pPr>
      <w:r>
        <w:rPr>
          <w:rFonts w:hint="eastAsia" w:ascii="宋体" w:hAnsi="宋体"/>
          <w:b/>
          <w:spacing w:val="6"/>
          <w:szCs w:val="21"/>
        </w:rPr>
        <w:t>监狱企业证明</w:t>
      </w:r>
    </w:p>
    <w:p w14:paraId="346F5EAD">
      <w:pPr>
        <w:tabs>
          <w:tab w:val="left" w:pos="4620"/>
        </w:tabs>
        <w:spacing w:line="360" w:lineRule="auto"/>
        <w:jc w:val="center"/>
        <w:rPr>
          <w:rFonts w:ascii="宋体" w:hAnsi="宋体"/>
          <w:b/>
          <w:bCs/>
        </w:rPr>
      </w:pPr>
    </w:p>
    <w:p w14:paraId="2335B746">
      <w:pPr>
        <w:tabs>
          <w:tab w:val="left" w:pos="4620"/>
        </w:tabs>
        <w:spacing w:line="360" w:lineRule="auto"/>
        <w:jc w:val="center"/>
        <w:rPr>
          <w:rFonts w:ascii="Cambria" w:hAnsi="宋体"/>
          <w:b/>
          <w:bCs/>
          <w:kern w:val="0"/>
          <w:sz w:val="32"/>
          <w:szCs w:val="32"/>
        </w:rPr>
      </w:pPr>
      <w:r>
        <w:rPr>
          <w:rFonts w:hint="eastAsia" w:ascii="宋体" w:hAnsi="宋体"/>
          <w:b/>
          <w:bCs/>
        </w:rPr>
        <w:t>注：</w:t>
      </w:r>
      <w:r>
        <w:rPr>
          <w:rFonts w:hint="eastAsia" w:ascii="宋体" w:hAnsi="宋体"/>
        </w:rPr>
        <w:t>提供省级以上监狱管理局、戒毒管理局（含新疆生产建设兵团）出具的属于监狱企业的证明文件。</w:t>
      </w:r>
    </w:p>
    <w:p w14:paraId="1278B718">
      <w:pPr>
        <w:tabs>
          <w:tab w:val="left" w:pos="4620"/>
        </w:tabs>
        <w:spacing w:line="360" w:lineRule="auto"/>
        <w:jc w:val="center"/>
        <w:rPr>
          <w:rFonts w:ascii="Cambria" w:hAnsi="宋体"/>
          <w:b/>
          <w:bCs/>
          <w:kern w:val="0"/>
          <w:sz w:val="32"/>
          <w:szCs w:val="32"/>
        </w:rPr>
      </w:pPr>
    </w:p>
    <w:p w14:paraId="38D4654B">
      <w:pPr>
        <w:pStyle w:val="6"/>
        <w:rPr>
          <w:rFonts w:ascii="宋体" w:hAnsi="宋体"/>
          <w:szCs w:val="21"/>
          <w:u w:val="single"/>
        </w:rPr>
      </w:pPr>
    </w:p>
    <w:p w14:paraId="75CDB41D">
      <w:pPr>
        <w:pStyle w:val="6"/>
        <w:rPr>
          <w:rFonts w:ascii="宋体" w:hAnsi="宋体"/>
          <w:szCs w:val="21"/>
          <w:u w:val="single"/>
        </w:rPr>
      </w:pPr>
    </w:p>
    <w:p w14:paraId="2E27FD09">
      <w:pPr>
        <w:pStyle w:val="6"/>
        <w:rPr>
          <w:rFonts w:ascii="宋体" w:hAnsi="宋体"/>
          <w:szCs w:val="21"/>
          <w:u w:val="single"/>
        </w:rPr>
      </w:pPr>
    </w:p>
    <w:p w14:paraId="037BC081">
      <w:pPr>
        <w:pStyle w:val="6"/>
        <w:jc w:val="center"/>
        <w:rPr>
          <w:rFonts w:ascii="宋体" w:hAnsi="宋体" w:eastAsia="宋体"/>
          <w:b/>
          <w:sz w:val="24"/>
        </w:rPr>
      </w:pPr>
      <w:r>
        <w:rPr>
          <w:rFonts w:ascii="宋体" w:hAnsi="宋体"/>
          <w:szCs w:val="21"/>
          <w:u w:val="single"/>
        </w:rPr>
        <w:br w:type="page"/>
      </w:r>
      <w:bookmarkEnd w:id="1083"/>
      <w:bookmarkEnd w:id="1084"/>
      <w:bookmarkEnd w:id="1085"/>
      <w:r>
        <w:rPr>
          <w:rFonts w:hint="eastAsia" w:ascii="宋体" w:hAnsi="宋体" w:eastAsia="宋体"/>
          <w:b/>
          <w:bCs/>
          <w:kern w:val="0"/>
          <w:sz w:val="28"/>
          <w:szCs w:val="28"/>
        </w:rPr>
        <w:t>十、联合协议（如有）</w:t>
      </w:r>
    </w:p>
    <w:p w14:paraId="61A213F4">
      <w:pPr>
        <w:pStyle w:val="13"/>
        <w:spacing w:line="360" w:lineRule="auto"/>
        <w:rPr>
          <w:rFonts w:ascii="宋体" w:hAnsi="宋体" w:eastAsia="宋体"/>
          <w:sz w:val="24"/>
        </w:rPr>
      </w:pPr>
      <w:r>
        <w:rPr>
          <w:rFonts w:hint="eastAsia" w:ascii="宋体" w:hAnsi="宋体" w:eastAsia="宋体"/>
          <w:i/>
          <w:sz w:val="24"/>
        </w:rPr>
        <w:t>（不允许联合体投标或未组成联合体投标，不需此件，</w:t>
      </w:r>
      <w:r>
        <w:rPr>
          <w:rFonts w:hint="eastAsia" w:ascii="宋体" w:hAnsi="宋体" w:eastAsia="宋体" w:cs="@仿宋_GB2312"/>
          <w:i/>
          <w:iCs/>
          <w:sz w:val="24"/>
          <w:szCs w:val="18"/>
        </w:rPr>
        <w:t>请删去“联合协议”</w:t>
      </w:r>
      <w:r>
        <w:rPr>
          <w:rFonts w:hint="eastAsia" w:ascii="宋体" w:hAnsi="宋体" w:eastAsia="宋体"/>
          <w:i/>
          <w:sz w:val="24"/>
        </w:rPr>
        <w:t>；允许联合体投标且投标人为联合体投标的，请将此件制成扫描件上传，同时删去本提示内容）</w:t>
      </w:r>
    </w:p>
    <w:p w14:paraId="222491F1">
      <w:pPr>
        <w:spacing w:line="360" w:lineRule="auto"/>
        <w:ind w:firstLine="435"/>
        <w:rPr>
          <w:rFonts w:ascii="宋体" w:hAnsi="宋体"/>
          <w:sz w:val="24"/>
          <w:u w:val="single"/>
        </w:rPr>
      </w:pPr>
      <w:r>
        <w:rPr>
          <w:rFonts w:hint="eastAsia" w:ascii="宋体" w:hAnsi="宋体"/>
          <w:sz w:val="24"/>
        </w:rPr>
        <w:t>联合体成员一名称：；</w:t>
      </w:r>
    </w:p>
    <w:p w14:paraId="78F7E825">
      <w:pPr>
        <w:spacing w:line="360" w:lineRule="auto"/>
        <w:ind w:firstLine="435"/>
        <w:rPr>
          <w:rFonts w:ascii="宋体" w:hAnsi="宋体"/>
          <w:sz w:val="24"/>
          <w:u w:val="single"/>
        </w:rPr>
      </w:pPr>
      <w:r>
        <w:rPr>
          <w:rFonts w:hint="eastAsia" w:ascii="宋体" w:hAnsi="宋体"/>
          <w:sz w:val="24"/>
        </w:rPr>
        <w:t>联合体成员二名称：；</w:t>
      </w:r>
    </w:p>
    <w:p w14:paraId="3471DF32">
      <w:pPr>
        <w:spacing w:line="360" w:lineRule="auto"/>
        <w:ind w:firstLine="435"/>
        <w:rPr>
          <w:rFonts w:ascii="宋体" w:hAnsi="宋体"/>
          <w:sz w:val="24"/>
        </w:rPr>
      </w:pPr>
      <w:r>
        <w:rPr>
          <w:rFonts w:hint="eastAsia" w:ascii="宋体" w:hAnsi="宋体"/>
          <w:sz w:val="24"/>
        </w:rPr>
        <w:t>……</w:t>
      </w:r>
    </w:p>
    <w:p w14:paraId="7D9128EA">
      <w:pPr>
        <w:spacing w:line="360" w:lineRule="auto"/>
        <w:ind w:firstLine="435"/>
        <w:rPr>
          <w:rFonts w:ascii="宋体" w:hAnsi="宋体"/>
          <w:sz w:val="24"/>
        </w:rPr>
      </w:pPr>
      <w:r>
        <w:rPr>
          <w:rFonts w:hint="eastAsia" w:ascii="宋体" w:hAnsi="宋体"/>
          <w:sz w:val="24"/>
        </w:rPr>
        <w:t>上述各成员单位经过友好协商，自愿组成</w:t>
      </w:r>
      <w:r>
        <w:rPr>
          <w:rFonts w:ascii="宋体" w:hAnsi="宋体"/>
          <w:sz w:val="24"/>
        </w:rPr>
        <w:t>联合体，共同参加</w:t>
      </w:r>
      <w:r>
        <w:rPr>
          <w:rFonts w:hint="eastAsia" w:ascii="宋体" w:hAnsi="宋体"/>
          <w:sz w:val="24"/>
        </w:rPr>
        <w:t>本项目的投标，</w:t>
      </w:r>
      <w:r>
        <w:rPr>
          <w:rFonts w:ascii="宋体" w:hAnsi="宋体"/>
          <w:sz w:val="24"/>
        </w:rPr>
        <w:t>现就联合体投标事宜订立如下协议：</w:t>
      </w:r>
    </w:p>
    <w:p w14:paraId="2055D97C">
      <w:pPr>
        <w:spacing w:line="360" w:lineRule="auto"/>
        <w:ind w:firstLine="435"/>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（成员单位名称）为联合体牵头人。</w:t>
      </w:r>
    </w:p>
    <w:p w14:paraId="1C397124">
      <w:pPr>
        <w:spacing w:line="360" w:lineRule="auto"/>
        <w:ind w:firstLine="435"/>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3B603D9C">
      <w:pPr>
        <w:spacing w:line="360" w:lineRule="auto"/>
        <w:ind w:firstLine="435"/>
        <w:rPr>
          <w:rFonts w:ascii="宋体" w:hAnsi="宋体"/>
          <w:sz w:val="24"/>
        </w:rPr>
      </w:pPr>
      <w:r>
        <w:rPr>
          <w:rFonts w:hint="eastAsia" w:ascii="宋体" w:hAnsi="宋体"/>
          <w:sz w:val="24"/>
        </w:rPr>
        <w:t>3</w:t>
      </w:r>
      <w:r>
        <w:rPr>
          <w:rFonts w:ascii="宋体" w:hAnsi="宋体"/>
          <w:sz w:val="24"/>
        </w:rPr>
        <w:t>.联合体各成员单位内部的职责分工</w:t>
      </w:r>
      <w:r>
        <w:rPr>
          <w:rFonts w:hint="eastAsia" w:ascii="宋体" w:hAnsi="宋体"/>
          <w:sz w:val="24"/>
        </w:rPr>
        <w:t>及各方负责内容的合同金额占总合同金额的百分比</w:t>
      </w:r>
      <w:r>
        <w:rPr>
          <w:rFonts w:ascii="宋体" w:hAnsi="宋体"/>
          <w:sz w:val="24"/>
        </w:rPr>
        <w:t>如下：</w:t>
      </w:r>
    </w:p>
    <w:p w14:paraId="2FE97E20">
      <w:pPr>
        <w:spacing w:line="360" w:lineRule="auto"/>
        <w:ind w:firstLine="435"/>
        <w:rPr>
          <w:rFonts w:ascii="宋体" w:hAnsi="宋体"/>
          <w:sz w:val="24"/>
          <w:u w:val="single"/>
        </w:rPr>
      </w:pPr>
      <w:r>
        <w:rPr>
          <w:rFonts w:hint="eastAsia" w:ascii="宋体" w:hAnsi="宋体"/>
          <w:sz w:val="24"/>
        </w:rPr>
        <w:t>联合体成员一名称：，承担工作，负责内容的合同金额占总合同金额的百分比：%；</w:t>
      </w:r>
    </w:p>
    <w:p w14:paraId="18F901D5">
      <w:pPr>
        <w:spacing w:line="360" w:lineRule="auto"/>
        <w:ind w:firstLine="435"/>
        <w:rPr>
          <w:rFonts w:ascii="宋体" w:hAnsi="宋体"/>
          <w:sz w:val="24"/>
          <w:u w:val="single"/>
        </w:rPr>
      </w:pPr>
      <w:r>
        <w:rPr>
          <w:rFonts w:hint="eastAsia" w:ascii="宋体" w:hAnsi="宋体"/>
          <w:sz w:val="24"/>
        </w:rPr>
        <w:t>联合体成员二名称：，承担工作，负责内容的合同金额占总合同金额的百分比：%；</w:t>
      </w:r>
    </w:p>
    <w:p w14:paraId="233C8544">
      <w:pPr>
        <w:spacing w:line="360" w:lineRule="auto"/>
        <w:ind w:firstLine="435"/>
        <w:rPr>
          <w:rFonts w:ascii="宋体" w:hAnsi="宋体"/>
          <w:sz w:val="24"/>
          <w:u w:val="single"/>
        </w:rPr>
      </w:pPr>
      <w:r>
        <w:rPr>
          <w:rFonts w:hint="eastAsia" w:ascii="宋体" w:hAnsi="宋体"/>
          <w:sz w:val="24"/>
        </w:rPr>
        <w:t>…………</w:t>
      </w:r>
    </w:p>
    <w:p w14:paraId="7A7FB197">
      <w:pPr>
        <w:spacing w:line="360" w:lineRule="auto"/>
        <w:ind w:firstLine="435"/>
        <w:rPr>
          <w:rFonts w:ascii="宋体" w:hAnsi="宋体"/>
          <w:sz w:val="24"/>
        </w:rPr>
      </w:pPr>
      <w:r>
        <w:rPr>
          <w:rFonts w:ascii="宋体" w:hAnsi="宋体"/>
          <w:sz w:val="24"/>
        </w:rPr>
        <w:t>4．投标工作和联合体在中标后</w:t>
      </w:r>
      <w:r>
        <w:rPr>
          <w:rFonts w:hint="eastAsia" w:ascii="宋体" w:hAnsi="宋体"/>
          <w:sz w:val="24"/>
        </w:rPr>
        <w:t>项目</w:t>
      </w:r>
      <w:r>
        <w:rPr>
          <w:rFonts w:ascii="宋体" w:hAnsi="宋体"/>
          <w:sz w:val="24"/>
        </w:rPr>
        <w:t>实施过程中的有关费用按各自承担的工作量分摊。</w:t>
      </w:r>
    </w:p>
    <w:p w14:paraId="7851DB0B">
      <w:pPr>
        <w:spacing w:line="360" w:lineRule="auto"/>
        <w:ind w:firstLine="435"/>
        <w:rPr>
          <w:rFonts w:ascii="宋体" w:hAnsi="宋体"/>
          <w:sz w:val="24"/>
        </w:rPr>
      </w:pPr>
      <w:r>
        <w:rPr>
          <w:rFonts w:ascii="宋体" w:hAnsi="宋体"/>
          <w:sz w:val="24"/>
        </w:rPr>
        <w:t>5．联合体中标后，本联合协议是合同的附件，对联合体各成员单位有合同约束力。</w:t>
      </w:r>
    </w:p>
    <w:p w14:paraId="50A2F3EA">
      <w:pPr>
        <w:spacing w:line="360" w:lineRule="auto"/>
        <w:ind w:firstLine="435"/>
        <w:rPr>
          <w:rFonts w:ascii="宋体" w:hAnsi="宋体"/>
          <w:sz w:val="24"/>
        </w:rPr>
      </w:pPr>
      <w:r>
        <w:rPr>
          <w:rFonts w:ascii="宋体" w:hAnsi="宋体"/>
          <w:sz w:val="24"/>
        </w:rPr>
        <w:t>6．本协议书自签署之日起生效，联合体未中标或者合同履行完毕后自动失效。</w:t>
      </w:r>
    </w:p>
    <w:p w14:paraId="74495555">
      <w:pPr>
        <w:spacing w:line="360" w:lineRule="auto"/>
        <w:ind w:firstLine="435"/>
        <w:rPr>
          <w:rFonts w:ascii="宋体" w:hAnsi="宋体"/>
          <w:sz w:val="24"/>
        </w:rPr>
      </w:pPr>
      <w:r>
        <w:rPr>
          <w:rFonts w:hint="eastAsia" w:ascii="宋体" w:hAnsi="宋体"/>
          <w:sz w:val="24"/>
        </w:rPr>
        <w:t>联合体成员一：（公章）</w:t>
      </w:r>
    </w:p>
    <w:p w14:paraId="66731CF7">
      <w:pPr>
        <w:spacing w:line="360" w:lineRule="auto"/>
        <w:ind w:firstLine="435"/>
        <w:rPr>
          <w:rFonts w:ascii="宋体" w:hAnsi="宋体"/>
          <w:sz w:val="24"/>
        </w:rPr>
      </w:pPr>
      <w:r>
        <w:rPr>
          <w:rFonts w:hint="eastAsia" w:ascii="宋体" w:hAnsi="宋体"/>
          <w:sz w:val="24"/>
        </w:rPr>
        <w:t>法定代表人：（签字或盖章）</w:t>
      </w:r>
    </w:p>
    <w:p w14:paraId="680F55C5">
      <w:pPr>
        <w:spacing w:line="360" w:lineRule="auto"/>
        <w:ind w:firstLine="435"/>
        <w:rPr>
          <w:rFonts w:ascii="宋体" w:hAnsi="宋体"/>
          <w:sz w:val="24"/>
        </w:rPr>
      </w:pPr>
      <w:r>
        <w:rPr>
          <w:rFonts w:hint="eastAsia" w:ascii="宋体" w:hAnsi="宋体"/>
          <w:sz w:val="24"/>
        </w:rPr>
        <w:t>联合体成员二：（公章）</w:t>
      </w:r>
    </w:p>
    <w:p w14:paraId="16243716">
      <w:pPr>
        <w:spacing w:line="360" w:lineRule="auto"/>
        <w:ind w:firstLine="435"/>
        <w:rPr>
          <w:rFonts w:ascii="宋体" w:hAnsi="宋体"/>
          <w:sz w:val="24"/>
        </w:rPr>
      </w:pPr>
      <w:r>
        <w:rPr>
          <w:rFonts w:hint="eastAsia" w:ascii="宋体" w:hAnsi="宋体"/>
          <w:sz w:val="24"/>
        </w:rPr>
        <w:t>法定代表人：（签字或盖章）</w:t>
      </w:r>
    </w:p>
    <w:p w14:paraId="2423FFB6">
      <w:pPr>
        <w:spacing w:line="360" w:lineRule="auto"/>
        <w:ind w:firstLine="435"/>
        <w:rPr>
          <w:rFonts w:ascii="宋体" w:hAnsi="宋体"/>
          <w:sz w:val="24"/>
        </w:rPr>
      </w:pPr>
      <w:r>
        <w:rPr>
          <w:rFonts w:hint="eastAsia" w:ascii="宋体" w:hAnsi="宋体"/>
          <w:sz w:val="24"/>
        </w:rPr>
        <w:t>…………</w:t>
      </w:r>
    </w:p>
    <w:p w14:paraId="6C75A19F">
      <w:pPr>
        <w:spacing w:line="360" w:lineRule="auto"/>
        <w:ind w:right="480" w:firstLine="4680" w:firstLineChars="1950"/>
        <w:rPr>
          <w:rFonts w:ascii="宋体" w:hAnsi="宋体"/>
          <w:sz w:val="24"/>
        </w:rPr>
      </w:pPr>
      <w:r>
        <w:rPr>
          <w:rFonts w:hint="eastAsia" w:ascii="宋体" w:hAnsi="宋体"/>
          <w:sz w:val="24"/>
        </w:rPr>
        <w:t>签订日期:年月日</w:t>
      </w:r>
    </w:p>
    <w:p w14:paraId="24F6E5CE">
      <w:pPr>
        <w:rPr>
          <w:rFonts w:ascii="宋体" w:hAnsi="宋体"/>
          <w:sz w:val="28"/>
        </w:rPr>
      </w:pPr>
      <w:r>
        <w:rPr>
          <w:rFonts w:ascii="宋体" w:hAnsi="宋体"/>
          <w:sz w:val="28"/>
        </w:rPr>
        <w:br w:type="page"/>
      </w:r>
    </w:p>
    <w:p w14:paraId="4FAD75A9">
      <w:pPr>
        <w:spacing w:line="360" w:lineRule="auto"/>
        <w:jc w:val="center"/>
        <w:outlineLvl w:val="1"/>
        <w:rPr>
          <w:rFonts w:ascii="宋体" w:hAnsi="宋体"/>
          <w:b/>
          <w:bCs/>
          <w:kern w:val="0"/>
          <w:sz w:val="28"/>
          <w:szCs w:val="28"/>
        </w:rPr>
      </w:pPr>
      <w:bookmarkStart w:id="1087" w:name="_Toc32534"/>
      <w:r>
        <w:rPr>
          <w:rFonts w:hint="eastAsia" w:ascii="宋体" w:hAnsi="宋体"/>
          <w:b/>
          <w:bCs/>
          <w:kern w:val="0"/>
          <w:sz w:val="28"/>
          <w:szCs w:val="28"/>
        </w:rPr>
        <w:t>十一、拟分包情况说明及分包意向协议</w:t>
      </w:r>
      <w:bookmarkEnd w:id="1087"/>
    </w:p>
    <w:p w14:paraId="1FD0677C">
      <w:pPr>
        <w:pStyle w:val="6"/>
        <w:jc w:val="center"/>
        <w:rPr>
          <w:rFonts w:ascii="宋体" w:hAnsi="宋体" w:eastAsia="宋体" w:cs="@仿宋_GB2312"/>
          <w:i/>
          <w:iCs/>
          <w:sz w:val="24"/>
          <w:szCs w:val="18"/>
        </w:rPr>
      </w:pPr>
      <w:r>
        <w:rPr>
          <w:rFonts w:hint="eastAsia" w:ascii="宋体" w:hAnsi="宋体" w:eastAsia="宋体" w:cs="@仿宋_GB2312"/>
          <w:i/>
          <w:iCs/>
          <w:sz w:val="24"/>
          <w:szCs w:val="18"/>
        </w:rPr>
        <w:t>（</w:t>
      </w:r>
      <w:r>
        <w:rPr>
          <w:rFonts w:hint="eastAsia" w:ascii="宋体" w:hAnsi="宋体" w:eastAsia="宋体"/>
          <w:i/>
          <w:sz w:val="24"/>
        </w:rPr>
        <w:t>不允许合同分包或未采用合同分包的，</w:t>
      </w:r>
      <w:r>
        <w:rPr>
          <w:rFonts w:hint="eastAsia" w:ascii="宋体" w:hAnsi="宋体" w:eastAsia="宋体" w:cs="@仿宋_GB2312"/>
          <w:i/>
          <w:iCs/>
          <w:sz w:val="24"/>
          <w:szCs w:val="18"/>
        </w:rPr>
        <w:t>不需</w:t>
      </w:r>
      <w:r>
        <w:rPr>
          <w:rFonts w:hint="eastAsia" w:ascii="宋体" w:hAnsi="宋体" w:eastAsia="宋体"/>
          <w:i/>
          <w:sz w:val="24"/>
        </w:rPr>
        <w:t>此件，请删去“拟分包情况说明及分包意向协议”；允许合同分包且投标人采用合同分包的，请将此件制成扫描件上传，同时删去本提示内容）</w:t>
      </w:r>
    </w:p>
    <w:p w14:paraId="78A7C9D3">
      <w:pPr>
        <w:spacing w:line="360" w:lineRule="auto"/>
        <w:jc w:val="center"/>
        <w:outlineLvl w:val="2"/>
        <w:rPr>
          <w:rFonts w:ascii="宋体" w:hAnsi="宋体"/>
          <w:b/>
          <w:sz w:val="24"/>
        </w:rPr>
      </w:pPr>
      <w:r>
        <w:rPr>
          <w:rFonts w:hint="eastAsia" w:ascii="宋体" w:hAnsi="宋体"/>
          <w:b/>
          <w:sz w:val="24"/>
        </w:rPr>
        <w:t>（一）拟分包情况说明</w:t>
      </w:r>
    </w:p>
    <w:p w14:paraId="3EDA8923">
      <w:pPr>
        <w:pStyle w:val="9"/>
        <w:spacing w:line="360" w:lineRule="auto"/>
        <w:rPr>
          <w:rFonts w:hAnsi="宋体"/>
          <w:u w:val="single"/>
        </w:rPr>
      </w:pPr>
      <w:r>
        <w:rPr>
          <w:rFonts w:hint="eastAsia" w:hAnsi="宋体"/>
        </w:rPr>
        <w:t>致：采购人</w:t>
      </w:r>
    </w:p>
    <w:p w14:paraId="1ABAEEF2">
      <w:pPr>
        <w:pStyle w:val="6"/>
        <w:spacing w:before="181" w:line="359" w:lineRule="auto"/>
        <w:ind w:left="9" w:right="54" w:firstLine="481"/>
        <w:rPr>
          <w:rFonts w:ascii="宋体" w:hAnsi="宋体" w:eastAsia="宋体" w:cs="宋体"/>
          <w:sz w:val="24"/>
        </w:rPr>
      </w:pPr>
      <w:r>
        <w:rPr>
          <w:rFonts w:hint="eastAsia" w:ascii="宋体" w:hAnsi="宋体" w:eastAsia="宋体" w:cs="宋体"/>
          <w:spacing w:val="-3"/>
          <w:sz w:val="24"/>
        </w:rPr>
        <w:t>我单位参加本项目</w:t>
      </w:r>
      <w:r>
        <w:rPr>
          <w:rFonts w:hint="eastAsia" w:ascii="宋体" w:hAnsi="宋体" w:eastAsia="宋体" w:cs="@仿宋_GB2312"/>
          <w:sz w:val="24"/>
          <w:szCs w:val="20"/>
        </w:rPr>
        <w:t>投标，拟签订分包合同的单位情况如下表所示，我单位承诺一旦在该项目中获得采购合同将按下表所列情况进行分包，同时承诺分包承担主体不再次分包。</w:t>
      </w:r>
    </w:p>
    <w:tbl>
      <w:tblPr>
        <w:tblStyle w:val="32"/>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61E64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2FB9608E">
            <w:pPr>
              <w:ind w:left="170" w:right="164"/>
              <w:jc w:val="center"/>
              <w:rPr>
                <w:rFonts w:ascii="宋体" w:hAnsi="宋体" w:cs="宋体"/>
                <w:spacing w:val="-4"/>
                <w:sz w:val="24"/>
              </w:rPr>
            </w:pPr>
            <w:r>
              <w:rPr>
                <w:rFonts w:hint="eastAsia" w:ascii="宋体" w:hAnsi="宋体" w:cs="宋体"/>
                <w:spacing w:val="-4"/>
                <w:sz w:val="24"/>
              </w:rPr>
              <w:t>序号</w:t>
            </w:r>
          </w:p>
        </w:tc>
        <w:tc>
          <w:tcPr>
            <w:tcW w:w="1286" w:type="dxa"/>
            <w:vAlign w:val="center"/>
          </w:tcPr>
          <w:p w14:paraId="4973A0AF">
            <w:pPr>
              <w:ind w:left="170" w:right="164"/>
              <w:jc w:val="center"/>
              <w:rPr>
                <w:rFonts w:ascii="宋体" w:hAnsi="宋体" w:cs="宋体"/>
                <w:spacing w:val="-4"/>
                <w:sz w:val="24"/>
              </w:rPr>
            </w:pPr>
            <w:r>
              <w:rPr>
                <w:rFonts w:hint="eastAsia" w:ascii="宋体" w:hAnsi="宋体" w:cs="宋体"/>
                <w:spacing w:val="-4"/>
                <w:sz w:val="24"/>
              </w:rPr>
              <w:t>分包承担主体名称</w:t>
            </w:r>
          </w:p>
        </w:tc>
        <w:tc>
          <w:tcPr>
            <w:tcW w:w="1684" w:type="dxa"/>
            <w:vAlign w:val="center"/>
          </w:tcPr>
          <w:p w14:paraId="3FA81FDF">
            <w:pPr>
              <w:ind w:left="170" w:right="164"/>
              <w:jc w:val="center"/>
              <w:rPr>
                <w:rFonts w:ascii="宋体" w:hAnsi="宋体" w:cs="宋体"/>
                <w:spacing w:val="-4"/>
                <w:sz w:val="24"/>
              </w:rPr>
            </w:pPr>
            <w:r>
              <w:rPr>
                <w:rFonts w:hint="eastAsia" w:ascii="宋体" w:hAnsi="宋体" w:cs="宋体"/>
                <w:spacing w:val="-4"/>
                <w:sz w:val="24"/>
              </w:rPr>
              <w:t>分包承担主体类型（选择）</w:t>
            </w:r>
          </w:p>
        </w:tc>
        <w:tc>
          <w:tcPr>
            <w:tcW w:w="1122" w:type="dxa"/>
            <w:vAlign w:val="center"/>
          </w:tcPr>
          <w:p w14:paraId="66A7EEA3">
            <w:pPr>
              <w:ind w:left="170" w:right="164"/>
              <w:jc w:val="center"/>
              <w:rPr>
                <w:rFonts w:ascii="宋体" w:hAnsi="宋体" w:cs="宋体"/>
                <w:spacing w:val="-4"/>
                <w:sz w:val="24"/>
              </w:rPr>
            </w:pPr>
            <w:r>
              <w:rPr>
                <w:rFonts w:hint="eastAsia" w:ascii="宋体" w:hAnsi="宋体" w:cs="宋体"/>
                <w:spacing w:val="-4"/>
                <w:sz w:val="24"/>
              </w:rPr>
              <w:t>资质等级</w:t>
            </w:r>
          </w:p>
        </w:tc>
        <w:tc>
          <w:tcPr>
            <w:tcW w:w="1390" w:type="dxa"/>
            <w:vAlign w:val="center"/>
          </w:tcPr>
          <w:p w14:paraId="45996971">
            <w:pPr>
              <w:ind w:left="170" w:right="164"/>
              <w:jc w:val="center"/>
              <w:rPr>
                <w:rFonts w:ascii="宋体" w:hAnsi="宋体" w:cs="宋体"/>
                <w:spacing w:val="-4"/>
                <w:sz w:val="24"/>
              </w:rPr>
            </w:pPr>
            <w:r>
              <w:rPr>
                <w:rFonts w:hint="eastAsia" w:ascii="宋体" w:hAnsi="宋体" w:cs="宋体"/>
                <w:spacing w:val="-4"/>
                <w:sz w:val="24"/>
              </w:rPr>
              <w:t>拟分包合同内容</w:t>
            </w:r>
          </w:p>
        </w:tc>
        <w:tc>
          <w:tcPr>
            <w:tcW w:w="1497" w:type="dxa"/>
            <w:vAlign w:val="center"/>
          </w:tcPr>
          <w:p w14:paraId="5CCB1AD5">
            <w:pPr>
              <w:ind w:left="170" w:right="164"/>
              <w:jc w:val="center"/>
              <w:rPr>
                <w:rFonts w:ascii="宋体" w:hAnsi="宋体" w:cs="宋体"/>
                <w:spacing w:val="-4"/>
                <w:sz w:val="24"/>
              </w:rPr>
            </w:pPr>
            <w:r>
              <w:rPr>
                <w:rFonts w:hint="eastAsia" w:ascii="宋体" w:hAnsi="宋体" w:cs="宋体"/>
                <w:spacing w:val="-4"/>
                <w:sz w:val="24"/>
              </w:rPr>
              <w:t>拟分包合同金额（人民币元）</w:t>
            </w:r>
          </w:p>
        </w:tc>
        <w:tc>
          <w:tcPr>
            <w:tcW w:w="1569" w:type="dxa"/>
            <w:vAlign w:val="center"/>
          </w:tcPr>
          <w:p w14:paraId="0E98CD04">
            <w:pPr>
              <w:ind w:left="170" w:right="164"/>
              <w:jc w:val="center"/>
              <w:rPr>
                <w:rFonts w:ascii="宋体" w:hAnsi="宋体" w:cs="宋体"/>
                <w:spacing w:val="-4"/>
                <w:sz w:val="24"/>
              </w:rPr>
            </w:pPr>
            <w:r>
              <w:rPr>
                <w:rFonts w:hint="eastAsia" w:ascii="宋体" w:hAnsi="宋体" w:cs="宋体"/>
                <w:spacing w:val="-4"/>
                <w:sz w:val="24"/>
              </w:rPr>
              <w:t>占合同金额的比例（%）</w:t>
            </w:r>
          </w:p>
        </w:tc>
      </w:tr>
      <w:tr w14:paraId="10226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672A9ED6">
            <w:pPr>
              <w:pStyle w:val="33"/>
              <w:spacing w:before="69" w:line="199" w:lineRule="auto"/>
              <w:jc w:val="center"/>
            </w:pPr>
            <w:r>
              <w:rPr>
                <w:rFonts w:hint="eastAsia"/>
              </w:rPr>
              <w:t>1</w:t>
            </w:r>
          </w:p>
        </w:tc>
        <w:tc>
          <w:tcPr>
            <w:tcW w:w="1286" w:type="dxa"/>
            <w:vAlign w:val="center"/>
          </w:tcPr>
          <w:p w14:paraId="3A703193">
            <w:pPr>
              <w:pStyle w:val="33"/>
            </w:pPr>
          </w:p>
        </w:tc>
        <w:tc>
          <w:tcPr>
            <w:tcW w:w="1684" w:type="dxa"/>
            <w:vAlign w:val="center"/>
          </w:tcPr>
          <w:p w14:paraId="410FE689">
            <w:pPr>
              <w:pStyle w:val="33"/>
              <w:spacing w:before="37" w:line="221" w:lineRule="auto"/>
              <w:ind w:left="134"/>
              <w:rPr>
                <w:lang w:eastAsia="zh-CN"/>
              </w:rPr>
            </w:pPr>
            <w:r>
              <w:rPr>
                <w:rFonts w:hint="eastAsia"/>
                <w:spacing w:val="11"/>
                <w:lang w:eastAsia="zh-CN"/>
              </w:rPr>
              <w:t>□中型企业</w:t>
            </w:r>
          </w:p>
          <w:p w14:paraId="2D25414A">
            <w:pPr>
              <w:pStyle w:val="33"/>
              <w:spacing w:before="22" w:line="223" w:lineRule="auto"/>
              <w:ind w:left="373" w:right="208" w:hanging="239"/>
              <w:rPr>
                <w:spacing w:val="11"/>
                <w:lang w:eastAsia="zh-CN"/>
              </w:rPr>
            </w:pPr>
            <w:r>
              <w:rPr>
                <w:rFonts w:hint="eastAsia"/>
                <w:spacing w:val="11"/>
                <w:lang w:eastAsia="zh-CN"/>
              </w:rPr>
              <w:t>□小微企业</w:t>
            </w:r>
          </w:p>
          <w:p w14:paraId="78370FDB">
            <w:pPr>
              <w:pStyle w:val="33"/>
              <w:spacing w:before="22" w:line="223" w:lineRule="auto"/>
              <w:ind w:left="373" w:right="208" w:hanging="239"/>
              <w:rPr>
                <w:lang w:eastAsia="zh-CN"/>
              </w:rPr>
            </w:pPr>
            <w:r>
              <w:rPr>
                <w:rFonts w:hint="eastAsia"/>
                <w:spacing w:val="19"/>
                <w:lang w:eastAsia="zh-CN"/>
              </w:rPr>
              <w:t>□其他</w:t>
            </w:r>
          </w:p>
        </w:tc>
        <w:tc>
          <w:tcPr>
            <w:tcW w:w="1122" w:type="dxa"/>
            <w:vAlign w:val="center"/>
          </w:tcPr>
          <w:p w14:paraId="01122ED6">
            <w:pPr>
              <w:pStyle w:val="33"/>
              <w:rPr>
                <w:lang w:eastAsia="zh-CN"/>
              </w:rPr>
            </w:pPr>
          </w:p>
        </w:tc>
        <w:tc>
          <w:tcPr>
            <w:tcW w:w="1390" w:type="dxa"/>
            <w:vAlign w:val="center"/>
          </w:tcPr>
          <w:p w14:paraId="17CA433A">
            <w:pPr>
              <w:pStyle w:val="33"/>
              <w:rPr>
                <w:lang w:eastAsia="zh-CN"/>
              </w:rPr>
            </w:pPr>
          </w:p>
        </w:tc>
        <w:tc>
          <w:tcPr>
            <w:tcW w:w="1497" w:type="dxa"/>
            <w:vAlign w:val="center"/>
          </w:tcPr>
          <w:p w14:paraId="4BF3D4B3">
            <w:pPr>
              <w:pStyle w:val="33"/>
              <w:rPr>
                <w:lang w:eastAsia="zh-CN"/>
              </w:rPr>
            </w:pPr>
          </w:p>
        </w:tc>
        <w:tc>
          <w:tcPr>
            <w:tcW w:w="1569" w:type="dxa"/>
            <w:vAlign w:val="center"/>
          </w:tcPr>
          <w:p w14:paraId="15B3AF24">
            <w:pPr>
              <w:pStyle w:val="33"/>
              <w:rPr>
                <w:lang w:eastAsia="zh-CN"/>
              </w:rPr>
            </w:pPr>
          </w:p>
        </w:tc>
      </w:tr>
      <w:tr w14:paraId="5E9C5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2D8C2B8D">
            <w:pPr>
              <w:pStyle w:val="33"/>
              <w:spacing w:before="69" w:line="201" w:lineRule="auto"/>
              <w:jc w:val="center"/>
            </w:pPr>
            <w:r>
              <w:rPr>
                <w:rFonts w:hint="eastAsia"/>
                <w:spacing w:val="1"/>
              </w:rPr>
              <w:t>2</w:t>
            </w:r>
          </w:p>
        </w:tc>
        <w:tc>
          <w:tcPr>
            <w:tcW w:w="1286" w:type="dxa"/>
            <w:vAlign w:val="center"/>
          </w:tcPr>
          <w:p w14:paraId="095581B0">
            <w:pPr>
              <w:pStyle w:val="33"/>
            </w:pPr>
          </w:p>
        </w:tc>
        <w:tc>
          <w:tcPr>
            <w:tcW w:w="1684" w:type="dxa"/>
            <w:vAlign w:val="center"/>
          </w:tcPr>
          <w:p w14:paraId="7A9A8670">
            <w:pPr>
              <w:pStyle w:val="33"/>
              <w:spacing w:before="38" w:line="221" w:lineRule="auto"/>
              <w:ind w:left="134"/>
              <w:rPr>
                <w:lang w:eastAsia="zh-CN"/>
              </w:rPr>
            </w:pPr>
            <w:r>
              <w:rPr>
                <w:rFonts w:hint="eastAsia"/>
                <w:spacing w:val="11"/>
                <w:lang w:eastAsia="zh-CN"/>
              </w:rPr>
              <w:t>□中型企业</w:t>
            </w:r>
          </w:p>
          <w:p w14:paraId="527DCE4F">
            <w:pPr>
              <w:pStyle w:val="33"/>
              <w:spacing w:before="25" w:line="222" w:lineRule="auto"/>
              <w:ind w:left="373" w:right="208" w:hanging="239"/>
              <w:rPr>
                <w:spacing w:val="11"/>
                <w:lang w:eastAsia="zh-CN"/>
              </w:rPr>
            </w:pPr>
            <w:r>
              <w:rPr>
                <w:rFonts w:hint="eastAsia"/>
                <w:spacing w:val="11"/>
                <w:lang w:eastAsia="zh-CN"/>
              </w:rPr>
              <w:t>□小微企业</w:t>
            </w:r>
          </w:p>
          <w:p w14:paraId="3511F4C4">
            <w:pPr>
              <w:pStyle w:val="33"/>
              <w:spacing w:before="25" w:line="222" w:lineRule="auto"/>
              <w:ind w:left="373" w:right="208" w:hanging="239"/>
              <w:rPr>
                <w:lang w:eastAsia="zh-CN"/>
              </w:rPr>
            </w:pPr>
            <w:r>
              <w:rPr>
                <w:rFonts w:hint="eastAsia"/>
                <w:spacing w:val="19"/>
                <w:lang w:eastAsia="zh-CN"/>
              </w:rPr>
              <w:t>□其他</w:t>
            </w:r>
          </w:p>
        </w:tc>
        <w:tc>
          <w:tcPr>
            <w:tcW w:w="1122" w:type="dxa"/>
            <w:vAlign w:val="center"/>
          </w:tcPr>
          <w:p w14:paraId="2DB7E70F">
            <w:pPr>
              <w:pStyle w:val="33"/>
              <w:rPr>
                <w:lang w:eastAsia="zh-CN"/>
              </w:rPr>
            </w:pPr>
          </w:p>
        </w:tc>
        <w:tc>
          <w:tcPr>
            <w:tcW w:w="1390" w:type="dxa"/>
            <w:vAlign w:val="center"/>
          </w:tcPr>
          <w:p w14:paraId="2F523BD3">
            <w:pPr>
              <w:pStyle w:val="33"/>
              <w:rPr>
                <w:lang w:eastAsia="zh-CN"/>
              </w:rPr>
            </w:pPr>
          </w:p>
        </w:tc>
        <w:tc>
          <w:tcPr>
            <w:tcW w:w="1497" w:type="dxa"/>
            <w:vAlign w:val="center"/>
          </w:tcPr>
          <w:p w14:paraId="1C1DB1D8">
            <w:pPr>
              <w:pStyle w:val="33"/>
              <w:rPr>
                <w:lang w:eastAsia="zh-CN"/>
              </w:rPr>
            </w:pPr>
          </w:p>
        </w:tc>
        <w:tc>
          <w:tcPr>
            <w:tcW w:w="1569" w:type="dxa"/>
            <w:vAlign w:val="center"/>
          </w:tcPr>
          <w:p w14:paraId="453E8906">
            <w:pPr>
              <w:pStyle w:val="33"/>
              <w:rPr>
                <w:lang w:eastAsia="zh-CN"/>
              </w:rPr>
            </w:pPr>
          </w:p>
        </w:tc>
      </w:tr>
      <w:tr w14:paraId="16D8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6615950C">
            <w:pPr>
              <w:pStyle w:val="33"/>
              <w:spacing w:before="69" w:line="81" w:lineRule="exact"/>
              <w:jc w:val="center"/>
            </w:pPr>
            <w:r>
              <w:rPr>
                <w:rFonts w:hint="eastAsia"/>
                <w:position w:val="1"/>
              </w:rPr>
              <w:t>…</w:t>
            </w:r>
          </w:p>
        </w:tc>
        <w:tc>
          <w:tcPr>
            <w:tcW w:w="1286" w:type="dxa"/>
            <w:vAlign w:val="center"/>
          </w:tcPr>
          <w:p w14:paraId="6BA7B90C">
            <w:pPr>
              <w:pStyle w:val="33"/>
            </w:pPr>
          </w:p>
        </w:tc>
        <w:tc>
          <w:tcPr>
            <w:tcW w:w="1684" w:type="dxa"/>
            <w:vAlign w:val="center"/>
          </w:tcPr>
          <w:p w14:paraId="48769D38">
            <w:pPr>
              <w:pStyle w:val="33"/>
            </w:pPr>
          </w:p>
        </w:tc>
        <w:tc>
          <w:tcPr>
            <w:tcW w:w="1122" w:type="dxa"/>
            <w:vAlign w:val="center"/>
          </w:tcPr>
          <w:p w14:paraId="46A4165C">
            <w:pPr>
              <w:pStyle w:val="33"/>
            </w:pPr>
          </w:p>
        </w:tc>
        <w:tc>
          <w:tcPr>
            <w:tcW w:w="1390" w:type="dxa"/>
            <w:vAlign w:val="center"/>
          </w:tcPr>
          <w:p w14:paraId="4048462A">
            <w:pPr>
              <w:pStyle w:val="33"/>
            </w:pPr>
          </w:p>
        </w:tc>
        <w:tc>
          <w:tcPr>
            <w:tcW w:w="1497" w:type="dxa"/>
            <w:vAlign w:val="center"/>
          </w:tcPr>
          <w:p w14:paraId="5C8E889F">
            <w:pPr>
              <w:pStyle w:val="33"/>
            </w:pPr>
          </w:p>
        </w:tc>
        <w:tc>
          <w:tcPr>
            <w:tcW w:w="1569" w:type="dxa"/>
            <w:vAlign w:val="center"/>
          </w:tcPr>
          <w:p w14:paraId="55B8875F">
            <w:pPr>
              <w:pStyle w:val="33"/>
            </w:pPr>
          </w:p>
        </w:tc>
      </w:tr>
      <w:tr w14:paraId="3E54E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209602B5">
            <w:pPr>
              <w:spacing w:before="193" w:line="222" w:lineRule="auto"/>
              <w:ind w:left="5170"/>
              <w:rPr>
                <w:rFonts w:ascii="宋体" w:hAnsi="宋体" w:cs="宋体"/>
                <w:sz w:val="24"/>
              </w:rPr>
            </w:pPr>
            <w:r>
              <w:rPr>
                <w:rFonts w:hint="eastAsia" w:ascii="宋体" w:hAnsi="宋体" w:cs="宋体"/>
                <w:spacing w:val="-15"/>
                <w:sz w:val="24"/>
              </w:rPr>
              <w:t>合计：</w:t>
            </w:r>
          </w:p>
        </w:tc>
        <w:tc>
          <w:tcPr>
            <w:tcW w:w="1497" w:type="dxa"/>
            <w:vAlign w:val="center"/>
          </w:tcPr>
          <w:p w14:paraId="72A6777E">
            <w:pPr>
              <w:pStyle w:val="33"/>
            </w:pPr>
          </w:p>
        </w:tc>
        <w:tc>
          <w:tcPr>
            <w:tcW w:w="1569" w:type="dxa"/>
            <w:vAlign w:val="center"/>
          </w:tcPr>
          <w:p w14:paraId="113584C6">
            <w:pPr>
              <w:pStyle w:val="33"/>
            </w:pPr>
          </w:p>
        </w:tc>
      </w:tr>
    </w:tbl>
    <w:p w14:paraId="1E98E90D">
      <w:pPr>
        <w:spacing w:line="272" w:lineRule="auto"/>
        <w:rPr>
          <w:rFonts w:ascii="宋体" w:hAnsi="宋体" w:cs="宋体"/>
        </w:rPr>
      </w:pPr>
    </w:p>
    <w:p w14:paraId="4D49DD3E">
      <w:pPr>
        <w:spacing w:line="360" w:lineRule="auto"/>
        <w:ind w:firstLine="4800" w:firstLineChars="2000"/>
        <w:rPr>
          <w:rFonts w:ascii="宋体" w:hAnsi="宋体"/>
          <w:sz w:val="24"/>
          <w:u w:val="single"/>
        </w:rPr>
      </w:pPr>
      <w:r>
        <w:rPr>
          <w:rFonts w:hint="eastAsia" w:ascii="宋体" w:hAnsi="宋体"/>
          <w:sz w:val="24"/>
        </w:rPr>
        <w:t>投标人电子签章：</w:t>
      </w:r>
    </w:p>
    <w:p w14:paraId="6BAAC93F">
      <w:pPr>
        <w:spacing w:line="360" w:lineRule="auto"/>
        <w:ind w:firstLine="4800" w:firstLineChars="2000"/>
        <w:rPr>
          <w:rFonts w:ascii="宋体" w:hAnsi="宋体"/>
          <w:sz w:val="24"/>
          <w:u w:val="single"/>
        </w:rPr>
      </w:pPr>
      <w:r>
        <w:rPr>
          <w:rFonts w:hint="eastAsia" w:ascii="宋体" w:hAnsi="宋体"/>
          <w:sz w:val="24"/>
        </w:rPr>
        <w:t>日期：</w:t>
      </w:r>
    </w:p>
    <w:p w14:paraId="11267302">
      <w:pPr>
        <w:pStyle w:val="6"/>
        <w:spacing w:before="1" w:line="224" w:lineRule="auto"/>
        <w:ind w:left="9"/>
        <w:rPr>
          <w:rFonts w:ascii="宋体" w:hAnsi="宋体" w:eastAsia="宋体" w:cs="宋体"/>
          <w:sz w:val="24"/>
        </w:rPr>
      </w:pPr>
      <w:r>
        <w:rPr>
          <w:rFonts w:hint="eastAsia" w:ascii="宋体" w:hAnsi="宋体" w:eastAsia="宋体" w:cs="宋体"/>
          <w:spacing w:val="-17"/>
          <w:sz w:val="24"/>
        </w:rPr>
        <w:t>注：</w:t>
      </w:r>
    </w:p>
    <w:p w14:paraId="3364157F">
      <w:pPr>
        <w:spacing w:line="360" w:lineRule="auto"/>
        <w:ind w:firstLine="435"/>
        <w:rPr>
          <w:rFonts w:ascii="宋体" w:hAnsi="宋体"/>
          <w:sz w:val="24"/>
        </w:rPr>
      </w:pPr>
      <w:r>
        <w:rPr>
          <w:rFonts w:hint="eastAsia" w:ascii="宋体" w:hAnsi="宋体"/>
          <w:sz w:val="24"/>
        </w:rPr>
        <w:t>1.拟分包情况说明仅需加盖投标人电子签章。</w:t>
      </w:r>
    </w:p>
    <w:p w14:paraId="034A3C73">
      <w:pPr>
        <w:spacing w:line="360" w:lineRule="auto"/>
        <w:ind w:firstLine="435"/>
        <w:rPr>
          <w:rFonts w:ascii="宋体" w:hAnsi="宋体"/>
          <w:sz w:val="24"/>
        </w:rPr>
      </w:pPr>
      <w:r>
        <w:rPr>
          <w:rFonts w:hint="eastAsia" w:ascii="宋体" w:hAnsi="宋体"/>
          <w:sz w:val="24"/>
        </w:rPr>
        <w:t>2.如招标文件载明本项目分包承担主体应具备的相应资质条件，则投标人须在本表中列明分包承担主体的资质等级，并后附材料扫描件或电子证照，否则</w:t>
      </w:r>
      <w:r>
        <w:rPr>
          <w:rFonts w:hint="eastAsia" w:ascii="宋体" w:hAnsi="宋体"/>
          <w:b/>
          <w:bCs/>
          <w:sz w:val="24"/>
        </w:rPr>
        <w:t>投标无效</w:t>
      </w:r>
      <w:r>
        <w:rPr>
          <w:rFonts w:hint="eastAsia" w:ascii="宋体" w:hAnsi="宋体"/>
          <w:sz w:val="24"/>
        </w:rPr>
        <w:t>。</w:t>
      </w:r>
    </w:p>
    <w:p w14:paraId="2D62970E">
      <w:pPr>
        <w:spacing w:line="220" w:lineRule="auto"/>
        <w:rPr>
          <w:rFonts w:ascii="宋体" w:hAnsi="宋体" w:cs="宋体"/>
          <w:sz w:val="24"/>
        </w:rPr>
        <w:sectPr>
          <w:headerReference r:id="rId7" w:type="default"/>
          <w:pgSz w:w="11907" w:h="16840"/>
          <w:pgMar w:top="1117" w:right="1078" w:bottom="1060" w:left="1700" w:header="510" w:footer="886" w:gutter="0"/>
          <w:cols w:space="720" w:num="1"/>
        </w:sectPr>
      </w:pPr>
    </w:p>
    <w:p w14:paraId="3721EFB9">
      <w:pPr>
        <w:spacing w:line="360" w:lineRule="auto"/>
        <w:jc w:val="center"/>
        <w:outlineLvl w:val="2"/>
        <w:rPr>
          <w:rFonts w:ascii="宋体" w:hAnsi="宋体"/>
          <w:b/>
          <w:sz w:val="24"/>
        </w:rPr>
      </w:pPr>
      <w:r>
        <w:rPr>
          <w:rFonts w:hint="eastAsia" w:ascii="宋体" w:hAnsi="宋体"/>
          <w:b/>
          <w:sz w:val="24"/>
        </w:rPr>
        <w:t>（二）分包意向协议</w:t>
      </w:r>
    </w:p>
    <w:p w14:paraId="4C7CDF3E">
      <w:pPr>
        <w:spacing w:line="360" w:lineRule="auto"/>
        <w:ind w:firstLine="435"/>
        <w:rPr>
          <w:rFonts w:ascii="宋体" w:hAnsi="宋体"/>
          <w:sz w:val="24"/>
          <w:u w:val="single"/>
        </w:rPr>
      </w:pPr>
      <w:r>
        <w:rPr>
          <w:rFonts w:hint="eastAsia" w:ascii="宋体" w:hAnsi="宋体"/>
          <w:sz w:val="24"/>
        </w:rPr>
        <w:t>投标人名称：；</w:t>
      </w:r>
    </w:p>
    <w:p w14:paraId="55F0AD72">
      <w:pPr>
        <w:spacing w:line="360" w:lineRule="auto"/>
        <w:ind w:firstLine="435"/>
        <w:rPr>
          <w:rFonts w:ascii="宋体" w:hAnsi="宋体"/>
          <w:sz w:val="24"/>
        </w:rPr>
      </w:pPr>
      <w:r>
        <w:rPr>
          <w:rFonts w:hint="eastAsia" w:ascii="宋体" w:hAnsi="宋体"/>
          <w:sz w:val="24"/>
        </w:rPr>
        <w:t>接受分包企业一名称：；</w:t>
      </w:r>
    </w:p>
    <w:p w14:paraId="14C16EC2">
      <w:pPr>
        <w:spacing w:line="360" w:lineRule="auto"/>
        <w:ind w:firstLine="435"/>
        <w:rPr>
          <w:rFonts w:ascii="宋体" w:hAnsi="宋体"/>
          <w:sz w:val="24"/>
        </w:rPr>
      </w:pPr>
      <w:r>
        <w:rPr>
          <w:rFonts w:hint="eastAsia" w:ascii="宋体" w:hAnsi="宋体"/>
          <w:sz w:val="24"/>
        </w:rPr>
        <w:t>接受分包企业二名称：；</w:t>
      </w:r>
    </w:p>
    <w:p w14:paraId="0D083B89">
      <w:pPr>
        <w:spacing w:line="360" w:lineRule="auto"/>
        <w:ind w:firstLine="435"/>
        <w:rPr>
          <w:rFonts w:ascii="宋体" w:hAnsi="宋体"/>
          <w:sz w:val="24"/>
        </w:rPr>
      </w:pPr>
      <w:r>
        <w:rPr>
          <w:rFonts w:hint="eastAsia" w:ascii="宋体" w:hAnsi="宋体"/>
          <w:sz w:val="24"/>
        </w:rPr>
        <w:t>…………</w:t>
      </w:r>
    </w:p>
    <w:p w14:paraId="48D5B652">
      <w:pPr>
        <w:spacing w:line="360" w:lineRule="auto"/>
        <w:ind w:firstLine="435"/>
        <w:rPr>
          <w:rFonts w:ascii="宋体" w:hAnsi="宋体"/>
          <w:sz w:val="24"/>
        </w:rPr>
      </w:pPr>
      <w:r>
        <w:rPr>
          <w:rFonts w:hint="eastAsia" w:ascii="宋体" w:hAnsi="宋体"/>
          <w:sz w:val="24"/>
        </w:rPr>
        <w:t>依据《政府采购促进中小企业发展管理办法》（财库〔2020〕46号）第八条规定，</w:t>
      </w:r>
      <w:r>
        <w:rPr>
          <w:rFonts w:ascii="宋体" w:hAnsi="宋体"/>
          <w:sz w:val="24"/>
        </w:rPr>
        <w:t>现就</w:t>
      </w:r>
      <w:r>
        <w:rPr>
          <w:rFonts w:hint="eastAsia" w:ascii="宋体" w:hAnsi="宋体"/>
          <w:sz w:val="24"/>
        </w:rPr>
        <w:t>分包意向</w:t>
      </w:r>
      <w:r>
        <w:rPr>
          <w:rFonts w:ascii="宋体" w:hAnsi="宋体"/>
          <w:sz w:val="24"/>
        </w:rPr>
        <w:t>事宜订立如下协议：</w:t>
      </w:r>
    </w:p>
    <w:p w14:paraId="14AF98A4">
      <w:pPr>
        <w:spacing w:line="360" w:lineRule="auto"/>
        <w:ind w:firstLine="435"/>
        <w:rPr>
          <w:rFonts w:ascii="宋体" w:hAnsi="宋体"/>
          <w:sz w:val="24"/>
        </w:rPr>
      </w:pPr>
      <w:r>
        <w:rPr>
          <w:rFonts w:hint="eastAsia" w:ascii="宋体" w:hAnsi="宋体"/>
          <w:sz w:val="24"/>
        </w:rPr>
        <w:t>1.本项目投标人为本项目总承包单位。</w:t>
      </w:r>
    </w:p>
    <w:p w14:paraId="52C58219">
      <w:pPr>
        <w:spacing w:line="360" w:lineRule="auto"/>
        <w:ind w:firstLine="435"/>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在本项目投标阶段，总承包单位负责投标项目的一切组织、协调工作，并授权代理人参加项目的投标，代理人在投标、开标、评标、合同签订过程中所签署的一切文件和处理与本次招标有关的一切事务，总承包单位与采购人签订本项目采购合同，分别与各分包企业签订分包合同，就本项目对采购人承担连带责任。</w:t>
      </w:r>
    </w:p>
    <w:p w14:paraId="5E771467">
      <w:pPr>
        <w:spacing w:line="360" w:lineRule="auto"/>
        <w:ind w:firstLine="435"/>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各</w:t>
      </w:r>
      <w:r>
        <w:rPr>
          <w:rFonts w:ascii="宋体" w:hAnsi="宋体"/>
          <w:sz w:val="24"/>
        </w:rPr>
        <w:t>单位内部的职责分工</w:t>
      </w:r>
      <w:r>
        <w:rPr>
          <w:rFonts w:hint="eastAsia" w:ascii="宋体" w:hAnsi="宋体"/>
          <w:sz w:val="24"/>
        </w:rPr>
        <w:t>及各方负责内容的合同金额占总合同金额的百分比</w:t>
      </w:r>
      <w:r>
        <w:rPr>
          <w:rFonts w:ascii="宋体" w:hAnsi="宋体"/>
          <w:sz w:val="24"/>
        </w:rPr>
        <w:t>如下：</w:t>
      </w:r>
    </w:p>
    <w:p w14:paraId="199DC130">
      <w:pPr>
        <w:spacing w:line="360" w:lineRule="auto"/>
        <w:ind w:firstLine="435"/>
        <w:rPr>
          <w:rFonts w:ascii="宋体" w:hAnsi="宋体"/>
          <w:sz w:val="24"/>
        </w:rPr>
      </w:pPr>
      <w:r>
        <w:rPr>
          <w:rFonts w:hint="eastAsia" w:ascii="宋体" w:hAnsi="宋体"/>
          <w:sz w:val="24"/>
        </w:rPr>
        <w:t>投标人名称：，承担工作，负责内容的合同金额为，占总合同金额的百分比：%；</w:t>
      </w:r>
    </w:p>
    <w:p w14:paraId="486289F1">
      <w:pPr>
        <w:spacing w:line="360" w:lineRule="auto"/>
        <w:ind w:firstLine="435"/>
        <w:rPr>
          <w:rFonts w:ascii="宋体" w:hAnsi="宋体"/>
          <w:sz w:val="24"/>
          <w:u w:val="single"/>
        </w:rPr>
      </w:pPr>
      <w:r>
        <w:rPr>
          <w:rFonts w:hint="eastAsia" w:ascii="宋体" w:hAnsi="宋体"/>
          <w:sz w:val="24"/>
        </w:rPr>
        <w:t>接受分包企业一名称：，承担工作；负责内容的合同金额为，占总合同金额的百分比：%；</w:t>
      </w:r>
    </w:p>
    <w:p w14:paraId="4B0229A7">
      <w:pPr>
        <w:spacing w:line="360" w:lineRule="auto"/>
        <w:ind w:firstLine="435"/>
        <w:rPr>
          <w:rFonts w:ascii="宋体" w:hAnsi="宋体"/>
          <w:sz w:val="24"/>
          <w:u w:val="single"/>
        </w:rPr>
      </w:pPr>
      <w:r>
        <w:rPr>
          <w:rFonts w:hint="eastAsia" w:ascii="宋体" w:hAnsi="宋体"/>
          <w:sz w:val="24"/>
        </w:rPr>
        <w:t>接受分包企业二名称：，承担工作，负责内容的合同金额为，占总合同金额的百分比：%；</w:t>
      </w:r>
    </w:p>
    <w:p w14:paraId="79CC90B3">
      <w:pPr>
        <w:spacing w:line="360" w:lineRule="auto"/>
        <w:ind w:firstLine="435"/>
        <w:rPr>
          <w:rFonts w:ascii="宋体" w:hAnsi="宋体"/>
          <w:sz w:val="24"/>
          <w:u w:val="single"/>
        </w:rPr>
      </w:pPr>
      <w:r>
        <w:rPr>
          <w:rFonts w:hint="eastAsia" w:ascii="宋体" w:hAnsi="宋体"/>
          <w:sz w:val="24"/>
        </w:rPr>
        <w:t>…………</w:t>
      </w:r>
    </w:p>
    <w:p w14:paraId="6F32DBC9">
      <w:pPr>
        <w:spacing w:line="360" w:lineRule="auto"/>
        <w:ind w:firstLine="435"/>
        <w:rPr>
          <w:rFonts w:ascii="宋体" w:hAnsi="宋体"/>
          <w:sz w:val="24"/>
        </w:rPr>
      </w:pPr>
      <w:r>
        <w:rPr>
          <w:rFonts w:ascii="宋体" w:hAnsi="宋体"/>
          <w:sz w:val="24"/>
        </w:rPr>
        <w:t>4</w:t>
      </w:r>
      <w:r>
        <w:rPr>
          <w:rFonts w:hint="eastAsia" w:ascii="宋体" w:hAnsi="宋体"/>
          <w:sz w:val="24"/>
        </w:rPr>
        <w:t>.</w:t>
      </w:r>
      <w:r>
        <w:rPr>
          <w:rFonts w:ascii="宋体" w:hAnsi="宋体"/>
          <w:sz w:val="24"/>
        </w:rPr>
        <w:t>中标后，本</w:t>
      </w:r>
      <w:r>
        <w:rPr>
          <w:rFonts w:hint="eastAsia" w:ascii="宋体" w:hAnsi="宋体"/>
          <w:sz w:val="24"/>
        </w:rPr>
        <w:t>分包意向</w:t>
      </w:r>
      <w:r>
        <w:rPr>
          <w:rFonts w:ascii="宋体" w:hAnsi="宋体"/>
          <w:sz w:val="24"/>
        </w:rPr>
        <w:t>协议是合同的附件，对</w:t>
      </w:r>
      <w:r>
        <w:rPr>
          <w:rFonts w:hint="eastAsia" w:ascii="宋体" w:hAnsi="宋体"/>
          <w:sz w:val="24"/>
        </w:rPr>
        <w:t>分包</w:t>
      </w:r>
      <w:r>
        <w:rPr>
          <w:rFonts w:ascii="宋体" w:hAnsi="宋体"/>
          <w:sz w:val="24"/>
        </w:rPr>
        <w:t>各成员单位有合同约束力。</w:t>
      </w:r>
    </w:p>
    <w:p w14:paraId="2159941E">
      <w:pPr>
        <w:spacing w:line="360" w:lineRule="auto"/>
        <w:ind w:firstLine="435"/>
        <w:rPr>
          <w:rFonts w:ascii="宋体" w:hAnsi="宋体"/>
          <w:sz w:val="24"/>
          <w:u w:val="single"/>
        </w:rPr>
      </w:pPr>
      <w:r>
        <w:rPr>
          <w:rFonts w:hint="eastAsia" w:ascii="宋体" w:hAnsi="宋体"/>
          <w:sz w:val="24"/>
        </w:rPr>
        <w:t>5.</w:t>
      </w:r>
      <w:r>
        <w:rPr>
          <w:rFonts w:ascii="宋体" w:hAnsi="宋体"/>
          <w:sz w:val="24"/>
        </w:rPr>
        <w:t>本协议书自签署之日起生效，未中标或者合同履行完毕后自动失效。</w:t>
      </w:r>
    </w:p>
    <w:p w14:paraId="428F5BE2">
      <w:pPr>
        <w:spacing w:line="360" w:lineRule="auto"/>
        <w:ind w:firstLine="435"/>
        <w:rPr>
          <w:rFonts w:ascii="宋体" w:hAnsi="宋体"/>
          <w:sz w:val="24"/>
        </w:rPr>
      </w:pPr>
      <w:r>
        <w:rPr>
          <w:rFonts w:hint="eastAsia" w:ascii="宋体" w:hAnsi="宋体"/>
          <w:sz w:val="24"/>
        </w:rPr>
        <w:t>6.接受分包的中小企业与总承包单位不存在直接控股、管理关系。</w:t>
      </w:r>
    </w:p>
    <w:p w14:paraId="139CCB83">
      <w:pPr>
        <w:pStyle w:val="6"/>
      </w:pPr>
    </w:p>
    <w:p w14:paraId="31666EAB">
      <w:pPr>
        <w:spacing w:line="360" w:lineRule="auto"/>
        <w:ind w:firstLine="435"/>
        <w:rPr>
          <w:rFonts w:ascii="宋体" w:hAnsi="宋体"/>
          <w:sz w:val="24"/>
        </w:rPr>
      </w:pPr>
      <w:r>
        <w:rPr>
          <w:rFonts w:hint="eastAsia" w:ascii="宋体" w:hAnsi="宋体"/>
          <w:sz w:val="24"/>
        </w:rPr>
        <w:t>投标人：（公章）</w:t>
      </w:r>
    </w:p>
    <w:p w14:paraId="24F4315A">
      <w:pPr>
        <w:spacing w:line="360" w:lineRule="auto"/>
        <w:ind w:firstLine="435"/>
        <w:rPr>
          <w:rFonts w:ascii="宋体" w:hAnsi="宋体"/>
          <w:sz w:val="24"/>
        </w:rPr>
      </w:pPr>
      <w:r>
        <w:rPr>
          <w:rFonts w:hint="eastAsia" w:ascii="宋体" w:hAnsi="宋体"/>
          <w:sz w:val="24"/>
        </w:rPr>
        <w:t>法定代表人：（签字或盖章）</w:t>
      </w:r>
    </w:p>
    <w:p w14:paraId="354858A2">
      <w:pPr>
        <w:spacing w:line="360" w:lineRule="auto"/>
        <w:ind w:firstLine="435"/>
        <w:rPr>
          <w:rFonts w:ascii="宋体" w:hAnsi="宋体"/>
          <w:sz w:val="24"/>
        </w:rPr>
      </w:pPr>
    </w:p>
    <w:p w14:paraId="6D3F664A">
      <w:pPr>
        <w:spacing w:line="360" w:lineRule="auto"/>
        <w:ind w:firstLine="435"/>
        <w:rPr>
          <w:rFonts w:ascii="宋体" w:hAnsi="宋体"/>
          <w:sz w:val="24"/>
        </w:rPr>
      </w:pPr>
      <w:r>
        <w:rPr>
          <w:rFonts w:hint="eastAsia" w:ascii="宋体" w:hAnsi="宋体"/>
          <w:sz w:val="24"/>
        </w:rPr>
        <w:t>接受分包企业一：（公章）</w:t>
      </w:r>
    </w:p>
    <w:p w14:paraId="006792CE">
      <w:pPr>
        <w:spacing w:line="360" w:lineRule="auto"/>
        <w:ind w:firstLine="435"/>
        <w:rPr>
          <w:rFonts w:ascii="宋体" w:hAnsi="宋体"/>
          <w:sz w:val="24"/>
        </w:rPr>
      </w:pPr>
      <w:r>
        <w:rPr>
          <w:rFonts w:hint="eastAsia" w:ascii="宋体" w:hAnsi="宋体"/>
          <w:sz w:val="24"/>
        </w:rPr>
        <w:t>法定代表人：（签字或盖章）</w:t>
      </w:r>
    </w:p>
    <w:p w14:paraId="44630517">
      <w:pPr>
        <w:spacing w:line="360" w:lineRule="auto"/>
        <w:ind w:firstLine="435"/>
        <w:rPr>
          <w:rFonts w:ascii="宋体" w:hAnsi="宋体"/>
          <w:sz w:val="24"/>
        </w:rPr>
      </w:pPr>
    </w:p>
    <w:p w14:paraId="7A4E4E82">
      <w:pPr>
        <w:spacing w:line="360" w:lineRule="auto"/>
        <w:ind w:firstLine="435"/>
        <w:rPr>
          <w:rFonts w:ascii="宋体" w:hAnsi="宋体"/>
          <w:sz w:val="24"/>
        </w:rPr>
      </w:pPr>
      <w:r>
        <w:rPr>
          <w:rFonts w:hint="eastAsia" w:ascii="宋体" w:hAnsi="宋体"/>
          <w:sz w:val="24"/>
        </w:rPr>
        <w:t>接受分包企业二：（公章）</w:t>
      </w:r>
    </w:p>
    <w:p w14:paraId="6C99E05F">
      <w:pPr>
        <w:spacing w:line="360" w:lineRule="auto"/>
        <w:ind w:firstLine="435"/>
        <w:rPr>
          <w:rFonts w:ascii="宋体" w:hAnsi="宋体"/>
          <w:sz w:val="24"/>
        </w:rPr>
      </w:pPr>
      <w:r>
        <w:rPr>
          <w:rFonts w:hint="eastAsia" w:ascii="宋体" w:hAnsi="宋体"/>
          <w:sz w:val="24"/>
        </w:rPr>
        <w:t>法定代表人：（签字或盖章）</w:t>
      </w:r>
    </w:p>
    <w:p w14:paraId="74DFD4E0">
      <w:pPr>
        <w:spacing w:line="360" w:lineRule="auto"/>
        <w:ind w:firstLine="435"/>
        <w:rPr>
          <w:rFonts w:ascii="宋体" w:hAnsi="宋体"/>
          <w:sz w:val="24"/>
        </w:rPr>
      </w:pPr>
      <w:r>
        <w:rPr>
          <w:rFonts w:hint="eastAsia" w:ascii="宋体" w:hAnsi="宋体"/>
          <w:sz w:val="24"/>
        </w:rPr>
        <w:t>…………</w:t>
      </w:r>
    </w:p>
    <w:p w14:paraId="48CF69AB">
      <w:pPr>
        <w:pStyle w:val="13"/>
        <w:spacing w:line="360" w:lineRule="auto"/>
        <w:rPr>
          <w:rFonts w:ascii="宋体" w:hAnsi="宋体" w:eastAsia="宋体"/>
          <w:sz w:val="24"/>
        </w:rPr>
      </w:pPr>
    </w:p>
    <w:p w14:paraId="423E28C4">
      <w:pPr>
        <w:spacing w:line="360" w:lineRule="auto"/>
        <w:ind w:right="480" w:firstLine="4680" w:firstLineChars="1950"/>
        <w:rPr>
          <w:rFonts w:ascii="宋体" w:hAnsi="宋体"/>
          <w:sz w:val="24"/>
        </w:rPr>
      </w:pPr>
      <w:r>
        <w:rPr>
          <w:rFonts w:hint="eastAsia" w:ascii="宋体" w:hAnsi="宋体"/>
          <w:sz w:val="24"/>
        </w:rPr>
        <w:t>签订日期:年月日</w:t>
      </w:r>
    </w:p>
    <w:p w14:paraId="3DF9A080">
      <w:pPr>
        <w:spacing w:line="360" w:lineRule="auto"/>
        <w:ind w:right="480" w:firstLine="4680" w:firstLineChars="1950"/>
        <w:rPr>
          <w:rFonts w:ascii="宋体" w:hAnsi="宋体"/>
          <w:sz w:val="24"/>
        </w:rPr>
      </w:pPr>
    </w:p>
    <w:p w14:paraId="221B3C6F">
      <w:pPr>
        <w:spacing w:line="360" w:lineRule="auto"/>
        <w:ind w:right="480" w:firstLine="5460" w:firstLineChars="1950"/>
        <w:rPr>
          <w:rFonts w:ascii="宋体" w:hAnsi="宋体"/>
          <w:sz w:val="28"/>
        </w:rPr>
      </w:pPr>
    </w:p>
    <w:p w14:paraId="128D253F">
      <w:pPr>
        <w:adjustRightInd w:val="0"/>
        <w:snapToGrid w:val="0"/>
        <w:spacing w:line="360" w:lineRule="auto"/>
        <w:rPr>
          <w:rFonts w:ascii="宋体" w:hAnsi="宋体"/>
          <w:b/>
          <w:bCs/>
          <w:sz w:val="24"/>
          <w:szCs w:val="28"/>
        </w:rPr>
      </w:pPr>
      <w:r>
        <w:rPr>
          <w:rFonts w:hint="eastAsia" w:ascii="宋体" w:hAnsi="宋体"/>
          <w:b/>
          <w:bCs/>
          <w:sz w:val="24"/>
          <w:szCs w:val="28"/>
        </w:rPr>
        <w:t>注：</w:t>
      </w:r>
    </w:p>
    <w:p w14:paraId="725E73E1">
      <w:pPr>
        <w:spacing w:line="360" w:lineRule="auto"/>
        <w:ind w:firstLine="435"/>
        <w:rPr>
          <w:rFonts w:ascii="宋体" w:hAnsi="宋体"/>
          <w:b/>
          <w:sz w:val="24"/>
        </w:rPr>
      </w:pPr>
      <w:r>
        <w:rPr>
          <w:rFonts w:hint="eastAsia" w:ascii="宋体" w:hAnsi="宋体"/>
          <w:b/>
          <w:sz w:val="24"/>
        </w:rPr>
        <w:t>分包意向协议中须约定向中小企业分包的项目内容及分包内容占合同金额比例。</w:t>
      </w:r>
    </w:p>
    <w:p w14:paraId="291A345A">
      <w:pPr>
        <w:tabs>
          <w:tab w:val="left" w:pos="4620"/>
        </w:tabs>
        <w:spacing w:line="360" w:lineRule="auto"/>
        <w:jc w:val="center"/>
        <w:outlineLvl w:val="1"/>
        <w:rPr>
          <w:rFonts w:ascii="Cambria" w:hAnsi="宋体"/>
          <w:b/>
          <w:bCs/>
          <w:kern w:val="0"/>
          <w:sz w:val="32"/>
          <w:szCs w:val="32"/>
        </w:rPr>
      </w:pPr>
      <w:r>
        <w:br w:type="page"/>
      </w:r>
      <w:bookmarkStart w:id="1088" w:name="_Toc10621"/>
      <w:bookmarkStart w:id="1089" w:name="_Toc342"/>
      <w:bookmarkStart w:id="1090" w:name="_Toc16822"/>
      <w:bookmarkStart w:id="1091" w:name="_Toc445554800"/>
      <w:bookmarkStart w:id="1092" w:name="_Toc19864"/>
      <w:bookmarkStart w:id="1093" w:name="_Toc445554792"/>
      <w:bookmarkStart w:id="1094" w:name="_Toc466024605"/>
      <w:bookmarkStart w:id="1095" w:name="_Toc466024595"/>
      <w:r>
        <w:rPr>
          <w:rFonts w:hint="eastAsia" w:ascii="Cambria" w:hAnsi="宋体"/>
          <w:b/>
          <w:bCs/>
          <w:kern w:val="0"/>
          <w:sz w:val="32"/>
          <w:szCs w:val="32"/>
        </w:rPr>
        <w:t>十二、</w:t>
      </w:r>
      <w:bookmarkEnd w:id="1088"/>
      <w:bookmarkEnd w:id="1089"/>
      <w:bookmarkEnd w:id="1090"/>
      <w:bookmarkEnd w:id="1091"/>
      <w:bookmarkEnd w:id="1092"/>
      <w:bookmarkEnd w:id="1093"/>
      <w:bookmarkEnd w:id="1094"/>
      <w:bookmarkEnd w:id="1095"/>
      <w:bookmarkStart w:id="1096" w:name="_Toc14434"/>
      <w:bookmarkStart w:id="1097" w:name="_Toc12435"/>
      <w:bookmarkStart w:id="1098" w:name="_Toc20908"/>
      <w:r>
        <w:rPr>
          <w:rFonts w:hint="eastAsia" w:ascii="Cambria" w:hAnsi="宋体"/>
          <w:b/>
          <w:bCs/>
          <w:kern w:val="0"/>
          <w:sz w:val="32"/>
          <w:szCs w:val="32"/>
        </w:rPr>
        <w:t>承诺函</w:t>
      </w:r>
      <w:bookmarkEnd w:id="1096"/>
      <w:bookmarkEnd w:id="1097"/>
      <w:bookmarkEnd w:id="1098"/>
    </w:p>
    <w:p w14:paraId="55548FE8">
      <w:pPr>
        <w:spacing w:before="96" w:beforeLines="40" w:after="96" w:afterLines="40" w:line="400" w:lineRule="exact"/>
        <w:rPr>
          <w:rFonts w:ascii="宋体" w:hAnsi="宋体"/>
          <w:spacing w:val="6"/>
          <w:szCs w:val="21"/>
        </w:rPr>
      </w:pPr>
      <w:r>
        <w:rPr>
          <w:rFonts w:ascii="宋体" w:hAnsi="宋体"/>
          <w:i/>
          <w:iCs/>
          <w:spacing w:val="20"/>
          <w:szCs w:val="21"/>
          <w:u w:val="single"/>
        </w:rPr>
        <w:t>（</w:t>
      </w:r>
      <w:r>
        <w:rPr>
          <w:rFonts w:hint="eastAsia" w:ascii="宋体" w:hAnsi="宋体"/>
          <w:i/>
          <w:iCs/>
          <w:spacing w:val="20"/>
          <w:szCs w:val="21"/>
          <w:u w:val="single"/>
        </w:rPr>
        <w:t>招标人名称</w:t>
      </w:r>
      <w:r>
        <w:rPr>
          <w:rFonts w:ascii="宋体" w:hAnsi="宋体"/>
          <w:i/>
          <w:iCs/>
          <w:spacing w:val="20"/>
          <w:szCs w:val="21"/>
          <w:u w:val="single"/>
        </w:rPr>
        <w:t>）</w:t>
      </w:r>
      <w:r>
        <w:rPr>
          <w:rFonts w:hint="eastAsia" w:ascii="宋体" w:hAnsi="宋体"/>
          <w:spacing w:val="6"/>
          <w:szCs w:val="21"/>
        </w:rPr>
        <w:t>：</w:t>
      </w:r>
    </w:p>
    <w:p w14:paraId="2D5C2720">
      <w:pPr>
        <w:spacing w:before="96" w:beforeLines="40" w:after="96" w:afterLines="40" w:line="400" w:lineRule="exact"/>
        <w:ind w:firstLine="444" w:firstLineChars="200"/>
        <w:rPr>
          <w:rFonts w:ascii="宋体" w:hAnsi="宋体"/>
          <w:spacing w:val="6"/>
          <w:szCs w:val="21"/>
        </w:rPr>
      </w:pPr>
      <w:r>
        <w:rPr>
          <w:rFonts w:hint="eastAsia" w:ascii="宋体" w:hAnsi="宋体"/>
          <w:spacing w:val="6"/>
          <w:szCs w:val="21"/>
        </w:rPr>
        <w:t>我单位承诺：本次投标所使用的产品、方法不侵犯他人的专利权、著作权等知识产权，保证采购人和使用单位在使用该产品或其任何一部分时免受第三方提出侵犯其专利权、商标权或工业产权的起诉。如果涉及侵权，则由我单位承担所有的法律和经济赔偿责任等。</w:t>
      </w:r>
    </w:p>
    <w:p w14:paraId="0949E8DD">
      <w:pPr>
        <w:spacing w:before="96" w:beforeLines="40" w:after="96" w:afterLines="40" w:line="400" w:lineRule="exact"/>
        <w:ind w:firstLine="444" w:firstLineChars="200"/>
        <w:rPr>
          <w:rFonts w:ascii="宋体" w:hAnsi="宋体"/>
          <w:spacing w:val="6"/>
          <w:szCs w:val="21"/>
        </w:rPr>
      </w:pPr>
      <w:r>
        <w:rPr>
          <w:rFonts w:hint="eastAsia" w:ascii="宋体" w:hAnsi="宋体"/>
          <w:spacing w:val="6"/>
          <w:szCs w:val="21"/>
        </w:rPr>
        <w:t>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14:paraId="4D13D31F">
      <w:pPr>
        <w:spacing w:before="96" w:beforeLines="40" w:after="96" w:afterLines="40" w:line="400" w:lineRule="exact"/>
        <w:ind w:firstLine="444" w:firstLineChars="200"/>
        <w:rPr>
          <w:rFonts w:ascii="宋体" w:hAnsi="宋体"/>
          <w:spacing w:val="6"/>
          <w:szCs w:val="21"/>
        </w:rPr>
      </w:pPr>
      <w:r>
        <w:rPr>
          <w:rFonts w:hint="eastAsia" w:ascii="宋体" w:hAnsi="宋体"/>
          <w:spacing w:val="6"/>
          <w:szCs w:val="21"/>
        </w:rPr>
        <w:t>本单位对上述承诺的真实性负责。如有虚假，将依法承担相应责任。</w:t>
      </w:r>
    </w:p>
    <w:p w14:paraId="17BC278D">
      <w:pPr>
        <w:spacing w:before="96" w:beforeLines="40" w:after="96" w:afterLines="40" w:line="400" w:lineRule="exact"/>
        <w:ind w:firstLine="444" w:firstLineChars="200"/>
        <w:rPr>
          <w:rFonts w:ascii="宋体" w:hAnsi="宋体"/>
          <w:spacing w:val="6"/>
          <w:szCs w:val="21"/>
        </w:rPr>
      </w:pPr>
    </w:p>
    <w:p w14:paraId="62BCEC6F">
      <w:pPr>
        <w:spacing w:before="96" w:beforeLines="40" w:after="96" w:afterLines="40" w:line="400" w:lineRule="exact"/>
        <w:ind w:firstLine="420" w:firstLineChars="200"/>
        <w:rPr>
          <w:rFonts w:ascii="宋体" w:hAnsi="宋体"/>
          <w:spacing w:val="6"/>
          <w:szCs w:val="21"/>
          <w:u w:val="single"/>
        </w:rPr>
      </w:pPr>
      <w:r>
        <w:rPr>
          <w:rFonts w:hint="eastAsia" w:ascii="宋体" w:hAnsi="宋体"/>
          <w:szCs w:val="21"/>
        </w:rPr>
        <w:t>投标供应商</w:t>
      </w:r>
      <w:r>
        <w:rPr>
          <w:rFonts w:hint="eastAsia" w:ascii="宋体" w:hAnsi="宋体"/>
          <w:spacing w:val="6"/>
          <w:szCs w:val="21"/>
        </w:rPr>
        <w:t>（盖章）：</w:t>
      </w:r>
    </w:p>
    <w:p w14:paraId="1FE91921">
      <w:pPr>
        <w:spacing w:before="96" w:beforeLines="40" w:after="96" w:afterLines="40" w:line="400" w:lineRule="exact"/>
        <w:ind w:firstLine="444" w:firstLineChars="200"/>
        <w:rPr>
          <w:rFonts w:ascii="宋体" w:hAnsi="宋体"/>
          <w:spacing w:val="6"/>
          <w:szCs w:val="21"/>
          <w:u w:val="single"/>
        </w:rPr>
      </w:pPr>
      <w:r>
        <w:rPr>
          <w:rFonts w:hint="eastAsia" w:ascii="宋体" w:hAnsi="宋体"/>
          <w:spacing w:val="6"/>
          <w:szCs w:val="21"/>
        </w:rPr>
        <w:t>日期：</w:t>
      </w:r>
    </w:p>
    <w:p w14:paraId="136B1ABE">
      <w:pPr>
        <w:jc w:val="center"/>
        <w:rPr>
          <w:rFonts w:ascii="宋体" w:hAnsi="宋体"/>
          <w:b/>
          <w:bCs/>
          <w:kern w:val="0"/>
          <w:sz w:val="32"/>
          <w:szCs w:val="32"/>
        </w:rPr>
      </w:pPr>
    </w:p>
    <w:p w14:paraId="53799513">
      <w:pPr>
        <w:jc w:val="center"/>
        <w:rPr>
          <w:rFonts w:ascii="宋体" w:hAnsi="宋体"/>
          <w:b/>
          <w:bCs/>
          <w:kern w:val="0"/>
          <w:sz w:val="32"/>
          <w:szCs w:val="32"/>
        </w:rPr>
      </w:pPr>
    </w:p>
    <w:p w14:paraId="62B800F9">
      <w:pPr>
        <w:jc w:val="center"/>
        <w:rPr>
          <w:rFonts w:hAnsi="宋体"/>
        </w:rPr>
      </w:pPr>
      <w:bookmarkStart w:id="1099" w:name="_Hlt519045798"/>
      <w:bookmarkEnd w:id="1099"/>
      <w:bookmarkStart w:id="1100" w:name="_Hlt533408409"/>
      <w:bookmarkEnd w:id="1100"/>
      <w:bookmarkStart w:id="1101" w:name="_Hlt533408916"/>
      <w:bookmarkEnd w:id="1101"/>
      <w:bookmarkStart w:id="1102" w:name="_Hlt533409360"/>
      <w:bookmarkEnd w:id="1102"/>
      <w:bookmarkStart w:id="1103" w:name="_Hlt509716873"/>
      <w:bookmarkEnd w:id="1103"/>
      <w:bookmarkStart w:id="1104" w:name="_Toc13198"/>
      <w:bookmarkStart w:id="1105" w:name="_Toc457768005"/>
      <w:bookmarkStart w:id="1106" w:name="_Toc21553"/>
      <w:bookmarkStart w:id="1107" w:name="_Toc1916828"/>
      <w:bookmarkStart w:id="1108" w:name="_Toc516969097"/>
      <w:bookmarkStart w:id="1109" w:name="_Toc29010"/>
      <w:bookmarkStart w:id="1110" w:name="_Toc3295931"/>
      <w:bookmarkStart w:id="1111" w:name="_Toc3215881"/>
      <w:bookmarkStart w:id="1112" w:name="_Toc197934563"/>
    </w:p>
    <w:p w14:paraId="5B88D1AE">
      <w:pPr>
        <w:jc w:val="center"/>
        <w:rPr>
          <w:rFonts w:hAnsi="宋体"/>
        </w:rPr>
      </w:pPr>
    </w:p>
    <w:p w14:paraId="01FAE866">
      <w:pPr>
        <w:jc w:val="center"/>
        <w:rPr>
          <w:rFonts w:hAnsi="宋体"/>
        </w:rPr>
      </w:pPr>
    </w:p>
    <w:p w14:paraId="1ED0DE7B">
      <w:pPr>
        <w:jc w:val="center"/>
        <w:outlineLvl w:val="1"/>
        <w:rPr>
          <w:rFonts w:hAnsi="宋体"/>
          <w:sz w:val="28"/>
        </w:rPr>
      </w:pPr>
      <w:r>
        <w:rPr>
          <w:rFonts w:hint="eastAsia"/>
          <w:b/>
          <w:sz w:val="32"/>
          <w:szCs w:val="32"/>
        </w:rPr>
        <w:t>十三、投标供应商综合情况简介</w:t>
      </w:r>
      <w:bookmarkEnd w:id="1104"/>
      <w:bookmarkEnd w:id="1105"/>
      <w:bookmarkEnd w:id="1106"/>
      <w:bookmarkEnd w:id="1107"/>
      <w:bookmarkEnd w:id="1108"/>
      <w:bookmarkEnd w:id="1109"/>
      <w:bookmarkEnd w:id="1110"/>
      <w:bookmarkEnd w:id="1111"/>
    </w:p>
    <w:p w14:paraId="16CBACA6">
      <w:pPr>
        <w:spacing w:before="96" w:beforeLines="40" w:after="96" w:afterLines="40" w:line="400" w:lineRule="exact"/>
        <w:jc w:val="center"/>
        <w:rPr>
          <w:rFonts w:ascii="宋体" w:hAnsi="宋体"/>
          <w:szCs w:val="21"/>
        </w:rPr>
      </w:pPr>
      <w:r>
        <w:rPr>
          <w:rFonts w:hint="eastAsia" w:ascii="宋体" w:hAnsi="宋体"/>
          <w:szCs w:val="21"/>
        </w:rPr>
        <w:t>(投标供应商可自行制作格式)</w:t>
      </w:r>
    </w:p>
    <w:p w14:paraId="4916F74E">
      <w:pPr>
        <w:spacing w:line="500" w:lineRule="exact"/>
        <w:jc w:val="center"/>
        <w:rPr>
          <w:rFonts w:ascii="宋体" w:hAnsi="宋体"/>
          <w:sz w:val="28"/>
        </w:rPr>
      </w:pPr>
    </w:p>
    <w:p w14:paraId="2E028629">
      <w:pPr>
        <w:spacing w:line="500" w:lineRule="exact"/>
        <w:jc w:val="center"/>
        <w:rPr>
          <w:rFonts w:ascii="宋体" w:hAnsi="宋体"/>
          <w:sz w:val="28"/>
        </w:rPr>
      </w:pPr>
    </w:p>
    <w:p w14:paraId="248E1B84">
      <w:pPr>
        <w:spacing w:line="500" w:lineRule="exact"/>
        <w:jc w:val="center"/>
        <w:rPr>
          <w:rFonts w:ascii="宋体" w:hAnsi="宋体"/>
          <w:sz w:val="28"/>
        </w:rPr>
      </w:pPr>
    </w:p>
    <w:p w14:paraId="6AB76A30">
      <w:pPr>
        <w:spacing w:line="500" w:lineRule="exact"/>
        <w:jc w:val="center"/>
        <w:rPr>
          <w:rFonts w:ascii="宋体" w:hAnsi="宋体"/>
          <w:sz w:val="28"/>
        </w:rPr>
      </w:pPr>
    </w:p>
    <w:bookmarkEnd w:id="1112"/>
    <w:p w14:paraId="303E2D0F">
      <w:pPr>
        <w:pStyle w:val="3"/>
        <w:spacing w:before="0" w:after="0" w:line="240" w:lineRule="auto"/>
        <w:jc w:val="center"/>
        <w:rPr>
          <w:rFonts w:hAnsi="宋体"/>
        </w:rPr>
      </w:pPr>
      <w:bookmarkStart w:id="1113" w:name="_Toc3295942"/>
      <w:bookmarkStart w:id="1114" w:name="_Toc457768017"/>
      <w:bookmarkStart w:id="1115" w:name="_Toc3215892"/>
      <w:bookmarkStart w:id="1116" w:name="_Toc1916839"/>
      <w:r>
        <w:rPr>
          <w:rFonts w:hAnsi="宋体"/>
          <w:sz w:val="28"/>
        </w:rPr>
        <w:br w:type="page"/>
      </w:r>
      <w:bookmarkEnd w:id="1113"/>
      <w:bookmarkEnd w:id="1114"/>
      <w:bookmarkEnd w:id="1115"/>
      <w:bookmarkEnd w:id="1116"/>
      <w:bookmarkStart w:id="1117" w:name="_Toc3295947"/>
      <w:bookmarkStart w:id="1118" w:name="_Toc3215897"/>
      <w:bookmarkStart w:id="1119" w:name="_Toc457768022"/>
      <w:bookmarkStart w:id="1120" w:name="_Toc1916845"/>
      <w:bookmarkStart w:id="1121" w:name="_Toc220232402"/>
      <w:bookmarkStart w:id="1122" w:name="_Toc18119"/>
      <w:bookmarkStart w:id="1123" w:name="_Toc15308"/>
      <w:bookmarkStart w:id="1124" w:name="_Toc516969105"/>
      <w:bookmarkStart w:id="1125" w:name="_Toc13381"/>
      <w:r>
        <w:rPr>
          <w:rFonts w:hint="eastAsia" w:hAnsi="宋体"/>
        </w:rPr>
        <w:t>十四、有关证明文件</w:t>
      </w:r>
      <w:bookmarkEnd w:id="1117"/>
      <w:bookmarkEnd w:id="1118"/>
      <w:bookmarkEnd w:id="1119"/>
      <w:bookmarkEnd w:id="1120"/>
      <w:bookmarkEnd w:id="1121"/>
      <w:bookmarkEnd w:id="1122"/>
      <w:bookmarkEnd w:id="1123"/>
      <w:bookmarkEnd w:id="1124"/>
      <w:bookmarkEnd w:id="1125"/>
    </w:p>
    <w:p w14:paraId="75814DB7">
      <w:pPr>
        <w:tabs>
          <w:tab w:val="left" w:pos="4620"/>
        </w:tabs>
        <w:spacing w:before="96" w:beforeLines="40" w:after="96" w:afterLines="40" w:line="400" w:lineRule="exact"/>
        <w:ind w:firstLine="422" w:firstLineChars="200"/>
        <w:jc w:val="left"/>
        <w:rPr>
          <w:rFonts w:ascii="宋体" w:hAnsi="宋体"/>
          <w:b/>
          <w:bCs/>
          <w:szCs w:val="21"/>
        </w:rPr>
      </w:pPr>
    </w:p>
    <w:p w14:paraId="091C062B">
      <w:pPr>
        <w:tabs>
          <w:tab w:val="left" w:pos="4620"/>
        </w:tabs>
        <w:spacing w:before="96" w:beforeLines="40" w:after="96" w:afterLines="40" w:line="400" w:lineRule="exact"/>
        <w:ind w:firstLine="422" w:firstLineChars="200"/>
        <w:jc w:val="left"/>
        <w:rPr>
          <w:rFonts w:ascii="宋体" w:hAnsi="宋体"/>
          <w:b/>
          <w:bCs/>
          <w:szCs w:val="21"/>
          <w:u w:val="single"/>
        </w:rPr>
      </w:pPr>
      <w:r>
        <w:rPr>
          <w:rFonts w:hint="eastAsia" w:ascii="宋体" w:hAnsi="宋体"/>
          <w:b/>
          <w:bCs/>
          <w:szCs w:val="21"/>
        </w:rPr>
        <w:t>提供符合投标邀请（招标公告）、采购需求及评标办法规定的相关证明文件。</w:t>
      </w:r>
    </w:p>
    <w:p w14:paraId="1F229F53">
      <w:pPr>
        <w:pStyle w:val="8"/>
        <w:snapToGrid w:val="0"/>
        <w:spacing w:before="96" w:beforeLines="40" w:after="96" w:afterLines="40" w:line="400" w:lineRule="exact"/>
        <w:ind w:firstLine="422" w:firstLineChars="200"/>
        <w:jc w:val="left"/>
        <w:rPr>
          <w:rFonts w:hAnsi="宋体"/>
          <w:b/>
        </w:rPr>
      </w:pPr>
    </w:p>
    <w:p w14:paraId="62C41AD1">
      <w:pPr>
        <w:pStyle w:val="8"/>
        <w:snapToGrid w:val="0"/>
        <w:spacing w:before="96" w:beforeLines="40" w:after="96" w:afterLines="40" w:line="400" w:lineRule="exact"/>
        <w:ind w:firstLine="422" w:firstLineChars="200"/>
        <w:jc w:val="left"/>
        <w:rPr>
          <w:rFonts w:hAnsi="宋体"/>
          <w:b/>
        </w:rPr>
      </w:pPr>
      <w:r>
        <w:rPr>
          <w:rFonts w:hint="eastAsia" w:hAnsi="宋体"/>
          <w:b/>
        </w:rPr>
        <w:t>特别提示：</w:t>
      </w:r>
    </w:p>
    <w:p w14:paraId="27967DD7">
      <w:pPr>
        <w:pStyle w:val="8"/>
        <w:snapToGrid w:val="0"/>
        <w:spacing w:before="96" w:beforeLines="40" w:after="96" w:afterLines="40" w:line="400" w:lineRule="exact"/>
        <w:ind w:firstLine="422" w:firstLineChars="200"/>
        <w:jc w:val="left"/>
        <w:rPr>
          <w:rFonts w:hAnsi="宋体"/>
          <w:b/>
        </w:rPr>
      </w:pPr>
      <w:r>
        <w:rPr>
          <w:rFonts w:hint="eastAsia" w:hAnsi="宋体"/>
          <w:b/>
        </w:rPr>
        <w:t>投标供应商可在投标文件制作时在此栏内提供下列材料：</w:t>
      </w:r>
    </w:p>
    <w:p w14:paraId="5C582E65">
      <w:pPr>
        <w:spacing w:before="96" w:beforeLines="40" w:after="96" w:afterLines="40" w:line="400" w:lineRule="exact"/>
        <w:ind w:firstLine="422" w:firstLineChars="200"/>
        <w:jc w:val="left"/>
        <w:rPr>
          <w:rFonts w:ascii="宋体" w:hAnsi="宋体"/>
          <w:b/>
          <w:szCs w:val="21"/>
        </w:rPr>
      </w:pPr>
      <w:r>
        <w:rPr>
          <w:rFonts w:ascii="宋体" w:hAnsi="宋体"/>
          <w:b/>
          <w:szCs w:val="21"/>
        </w:rPr>
        <w:t>如</w:t>
      </w:r>
      <w:r>
        <w:rPr>
          <w:rFonts w:hint="eastAsia" w:ascii="宋体" w:hAnsi="宋体"/>
          <w:b/>
          <w:szCs w:val="21"/>
        </w:rPr>
        <w:t>营业执照</w:t>
      </w:r>
      <w:r>
        <w:rPr>
          <w:rFonts w:ascii="宋体" w:hAnsi="宋体"/>
          <w:b/>
          <w:szCs w:val="21"/>
        </w:rPr>
        <w:t>、税务登记证（</w:t>
      </w:r>
      <w:r>
        <w:rPr>
          <w:rFonts w:hint="eastAsia" w:ascii="宋体" w:hAnsi="宋体"/>
          <w:b/>
          <w:szCs w:val="21"/>
        </w:rPr>
        <w:t>或统一社会信用代码的营业执照</w:t>
      </w:r>
      <w:r>
        <w:rPr>
          <w:rFonts w:ascii="宋体" w:hAnsi="宋体"/>
          <w:b/>
          <w:szCs w:val="21"/>
        </w:rPr>
        <w:t>）</w:t>
      </w:r>
      <w:r>
        <w:rPr>
          <w:rFonts w:hint="eastAsia"/>
          <w:b/>
          <w:szCs w:val="21"/>
        </w:rPr>
        <w:t>等</w:t>
      </w:r>
      <w:r>
        <w:rPr>
          <w:rFonts w:hint="eastAsia" w:ascii="宋体" w:hAnsi="宋体"/>
          <w:b/>
          <w:szCs w:val="21"/>
        </w:rPr>
        <w:t>；</w:t>
      </w:r>
    </w:p>
    <w:p w14:paraId="0181A809">
      <w:pPr>
        <w:spacing w:before="96" w:beforeLines="40" w:after="96" w:afterLines="40" w:line="400" w:lineRule="exact"/>
        <w:ind w:firstLine="422" w:firstLineChars="200"/>
        <w:jc w:val="left"/>
        <w:rPr>
          <w:rFonts w:ascii="宋体" w:hAnsi="宋体"/>
          <w:b/>
          <w:szCs w:val="21"/>
        </w:rPr>
      </w:pPr>
      <w:r>
        <w:rPr>
          <w:rFonts w:hint="eastAsia" w:ascii="宋体" w:hAnsi="宋体"/>
          <w:b/>
          <w:szCs w:val="21"/>
        </w:rPr>
        <w:t>如相关授权或承诺书、服务方案等。</w:t>
      </w:r>
    </w:p>
    <w:p w14:paraId="6A5A34D6">
      <w:pPr>
        <w:widowControl/>
        <w:spacing w:before="120" w:after="120" w:line="240" w:lineRule="auto"/>
        <w:jc w:val="center"/>
        <w:outlineLvl w:val="9"/>
        <w:rPr>
          <w:rStyle w:val="19"/>
          <w:rFonts w:ascii="宋体" w:hAnsi="宋体" w:eastAsia="宋体"/>
          <w:b w:val="0"/>
          <w:bCs w:val="0"/>
          <w:sz w:val="30"/>
          <w:szCs w:val="30"/>
        </w:rPr>
      </w:pPr>
    </w:p>
    <w:p w14:paraId="0B8D371B">
      <w:pPr>
        <w:pStyle w:val="2"/>
        <w:widowControl/>
        <w:spacing w:before="0" w:after="0" w:line="240" w:lineRule="auto"/>
        <w:jc w:val="center"/>
        <w:rPr>
          <w:rFonts w:ascii="宋体" w:hAnsi="宋体"/>
        </w:rPr>
      </w:pPr>
      <w:r>
        <w:rPr>
          <w:rFonts w:hint="eastAsia" w:ascii="宋体"/>
          <w:szCs w:val="21"/>
        </w:rPr>
        <w:br w:type="page"/>
      </w:r>
      <w:bookmarkStart w:id="1126" w:name="_Toc14703"/>
      <w:bookmarkStart w:id="1127" w:name="_Toc6819"/>
      <w:bookmarkStart w:id="1128" w:name="_Toc19219"/>
      <w:bookmarkStart w:id="1129" w:name="_Toc8132"/>
      <w:r>
        <w:rPr>
          <w:rFonts w:hint="eastAsia" w:ascii="宋体" w:hAnsi="宋体"/>
        </w:rPr>
        <w:t>第七章  安天e采全流程电子招投标注意事项</w:t>
      </w:r>
      <w:bookmarkEnd w:id="1126"/>
      <w:bookmarkEnd w:id="1127"/>
      <w:bookmarkEnd w:id="1128"/>
      <w:bookmarkEnd w:id="1129"/>
    </w:p>
    <w:p w14:paraId="400CE9EC">
      <w:pPr>
        <w:widowControl/>
        <w:adjustRightInd w:val="0"/>
        <w:snapToGrid w:val="0"/>
        <w:spacing w:line="360" w:lineRule="auto"/>
        <w:ind w:firstLine="420" w:firstLineChars="200"/>
        <w:jc w:val="left"/>
        <w:rPr>
          <w:rFonts w:ascii="宋体" w:hAnsi="宋体"/>
          <w:szCs w:val="21"/>
        </w:rPr>
      </w:pPr>
    </w:p>
    <w:p w14:paraId="664D993A">
      <w:pPr>
        <w:widowControl/>
        <w:adjustRightInd w:val="0"/>
        <w:snapToGrid w:val="0"/>
        <w:spacing w:line="360" w:lineRule="auto"/>
        <w:ind w:firstLine="422" w:firstLineChars="200"/>
        <w:jc w:val="left"/>
        <w:outlineLvl w:val="1"/>
        <w:rPr>
          <w:rFonts w:ascii="宋体" w:hAnsi="宋体"/>
          <w:b/>
          <w:bCs/>
          <w:szCs w:val="21"/>
        </w:rPr>
      </w:pPr>
      <w:bookmarkStart w:id="1130" w:name="_Toc12751"/>
      <w:r>
        <w:rPr>
          <w:rFonts w:hint="eastAsia" w:ascii="宋体" w:hAnsi="宋体"/>
          <w:b/>
          <w:bCs/>
          <w:szCs w:val="21"/>
        </w:rPr>
        <w:t>一、制作、上传电子投标文件</w:t>
      </w:r>
      <w:bookmarkEnd w:id="1130"/>
    </w:p>
    <w:p w14:paraId="33795B0C">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1、电子投标文件必须使用最新版“安天e采投标文件制作工具”制作生成并上传。安天e采投标文件制作工具及操作手册下载地址：https://www.xinecai.com/serveguide。</w:t>
      </w:r>
    </w:p>
    <w:p w14:paraId="5A62A988">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2、投标供应商须办理安天e采平台移动认证证书或介质数字证书，用于电子投标文件的签章及上传（上传投标文件需使用移动认证证书或介质数字证书进行加密），安天e采平台“移动认证上线通知”（https://www.xinecai.com/ydrz.html）。</w:t>
      </w:r>
    </w:p>
    <w:p w14:paraId="113801AA">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3、全流程电子招标项目需要投标供应商网络上传通过安天e采投标文件制作工具制作并使用通过安天e采办理的移动认证证书或介质数字证书加密后生成的电子投标文件，投标供应商下载电子招标采购文件后，应在招标文件规定的投标截止时间之前上传通过安天e采投标文件制作工具制作的加密电子投标文件（登录安天e采招标采购电子交易系统，点击进入递交投标文件，上传加密的电子投标文件），否则视为投标无效。投标供应商在投标截止时间之前，可以对其所递交的电子投标文件进行撤回，修改后重新上传；</w:t>
      </w:r>
    </w:p>
    <w:p w14:paraId="73130254">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4、投标截止时间以安天e采招标采购电子交易系统（https://www.xinecai.com）系统的时间为准，逾期系统将自动关闭,电子投标文件未完成上传的，投标将被拒绝。加密文件上传后投标供应商可进行模拟解密检验加密文件是否正常；</w:t>
      </w:r>
    </w:p>
    <w:p w14:paraId="7A281D76">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5、投标供应商除须按上述第4条要求网络上传移动认证证书或介质数字证书加密的电子投标文件外，可以另行提供非加密电子投标文件U盘或光盘一份（电子标书工具软件在加密上传后，同时生成非加密电子投标文件一份，供投标供应商拷贝到U盘或刻录光盘，按招标采购文件规定要求密封后递交），投标供应商须保证电子U盘或光盘时能正常读取，且非加密文件须与网上递交的加密文件一致。具体要求按照招标采购文件规定；</w:t>
      </w:r>
    </w:p>
    <w:p w14:paraId="43310310">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6、如投标供应商在制作、上传电子投标文件过程中，遇到操作和使用问题，请及时联系安天e采电子交易平台客服人员，客服电话：</w:t>
      </w:r>
      <w:r>
        <w:rPr>
          <w:rFonts w:ascii="宋体" w:hAnsi="宋体"/>
          <w:szCs w:val="21"/>
        </w:rPr>
        <w:t>400-050-9988</w:t>
      </w:r>
      <w:r>
        <w:rPr>
          <w:rFonts w:hint="eastAsia" w:ascii="宋体" w:hAnsi="宋体"/>
          <w:szCs w:val="21"/>
        </w:rPr>
        <w:t>。移动认证办理联系电话：400-0878-198转1。</w:t>
      </w:r>
    </w:p>
    <w:p w14:paraId="123E3E09">
      <w:pPr>
        <w:widowControl/>
        <w:adjustRightInd w:val="0"/>
        <w:snapToGrid w:val="0"/>
        <w:spacing w:line="360" w:lineRule="auto"/>
        <w:ind w:firstLine="422" w:firstLineChars="200"/>
        <w:jc w:val="left"/>
        <w:outlineLvl w:val="1"/>
        <w:rPr>
          <w:rFonts w:ascii="宋体" w:hAnsi="宋体"/>
          <w:b/>
          <w:bCs/>
          <w:szCs w:val="21"/>
        </w:rPr>
      </w:pPr>
      <w:bookmarkStart w:id="1131" w:name="_Toc20689"/>
      <w:r>
        <w:rPr>
          <w:rFonts w:hint="eastAsia" w:ascii="宋体" w:hAnsi="宋体"/>
          <w:b/>
          <w:bCs/>
          <w:szCs w:val="21"/>
        </w:rPr>
        <w:t>二、开标及解密投标文件</w:t>
      </w:r>
      <w:bookmarkEnd w:id="1131"/>
    </w:p>
    <w:p w14:paraId="616696B5">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1、安徽安天利信工程管理股份有限公司工作人员（以下称工作人员）根据有关规定登录安天e采在线开标系统进行开标（使用介质数字证书用户请选择ie11及以上浏览器进行登录，如电脑未安装ie浏览器，可至安天e采门户网站产品服务&gt;服务指南中下载（https://www.xinecai.com/serveguide#）登录前请确认是否安装安天e采驱动。驱动安装完成后登录安天e采招标采购电子交易系统，点击进入开标系统或者点击https://kb.xinecai.com/process/login链接进入）为方便开标联系，建议投标供应商进行签到。开标时，投标供应商必须远程使用安天e采办理的移动认证证书或介质数字证书先行解密（加密证书需与解密证书一致，否则无法解密成功）。电子投标文件在平台系统导入后，工作人员开启系统唱标等流程；</w:t>
      </w:r>
    </w:p>
    <w:p w14:paraId="20AFCFA6">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2、电子投标文件上传成功但因电子招标投标交易平台原因导致解密异常时，如招标文件中允许使用非加密电子投标文件作为导入补救措施的，可以在开标现场递交非加密电子版投标文件，采购代理机构将其导入电子招标投标交易平台，电子招标投标交易平台将对非加密电子投标文件与加密电子投标文件进行校验。非加密电子投标文件经平台校验通过的视为解密成功，该投标供应商的投标文件以非加密电子投标文件为准；校验失败或未递交不加密电子投标文件的，其投标无效；</w:t>
      </w:r>
    </w:p>
    <w:p w14:paraId="2CAEA5A9">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3、在招标文件规定的时间内，投标人以招标文件中规定的方式未完成投标文件上传或解密的，视为其撤回投标。</w:t>
      </w:r>
    </w:p>
    <w:p w14:paraId="191DDA77">
      <w:pPr>
        <w:widowControl/>
        <w:adjustRightInd w:val="0"/>
        <w:snapToGrid w:val="0"/>
        <w:spacing w:line="360" w:lineRule="auto"/>
        <w:ind w:firstLine="422" w:firstLineChars="200"/>
        <w:jc w:val="left"/>
        <w:outlineLvl w:val="1"/>
        <w:rPr>
          <w:rFonts w:ascii="宋体" w:hAnsi="宋体"/>
          <w:b/>
          <w:bCs/>
          <w:szCs w:val="21"/>
        </w:rPr>
      </w:pPr>
      <w:bookmarkStart w:id="1132" w:name="_Toc8987"/>
      <w:r>
        <w:rPr>
          <w:rFonts w:hint="eastAsia" w:ascii="宋体" w:hAnsi="宋体"/>
          <w:b/>
          <w:bCs/>
          <w:szCs w:val="21"/>
        </w:rPr>
        <w:t>三、数字证书及保函问题</w:t>
      </w:r>
      <w:bookmarkEnd w:id="1132"/>
    </w:p>
    <w:p w14:paraId="14D6CA98">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1、数字证书需使用通过安天e采办理的移动认证证书或介质数字证书；</w:t>
      </w:r>
    </w:p>
    <w:p w14:paraId="7C363F5B">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2、数字证书到期后须重新续期；</w:t>
      </w:r>
    </w:p>
    <w:p w14:paraId="59F1663D">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3、数字证书因遗失、损坏、企业信息变更等情况须更换新证书；</w:t>
      </w:r>
    </w:p>
    <w:p w14:paraId="2813F310">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4、投标供应商由于数字证书遗失、损坏、更换、续期等情况导致投标文件无法解密，由投标供应商自行承担责任。</w:t>
      </w:r>
    </w:p>
    <w:p w14:paraId="30BB23D8">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5、</w:t>
      </w:r>
      <w:r>
        <w:rPr>
          <w:rFonts w:ascii="宋体" w:hAnsi="宋体"/>
          <w:szCs w:val="21"/>
        </w:rPr>
        <w:t>投标人（供应商）申请电子保函时支付账户必须和投标人（供应商）基本户开户账户一致，否则会导致出函失败，为确保电子保函顺利申请，请投标人（供应商）在保函申请前，确认在“</w:t>
      </w:r>
      <w:r>
        <w:rPr>
          <w:rFonts w:hint="eastAsia" w:ascii="宋体" w:hAnsi="宋体"/>
          <w:szCs w:val="21"/>
        </w:rPr>
        <w:t>安天e采</w:t>
      </w:r>
      <w:r>
        <w:rPr>
          <w:rFonts w:ascii="宋体" w:hAnsi="宋体"/>
          <w:szCs w:val="21"/>
        </w:rPr>
        <w:t>”交易系统中基本户账户信息的正确填写。</w:t>
      </w:r>
    </w:p>
    <w:p w14:paraId="71753B9A">
      <w:pPr>
        <w:widowControl/>
        <w:adjustRightInd w:val="0"/>
        <w:snapToGrid w:val="0"/>
        <w:spacing w:line="360" w:lineRule="auto"/>
        <w:ind w:firstLine="422" w:firstLineChars="200"/>
        <w:jc w:val="left"/>
        <w:outlineLvl w:val="1"/>
        <w:rPr>
          <w:rFonts w:ascii="宋体" w:hAnsi="宋体"/>
          <w:b/>
          <w:bCs/>
          <w:szCs w:val="21"/>
        </w:rPr>
      </w:pPr>
      <w:bookmarkStart w:id="1133" w:name="_Toc25468"/>
      <w:r>
        <w:rPr>
          <w:rFonts w:hint="eastAsia" w:ascii="宋体" w:hAnsi="宋体"/>
          <w:b/>
          <w:bCs/>
          <w:szCs w:val="21"/>
        </w:rPr>
        <w:t>四、投标无效情况</w:t>
      </w:r>
      <w:bookmarkEnd w:id="1133"/>
    </w:p>
    <w:p w14:paraId="63D5D63C">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1、项目评审中，投标文件如出现下列情况之一的，经评标委员会评审，可作无效投标处理：</w:t>
      </w:r>
    </w:p>
    <w:p w14:paraId="024EB3AB">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 xml:space="preserve">（一）投标文件无法打开的； </w:t>
      </w:r>
    </w:p>
    <w:p w14:paraId="24B582A8">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 xml:space="preserve">（二）投标文件中携带病毒并造成后果的； </w:t>
      </w:r>
    </w:p>
    <w:p w14:paraId="21431FD6">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（三）恶意递交投标文件，企图造成网络堵塞或瘫痪的；</w:t>
      </w:r>
    </w:p>
    <w:p w14:paraId="5E5F3AEC">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（四）评审委员会认定的其他投标无效情形。</w:t>
      </w:r>
    </w:p>
    <w:p w14:paraId="30B18393">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2、项目评审中，澄清文件如出现下列情况之一的，经评标委员会评审，可视同放弃澄清：</w:t>
      </w:r>
    </w:p>
    <w:p w14:paraId="52F8D4D9">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 xml:space="preserve">（一）澄清文件无法打开的； </w:t>
      </w:r>
    </w:p>
    <w:p w14:paraId="69E37EB6">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 xml:space="preserve">（二）澄清文件中携带病毒并造成后果的； </w:t>
      </w:r>
    </w:p>
    <w:p w14:paraId="1ABE7507">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（三）恶意递交澄清文件，企图造成网络堵塞或瘫痪的；</w:t>
      </w:r>
    </w:p>
    <w:p w14:paraId="0DC46A8E">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（四）评审委员会认定的其他不予评审情形的。</w:t>
      </w:r>
    </w:p>
    <w:p w14:paraId="61121AAD">
      <w:pPr>
        <w:widowControl/>
        <w:adjustRightInd w:val="0"/>
        <w:snapToGrid w:val="0"/>
        <w:spacing w:line="360" w:lineRule="auto"/>
        <w:ind w:firstLine="422" w:firstLineChars="200"/>
        <w:jc w:val="left"/>
        <w:outlineLvl w:val="1"/>
        <w:rPr>
          <w:rFonts w:ascii="宋体" w:hAnsi="宋体"/>
          <w:b/>
          <w:bCs/>
          <w:szCs w:val="21"/>
        </w:rPr>
      </w:pPr>
      <w:bookmarkStart w:id="1134" w:name="_Toc27909"/>
      <w:r>
        <w:rPr>
          <w:rFonts w:hint="eastAsia" w:ascii="宋体" w:hAnsi="宋体"/>
          <w:b/>
          <w:bCs/>
          <w:szCs w:val="21"/>
        </w:rPr>
        <w:t>五、特殊情形</w:t>
      </w:r>
      <w:bookmarkEnd w:id="1134"/>
    </w:p>
    <w:p w14:paraId="39621A67">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1、出现下列情形导致电子招投标系统无法正常运行，或者无法保证招投标过程的公平、公正和信息安全时，各方当事人免责：</w:t>
      </w:r>
    </w:p>
    <w:p w14:paraId="1401828D">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（一）网络服务器发生故障而无法访问网站或无法使用电子招投标系统；</w:t>
      </w:r>
    </w:p>
    <w:p w14:paraId="00C599AE">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（二）电子招投标系统的软件或网络数据库出现错误，不能进行正常操作；</w:t>
      </w:r>
    </w:p>
    <w:p w14:paraId="4347AC61">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（三）电子招投标系统发现有安全漏洞，有潜在的泄密危险；</w:t>
      </w:r>
    </w:p>
    <w:p w14:paraId="0E5BB3B7">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（四）计算机病毒发作导致系统无法正常运行的；</w:t>
      </w:r>
    </w:p>
    <w:p w14:paraId="0339061D">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（五）电力系统发生故障导致电子招投标系统无法运行；</w:t>
      </w:r>
    </w:p>
    <w:p w14:paraId="74C47685">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（六）其他无法保证招投标过程公平、公正和信息安全的。</w:t>
      </w:r>
    </w:p>
    <w:p w14:paraId="1CD422DE">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2、出现上述第1条情形而又不能及时解决的，采取以下处理办法：</w:t>
      </w:r>
    </w:p>
    <w:p w14:paraId="173B06C3">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（一）项目暂停，待电子招投标系统或网络故障排除并经过可靠测试后，再恢复网上招投标系统运行并重新在系统中实施暂停的项目；</w:t>
      </w:r>
    </w:p>
    <w:p w14:paraId="481BC8EA">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r>
        <w:rPr>
          <w:rFonts w:hint="eastAsia" w:ascii="宋体" w:hAnsi="宋体"/>
          <w:szCs w:val="21"/>
        </w:rPr>
        <w:t>（二）停止该项目此次电子招投标操作程序，并通知投标供应商使用纸质投标文件进行开标、评标。</w:t>
      </w:r>
    </w:p>
    <w:p w14:paraId="38B4A34F">
      <w:pPr>
        <w:pStyle w:val="2"/>
        <w:widowControl/>
        <w:adjustRightInd w:val="0"/>
        <w:snapToGrid w:val="0"/>
        <w:spacing w:before="96" w:beforeLines="40" w:after="96" w:afterLines="40" w:line="400" w:lineRule="exact"/>
        <w:ind w:firstLine="422" w:firstLineChars="200"/>
        <w:jc w:val="center"/>
      </w:pPr>
      <w:r>
        <w:rPr>
          <w:rFonts w:hint="eastAsia" w:ascii="宋体" w:hAnsi="宋体"/>
          <w:kern w:val="2"/>
          <w:sz w:val="21"/>
          <w:szCs w:val="21"/>
        </w:rPr>
        <w:br w:type="page"/>
      </w:r>
      <w:bookmarkStart w:id="1135" w:name="_Toc4453"/>
      <w:bookmarkStart w:id="1136" w:name="_Toc4261"/>
      <w:bookmarkStart w:id="1137" w:name="_Toc21432"/>
      <w:r>
        <w:t>第</w:t>
      </w:r>
      <w:r>
        <w:rPr>
          <w:rFonts w:hint="eastAsia"/>
        </w:rPr>
        <w:t>八</w:t>
      </w:r>
      <w:r>
        <w:t>章</w:t>
      </w:r>
      <w:r>
        <w:rPr>
          <w:rFonts w:hint="eastAsia"/>
        </w:rPr>
        <w:t xml:space="preserve"> </w:t>
      </w:r>
      <w:r>
        <w:t xml:space="preserve"> 政府采购供应商询问函和质疑函范本</w:t>
      </w:r>
      <w:bookmarkEnd w:id="1135"/>
      <w:bookmarkEnd w:id="1136"/>
      <w:bookmarkEnd w:id="1137"/>
    </w:p>
    <w:p w14:paraId="6D7B8B2E">
      <w:pPr>
        <w:widowControl/>
        <w:adjustRightInd w:val="0"/>
        <w:snapToGrid w:val="0"/>
        <w:spacing w:before="96" w:beforeLines="40" w:after="96" w:afterLines="40" w:line="400" w:lineRule="exact"/>
        <w:ind w:firstLine="420" w:firstLineChars="200"/>
        <w:jc w:val="left"/>
      </w:pPr>
    </w:p>
    <w:p w14:paraId="76D6BD5F">
      <w:pPr>
        <w:spacing w:line="360" w:lineRule="auto"/>
        <w:jc w:val="center"/>
        <w:outlineLvl w:val="1"/>
        <w:rPr>
          <w:rFonts w:ascii="仿宋" w:hAnsi="仿宋" w:eastAsia="仿宋" w:cs="仿宋"/>
          <w:b/>
          <w:bCs/>
          <w:sz w:val="32"/>
          <w:szCs w:val="44"/>
        </w:rPr>
      </w:pPr>
      <w:bookmarkStart w:id="1138" w:name="_Toc27489"/>
      <w:bookmarkStart w:id="1139" w:name="_Toc27159"/>
      <w:r>
        <w:rPr>
          <w:rFonts w:hint="eastAsia" w:ascii="仿宋" w:hAnsi="仿宋" w:eastAsia="仿宋" w:cs="仿宋"/>
          <w:b/>
          <w:bCs/>
          <w:sz w:val="32"/>
          <w:szCs w:val="44"/>
        </w:rPr>
        <w:t>询问函范本</w:t>
      </w:r>
      <w:bookmarkEnd w:id="1138"/>
      <w:bookmarkEnd w:id="1139"/>
    </w:p>
    <w:p w14:paraId="75C7C3DE">
      <w:pPr>
        <w:adjustRightInd w:val="0"/>
        <w:snapToGrid w:val="0"/>
        <w:spacing w:line="360" w:lineRule="auto"/>
        <w:ind w:firstLine="480" w:firstLineChars="200"/>
        <w:jc w:val="center"/>
        <w:rPr>
          <w:rFonts w:ascii="仿宋" w:hAnsi="仿宋" w:eastAsia="仿宋" w:cs="仿宋"/>
          <w:b/>
          <w:bCs/>
          <w:sz w:val="32"/>
          <w:szCs w:val="44"/>
        </w:rPr>
      </w:pPr>
      <w:r>
        <w:rPr>
          <w:rFonts w:hint="eastAsia" w:ascii="宋体" w:hAnsi="宋体" w:cs="仿宋"/>
          <w:i/>
          <w:iCs/>
          <w:sz w:val="24"/>
        </w:rPr>
        <w:t>（如为对采购文件或采购程序的询问或疑问，请按询问函范本或电子交易系统中网上询问格式附件进行提交）</w:t>
      </w:r>
    </w:p>
    <w:p w14:paraId="6B225630">
      <w:pPr>
        <w:adjustRightInd w:val="0"/>
        <w:snapToGrid w:val="0"/>
        <w:spacing w:line="360" w:lineRule="auto"/>
        <w:rPr>
          <w:rFonts w:ascii="宋体" w:hAnsi="宋体" w:cs="仿宋"/>
          <w:b/>
          <w:bCs/>
          <w:sz w:val="24"/>
          <w:u w:val="single"/>
        </w:rPr>
      </w:pPr>
      <w:r>
        <w:rPr>
          <w:rFonts w:hint="eastAsia" w:ascii="宋体" w:hAnsi="宋体" w:cs="仿宋"/>
          <w:b/>
          <w:bCs/>
          <w:sz w:val="24"/>
        </w:rPr>
        <w:t>致：采购人</w:t>
      </w:r>
    </w:p>
    <w:p w14:paraId="1125F7A7">
      <w:pPr>
        <w:adjustRightInd w:val="0"/>
        <w:snapToGrid w:val="0"/>
        <w:spacing w:line="360" w:lineRule="auto"/>
        <w:ind w:firstLine="480" w:firstLineChars="200"/>
        <w:rPr>
          <w:rFonts w:ascii="宋体" w:hAnsi="宋体" w:cs="仿宋"/>
          <w:sz w:val="24"/>
        </w:rPr>
      </w:pPr>
      <w:r>
        <w:rPr>
          <w:rFonts w:hint="eastAsia" w:ascii="宋体" w:hAnsi="宋体" w:cs="仿宋"/>
          <w:sz w:val="24"/>
        </w:rPr>
        <w:t>我单位拟参与</w:t>
      </w:r>
      <w:r>
        <w:rPr>
          <w:rFonts w:hint="eastAsia" w:ascii="宋体" w:hAnsi="宋体" w:cs="仿宋"/>
          <w:sz w:val="24"/>
          <w:u w:val="single"/>
        </w:rPr>
        <w:t xml:space="preserve">           </w:t>
      </w:r>
      <w:r>
        <w:rPr>
          <w:rFonts w:hint="eastAsia" w:ascii="宋体" w:hAnsi="宋体" w:cs="仿宋"/>
          <w:sz w:val="24"/>
        </w:rPr>
        <w:t>（</w:t>
      </w:r>
      <w:r>
        <w:rPr>
          <w:rFonts w:hint="eastAsia" w:ascii="宋体" w:hAnsi="宋体" w:cs="仿宋"/>
          <w:i/>
          <w:iCs/>
          <w:sz w:val="24"/>
        </w:rPr>
        <w:t>项目名称、编号</w:t>
      </w:r>
      <w:r>
        <w:rPr>
          <w:rFonts w:hint="eastAsia" w:ascii="宋体" w:hAnsi="宋体" w:cs="仿宋"/>
          <w:sz w:val="24"/>
        </w:rPr>
        <w:t>）的采购活动，现有以下内容(或条款)存在疑问(或无法理解)，特提出询问。</w:t>
      </w:r>
    </w:p>
    <w:p w14:paraId="2477F723">
      <w:pPr>
        <w:adjustRightInd w:val="0"/>
        <w:snapToGrid w:val="0"/>
        <w:spacing w:line="360" w:lineRule="auto"/>
        <w:ind w:firstLine="480" w:firstLineChars="200"/>
        <w:rPr>
          <w:rFonts w:ascii="宋体" w:hAnsi="宋体" w:cs="仿宋"/>
          <w:sz w:val="24"/>
        </w:rPr>
      </w:pPr>
      <w:bookmarkStart w:id="1140" w:name="_Toc13899"/>
      <w:r>
        <w:rPr>
          <w:rFonts w:hint="eastAsia" w:ascii="宋体" w:hAnsi="宋体" w:cs="仿宋"/>
          <w:sz w:val="24"/>
        </w:rPr>
        <w:t>一、(事项一)</w:t>
      </w:r>
      <w:bookmarkEnd w:id="1140"/>
    </w:p>
    <w:p w14:paraId="6AFA8A82">
      <w:pPr>
        <w:adjustRightInd w:val="0"/>
        <w:snapToGrid w:val="0"/>
        <w:spacing w:line="360" w:lineRule="auto"/>
        <w:ind w:firstLine="480" w:firstLineChars="200"/>
        <w:rPr>
          <w:rFonts w:ascii="宋体" w:hAnsi="宋体" w:cs="仿宋"/>
          <w:sz w:val="24"/>
        </w:rPr>
      </w:pPr>
      <w:r>
        <w:rPr>
          <w:rFonts w:hint="eastAsia" w:ascii="宋体" w:hAnsi="宋体" w:cs="仿宋"/>
          <w:sz w:val="24"/>
        </w:rPr>
        <w:t>1、(内容或条款)</w:t>
      </w:r>
    </w:p>
    <w:p w14:paraId="2C7121B9">
      <w:pPr>
        <w:adjustRightInd w:val="0"/>
        <w:snapToGrid w:val="0"/>
        <w:spacing w:line="360" w:lineRule="auto"/>
        <w:ind w:firstLine="480" w:firstLineChars="200"/>
        <w:rPr>
          <w:rFonts w:ascii="宋体" w:hAnsi="宋体" w:cs="仿宋"/>
          <w:sz w:val="24"/>
        </w:rPr>
      </w:pPr>
      <w:r>
        <w:rPr>
          <w:rFonts w:hint="eastAsia" w:ascii="宋体" w:hAnsi="宋体" w:cs="仿宋"/>
          <w:sz w:val="24"/>
        </w:rPr>
        <w:t>2、(说明疑问或无法理解原因)</w:t>
      </w:r>
    </w:p>
    <w:p w14:paraId="27AD8666">
      <w:pPr>
        <w:adjustRightInd w:val="0"/>
        <w:snapToGrid w:val="0"/>
        <w:spacing w:line="360" w:lineRule="auto"/>
        <w:ind w:firstLine="480" w:firstLineChars="200"/>
        <w:rPr>
          <w:rFonts w:ascii="宋体" w:hAnsi="宋体" w:cs="仿宋"/>
          <w:sz w:val="24"/>
        </w:rPr>
      </w:pPr>
      <w:r>
        <w:rPr>
          <w:rFonts w:hint="eastAsia" w:ascii="宋体" w:hAnsi="宋体" w:cs="仿宋"/>
          <w:sz w:val="24"/>
        </w:rPr>
        <w:t>3、(建议)</w:t>
      </w:r>
    </w:p>
    <w:p w14:paraId="1CDD0D44">
      <w:pPr>
        <w:adjustRightInd w:val="0"/>
        <w:snapToGrid w:val="0"/>
        <w:spacing w:line="360" w:lineRule="auto"/>
        <w:ind w:firstLine="480" w:firstLineChars="200"/>
        <w:rPr>
          <w:rFonts w:ascii="宋体" w:hAnsi="宋体" w:cs="仿宋"/>
          <w:sz w:val="24"/>
        </w:rPr>
      </w:pPr>
      <w:bookmarkStart w:id="1141" w:name="_Toc3352"/>
      <w:r>
        <w:rPr>
          <w:rFonts w:hint="eastAsia" w:ascii="宋体" w:hAnsi="宋体" w:cs="仿宋"/>
          <w:sz w:val="24"/>
        </w:rPr>
        <w:t>二、(事项二)</w:t>
      </w:r>
      <w:bookmarkEnd w:id="1141"/>
    </w:p>
    <w:p w14:paraId="55CA4439">
      <w:pPr>
        <w:adjustRightInd w:val="0"/>
        <w:snapToGrid w:val="0"/>
        <w:spacing w:line="360" w:lineRule="auto"/>
        <w:ind w:firstLine="480" w:firstLineChars="200"/>
        <w:rPr>
          <w:rFonts w:ascii="宋体" w:hAnsi="宋体" w:cs="仿宋"/>
          <w:sz w:val="24"/>
        </w:rPr>
      </w:pPr>
      <w:r>
        <w:rPr>
          <w:rFonts w:hint="eastAsia" w:ascii="宋体" w:hAnsi="宋体" w:cs="仿宋"/>
          <w:sz w:val="24"/>
        </w:rPr>
        <w:t>...</w:t>
      </w:r>
    </w:p>
    <w:p w14:paraId="2CEFB11D">
      <w:pPr>
        <w:adjustRightInd w:val="0"/>
        <w:snapToGrid w:val="0"/>
        <w:spacing w:line="360" w:lineRule="auto"/>
        <w:ind w:firstLine="480" w:firstLineChars="200"/>
        <w:rPr>
          <w:rFonts w:ascii="宋体" w:hAnsi="宋体" w:cs="仿宋"/>
          <w:sz w:val="24"/>
        </w:rPr>
      </w:pPr>
      <w:r>
        <w:rPr>
          <w:rFonts w:hint="eastAsia" w:ascii="宋体" w:hAnsi="宋体" w:cs="仿宋"/>
          <w:sz w:val="24"/>
        </w:rPr>
        <w:t xml:space="preserve">随附相关证明材料如下： </w:t>
      </w:r>
    </w:p>
    <w:p w14:paraId="38DD35EF">
      <w:pPr>
        <w:spacing w:line="360" w:lineRule="auto"/>
        <w:ind w:firstLine="4228" w:firstLineChars="1762"/>
        <w:rPr>
          <w:rFonts w:ascii="宋体" w:hAnsi="宋体"/>
          <w:sz w:val="24"/>
          <w:u w:val="single"/>
        </w:rPr>
      </w:pPr>
      <w:r>
        <w:rPr>
          <w:rFonts w:hint="eastAsia" w:ascii="宋体" w:hAnsi="宋体"/>
          <w:sz w:val="24"/>
        </w:rPr>
        <w:t>联 系 人：</w:t>
      </w:r>
      <w:r>
        <w:rPr>
          <w:rFonts w:hint="eastAsia" w:ascii="宋体" w:hAnsi="宋体"/>
          <w:sz w:val="24"/>
          <w:u w:val="single"/>
        </w:rPr>
        <w:t xml:space="preserve">              </w:t>
      </w:r>
    </w:p>
    <w:p w14:paraId="236F113C">
      <w:pPr>
        <w:spacing w:line="360" w:lineRule="auto"/>
        <w:ind w:firstLine="4228" w:firstLineChars="1762"/>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14:paraId="3DBC654A">
      <w:pPr>
        <w:tabs>
          <w:tab w:val="left" w:pos="630"/>
        </w:tabs>
        <w:spacing w:line="360" w:lineRule="auto"/>
        <w:ind w:firstLine="4228" w:firstLineChars="1762"/>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0A834A13">
      <w:pPr>
        <w:rPr>
          <w:rFonts w:ascii="仿宋" w:hAnsi="仿宋" w:eastAsia="仿宋" w:cs="仿宋"/>
          <w:b/>
          <w:bCs/>
          <w:sz w:val="32"/>
          <w:szCs w:val="44"/>
        </w:rPr>
      </w:pPr>
      <w:r>
        <w:rPr>
          <w:rFonts w:hint="eastAsia" w:ascii="仿宋" w:hAnsi="仿宋" w:eastAsia="仿宋" w:cs="仿宋"/>
          <w:b/>
          <w:bCs/>
          <w:sz w:val="32"/>
          <w:szCs w:val="44"/>
        </w:rPr>
        <w:br w:type="page"/>
      </w:r>
    </w:p>
    <w:p w14:paraId="033976A0">
      <w:pPr>
        <w:jc w:val="center"/>
        <w:outlineLvl w:val="1"/>
        <w:rPr>
          <w:rFonts w:ascii="仿宋" w:hAnsi="仿宋" w:eastAsia="仿宋" w:cs="仿宋"/>
          <w:b/>
          <w:bCs/>
          <w:sz w:val="32"/>
          <w:szCs w:val="44"/>
        </w:rPr>
      </w:pPr>
      <w:bookmarkStart w:id="1142" w:name="_Toc1575"/>
      <w:bookmarkStart w:id="1143" w:name="_Toc3245"/>
      <w:r>
        <w:rPr>
          <w:rFonts w:hint="eastAsia" w:ascii="仿宋" w:hAnsi="仿宋" w:eastAsia="仿宋" w:cs="仿宋"/>
          <w:b/>
          <w:bCs/>
          <w:sz w:val="32"/>
          <w:szCs w:val="44"/>
        </w:rPr>
        <w:t>质疑函范本</w:t>
      </w:r>
      <w:bookmarkEnd w:id="1142"/>
      <w:bookmarkEnd w:id="1143"/>
    </w:p>
    <w:p w14:paraId="2A466CDB">
      <w:pPr>
        <w:adjustRightInd w:val="0"/>
        <w:snapToGrid w:val="0"/>
        <w:spacing w:before="240" w:beforeLines="100" w:line="360" w:lineRule="auto"/>
        <w:rPr>
          <w:rFonts w:ascii="宋体" w:hAnsi="宋体" w:cs="仿宋"/>
          <w:b/>
          <w:bCs/>
          <w:sz w:val="24"/>
        </w:rPr>
      </w:pPr>
      <w:bookmarkStart w:id="1144" w:name="_Toc21381"/>
      <w:r>
        <w:rPr>
          <w:rFonts w:hint="eastAsia" w:ascii="宋体" w:hAnsi="宋体" w:cs="仿宋"/>
          <w:b/>
          <w:bCs/>
          <w:sz w:val="24"/>
        </w:rPr>
        <w:t>一、质疑供应商基本信息</w:t>
      </w:r>
      <w:bookmarkEnd w:id="1144"/>
    </w:p>
    <w:p w14:paraId="7C52D8DB">
      <w:pPr>
        <w:adjustRightInd w:val="0"/>
        <w:snapToGrid w:val="0"/>
        <w:spacing w:line="360" w:lineRule="auto"/>
        <w:rPr>
          <w:rFonts w:ascii="宋体" w:hAnsi="宋体" w:cs="仿宋"/>
          <w:sz w:val="24"/>
          <w:u w:val="dotted"/>
        </w:rPr>
      </w:pPr>
      <w:r>
        <w:rPr>
          <w:rFonts w:hint="eastAsia" w:ascii="宋体" w:hAnsi="宋体" w:cs="仿宋"/>
          <w:sz w:val="24"/>
        </w:rPr>
        <w:t>质疑供应商：</w:t>
      </w:r>
      <w:r>
        <w:rPr>
          <w:rFonts w:hint="eastAsia" w:ascii="宋体" w:hAnsi="宋体" w:cs="仿宋"/>
          <w:sz w:val="24"/>
          <w:u w:val="dotted"/>
        </w:rPr>
        <w:t xml:space="preserve">                                        </w:t>
      </w:r>
    </w:p>
    <w:p w14:paraId="0270172B">
      <w:pPr>
        <w:adjustRightInd w:val="0"/>
        <w:snapToGrid w:val="0"/>
        <w:spacing w:line="360" w:lineRule="auto"/>
        <w:rPr>
          <w:rFonts w:ascii="宋体" w:hAnsi="宋体" w:cs="仿宋"/>
          <w:sz w:val="24"/>
        </w:rPr>
      </w:pPr>
      <w:r>
        <w:rPr>
          <w:rFonts w:hint="eastAsia" w:ascii="宋体" w:hAnsi="宋体" w:cs="仿宋"/>
          <w:sz w:val="24"/>
        </w:rPr>
        <w:t>地址：</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14:paraId="6523C2A0">
      <w:pPr>
        <w:adjustRightInd w:val="0"/>
        <w:snapToGrid w:val="0"/>
        <w:spacing w:line="360" w:lineRule="auto"/>
        <w:rPr>
          <w:rFonts w:ascii="宋体" w:hAnsi="宋体" w:cs="仿宋"/>
          <w:sz w:val="24"/>
        </w:rPr>
      </w:pPr>
      <w:r>
        <w:rPr>
          <w:rFonts w:hint="eastAsia" w:ascii="宋体" w:hAnsi="宋体" w:cs="仿宋"/>
          <w:sz w:val="24"/>
        </w:rPr>
        <w:t>联系人：</w:t>
      </w:r>
      <w:r>
        <w:rPr>
          <w:rFonts w:hint="eastAsia" w:ascii="宋体" w:hAnsi="宋体" w:cs="仿宋"/>
          <w:sz w:val="24"/>
          <w:u w:val="dotted"/>
        </w:rPr>
        <w:t xml:space="preserve">                      </w:t>
      </w:r>
      <w:r>
        <w:rPr>
          <w:rFonts w:hint="eastAsia" w:ascii="宋体" w:hAnsi="宋体" w:cs="仿宋"/>
          <w:sz w:val="24"/>
        </w:rPr>
        <w:t>联系电话：</w:t>
      </w:r>
      <w:r>
        <w:rPr>
          <w:rFonts w:hint="eastAsia" w:ascii="宋体" w:hAnsi="宋体" w:cs="仿宋"/>
          <w:sz w:val="24"/>
          <w:u w:val="dotted"/>
        </w:rPr>
        <w:t xml:space="preserve">                              </w:t>
      </w:r>
    </w:p>
    <w:p w14:paraId="7C6256E9">
      <w:pPr>
        <w:adjustRightInd w:val="0"/>
        <w:snapToGrid w:val="0"/>
        <w:spacing w:line="360" w:lineRule="auto"/>
        <w:rPr>
          <w:rFonts w:ascii="宋体" w:hAnsi="宋体" w:cs="仿宋"/>
          <w:sz w:val="24"/>
          <w:u w:val="dotted"/>
        </w:rPr>
      </w:pPr>
      <w:r>
        <w:rPr>
          <w:rFonts w:hint="eastAsia" w:ascii="宋体" w:hAnsi="宋体" w:cs="仿宋"/>
          <w:sz w:val="24"/>
        </w:rPr>
        <w:t>授权代表：</w:t>
      </w:r>
      <w:r>
        <w:rPr>
          <w:rFonts w:hint="eastAsia" w:ascii="宋体" w:hAnsi="宋体" w:cs="仿宋"/>
          <w:sz w:val="24"/>
          <w:u w:val="dotted"/>
        </w:rPr>
        <w:t xml:space="preserve">                                          </w:t>
      </w:r>
    </w:p>
    <w:p w14:paraId="51A1733A">
      <w:pPr>
        <w:adjustRightInd w:val="0"/>
        <w:snapToGrid w:val="0"/>
        <w:spacing w:line="360" w:lineRule="auto"/>
        <w:rPr>
          <w:rFonts w:ascii="宋体" w:hAnsi="宋体" w:cs="仿宋"/>
          <w:sz w:val="24"/>
        </w:rPr>
      </w:pPr>
      <w:r>
        <w:rPr>
          <w:rFonts w:hint="eastAsia" w:ascii="宋体" w:hAnsi="宋体" w:cs="仿宋"/>
          <w:sz w:val="24"/>
        </w:rPr>
        <w:t>联系电话：</w:t>
      </w:r>
      <w:r>
        <w:rPr>
          <w:rFonts w:hint="eastAsia" w:ascii="宋体" w:hAnsi="宋体" w:cs="仿宋"/>
          <w:sz w:val="24"/>
          <w:u w:val="dotted"/>
        </w:rPr>
        <w:t xml:space="preserve">                                           </w:t>
      </w:r>
      <w:r>
        <w:rPr>
          <w:rFonts w:ascii="宋体" w:hAnsi="宋体" w:cs="仿宋"/>
          <w:sz w:val="24"/>
        </w:rPr>
        <w:t xml:space="preserve"> </w:t>
      </w:r>
    </w:p>
    <w:p w14:paraId="06A7FC33">
      <w:pPr>
        <w:adjustRightInd w:val="0"/>
        <w:snapToGrid w:val="0"/>
        <w:spacing w:line="360" w:lineRule="auto"/>
        <w:rPr>
          <w:rFonts w:ascii="宋体" w:hAnsi="宋体" w:cs="仿宋"/>
          <w:sz w:val="24"/>
        </w:rPr>
      </w:pPr>
      <w:r>
        <w:rPr>
          <w:rFonts w:hint="eastAsia" w:ascii="宋体" w:hAnsi="宋体" w:cs="仿宋"/>
          <w:sz w:val="24"/>
        </w:rPr>
        <w:t>地址：</w:t>
      </w:r>
      <w:r>
        <w:rPr>
          <w:rFonts w:ascii="宋体" w:hAnsi="宋体" w:cs="仿宋"/>
          <w:sz w:val="24"/>
        </w:rPr>
        <w:t xml:space="preserve"> </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14:paraId="292192C0">
      <w:pPr>
        <w:adjustRightInd w:val="0"/>
        <w:snapToGrid w:val="0"/>
        <w:spacing w:line="360" w:lineRule="auto"/>
        <w:rPr>
          <w:rFonts w:ascii="宋体" w:hAnsi="宋体" w:cs="仿宋"/>
          <w:b/>
          <w:bCs/>
          <w:sz w:val="24"/>
        </w:rPr>
      </w:pPr>
      <w:bookmarkStart w:id="1145" w:name="_Toc28415"/>
      <w:r>
        <w:rPr>
          <w:rFonts w:hint="eastAsia" w:ascii="宋体" w:hAnsi="宋体" w:cs="仿宋"/>
          <w:b/>
          <w:bCs/>
          <w:sz w:val="24"/>
        </w:rPr>
        <w:t>二、质疑项目基本情况</w:t>
      </w:r>
      <w:bookmarkEnd w:id="1145"/>
    </w:p>
    <w:p w14:paraId="2A472A74">
      <w:pPr>
        <w:adjustRightInd w:val="0"/>
        <w:snapToGrid w:val="0"/>
        <w:spacing w:line="360" w:lineRule="auto"/>
        <w:rPr>
          <w:rFonts w:ascii="宋体" w:hAnsi="宋体" w:cs="仿宋"/>
          <w:sz w:val="24"/>
        </w:rPr>
      </w:pPr>
      <w:r>
        <w:rPr>
          <w:rFonts w:hint="eastAsia" w:ascii="宋体" w:hAnsi="宋体" w:cs="仿宋"/>
          <w:sz w:val="24"/>
        </w:rPr>
        <w:t>质疑项目的名称：</w:t>
      </w:r>
      <w:r>
        <w:rPr>
          <w:rFonts w:hint="eastAsia" w:ascii="宋体" w:hAnsi="宋体" w:cs="仿宋"/>
          <w:sz w:val="24"/>
          <w:u w:val="dotted"/>
        </w:rPr>
        <w:t xml:space="preserve">                                      </w:t>
      </w:r>
    </w:p>
    <w:p w14:paraId="2B3FA796">
      <w:pPr>
        <w:adjustRightInd w:val="0"/>
        <w:snapToGrid w:val="0"/>
        <w:spacing w:line="360" w:lineRule="auto"/>
        <w:rPr>
          <w:rFonts w:ascii="宋体" w:hAnsi="宋体" w:cs="仿宋"/>
          <w:sz w:val="24"/>
        </w:rPr>
      </w:pPr>
      <w:r>
        <w:rPr>
          <w:rFonts w:hint="eastAsia" w:ascii="宋体" w:hAnsi="宋体" w:cs="仿宋"/>
          <w:sz w:val="24"/>
        </w:rPr>
        <w:t>质疑项目的编号：</w:t>
      </w:r>
      <w:r>
        <w:rPr>
          <w:rFonts w:hint="eastAsia" w:ascii="宋体" w:hAnsi="宋体" w:cs="仿宋"/>
          <w:sz w:val="24"/>
          <w:u w:val="dotted"/>
        </w:rPr>
        <w:t xml:space="preserve">               </w:t>
      </w:r>
      <w:r>
        <w:rPr>
          <w:rFonts w:hint="eastAsia" w:ascii="宋体" w:hAnsi="宋体" w:cs="仿宋"/>
          <w:sz w:val="24"/>
        </w:rPr>
        <w:t>包号：</w:t>
      </w:r>
      <w:r>
        <w:rPr>
          <w:rFonts w:hint="eastAsia" w:ascii="宋体" w:hAnsi="宋体" w:cs="仿宋"/>
          <w:sz w:val="24"/>
          <w:u w:val="dotted"/>
        </w:rPr>
        <w:t xml:space="preserve">                 </w:t>
      </w:r>
    </w:p>
    <w:p w14:paraId="085DEA91">
      <w:pPr>
        <w:adjustRightInd w:val="0"/>
        <w:snapToGrid w:val="0"/>
        <w:spacing w:line="360" w:lineRule="auto"/>
        <w:rPr>
          <w:rFonts w:ascii="宋体" w:hAnsi="宋体" w:cs="仿宋"/>
          <w:sz w:val="24"/>
          <w:u w:val="dotted"/>
        </w:rPr>
      </w:pPr>
      <w:r>
        <w:rPr>
          <w:rFonts w:hint="eastAsia" w:ascii="宋体" w:hAnsi="宋体" w:cs="仿宋"/>
          <w:sz w:val="24"/>
        </w:rPr>
        <w:t>采购人名称：</w:t>
      </w:r>
      <w:r>
        <w:rPr>
          <w:rFonts w:hint="eastAsia" w:ascii="宋体" w:hAnsi="宋体" w:cs="仿宋"/>
          <w:sz w:val="24"/>
          <w:u w:val="dotted"/>
        </w:rPr>
        <w:t xml:space="preserve">                                         </w:t>
      </w:r>
    </w:p>
    <w:p w14:paraId="5A7BAF87">
      <w:pPr>
        <w:adjustRightInd w:val="0"/>
        <w:snapToGrid w:val="0"/>
        <w:spacing w:line="360" w:lineRule="auto"/>
        <w:rPr>
          <w:rFonts w:ascii="宋体" w:hAnsi="宋体" w:cs="仿宋"/>
          <w:sz w:val="24"/>
        </w:rPr>
      </w:pPr>
      <w:r>
        <w:rPr>
          <w:rFonts w:hint="eastAsia" w:ascii="宋体" w:hAnsi="宋体" w:cs="仿宋"/>
          <w:sz w:val="24"/>
        </w:rPr>
        <w:t>采购文件获取日期：</w:t>
      </w:r>
      <w:r>
        <w:rPr>
          <w:rFonts w:hint="eastAsia" w:ascii="宋体" w:hAnsi="宋体" w:cs="仿宋"/>
          <w:sz w:val="24"/>
          <w:u w:val="dotted"/>
        </w:rPr>
        <w:t xml:space="preserve">                                           </w:t>
      </w:r>
    </w:p>
    <w:p w14:paraId="616D0ECC">
      <w:pPr>
        <w:adjustRightInd w:val="0"/>
        <w:snapToGrid w:val="0"/>
        <w:spacing w:line="360" w:lineRule="auto"/>
        <w:rPr>
          <w:rFonts w:ascii="宋体" w:hAnsi="宋体" w:cs="仿宋"/>
          <w:b/>
          <w:bCs/>
          <w:sz w:val="24"/>
        </w:rPr>
      </w:pPr>
      <w:bookmarkStart w:id="1146" w:name="_Toc19014"/>
      <w:r>
        <w:rPr>
          <w:rFonts w:hint="eastAsia" w:ascii="宋体" w:hAnsi="宋体" w:cs="仿宋"/>
          <w:b/>
          <w:bCs/>
          <w:sz w:val="24"/>
        </w:rPr>
        <w:t>三、质疑事项具体内容</w:t>
      </w:r>
      <w:bookmarkEnd w:id="1146"/>
    </w:p>
    <w:p w14:paraId="73F09417">
      <w:pPr>
        <w:adjustRightInd w:val="0"/>
        <w:snapToGrid w:val="0"/>
        <w:spacing w:line="360" w:lineRule="auto"/>
        <w:rPr>
          <w:rFonts w:ascii="宋体" w:hAnsi="宋体" w:cs="仿宋"/>
          <w:sz w:val="24"/>
          <w:u w:val="dotted"/>
        </w:rPr>
      </w:pPr>
      <w:r>
        <w:rPr>
          <w:rFonts w:hint="eastAsia" w:ascii="宋体" w:hAnsi="宋体" w:cs="仿宋"/>
          <w:sz w:val="24"/>
        </w:rPr>
        <w:t>质疑事项1：</w:t>
      </w:r>
      <w:r>
        <w:rPr>
          <w:rFonts w:hint="eastAsia" w:ascii="宋体" w:hAnsi="宋体" w:cs="仿宋"/>
          <w:sz w:val="24"/>
          <w:u w:val="dotted"/>
        </w:rPr>
        <w:t xml:space="preserve">                                         </w:t>
      </w:r>
    </w:p>
    <w:p w14:paraId="70E53870">
      <w:pPr>
        <w:adjustRightInd w:val="0"/>
        <w:snapToGrid w:val="0"/>
        <w:spacing w:line="360" w:lineRule="auto"/>
        <w:rPr>
          <w:rFonts w:ascii="宋体" w:hAnsi="宋体" w:cs="仿宋"/>
          <w:sz w:val="24"/>
          <w:u w:val="dotted"/>
        </w:rPr>
      </w:pPr>
      <w:r>
        <w:rPr>
          <w:rFonts w:hint="eastAsia" w:ascii="宋体" w:hAnsi="宋体" w:cs="仿宋"/>
          <w:sz w:val="24"/>
        </w:rPr>
        <w:t>事实依据：</w:t>
      </w:r>
      <w:r>
        <w:rPr>
          <w:rFonts w:hint="eastAsia" w:ascii="宋体" w:hAnsi="宋体" w:cs="仿宋"/>
          <w:sz w:val="24"/>
          <w:u w:val="dotted"/>
        </w:rPr>
        <w:t xml:space="preserve">                                          </w:t>
      </w:r>
    </w:p>
    <w:p w14:paraId="2F398AD2">
      <w:pPr>
        <w:adjustRightInd w:val="0"/>
        <w:snapToGrid w:val="0"/>
        <w:spacing w:line="360" w:lineRule="auto"/>
        <w:rPr>
          <w:rFonts w:ascii="宋体" w:hAnsi="宋体" w:cs="仿宋"/>
          <w:sz w:val="24"/>
        </w:rPr>
      </w:pPr>
      <w:r>
        <w:rPr>
          <w:rFonts w:hint="eastAsia" w:ascii="宋体" w:hAnsi="宋体" w:cs="仿宋"/>
          <w:sz w:val="24"/>
          <w:u w:val="dotted"/>
        </w:rPr>
        <w:t xml:space="preserve">                                                       </w:t>
      </w:r>
    </w:p>
    <w:p w14:paraId="3F2F6F02">
      <w:pPr>
        <w:adjustRightInd w:val="0"/>
        <w:snapToGrid w:val="0"/>
        <w:spacing w:line="360" w:lineRule="auto"/>
        <w:rPr>
          <w:rFonts w:ascii="宋体" w:hAnsi="宋体" w:cs="仿宋"/>
          <w:sz w:val="24"/>
          <w:u w:val="dotted"/>
        </w:rPr>
      </w:pPr>
      <w:r>
        <w:rPr>
          <w:rFonts w:hint="eastAsia" w:ascii="宋体" w:hAnsi="宋体" w:cs="仿宋"/>
          <w:sz w:val="24"/>
        </w:rPr>
        <w:t>法律依据：</w:t>
      </w:r>
      <w:r>
        <w:rPr>
          <w:rFonts w:hint="eastAsia" w:ascii="宋体" w:hAnsi="宋体" w:cs="仿宋"/>
          <w:sz w:val="24"/>
          <w:u w:val="dotted"/>
        </w:rPr>
        <w:t xml:space="preserve">                                          </w:t>
      </w:r>
    </w:p>
    <w:p w14:paraId="0ECF88E3">
      <w:pPr>
        <w:adjustRightInd w:val="0"/>
        <w:snapToGrid w:val="0"/>
        <w:spacing w:line="360" w:lineRule="auto"/>
        <w:rPr>
          <w:rFonts w:ascii="宋体" w:hAnsi="宋体" w:cs="仿宋"/>
          <w:sz w:val="24"/>
          <w:u w:val="dotted"/>
        </w:rPr>
      </w:pPr>
      <w:r>
        <w:rPr>
          <w:rFonts w:hint="eastAsia" w:ascii="宋体" w:hAnsi="宋体" w:cs="仿宋"/>
          <w:sz w:val="24"/>
          <w:u w:val="dotted"/>
        </w:rPr>
        <w:t xml:space="preserve">                                                     </w:t>
      </w:r>
    </w:p>
    <w:p w14:paraId="7E57112A">
      <w:pPr>
        <w:adjustRightInd w:val="0"/>
        <w:snapToGrid w:val="0"/>
        <w:spacing w:line="360" w:lineRule="auto"/>
        <w:rPr>
          <w:rFonts w:ascii="宋体" w:hAnsi="宋体" w:cs="仿宋"/>
          <w:sz w:val="24"/>
          <w:u w:val="dotted"/>
        </w:rPr>
      </w:pPr>
      <w:r>
        <w:rPr>
          <w:rFonts w:hint="eastAsia" w:ascii="宋体" w:hAnsi="宋体" w:cs="仿宋"/>
          <w:sz w:val="24"/>
        </w:rPr>
        <w:t>质疑事项2</w:t>
      </w:r>
    </w:p>
    <w:p w14:paraId="50667975">
      <w:pPr>
        <w:adjustRightInd w:val="0"/>
        <w:snapToGrid w:val="0"/>
        <w:spacing w:line="360" w:lineRule="auto"/>
        <w:rPr>
          <w:rFonts w:ascii="宋体" w:hAnsi="宋体" w:cs="仿宋"/>
          <w:sz w:val="24"/>
        </w:rPr>
      </w:pPr>
      <w:r>
        <w:rPr>
          <w:rFonts w:hint="eastAsia" w:ascii="宋体" w:hAnsi="宋体" w:cs="仿宋"/>
          <w:sz w:val="24"/>
        </w:rPr>
        <w:t>……</w:t>
      </w:r>
    </w:p>
    <w:p w14:paraId="51DB7739">
      <w:pPr>
        <w:adjustRightInd w:val="0"/>
        <w:snapToGrid w:val="0"/>
        <w:spacing w:line="360" w:lineRule="auto"/>
        <w:rPr>
          <w:rFonts w:ascii="宋体" w:hAnsi="宋体" w:cs="仿宋"/>
          <w:b/>
          <w:bCs/>
          <w:sz w:val="24"/>
        </w:rPr>
      </w:pPr>
      <w:bookmarkStart w:id="1147" w:name="_Toc17919"/>
      <w:r>
        <w:rPr>
          <w:rFonts w:hint="eastAsia" w:ascii="宋体" w:hAnsi="宋体" w:cs="仿宋"/>
          <w:b/>
          <w:bCs/>
          <w:sz w:val="24"/>
        </w:rPr>
        <w:t>四、与质疑事项相关的质疑请求</w:t>
      </w:r>
      <w:bookmarkEnd w:id="1147"/>
    </w:p>
    <w:p w14:paraId="497A75A6">
      <w:pPr>
        <w:adjustRightInd w:val="0"/>
        <w:snapToGrid w:val="0"/>
        <w:spacing w:line="360" w:lineRule="auto"/>
        <w:rPr>
          <w:rFonts w:ascii="宋体" w:hAnsi="宋体" w:cs="仿宋"/>
          <w:sz w:val="24"/>
          <w:u w:val="dotted"/>
        </w:rPr>
      </w:pPr>
      <w:r>
        <w:rPr>
          <w:rFonts w:hint="eastAsia" w:ascii="宋体" w:hAnsi="宋体" w:cs="仿宋"/>
          <w:sz w:val="24"/>
        </w:rPr>
        <w:t>请求：</w:t>
      </w:r>
      <w:r>
        <w:rPr>
          <w:rFonts w:hint="eastAsia" w:ascii="宋体" w:hAnsi="宋体" w:cs="仿宋"/>
          <w:sz w:val="24"/>
          <w:u w:val="dotted"/>
        </w:rPr>
        <w:t xml:space="preserve">                                               </w:t>
      </w:r>
    </w:p>
    <w:p w14:paraId="56EC45DA">
      <w:pPr>
        <w:spacing w:line="360" w:lineRule="auto"/>
        <w:rPr>
          <w:rFonts w:ascii="宋体" w:hAnsi="宋体"/>
          <w:sz w:val="24"/>
        </w:rPr>
      </w:pPr>
      <w:r>
        <w:rPr>
          <w:rFonts w:hint="eastAsia" w:ascii="宋体" w:hAnsi="宋体"/>
          <w:sz w:val="24"/>
        </w:rPr>
        <w:t xml:space="preserve">签字(签章)：                   公章：                      </w:t>
      </w:r>
    </w:p>
    <w:p w14:paraId="7A634F4D">
      <w:pPr>
        <w:spacing w:line="360" w:lineRule="auto"/>
        <w:rPr>
          <w:rFonts w:ascii="宋体" w:hAnsi="宋体"/>
          <w:sz w:val="24"/>
        </w:rPr>
      </w:pPr>
      <w:r>
        <w:rPr>
          <w:rFonts w:hint="eastAsia" w:ascii="宋体" w:hAnsi="宋体"/>
          <w:sz w:val="24"/>
        </w:rPr>
        <w:t xml:space="preserve">日期：    </w:t>
      </w:r>
    </w:p>
    <w:p w14:paraId="30B032F2">
      <w:pPr>
        <w:widowControl/>
        <w:jc w:val="left"/>
        <w:rPr>
          <w:rFonts w:ascii="仿宋" w:hAnsi="仿宋" w:eastAsia="仿宋" w:cs="仿宋"/>
          <w:sz w:val="32"/>
          <w:szCs w:val="32"/>
        </w:rPr>
      </w:pPr>
      <w:r>
        <w:rPr>
          <w:rFonts w:ascii="仿宋" w:hAnsi="仿宋" w:eastAsia="仿宋" w:cs="仿宋"/>
          <w:sz w:val="32"/>
          <w:szCs w:val="32"/>
        </w:rPr>
        <w:br w:type="page"/>
      </w:r>
    </w:p>
    <w:p w14:paraId="3E2F5912">
      <w:pPr>
        <w:outlineLvl w:val="0"/>
        <w:rPr>
          <w:rFonts w:ascii="宋体" w:hAnsi="宋体"/>
          <w:b/>
          <w:sz w:val="28"/>
          <w:szCs w:val="32"/>
        </w:rPr>
      </w:pPr>
      <w:bookmarkStart w:id="1148" w:name="_Toc22162"/>
      <w:bookmarkStart w:id="1149" w:name="_Toc4086"/>
      <w:bookmarkStart w:id="1150" w:name="_Toc1804"/>
      <w:bookmarkStart w:id="1151" w:name="_Toc9754"/>
      <w:bookmarkStart w:id="1152" w:name="_Toc26836"/>
      <w:r>
        <w:rPr>
          <w:rFonts w:hint="eastAsia" w:ascii="宋体" w:hAnsi="宋体"/>
          <w:b/>
          <w:sz w:val="28"/>
          <w:szCs w:val="32"/>
        </w:rPr>
        <w:t>质疑函制作说明：</w:t>
      </w:r>
      <w:bookmarkEnd w:id="1148"/>
      <w:bookmarkEnd w:id="1149"/>
      <w:bookmarkEnd w:id="1150"/>
      <w:bookmarkEnd w:id="1151"/>
      <w:bookmarkEnd w:id="1152"/>
    </w:p>
    <w:p w14:paraId="4CAAD51A">
      <w:pPr>
        <w:spacing w:line="360" w:lineRule="auto"/>
        <w:ind w:firstLine="435"/>
        <w:rPr>
          <w:rFonts w:ascii="宋体" w:hAnsi="宋体"/>
          <w:sz w:val="24"/>
        </w:rPr>
      </w:pPr>
      <w:r>
        <w:rPr>
          <w:rFonts w:hint="eastAsia" w:ascii="宋体" w:hAnsi="宋体"/>
          <w:sz w:val="24"/>
        </w:rPr>
        <w:t>1.供应商提出质疑时，应提交质疑函和必要的证明材料。</w:t>
      </w:r>
    </w:p>
    <w:p w14:paraId="12A0DE62">
      <w:pPr>
        <w:spacing w:line="360" w:lineRule="auto"/>
        <w:ind w:firstLine="435"/>
        <w:rPr>
          <w:rFonts w:ascii="宋体" w:hAnsi="宋体"/>
          <w:sz w:val="24"/>
        </w:rPr>
      </w:pPr>
      <w:r>
        <w:rPr>
          <w:rFonts w:hint="eastAsia" w:ascii="宋体" w:hAnsi="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0329D36">
      <w:pPr>
        <w:spacing w:line="360" w:lineRule="auto"/>
        <w:ind w:firstLine="435"/>
        <w:rPr>
          <w:rFonts w:ascii="宋体" w:hAnsi="宋体"/>
          <w:sz w:val="24"/>
        </w:rPr>
      </w:pPr>
      <w:r>
        <w:rPr>
          <w:rFonts w:hint="eastAsia" w:ascii="宋体" w:hAnsi="宋体"/>
          <w:sz w:val="24"/>
        </w:rPr>
        <w:t>3.质疑供应商若对项目的某一分包进行质疑，质疑函中应列明具体分包号。</w:t>
      </w:r>
    </w:p>
    <w:p w14:paraId="0E84D323">
      <w:pPr>
        <w:spacing w:line="360" w:lineRule="auto"/>
        <w:ind w:firstLine="435"/>
        <w:rPr>
          <w:rFonts w:ascii="宋体" w:hAnsi="宋体"/>
          <w:sz w:val="24"/>
        </w:rPr>
      </w:pPr>
      <w:r>
        <w:rPr>
          <w:rFonts w:hint="eastAsia" w:ascii="宋体" w:hAnsi="宋体"/>
          <w:sz w:val="24"/>
        </w:rPr>
        <w:t>4.质疑函的质疑事项应具体、明确，并有必要的事实依据和法律依据。</w:t>
      </w:r>
    </w:p>
    <w:p w14:paraId="32DAD018">
      <w:pPr>
        <w:spacing w:line="360" w:lineRule="auto"/>
        <w:ind w:firstLine="435"/>
        <w:rPr>
          <w:rFonts w:ascii="宋体" w:hAnsi="宋体"/>
          <w:sz w:val="24"/>
        </w:rPr>
      </w:pPr>
      <w:r>
        <w:rPr>
          <w:rFonts w:hint="eastAsia" w:ascii="宋体" w:hAnsi="宋体"/>
          <w:sz w:val="24"/>
        </w:rPr>
        <w:t>5.质疑函的质疑请求应与质疑事项相关。</w:t>
      </w:r>
    </w:p>
    <w:p w14:paraId="38A2ECFD">
      <w:pPr>
        <w:spacing w:line="360" w:lineRule="auto"/>
        <w:ind w:firstLine="435"/>
        <w:rPr>
          <w:rFonts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p w14:paraId="22D1A81A">
      <w:pPr>
        <w:widowControl/>
        <w:adjustRightInd w:val="0"/>
        <w:snapToGrid w:val="0"/>
        <w:spacing w:before="96" w:beforeLines="40" w:after="96" w:afterLines="40" w:line="400" w:lineRule="exact"/>
        <w:ind w:firstLine="420" w:firstLineChars="200"/>
        <w:jc w:val="left"/>
      </w:pPr>
    </w:p>
    <w:p w14:paraId="7B8EE9E9">
      <w:pPr>
        <w:widowControl/>
        <w:tabs>
          <w:tab w:val="left" w:pos="2400"/>
          <w:tab w:val="left" w:pos="3460"/>
          <w:tab w:val="left" w:pos="6660"/>
          <w:tab w:val="left" w:pos="8789"/>
        </w:tabs>
        <w:adjustRightInd w:val="0"/>
        <w:snapToGrid w:val="0"/>
        <w:spacing w:line="360" w:lineRule="auto"/>
        <w:ind w:firstLine="420" w:firstLineChars="200"/>
        <w:jc w:val="left"/>
        <w:rPr>
          <w:rFonts w:ascii="宋体" w:hAnsi="宋体"/>
          <w:szCs w:val="21"/>
        </w:rPr>
      </w:pPr>
    </w:p>
    <w:p w14:paraId="09909DD1"/>
    <w:sectPr>
      <w:footerReference r:id="rId8" w:type="even"/>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E1DA">
    <w:pPr>
      <w:pStyle w:val="11"/>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47DF9">
    <w:pPr>
      <w:pStyle w:val="11"/>
      <w:jc w:val="center"/>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6BF811C">
                          <w:pPr>
                            <w:pStyle w:val="11"/>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14:paraId="56BF811C">
                    <w:pPr>
                      <w:pStyle w:val="11"/>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4D7D5">
    <w:pPr>
      <w:pStyle w:val="11"/>
      <w:jc w:val="center"/>
    </w:pPr>
    <w:r>
      <w:fldChar w:fldCharType="begin"/>
    </w:r>
    <w:r>
      <w:instrText xml:space="preserve">PAGE   \* MERGEFORMAT</w:instrText>
    </w:r>
    <w:r>
      <w:fldChar w:fldCharType="separate"/>
    </w:r>
    <w:r>
      <w:rPr>
        <w:lang w:val="zh-CN"/>
      </w:rPr>
      <w:t>75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98816">
    <w:pPr>
      <w:pStyle w:val="11"/>
      <w:framePr w:wrap="around" w:vAnchor="text" w:hAnchor="margin" w:xAlign="center" w:y="1"/>
      <w:rPr>
        <w:rStyle w:val="16"/>
      </w:rPr>
    </w:pPr>
    <w:r>
      <w:fldChar w:fldCharType="begin"/>
    </w:r>
    <w:r>
      <w:rPr>
        <w:rStyle w:val="16"/>
      </w:rPr>
      <w:instrText xml:space="preserve">PAGE  </w:instrText>
    </w:r>
    <w:r>
      <w:fldChar w:fldCharType="end"/>
    </w:r>
  </w:p>
  <w:p w14:paraId="0F3ADD7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55E55">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BF933">
    <w:pPr>
      <w:pStyle w:val="12"/>
      <w:jc w:val="left"/>
    </w:pPr>
    <w:r>
      <w:rPr>
        <w:rFonts w:hint="eastAsia" w:ascii="宋体" w:hAnsi="宋体"/>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C62D0"/>
    <w:multiLevelType w:val="multilevel"/>
    <w:tmpl w:val="569C62D0"/>
    <w:lvl w:ilvl="0" w:tentative="0">
      <w:start w:val="1"/>
      <w:numFmt w:val="decimal"/>
      <w:lvlText w:val="（%1）"/>
      <w:lvlJc w:val="left"/>
      <w:pPr>
        <w:ind w:left="709" w:hanging="601"/>
      </w:pPr>
      <w:rPr>
        <w:rFonts w:hint="default" w:ascii="宋体" w:hAnsi="宋体" w:eastAsia="宋体" w:cs="宋体"/>
        <w:color w:val="auto"/>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D6E54"/>
    <w:rsid w:val="00077436"/>
    <w:rsid w:val="000C59E9"/>
    <w:rsid w:val="0025513A"/>
    <w:rsid w:val="004056B9"/>
    <w:rsid w:val="00407CFC"/>
    <w:rsid w:val="00442677"/>
    <w:rsid w:val="006E55B9"/>
    <w:rsid w:val="007E7294"/>
    <w:rsid w:val="008520FE"/>
    <w:rsid w:val="0086068E"/>
    <w:rsid w:val="0086181F"/>
    <w:rsid w:val="00947A9A"/>
    <w:rsid w:val="009801FA"/>
    <w:rsid w:val="00BB52BC"/>
    <w:rsid w:val="00BF6B71"/>
    <w:rsid w:val="00C52CC6"/>
    <w:rsid w:val="00C70347"/>
    <w:rsid w:val="00D4612D"/>
    <w:rsid w:val="00F45EF9"/>
    <w:rsid w:val="036122D5"/>
    <w:rsid w:val="03741E4A"/>
    <w:rsid w:val="06255C32"/>
    <w:rsid w:val="086D2325"/>
    <w:rsid w:val="0C31611F"/>
    <w:rsid w:val="10D2643B"/>
    <w:rsid w:val="113445DC"/>
    <w:rsid w:val="246A470B"/>
    <w:rsid w:val="252B4B4C"/>
    <w:rsid w:val="2E114AFB"/>
    <w:rsid w:val="398F234B"/>
    <w:rsid w:val="39AE31FE"/>
    <w:rsid w:val="3AC21656"/>
    <w:rsid w:val="3B712735"/>
    <w:rsid w:val="5A7B0A82"/>
    <w:rsid w:val="5C312152"/>
    <w:rsid w:val="68D2756F"/>
    <w:rsid w:val="6A590DE0"/>
    <w:rsid w:val="6CA03C5F"/>
    <w:rsid w:val="738D6E54"/>
    <w:rsid w:val="783F0EE9"/>
    <w:rsid w:val="7D584F27"/>
    <w:rsid w:val="7EC85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widowControl/>
      <w:adjustRightInd w:val="0"/>
      <w:snapToGrid w:val="0"/>
      <w:spacing w:line="360" w:lineRule="auto"/>
      <w:jc w:val="center"/>
      <w:outlineLvl w:val="2"/>
    </w:pPr>
    <w:rPr>
      <w:rFonts w:ascii="宋体" w:hAnsi="宋体"/>
      <w:b/>
      <w:bCs/>
      <w:kern w:val="0"/>
      <w:sz w:val="24"/>
      <w:szCs w:val="21"/>
      <w:lang w:bidi="en-US"/>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qFormat/>
    <w:uiPriority w:val="0"/>
    <w:pPr>
      <w:spacing w:after="120"/>
    </w:pPr>
    <w:rPr>
      <w:sz w:val="16"/>
      <w:szCs w:val="16"/>
    </w:rPr>
  </w:style>
  <w:style w:type="paragraph" w:styleId="6">
    <w:name w:val="Body Text"/>
    <w:basedOn w:val="1"/>
    <w:qFormat/>
    <w:uiPriority w:val="0"/>
    <w:rPr>
      <w:rFonts w:eastAsia="黑体"/>
      <w:sz w:val="36"/>
    </w:rPr>
  </w:style>
  <w:style w:type="paragraph" w:styleId="7">
    <w:name w:val="Body Text Indent"/>
    <w:basedOn w:val="1"/>
    <w:qFormat/>
    <w:uiPriority w:val="0"/>
    <w:pPr>
      <w:spacing w:after="120"/>
      <w:ind w:left="420" w:leftChars="200"/>
    </w:pPr>
  </w:style>
  <w:style w:type="paragraph" w:styleId="8">
    <w:name w:val="Plain Text"/>
    <w:basedOn w:val="1"/>
    <w:qFormat/>
    <w:uiPriority w:val="0"/>
    <w:rPr>
      <w:rFonts w:ascii="宋体" w:hAnsi="Courier New"/>
      <w:szCs w:val="21"/>
    </w:rPr>
  </w:style>
  <w:style w:type="paragraph" w:styleId="9">
    <w:name w:val="Date"/>
    <w:basedOn w:val="1"/>
    <w:next w:val="1"/>
    <w:qFormat/>
    <w:uiPriority w:val="0"/>
    <w:pPr>
      <w:adjustRightInd w:val="0"/>
      <w:spacing w:line="360" w:lineRule="atLeast"/>
    </w:pPr>
    <w:rPr>
      <w:rFonts w:ascii="宋体"/>
      <w:kern w:val="0"/>
      <w:sz w:val="24"/>
      <w:szCs w:val="20"/>
    </w:rPr>
  </w:style>
  <w:style w:type="paragraph" w:styleId="10">
    <w:name w:val="Balloon Text"/>
    <w:basedOn w:val="1"/>
    <w:link w:val="35"/>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index 1"/>
    <w:basedOn w:val="1"/>
    <w:next w:val="1"/>
    <w:semiHidden/>
    <w:qFormat/>
    <w:uiPriority w:val="0"/>
    <w:pPr>
      <w:spacing w:line="220" w:lineRule="exact"/>
      <w:jc w:val="center"/>
    </w:pPr>
    <w:rPr>
      <w:rFonts w:ascii="仿宋_GB2312" w:eastAsia="仿宋_GB2312"/>
      <w:szCs w:val="21"/>
    </w:rPr>
  </w:style>
  <w:style w:type="character" w:styleId="16">
    <w:name w:val="page number"/>
    <w:qFormat/>
    <w:uiPriority w:val="0"/>
  </w:style>
  <w:style w:type="character" w:styleId="17">
    <w:name w:val="Hyperlink"/>
    <w:qFormat/>
    <w:uiPriority w:val="99"/>
    <w:rPr>
      <w:color w:val="0000FF"/>
      <w:u w:val="single"/>
    </w:rPr>
  </w:style>
  <w:style w:type="paragraph" w:customStyle="1" w:styleId="18">
    <w:name w:val="WPSOffice手动目录 1"/>
    <w:qFormat/>
    <w:uiPriority w:val="0"/>
    <w:rPr>
      <w:rFonts w:ascii="Times New Roman" w:hAnsi="Times New Roman" w:eastAsia="宋体" w:cs="Times New Roman"/>
      <w:lang w:val="en-US" w:eastAsia="zh-CN" w:bidi="ar-SA"/>
    </w:rPr>
  </w:style>
  <w:style w:type="character" w:customStyle="1" w:styleId="19">
    <w:name w:val="标题 2 Char Char"/>
    <w:qFormat/>
    <w:uiPriority w:val="0"/>
    <w:rPr>
      <w:rFonts w:ascii="Arial" w:hAnsi="Arial" w:eastAsia="黑体" w:cs="Times New Roman"/>
      <w:b/>
      <w:bCs/>
      <w:kern w:val="2"/>
      <w:sz w:val="32"/>
      <w:szCs w:val="32"/>
      <w:lang w:val="en-US" w:eastAsia="zh-CN" w:bidi="ar-SA"/>
    </w:rPr>
  </w:style>
  <w:style w:type="paragraph" w:customStyle="1" w:styleId="20">
    <w:name w:val="Normal_0"/>
    <w:qFormat/>
    <w:uiPriority w:val="0"/>
    <w:rPr>
      <w:rFonts w:ascii="Calibri" w:hAnsi="Calibri" w:eastAsia="宋体" w:cs="Times New Roman"/>
      <w:sz w:val="24"/>
      <w:szCs w:val="24"/>
      <w:lang w:val="en-US" w:eastAsia="zh-CN" w:bidi="ar-SA"/>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2">
    <w:name w:val="List Paragraph"/>
    <w:basedOn w:val="1"/>
    <w:qFormat/>
    <w:uiPriority w:val="34"/>
    <w:pPr>
      <w:ind w:firstLine="420" w:firstLineChars="200"/>
    </w:pPr>
  </w:style>
  <w:style w:type="paragraph" w:customStyle="1" w:styleId="23">
    <w:name w:val="D&amp;L"/>
    <w:basedOn w:val="12"/>
    <w:qFormat/>
    <w:uiPriority w:val="99"/>
    <w:pPr>
      <w:pBdr>
        <w:bottom w:val="thinThickSmallGap" w:color="auto" w:sz="18" w:space="1"/>
      </w:pBdr>
      <w:adjustRightInd w:val="0"/>
      <w:snapToGrid/>
      <w:spacing w:line="240" w:lineRule="atLeast"/>
      <w:textAlignment w:val="baseline"/>
    </w:pPr>
    <w:rPr>
      <w:sz w:val="24"/>
      <w:szCs w:val="20"/>
    </w:rPr>
  </w:style>
  <w:style w:type="paragraph" w:customStyle="1" w:styleId="24">
    <w:name w:val="xl31"/>
    <w:basedOn w:val="1"/>
    <w:qFormat/>
    <w:uiPriority w:val="0"/>
    <w:pPr>
      <w:widowControl/>
      <w:spacing w:before="100" w:beforeAutospacing="1" w:after="100" w:afterAutospacing="1"/>
      <w:jc w:val="center"/>
    </w:pPr>
    <w:rPr>
      <w:b/>
      <w:bCs/>
      <w:kern w:val="0"/>
      <w:sz w:val="28"/>
      <w:szCs w:val="28"/>
    </w:rPr>
  </w:style>
  <w:style w:type="character" w:customStyle="1" w:styleId="25">
    <w:name w:val="font51"/>
    <w:basedOn w:val="15"/>
    <w:qFormat/>
    <w:uiPriority w:val="0"/>
    <w:rPr>
      <w:rFonts w:ascii="宋体" w:hAnsi="宋体" w:eastAsia="宋体" w:cs="宋体"/>
      <w:b/>
      <w:bCs/>
      <w:color w:val="000000"/>
      <w:sz w:val="18"/>
      <w:szCs w:val="18"/>
      <w:u w:val="none"/>
    </w:rPr>
  </w:style>
  <w:style w:type="character" w:customStyle="1" w:styleId="26">
    <w:name w:val="font21"/>
    <w:basedOn w:val="15"/>
    <w:qFormat/>
    <w:uiPriority w:val="0"/>
    <w:rPr>
      <w:rFonts w:ascii="宋体" w:hAnsi="宋体" w:eastAsia="宋体" w:cs="宋体"/>
      <w:color w:val="000000"/>
      <w:sz w:val="18"/>
      <w:szCs w:val="18"/>
      <w:u w:val="none"/>
    </w:rPr>
  </w:style>
  <w:style w:type="character" w:customStyle="1" w:styleId="27">
    <w:name w:val="font31"/>
    <w:basedOn w:val="15"/>
    <w:qFormat/>
    <w:uiPriority w:val="0"/>
    <w:rPr>
      <w:rFonts w:ascii="宋体" w:hAnsi="宋体" w:eastAsia="宋体" w:cs="宋体"/>
      <w:color w:val="000000"/>
      <w:sz w:val="18"/>
      <w:szCs w:val="18"/>
      <w:u w:val="none"/>
    </w:rPr>
  </w:style>
  <w:style w:type="character" w:customStyle="1" w:styleId="28">
    <w:name w:val="font41"/>
    <w:basedOn w:val="15"/>
    <w:qFormat/>
    <w:uiPriority w:val="0"/>
    <w:rPr>
      <w:rFonts w:ascii="宋体" w:hAnsi="宋体" w:eastAsia="宋体" w:cs="宋体"/>
      <w:b/>
      <w:bCs/>
      <w:color w:val="000000"/>
      <w:sz w:val="18"/>
      <w:szCs w:val="18"/>
      <w:u w:val="none"/>
    </w:rPr>
  </w:style>
  <w:style w:type="paragraph" w:customStyle="1" w:styleId="29">
    <w:name w:val="p0"/>
    <w:basedOn w:val="1"/>
    <w:qFormat/>
    <w:uiPriority w:val="0"/>
    <w:pPr>
      <w:widowControl/>
    </w:pPr>
    <w:rPr>
      <w:kern w:val="0"/>
      <w:szCs w:val="21"/>
    </w:rPr>
  </w:style>
  <w:style w:type="paragraph" w:customStyle="1" w:styleId="30">
    <w:name w:val="p15"/>
    <w:basedOn w:val="1"/>
    <w:qFormat/>
    <w:uiPriority w:val="0"/>
    <w:pPr>
      <w:widowControl/>
      <w:spacing w:before="100" w:line="400" w:lineRule="atLeast"/>
    </w:pPr>
    <w:rPr>
      <w:kern w:val="0"/>
      <w:sz w:val="28"/>
      <w:szCs w:val="28"/>
    </w:rPr>
  </w:style>
  <w:style w:type="paragraph" w:customStyle="1" w:styleId="31">
    <w:name w:val="Char Char Char Char Char Char Char1 Char"/>
    <w:basedOn w:val="1"/>
    <w:qFormat/>
    <w:uiPriority w:val="0"/>
    <w:rPr>
      <w:rFonts w:ascii="Tahoma" w:hAnsi="Tahoma"/>
      <w:sz w:val="24"/>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cs="宋体"/>
      <w:sz w:val="24"/>
      <w:lang w:eastAsia="en-US"/>
    </w:rPr>
  </w:style>
  <w:style w:type="character" w:customStyle="1" w:styleId="34">
    <w:name w:val="font81"/>
    <w:basedOn w:val="15"/>
    <w:qFormat/>
    <w:uiPriority w:val="0"/>
    <w:rPr>
      <w:rFonts w:ascii="宋体" w:hAnsi="宋体" w:eastAsia="宋体" w:cs="宋体"/>
      <w:b/>
      <w:bCs/>
      <w:color w:val="000000"/>
      <w:sz w:val="18"/>
      <w:szCs w:val="18"/>
      <w:u w:val="none"/>
    </w:rPr>
  </w:style>
  <w:style w:type="character" w:customStyle="1" w:styleId="35">
    <w:name w:val="批注框文本 Char"/>
    <w:basedOn w:val="15"/>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22157</Words>
  <Characters>23975</Characters>
  <Lines>1774</Lines>
  <Paragraphs>1998</Paragraphs>
  <TotalTime>16</TotalTime>
  <ScaleCrop>false</ScaleCrop>
  <LinksUpToDate>false</LinksUpToDate>
  <CharactersWithSpaces>24356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2025-09-03T09:47:00Z</dcterms:created>
  <dc:creator>NTKO</dc:creator>
  <cp:lastModifiedBy>NTKO</cp:lastModifiedBy>
  <cp:lastPrinted>2025-09-04T06:25:00Z</cp:lastPrinted>
  <dcterms:modified xsi:type="dcterms:W3CDTF">2025-09-18T07:51:47Z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68CA19193813458CBBBFFD72B121BF84_11</vt:lpwstr>
  </property>
  <property fmtid="{D5CDD505-2E9C-101B-9397-08002B2CF9AE}" pid="4" name="KSOTemplateDocerSaveRecord">
    <vt:lpwstr>eyJoZGlkIjoiN2YzNjBkOTgyNWQ1YTMxYzM3MzMwNWFiODNmOWIzYWMiLCJ1c2VySWQiOiIzNTgyNTc0NTQifQ==</vt:lpwstr>
  </property>
</Properties>
</file>