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BE169B">
      <w:pPr>
        <w:spacing w:line="360" w:lineRule="auto"/>
        <w:jc w:val="center"/>
        <w:outlineLvl w:val="0"/>
        <w:rPr>
          <w:rFonts w:asciiTheme="minorEastAsia" w:hAnsiTheme="minorEastAsia" w:eastAsiaTheme="minorEastAsia"/>
          <w:b/>
          <w:sz w:val="28"/>
          <w:highlight w:val="none"/>
        </w:rPr>
      </w:pPr>
      <w:r>
        <w:rPr>
          <w:rFonts w:hint="eastAsia" w:asciiTheme="minorEastAsia" w:hAnsiTheme="minorEastAsia" w:eastAsiaTheme="minorEastAsia"/>
          <w:b/>
          <w:sz w:val="28"/>
          <w:highlight w:val="none"/>
        </w:rPr>
        <w:t>采购需求</w:t>
      </w:r>
    </w:p>
    <w:p w14:paraId="414A422B">
      <w:pPr>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前注：</w:t>
      </w:r>
    </w:p>
    <w:p w14:paraId="019F8686">
      <w:pPr>
        <w:spacing w:line="360" w:lineRule="auto"/>
        <w:ind w:firstLine="435"/>
        <w:rPr>
          <w:rFonts w:ascii="宋体" w:hAnsi="宋体" w:eastAsia="宋体"/>
          <w:sz w:val="24"/>
          <w:szCs w:val="18"/>
          <w:highlight w:val="none"/>
        </w:rPr>
      </w:pPr>
      <w:r>
        <w:rPr>
          <w:rFonts w:hint="eastAsia" w:asciiTheme="minorEastAsia" w:hAnsiTheme="minorEastAsia" w:eastAsiaTheme="minorEastAsia"/>
          <w:sz w:val="24"/>
          <w:highlight w:val="none"/>
        </w:rPr>
        <w:t>1.</w:t>
      </w:r>
      <w:r>
        <w:rPr>
          <w:rFonts w:ascii="宋体" w:hAnsi="宋体" w:eastAsia="宋体"/>
          <w:sz w:val="24"/>
          <w:szCs w:val="18"/>
          <w:highlight w:val="none"/>
        </w:rPr>
        <w:t>根据《</w:t>
      </w:r>
      <w:r>
        <w:rPr>
          <w:rFonts w:hint="eastAsia" w:ascii="宋体" w:hAnsi="宋体" w:eastAsia="宋体"/>
          <w:sz w:val="24"/>
          <w:szCs w:val="18"/>
          <w:highlight w:val="none"/>
        </w:rPr>
        <w:t>政府采购进口产品管理办法</w:t>
      </w:r>
      <w:r>
        <w:rPr>
          <w:rFonts w:ascii="宋体" w:hAnsi="宋体" w:eastAsia="宋体"/>
          <w:sz w:val="24"/>
          <w:szCs w:val="18"/>
          <w:highlight w:val="none"/>
        </w:rPr>
        <w:t>》及政府采购管理部门的相关规定，下列采购需求中</w:t>
      </w:r>
      <w:r>
        <w:rPr>
          <w:rFonts w:hint="eastAsia" w:ascii="宋体" w:hAnsi="宋体" w:eastAsia="宋体"/>
          <w:sz w:val="24"/>
          <w:szCs w:val="18"/>
          <w:highlight w:val="none"/>
        </w:rPr>
        <w:t>标注进口产品的货物均</w:t>
      </w:r>
      <w:r>
        <w:rPr>
          <w:rFonts w:ascii="宋体" w:hAnsi="宋体" w:eastAsia="宋体"/>
          <w:sz w:val="24"/>
          <w:szCs w:val="18"/>
          <w:highlight w:val="none"/>
        </w:rPr>
        <w:t>已履行相关论证手续，经核准采购进口</w:t>
      </w:r>
      <w:r>
        <w:rPr>
          <w:rFonts w:hint="eastAsia" w:ascii="宋体" w:hAnsi="宋体" w:eastAsia="宋体"/>
          <w:sz w:val="24"/>
          <w:szCs w:val="18"/>
          <w:highlight w:val="none"/>
        </w:rPr>
        <w:t>产品</w:t>
      </w:r>
      <w:r>
        <w:rPr>
          <w:rFonts w:ascii="宋体" w:hAnsi="宋体" w:eastAsia="宋体"/>
          <w:sz w:val="24"/>
          <w:szCs w:val="18"/>
          <w:highlight w:val="none"/>
        </w:rPr>
        <w:t>，但不限制满足招标文件要求的国内产品参与竞争</w:t>
      </w:r>
      <w:r>
        <w:rPr>
          <w:rFonts w:hint="eastAsia" w:ascii="宋体" w:hAnsi="宋体" w:eastAsia="宋体"/>
          <w:sz w:val="24"/>
          <w:szCs w:val="18"/>
          <w:highlight w:val="none"/>
        </w:rPr>
        <w:t>。未标注进口产品的货物均</w:t>
      </w:r>
      <w:r>
        <w:rPr>
          <w:rFonts w:ascii="宋体" w:hAnsi="宋体" w:eastAsia="宋体"/>
          <w:sz w:val="24"/>
          <w:szCs w:val="18"/>
          <w:highlight w:val="none"/>
        </w:rPr>
        <w:t>为拒绝采购进口产品</w:t>
      </w:r>
      <w:r>
        <w:rPr>
          <w:rFonts w:hint="eastAsia" w:ascii="宋体" w:hAnsi="宋体" w:eastAsia="宋体"/>
          <w:sz w:val="24"/>
          <w:szCs w:val="18"/>
          <w:highlight w:val="none"/>
        </w:rPr>
        <w:t>。</w:t>
      </w:r>
    </w:p>
    <w:p w14:paraId="669E2E63">
      <w:pPr>
        <w:spacing w:line="360" w:lineRule="auto"/>
        <w:ind w:firstLine="435"/>
        <w:rPr>
          <w:rFonts w:ascii="宋体" w:hAnsi="宋体" w:eastAsia="宋体"/>
          <w:sz w:val="24"/>
          <w:szCs w:val="18"/>
          <w:highlight w:val="none"/>
        </w:rPr>
      </w:pPr>
      <w:r>
        <w:rPr>
          <w:rFonts w:hint="eastAsia" w:ascii="宋体" w:hAnsi="宋体" w:eastAsia="宋体"/>
          <w:sz w:val="24"/>
          <w:szCs w:val="18"/>
          <w:highlight w:val="none"/>
        </w:rPr>
        <w:t>2.</w:t>
      </w:r>
      <w:r>
        <w:rPr>
          <w:rFonts w:ascii="宋体" w:hAnsi="宋体" w:eastAsia="宋体" w:cs="宋体"/>
          <w:sz w:val="24"/>
          <w:szCs w:val="24"/>
          <w:highlight w:val="none"/>
        </w:rPr>
        <w:t>政府采购政策（包括但不限于下列具体政策要求</w:t>
      </w:r>
      <w:r>
        <w:rPr>
          <w:rFonts w:hint="eastAsia" w:ascii="宋体" w:hAnsi="宋体" w:eastAsia="宋体" w:cs="宋体"/>
          <w:sz w:val="24"/>
          <w:szCs w:val="24"/>
          <w:highlight w:val="none"/>
        </w:rPr>
        <w:t>）</w:t>
      </w:r>
      <w:r>
        <w:rPr>
          <w:rFonts w:hint="eastAsia" w:ascii="宋体" w:hAnsi="宋体" w:eastAsia="宋体"/>
          <w:sz w:val="24"/>
          <w:szCs w:val="18"/>
          <w:highlight w:val="none"/>
        </w:rPr>
        <w:t>：</w:t>
      </w:r>
    </w:p>
    <w:p w14:paraId="65E030BC">
      <w:pPr>
        <w:spacing w:line="360" w:lineRule="auto"/>
        <w:ind w:firstLine="435"/>
        <w:rPr>
          <w:rFonts w:ascii="宋体" w:hAnsi="宋体" w:eastAsia="宋体" w:cs="宋体"/>
          <w:sz w:val="24"/>
          <w:szCs w:val="24"/>
          <w:highlight w:val="none"/>
        </w:rPr>
      </w:pPr>
      <w:r>
        <w:rPr>
          <w:rFonts w:hint="eastAsia" w:ascii="宋体" w:hAnsi="宋体" w:eastAsia="宋体" w:cs="宋体"/>
          <w:sz w:val="24"/>
          <w:szCs w:val="24"/>
          <w:highlight w:val="none"/>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6E234244">
      <w:pPr>
        <w:spacing w:line="360" w:lineRule="auto"/>
        <w:ind w:firstLine="435"/>
        <w:rPr>
          <w:rFonts w:ascii="宋体" w:hAnsi="宋体" w:eastAsia="宋体" w:cs="宋体"/>
          <w:sz w:val="24"/>
          <w:szCs w:val="24"/>
          <w:highlight w:val="none"/>
        </w:rPr>
      </w:pPr>
      <w:r>
        <w:rPr>
          <w:rFonts w:hint="eastAsia" w:ascii="宋体" w:hAnsi="宋体" w:eastAsia="宋体" w:cs="宋体"/>
          <w:sz w:val="24"/>
          <w:szCs w:val="24"/>
          <w:highlight w:val="none"/>
        </w:rPr>
        <w:t>（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61D0D432">
      <w:pPr>
        <w:spacing w:line="360" w:lineRule="auto"/>
        <w:ind w:firstLine="435"/>
        <w:rPr>
          <w:rFonts w:ascii="宋体" w:hAnsi="宋体" w:eastAsia="宋体"/>
          <w:b/>
          <w:bCs/>
          <w:sz w:val="24"/>
          <w:szCs w:val="18"/>
          <w:highlight w:val="none"/>
        </w:rPr>
      </w:pPr>
      <w:r>
        <w:rPr>
          <w:rFonts w:hint="eastAsia" w:ascii="宋体" w:hAnsi="宋体" w:eastAsia="宋体" w:cs="宋体"/>
          <w:sz w:val="24"/>
          <w:szCs w:val="24"/>
          <w:highlight w:val="none"/>
        </w:rPr>
        <w:t>（3）</w:t>
      </w:r>
      <w:r>
        <w:rPr>
          <w:rFonts w:hint="eastAsia" w:ascii="宋体" w:hAnsi="宋体" w:eastAsia="宋体" w:cs="宋体"/>
          <w:b/>
          <w:bCs/>
          <w:sz w:val="24"/>
          <w:szCs w:val="24"/>
          <w:highlight w:val="none"/>
        </w:rPr>
        <w:t>标注▲的产品为核心产品，投标人在投标文件《主要中标标的承诺函》中填写名称、规格、型号、数量、单价等信息，承诺函随评审结果一并公告；</w:t>
      </w:r>
    </w:p>
    <w:p w14:paraId="5FCED17B">
      <w:pPr>
        <w:spacing w:line="360" w:lineRule="auto"/>
        <w:ind w:firstLine="435"/>
        <w:rPr>
          <w:highlight w:val="none"/>
        </w:rPr>
      </w:pPr>
      <w:r>
        <w:rPr>
          <w:rFonts w:hint="eastAsia" w:ascii="宋体" w:hAnsi="宋体" w:eastAsia="宋体" w:cs="宋体"/>
          <w:sz w:val="24"/>
          <w:szCs w:val="24"/>
          <w:highlight w:val="none"/>
        </w:rPr>
        <w:t>3.</w:t>
      </w:r>
      <w:r>
        <w:rPr>
          <w:rFonts w:hint="eastAsia" w:ascii="宋体" w:hAnsi="宋体" w:eastAsia="宋体"/>
          <w:sz w:val="24"/>
          <w:szCs w:val="18"/>
          <w:highlight w:val="none"/>
        </w:rPr>
        <w:t>如采购人允许采用分包方式履行合同的，应当明确可以分包履行的相关内容。</w:t>
      </w:r>
    </w:p>
    <w:p w14:paraId="4A006E96">
      <w:pPr>
        <w:spacing w:line="360" w:lineRule="auto"/>
        <w:ind w:firstLine="437"/>
        <w:outlineLvl w:val="1"/>
        <w:rPr>
          <w:rFonts w:ascii="宋体" w:hAnsi="宋体" w:eastAsia="宋体"/>
          <w:b/>
          <w:sz w:val="24"/>
          <w:szCs w:val="18"/>
          <w:highlight w:val="none"/>
        </w:rPr>
      </w:pPr>
      <w:bookmarkStart w:id="0" w:name="_Toc2554"/>
      <w:bookmarkStart w:id="1" w:name="_Toc21076"/>
      <w:bookmarkStart w:id="2" w:name="_Toc32151"/>
      <w:r>
        <w:rPr>
          <w:rFonts w:hint="eastAsia" w:ascii="宋体" w:hAnsi="宋体" w:eastAsia="宋体"/>
          <w:b/>
          <w:sz w:val="24"/>
          <w:szCs w:val="18"/>
          <w:highlight w:val="none"/>
        </w:rPr>
        <w:t>一、采购需求前附表</w:t>
      </w:r>
      <w:bookmarkEnd w:id="0"/>
      <w:bookmarkEnd w:id="1"/>
      <w:bookmarkEnd w:id="2"/>
    </w:p>
    <w:tbl>
      <w:tblPr>
        <w:tblStyle w:val="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8"/>
        <w:gridCol w:w="1655"/>
        <w:gridCol w:w="6139"/>
      </w:tblGrid>
      <w:tr w14:paraId="4B30B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09774476">
            <w:pPr>
              <w:pStyle w:val="7"/>
              <w:pBdr>
                <w:bottom w:val="none" w:color="auto" w:sz="0" w:space="0"/>
              </w:pBdr>
              <w:tabs>
                <w:tab w:val="clear" w:pos="4153"/>
                <w:tab w:val="clear" w:pos="8306"/>
              </w:tabs>
              <w:adjustRightInd/>
              <w:spacing w:line="240" w:lineRule="auto"/>
              <w:textAlignment w:val="auto"/>
              <w:rPr>
                <w:rFonts w:ascii="宋体" w:hAnsi="宋体" w:eastAsia="宋体"/>
                <w:b/>
                <w:kern w:val="2"/>
                <w:highlight w:val="none"/>
              </w:rPr>
            </w:pPr>
            <w:r>
              <w:rPr>
                <w:rFonts w:hint="eastAsia" w:ascii="宋体" w:hAnsi="宋体" w:eastAsia="宋体"/>
                <w:b/>
                <w:kern w:val="2"/>
                <w:highlight w:val="none"/>
              </w:rPr>
              <w:t>序号</w:t>
            </w:r>
          </w:p>
        </w:tc>
        <w:tc>
          <w:tcPr>
            <w:tcW w:w="971" w:type="pct"/>
            <w:vAlign w:val="center"/>
          </w:tcPr>
          <w:p w14:paraId="21A6201B">
            <w:pPr>
              <w:pStyle w:val="8"/>
              <w:widowControl w:val="0"/>
              <w:spacing w:before="0" w:beforeAutospacing="0" w:after="0" w:afterAutospacing="0" w:line="360" w:lineRule="auto"/>
              <w:rPr>
                <w:rFonts w:ascii="宋体" w:hAnsi="宋体" w:eastAsia="宋体"/>
                <w:bCs w:val="0"/>
                <w:sz w:val="24"/>
                <w:highlight w:val="none"/>
              </w:rPr>
            </w:pPr>
            <w:r>
              <w:rPr>
                <w:rFonts w:hint="eastAsia" w:ascii="宋体" w:hAnsi="宋体" w:eastAsia="宋体"/>
                <w:bCs w:val="0"/>
                <w:sz w:val="24"/>
                <w:highlight w:val="none"/>
              </w:rPr>
              <w:t>条款名称</w:t>
            </w:r>
          </w:p>
        </w:tc>
        <w:tc>
          <w:tcPr>
            <w:tcW w:w="3601" w:type="pct"/>
            <w:vAlign w:val="center"/>
          </w:tcPr>
          <w:p w14:paraId="5E176687">
            <w:pPr>
              <w:pStyle w:val="8"/>
              <w:widowControl w:val="0"/>
              <w:spacing w:before="0" w:beforeAutospacing="0" w:after="0" w:afterAutospacing="0" w:line="360" w:lineRule="auto"/>
              <w:rPr>
                <w:rFonts w:ascii="宋体" w:hAnsi="宋体" w:eastAsia="宋体"/>
                <w:bCs w:val="0"/>
                <w:sz w:val="24"/>
                <w:highlight w:val="none"/>
              </w:rPr>
            </w:pPr>
            <w:r>
              <w:rPr>
                <w:rFonts w:hint="eastAsia" w:ascii="宋体" w:hAnsi="宋体" w:eastAsia="宋体"/>
                <w:bCs w:val="0"/>
                <w:sz w:val="24"/>
                <w:highlight w:val="none"/>
              </w:rPr>
              <w:t>内容、说明与要求</w:t>
            </w:r>
          </w:p>
        </w:tc>
      </w:tr>
      <w:tr w14:paraId="74112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0F142233">
            <w:pPr>
              <w:pStyle w:val="7"/>
              <w:pBdr>
                <w:bottom w:val="none" w:color="auto" w:sz="0" w:space="0"/>
              </w:pBdr>
              <w:tabs>
                <w:tab w:val="clear" w:pos="4153"/>
                <w:tab w:val="clear" w:pos="8306"/>
              </w:tabs>
              <w:adjustRightInd/>
              <w:spacing w:line="240" w:lineRule="auto"/>
              <w:textAlignment w:val="auto"/>
              <w:rPr>
                <w:rFonts w:ascii="宋体" w:hAnsi="宋体" w:eastAsia="宋体"/>
                <w:bCs/>
                <w:kern w:val="2"/>
                <w:highlight w:val="none"/>
              </w:rPr>
            </w:pPr>
            <w:r>
              <w:rPr>
                <w:rFonts w:hint="eastAsia" w:ascii="宋体" w:hAnsi="宋体" w:eastAsia="宋体"/>
                <w:bCs/>
                <w:kern w:val="2"/>
                <w:highlight w:val="none"/>
              </w:rPr>
              <w:t>1</w:t>
            </w:r>
          </w:p>
        </w:tc>
        <w:tc>
          <w:tcPr>
            <w:tcW w:w="971" w:type="pct"/>
            <w:vAlign w:val="center"/>
          </w:tcPr>
          <w:p w14:paraId="68C1B97E">
            <w:pPr>
              <w:pStyle w:val="8"/>
              <w:widowControl w:val="0"/>
              <w:spacing w:before="0" w:beforeAutospacing="0" w:after="0" w:afterAutospacing="0" w:line="360" w:lineRule="auto"/>
              <w:rPr>
                <w:rFonts w:ascii="宋体" w:hAnsi="宋体" w:eastAsia="宋体"/>
                <w:b w:val="0"/>
                <w:sz w:val="24"/>
                <w:highlight w:val="none"/>
              </w:rPr>
            </w:pPr>
            <w:r>
              <w:rPr>
                <w:rFonts w:hint="eastAsia" w:ascii="宋体" w:hAnsi="宋体" w:eastAsia="宋体"/>
                <w:b w:val="0"/>
                <w:sz w:val="24"/>
                <w:highlight w:val="none"/>
              </w:rPr>
              <w:t>付款方式</w:t>
            </w:r>
          </w:p>
        </w:tc>
        <w:tc>
          <w:tcPr>
            <w:tcW w:w="3601" w:type="pct"/>
            <w:vAlign w:val="center"/>
          </w:tcPr>
          <w:p w14:paraId="225F441C">
            <w:pPr>
              <w:pStyle w:val="8"/>
              <w:widowControl w:val="0"/>
              <w:spacing w:before="0" w:beforeAutospacing="0" w:after="0" w:afterAutospacing="0" w:line="360" w:lineRule="auto"/>
              <w:jc w:val="both"/>
              <w:rPr>
                <w:rFonts w:hint="eastAsia" w:ascii="宋体" w:hAnsi="宋体" w:eastAsia="宋体"/>
                <w:b w:val="0"/>
                <w:sz w:val="24"/>
                <w:highlight w:val="none"/>
                <w:u w:val="none"/>
                <w:lang w:eastAsia="zh-CN"/>
              </w:rPr>
            </w:pPr>
            <w:r>
              <w:rPr>
                <w:rFonts w:hint="eastAsia" w:ascii="宋体" w:hAnsi="宋体" w:eastAsia="宋体"/>
                <w:b w:val="0"/>
                <w:sz w:val="24"/>
                <w:highlight w:val="none"/>
                <w:u w:val="none"/>
                <w:lang w:eastAsia="zh-CN"/>
              </w:rPr>
              <w:t>验收合格后，付合同总价款的100%。</w:t>
            </w:r>
          </w:p>
        </w:tc>
      </w:tr>
      <w:tr w14:paraId="0464B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1460333F">
            <w:pPr>
              <w:pStyle w:val="7"/>
              <w:pBdr>
                <w:bottom w:val="none" w:color="auto" w:sz="0" w:space="0"/>
              </w:pBdr>
              <w:tabs>
                <w:tab w:val="clear" w:pos="4153"/>
                <w:tab w:val="clear" w:pos="8306"/>
              </w:tabs>
              <w:adjustRightInd/>
              <w:spacing w:line="240" w:lineRule="auto"/>
              <w:textAlignment w:val="auto"/>
              <w:rPr>
                <w:rFonts w:ascii="宋体" w:hAnsi="宋体" w:eastAsia="宋体"/>
                <w:bCs/>
                <w:kern w:val="2"/>
                <w:highlight w:val="none"/>
              </w:rPr>
            </w:pPr>
            <w:r>
              <w:rPr>
                <w:rFonts w:hint="eastAsia" w:ascii="宋体" w:hAnsi="宋体" w:eastAsia="宋体"/>
                <w:bCs/>
                <w:kern w:val="2"/>
                <w:highlight w:val="none"/>
              </w:rPr>
              <w:t>2</w:t>
            </w:r>
          </w:p>
        </w:tc>
        <w:tc>
          <w:tcPr>
            <w:tcW w:w="971" w:type="pct"/>
            <w:vAlign w:val="center"/>
          </w:tcPr>
          <w:p w14:paraId="12ED8004">
            <w:pPr>
              <w:pStyle w:val="8"/>
              <w:widowControl w:val="0"/>
              <w:spacing w:before="0" w:beforeAutospacing="0" w:after="0" w:afterAutospacing="0" w:line="360" w:lineRule="auto"/>
              <w:rPr>
                <w:rFonts w:ascii="宋体" w:hAnsi="宋体" w:eastAsia="宋体"/>
                <w:b w:val="0"/>
                <w:sz w:val="24"/>
                <w:highlight w:val="none"/>
              </w:rPr>
            </w:pPr>
            <w:r>
              <w:rPr>
                <w:rFonts w:hint="eastAsia" w:ascii="宋体" w:hAnsi="宋体" w:eastAsia="宋体"/>
                <w:b w:val="0"/>
                <w:sz w:val="24"/>
                <w:highlight w:val="none"/>
              </w:rPr>
              <w:t>供货及安装地点</w:t>
            </w:r>
          </w:p>
        </w:tc>
        <w:tc>
          <w:tcPr>
            <w:tcW w:w="3601" w:type="pct"/>
            <w:vAlign w:val="center"/>
          </w:tcPr>
          <w:p w14:paraId="3521E540">
            <w:pPr>
              <w:pStyle w:val="8"/>
              <w:widowControl w:val="0"/>
              <w:spacing w:before="0" w:beforeAutospacing="0" w:after="0" w:afterAutospacing="0" w:line="360" w:lineRule="auto"/>
              <w:jc w:val="both"/>
              <w:rPr>
                <w:rFonts w:hint="default" w:ascii="宋体" w:hAnsi="宋体" w:eastAsia="宋体"/>
                <w:b w:val="0"/>
                <w:sz w:val="24"/>
                <w:highlight w:val="none"/>
                <w:u w:val="none"/>
                <w:lang w:val="en-US" w:eastAsia="zh-CN"/>
              </w:rPr>
            </w:pPr>
            <w:r>
              <w:rPr>
                <w:rFonts w:hint="eastAsia" w:ascii="宋体" w:hAnsi="宋体" w:eastAsia="宋体"/>
                <w:b w:val="0"/>
                <w:sz w:val="24"/>
                <w:highlight w:val="none"/>
                <w:u w:val="none"/>
                <w:lang w:eastAsia="zh-CN"/>
              </w:rPr>
              <w:t>亳州学院，</w:t>
            </w:r>
            <w:r>
              <w:rPr>
                <w:rFonts w:hint="eastAsia" w:ascii="宋体" w:hAnsi="宋体" w:eastAsia="宋体"/>
                <w:b w:val="0"/>
                <w:sz w:val="24"/>
                <w:highlight w:val="none"/>
                <w:u w:val="none"/>
                <w:lang w:val="en-US" w:eastAsia="zh-CN"/>
              </w:rPr>
              <w:t>采购人指定地点。</w:t>
            </w:r>
          </w:p>
        </w:tc>
      </w:tr>
      <w:tr w14:paraId="2233A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0D15A85C">
            <w:pPr>
              <w:pStyle w:val="7"/>
              <w:pBdr>
                <w:bottom w:val="none" w:color="auto" w:sz="0" w:space="0"/>
              </w:pBdr>
              <w:tabs>
                <w:tab w:val="clear" w:pos="4153"/>
                <w:tab w:val="clear" w:pos="8306"/>
              </w:tabs>
              <w:adjustRightInd/>
              <w:spacing w:line="240" w:lineRule="auto"/>
              <w:textAlignment w:val="auto"/>
              <w:rPr>
                <w:rFonts w:ascii="宋体" w:hAnsi="宋体" w:eastAsia="宋体"/>
                <w:bCs/>
                <w:kern w:val="2"/>
                <w:highlight w:val="none"/>
              </w:rPr>
            </w:pPr>
            <w:r>
              <w:rPr>
                <w:rFonts w:hint="eastAsia" w:ascii="宋体" w:hAnsi="宋体" w:eastAsia="宋体"/>
                <w:bCs/>
                <w:kern w:val="2"/>
                <w:highlight w:val="none"/>
              </w:rPr>
              <w:t>3</w:t>
            </w:r>
          </w:p>
        </w:tc>
        <w:tc>
          <w:tcPr>
            <w:tcW w:w="971" w:type="pct"/>
            <w:vAlign w:val="center"/>
          </w:tcPr>
          <w:p w14:paraId="633D08C0">
            <w:pPr>
              <w:pStyle w:val="8"/>
              <w:widowControl w:val="0"/>
              <w:spacing w:before="0" w:beforeAutospacing="0" w:after="0" w:afterAutospacing="0" w:line="360" w:lineRule="auto"/>
              <w:rPr>
                <w:rFonts w:ascii="宋体" w:hAnsi="宋体" w:eastAsia="宋体"/>
                <w:b w:val="0"/>
                <w:sz w:val="24"/>
                <w:highlight w:val="none"/>
              </w:rPr>
            </w:pPr>
            <w:r>
              <w:rPr>
                <w:rFonts w:hint="eastAsia" w:ascii="宋体" w:hAnsi="宋体" w:eastAsia="宋体"/>
                <w:b w:val="0"/>
                <w:sz w:val="24"/>
                <w:highlight w:val="none"/>
              </w:rPr>
              <w:t>供货及安装期限</w:t>
            </w:r>
          </w:p>
        </w:tc>
        <w:tc>
          <w:tcPr>
            <w:tcW w:w="3601" w:type="pct"/>
            <w:vAlign w:val="center"/>
          </w:tcPr>
          <w:p w14:paraId="03FFFF02">
            <w:pPr>
              <w:pStyle w:val="8"/>
              <w:widowControl w:val="0"/>
              <w:spacing w:before="0" w:beforeAutospacing="0" w:after="0" w:afterAutospacing="0" w:line="360" w:lineRule="auto"/>
              <w:jc w:val="both"/>
              <w:rPr>
                <w:rFonts w:ascii="宋体" w:hAnsi="宋体" w:eastAsia="宋体"/>
                <w:b w:val="0"/>
                <w:sz w:val="24"/>
                <w:highlight w:val="none"/>
              </w:rPr>
            </w:pPr>
            <w:r>
              <w:rPr>
                <w:rFonts w:hint="eastAsia" w:ascii="宋体" w:hAnsi="宋体" w:eastAsia="宋体"/>
                <w:b w:val="0"/>
                <w:sz w:val="24"/>
                <w:highlight w:val="none"/>
              </w:rPr>
              <w:t>签定合同后，中标人自接到采购人书面通知（书面通知以邮件或微信方式发送）之日起</w:t>
            </w:r>
            <w:r>
              <w:rPr>
                <w:rFonts w:hint="eastAsia" w:ascii="宋体" w:hAnsi="宋体" w:eastAsia="宋体"/>
                <w:b w:val="0"/>
                <w:sz w:val="24"/>
                <w:highlight w:val="none"/>
                <w:lang w:val="en-US" w:eastAsia="zh-CN"/>
              </w:rPr>
              <w:t>45</w:t>
            </w:r>
            <w:r>
              <w:rPr>
                <w:rFonts w:hint="eastAsia" w:ascii="宋体" w:hAnsi="宋体" w:eastAsia="宋体"/>
                <w:b w:val="0"/>
                <w:sz w:val="24"/>
                <w:highlight w:val="none"/>
              </w:rPr>
              <w:t>日历天内完成供货、安装、调试。</w:t>
            </w:r>
          </w:p>
        </w:tc>
      </w:tr>
      <w:tr w14:paraId="6421F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27" w:type="pct"/>
            <w:vAlign w:val="center"/>
          </w:tcPr>
          <w:p w14:paraId="04234FFE">
            <w:pPr>
              <w:pStyle w:val="7"/>
              <w:pBdr>
                <w:bottom w:val="none" w:color="auto" w:sz="0" w:space="0"/>
              </w:pBdr>
              <w:tabs>
                <w:tab w:val="clear" w:pos="4153"/>
                <w:tab w:val="clear" w:pos="8306"/>
              </w:tabs>
              <w:adjustRightInd/>
              <w:spacing w:line="240" w:lineRule="auto"/>
              <w:textAlignment w:val="auto"/>
              <w:rPr>
                <w:rFonts w:ascii="宋体" w:hAnsi="宋体" w:eastAsia="宋体"/>
                <w:bCs/>
                <w:kern w:val="2"/>
                <w:highlight w:val="none"/>
              </w:rPr>
            </w:pPr>
            <w:r>
              <w:rPr>
                <w:rFonts w:hint="eastAsia" w:ascii="宋体" w:hAnsi="宋体" w:eastAsia="宋体"/>
                <w:bCs/>
                <w:kern w:val="2"/>
                <w:highlight w:val="none"/>
              </w:rPr>
              <w:t>4</w:t>
            </w:r>
          </w:p>
        </w:tc>
        <w:tc>
          <w:tcPr>
            <w:tcW w:w="971" w:type="pct"/>
            <w:vAlign w:val="center"/>
          </w:tcPr>
          <w:p w14:paraId="36F3BC36">
            <w:pPr>
              <w:pStyle w:val="8"/>
              <w:widowControl w:val="0"/>
              <w:spacing w:before="0" w:beforeAutospacing="0" w:after="0" w:afterAutospacing="0" w:line="360" w:lineRule="auto"/>
              <w:rPr>
                <w:rFonts w:hint="eastAsia" w:ascii="宋体" w:hAnsi="宋体" w:eastAsia="宋体"/>
                <w:b w:val="0"/>
                <w:sz w:val="24"/>
                <w:highlight w:val="none"/>
                <w:lang w:eastAsia="zh-CN"/>
              </w:rPr>
            </w:pPr>
            <w:r>
              <w:rPr>
                <w:rFonts w:hint="eastAsia" w:ascii="宋体" w:hAnsi="宋体" w:eastAsia="宋体"/>
                <w:b w:val="0"/>
                <w:sz w:val="24"/>
                <w:highlight w:val="none"/>
                <w:lang w:eastAsia="zh-CN"/>
              </w:rPr>
              <w:t>免费质保期</w:t>
            </w:r>
          </w:p>
        </w:tc>
        <w:tc>
          <w:tcPr>
            <w:tcW w:w="3601" w:type="pct"/>
            <w:vAlign w:val="center"/>
          </w:tcPr>
          <w:p w14:paraId="38F23209">
            <w:pPr>
              <w:pStyle w:val="8"/>
              <w:widowControl w:val="0"/>
              <w:spacing w:before="0" w:beforeAutospacing="0" w:after="0" w:afterAutospacing="0" w:line="360" w:lineRule="auto"/>
              <w:jc w:val="both"/>
              <w:rPr>
                <w:rFonts w:ascii="宋体" w:hAnsi="宋体" w:eastAsia="宋体"/>
                <w:b w:val="0"/>
                <w:sz w:val="24"/>
                <w:highlight w:val="none"/>
              </w:rPr>
            </w:pPr>
            <w:r>
              <w:rPr>
                <w:rFonts w:hint="eastAsia" w:ascii="宋体" w:hAnsi="宋体" w:eastAsia="宋体"/>
                <w:b w:val="0"/>
                <w:sz w:val="24"/>
                <w:highlight w:val="none"/>
              </w:rPr>
              <w:t>最低为</w:t>
            </w:r>
            <w:r>
              <w:rPr>
                <w:rFonts w:hint="eastAsia" w:ascii="宋体" w:hAnsi="宋体" w:eastAsia="宋体"/>
                <w:b w:val="0"/>
                <w:sz w:val="24"/>
                <w:highlight w:val="none"/>
                <w:lang w:val="en-US" w:eastAsia="zh-CN"/>
              </w:rPr>
              <w:t>3</w:t>
            </w:r>
            <w:r>
              <w:rPr>
                <w:rFonts w:hint="eastAsia" w:ascii="宋体" w:hAnsi="宋体" w:eastAsia="宋体"/>
                <w:b w:val="0"/>
                <w:sz w:val="24"/>
                <w:highlight w:val="none"/>
              </w:rPr>
              <w:t>年，实际质保期依照中标商投标承诺质保期增加年限并入合同</w:t>
            </w:r>
            <w:r>
              <w:rPr>
                <w:rFonts w:hint="eastAsia" w:ascii="宋体" w:hAnsi="宋体" w:eastAsia="宋体"/>
                <w:b w:val="0"/>
                <w:sz w:val="24"/>
                <w:highlight w:val="none"/>
                <w:lang w:eastAsia="zh-CN"/>
              </w:rPr>
              <w:t>。</w:t>
            </w:r>
            <w:r>
              <w:rPr>
                <w:rFonts w:hint="eastAsia" w:ascii="宋体" w:hAnsi="宋体" w:eastAsia="宋体"/>
                <w:b w:val="0"/>
                <w:sz w:val="24"/>
                <w:highlight w:val="none"/>
                <w:lang w:val="en-US" w:eastAsia="zh-CN"/>
              </w:rPr>
              <w:t>质保期内，中标人须按采购人要求，在5个日历天内负责完成免费维修或更换所供货物，若拟更换的货物因技术升级已经停产，则须更换不低于原货物档次的货物予以替代。</w:t>
            </w:r>
          </w:p>
        </w:tc>
      </w:tr>
    </w:tbl>
    <w:p w14:paraId="0EA9C7BC">
      <w:pPr>
        <w:numPr>
          <w:ilvl w:val="0"/>
          <w:numId w:val="1"/>
        </w:numPr>
        <w:spacing w:line="360" w:lineRule="auto"/>
        <w:ind w:firstLine="437"/>
        <w:outlineLvl w:val="1"/>
        <w:rPr>
          <w:rFonts w:ascii="宋体" w:hAnsi="宋体" w:eastAsia="宋体"/>
          <w:b/>
          <w:bCs/>
          <w:sz w:val="24"/>
          <w:szCs w:val="18"/>
          <w:highlight w:val="none"/>
        </w:rPr>
      </w:pPr>
      <w:bookmarkStart w:id="3" w:name="_Toc5944"/>
      <w:bookmarkStart w:id="4" w:name="_Toc7671"/>
      <w:bookmarkStart w:id="5" w:name="_Toc10993"/>
      <w:r>
        <w:rPr>
          <w:rFonts w:hint="eastAsia" w:ascii="宋体" w:hAnsi="宋体" w:eastAsia="宋体"/>
          <w:b/>
          <w:sz w:val="24"/>
          <w:szCs w:val="18"/>
          <w:highlight w:val="none"/>
        </w:rPr>
        <w:t>货物</w:t>
      </w:r>
      <w:r>
        <w:rPr>
          <w:rFonts w:hint="eastAsia" w:ascii="宋体" w:hAnsi="宋体" w:eastAsia="宋体"/>
          <w:b/>
          <w:bCs/>
          <w:sz w:val="24"/>
          <w:szCs w:val="18"/>
          <w:highlight w:val="none"/>
        </w:rPr>
        <w:t>需求</w:t>
      </w:r>
      <w:bookmarkEnd w:id="3"/>
      <w:bookmarkEnd w:id="4"/>
      <w:bookmarkEnd w:id="5"/>
    </w:p>
    <w:p w14:paraId="4F3D7F3F">
      <w:pPr>
        <w:pStyle w:val="2"/>
        <w:rPr>
          <w:rFonts w:ascii="宋体" w:hAnsi="宋体" w:eastAsia="宋体" w:cs="宋体"/>
          <w:b w:val="0"/>
          <w:sz w:val="24"/>
          <w:szCs w:val="24"/>
          <w:highlight w:val="none"/>
        </w:rPr>
      </w:pPr>
      <w:r>
        <w:rPr>
          <w:rFonts w:hint="eastAsia" w:ascii="宋体" w:hAnsi="宋体" w:eastAsia="宋体" w:cs="宋体"/>
          <w:b w:val="0"/>
          <w:sz w:val="24"/>
          <w:szCs w:val="24"/>
          <w:highlight w:val="none"/>
        </w:rPr>
        <w:t>（一）货物指标重要性表述</w:t>
      </w:r>
    </w:p>
    <w:tbl>
      <w:tblPr>
        <w:tblStyle w:val="5"/>
        <w:tblW w:w="504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63"/>
        <w:gridCol w:w="1463"/>
        <w:gridCol w:w="2213"/>
        <w:gridCol w:w="3065"/>
      </w:tblGrid>
      <w:tr w14:paraId="7D357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83" w:type="pct"/>
            <w:vAlign w:val="center"/>
          </w:tcPr>
          <w:p w14:paraId="78D1AEBA">
            <w:pPr>
              <w:jc w:val="center"/>
              <w:rPr>
                <w:rFonts w:asciiTheme="minorEastAsia" w:hAnsiTheme="minorEastAsia" w:cstheme="minorEastAsia"/>
                <w:b/>
                <w:sz w:val="24"/>
              </w:rPr>
            </w:pPr>
            <w:r>
              <w:rPr>
                <w:rFonts w:hint="eastAsia" w:asciiTheme="minorEastAsia" w:hAnsiTheme="minorEastAsia" w:cstheme="minorEastAsia"/>
                <w:b/>
                <w:sz w:val="24"/>
              </w:rPr>
              <w:t>标识类型</w:t>
            </w:r>
          </w:p>
        </w:tc>
        <w:tc>
          <w:tcPr>
            <w:tcW w:w="850" w:type="pct"/>
            <w:vAlign w:val="center"/>
          </w:tcPr>
          <w:p w14:paraId="3C6B6C66">
            <w:pPr>
              <w:jc w:val="center"/>
              <w:rPr>
                <w:rFonts w:asciiTheme="minorEastAsia" w:hAnsiTheme="minorEastAsia" w:cstheme="minorEastAsia"/>
                <w:b/>
                <w:sz w:val="24"/>
              </w:rPr>
            </w:pPr>
            <w:r>
              <w:rPr>
                <w:rFonts w:hint="eastAsia" w:asciiTheme="minorEastAsia" w:hAnsiTheme="minorEastAsia" w:cstheme="minorEastAsia"/>
                <w:b/>
                <w:sz w:val="24"/>
              </w:rPr>
              <w:t>标识符号</w:t>
            </w:r>
          </w:p>
        </w:tc>
        <w:tc>
          <w:tcPr>
            <w:tcW w:w="1286" w:type="pct"/>
            <w:vAlign w:val="center"/>
          </w:tcPr>
          <w:p w14:paraId="25DDA3E3">
            <w:pPr>
              <w:jc w:val="center"/>
              <w:rPr>
                <w:rFonts w:asciiTheme="minorEastAsia" w:hAnsiTheme="minorEastAsia" w:cstheme="minorEastAsia"/>
                <w:b/>
                <w:sz w:val="24"/>
              </w:rPr>
            </w:pPr>
            <w:r>
              <w:rPr>
                <w:rFonts w:hint="eastAsia" w:asciiTheme="minorEastAsia" w:hAnsiTheme="minorEastAsia" w:cstheme="minorEastAsia"/>
                <w:b/>
                <w:sz w:val="24"/>
              </w:rPr>
              <w:t>标识符号含义</w:t>
            </w:r>
          </w:p>
        </w:tc>
        <w:tc>
          <w:tcPr>
            <w:tcW w:w="1779" w:type="pct"/>
            <w:vAlign w:val="center"/>
          </w:tcPr>
          <w:p w14:paraId="45E74817">
            <w:pPr>
              <w:jc w:val="center"/>
              <w:rPr>
                <w:rFonts w:asciiTheme="minorEastAsia" w:hAnsiTheme="minorEastAsia" w:cstheme="minorEastAsia"/>
                <w:b/>
                <w:sz w:val="24"/>
              </w:rPr>
            </w:pPr>
            <w:r>
              <w:rPr>
                <w:rFonts w:hint="eastAsia" w:asciiTheme="minorEastAsia" w:hAnsiTheme="minorEastAsia" w:cstheme="minorEastAsia"/>
                <w:b/>
                <w:sz w:val="24"/>
              </w:rPr>
              <w:t>代表意思</w:t>
            </w:r>
          </w:p>
        </w:tc>
      </w:tr>
      <w:tr w14:paraId="6FF50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1083" w:type="pct"/>
            <w:vAlign w:val="center"/>
          </w:tcPr>
          <w:p w14:paraId="4E881E63">
            <w:pPr>
              <w:spacing w:line="340" w:lineRule="exact"/>
              <w:jc w:val="center"/>
              <w:rPr>
                <w:rFonts w:asciiTheme="minorEastAsia" w:hAnsiTheme="minorEastAsia" w:cstheme="minorEastAsia"/>
                <w:sz w:val="24"/>
              </w:rPr>
            </w:pPr>
            <w:r>
              <w:rPr>
                <w:rFonts w:hint="eastAsia" w:asciiTheme="minorEastAsia" w:hAnsiTheme="minorEastAsia" w:cstheme="minorEastAsia"/>
                <w:sz w:val="24"/>
              </w:rPr>
              <w:t>核心产品</w:t>
            </w:r>
          </w:p>
        </w:tc>
        <w:tc>
          <w:tcPr>
            <w:tcW w:w="850" w:type="pct"/>
            <w:vAlign w:val="center"/>
          </w:tcPr>
          <w:p w14:paraId="71AF0F64">
            <w:pPr>
              <w:spacing w:line="340" w:lineRule="exact"/>
              <w:jc w:val="center"/>
              <w:rPr>
                <w:rFonts w:asciiTheme="minorEastAsia" w:hAnsiTheme="minorEastAsia" w:cstheme="minorEastAsia"/>
                <w:sz w:val="24"/>
              </w:rPr>
            </w:pPr>
            <w:r>
              <w:rPr>
                <w:rFonts w:hint="eastAsia" w:asciiTheme="minorEastAsia" w:hAnsiTheme="minorEastAsia" w:cstheme="minorEastAsia"/>
                <w:sz w:val="24"/>
              </w:rPr>
              <w:t>▲</w:t>
            </w:r>
          </w:p>
        </w:tc>
        <w:tc>
          <w:tcPr>
            <w:tcW w:w="1286" w:type="pct"/>
            <w:vAlign w:val="center"/>
          </w:tcPr>
          <w:p w14:paraId="0060313C">
            <w:pPr>
              <w:spacing w:line="340" w:lineRule="exact"/>
              <w:jc w:val="center"/>
              <w:rPr>
                <w:rFonts w:asciiTheme="minorEastAsia" w:hAnsiTheme="minorEastAsia" w:cstheme="minorEastAsia"/>
                <w:sz w:val="24"/>
              </w:rPr>
            </w:pPr>
            <w:r>
              <w:rPr>
                <w:rFonts w:hint="eastAsia" w:asciiTheme="minorEastAsia" w:hAnsiTheme="minorEastAsia" w:cstheme="minorEastAsia"/>
                <w:sz w:val="24"/>
              </w:rPr>
              <w:t>标的属于核心产品</w:t>
            </w:r>
          </w:p>
        </w:tc>
        <w:tc>
          <w:tcPr>
            <w:tcW w:w="1779" w:type="pct"/>
            <w:vAlign w:val="center"/>
          </w:tcPr>
          <w:p w14:paraId="4C0C305B">
            <w:pPr>
              <w:spacing w:line="340" w:lineRule="exact"/>
              <w:jc w:val="center"/>
              <w:rPr>
                <w:rFonts w:asciiTheme="minorEastAsia" w:hAnsiTheme="minorEastAsia" w:cstheme="minorEastAsia"/>
                <w:b/>
                <w:sz w:val="24"/>
              </w:rPr>
            </w:pPr>
            <w:r>
              <w:rPr>
                <w:rFonts w:hint="eastAsia" w:asciiTheme="minorEastAsia" w:hAnsiTheme="minorEastAsia" w:cstheme="minorEastAsia"/>
                <w:b/>
                <w:sz w:val="24"/>
                <w:lang w:eastAsia="zh-CN"/>
              </w:rPr>
              <w:t>该核心产品参数如有未响应或负偏离的将导致投标被拒绝</w:t>
            </w:r>
          </w:p>
        </w:tc>
      </w:tr>
      <w:tr w14:paraId="0BF8C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083" w:type="pct"/>
            <w:vAlign w:val="center"/>
          </w:tcPr>
          <w:p w14:paraId="1DCBA8DB">
            <w:pPr>
              <w:jc w:val="center"/>
              <w:rPr>
                <w:rFonts w:asciiTheme="minorEastAsia" w:hAnsiTheme="minorEastAsia" w:cstheme="minorEastAsia"/>
                <w:sz w:val="24"/>
              </w:rPr>
            </w:pPr>
            <w:r>
              <w:rPr>
                <w:rFonts w:hint="eastAsia" w:asciiTheme="minorEastAsia" w:hAnsiTheme="minorEastAsia" w:cstheme="minorEastAsia"/>
                <w:sz w:val="24"/>
              </w:rPr>
              <w:t>重要参数</w:t>
            </w:r>
          </w:p>
        </w:tc>
        <w:tc>
          <w:tcPr>
            <w:tcW w:w="850" w:type="pct"/>
            <w:vAlign w:val="center"/>
          </w:tcPr>
          <w:p w14:paraId="66BAE068">
            <w:pPr>
              <w:jc w:val="center"/>
              <w:rPr>
                <w:rFonts w:asciiTheme="minorEastAsia" w:hAnsiTheme="minorEastAsia" w:cstheme="minorEastAsia"/>
                <w:sz w:val="24"/>
              </w:rPr>
            </w:pPr>
            <w:r>
              <w:rPr>
                <w:rFonts w:hint="eastAsia" w:asciiTheme="minorEastAsia" w:hAnsiTheme="minorEastAsia" w:cstheme="minorEastAsia"/>
                <w:sz w:val="24"/>
              </w:rPr>
              <w:t>★</w:t>
            </w:r>
          </w:p>
        </w:tc>
        <w:tc>
          <w:tcPr>
            <w:tcW w:w="1286" w:type="pct"/>
            <w:vAlign w:val="center"/>
          </w:tcPr>
          <w:p w14:paraId="22447786">
            <w:pPr>
              <w:jc w:val="center"/>
              <w:rPr>
                <w:rFonts w:asciiTheme="minorEastAsia" w:hAnsiTheme="minorEastAsia" w:cstheme="minorEastAsia"/>
                <w:sz w:val="24"/>
              </w:rPr>
            </w:pPr>
            <w:r>
              <w:rPr>
                <w:rFonts w:hint="eastAsia" w:asciiTheme="minorEastAsia" w:hAnsiTheme="minorEastAsia" w:cstheme="minorEastAsia"/>
                <w:sz w:val="24"/>
              </w:rPr>
              <w:t>评分项</w:t>
            </w:r>
          </w:p>
        </w:tc>
        <w:tc>
          <w:tcPr>
            <w:tcW w:w="1779" w:type="pct"/>
            <w:vAlign w:val="center"/>
          </w:tcPr>
          <w:p w14:paraId="315D804F">
            <w:pPr>
              <w:jc w:val="center"/>
              <w:rPr>
                <w:rFonts w:asciiTheme="minorEastAsia" w:hAnsiTheme="minorEastAsia" w:cstheme="minorEastAsia"/>
                <w:sz w:val="24"/>
              </w:rPr>
            </w:pPr>
            <w:r>
              <w:rPr>
                <w:rFonts w:hint="eastAsia" w:asciiTheme="minorEastAsia" w:hAnsiTheme="minorEastAsia" w:cstheme="minorEastAsia"/>
                <w:sz w:val="24"/>
              </w:rPr>
              <w:t>评分项，每满足一项得</w:t>
            </w:r>
            <w:r>
              <w:rPr>
                <w:rFonts w:hint="eastAsia" w:asciiTheme="minorEastAsia" w:hAnsiTheme="minorEastAsia" w:cstheme="minorEastAsia"/>
                <w:color w:val="auto"/>
                <w:sz w:val="24"/>
                <w:highlight w:val="none"/>
                <w:lang w:val="en-US" w:eastAsia="zh-CN"/>
              </w:rPr>
              <w:t>2</w:t>
            </w:r>
            <w:r>
              <w:rPr>
                <w:rFonts w:hint="eastAsia" w:asciiTheme="minorEastAsia" w:hAnsiTheme="minorEastAsia" w:cstheme="minorEastAsia"/>
                <w:sz w:val="24"/>
              </w:rPr>
              <w:t>分</w:t>
            </w:r>
          </w:p>
        </w:tc>
      </w:tr>
      <w:tr w14:paraId="3B16B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865" w:type="dxa"/>
            <w:vAlign w:val="center"/>
          </w:tcPr>
          <w:p w14:paraId="350FED10">
            <w:pPr>
              <w:jc w:val="center"/>
              <w:rPr>
                <w:rFonts w:asciiTheme="minorEastAsia" w:hAnsiTheme="minorEastAsia" w:cstheme="minorEastAsia"/>
                <w:color w:val="FF0000"/>
                <w:sz w:val="24"/>
              </w:rPr>
            </w:pPr>
            <w:r>
              <w:rPr>
                <w:rFonts w:hint="eastAsia" w:asciiTheme="minorEastAsia" w:hAnsiTheme="minorEastAsia" w:cstheme="minorEastAsia"/>
                <w:sz w:val="24"/>
              </w:rPr>
              <w:t>一般参数</w:t>
            </w:r>
          </w:p>
        </w:tc>
        <w:tc>
          <w:tcPr>
            <w:tcW w:w="1464" w:type="dxa"/>
            <w:vAlign w:val="center"/>
          </w:tcPr>
          <w:p w14:paraId="4EA476B1">
            <w:pPr>
              <w:jc w:val="center"/>
              <w:rPr>
                <w:rFonts w:asciiTheme="minorEastAsia" w:hAnsiTheme="minorEastAsia" w:cstheme="minorEastAsia"/>
                <w:color w:val="FF0000"/>
                <w:sz w:val="24"/>
              </w:rPr>
            </w:pPr>
            <w:r>
              <w:rPr>
                <w:rFonts w:hint="eastAsia" w:asciiTheme="minorEastAsia" w:hAnsiTheme="minorEastAsia" w:cstheme="minorEastAsia"/>
                <w:sz w:val="24"/>
              </w:rPr>
              <w:t>无标识</w:t>
            </w:r>
          </w:p>
        </w:tc>
        <w:tc>
          <w:tcPr>
            <w:tcW w:w="2213" w:type="dxa"/>
            <w:vAlign w:val="center"/>
          </w:tcPr>
          <w:p w14:paraId="1EECA03D">
            <w:pPr>
              <w:jc w:val="center"/>
              <w:rPr>
                <w:rFonts w:asciiTheme="minorEastAsia" w:hAnsiTheme="minorEastAsia" w:cstheme="minorEastAsia"/>
                <w:color w:val="FF0000"/>
                <w:sz w:val="24"/>
              </w:rPr>
            </w:pPr>
            <w:r>
              <w:rPr>
                <w:rFonts w:hint="eastAsia" w:asciiTheme="minorEastAsia" w:hAnsiTheme="minorEastAsia" w:cstheme="minorEastAsia"/>
                <w:sz w:val="24"/>
              </w:rPr>
              <w:t>评分项</w:t>
            </w:r>
          </w:p>
        </w:tc>
        <w:tc>
          <w:tcPr>
            <w:tcW w:w="1779" w:type="pct"/>
            <w:vAlign w:val="center"/>
          </w:tcPr>
          <w:p w14:paraId="542462A8">
            <w:pPr>
              <w:jc w:val="center"/>
              <w:rPr>
                <w:rFonts w:hint="eastAsia" w:asciiTheme="minorEastAsia" w:hAnsiTheme="minorEastAsia" w:eastAsiaTheme="minorEastAsia" w:cstheme="minorEastAsia"/>
                <w:sz w:val="24"/>
                <w:lang w:val="en-US" w:eastAsia="zh-CN"/>
              </w:rPr>
            </w:pPr>
            <w:r>
              <w:rPr>
                <w:rFonts w:hint="eastAsia" w:asciiTheme="minorEastAsia" w:hAnsiTheme="minorEastAsia" w:cstheme="minorEastAsia"/>
                <w:sz w:val="24"/>
                <w:lang w:val="en-US" w:eastAsia="zh-CN"/>
              </w:rPr>
              <w:t>/</w:t>
            </w:r>
          </w:p>
        </w:tc>
      </w:tr>
      <w:tr w14:paraId="377C8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000" w:type="pct"/>
            <w:gridSpan w:val="4"/>
            <w:vAlign w:val="center"/>
          </w:tcPr>
          <w:p w14:paraId="69C54935">
            <w:pPr>
              <w:rPr>
                <w:rFonts w:asciiTheme="minorEastAsia" w:hAnsiTheme="minorEastAsia" w:cstheme="minorEastAsia"/>
                <w:sz w:val="24"/>
              </w:rPr>
            </w:pPr>
            <w:r>
              <w:rPr>
                <w:rFonts w:hint="eastAsia" w:asciiTheme="minorEastAsia" w:hAnsiTheme="minorEastAsia" w:cstheme="minorEastAsia"/>
                <w:sz w:val="24"/>
              </w:rPr>
              <w:t>注：尺寸信息均为参考值，可浮动±5%</w:t>
            </w:r>
          </w:p>
        </w:tc>
      </w:tr>
    </w:tbl>
    <w:p w14:paraId="23131B48">
      <w:pPr>
        <w:pStyle w:val="3"/>
        <w:rPr>
          <w:rFonts w:ascii="宋体" w:hAnsi="宋体" w:eastAsia="宋体" w:cs="宋体"/>
          <w:sz w:val="24"/>
          <w:szCs w:val="24"/>
          <w:highlight w:val="none"/>
        </w:rPr>
      </w:pPr>
      <w:r>
        <w:rPr>
          <w:rFonts w:hint="eastAsia" w:ascii="宋体" w:hAnsi="宋体" w:eastAsia="宋体" w:cs="宋体"/>
          <w:b w:val="0"/>
          <w:sz w:val="24"/>
          <w:szCs w:val="24"/>
          <w:highlight w:val="none"/>
        </w:rPr>
        <w:t>（二）货物指标要求</w:t>
      </w:r>
    </w:p>
    <w:tbl>
      <w:tblPr>
        <w:tblStyle w:val="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741"/>
        <w:gridCol w:w="5142"/>
        <w:gridCol w:w="578"/>
        <w:gridCol w:w="385"/>
        <w:gridCol w:w="729"/>
        <w:gridCol w:w="419"/>
      </w:tblGrid>
      <w:tr w14:paraId="5AAFF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vAlign w:val="center"/>
          </w:tcPr>
          <w:p w14:paraId="3F360803">
            <w:pPr>
              <w:rPr>
                <w:rFonts w:ascii="宋体" w:hAnsi="宋体" w:eastAsia="宋体" w:cs="宋体"/>
                <w:sz w:val="24"/>
                <w:szCs w:val="24"/>
                <w:highlight w:val="none"/>
              </w:rPr>
            </w:pPr>
            <w:r>
              <w:rPr>
                <w:rFonts w:hint="eastAsia" w:ascii="宋体" w:hAnsi="宋体" w:eastAsia="宋体" w:cs="宋体"/>
                <w:sz w:val="24"/>
                <w:szCs w:val="24"/>
                <w:highlight w:val="none"/>
              </w:rPr>
              <w:t>序号</w:t>
            </w:r>
          </w:p>
        </w:tc>
        <w:tc>
          <w:tcPr>
            <w:tcW w:w="434" w:type="pct"/>
            <w:vAlign w:val="center"/>
          </w:tcPr>
          <w:p w14:paraId="68553E40">
            <w:pPr>
              <w:rPr>
                <w:rFonts w:ascii="宋体" w:hAnsi="宋体" w:eastAsia="宋体" w:cs="宋体"/>
                <w:sz w:val="24"/>
                <w:szCs w:val="24"/>
                <w:highlight w:val="none"/>
              </w:rPr>
            </w:pPr>
            <w:r>
              <w:rPr>
                <w:rFonts w:hint="eastAsia" w:ascii="宋体" w:hAnsi="宋体" w:eastAsia="宋体" w:cs="宋体"/>
                <w:sz w:val="24"/>
                <w:szCs w:val="24"/>
                <w:highlight w:val="none"/>
              </w:rPr>
              <w:t>货物名称</w:t>
            </w:r>
          </w:p>
        </w:tc>
        <w:tc>
          <w:tcPr>
            <w:tcW w:w="3016" w:type="pct"/>
            <w:vAlign w:val="center"/>
          </w:tcPr>
          <w:p w14:paraId="24276E30">
            <w:pPr>
              <w:rPr>
                <w:rFonts w:ascii="宋体" w:hAnsi="宋体" w:eastAsia="宋体" w:cs="宋体"/>
                <w:sz w:val="24"/>
                <w:szCs w:val="24"/>
                <w:highlight w:val="none"/>
              </w:rPr>
            </w:pPr>
            <w:r>
              <w:rPr>
                <w:rFonts w:hint="eastAsia" w:ascii="宋体" w:hAnsi="宋体" w:eastAsia="宋体" w:cs="宋体"/>
                <w:sz w:val="24"/>
                <w:szCs w:val="24"/>
                <w:highlight w:val="none"/>
              </w:rPr>
              <w:t>技术参数及要求</w:t>
            </w:r>
          </w:p>
        </w:tc>
        <w:tc>
          <w:tcPr>
            <w:tcW w:w="339" w:type="pct"/>
            <w:vAlign w:val="center"/>
          </w:tcPr>
          <w:p w14:paraId="72960BDB">
            <w:pPr>
              <w:rPr>
                <w:rFonts w:ascii="宋体" w:hAnsi="宋体" w:eastAsia="宋体" w:cs="宋体"/>
                <w:sz w:val="24"/>
                <w:szCs w:val="24"/>
                <w:highlight w:val="none"/>
              </w:rPr>
            </w:pPr>
            <w:r>
              <w:rPr>
                <w:rFonts w:hint="eastAsia" w:ascii="宋体" w:hAnsi="宋体" w:eastAsia="宋体" w:cs="宋体"/>
                <w:sz w:val="24"/>
                <w:szCs w:val="24"/>
                <w:highlight w:val="none"/>
              </w:rPr>
              <w:t>数量</w:t>
            </w:r>
          </w:p>
        </w:tc>
        <w:tc>
          <w:tcPr>
            <w:tcW w:w="225" w:type="pct"/>
            <w:vAlign w:val="center"/>
          </w:tcPr>
          <w:p w14:paraId="61BE14F1">
            <w:pPr>
              <w:rPr>
                <w:rFonts w:ascii="宋体" w:hAnsi="宋体" w:eastAsia="宋体" w:cs="宋体"/>
                <w:sz w:val="24"/>
                <w:szCs w:val="24"/>
                <w:highlight w:val="none"/>
              </w:rPr>
            </w:pPr>
            <w:r>
              <w:rPr>
                <w:rFonts w:hint="eastAsia" w:ascii="宋体" w:hAnsi="宋体" w:eastAsia="宋体" w:cs="宋体"/>
                <w:sz w:val="24"/>
                <w:szCs w:val="24"/>
                <w:highlight w:val="none"/>
              </w:rPr>
              <w:t>单位</w:t>
            </w:r>
          </w:p>
        </w:tc>
        <w:tc>
          <w:tcPr>
            <w:tcW w:w="427" w:type="pct"/>
            <w:vAlign w:val="center"/>
          </w:tcPr>
          <w:p w14:paraId="52144EDD">
            <w:pPr>
              <w:rPr>
                <w:rFonts w:ascii="宋体" w:hAnsi="宋体" w:eastAsia="宋体" w:cs="宋体"/>
                <w:sz w:val="24"/>
                <w:szCs w:val="24"/>
                <w:highlight w:val="none"/>
              </w:rPr>
            </w:pPr>
            <w:r>
              <w:rPr>
                <w:rFonts w:hint="eastAsia" w:ascii="宋体" w:hAnsi="宋体" w:eastAsia="宋体" w:cs="宋体"/>
                <w:sz w:val="24"/>
                <w:szCs w:val="24"/>
                <w:highlight w:val="none"/>
              </w:rPr>
              <w:t>所属</w:t>
            </w:r>
          </w:p>
          <w:p w14:paraId="760AFD6B">
            <w:pPr>
              <w:rPr>
                <w:rFonts w:ascii="宋体" w:hAnsi="宋体" w:eastAsia="宋体" w:cs="宋体"/>
                <w:sz w:val="24"/>
                <w:szCs w:val="24"/>
                <w:highlight w:val="none"/>
              </w:rPr>
            </w:pPr>
            <w:r>
              <w:rPr>
                <w:rFonts w:hint="eastAsia" w:ascii="宋体" w:hAnsi="宋体" w:eastAsia="宋体" w:cs="宋体"/>
                <w:sz w:val="24"/>
                <w:szCs w:val="24"/>
                <w:highlight w:val="none"/>
              </w:rPr>
              <w:t>行业</w:t>
            </w:r>
          </w:p>
        </w:tc>
        <w:tc>
          <w:tcPr>
            <w:tcW w:w="245" w:type="pct"/>
            <w:vAlign w:val="center"/>
          </w:tcPr>
          <w:p w14:paraId="536C6BF8">
            <w:pPr>
              <w:rPr>
                <w:rFonts w:ascii="宋体" w:hAnsi="宋体" w:eastAsia="宋体" w:cs="宋体"/>
                <w:sz w:val="24"/>
                <w:szCs w:val="24"/>
                <w:highlight w:val="none"/>
              </w:rPr>
            </w:pPr>
            <w:r>
              <w:rPr>
                <w:rFonts w:hint="eastAsia" w:ascii="宋体" w:hAnsi="宋体" w:eastAsia="宋体" w:cs="宋体"/>
                <w:sz w:val="24"/>
                <w:szCs w:val="24"/>
                <w:highlight w:val="none"/>
              </w:rPr>
              <w:t>备注</w:t>
            </w:r>
          </w:p>
        </w:tc>
      </w:tr>
      <w:tr w14:paraId="5A808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trPr>
        <w:tc>
          <w:tcPr>
            <w:tcW w:w="309" w:type="pct"/>
            <w:shd w:val="clear" w:color="auto" w:fill="FFFFFF" w:themeFill="background1"/>
            <w:vAlign w:val="center"/>
          </w:tcPr>
          <w:p w14:paraId="72599FD8">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1</w:t>
            </w:r>
          </w:p>
        </w:tc>
        <w:tc>
          <w:tcPr>
            <w:tcW w:w="434" w:type="pct"/>
            <w:shd w:val="clear" w:color="auto" w:fill="FFFFFF" w:themeFill="background1"/>
            <w:vAlign w:val="center"/>
          </w:tcPr>
          <w:p w14:paraId="18D6A309">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基础系统</w:t>
            </w:r>
          </w:p>
        </w:tc>
        <w:tc>
          <w:tcPr>
            <w:tcW w:w="3016" w:type="pct"/>
            <w:shd w:val="clear" w:color="auto" w:fill="FFFFFF" w:themeFill="background1"/>
            <w:vAlign w:val="center"/>
          </w:tcPr>
          <w:p w14:paraId="55944139">
            <w:pPr>
              <w:keepNext w:val="0"/>
              <w:keepLines w:val="0"/>
              <w:widowControl/>
              <w:suppressLineNumbers w:val="0"/>
              <w:jc w:val="left"/>
              <w:textAlignment w:val="center"/>
              <w:rPr>
                <w:rFonts w:hint="eastAsia" w:ascii="宋体" w:hAnsi="宋体" w:eastAsia="宋体" w:cs="宋体"/>
                <w:b w:val="0"/>
                <w:bCs w:val="0"/>
                <w:i w:val="0"/>
                <w:iCs w:val="0"/>
                <w:color w:val="000000"/>
                <w:kern w:val="2"/>
                <w:sz w:val="20"/>
                <w:szCs w:val="20"/>
                <w:u w:val="none"/>
                <w:lang w:val="en-US" w:eastAsia="zh-CN" w:bidi="ar-SA"/>
              </w:rPr>
            </w:pPr>
            <w:r>
              <w:rPr>
                <w:rFonts w:hint="eastAsia" w:ascii="宋体" w:hAnsi="宋体" w:cs="宋体"/>
                <w:b w:val="0"/>
                <w:bCs w:val="0"/>
                <w:lang w:val="en-US" w:eastAsia="zh-CN"/>
              </w:rPr>
              <w:t>1、</w:t>
            </w:r>
            <w:r>
              <w:rPr>
                <w:rFonts w:hint="eastAsia" w:ascii="宋体" w:hAnsi="宋体" w:eastAsia="宋体" w:cs="宋体"/>
                <w:b w:val="0"/>
                <w:bCs w:val="0"/>
                <w:sz w:val="21"/>
                <w:szCs w:val="21"/>
                <w:lang w:val="en-US" w:eastAsia="zh-CN"/>
              </w:rPr>
              <w:t>甲</w:t>
            </w:r>
            <w:r>
              <w:rPr>
                <w:rFonts w:hint="eastAsia" w:ascii="宋体" w:hAnsi="宋体" w:eastAsia="宋体" w:cs="宋体"/>
                <w:b w:val="0"/>
                <w:bCs w:val="0"/>
                <w:sz w:val="21"/>
                <w:szCs w:val="21"/>
              </w:rPr>
              <w:t>级防盗门</w:t>
            </w:r>
            <w:r>
              <w:rPr>
                <w:rFonts w:hint="eastAsia" w:ascii="宋体" w:hAnsi="宋体" w:eastAsia="宋体" w:cs="宋体"/>
                <w:b w:val="0"/>
                <w:bCs w:val="0"/>
                <w:sz w:val="21"/>
                <w:szCs w:val="21"/>
                <w:lang w:eastAsia="zh-CN"/>
              </w:rPr>
              <w:t>（</w:t>
            </w:r>
            <w:r>
              <w:rPr>
                <w:rFonts w:hint="eastAsia" w:ascii="宋体" w:hAnsi="宋体" w:cs="宋体"/>
                <w:b w:val="0"/>
                <w:bCs w:val="0"/>
                <w:sz w:val="21"/>
                <w:szCs w:val="21"/>
                <w:lang w:val="en-US" w:eastAsia="zh-CN"/>
              </w:rPr>
              <w:t>1</w:t>
            </w:r>
            <w:r>
              <w:rPr>
                <w:rFonts w:hint="eastAsia" w:ascii="宋体" w:hAnsi="宋体" w:eastAsia="宋体" w:cs="宋体"/>
                <w:b w:val="0"/>
                <w:bCs w:val="0"/>
                <w:sz w:val="21"/>
                <w:szCs w:val="21"/>
                <w:lang w:val="en-US" w:eastAsia="zh-CN"/>
              </w:rPr>
              <w:t>扇</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rPr>
              <w:t>规格约为 W</w:t>
            </w:r>
            <w:r>
              <w:rPr>
                <w:rFonts w:hint="eastAsia" w:ascii="宋体" w:hAnsi="宋体" w:cs="宋体"/>
                <w:b w:val="0"/>
                <w:bCs w:val="0"/>
                <w:sz w:val="21"/>
                <w:szCs w:val="21"/>
                <w:lang w:val="en-US" w:eastAsia="zh-CN"/>
              </w:rPr>
              <w:t>2400</w:t>
            </w:r>
            <w:r>
              <w:rPr>
                <w:rFonts w:hint="eastAsia" w:ascii="宋体" w:hAnsi="宋体" w:eastAsia="宋体" w:cs="宋体"/>
                <w:b w:val="0"/>
                <w:bCs w:val="0"/>
                <w:sz w:val="21"/>
                <w:szCs w:val="21"/>
                <w:lang w:eastAsia="zh-CN"/>
              </w:rPr>
              <w:t>×H</w:t>
            </w:r>
            <w:r>
              <w:rPr>
                <w:rFonts w:hint="eastAsia" w:ascii="宋体" w:hAnsi="宋体" w:eastAsia="宋体" w:cs="宋体"/>
                <w:b w:val="0"/>
                <w:bCs w:val="0"/>
                <w:sz w:val="21"/>
                <w:szCs w:val="21"/>
                <w:lang w:val="en-US" w:eastAsia="zh-CN"/>
              </w:rPr>
              <w:t>2</w:t>
            </w:r>
            <w:r>
              <w:rPr>
                <w:rFonts w:hint="eastAsia" w:ascii="宋体" w:hAnsi="宋体" w:cs="宋体"/>
                <w:b w:val="0"/>
                <w:bCs w:val="0"/>
                <w:sz w:val="21"/>
                <w:szCs w:val="21"/>
                <w:lang w:val="en-US" w:eastAsia="zh-CN"/>
              </w:rPr>
              <w:t>800</w:t>
            </w:r>
            <w:r>
              <w:rPr>
                <w:rFonts w:hint="eastAsia" w:ascii="宋体" w:hAnsi="宋体" w:eastAsia="宋体" w:cs="宋体"/>
                <w:b w:val="0"/>
                <w:bCs w:val="0"/>
                <w:sz w:val="21"/>
                <w:szCs w:val="21"/>
              </w:rPr>
              <w:t>mm（±</w:t>
            </w:r>
            <w:r>
              <w:rPr>
                <w:rFonts w:hint="eastAsia" w:ascii="宋体" w:hAnsi="宋体" w:cs="宋体"/>
                <w:b w:val="0"/>
                <w:bCs w:val="0"/>
                <w:sz w:val="21"/>
                <w:szCs w:val="21"/>
                <w:lang w:val="en-US" w:eastAsia="zh-CN"/>
              </w:rPr>
              <w:t>5</w:t>
            </w:r>
            <w:r>
              <w:rPr>
                <w:rFonts w:hint="eastAsia" w:ascii="宋体" w:hAnsi="宋体" w:eastAsia="宋体" w:cs="宋体"/>
                <w:b w:val="0"/>
                <w:bCs w:val="0"/>
                <w:sz w:val="21"/>
                <w:szCs w:val="21"/>
              </w:rPr>
              <w:t>%），</w:t>
            </w:r>
            <w:r>
              <w:rPr>
                <w:rFonts w:hint="eastAsia" w:ascii="宋体" w:hAnsi="宋体" w:cs="宋体"/>
                <w:b w:val="0"/>
                <w:bCs w:val="0"/>
                <w:sz w:val="21"/>
                <w:szCs w:val="21"/>
                <w:lang w:val="en-US" w:eastAsia="zh-CN"/>
              </w:rPr>
              <w:t>原防爆门拆除。</w:t>
            </w:r>
            <w:r>
              <w:rPr>
                <w:rFonts w:hint="eastAsia" w:ascii="宋体" w:hAnsi="宋体" w:eastAsia="宋体" w:cs="宋体"/>
                <w:b w:val="0"/>
                <w:bCs w:val="0"/>
                <w:sz w:val="21"/>
                <w:szCs w:val="21"/>
              </w:rPr>
              <w:t>优质钢板、门框钢板厚度≥2毫米、门扇内部设有骨架和加强板，配备双B级机械锁</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lang w:eastAsia="zh-CN"/>
              </w:rPr>
              <w:br w:type="textWrapping"/>
            </w:r>
            <w:r>
              <w:rPr>
                <w:rFonts w:hint="eastAsia" w:ascii="宋体" w:hAnsi="宋体" w:cs="宋体"/>
                <w:b w:val="0"/>
                <w:bCs w:val="0"/>
                <w:sz w:val="21"/>
                <w:szCs w:val="21"/>
                <w:lang w:val="en-US" w:eastAsia="zh-CN"/>
              </w:rPr>
              <w:t>2、</w:t>
            </w:r>
            <w:r>
              <w:rPr>
                <w:rFonts w:hint="eastAsia" w:ascii="宋体" w:hAnsi="宋体" w:eastAsia="宋体" w:cs="宋体"/>
                <w:b w:val="0"/>
                <w:bCs w:val="0"/>
                <w:sz w:val="21"/>
                <w:szCs w:val="21"/>
                <w:lang w:val="en-US" w:eastAsia="zh-CN"/>
              </w:rPr>
              <w:t>环氧树脂地面（</w:t>
            </w:r>
            <w:r>
              <w:rPr>
                <w:rFonts w:hint="eastAsia" w:ascii="宋体" w:hAnsi="宋体" w:cs="宋体"/>
                <w:b w:val="0"/>
                <w:bCs w:val="0"/>
                <w:sz w:val="21"/>
                <w:szCs w:val="21"/>
                <w:lang w:val="en-US" w:eastAsia="zh-CN"/>
              </w:rPr>
              <w:t>84</w:t>
            </w:r>
            <w:r>
              <w:rPr>
                <w:rFonts w:hint="eastAsia" w:ascii="宋体" w:hAnsi="宋体" w:eastAsia="宋体" w:cs="宋体"/>
                <w:b w:val="0"/>
                <w:bCs w:val="0"/>
                <w:sz w:val="21"/>
                <w:szCs w:val="21"/>
                <w:lang w:val="en-US" w:eastAsia="zh-CN"/>
              </w:rPr>
              <w:t>㎡）：外观效果：色泽均匀、无漏刷、无裂纹、不起皱、无底漆泛出、平滑光亮。按建筑工程施工质量验收统一标准(GB50300-2013)。</w:t>
            </w:r>
            <w:r>
              <w:rPr>
                <w:rFonts w:hint="eastAsia" w:ascii="宋体" w:hAnsi="宋体" w:eastAsia="宋体" w:cs="宋体"/>
                <w:b w:val="0"/>
                <w:bCs w:val="0"/>
                <w:sz w:val="21"/>
                <w:szCs w:val="21"/>
                <w:lang w:val="en-US" w:eastAsia="zh-CN"/>
              </w:rPr>
              <w:br w:type="textWrapping"/>
            </w:r>
            <w:r>
              <w:rPr>
                <w:rFonts w:hint="eastAsia" w:ascii="宋体" w:hAnsi="宋体" w:cs="宋体"/>
                <w:b w:val="0"/>
                <w:bCs w:val="0"/>
                <w:color w:val="auto"/>
                <w:sz w:val="21"/>
                <w:szCs w:val="21"/>
                <w:lang w:val="en-US" w:eastAsia="zh-CN"/>
              </w:rPr>
              <w:t>3、新风口（2个）：</w:t>
            </w:r>
            <w:r>
              <w:rPr>
                <w:rFonts w:hint="eastAsia" w:ascii="宋体" w:hAnsi="宋体" w:eastAsia="宋体" w:cs="宋体"/>
                <w:b w:val="0"/>
                <w:bCs w:val="0"/>
                <w:color w:val="auto"/>
              </w:rPr>
              <w:t xml:space="preserve">规格约为 </w:t>
            </w:r>
            <w:r>
              <w:rPr>
                <w:rFonts w:hint="eastAsia" w:ascii="宋体" w:hAnsi="宋体" w:cs="宋体"/>
                <w:b w:val="0"/>
                <w:bCs w:val="0"/>
                <w:color w:val="auto"/>
                <w:lang w:eastAsia="zh-CN"/>
              </w:rPr>
              <w:t>W</w:t>
            </w:r>
            <w:r>
              <w:rPr>
                <w:rFonts w:hint="eastAsia" w:ascii="宋体" w:hAnsi="宋体" w:cs="宋体"/>
                <w:b w:val="0"/>
                <w:bCs w:val="0"/>
                <w:color w:val="auto"/>
                <w:lang w:val="en-US" w:eastAsia="zh-CN"/>
              </w:rPr>
              <w:t>5</w:t>
            </w:r>
            <w:r>
              <w:rPr>
                <w:rFonts w:hint="eastAsia" w:ascii="宋体" w:hAnsi="宋体" w:cs="宋体"/>
                <w:b w:val="0"/>
                <w:bCs w:val="0"/>
                <w:color w:val="auto"/>
                <w:lang w:eastAsia="zh-CN"/>
              </w:rPr>
              <w:t>00×H</w:t>
            </w:r>
            <w:r>
              <w:rPr>
                <w:rFonts w:hint="eastAsia" w:ascii="宋体" w:hAnsi="宋体" w:cs="宋体"/>
                <w:b w:val="0"/>
                <w:bCs w:val="0"/>
                <w:color w:val="auto"/>
                <w:lang w:val="en-US" w:eastAsia="zh-CN"/>
              </w:rPr>
              <w:t>2</w:t>
            </w:r>
            <w:r>
              <w:rPr>
                <w:rFonts w:hint="eastAsia" w:ascii="宋体" w:hAnsi="宋体" w:cs="宋体"/>
                <w:b w:val="0"/>
                <w:bCs w:val="0"/>
                <w:color w:val="auto"/>
                <w:lang w:eastAsia="zh-CN"/>
              </w:rPr>
              <w:t>00</w:t>
            </w:r>
            <w:r>
              <w:rPr>
                <w:rFonts w:hint="eastAsia" w:ascii="宋体" w:hAnsi="宋体" w:cs="宋体"/>
                <w:b w:val="0"/>
                <w:bCs w:val="0"/>
                <w:color w:val="auto"/>
                <w:lang w:val="en-US" w:eastAsia="zh-CN"/>
              </w:rPr>
              <w:t>mm</w:t>
            </w:r>
            <w:r>
              <w:rPr>
                <w:rFonts w:hint="eastAsia" w:ascii="宋体" w:hAnsi="宋体" w:eastAsia="宋体" w:cs="宋体"/>
                <w:b w:val="0"/>
                <w:bCs w:val="0"/>
                <w:color w:val="auto"/>
              </w:rPr>
              <w:t>（±5%），</w:t>
            </w:r>
            <w:r>
              <w:rPr>
                <w:rFonts w:hint="eastAsia" w:ascii="宋体" w:hAnsi="宋体" w:cs="宋体"/>
                <w:b w:val="0"/>
                <w:bCs w:val="0"/>
                <w:color w:val="auto"/>
                <w:lang w:val="en-US" w:eastAsia="zh-CN"/>
              </w:rPr>
              <w:t>加装防盗窗，</w:t>
            </w:r>
            <w:r>
              <w:rPr>
                <w:rFonts w:hint="eastAsia" w:ascii="宋体" w:hAnsi="宋体" w:eastAsia="宋体" w:cs="宋体"/>
                <w:b w:val="0"/>
                <w:bCs w:val="0"/>
                <w:color w:val="auto"/>
                <w:sz w:val="21"/>
                <w:szCs w:val="21"/>
              </w:rPr>
              <w:t>钢管栅栏应采用直径</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rPr>
              <w:t xml:space="preserve"> </w:t>
            </w:r>
            <w:r>
              <w:rPr>
                <w:rFonts w:hint="eastAsia" w:ascii="宋体" w:hAnsi="宋体" w:eastAsia="宋体" w:cs="宋体"/>
                <w:b w:val="0"/>
                <w:bCs w:val="0"/>
                <w:sz w:val="21"/>
                <w:szCs w:val="21"/>
              </w:rPr>
              <w:t>20 mm，壁厚≥ 2 mm 的钢管</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rPr>
              <w:t>防盗栅栏应采用直径</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rPr>
              <w:t xml:space="preserve"> 12 mm 的膨胀螺栓固定</w:t>
            </w:r>
            <w:r>
              <w:rPr>
                <w:rFonts w:hint="eastAsia" w:ascii="宋体" w:hAnsi="宋体" w:eastAsia="宋体" w:cs="宋体"/>
                <w:b w:val="0"/>
                <w:bCs w:val="0"/>
                <w:sz w:val="21"/>
                <w:szCs w:val="21"/>
                <w:lang w:eastAsia="zh-CN"/>
              </w:rPr>
              <w:t>。</w:t>
            </w:r>
            <w:r>
              <w:rPr>
                <w:rFonts w:hint="eastAsia" w:ascii="宋体" w:hAnsi="宋体" w:eastAsia="宋体" w:cs="宋体"/>
                <w:b w:val="0"/>
                <w:bCs w:val="0"/>
                <w:sz w:val="21"/>
                <w:szCs w:val="21"/>
                <w:lang w:eastAsia="zh-CN"/>
              </w:rPr>
              <w:br w:type="textWrapping"/>
            </w:r>
            <w:r>
              <w:rPr>
                <w:rFonts w:hint="eastAsia" w:ascii="宋体" w:hAnsi="宋体" w:cs="宋体"/>
                <w:b w:val="0"/>
                <w:bCs w:val="0"/>
                <w:sz w:val="21"/>
                <w:szCs w:val="21"/>
                <w:lang w:val="en-US" w:eastAsia="zh-CN"/>
              </w:rPr>
              <w:t>4、</w:t>
            </w:r>
            <w:r>
              <w:rPr>
                <w:rFonts w:hint="eastAsia" w:ascii="宋体" w:hAnsi="宋体" w:eastAsia="宋体" w:cs="宋体"/>
                <w:b w:val="0"/>
                <w:bCs w:val="0"/>
                <w:sz w:val="21"/>
                <w:szCs w:val="21"/>
              </w:rPr>
              <w:t>基础设施改造需满足公安环保对化学品储存间的要求，</w:t>
            </w:r>
            <w:r>
              <w:rPr>
                <w:rFonts w:hint="eastAsia" w:ascii="宋体" w:hAnsi="宋体" w:eastAsia="宋体" w:cs="宋体"/>
                <w:b w:val="0"/>
                <w:bCs w:val="0"/>
                <w:sz w:val="21"/>
                <w:szCs w:val="21"/>
                <w:lang w:val="en-US" w:eastAsia="zh-CN"/>
              </w:rPr>
              <w:t>将原电线电缆等</w:t>
            </w:r>
            <w:r>
              <w:rPr>
                <w:rFonts w:hint="eastAsia" w:ascii="宋体" w:hAnsi="宋体" w:eastAsia="宋体" w:cs="宋体"/>
                <w:b w:val="0"/>
                <w:bCs w:val="0"/>
                <w:sz w:val="21"/>
                <w:szCs w:val="21"/>
              </w:rPr>
              <w:t>拆除</w:t>
            </w:r>
            <w:r>
              <w:rPr>
                <w:rFonts w:hint="eastAsia" w:ascii="宋体" w:hAnsi="宋体" w:eastAsia="宋体" w:cs="宋体"/>
                <w:b w:val="0"/>
                <w:bCs w:val="0"/>
                <w:sz w:val="21"/>
                <w:szCs w:val="21"/>
                <w:lang w:eastAsia="zh-CN"/>
              </w:rPr>
              <w:t>。</w:t>
            </w:r>
          </w:p>
        </w:tc>
        <w:tc>
          <w:tcPr>
            <w:tcW w:w="339" w:type="pct"/>
            <w:shd w:val="clear" w:color="auto" w:fill="FFFFFF" w:themeFill="background1"/>
            <w:vAlign w:val="center"/>
          </w:tcPr>
          <w:p w14:paraId="44A171F0">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1</w:t>
            </w:r>
          </w:p>
        </w:tc>
        <w:tc>
          <w:tcPr>
            <w:tcW w:w="225" w:type="pct"/>
            <w:shd w:val="clear" w:color="auto" w:fill="FFFFFF" w:themeFill="background1"/>
            <w:vAlign w:val="center"/>
          </w:tcPr>
          <w:p w14:paraId="6912F2FC">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套</w:t>
            </w:r>
          </w:p>
        </w:tc>
        <w:tc>
          <w:tcPr>
            <w:tcW w:w="427" w:type="pct"/>
            <w:vAlign w:val="center"/>
          </w:tcPr>
          <w:p w14:paraId="5D0C4E6C">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4CFCFAFE">
            <w:pPr>
              <w:rPr>
                <w:rFonts w:ascii="宋体" w:hAnsi="宋体" w:eastAsia="宋体" w:cs="宋体"/>
                <w:sz w:val="24"/>
                <w:szCs w:val="24"/>
                <w:highlight w:val="none"/>
              </w:rPr>
            </w:pPr>
          </w:p>
        </w:tc>
      </w:tr>
      <w:tr w14:paraId="7AF18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37582853">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2</w:t>
            </w:r>
          </w:p>
        </w:tc>
        <w:tc>
          <w:tcPr>
            <w:tcW w:w="434" w:type="pct"/>
            <w:shd w:val="clear" w:color="auto" w:fill="FFFFFF" w:themeFill="background1"/>
            <w:vAlign w:val="center"/>
          </w:tcPr>
          <w:p w14:paraId="2A661F39">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流程管控主柜</w:t>
            </w:r>
          </w:p>
        </w:tc>
        <w:tc>
          <w:tcPr>
            <w:tcW w:w="3016" w:type="pct"/>
            <w:shd w:val="clear" w:color="auto" w:fill="FFFFFF" w:themeFill="background1"/>
            <w:vAlign w:val="center"/>
          </w:tcPr>
          <w:p w14:paraId="2381DBFE">
            <w:pPr>
              <w:keepNext w:val="0"/>
              <w:keepLines w:val="0"/>
              <w:widowControl/>
              <w:numPr>
                <w:ilvl w:val="0"/>
                <w:numId w:val="0"/>
              </w:numPr>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1、规格尺寸：HWD(mm):1470*800*600 (±5%)；结构与材质：柜体分上下两个分区，上分区为操作区，下分区为存储区。整体采用1.0mm钢板折弯焊接。采用环氧树脂静电喷涂，加热固化处理，有效防止腐蚀。</w:t>
            </w:r>
          </w:p>
          <w:p w14:paraId="70F2BEE6">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1.1、★产品进行静电放电检测，检测结果为合格</w:t>
            </w:r>
            <w:r>
              <w:rPr>
                <w:rFonts w:hint="eastAsia" w:ascii="宋体" w:hAnsi="宋体" w:eastAsia="宋体" w:cs="宋体"/>
                <w:b/>
                <w:bCs/>
                <w:sz w:val="21"/>
                <w:szCs w:val="21"/>
                <w:lang w:val="en-US" w:eastAsia="zh-CN"/>
              </w:rPr>
              <w:t>（中标签订合同后提供第三方测试（检测）机构出具的整柜静电喷涂测试（检测）报告复印件进行佐证，报告须符合以上参数要求）。</w:t>
            </w:r>
          </w:p>
          <w:p w14:paraId="7293BB74">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2、储存区</w:t>
            </w:r>
          </w:p>
          <w:p w14:paraId="11D368E3">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2.1、</w:t>
            </w:r>
            <w:r>
              <w:rPr>
                <w:rFonts w:hint="eastAsia" w:asciiTheme="minorEastAsia" w:hAnsiTheme="minorEastAsia" w:cstheme="minorEastAsia"/>
                <w:sz w:val="24"/>
              </w:rPr>
              <w:t>★</w:t>
            </w:r>
            <w:r>
              <w:rPr>
                <w:rFonts w:hint="eastAsia" w:ascii="宋体" w:hAnsi="宋体" w:eastAsia="宋体" w:cs="宋体"/>
                <w:b w:val="0"/>
                <w:bCs w:val="0"/>
                <w:sz w:val="21"/>
                <w:szCs w:val="21"/>
                <w:lang w:val="en-US" w:eastAsia="zh-CN"/>
              </w:rPr>
              <w:t>应急储存区：采用双锁管理，配有电控锁和机械锁，其中电控锁配有断电应急钥匙。柜门和柜体之间配有防火膨胀密封条，遇火膨胀，有效阻隔高温进入存储区。配有1块钢制可调层板，2块PP漏液托盘。</w:t>
            </w:r>
          </w:p>
          <w:p w14:paraId="0F0BDA71">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2.2、耗材储存区：抽屉结构，可存放蓝牙标签打印机或其他使用。</w:t>
            </w:r>
          </w:p>
          <w:p w14:paraId="419519F0">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2.3、应急器材储存区：配有一块层板，可存放口罩，手套等应急物资。</w:t>
            </w:r>
          </w:p>
          <w:p w14:paraId="394B78AB">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2.4、柜底装有四个福马轮，便于柜体移动。</w:t>
            </w:r>
          </w:p>
          <w:p w14:paraId="614D1BF8">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3、防静电装置：产品配置防静电装置，用导线夹将常备接地与安全柜可靠连接，将静电导入大地，防止静电火花造成火灾和爆炸事故。</w:t>
            </w:r>
          </w:p>
          <w:p w14:paraId="298E431D">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4、操作系统：配有不小于15寸触摸显示屏一体机，用户可通过触摸屏一体机进行试剂初次存入、领用、归还、库存查询和台账查询等流程的申请和实施；配有量程配有量程为0.1g-10Kg称重传感器。称重传感器对储存试剂进行初始化、出库、入库称重，实现对称重数据进行自动登记并形成管理台帐；配有不低于200万像素人脸识别摄像头，用作系统双人脸识别。</w:t>
            </w:r>
          </w:p>
          <w:p w14:paraId="4BC40680">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5、标签打印系统：配置蓝牙图文输出终端，打印试剂容器标签，该标签支持包含文字、二维码信息；通过电子称重设备对存储试剂进行初始化、出库、入库扫码称重，对称重数据进行自动登记并形成管理台账。</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6、软件功能（提供下列响应功能参数的产品技术彩页进行佐证）：</w:t>
            </w:r>
          </w:p>
          <w:p w14:paraId="346EBD34">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6.1、基础信息管理：实验室管理、储存柜管理、人员管理、化学品管理；</w:t>
            </w:r>
          </w:p>
          <w:p w14:paraId="11CF1BDD">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6.2、实验室管理：主要完成实验室信息的新增、查询和维护功能；</w:t>
            </w:r>
          </w:p>
          <w:p w14:paraId="54517FC2">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6.3、储存柜管理：主要完成对存储柜信息的查询和维护功能；</w:t>
            </w:r>
          </w:p>
          <w:p w14:paraId="6ACC0EC8">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6.4、人员管理：主要完成实验室管理员、操作员账号信息的新增、查询和维护功能；</w:t>
            </w:r>
          </w:p>
          <w:p w14:paraId="1AE6F762">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6.5、化学品管理：提供不少于2828种危险化学品基础数据库，支持用户对化学品信息进行新增、查询和维护；</w:t>
            </w:r>
          </w:p>
          <w:p w14:paraId="1F5D177E">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6.6、化学品存储管理：同步更新存储柜及化学品库存数据，支持按化学品名、实验室、CAS号、容器编号对化学品的库存进行查询，支持化学品总库存量的导出；</w:t>
            </w:r>
          </w:p>
          <w:p w14:paraId="49DA8A46">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6.7、台账信息：实验室初次入柜记录、实验室入库明细、实验室作废明细、操作明细、实验室出库明细；</w:t>
            </w:r>
          </w:p>
          <w:p w14:paraId="1F1B0B8C">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6.8、实验室初次入库记录：记录实验室中各个存储柜初次入库的化学品信息，包含入柜单号、cas号、化学品名、化学品分类、初次入柜数量、单位、总重量、操作人、操作时间等，支持初次入柜数据导出；</w:t>
            </w:r>
          </w:p>
          <w:p w14:paraId="7B75AF2A">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6.9、实验室入库明细：记录化学品历次入库信息，包含容器编号、化学品名、CAS号、供应商、重量、规格、单位、管控级别、人脸识别照片、操作员、所属设备、操作时间等，支持化学品入库数据导出；</w:t>
            </w:r>
          </w:p>
          <w:p w14:paraId="6106534D">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6.10、作废明细：记录化学品作废信息，包含容器编号、化学品名、CAS号、供应商、重量、规格、单位、管控级别、人脸识别照片、操作员、所属设备、操作时间等，支持化学品作废数据导出；</w:t>
            </w:r>
          </w:p>
          <w:p w14:paraId="38FB19E2">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6.11、操作明细：记录用户操作记录，包含操作人、操作项目、设备名称、操作时间；</w:t>
            </w:r>
          </w:p>
          <w:p w14:paraId="16E85049">
            <w:pPr>
              <w:keepNext w:val="0"/>
              <w:keepLines w:val="0"/>
              <w:widowControl/>
              <w:suppressLineNumbers w:val="0"/>
              <w:jc w:val="left"/>
              <w:textAlignment w:val="center"/>
              <w:rPr>
                <w:rFonts w:hint="eastAsia" w:ascii="宋体" w:hAnsi="宋体" w:eastAsia="宋体" w:cs="宋体"/>
                <w:b w:val="0"/>
                <w:bCs w:val="0"/>
                <w:kern w:val="2"/>
                <w:sz w:val="21"/>
                <w:szCs w:val="21"/>
                <w:lang w:val="en-US" w:eastAsia="en-US" w:bidi="ar-SA"/>
              </w:rPr>
            </w:pPr>
            <w:r>
              <w:rPr>
                <w:rFonts w:hint="eastAsia" w:ascii="宋体" w:hAnsi="宋体" w:eastAsia="宋体" w:cs="宋体"/>
                <w:b w:val="0"/>
                <w:bCs w:val="0"/>
                <w:sz w:val="21"/>
                <w:szCs w:val="21"/>
                <w:lang w:val="en-US" w:eastAsia="zh-CN"/>
              </w:rPr>
              <w:t>6.12、实验室出库明细：记录化学品出库信息，包含容器编号、化学品名、CAS号、供应商、重量、规格、单位、管控级别、人脸识别照片、操作员、所属设备、操作时间等，支持化学品出库数据导出。</w:t>
            </w:r>
          </w:p>
        </w:tc>
        <w:tc>
          <w:tcPr>
            <w:tcW w:w="339" w:type="pct"/>
            <w:shd w:val="clear" w:color="auto" w:fill="FFFFFF" w:themeFill="background1"/>
            <w:vAlign w:val="center"/>
          </w:tcPr>
          <w:p w14:paraId="0CDD0BC9">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1</w:t>
            </w:r>
          </w:p>
        </w:tc>
        <w:tc>
          <w:tcPr>
            <w:tcW w:w="225" w:type="pct"/>
            <w:shd w:val="clear" w:color="auto" w:fill="FFFFFF" w:themeFill="background1"/>
            <w:vAlign w:val="center"/>
          </w:tcPr>
          <w:p w14:paraId="074ACDB7">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台</w:t>
            </w:r>
          </w:p>
        </w:tc>
        <w:tc>
          <w:tcPr>
            <w:tcW w:w="427" w:type="pct"/>
            <w:vAlign w:val="center"/>
          </w:tcPr>
          <w:p w14:paraId="43DD7E6D">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23A508EA">
            <w:pPr>
              <w:rPr>
                <w:rFonts w:ascii="宋体" w:hAnsi="宋体" w:eastAsia="宋体" w:cs="宋体"/>
                <w:sz w:val="24"/>
                <w:szCs w:val="24"/>
                <w:highlight w:val="none"/>
              </w:rPr>
            </w:pPr>
          </w:p>
        </w:tc>
      </w:tr>
      <w:tr w14:paraId="71647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trPr>
        <w:tc>
          <w:tcPr>
            <w:tcW w:w="309" w:type="pct"/>
            <w:shd w:val="clear" w:color="auto" w:fill="FFFFFF" w:themeFill="background1"/>
            <w:vAlign w:val="center"/>
          </w:tcPr>
          <w:p w14:paraId="76EED210">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3</w:t>
            </w:r>
          </w:p>
        </w:tc>
        <w:tc>
          <w:tcPr>
            <w:tcW w:w="434" w:type="pct"/>
            <w:shd w:val="clear" w:color="auto" w:fill="FFFFFF" w:themeFill="background1"/>
            <w:vAlign w:val="center"/>
          </w:tcPr>
          <w:p w14:paraId="65D14D47">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安全柜</w:t>
            </w:r>
          </w:p>
        </w:tc>
        <w:tc>
          <w:tcPr>
            <w:tcW w:w="3016" w:type="pct"/>
            <w:shd w:val="clear" w:color="auto" w:fill="FFFFFF" w:themeFill="background1"/>
            <w:vAlign w:val="center"/>
          </w:tcPr>
          <w:p w14:paraId="197886B3">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1、外部尺寸：H1800*W900*D450mm（±5%）；</w:t>
            </w:r>
          </w:p>
          <w:p w14:paraId="542736CB">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2、柜身壳体全部采用不低于1.0mm 的一级冷轧钢板，柜体底座采用不低于2.0mm 的一级冷轧钢板，表面经酸洗磷化，采用耐腐蚀型环氧树脂粉末喷涂，烘热固化处理。两层钢板之间相隔净尺寸不小于38mm，形成良好的防火绝缘。采用环氧树脂静电喷涂，烘热固化处理。</w:t>
            </w:r>
          </w:p>
          <w:p w14:paraId="5A32282B">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2.1产品依照 GB/T 10125-2021 进 行 盐 雾 试 验，依照 GB/T6461-2002 金属基体上和其他无机覆盖层经腐蚀试验，报告结果防盐雾腐蚀保护等级不低于 10 级，外观评价 A 级</w:t>
            </w:r>
            <w:r>
              <w:rPr>
                <w:rFonts w:hint="eastAsia" w:ascii="宋体" w:hAnsi="宋体" w:eastAsia="宋体" w:cs="宋体"/>
                <w:b/>
                <w:bCs/>
                <w:sz w:val="21"/>
                <w:szCs w:val="21"/>
                <w:lang w:val="en-US" w:eastAsia="zh-CN"/>
              </w:rPr>
              <w:t>（中标签订合同后须提供具有CMA或CNAS认证标志的第三方检测机构出具的整柜盐雾试验检测报告扫描件，报告满足以上参数要求，检测结果保护等级不低于10级，外观评级不低于A级）。</w:t>
            </w:r>
          </w:p>
          <w:p w14:paraId="674D6848">
            <w:pPr>
              <w:keepNext w:val="0"/>
              <w:keepLines w:val="0"/>
              <w:widowControl/>
              <w:numPr>
                <w:ilvl w:val="0"/>
                <w:numId w:val="0"/>
              </w:numPr>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3、每台产品配置三块层板，层板采用镀锌钢板，承载面采用加固设计，单块层板的承载量不小于120kg，每块层板上配一个PP托盘。</w:t>
            </w:r>
          </w:p>
          <w:p w14:paraId="077CE397">
            <w:pPr>
              <w:keepNext w:val="0"/>
              <w:keepLines w:val="0"/>
              <w:widowControl/>
              <w:numPr>
                <w:ilvl w:val="0"/>
                <w:numId w:val="0"/>
              </w:numPr>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3.1、★PP板材需具有阻燃功能，其中板材垂直燃烧阻燃级别达到V-0级别，依据GB/T 24282-2021进行二甲苯可溶物含量检测，检测结果须为未检出。</w:t>
            </w:r>
            <w:r>
              <w:rPr>
                <w:rFonts w:hint="eastAsia" w:ascii="宋体" w:hAnsi="宋体" w:eastAsia="宋体" w:cs="宋体"/>
                <w:b/>
                <w:bCs/>
                <w:sz w:val="21"/>
                <w:szCs w:val="21"/>
                <w:lang w:val="en-US" w:eastAsia="zh-CN"/>
              </w:rPr>
              <w:t>（中标签订合同后提供具有CMA或CNAS认证标志的第三方检测机构出具的 PP 板材检测报告扫描件）。</w:t>
            </w:r>
          </w:p>
          <w:p w14:paraId="7EF8AF40">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4、★锁具：双机械锁具 ，实现双人双锁管理，锁具配置完全符合公安、安监等部门关于易制爆危化品储存的检查要求。符合中国《危险化学品安全管理条例》的规定</w:t>
            </w:r>
            <w:r>
              <w:rPr>
                <w:rFonts w:hint="eastAsia" w:ascii="宋体" w:hAnsi="宋体" w:eastAsia="宋体" w:cs="宋体"/>
                <w:b/>
                <w:bCs/>
                <w:sz w:val="21"/>
                <w:szCs w:val="21"/>
                <w:lang w:val="en-US" w:eastAsia="zh-CN"/>
              </w:rPr>
              <w:t>（中标签订合同后提供第三方测试（检测）机构出具的锁具检测报告扫描件）。</w:t>
            </w:r>
          </w:p>
          <w:p w14:paraId="5D11182E">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5、≥2"(51mm)深的盛漏槽防止泄漏的液体外溢；</w:t>
            </w:r>
          </w:p>
          <w:p w14:paraId="63C08189">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6、配置静电泄放装置，将静电荷导入大地，降低静电火花造成火灾风险；</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连续的琴式铰链使得柜门平稳闭合开启；警示标识：专业规范的警示，反光、烟雾中可视，提供了额外的安全保障；</w:t>
            </w:r>
          </w:p>
          <w:p w14:paraId="33135413">
            <w:pPr>
              <w:keepNext w:val="0"/>
              <w:keepLines w:val="0"/>
              <w:widowControl/>
              <w:suppressLineNumbers w:val="0"/>
              <w:jc w:val="left"/>
              <w:textAlignment w:val="center"/>
              <w:rPr>
                <w:rFonts w:hint="eastAsia" w:ascii="宋体" w:hAnsi="宋体" w:eastAsia="宋体" w:cs="宋体"/>
                <w:b w:val="0"/>
                <w:bCs w:val="0"/>
                <w:kern w:val="2"/>
                <w:sz w:val="21"/>
                <w:szCs w:val="21"/>
                <w:lang w:val="en-US" w:eastAsia="en-US" w:bidi="ar-SA"/>
              </w:rPr>
            </w:pPr>
            <w:r>
              <w:rPr>
                <w:rFonts w:hint="eastAsia" w:ascii="宋体" w:hAnsi="宋体" w:eastAsia="宋体" w:cs="宋体"/>
                <w:b w:val="0"/>
                <w:bCs w:val="0"/>
                <w:sz w:val="21"/>
                <w:szCs w:val="21"/>
                <w:lang w:val="en-US" w:eastAsia="zh-CN"/>
              </w:rPr>
              <w:t>7、采用手动双开门设计，为确保安全柜防火防爆性能，门缝不得大于3mm，且门缝上下大小一致；</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8、</w:t>
            </w:r>
            <w:r>
              <w:rPr>
                <w:rFonts w:hint="eastAsia" w:ascii="仿宋" w:hAnsi="仿宋" w:eastAsia="仿宋" w:cs="仿宋"/>
                <w:b w:val="0"/>
                <w:bCs w:val="0"/>
                <w:kern w:val="0"/>
                <w:sz w:val="21"/>
                <w:szCs w:val="21"/>
                <w:highlight w:val="none"/>
                <w:lang w:val="en-US" w:eastAsia="zh-CN"/>
              </w:rPr>
              <w:t>★</w:t>
            </w:r>
            <w:r>
              <w:rPr>
                <w:rFonts w:hint="eastAsia" w:ascii="宋体" w:hAnsi="宋体" w:eastAsia="宋体" w:cs="宋体"/>
                <w:b w:val="0"/>
                <w:bCs w:val="0"/>
                <w:sz w:val="21"/>
                <w:szCs w:val="21"/>
                <w:lang w:val="en-US" w:eastAsia="zh-CN"/>
              </w:rPr>
              <w:t>整柜需具备抗爆功能：依照GA871-2010进行抗爆检测，内爆试验柜体可抵抗不小于5g当量TNT爆炸冲击波，柜体外表面完好，未见明显变形及破损，试验后柜门未被冲开，能正常开闭。外爆试验柜体可抵抗不小于10g当量TNT爆炸冲击波，柜体未见明显变形及破损，试验后柜门未被冲开，能正常开闭。柜体内部中央放置的化学品试剂瓶及定量瓶完好，未破损及</w:t>
            </w:r>
            <w:r>
              <w:rPr>
                <w:rFonts w:hint="eastAsia" w:ascii="宋体" w:hAnsi="宋体" w:eastAsia="宋体" w:cs="宋体"/>
                <w:b w:val="0"/>
                <w:bCs w:val="0"/>
                <w:color w:val="auto"/>
                <w:sz w:val="21"/>
                <w:szCs w:val="21"/>
                <w:lang w:val="en-US" w:eastAsia="zh-CN"/>
              </w:rPr>
              <w:t>倾倒。</w:t>
            </w:r>
            <w:r>
              <w:rPr>
                <w:rFonts w:hint="eastAsia" w:ascii="宋体" w:hAnsi="宋体" w:eastAsia="宋体" w:cs="宋体"/>
                <w:b/>
                <w:bCs/>
                <w:color w:val="auto"/>
                <w:sz w:val="21"/>
                <w:szCs w:val="21"/>
                <w:lang w:val="en-US" w:eastAsia="zh-CN"/>
              </w:rPr>
              <w:t>（中标签订合同后提供CNAS或CMA认证标志的第三方检测机构出具的同类型防爆柜整柜的抗爆检验报告）。</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9、★钢制试剂柜需做静电接地。满足静电导体与大地间的总泄漏电阻值在通常情况下均不应大于1×10</w:t>
            </w:r>
            <w:r>
              <w:rPr>
                <w:rFonts w:hint="eastAsia" w:ascii="宋体" w:hAnsi="宋体" w:eastAsia="宋体" w:cs="宋体"/>
                <w:b w:val="0"/>
                <w:bCs w:val="0"/>
                <w:sz w:val="21"/>
                <w:szCs w:val="21"/>
                <w:vertAlign w:val="superscript"/>
                <w:lang w:val="en-US" w:eastAsia="zh-CN"/>
              </w:rPr>
              <w:t>6</w:t>
            </w:r>
            <w:r>
              <w:rPr>
                <w:rFonts w:hint="eastAsia" w:ascii="宋体" w:hAnsi="宋体" w:eastAsia="宋体" w:cs="宋体"/>
                <w:b w:val="0"/>
                <w:bCs w:val="0"/>
                <w:sz w:val="21"/>
                <w:szCs w:val="21"/>
                <w:lang w:val="en-US" w:eastAsia="zh-CN"/>
              </w:rPr>
              <w:t>Ω，每组专设的静电接地体的接地电阻值一般不应大于100Ω或同等含义</w:t>
            </w:r>
            <w:r>
              <w:rPr>
                <w:rFonts w:hint="eastAsia" w:ascii="宋体" w:hAnsi="宋体" w:eastAsia="宋体" w:cs="宋体"/>
                <w:b/>
                <w:bCs/>
                <w:sz w:val="21"/>
                <w:szCs w:val="21"/>
                <w:lang w:val="en-US" w:eastAsia="zh-CN"/>
              </w:rPr>
              <w:t>(静电接地装置漏洞电阻值和接地电阻值性能：产品依据GB 12158-2006 防止静电事故通用导则检测，中标签订合同后提供具有CMA或CNAS认证标志的第三方检测机构出具的静电接地装置检测报告复印件）。</w:t>
            </w:r>
          </w:p>
        </w:tc>
        <w:tc>
          <w:tcPr>
            <w:tcW w:w="339" w:type="pct"/>
            <w:shd w:val="clear" w:color="auto" w:fill="FFFFFF" w:themeFill="background1"/>
            <w:vAlign w:val="center"/>
          </w:tcPr>
          <w:p w14:paraId="116F14EE">
            <w:pPr>
              <w:keepNext w:val="0"/>
              <w:keepLines w:val="0"/>
              <w:widowControl/>
              <w:suppressLineNumbers w:val="0"/>
              <w:jc w:val="center"/>
              <w:textAlignment w:val="center"/>
              <w:rPr>
                <w:rFonts w:hint="default"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16</w:t>
            </w:r>
          </w:p>
        </w:tc>
        <w:tc>
          <w:tcPr>
            <w:tcW w:w="225" w:type="pct"/>
            <w:shd w:val="clear" w:color="auto" w:fill="FFFFFF" w:themeFill="background1"/>
            <w:vAlign w:val="center"/>
          </w:tcPr>
          <w:p w14:paraId="2CBF1B3F">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台</w:t>
            </w:r>
          </w:p>
        </w:tc>
        <w:tc>
          <w:tcPr>
            <w:tcW w:w="427" w:type="pct"/>
            <w:vAlign w:val="center"/>
          </w:tcPr>
          <w:p w14:paraId="7E19C362">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4805CC5E">
            <w:pPr>
              <w:rPr>
                <w:rFonts w:ascii="宋体" w:hAnsi="宋体" w:eastAsia="宋体" w:cs="宋体"/>
                <w:sz w:val="24"/>
                <w:szCs w:val="24"/>
                <w:highlight w:val="none"/>
              </w:rPr>
            </w:pPr>
          </w:p>
        </w:tc>
      </w:tr>
      <w:tr w14:paraId="29083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3B6818DC">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4</w:t>
            </w:r>
          </w:p>
        </w:tc>
        <w:tc>
          <w:tcPr>
            <w:tcW w:w="434" w:type="pct"/>
            <w:shd w:val="clear" w:color="auto" w:fill="FFFFFF" w:themeFill="background1"/>
            <w:vAlign w:val="center"/>
          </w:tcPr>
          <w:p w14:paraId="61AF8302">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PP柜</w:t>
            </w:r>
          </w:p>
        </w:tc>
        <w:tc>
          <w:tcPr>
            <w:tcW w:w="3016" w:type="pct"/>
            <w:shd w:val="clear" w:color="auto" w:fill="FFFFFF" w:themeFill="background1"/>
            <w:vAlign w:val="center"/>
          </w:tcPr>
          <w:p w14:paraId="65BAFD86">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 外部尺寸：H1800*W900*D450mm（±5%）；</w:t>
            </w:r>
          </w:p>
          <w:p w14:paraId="31216B5A">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2、柜体采用≥8mm厚度PP（聚丙烯）板材（板材颜色</w:t>
            </w:r>
            <w:r>
              <w:rPr>
                <w:rFonts w:hint="eastAsia"/>
                <w:lang w:val="en-US" w:eastAsia="zh-CN"/>
              </w:rPr>
              <w:t>根据采购人要求定制</w:t>
            </w:r>
            <w:r>
              <w:rPr>
                <w:rFonts w:hint="eastAsia" w:ascii="宋体" w:hAnsi="宋体" w:eastAsia="宋体" w:cs="宋体"/>
                <w:b w:val="0"/>
                <w:bCs w:val="0"/>
                <w:sz w:val="21"/>
                <w:szCs w:val="21"/>
                <w:lang w:val="en-US" w:eastAsia="zh-CN"/>
              </w:rPr>
              <w:t>），经同色焊条无缝焊接处理，保证柜体之坚固及密封性。</w:t>
            </w:r>
          </w:p>
          <w:p w14:paraId="5747B9D0">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3、材质：采用PP（聚丙烯）板材制作层板（板材颜色</w:t>
            </w:r>
            <w:r>
              <w:rPr>
                <w:rFonts w:hint="eastAsia"/>
                <w:lang w:val="en-US" w:eastAsia="zh-CN"/>
              </w:rPr>
              <w:t>根据采购人要求定制</w:t>
            </w:r>
            <w:r>
              <w:rPr>
                <w:rFonts w:hint="eastAsia" w:ascii="宋体" w:hAnsi="宋体" w:eastAsia="宋体" w:cs="宋体"/>
                <w:b w:val="0"/>
                <w:bCs w:val="0"/>
                <w:sz w:val="21"/>
                <w:szCs w:val="21"/>
                <w:lang w:val="en-US" w:eastAsia="zh-CN"/>
              </w:rPr>
              <w:t>），数量两块，四边有立边，立边整体焊接成型，没有任何废料拼凑。整体设计为活动式，可随意抽取放在合适的隔层，自由组合各层空间。</w:t>
            </w:r>
          </w:p>
          <w:p w14:paraId="683A3406">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4、门板：采用15mm厚PP聚丙烯整板制作，柜门左右对开，无缝式焊接。</w:t>
            </w:r>
          </w:p>
          <w:p w14:paraId="7682CC0D">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5、锁具：每个柜门均需设有防腐蚀双挂锁，锁具无金属外漏.</w:t>
            </w:r>
          </w:p>
          <w:p w14:paraId="42335058">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6、配件：铰链，把手等配件为塑胶射出一体成型。</w:t>
            </w:r>
          </w:p>
          <w:p w14:paraId="5FF8B5DB">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7、层板：两块可调节层板，调节层板为高强度PP（聚丙烯）板材制作，并具有防漏液设计，层板底部采用防粘结设计，防止废液泄漏造成试剂瓶底部与层板粘结。PP层板的承重不小于100公斤。</w:t>
            </w:r>
          </w:p>
          <w:p w14:paraId="377795DB">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7.1、★层板的PP板材需具有阻燃功能，其中板材负荷变形温度为不低于150℃，维卡软化温度不低于150℃，热变形温度不低于200℃，垂直燃烧阻燃级别不低于V-0级别，依据GB/T 24282-2021进行二甲苯可溶物含量检测，检测结果须为未检出。</w:t>
            </w:r>
            <w:r>
              <w:rPr>
                <w:rFonts w:hint="eastAsia" w:ascii="宋体" w:hAnsi="宋体" w:eastAsia="宋体" w:cs="宋体"/>
                <w:b/>
                <w:bCs/>
                <w:sz w:val="21"/>
                <w:szCs w:val="21"/>
                <w:lang w:val="en-US" w:eastAsia="zh-CN"/>
              </w:rPr>
              <w:t>（中标签订合同后提供具有CMA或CNAS认证标志的第三方检测机构出具的 PP 板材检测报告复印件，报告须同时满足以上参数中的阻燃级别和二甲苯可溶物含量检测要求）。</w:t>
            </w:r>
          </w:p>
          <w:p w14:paraId="7EFA2F55">
            <w:pPr>
              <w:rPr>
                <w:rFonts w:hint="eastAsia" w:ascii="仿宋" w:hAnsi="仿宋" w:eastAsia="仿宋" w:cs="仿宋"/>
                <w:b/>
                <w:bCs/>
                <w:kern w:val="0"/>
                <w:sz w:val="21"/>
                <w:szCs w:val="21"/>
                <w:highlight w:val="none"/>
                <w:lang w:val="en-US" w:eastAsia="zh-CN"/>
              </w:rPr>
            </w:pPr>
            <w:r>
              <w:rPr>
                <w:rFonts w:hint="eastAsia" w:ascii="宋体" w:hAnsi="宋体" w:eastAsia="宋体" w:cs="宋体"/>
                <w:b w:val="0"/>
                <w:bCs w:val="0"/>
                <w:sz w:val="21"/>
                <w:szCs w:val="21"/>
                <w:lang w:val="en-US" w:eastAsia="zh-CN"/>
              </w:rPr>
              <w:t>8、整柜依据《实验室家具通用技术条件》GB 24820-2009,《家具力学性能试行第五部分：柜类强度和耐久性》GB/T 10357.5-2011进行检测，产品通过隔板稳定性，拉门耐久性试验，检测结果均符合要求</w:t>
            </w:r>
            <w:r>
              <w:rPr>
                <w:rFonts w:hint="eastAsia" w:ascii="宋体" w:hAnsi="宋体" w:eastAsia="宋体" w:cs="宋体"/>
                <w:b/>
                <w:bCs/>
                <w:sz w:val="21"/>
                <w:szCs w:val="21"/>
                <w:lang w:val="en-US" w:eastAsia="zh-CN"/>
              </w:rPr>
              <w:t>（中标签订合同后提供具有CMA或CNAS认证标志的第三方检测机构出具的PP药品柜整柜符合参数要求的检测报告复印件，检测结果均为“合格”或“符合”）。</w:t>
            </w:r>
          </w:p>
          <w:p w14:paraId="615D06A3">
            <w:pPr>
              <w:keepNext w:val="0"/>
              <w:keepLines w:val="0"/>
              <w:widowControl/>
              <w:suppressLineNumbers w:val="0"/>
              <w:jc w:val="left"/>
              <w:textAlignment w:val="center"/>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sz w:val="21"/>
                <w:szCs w:val="21"/>
                <w:lang w:val="en-US" w:eastAsia="zh-CN"/>
              </w:rPr>
              <w:t>9、标识：柜门须贴有醒目的“腐蚀性”警示标识。</w:t>
            </w:r>
          </w:p>
        </w:tc>
        <w:tc>
          <w:tcPr>
            <w:tcW w:w="339" w:type="pct"/>
            <w:shd w:val="clear" w:color="auto" w:fill="FFFFFF" w:themeFill="background1"/>
            <w:vAlign w:val="center"/>
          </w:tcPr>
          <w:p w14:paraId="594062CE">
            <w:pPr>
              <w:keepNext w:val="0"/>
              <w:keepLines w:val="0"/>
              <w:widowControl/>
              <w:suppressLineNumbers w:val="0"/>
              <w:jc w:val="center"/>
              <w:textAlignment w:val="center"/>
              <w:rPr>
                <w:rFonts w:hint="default"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8</w:t>
            </w:r>
          </w:p>
        </w:tc>
        <w:tc>
          <w:tcPr>
            <w:tcW w:w="225" w:type="pct"/>
            <w:shd w:val="clear" w:color="auto" w:fill="FFFFFF" w:themeFill="background1"/>
            <w:vAlign w:val="center"/>
          </w:tcPr>
          <w:p w14:paraId="3BCD79CE">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台</w:t>
            </w:r>
          </w:p>
        </w:tc>
        <w:tc>
          <w:tcPr>
            <w:tcW w:w="427" w:type="pct"/>
            <w:vAlign w:val="center"/>
          </w:tcPr>
          <w:p w14:paraId="39660236">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73A1E7C4">
            <w:pPr>
              <w:rPr>
                <w:rFonts w:ascii="宋体" w:hAnsi="宋体" w:eastAsia="宋体" w:cs="宋体"/>
                <w:sz w:val="24"/>
                <w:szCs w:val="24"/>
                <w:highlight w:val="none"/>
              </w:rPr>
            </w:pPr>
          </w:p>
        </w:tc>
      </w:tr>
      <w:tr w14:paraId="575F8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7A37E753">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5</w:t>
            </w:r>
          </w:p>
        </w:tc>
        <w:tc>
          <w:tcPr>
            <w:tcW w:w="434" w:type="pct"/>
            <w:shd w:val="clear" w:color="auto" w:fill="FFFFFF" w:themeFill="background1"/>
            <w:vAlign w:val="center"/>
          </w:tcPr>
          <w:p w14:paraId="016C85B9">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防火柜</w:t>
            </w:r>
          </w:p>
        </w:tc>
        <w:tc>
          <w:tcPr>
            <w:tcW w:w="3016" w:type="pct"/>
            <w:shd w:val="clear" w:color="auto" w:fill="FFFFFF" w:themeFill="background1"/>
            <w:vAlign w:val="center"/>
          </w:tcPr>
          <w:p w14:paraId="736FE859">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1、外部尺寸：H1950*W900*D620mm（±5%）。</w:t>
            </w:r>
          </w:p>
          <w:p w14:paraId="6763A79A">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2、锁具配置：双机械锁，锁具达到B级防盗级别，满足管制类危化品的双人双锁要求。</w:t>
            </w:r>
          </w:p>
          <w:p w14:paraId="3315E6EE">
            <w:pPr>
              <w:keepNext w:val="0"/>
              <w:keepLines w:val="0"/>
              <w:widowControl/>
              <w:suppressLineNumbers w:val="0"/>
              <w:jc w:val="left"/>
              <w:textAlignment w:val="center"/>
              <w:rPr>
                <w:rFonts w:hint="eastAsia" w:ascii="宋体" w:hAnsi="宋体" w:eastAsia="宋体" w:cs="宋体"/>
                <w:b/>
                <w:bCs/>
                <w:sz w:val="21"/>
                <w:szCs w:val="21"/>
                <w:lang w:val="en-US" w:eastAsia="zh-CN"/>
              </w:rPr>
            </w:pPr>
            <w:r>
              <w:rPr>
                <w:rFonts w:hint="eastAsia" w:ascii="宋体" w:hAnsi="宋体" w:eastAsia="宋体" w:cs="宋体"/>
                <w:b w:val="0"/>
                <w:bCs w:val="0"/>
                <w:sz w:val="21"/>
                <w:szCs w:val="21"/>
                <w:lang w:val="en-US" w:eastAsia="zh-CN"/>
              </w:rPr>
              <w:t>3、耐火性能：整柜为专业防火结构，柜体采用≥ 1.2mm厚冷轧钢板，底座采用≥2.5mm厚冷轧钢板；防火柜内部采用复合型防火隔热材料，具备优良的防火隔热性能；柜体柜门安装防火膨胀密封件，密封件符合GB16807-2009的要求。★依据EN14470-1进行测试，整柜耐火时间不小于90min。</w:t>
            </w:r>
            <w:r>
              <w:rPr>
                <w:rFonts w:hint="eastAsia" w:ascii="宋体" w:hAnsi="宋体" w:eastAsia="宋体" w:cs="宋体"/>
                <w:b/>
                <w:bCs/>
                <w:sz w:val="21"/>
                <w:szCs w:val="21"/>
                <w:lang w:val="en-US" w:eastAsia="zh-CN"/>
              </w:rPr>
              <w:t>（中标签订合同后提供具有CMA或CNAS认证标志的检测机构出具的同类型危化品防火储存柜整柜不小于90min耐火检测报告复印件）。</w:t>
            </w:r>
          </w:p>
          <w:p w14:paraId="0E8D95C3">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w:t>
            </w:r>
            <w:r>
              <w:rPr>
                <w:rFonts w:hint="eastAsia" w:ascii="宋体" w:hAnsi="宋体" w:eastAsia="宋体" w:cs="宋体"/>
                <w:b/>
                <w:bCs/>
                <w:sz w:val="21"/>
                <w:szCs w:val="21"/>
                <w:lang w:val="en-US" w:eastAsia="zh-CN"/>
              </w:rPr>
              <w:t>a、耐火测试报告中需体现检测过程中防火柜内热电偶位置图、炉内温度/时间曲线图、热电偶温升/时间曲线图和检测前后样品比对照片；</w:t>
            </w:r>
          </w:p>
          <w:p w14:paraId="52E41818">
            <w:pPr>
              <w:keepNext w:val="0"/>
              <w:keepLines w:val="0"/>
              <w:widowControl/>
              <w:suppressLineNumbers w:val="0"/>
              <w:jc w:val="left"/>
              <w:textAlignment w:val="center"/>
              <w:rPr>
                <w:rFonts w:hint="default" w:ascii="宋体" w:hAnsi="宋体" w:eastAsia="宋体" w:cs="宋体"/>
                <w:b/>
                <w:bCs/>
                <w:sz w:val="21"/>
                <w:szCs w:val="21"/>
                <w:lang w:val="en-US" w:eastAsia="zh-CN"/>
              </w:rPr>
            </w:pPr>
            <w:r>
              <w:rPr>
                <w:rFonts w:hint="eastAsia" w:ascii="宋体" w:hAnsi="宋体" w:eastAsia="宋体" w:cs="宋体"/>
                <w:b/>
                <w:bCs/>
                <w:sz w:val="21"/>
                <w:szCs w:val="21"/>
                <w:lang w:val="en-US" w:eastAsia="zh-CN"/>
              </w:rPr>
              <w:t>b、中标签订合同后提供CMA或CNAS出具给该检测机构具备危化品防火储存柜耐火性能检测能力证明材料。</w:t>
            </w:r>
          </w:p>
          <w:p w14:paraId="35F24B09">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4、静电卸放：配置静电泄放装置，可将静电荷导入大地，降低静电火花造成火灾风险；</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5、层板：每台防火柜配备钢制层板三块，单块钢制层板承重不小于50KG。</w:t>
            </w:r>
          </w:p>
          <w:p w14:paraId="222594A6">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6、柜体表面涂层：环氧树脂粉末静电喷涂处理，喷涂均匀，无锈点、毛刺、防尘、防锈和防潮，最大限度降低腐蚀和湿气的影响。</w:t>
            </w:r>
          </w:p>
          <w:p w14:paraId="490C47C4">
            <w:pPr>
              <w:keepNext w:val="0"/>
              <w:keepLines w:val="0"/>
              <w:widowControl/>
              <w:suppressLineNumbers w:val="0"/>
              <w:jc w:val="left"/>
              <w:textAlignment w:val="center"/>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sz w:val="21"/>
                <w:szCs w:val="21"/>
                <w:lang w:val="en-US" w:eastAsia="zh-CN"/>
              </w:rPr>
              <w:t>6.1、★产品依照 GB/T 10125-2021 进 行 盐 雾 试 验 ， 依 照 GB/T6461-2002 金属基体上和其他无机覆盖层经腐蚀试验，报告结果防盐雾腐蚀保护等级不低于 10 级，外观评价 A 级</w:t>
            </w:r>
            <w:r>
              <w:rPr>
                <w:rFonts w:hint="eastAsia" w:ascii="宋体" w:hAnsi="宋体" w:eastAsia="宋体" w:cs="宋体"/>
                <w:b/>
                <w:bCs/>
                <w:sz w:val="21"/>
                <w:szCs w:val="21"/>
                <w:lang w:val="en-US" w:eastAsia="zh-CN"/>
              </w:rPr>
              <w:t>（中标签订合同后提供具有CMA或CNAS认证标志的第三方检测机构出具的整柜盐雾试验检测报告扫描件，报告满足以上参数要求，检测结果保护等级不低于10级，外观评级不低于A级）。</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7、★整柜需具备抗爆功能：依照GA871-2010进行抗爆检测，内爆试验柜体可抵抗不小于5g当量TNT爆炸冲击波，柜体外表面完好，未见明显变形及破损，试验后柜门未被冲开，能正常开闭。外爆试验柜体可抵抗不小于5g当量TNT爆炸冲击波，柜体未见明显变形及破损，试验后柜门未被冲开，能正常开闭。柜体内部中央放置的化学品试剂瓶及定量瓶完好，未破损及倾倒。</w:t>
            </w:r>
            <w:r>
              <w:rPr>
                <w:rFonts w:hint="eastAsia" w:ascii="宋体" w:hAnsi="宋体" w:eastAsia="宋体" w:cs="宋体"/>
                <w:b/>
                <w:bCs/>
                <w:sz w:val="21"/>
                <w:szCs w:val="21"/>
                <w:lang w:val="en-US" w:eastAsia="zh-CN"/>
              </w:rPr>
              <w:t>（中标签订合同后提供CNAS或CMA认证标志的第三方检测机构出具的同类型防爆柜整柜的抗爆检验报告）。</w:t>
            </w:r>
          </w:p>
        </w:tc>
        <w:tc>
          <w:tcPr>
            <w:tcW w:w="339" w:type="pct"/>
            <w:shd w:val="clear" w:color="auto" w:fill="FFFFFF" w:themeFill="background1"/>
            <w:vAlign w:val="center"/>
          </w:tcPr>
          <w:p w14:paraId="62FEA25B">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1</w:t>
            </w:r>
          </w:p>
        </w:tc>
        <w:tc>
          <w:tcPr>
            <w:tcW w:w="225" w:type="pct"/>
            <w:shd w:val="clear" w:color="auto" w:fill="FFFFFF" w:themeFill="background1"/>
            <w:vAlign w:val="center"/>
          </w:tcPr>
          <w:p w14:paraId="795F965A">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台</w:t>
            </w:r>
          </w:p>
        </w:tc>
        <w:tc>
          <w:tcPr>
            <w:tcW w:w="427" w:type="pct"/>
            <w:vAlign w:val="center"/>
          </w:tcPr>
          <w:p w14:paraId="404BB716">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469AA2A1">
            <w:pPr>
              <w:rPr>
                <w:rFonts w:ascii="宋体" w:hAnsi="宋体" w:eastAsia="宋体" w:cs="宋体"/>
                <w:sz w:val="24"/>
                <w:szCs w:val="24"/>
                <w:highlight w:val="none"/>
              </w:rPr>
            </w:pPr>
          </w:p>
        </w:tc>
      </w:tr>
      <w:tr w14:paraId="557DF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trPr>
        <w:tc>
          <w:tcPr>
            <w:tcW w:w="309" w:type="pct"/>
            <w:shd w:val="clear" w:color="auto" w:fill="FFFFFF" w:themeFill="background1"/>
            <w:vAlign w:val="center"/>
          </w:tcPr>
          <w:p w14:paraId="721ECD9C">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6</w:t>
            </w:r>
          </w:p>
        </w:tc>
        <w:tc>
          <w:tcPr>
            <w:tcW w:w="434" w:type="pct"/>
            <w:shd w:val="clear" w:color="auto" w:fill="FFFFFF" w:themeFill="background1"/>
            <w:vAlign w:val="center"/>
          </w:tcPr>
          <w:p w14:paraId="1B585D14">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手摇式药品柜</w:t>
            </w:r>
          </w:p>
        </w:tc>
        <w:tc>
          <w:tcPr>
            <w:tcW w:w="3016" w:type="pct"/>
            <w:shd w:val="clear" w:color="auto" w:fill="FFFFFF" w:themeFill="background1"/>
            <w:vAlign w:val="center"/>
          </w:tcPr>
          <w:p w14:paraId="7336586B">
            <w:pPr>
              <w:keepNext w:val="0"/>
              <w:keepLines w:val="0"/>
              <w:widowControl/>
              <w:suppressLineNumbers w:val="0"/>
              <w:jc w:val="left"/>
              <w:textAlignment w:val="center"/>
              <w:rPr>
                <w:rFonts w:hint="default"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该产品主要由架体、底架（座）、传动装置、防护装置四大部分组成。尺寸：900*560*2360mm（±5%）*4组。</w:t>
            </w:r>
          </w:p>
          <w:p w14:paraId="12342794">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底盘：采用框架式结构，用材均采用热轧碳素钢折弯成型，高度大于120mm，并双弯边加强，弯边保持50mm，架体长期荷重存放资料不变形，底盘与立柱连接采用M10/55螺栓，并设有防倾倒装置，防止架体倾倒，底梁装配后的直线不大于0.5mm/m，全长不大于2mm。</w:t>
            </w:r>
          </w:p>
          <w:p w14:paraId="3FA7CC76">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2、轨道：采用实心方钢与板件焊接组合成路轨，路轨顶端设有限位装置，防止底盘脱轨，轨连接采用嵌入式连接方式。轨道用膨胀螺丝或预埋式固定在地面上。按规定铺设轨道，轨道的平行偏差≤1mm，轨道之间任何位置的水平偏差≤0.5mm。</w:t>
            </w:r>
          </w:p>
          <w:p w14:paraId="5170925B">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3、立柱：采用优质冷轧板，其设计采取通用性、实用性，层数和间距可按需调整的设计方案，结构结实、坚固。立柱进行一次性冲压而成，立柱与底梁连接紧固方式：采用立柱插入底盘槽钢中用M10*30螺栓固定。</w:t>
            </w:r>
          </w:p>
          <w:p w14:paraId="1374DF2B">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4、层板：每层层板采用双面（AB面）结构，用材均采用优质冷轧板，并采用三道弯边工艺，折弯高度为25mm。每层层板能达到承重≥60kg。</w:t>
            </w:r>
          </w:p>
          <w:p w14:paraId="75D7BFE9">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5、挂板：选用优质冷轧钢板冲压成型。挂板与立柱之间的连接方式采用双扣勾挂板，挂板与层板之间也采用双扣勾，挂板与立柱连接的扣勾和挂板与层板连接的扣勾平行度相差&lt;1mm。</w:t>
            </w:r>
          </w:p>
          <w:p w14:paraId="48AA7886">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6、档棒：每二层层板中间设有一根档棒，便于分隔架体双面存放档案，材料均采用优质冷轧板，设计为自锁式档条，依靠档条和挂板之间的机械组合达到锁紧功能。</w:t>
            </w:r>
          </w:p>
          <w:p w14:paraId="477EA7CE">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7、侧面板：材料选用优质冷轧板，折弯成型，侧板正面为豪华凹凸型，边角为圆弧型，立体感强、线条流畅，更显豪华高档。必要时采用压双筋加固提高抗压能力。</w:t>
            </w:r>
          </w:p>
          <w:p w14:paraId="41B0DC85">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8、门板：门面板安装在密集架的首列和最后一列，选用优质冷轧板，门板设置有双层门,锁具使用豪华型扣拉式方形锁。</w:t>
            </w:r>
          </w:p>
          <w:p w14:paraId="1A5BC60D">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9、顶板：顶板为整体平板，选用优质冷轧板制造。</w:t>
            </w:r>
          </w:p>
          <w:p w14:paraId="7E809D10">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10、防尘板、防鼠板：采用优质冷轧钢板。</w:t>
            </w:r>
          </w:p>
          <w:p w14:paraId="4501EF26">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11、摇把：采用方向盘式摇把，用塑钢制造。造型美观大方、摇把可隐藏、手感舒适，其结构为棘轮自动挂、脱挡，停用后摇把可自行停于垂直位置，可避免通道障碍，摇动任意一列不会带动其它把手。传动速比1：7：5,荷载能力，每标准节＞360kg</w:t>
            </w:r>
          </w:p>
          <w:p w14:paraId="090C83AB">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12、传动系统：采用双向超越结构，其结构为棘轮式、脱挡，停用后摇把可自行停于垂直位置，可避免通道障碍，摇动任意一列不会带动其它把手。架体空间利用率≥82%。</w:t>
            </w:r>
          </w:p>
          <w:p w14:paraId="1216822A">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13、制动装置：每列均装有刹车制动装置，使之做到每一列均可锁定，查阅资料和存放文件时能确保人身安全。每一组合团体均装有总锁装置，使之做到每个组合团体都可锁定。列和组合体达到自锁和互锁功能。</w:t>
            </w:r>
          </w:p>
          <w:p w14:paraId="4877611F">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14、密封装置：每列的接触面均应有缓冲及密封条，顶部应有防尘板，每列架体上方安装防尘压条，底部有防鼠板，合拢后无缝隙，具有良好的防尘、防光、防鼠、防潮等功能。</w:t>
            </w:r>
          </w:p>
          <w:p w14:paraId="61D69587">
            <w:pPr>
              <w:keepNext w:val="0"/>
              <w:keepLines w:val="0"/>
              <w:widowControl/>
              <w:suppressLineNumbers w:val="0"/>
              <w:jc w:val="left"/>
              <w:textAlignment w:val="center"/>
              <w:rPr>
                <w:rFonts w:hint="default" w:ascii="宋体" w:hAnsi="宋体" w:eastAsia="宋体" w:cs="宋体"/>
                <w:b w:val="0"/>
                <w:bCs w:val="0"/>
                <w:kern w:val="2"/>
                <w:sz w:val="21"/>
                <w:szCs w:val="21"/>
                <w:lang w:val="en-US" w:eastAsia="zh-CN" w:bidi="ar-SA"/>
              </w:rPr>
            </w:pPr>
            <w:r>
              <w:rPr>
                <w:rFonts w:hint="eastAsia" w:ascii="宋体" w:hAnsi="宋体" w:eastAsia="宋体" w:cs="宋体"/>
                <w:b w:val="0"/>
                <w:bCs w:val="0"/>
                <w:sz w:val="21"/>
                <w:szCs w:val="21"/>
                <w:lang w:val="en-US" w:eastAsia="zh-CN"/>
              </w:rPr>
              <w:t>15、防倾倒装置：采用燕尾式防倾倒装置，应整件无焊接组成。当受到倾覆时双向、双点受力，确保设备不倾倒。</w:t>
            </w:r>
          </w:p>
        </w:tc>
        <w:tc>
          <w:tcPr>
            <w:tcW w:w="339" w:type="pct"/>
            <w:shd w:val="clear" w:color="auto" w:fill="FFFFFF" w:themeFill="background1"/>
            <w:vAlign w:val="center"/>
          </w:tcPr>
          <w:p w14:paraId="0A62750D">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2</w:t>
            </w:r>
          </w:p>
        </w:tc>
        <w:tc>
          <w:tcPr>
            <w:tcW w:w="225" w:type="pct"/>
            <w:shd w:val="clear" w:color="auto" w:fill="FFFFFF" w:themeFill="background1"/>
            <w:vAlign w:val="center"/>
          </w:tcPr>
          <w:p w14:paraId="69DD151E">
            <w:pPr>
              <w:keepNext w:val="0"/>
              <w:keepLines w:val="0"/>
              <w:widowControl/>
              <w:suppressLineNumbers w:val="0"/>
              <w:jc w:val="center"/>
              <w:textAlignment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套</w:t>
            </w:r>
          </w:p>
        </w:tc>
        <w:tc>
          <w:tcPr>
            <w:tcW w:w="427" w:type="pct"/>
            <w:vAlign w:val="center"/>
          </w:tcPr>
          <w:p w14:paraId="4120ABB9">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76B14CD2">
            <w:pPr>
              <w:rPr>
                <w:rFonts w:ascii="宋体" w:hAnsi="宋体" w:eastAsia="宋体" w:cs="宋体"/>
                <w:sz w:val="24"/>
                <w:szCs w:val="24"/>
                <w:highlight w:val="none"/>
              </w:rPr>
            </w:pPr>
          </w:p>
        </w:tc>
      </w:tr>
      <w:tr w14:paraId="6BAB8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36942696">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7</w:t>
            </w:r>
          </w:p>
        </w:tc>
        <w:tc>
          <w:tcPr>
            <w:tcW w:w="434" w:type="pct"/>
            <w:shd w:val="clear" w:color="auto" w:fill="FFFFFF" w:themeFill="background1"/>
            <w:vAlign w:val="center"/>
          </w:tcPr>
          <w:p w14:paraId="3A6D4428">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货架</w:t>
            </w:r>
          </w:p>
        </w:tc>
        <w:tc>
          <w:tcPr>
            <w:tcW w:w="3016" w:type="pct"/>
            <w:shd w:val="clear" w:color="auto" w:fill="FFFFFF" w:themeFill="background1"/>
            <w:vAlign w:val="center"/>
          </w:tcPr>
          <w:p w14:paraId="2FC10E9D">
            <w:pPr>
              <w:keepNext w:val="0"/>
              <w:keepLines w:val="0"/>
              <w:widowControl/>
              <w:suppressLineNumbers w:val="0"/>
              <w:jc w:val="left"/>
              <w:textAlignment w:val="center"/>
              <w:rPr>
                <w:rFonts w:hint="default" w:ascii="宋体" w:hAnsi="宋体" w:eastAsia="宋体" w:cs="宋体"/>
                <w:b w:val="0"/>
                <w:bCs w:val="0"/>
                <w:kern w:val="2"/>
                <w:sz w:val="21"/>
                <w:szCs w:val="21"/>
                <w:lang w:val="en-US" w:eastAsia="zh-Hans" w:bidi="ar-SA"/>
              </w:rPr>
            </w:pPr>
            <w:r>
              <w:rPr>
                <w:rFonts w:hint="eastAsia" w:ascii="宋体" w:hAnsi="宋体" w:eastAsia="宋体" w:cs="宋体"/>
                <w:b w:val="0"/>
                <w:bCs w:val="0"/>
                <w:sz w:val="21"/>
                <w:szCs w:val="21"/>
                <w:lang w:val="en-US" w:eastAsia="zh-CN"/>
              </w:rPr>
              <w:t>规格：W2000*D600*H1600mm（±5%）；整体采用 304、≥1.0mm不锈钢制作，共有层板2层，层板带加强筋。层板上配备一个PP耐腐蚀盛漏托盘。</w:t>
            </w:r>
          </w:p>
        </w:tc>
        <w:tc>
          <w:tcPr>
            <w:tcW w:w="339" w:type="pct"/>
            <w:shd w:val="clear" w:color="auto" w:fill="FFFFFF" w:themeFill="background1"/>
            <w:vAlign w:val="center"/>
          </w:tcPr>
          <w:p w14:paraId="4CF8A556">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6</w:t>
            </w:r>
          </w:p>
        </w:tc>
        <w:tc>
          <w:tcPr>
            <w:tcW w:w="225" w:type="pct"/>
            <w:shd w:val="clear" w:color="auto" w:fill="FFFFFF" w:themeFill="background1"/>
            <w:vAlign w:val="center"/>
          </w:tcPr>
          <w:p w14:paraId="5491BFFF">
            <w:pPr>
              <w:keepNext w:val="0"/>
              <w:keepLines w:val="0"/>
              <w:widowControl/>
              <w:suppressLineNumbers w:val="0"/>
              <w:jc w:val="center"/>
              <w:textAlignment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组</w:t>
            </w:r>
          </w:p>
        </w:tc>
        <w:tc>
          <w:tcPr>
            <w:tcW w:w="427" w:type="pct"/>
            <w:vAlign w:val="center"/>
          </w:tcPr>
          <w:p w14:paraId="431FD467">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14481EEC">
            <w:pPr>
              <w:rPr>
                <w:rFonts w:ascii="宋体" w:hAnsi="宋体" w:eastAsia="宋体" w:cs="宋体"/>
                <w:sz w:val="24"/>
                <w:szCs w:val="24"/>
                <w:highlight w:val="none"/>
              </w:rPr>
            </w:pPr>
          </w:p>
        </w:tc>
      </w:tr>
      <w:tr w14:paraId="56565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78895987">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8</w:t>
            </w:r>
          </w:p>
        </w:tc>
        <w:tc>
          <w:tcPr>
            <w:tcW w:w="434" w:type="pct"/>
            <w:shd w:val="clear" w:color="auto" w:fill="FFFFFF" w:themeFill="background1"/>
            <w:vAlign w:val="center"/>
          </w:tcPr>
          <w:p w14:paraId="261A1C3F">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防爆电气系统</w:t>
            </w:r>
            <w:r>
              <w:rPr>
                <w:rFonts w:hint="eastAsia" w:asciiTheme="minorEastAsia" w:hAnsiTheme="minorEastAsia" w:cstheme="minorEastAsia"/>
                <w:sz w:val="24"/>
              </w:rPr>
              <w:t>▲</w:t>
            </w:r>
          </w:p>
        </w:tc>
        <w:tc>
          <w:tcPr>
            <w:tcW w:w="3016" w:type="pct"/>
            <w:shd w:val="clear" w:color="auto" w:fill="FFFFFF" w:themeFill="background1"/>
            <w:vAlign w:val="center"/>
          </w:tcPr>
          <w:p w14:paraId="6A94AFBD">
            <w:pPr>
              <w:keepNext w:val="0"/>
              <w:keepLines w:val="0"/>
              <w:widowControl/>
              <w:suppressLineNumbers w:val="0"/>
              <w:jc w:val="left"/>
              <w:textAlignment w:val="center"/>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1、防爆开关（1个）：防爆级别：EXdⅡBT4Gb。</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2、防爆照明灯（4盏）：防爆级别：EXdⅡBT4Gb 采用高强度气体放电灯做光源，光效高，平均使用寿命达10000小时以上。采用棱晶状钢化玻璃，无眩光。</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3、防爆紧急疏散一体灯（1盏）：防爆级别：EXdⅡBT4Gb，具有自动应急功能，应急时间长。采用LED光源，功率低，高效节能。</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4、防爆型报警声光指示灯（3盏）：防爆级别：EXdⅡBT4Gb；工作环境的照度达到300lux左右。</w:t>
            </w:r>
          </w:p>
          <w:p w14:paraId="140866B1">
            <w:pPr>
              <w:keepNext w:val="0"/>
              <w:keepLines w:val="0"/>
              <w:widowControl/>
              <w:suppressLineNumbers w:val="0"/>
              <w:pBdr>
                <w:bottom w:val="none" w:color="auto" w:sz="0" w:space="0"/>
              </w:pBdr>
              <w:jc w:val="left"/>
              <w:textAlignment w:val="center"/>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sz w:val="21"/>
                <w:szCs w:val="21"/>
                <w:lang w:val="en-US" w:eastAsia="zh-CN"/>
              </w:rPr>
              <w:t>5、单控开关（1个）：控开关采用单联16A开关。</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6、照明灯（4盏）：用高强度气体放电灯做光源，光效高，无眩光。</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7、紧急疏散一体灯（1盏）：具有自动应急功能，采用LED光源，应急时间长。</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8、防爆温湿度监测传感器（2套）：防爆级别：EXdⅡBT4Gb。 量测范围：湿度:0~100% rH 温度:-20~80℃ 测量精密度:±2%rH ±0.3K；测量煤介：空气, 气体；供应电源：12~20vdc；保护等级：IP64 ；工作范围：无侵蚀性的空气，气体。</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9、防爆VOC传感器（2套）：防爆级别：EXdⅡBT4Gb 。采用高度灵敏，探测有毒有害气体、适用范围广泛的PID（光离子化）检测器为核心部件，可实现区域完整的监测、监控、预警体系，全面提升安全水平及突发事故的应急处理能力。壳体内部电路板部分，板材需满足以下需求：依据 GB/T 24282-2021进行二甲苯可溶物含量检测，检测结果须为未检出，依据 GB/T 38286-2019 进行过氧化值的测定，检测结果须为未检出。</w:t>
            </w:r>
            <w:r>
              <w:rPr>
                <w:rFonts w:hint="eastAsia" w:ascii="宋体" w:hAnsi="宋体" w:eastAsia="宋体" w:cs="宋体"/>
                <w:b/>
                <w:bCs/>
                <w:sz w:val="21"/>
                <w:szCs w:val="21"/>
                <w:lang w:val="en-US" w:eastAsia="zh-CN"/>
              </w:rPr>
              <w:t>（中标签订合同后提供电路板板材具有CNAS或CMA认证标志的第三方检测机构出具的检测报告）。</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10、防爆可燃气体传感器（2套）：防爆级别：EXdⅡBT4Gb 。采样方式 ：扩散式；检测原理：催化燃烧；测量精密度:±2%rH ±0.3K。</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11、防爆空调（4台）：2P壁挂式，防爆级别：EXdⅡCT4Gb；进风口不低于 IP20、出风口不低于IP10；其他要求：风叶与静止部件的轴向、径向距离均不小于 5mm；防爆空调外机有碳钢支撑架固定并设有防护栏。</w:t>
            </w:r>
            <w:r>
              <w:rPr>
                <w:rFonts w:hint="eastAsia" w:ascii="宋体" w:hAnsi="宋体" w:eastAsia="宋体" w:cs="宋体"/>
                <w:b/>
                <w:bCs/>
                <w:sz w:val="21"/>
                <w:szCs w:val="21"/>
                <w:lang w:val="en-US" w:eastAsia="zh-CN"/>
              </w:rPr>
              <w:t>（中标签订合同后提供具有CNAS或CMA认证标志的第三方检测机构出具的防爆智能集成控制箱整体检测报告及防爆合格证）</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12、防爆集控柜（1套）：集成设备控制（含软件），防爆级别为EXdⅡBT6Gb。14、防爆插销（1个）：防爆级别：EXdⅡBT4Gb。外壳采用铝合金压制而成，里面电器元件均采处防爆处理，并且密封所有能产生电火花的电气元件，使它与外界的危险气体隔绝。</w:t>
            </w:r>
            <w:r>
              <w:rPr>
                <w:rFonts w:hint="eastAsia" w:ascii="宋体" w:hAnsi="宋体" w:eastAsia="宋体" w:cs="宋体"/>
                <w:b w:val="0"/>
                <w:bCs w:val="0"/>
                <w:sz w:val="21"/>
                <w:szCs w:val="21"/>
                <w:lang w:val="en-US" w:eastAsia="zh-CN"/>
              </w:rPr>
              <w:br w:type="textWrapping"/>
            </w:r>
            <w:r>
              <w:rPr>
                <w:rFonts w:hint="eastAsia" w:ascii="宋体" w:hAnsi="宋体" w:eastAsia="宋体" w:cs="宋体"/>
                <w:b w:val="0"/>
                <w:bCs w:val="0"/>
                <w:sz w:val="21"/>
                <w:szCs w:val="21"/>
                <w:lang w:val="en-US" w:eastAsia="zh-CN"/>
              </w:rPr>
              <w:t>13、电线电缆及配套辅件（2间）：含安防、环境、电气、通风的电线，网线，信号线等。防爆区域内则所有电器配件均为防爆型。</w:t>
            </w:r>
          </w:p>
        </w:tc>
        <w:tc>
          <w:tcPr>
            <w:tcW w:w="339" w:type="pct"/>
            <w:shd w:val="clear" w:color="auto" w:fill="FFFFFF" w:themeFill="background1"/>
            <w:vAlign w:val="center"/>
          </w:tcPr>
          <w:p w14:paraId="2F2C0A54">
            <w:pPr>
              <w:jc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sz w:val="21"/>
                <w:szCs w:val="21"/>
                <w:u w:val="none"/>
                <w:lang w:val="en-US" w:eastAsia="zh-CN"/>
              </w:rPr>
              <w:t>1</w:t>
            </w:r>
          </w:p>
        </w:tc>
        <w:tc>
          <w:tcPr>
            <w:tcW w:w="225" w:type="pct"/>
            <w:shd w:val="clear" w:color="auto" w:fill="FFFFFF" w:themeFill="background1"/>
            <w:vAlign w:val="center"/>
          </w:tcPr>
          <w:p w14:paraId="70E6C462">
            <w:pPr>
              <w:jc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eastAsia" w:ascii="Times New Roman" w:hAnsi="Times New Roman" w:eastAsia="宋体" w:cs="Times New Roman"/>
                <w:b w:val="0"/>
                <w:bCs w:val="0"/>
                <w:i w:val="0"/>
                <w:iCs w:val="0"/>
                <w:color w:val="000000"/>
                <w:sz w:val="21"/>
                <w:szCs w:val="21"/>
                <w:u w:val="none"/>
                <w:lang w:val="en-US" w:eastAsia="zh-CN"/>
              </w:rPr>
              <w:t>套</w:t>
            </w:r>
          </w:p>
        </w:tc>
        <w:tc>
          <w:tcPr>
            <w:tcW w:w="427" w:type="pct"/>
            <w:vAlign w:val="center"/>
          </w:tcPr>
          <w:p w14:paraId="16AA6097">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62C85B4A">
            <w:pPr>
              <w:rPr>
                <w:rFonts w:ascii="宋体" w:hAnsi="宋体" w:eastAsia="宋体" w:cs="宋体"/>
                <w:sz w:val="24"/>
                <w:szCs w:val="24"/>
                <w:highlight w:val="none"/>
              </w:rPr>
            </w:pPr>
          </w:p>
        </w:tc>
      </w:tr>
      <w:tr w14:paraId="7EEEB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4CCC57C6">
            <w:pPr>
              <w:keepNext w:val="0"/>
              <w:keepLines w:val="0"/>
              <w:widowControl/>
              <w:suppressLineNumbers w:val="0"/>
              <w:jc w:val="center"/>
              <w:textAlignment w:val="center"/>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9</w:t>
            </w:r>
          </w:p>
        </w:tc>
        <w:tc>
          <w:tcPr>
            <w:tcW w:w="434" w:type="pct"/>
            <w:shd w:val="clear" w:color="auto" w:fill="FFFFFF" w:themeFill="background1"/>
            <w:vAlign w:val="center"/>
          </w:tcPr>
          <w:p w14:paraId="3873C330">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通排风系统</w:t>
            </w:r>
          </w:p>
        </w:tc>
        <w:tc>
          <w:tcPr>
            <w:tcW w:w="3016" w:type="pct"/>
            <w:shd w:val="clear" w:color="auto" w:fill="FFFFFF" w:themeFill="background1"/>
            <w:vAlign w:val="center"/>
          </w:tcPr>
          <w:p w14:paraId="5C271544">
            <w:pPr>
              <w:jc w:val="left"/>
              <w:rPr>
                <w:rFonts w:hint="default"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1、防爆玻璃钢离心风机（1台）：风量：3566-6193m³/h ，风压：1920-1170Pa ，功率：5.5kW/380V，满足所有安全柜及通风管路所需风量。</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2、变频器（1台）：5.5kW，闭环控制风机运行速度。</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3、70度常开防火阀（2个）：平时处于常开状态，当发生火灾，排风管路废气温度达到70℃以上时，防火阀自动关闭。</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4、手动调节阀：φ160、31个；φ200，2个；PP材质、控制风量。</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5、集气罩（16个）：采用耐酸碱≥3mm厚PP（聚丙烯）或高强度ABS质集气罩。</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6、★风管及配件（1套）：PP材质，PP板材需具有阻燃功能，其中PP板阻燃级别达到V-0等级，依据GB/T 24282-2021进行二甲苯可溶物含量检测，检测结果须为未检出。</w:t>
            </w:r>
            <w:r>
              <w:rPr>
                <w:rFonts w:hint="eastAsia" w:ascii="宋体" w:hAnsi="宋体" w:eastAsia="宋体" w:cs="宋体"/>
                <w:b/>
                <w:bCs/>
                <w:kern w:val="2"/>
                <w:sz w:val="21"/>
                <w:szCs w:val="21"/>
                <w:lang w:val="en-US" w:eastAsia="zh-CN" w:bidi="ar-SA"/>
              </w:rPr>
              <w:t>（中标签订合同后提供具有CMA或CNAS认证标志的第三方检测机构出具的 PP 板材检测报告复印件，报告须同时满足以上参数中的阻燃级别和二甲苯可溶物含量检测要求）。</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7、消音器（1套）：PP阻燃，L1200mm，内壁打4MM圆孔，间距8mm，外包50mm消音棉。</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8、防雨罩（1个）：PP材质，PP板材需具有阻燃功能。</w:t>
            </w:r>
          </w:p>
        </w:tc>
        <w:tc>
          <w:tcPr>
            <w:tcW w:w="339" w:type="pct"/>
            <w:shd w:val="clear" w:color="auto" w:fill="FFFFFF" w:themeFill="background1"/>
            <w:vAlign w:val="center"/>
          </w:tcPr>
          <w:p w14:paraId="6E930F2F">
            <w:pPr>
              <w:jc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sz w:val="21"/>
                <w:szCs w:val="21"/>
                <w:u w:val="none"/>
                <w:lang w:val="en-US" w:eastAsia="zh-CN"/>
              </w:rPr>
              <w:t>1</w:t>
            </w:r>
          </w:p>
        </w:tc>
        <w:tc>
          <w:tcPr>
            <w:tcW w:w="225" w:type="pct"/>
            <w:shd w:val="clear" w:color="auto" w:fill="FFFFFF" w:themeFill="background1"/>
            <w:vAlign w:val="center"/>
          </w:tcPr>
          <w:p w14:paraId="7B974FE6">
            <w:pPr>
              <w:jc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eastAsia" w:ascii="Times New Roman" w:hAnsi="Times New Roman" w:eastAsia="宋体" w:cs="Times New Roman"/>
                <w:b w:val="0"/>
                <w:bCs w:val="0"/>
                <w:i w:val="0"/>
                <w:iCs w:val="0"/>
                <w:color w:val="000000"/>
                <w:sz w:val="21"/>
                <w:szCs w:val="21"/>
                <w:u w:val="none"/>
                <w:lang w:val="en-US" w:eastAsia="zh-CN"/>
              </w:rPr>
              <w:t>套</w:t>
            </w:r>
          </w:p>
        </w:tc>
        <w:tc>
          <w:tcPr>
            <w:tcW w:w="427" w:type="pct"/>
            <w:vAlign w:val="center"/>
          </w:tcPr>
          <w:p w14:paraId="691662D1">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14281ECE">
            <w:pPr>
              <w:rPr>
                <w:rFonts w:ascii="宋体" w:hAnsi="宋体" w:eastAsia="宋体" w:cs="宋体"/>
                <w:sz w:val="24"/>
                <w:szCs w:val="24"/>
                <w:highlight w:val="none"/>
              </w:rPr>
            </w:pPr>
          </w:p>
        </w:tc>
      </w:tr>
      <w:tr w14:paraId="62856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540737FA">
            <w:pPr>
              <w:keepNext w:val="0"/>
              <w:keepLines w:val="0"/>
              <w:widowControl/>
              <w:suppressLineNumbers w:val="0"/>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10</w:t>
            </w:r>
          </w:p>
        </w:tc>
        <w:tc>
          <w:tcPr>
            <w:tcW w:w="434" w:type="pct"/>
            <w:shd w:val="clear" w:color="auto" w:fill="FFFFFF" w:themeFill="background1"/>
            <w:vAlign w:val="center"/>
          </w:tcPr>
          <w:p w14:paraId="68A46FA8">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废气净化系统</w:t>
            </w:r>
          </w:p>
        </w:tc>
        <w:tc>
          <w:tcPr>
            <w:tcW w:w="3016" w:type="pct"/>
            <w:shd w:val="clear" w:color="auto" w:fill="FFFFFF" w:themeFill="background1"/>
            <w:vAlign w:val="center"/>
          </w:tcPr>
          <w:p w14:paraId="1E51D943">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1、主要由活性炭层和承托层组成，具有很高的吸附能力，且吸附剂维护更换方便；</w:t>
            </w:r>
          </w:p>
          <w:p w14:paraId="7D55AFD9">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2、处理风量≥6000m³/h,内部两层填料；</w:t>
            </w:r>
          </w:p>
          <w:p w14:paraId="651B16B7">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3、废气经由风机提供动力，进入箱体内，由于活性炭固体表面上存在着未平衡和未饱和的分子引力，因此当此固体表面与废气接触时，就能吸引气体分子，使其凝聚并保持在固体表面，污染物质从而被吸附，从而达标排放；</w:t>
            </w:r>
          </w:p>
          <w:p w14:paraId="0F1F5CBD">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4、★活性炭吸附装置的性能：为确保净化及排放，效能满足以下4.1-4.3项性能要求的活性炭吸附装置性能检测</w:t>
            </w:r>
            <w:r>
              <w:rPr>
                <w:rFonts w:hint="eastAsia" w:ascii="宋体" w:hAnsi="宋体" w:eastAsia="宋体" w:cs="宋体"/>
                <w:b/>
                <w:bCs/>
                <w:kern w:val="2"/>
                <w:sz w:val="21"/>
                <w:szCs w:val="21"/>
                <w:lang w:val="en-US" w:eastAsia="zh-CN" w:bidi="ar-SA"/>
              </w:rPr>
              <w:t>（中标签订合同后提供具有CMA或CNAS认证标志的第三方检测机构出具的检测报告复印件）；</w:t>
            </w:r>
          </w:p>
          <w:p w14:paraId="59EE97EC">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4.1、净化效能：参照HJ/T386进行检测，活性炭过滤吸附装置的净化效率应≥90%，检测报告检测结果评定为“合格”或“符合”；</w:t>
            </w:r>
          </w:p>
          <w:p w14:paraId="4FB32A83">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4.2、吸附剂：活性炭过滤吸附装置吸附剂碘值≥800mg/g，着火点≥350℃，四氯化碳吸附率≥55%，检测报告检测结果评定为“合格”或“符合”；</w:t>
            </w:r>
          </w:p>
          <w:p w14:paraId="3386F73A">
            <w:pPr>
              <w:jc w:val="left"/>
              <w:rPr>
                <w:rFonts w:hint="default"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4.3、污染物排放浓度：参照GB16297-1996进行检测，其中包含但不限于二氧化硫、氮氧化物、颗粒物、氯化氢、硫酸雾、苯、甲苯、二甲苯、酚类化合物、甲醛、乙醛、甲醇、氯苯类化合物、硫化氢、甲硫醇、甲硫醚、二硫化碳、二甲二硫、氨、苯乙烯、臭气浓度、正丁醇、丙酮和VOCs 的排放浓度符合要求，检测报告检测结果评定为“合格”或同等含义。</w:t>
            </w:r>
          </w:p>
        </w:tc>
        <w:tc>
          <w:tcPr>
            <w:tcW w:w="339" w:type="pct"/>
            <w:shd w:val="clear" w:color="auto" w:fill="FFFFFF" w:themeFill="background1"/>
            <w:vAlign w:val="center"/>
          </w:tcPr>
          <w:p w14:paraId="7ACF4994">
            <w:pPr>
              <w:jc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sz w:val="21"/>
                <w:szCs w:val="21"/>
                <w:u w:val="none"/>
                <w:lang w:val="en-US" w:eastAsia="zh-CN"/>
              </w:rPr>
              <w:t>1</w:t>
            </w:r>
          </w:p>
        </w:tc>
        <w:tc>
          <w:tcPr>
            <w:tcW w:w="225" w:type="pct"/>
            <w:shd w:val="clear" w:color="auto" w:fill="FFFFFF" w:themeFill="background1"/>
            <w:vAlign w:val="center"/>
          </w:tcPr>
          <w:p w14:paraId="240378C0">
            <w:pPr>
              <w:jc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eastAsia" w:ascii="Times New Roman" w:hAnsi="Times New Roman" w:eastAsia="宋体" w:cs="Times New Roman"/>
                <w:b w:val="0"/>
                <w:bCs w:val="0"/>
                <w:i w:val="0"/>
                <w:iCs w:val="0"/>
                <w:color w:val="000000"/>
                <w:sz w:val="21"/>
                <w:szCs w:val="21"/>
                <w:u w:val="none"/>
                <w:lang w:val="en-US" w:eastAsia="zh-CN"/>
              </w:rPr>
              <w:t>套</w:t>
            </w:r>
          </w:p>
        </w:tc>
        <w:tc>
          <w:tcPr>
            <w:tcW w:w="427" w:type="pct"/>
            <w:vAlign w:val="center"/>
          </w:tcPr>
          <w:p w14:paraId="2EF4BE17">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28715667">
            <w:pPr>
              <w:rPr>
                <w:rFonts w:ascii="宋体" w:hAnsi="宋体" w:eastAsia="宋体" w:cs="宋体"/>
                <w:sz w:val="24"/>
                <w:szCs w:val="24"/>
                <w:highlight w:val="none"/>
              </w:rPr>
            </w:pPr>
          </w:p>
        </w:tc>
      </w:tr>
      <w:tr w14:paraId="175E0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217939FB">
            <w:pPr>
              <w:keepNext w:val="0"/>
              <w:keepLines w:val="0"/>
              <w:widowControl/>
              <w:suppressLineNumbers w:val="0"/>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11</w:t>
            </w:r>
          </w:p>
        </w:tc>
        <w:tc>
          <w:tcPr>
            <w:tcW w:w="434" w:type="pct"/>
            <w:shd w:val="clear" w:color="auto" w:fill="FFFFFF" w:themeFill="background1"/>
            <w:vAlign w:val="center"/>
          </w:tcPr>
          <w:p w14:paraId="4FB4C73B">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智能消防系统</w:t>
            </w:r>
          </w:p>
        </w:tc>
        <w:tc>
          <w:tcPr>
            <w:tcW w:w="3016" w:type="pct"/>
            <w:shd w:val="clear" w:color="auto" w:fill="FFFFFF" w:themeFill="background1"/>
            <w:vAlign w:val="center"/>
          </w:tcPr>
          <w:p w14:paraId="30BA69B6">
            <w:pPr>
              <w:jc w:val="left"/>
              <w:rPr>
                <w:rFonts w:hint="default"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1、超细粉自动灭火器（16个，≥7Kg）：内部装有磷酸铵盐等干粉灭火剂，这种灭火剂具有易流动性、干燥性，由无机盐和粉碎干燥的添加剂组成，可有效扑救初起火灾。</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2、石棉灭火毯（4条）：规格：1500*1500mm；防止火势蔓延以及防护逃生用。</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3、灭火器箱（2只）：规格：MFZ/4Kg。</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4、沙箱（2只）：可扑救初期火灾。</w:t>
            </w:r>
          </w:p>
        </w:tc>
        <w:tc>
          <w:tcPr>
            <w:tcW w:w="339" w:type="pct"/>
            <w:shd w:val="clear" w:color="auto" w:fill="FFFFFF" w:themeFill="background1"/>
            <w:vAlign w:val="center"/>
          </w:tcPr>
          <w:p w14:paraId="1DE6EEA1">
            <w:pPr>
              <w:jc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sz w:val="21"/>
                <w:szCs w:val="21"/>
                <w:u w:val="none"/>
                <w:lang w:val="en-US" w:eastAsia="zh-CN"/>
              </w:rPr>
              <w:t>1</w:t>
            </w:r>
          </w:p>
        </w:tc>
        <w:tc>
          <w:tcPr>
            <w:tcW w:w="225" w:type="pct"/>
            <w:shd w:val="clear" w:color="auto" w:fill="FFFFFF" w:themeFill="background1"/>
            <w:vAlign w:val="center"/>
          </w:tcPr>
          <w:p w14:paraId="5E00F202">
            <w:pPr>
              <w:jc w:val="center"/>
              <w:rPr>
                <w:rFonts w:hint="eastAsia" w:ascii="Times New Roman" w:hAnsi="Times New Roman" w:eastAsia="宋体" w:cs="Times New Roman"/>
                <w:b w:val="0"/>
                <w:bCs w:val="0"/>
                <w:i w:val="0"/>
                <w:iCs w:val="0"/>
                <w:color w:val="000000"/>
                <w:kern w:val="2"/>
                <w:sz w:val="21"/>
                <w:szCs w:val="21"/>
                <w:u w:val="none"/>
                <w:lang w:val="en-US" w:eastAsia="zh-CN" w:bidi="ar-SA"/>
              </w:rPr>
            </w:pPr>
            <w:r>
              <w:rPr>
                <w:rFonts w:hint="eastAsia" w:ascii="Times New Roman" w:hAnsi="Times New Roman" w:eastAsia="宋体" w:cs="Times New Roman"/>
                <w:b w:val="0"/>
                <w:bCs w:val="0"/>
                <w:i w:val="0"/>
                <w:iCs w:val="0"/>
                <w:color w:val="000000"/>
                <w:sz w:val="21"/>
                <w:szCs w:val="21"/>
                <w:u w:val="none"/>
                <w:lang w:val="en-US" w:eastAsia="zh-CN"/>
              </w:rPr>
              <w:t>套</w:t>
            </w:r>
          </w:p>
        </w:tc>
        <w:tc>
          <w:tcPr>
            <w:tcW w:w="427" w:type="pct"/>
            <w:vAlign w:val="center"/>
          </w:tcPr>
          <w:p w14:paraId="24D39773">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7E063E42">
            <w:pPr>
              <w:rPr>
                <w:rFonts w:ascii="宋体" w:hAnsi="宋体" w:eastAsia="宋体" w:cs="宋体"/>
                <w:sz w:val="24"/>
                <w:szCs w:val="24"/>
                <w:highlight w:val="none"/>
              </w:rPr>
            </w:pPr>
          </w:p>
        </w:tc>
      </w:tr>
      <w:tr w14:paraId="714B5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5CE87827">
            <w:pPr>
              <w:keepNext w:val="0"/>
              <w:keepLines w:val="0"/>
              <w:widowControl/>
              <w:suppressLineNumbers w:val="0"/>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12</w:t>
            </w:r>
          </w:p>
        </w:tc>
        <w:tc>
          <w:tcPr>
            <w:tcW w:w="434" w:type="pct"/>
            <w:shd w:val="clear" w:color="auto" w:fill="FFFFFF" w:themeFill="background1"/>
            <w:vAlign w:val="center"/>
          </w:tcPr>
          <w:p w14:paraId="3F1D384D">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zh-CN" w:bidi="ar-SA"/>
              </w:rPr>
            </w:pPr>
            <w:r>
              <w:rPr>
                <w:rFonts w:hint="eastAsia" w:ascii="宋体" w:hAnsi="宋体" w:eastAsia="宋体" w:cs="宋体"/>
                <w:b w:val="0"/>
                <w:bCs w:val="0"/>
                <w:i w:val="0"/>
                <w:iCs w:val="0"/>
                <w:color w:val="000000"/>
                <w:kern w:val="0"/>
                <w:sz w:val="21"/>
                <w:szCs w:val="21"/>
                <w:u w:val="none"/>
                <w:lang w:val="en-US" w:eastAsia="zh-CN" w:bidi="ar"/>
              </w:rPr>
              <w:t>防雷接地系统</w:t>
            </w:r>
          </w:p>
        </w:tc>
        <w:tc>
          <w:tcPr>
            <w:tcW w:w="3016" w:type="pct"/>
            <w:shd w:val="clear" w:color="auto" w:fill="FFFFFF" w:themeFill="background1"/>
            <w:vAlign w:val="center"/>
          </w:tcPr>
          <w:p w14:paraId="31C38628">
            <w:pPr>
              <w:numPr>
                <w:ilvl w:val="0"/>
                <w:numId w:val="0"/>
              </w:numPr>
              <w:jc w:val="left"/>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1、防静电接地处理（1项）：</w:t>
            </w:r>
          </w:p>
          <w:p w14:paraId="2B441C80">
            <w:pPr>
              <w:numPr>
                <w:ilvl w:val="0"/>
                <w:numId w:val="0"/>
              </w:num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1.1、扁钢离地≥300mm，离墙≥30mm，沿内墙四周安装；</w:t>
            </w:r>
          </w:p>
          <w:p w14:paraId="7515AFDC">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1.2、扁钢尺寸≥40mm宽，厚度≥4.0mm，符合GB 50057-2022标准；</w:t>
            </w:r>
          </w:p>
          <w:p w14:paraId="447E7D32">
            <w:pPr>
              <w:jc w:val="left"/>
              <w:rPr>
                <w:rFonts w:hint="default" w:ascii="宋体" w:hAnsi="宋体" w:eastAsia="宋体" w:cs="宋体"/>
                <w:kern w:val="2"/>
                <w:sz w:val="21"/>
                <w:lang w:val="en-US" w:eastAsia="en-US" w:bidi="ar-SA"/>
              </w:rPr>
            </w:pPr>
            <w:r>
              <w:rPr>
                <w:rFonts w:hint="eastAsia" w:ascii="宋体" w:hAnsi="宋体" w:eastAsia="宋体" w:cs="宋体"/>
                <w:b w:val="0"/>
                <w:bCs w:val="0"/>
                <w:kern w:val="2"/>
                <w:sz w:val="21"/>
                <w:szCs w:val="21"/>
                <w:lang w:val="en-US" w:eastAsia="zh-CN" w:bidi="ar-SA"/>
              </w:rPr>
              <w:t>1.3、试剂间进行全方位的消静电处理，试剂间内部电气设备、保护套管、安全柜等金属设备设施，执行跨接进行等电位连接。确保每一个金属部件形成等电位体并入消静电系统，完整接地。</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2、人体静电释放球（1个）：304不锈钢材质；PE亚导体防暴球头，球体直径约100mm，球壁厚≥1.5mm；产品总高≥1100mm；接地线长度≥3000mm；带语音、指示灯提示功能；</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3、等电位箱（2只）：壳体采用冷轧钢板冲压成型，表面高压静电喷塑；厚度、安装符合相关国标要求。</w:t>
            </w:r>
          </w:p>
        </w:tc>
        <w:tc>
          <w:tcPr>
            <w:tcW w:w="339" w:type="pct"/>
            <w:shd w:val="clear" w:color="auto" w:fill="FFFFFF" w:themeFill="background1"/>
            <w:vAlign w:val="center"/>
          </w:tcPr>
          <w:p w14:paraId="7EB2E9B8">
            <w:pPr>
              <w:jc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sz w:val="21"/>
                <w:szCs w:val="21"/>
                <w:u w:val="none"/>
                <w:lang w:val="en-US" w:eastAsia="zh-CN"/>
              </w:rPr>
              <w:t>1</w:t>
            </w:r>
          </w:p>
        </w:tc>
        <w:tc>
          <w:tcPr>
            <w:tcW w:w="225" w:type="pct"/>
            <w:shd w:val="clear" w:color="auto" w:fill="FFFFFF" w:themeFill="background1"/>
            <w:vAlign w:val="center"/>
          </w:tcPr>
          <w:p w14:paraId="52965DD3">
            <w:pPr>
              <w:jc w:val="center"/>
              <w:rPr>
                <w:rFonts w:hint="eastAsia" w:ascii="Times New Roman" w:hAnsi="Times New Roman" w:eastAsia="宋体" w:cs="Times New Roman"/>
                <w:b w:val="0"/>
                <w:bCs w:val="0"/>
                <w:i w:val="0"/>
                <w:iCs w:val="0"/>
                <w:color w:val="000000"/>
                <w:kern w:val="2"/>
                <w:sz w:val="21"/>
                <w:szCs w:val="21"/>
                <w:u w:val="none"/>
                <w:lang w:val="en-US" w:eastAsia="en-US" w:bidi="ar-SA"/>
              </w:rPr>
            </w:pPr>
            <w:r>
              <w:rPr>
                <w:rFonts w:hint="eastAsia" w:ascii="Times New Roman" w:hAnsi="Times New Roman" w:eastAsia="宋体" w:cs="Times New Roman"/>
                <w:b w:val="0"/>
                <w:bCs w:val="0"/>
                <w:i w:val="0"/>
                <w:iCs w:val="0"/>
                <w:color w:val="000000"/>
                <w:sz w:val="21"/>
                <w:szCs w:val="21"/>
                <w:u w:val="none"/>
                <w:lang w:val="en-US" w:eastAsia="zh-CN"/>
              </w:rPr>
              <w:t>套</w:t>
            </w:r>
          </w:p>
        </w:tc>
        <w:tc>
          <w:tcPr>
            <w:tcW w:w="427" w:type="pct"/>
            <w:vAlign w:val="center"/>
          </w:tcPr>
          <w:p w14:paraId="785683E4">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3E9EA249">
            <w:pPr>
              <w:rPr>
                <w:rFonts w:ascii="宋体" w:hAnsi="宋体" w:eastAsia="宋体" w:cs="宋体"/>
                <w:sz w:val="24"/>
                <w:szCs w:val="24"/>
                <w:highlight w:val="none"/>
              </w:rPr>
            </w:pPr>
          </w:p>
        </w:tc>
      </w:tr>
      <w:tr w14:paraId="1927D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0EF05A75">
            <w:pPr>
              <w:keepNext w:val="0"/>
              <w:keepLines w:val="0"/>
              <w:widowControl/>
              <w:suppressLineNumbers w:val="0"/>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13</w:t>
            </w:r>
          </w:p>
        </w:tc>
        <w:tc>
          <w:tcPr>
            <w:tcW w:w="434" w:type="pct"/>
            <w:shd w:val="clear" w:color="auto" w:fill="FFFFFF" w:themeFill="background1"/>
            <w:vAlign w:val="center"/>
          </w:tcPr>
          <w:p w14:paraId="457E59C7">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应急处理系统</w:t>
            </w:r>
          </w:p>
        </w:tc>
        <w:tc>
          <w:tcPr>
            <w:tcW w:w="3016" w:type="pct"/>
            <w:shd w:val="clear" w:color="auto" w:fill="FFFFFF" w:themeFill="background1"/>
            <w:vAlign w:val="center"/>
          </w:tcPr>
          <w:p w14:paraId="42261E83">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1、应急冲淋装置（1套）：</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1.1、主体材质SS304，材质符合GB/T 11170-2008标准，其中C含量≤0.08%,Si含量≤1%,Mn含量≤2%,P含量≤0.04%,S含量≤0.03%,Cr含量18%-20%,Ni含量8%-11%</w:t>
            </w:r>
          </w:p>
          <w:p w14:paraId="5825663A">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1.2、表面处理：精细抛光/高亮度环氧树脂涂层。</w:t>
            </w:r>
          </w:p>
          <w:p w14:paraId="53168EF2">
            <w:pPr>
              <w:jc w:val="left"/>
              <w:rPr>
                <w:rFonts w:hint="eastAsia" w:ascii="宋体" w:hAnsi="宋体" w:eastAsia="宋体" w:cs="宋体"/>
                <w:b w:val="0"/>
                <w:bCs w:val="0"/>
                <w:kern w:val="2"/>
                <w:sz w:val="21"/>
                <w:szCs w:val="21"/>
                <w:lang w:val="zh-TW" w:eastAsia="zh-CN" w:bidi="ar-SA"/>
              </w:rPr>
            </w:pPr>
            <w:r>
              <w:rPr>
                <w:rFonts w:hint="eastAsia" w:ascii="宋体" w:hAnsi="宋体" w:eastAsia="宋体" w:cs="宋体"/>
                <w:b w:val="0"/>
                <w:bCs w:val="0"/>
                <w:kern w:val="2"/>
                <w:sz w:val="21"/>
                <w:szCs w:val="21"/>
                <w:lang w:val="en-US" w:eastAsia="zh-CN" w:bidi="ar-SA"/>
              </w:rPr>
              <w:t>1.3、★表面耐污染通过化学试剂检测，其中耐化检测≥45项化学试剂，检测结果为合格</w:t>
            </w:r>
            <w:r>
              <w:rPr>
                <w:rFonts w:hint="eastAsia" w:ascii="宋体" w:hAnsi="宋体" w:eastAsia="宋体" w:cs="宋体"/>
                <w:b/>
                <w:bCs/>
                <w:kern w:val="2"/>
                <w:sz w:val="21"/>
                <w:szCs w:val="21"/>
                <w:lang w:val="en-US" w:eastAsia="zh-CN" w:bidi="ar-SA"/>
              </w:rPr>
              <w:t>（中标签订合同后提供第三方检测（测试）机构出具的洗眼器表面耐污染性能的检测（测试）报告复印件，检测报告满足此项参数要求）。</w:t>
            </w:r>
          </w:p>
          <w:p w14:paraId="49AAFAAB">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1.4、使用功能：喷淋+洗眼（可同时使用，也可分开使用）。</w:t>
            </w:r>
          </w:p>
          <w:p w14:paraId="3055E9AC">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1.5、开关球阀：两片式快开球阀，洗眼阀为G½304不锈钢球阀，冲洗阀为1寸不锈钢球阀，开启时间≤1秒开启，保证水流流畅。球阀开关灵活到位，无卡阻，操作方便，启闭迅速，密封可靠。</w:t>
            </w:r>
          </w:p>
          <w:p w14:paraId="57DF0AD7">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1.6、冲淋喷头：旋压式卷边工艺设计，直径≥250mm。</w:t>
            </w:r>
          </w:p>
          <w:p w14:paraId="6743AE07">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1.7、洗眼喷头模注一体成型，带双流量调节阀和过滤网，去除水中杂质，避免水束冲伤眼睛。流量调节装置带有节压阀门适用于任意压力场所。</w:t>
            </w:r>
          </w:p>
          <w:p w14:paraId="76923145">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1.8、管道直径≥38mm；洗眼盆≥300mm 直边设计，聚水集中，防止飞溅；公称压力≥1.0Mpa；工作压力：0.2 ～ 0.4Mpa ；测试压力≥1.5Mpa ；使用环境温度：0℃～ 40℃ ；喷淋水流量：≥ 130 L/min ；洗脸 / 洗眼水流量：≥ 17 L/min ；洗眼水流量：≥ 1.5 L/min ；防尘盖：主体一体式设计，不易丢失。</w:t>
            </w:r>
          </w:p>
          <w:p w14:paraId="5DA6C4CF">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1.9、冲淋拉手/拉杆：ABS一体成型，手握处根据人体工学原理设计为仿手形使用舒适；拉杆为≥13mm不锈钢管成型加工，钢性设计便于操作。</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2、应急器材柜（1个）：</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2.1、规格尺寸：H1800×W600×D350mm（±5%）；</w:t>
            </w:r>
          </w:p>
          <w:p w14:paraId="1BA05D14">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2.2、柜体采用≥1.0mm 的一级冷轧钢板，柜体底座采用≥2.0mm 的一级冷轧钢板，采用环氧树脂静电喷涂，烘热固化处理。</w:t>
            </w:r>
          </w:p>
          <w:p w14:paraId="34157BAE">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2.3、★产品依照GB/T 10125-2021、GB/T 6461-2002进行盐雾试验检测，防盐雾腐蚀保护等级不低于10级,外观评级不低于A级</w:t>
            </w:r>
            <w:r>
              <w:rPr>
                <w:rFonts w:hint="eastAsia" w:ascii="宋体" w:hAnsi="宋体" w:eastAsia="宋体" w:cs="宋体"/>
                <w:b/>
                <w:bCs/>
                <w:kern w:val="2"/>
                <w:sz w:val="21"/>
                <w:szCs w:val="21"/>
                <w:lang w:val="en-US" w:eastAsia="zh-CN" w:bidi="ar-SA"/>
              </w:rPr>
              <w:t>（中标签订合同后提供具有CMA或CNAS认证标志的第三方检测机构出具的整柜盐雾试验检测报告扫描件，报告满足以上参数要求，检测结果保护等级不低于10级，外观评级不低于A级）。</w:t>
            </w:r>
          </w:p>
          <w:p w14:paraId="0C0205B4">
            <w:pPr>
              <w:jc w:val="left"/>
              <w:rPr>
                <w:rFonts w:hint="eastAsia" w:ascii="宋体" w:hAnsi="宋体" w:eastAsia="宋体" w:cs="宋体"/>
                <w:b w:val="0"/>
                <w:bCs w:val="0"/>
                <w:kern w:val="2"/>
                <w:sz w:val="21"/>
                <w:szCs w:val="21"/>
                <w:lang w:val="en-US" w:eastAsia="zh-CN" w:bidi="ar-SA"/>
              </w:rPr>
            </w:pPr>
            <w:r>
              <w:rPr>
                <w:rFonts w:hint="eastAsia" w:ascii="宋体" w:hAnsi="宋体" w:eastAsia="宋体" w:cs="宋体"/>
                <w:b w:val="0"/>
                <w:bCs w:val="0"/>
                <w:kern w:val="2"/>
                <w:sz w:val="21"/>
                <w:szCs w:val="21"/>
                <w:lang w:val="en-US" w:eastAsia="zh-CN" w:bidi="ar-SA"/>
              </w:rPr>
              <w:t>2.4、柜体设有化学品应急套装、急救药箱、个人防护用品、消防应急套装等储存区，其中独立储存单元≥3个；</w:t>
            </w:r>
          </w:p>
          <w:p w14:paraId="5E70E442">
            <w:pPr>
              <w:jc w:val="left"/>
              <w:rPr>
                <w:rFonts w:hint="default" w:ascii="宋体" w:hAnsi="宋体" w:eastAsia="宋体" w:cs="宋体"/>
                <w:color w:val="000000" w:themeColor="text1"/>
                <w:kern w:val="2"/>
                <w:sz w:val="21"/>
                <w:szCs w:val="21"/>
                <w:lang w:val="en-US" w:eastAsia="en-US" w:bidi="ar-SA"/>
                <w14:textFill>
                  <w14:solidFill>
                    <w14:schemeClr w14:val="tx1"/>
                  </w14:solidFill>
                </w14:textFill>
              </w:rPr>
            </w:pPr>
            <w:r>
              <w:rPr>
                <w:rFonts w:hint="eastAsia" w:ascii="宋体" w:hAnsi="宋体" w:eastAsia="宋体" w:cs="宋体"/>
                <w:b w:val="0"/>
                <w:bCs w:val="0"/>
                <w:kern w:val="2"/>
                <w:sz w:val="21"/>
                <w:szCs w:val="21"/>
                <w:lang w:val="en-US" w:eastAsia="zh-CN" w:bidi="ar-SA"/>
              </w:rPr>
              <w:t>2.5、配套物资：</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2.5.1、化学泄漏处置套装1套：吸附条2根、吸附棉10片、吸附剂1瓶、防护围裙1条、夹钳1只、废弃物处理袋2只、捆扎条2根。</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2.5.2、个人防护用品：防化服、防化学护目镜、半面罩+多用气体滤毒盒、防化靴和防化手套各2套；</w:t>
            </w:r>
            <w:r>
              <w:rPr>
                <w:rFonts w:hint="eastAsia" w:ascii="宋体" w:hAnsi="宋体" w:eastAsia="宋体" w:cs="宋体"/>
                <w:b w:val="0"/>
                <w:bCs w:val="0"/>
                <w:kern w:val="2"/>
                <w:sz w:val="21"/>
                <w:szCs w:val="21"/>
                <w:lang w:val="en-US" w:eastAsia="zh-CN" w:bidi="ar-SA"/>
              </w:rPr>
              <w:br w:type="textWrapping"/>
            </w:r>
            <w:r>
              <w:rPr>
                <w:rFonts w:hint="eastAsia" w:ascii="宋体" w:hAnsi="宋体" w:eastAsia="宋体" w:cs="宋体"/>
                <w:b w:val="0"/>
                <w:bCs w:val="0"/>
                <w:kern w:val="2"/>
                <w:sz w:val="21"/>
                <w:szCs w:val="21"/>
                <w:lang w:val="en-US" w:eastAsia="zh-CN" w:bidi="ar-SA"/>
              </w:rPr>
              <w:t>2.5.2、急救药箱1只。</w:t>
            </w:r>
          </w:p>
        </w:tc>
        <w:tc>
          <w:tcPr>
            <w:tcW w:w="339" w:type="pct"/>
            <w:shd w:val="clear" w:color="auto" w:fill="FFFFFF" w:themeFill="background1"/>
            <w:vAlign w:val="center"/>
          </w:tcPr>
          <w:p w14:paraId="377081B1">
            <w:pPr>
              <w:jc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sz w:val="21"/>
                <w:szCs w:val="21"/>
                <w:u w:val="none"/>
                <w:lang w:val="en-US" w:eastAsia="zh-CN"/>
              </w:rPr>
              <w:t>1</w:t>
            </w:r>
          </w:p>
        </w:tc>
        <w:tc>
          <w:tcPr>
            <w:tcW w:w="225" w:type="pct"/>
            <w:shd w:val="clear" w:color="auto" w:fill="FFFFFF" w:themeFill="background1"/>
            <w:vAlign w:val="center"/>
          </w:tcPr>
          <w:p w14:paraId="06ED9539">
            <w:pPr>
              <w:jc w:val="center"/>
              <w:rPr>
                <w:rFonts w:hint="eastAsia" w:ascii="Times New Roman" w:hAnsi="Times New Roman" w:eastAsia="宋体" w:cs="Times New Roman"/>
                <w:b w:val="0"/>
                <w:bCs w:val="0"/>
                <w:i w:val="0"/>
                <w:iCs w:val="0"/>
                <w:color w:val="000000"/>
                <w:kern w:val="2"/>
                <w:sz w:val="21"/>
                <w:szCs w:val="21"/>
                <w:u w:val="none"/>
                <w:lang w:val="en-US" w:eastAsia="en-US" w:bidi="ar-SA"/>
              </w:rPr>
            </w:pPr>
            <w:r>
              <w:rPr>
                <w:rFonts w:hint="eastAsia" w:ascii="Times New Roman" w:hAnsi="Times New Roman" w:eastAsia="宋体" w:cs="Times New Roman"/>
                <w:b w:val="0"/>
                <w:bCs w:val="0"/>
                <w:i w:val="0"/>
                <w:iCs w:val="0"/>
                <w:color w:val="000000"/>
                <w:sz w:val="21"/>
                <w:szCs w:val="21"/>
                <w:u w:val="none"/>
                <w:lang w:val="en-US" w:eastAsia="zh-CN"/>
              </w:rPr>
              <w:t>套</w:t>
            </w:r>
          </w:p>
        </w:tc>
        <w:tc>
          <w:tcPr>
            <w:tcW w:w="427" w:type="pct"/>
            <w:vAlign w:val="center"/>
          </w:tcPr>
          <w:p w14:paraId="10F74718">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363C812A">
            <w:pPr>
              <w:rPr>
                <w:rFonts w:ascii="宋体" w:hAnsi="宋体" w:eastAsia="宋体" w:cs="宋体"/>
                <w:sz w:val="24"/>
                <w:szCs w:val="24"/>
                <w:highlight w:val="none"/>
              </w:rPr>
            </w:pPr>
          </w:p>
        </w:tc>
      </w:tr>
      <w:tr w14:paraId="23A05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244D6789">
            <w:pPr>
              <w:keepNext w:val="0"/>
              <w:keepLines w:val="0"/>
              <w:widowControl/>
              <w:suppressLineNumbers w:val="0"/>
              <w:jc w:val="center"/>
              <w:textAlignment w:val="center"/>
              <w:rPr>
                <w:rFonts w:hint="default" w:ascii="宋体" w:hAnsi="宋体" w:eastAsia="宋体" w:cs="宋体"/>
                <w:b w:val="0"/>
                <w:bCs w:val="0"/>
                <w:i w:val="0"/>
                <w:iCs w:val="0"/>
                <w:color w:val="000000"/>
                <w:kern w:val="2"/>
                <w:sz w:val="22"/>
                <w:szCs w:val="22"/>
                <w:u w:val="none"/>
                <w:lang w:val="en-US" w:eastAsia="zh-CN" w:bidi="ar-SA"/>
              </w:rPr>
            </w:pPr>
            <w:r>
              <w:rPr>
                <w:rFonts w:hint="eastAsia" w:ascii="宋体" w:hAnsi="宋体" w:eastAsia="宋体" w:cs="宋体"/>
                <w:b w:val="0"/>
                <w:bCs w:val="0"/>
                <w:i w:val="0"/>
                <w:iCs w:val="0"/>
                <w:color w:val="000000"/>
                <w:kern w:val="0"/>
                <w:sz w:val="22"/>
                <w:szCs w:val="22"/>
                <w:u w:val="none"/>
                <w:lang w:val="en-US" w:eastAsia="zh-CN" w:bidi="ar"/>
              </w:rPr>
              <w:t>14</w:t>
            </w:r>
          </w:p>
        </w:tc>
        <w:tc>
          <w:tcPr>
            <w:tcW w:w="434" w:type="pct"/>
            <w:shd w:val="clear" w:color="auto" w:fill="FFFFFF" w:themeFill="background1"/>
            <w:vAlign w:val="center"/>
          </w:tcPr>
          <w:p w14:paraId="061A6F85">
            <w:pPr>
              <w:keepNext w:val="0"/>
              <w:keepLines w:val="0"/>
              <w:widowControl/>
              <w:suppressLineNumbers w:val="0"/>
              <w:jc w:val="center"/>
              <w:textAlignment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kern w:val="0"/>
                <w:sz w:val="21"/>
                <w:szCs w:val="21"/>
                <w:u w:val="none"/>
                <w:lang w:val="en-US" w:eastAsia="zh-CN" w:bidi="ar"/>
              </w:rPr>
              <w:t>视频监控系统</w:t>
            </w:r>
          </w:p>
        </w:tc>
        <w:tc>
          <w:tcPr>
            <w:tcW w:w="3016" w:type="pct"/>
            <w:shd w:val="clear" w:color="auto" w:fill="FFFFFF" w:themeFill="background1"/>
            <w:vAlign w:val="center"/>
          </w:tcPr>
          <w:p w14:paraId="357FA207">
            <w:pPr>
              <w:jc w:val="both"/>
              <w:rPr>
                <w:rFonts w:hint="eastAsia" w:ascii="宋体" w:hAnsi="宋体" w:eastAsia="宋体" w:cs="宋体"/>
                <w:lang w:val="en-US" w:eastAsia="zh-CN"/>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1、</w:t>
            </w:r>
            <w:r>
              <w:rPr>
                <w:rFonts w:hint="eastAsia" w:ascii="宋体" w:hAnsi="宋体" w:eastAsia="宋体" w:cs="宋体"/>
                <w:b/>
                <w:bCs/>
                <w:color w:val="000000" w:themeColor="text1"/>
                <w:kern w:val="2"/>
                <w:sz w:val="21"/>
                <w:szCs w:val="21"/>
                <w:lang w:val="en-US" w:eastAsia="zh-CN" w:bidi="ar-SA"/>
                <w14:textFill>
                  <w14:solidFill>
                    <w14:schemeClr w14:val="tx1"/>
                  </w14:solidFill>
                </w14:textFill>
              </w:rPr>
              <w:t>★</w:t>
            </w:r>
            <w:r>
              <w:rPr>
                <w:rFonts w:hint="eastAsia" w:ascii="宋体" w:hAnsi="宋体" w:eastAsia="宋体" w:cs="宋体"/>
                <w:color w:val="000000" w:themeColor="text1"/>
                <w:kern w:val="2"/>
                <w:sz w:val="21"/>
                <w:szCs w:val="21"/>
                <w:lang w:val="en-US" w:eastAsia="zh-CN" w:bidi="ar-SA"/>
                <w14:textFill>
                  <w14:solidFill>
                    <w14:schemeClr w14:val="tx1"/>
                  </w14:solidFill>
                </w14:textFill>
              </w:rPr>
              <w:t>防爆摄像机（2套）：≥400万像素，红外，网络，POE,防爆级别：EXdⅡBT4Gb。有效像素 ≥400 万；支持3D数字降噪,支持 120dB 超宽动态；红外补光,照射距离满足30米；</w:t>
            </w:r>
            <w:r>
              <w:rPr>
                <w:rFonts w:hint="eastAsia" w:ascii="宋体" w:hAnsi="宋体" w:eastAsia="宋体" w:cs="宋体"/>
                <w:color w:val="000000" w:themeColor="text1"/>
                <w:kern w:val="2"/>
                <w:sz w:val="21"/>
                <w:szCs w:val="21"/>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1"/>
                <w:szCs w:val="21"/>
                <w:lang w:val="en-US" w:eastAsia="zh-CN" w:bidi="ar-SA"/>
                <w14:textFill>
                  <w14:solidFill>
                    <w14:schemeClr w14:val="tx1"/>
                  </w14:solidFill>
                </w14:textFill>
              </w:rPr>
              <w:t>2、普通摄像机（2套）：≥400万像素，红外，网络，POE。</w:t>
            </w:r>
            <w:r>
              <w:rPr>
                <w:rFonts w:hint="eastAsia" w:ascii="宋体" w:hAnsi="宋体" w:eastAsia="宋体" w:cs="宋体"/>
                <w:color w:val="000000" w:themeColor="text1"/>
                <w:kern w:val="2"/>
                <w:sz w:val="21"/>
                <w:szCs w:val="21"/>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1"/>
                <w:szCs w:val="21"/>
                <w:lang w:val="en-US" w:eastAsia="zh-CN" w:bidi="ar-SA"/>
                <w14:textFill>
                  <w14:solidFill>
                    <w14:schemeClr w14:val="tx1"/>
                  </w14:solidFill>
                </w14:textFill>
              </w:rPr>
              <w:t>3、视频监控主机(1个）：≥8路，网络。</w:t>
            </w:r>
            <w:r>
              <w:rPr>
                <w:rFonts w:hint="eastAsia" w:ascii="宋体" w:hAnsi="宋体" w:eastAsia="宋体" w:cs="宋体"/>
                <w:color w:val="000000" w:themeColor="text1"/>
                <w:kern w:val="2"/>
                <w:sz w:val="21"/>
                <w:szCs w:val="21"/>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1"/>
                <w:szCs w:val="21"/>
                <w:lang w:val="en-US" w:eastAsia="zh-CN" w:bidi="ar-SA"/>
                <w14:textFill>
                  <w14:solidFill>
                    <w14:schemeClr w14:val="tx1"/>
                  </w14:solidFill>
                </w14:textFill>
              </w:rPr>
              <w:t>4、硬盘（1块）：硬盘容量:≥6TB，硬盘转速: ≥7200转，缓存容量:≥ 64MB 接口类型: SATA3，尺寸: 3.5英寸，全国联保毛重:500g。</w:t>
            </w:r>
            <w:r>
              <w:rPr>
                <w:rFonts w:hint="eastAsia" w:ascii="宋体" w:hAnsi="宋体" w:eastAsia="宋体" w:cs="宋体"/>
                <w:color w:val="000000" w:themeColor="text1"/>
                <w:kern w:val="2"/>
                <w:sz w:val="21"/>
                <w:szCs w:val="21"/>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1"/>
                <w:szCs w:val="21"/>
                <w:lang w:val="en-US" w:eastAsia="zh-CN" w:bidi="ar-SA"/>
                <w14:textFill>
                  <w14:solidFill>
                    <w14:schemeClr w14:val="tx1"/>
                  </w14:solidFill>
                </w14:textFill>
              </w:rPr>
              <w:t>5、网络交换机（1个）：POE8路，支持IEEE 802.3at/af标准。支持安防网络拓扑管理、链路聚合、端口管理，支持远程升级。</w:t>
            </w:r>
            <w:r>
              <w:rPr>
                <w:rFonts w:hint="eastAsia" w:ascii="宋体" w:hAnsi="宋体" w:eastAsia="宋体" w:cs="宋体"/>
                <w:color w:val="000000" w:themeColor="text1"/>
                <w:kern w:val="2"/>
                <w:sz w:val="21"/>
                <w:szCs w:val="21"/>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1"/>
                <w:szCs w:val="21"/>
                <w:lang w:val="en-US" w:eastAsia="zh-CN" w:bidi="ar-SA"/>
                <w14:textFill>
                  <w14:solidFill>
                    <w14:schemeClr w14:val="tx1"/>
                  </w14:solidFill>
                </w14:textFill>
              </w:rPr>
              <w:t>6、</w:t>
            </w:r>
            <w:r>
              <w:rPr>
                <w:rFonts w:hint="eastAsia" w:ascii="宋体" w:hAnsi="宋体" w:eastAsia="宋体" w:cs="宋体"/>
                <w:lang w:val="en-US" w:eastAsia="zh-CN"/>
              </w:rPr>
              <w:t>监控机柜（1套）：采用优质冷轧钢板、镀锌方孔条；用于交换机、路由器、配线架等网络设备。</w:t>
            </w:r>
          </w:p>
          <w:p w14:paraId="4A8AED7A">
            <w:pPr>
              <w:jc w:val="both"/>
              <w:rPr>
                <w:rFonts w:hint="default" w:ascii="宋体" w:hAnsi="宋体" w:eastAsia="宋体" w:cs="宋体"/>
                <w:kern w:val="2"/>
                <w:sz w:val="21"/>
                <w:lang w:val="en-US" w:eastAsia="en-US" w:bidi="ar-SA"/>
              </w:rPr>
            </w:pPr>
            <w:r>
              <w:rPr>
                <w:rFonts w:hint="eastAsia" w:ascii="宋体" w:hAnsi="宋体" w:eastAsia="宋体" w:cs="宋体"/>
                <w:lang w:val="en-US" w:eastAsia="zh-CN"/>
              </w:rPr>
              <w:t>7、保证视频监控系统与学校安保系统能够联网。</w:t>
            </w:r>
          </w:p>
        </w:tc>
        <w:tc>
          <w:tcPr>
            <w:tcW w:w="339" w:type="pct"/>
            <w:shd w:val="clear" w:color="auto" w:fill="FFFFFF" w:themeFill="background1"/>
            <w:vAlign w:val="center"/>
          </w:tcPr>
          <w:p w14:paraId="1606B340">
            <w:pPr>
              <w:jc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sz w:val="21"/>
                <w:szCs w:val="21"/>
                <w:u w:val="none"/>
                <w:lang w:val="en-US" w:eastAsia="zh-CN"/>
              </w:rPr>
              <w:t>1</w:t>
            </w:r>
          </w:p>
        </w:tc>
        <w:tc>
          <w:tcPr>
            <w:tcW w:w="225" w:type="pct"/>
            <w:shd w:val="clear" w:color="auto" w:fill="FFFFFF" w:themeFill="background1"/>
            <w:vAlign w:val="center"/>
          </w:tcPr>
          <w:p w14:paraId="5FABDE5D">
            <w:pPr>
              <w:jc w:val="center"/>
              <w:rPr>
                <w:rFonts w:hint="eastAsia" w:ascii="Times New Roman" w:hAnsi="Times New Roman" w:eastAsia="宋体" w:cs="Times New Roman"/>
                <w:b w:val="0"/>
                <w:bCs w:val="0"/>
                <w:i w:val="0"/>
                <w:iCs w:val="0"/>
                <w:color w:val="000000"/>
                <w:kern w:val="2"/>
                <w:sz w:val="21"/>
                <w:szCs w:val="21"/>
                <w:u w:val="none"/>
                <w:lang w:val="en-US" w:eastAsia="en-US" w:bidi="ar-SA"/>
              </w:rPr>
            </w:pPr>
            <w:r>
              <w:rPr>
                <w:rFonts w:hint="eastAsia" w:ascii="Times New Roman" w:hAnsi="Times New Roman" w:eastAsia="宋体" w:cs="Times New Roman"/>
                <w:b w:val="0"/>
                <w:bCs w:val="0"/>
                <w:i w:val="0"/>
                <w:iCs w:val="0"/>
                <w:color w:val="000000"/>
                <w:sz w:val="21"/>
                <w:szCs w:val="21"/>
                <w:u w:val="none"/>
                <w:lang w:val="en-US" w:eastAsia="zh-CN"/>
              </w:rPr>
              <w:t>套</w:t>
            </w:r>
          </w:p>
        </w:tc>
        <w:tc>
          <w:tcPr>
            <w:tcW w:w="427" w:type="pct"/>
            <w:vAlign w:val="center"/>
          </w:tcPr>
          <w:p w14:paraId="571044A7">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21AC4487">
            <w:pPr>
              <w:rPr>
                <w:rFonts w:ascii="宋体" w:hAnsi="宋体" w:eastAsia="宋体" w:cs="宋体"/>
                <w:sz w:val="24"/>
                <w:szCs w:val="24"/>
                <w:highlight w:val="none"/>
              </w:rPr>
            </w:pPr>
          </w:p>
        </w:tc>
      </w:tr>
      <w:tr w14:paraId="20C0F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9" w:type="pct"/>
            <w:shd w:val="clear" w:color="auto" w:fill="FFFFFF" w:themeFill="background1"/>
            <w:vAlign w:val="center"/>
          </w:tcPr>
          <w:p w14:paraId="4526F203">
            <w:pPr>
              <w:keepNext w:val="0"/>
              <w:keepLines w:val="0"/>
              <w:widowControl/>
              <w:suppressLineNumbers w:val="0"/>
              <w:jc w:val="center"/>
              <w:textAlignment w:val="center"/>
              <w:rPr>
                <w:rFonts w:hint="eastAsia" w:ascii="宋体" w:hAnsi="宋体" w:eastAsia="宋体" w:cs="宋体"/>
                <w:b w:val="0"/>
                <w:bCs w:val="0"/>
                <w:i w:val="0"/>
                <w:iCs w:val="0"/>
                <w:color w:val="000000"/>
                <w:kern w:val="0"/>
                <w:sz w:val="22"/>
                <w:szCs w:val="22"/>
                <w:u w:val="none"/>
                <w:lang w:val="en-US" w:eastAsia="zh-CN" w:bidi="ar"/>
              </w:rPr>
            </w:pPr>
            <w:r>
              <w:rPr>
                <w:rFonts w:hint="eastAsia" w:ascii="宋体" w:hAnsi="宋体" w:eastAsia="宋体" w:cs="宋体"/>
                <w:b w:val="0"/>
                <w:bCs w:val="0"/>
                <w:i w:val="0"/>
                <w:iCs w:val="0"/>
                <w:color w:val="000000"/>
                <w:kern w:val="0"/>
                <w:sz w:val="22"/>
                <w:szCs w:val="22"/>
                <w:u w:val="none"/>
                <w:lang w:val="en-US" w:eastAsia="zh-CN" w:bidi="ar"/>
              </w:rPr>
              <w:t>15</w:t>
            </w:r>
          </w:p>
        </w:tc>
        <w:tc>
          <w:tcPr>
            <w:tcW w:w="434" w:type="pct"/>
            <w:shd w:val="clear" w:color="auto" w:fill="FFFFFF" w:themeFill="background1"/>
            <w:vAlign w:val="center"/>
          </w:tcPr>
          <w:p w14:paraId="67A34039">
            <w:pPr>
              <w:keepNext w:val="0"/>
              <w:keepLines w:val="0"/>
              <w:widowControl/>
              <w:suppressLineNumbers w:val="0"/>
              <w:jc w:val="center"/>
              <w:textAlignment w:val="center"/>
              <w:rPr>
                <w:rFonts w:hint="eastAsia" w:ascii="宋体" w:hAnsi="宋体" w:eastAsia="宋体" w:cs="宋体"/>
                <w:b w:val="0"/>
                <w:bCs w:val="0"/>
                <w:i w:val="0"/>
                <w:iCs w:val="0"/>
                <w:color w:val="000000"/>
                <w:kern w:val="0"/>
                <w:sz w:val="21"/>
                <w:szCs w:val="21"/>
                <w:u w:val="none"/>
                <w:lang w:val="en-US" w:eastAsia="en-US" w:bidi="ar"/>
              </w:rPr>
            </w:pPr>
            <w:r>
              <w:rPr>
                <w:rFonts w:hint="eastAsia" w:ascii="宋体" w:hAnsi="宋体" w:eastAsia="宋体" w:cs="宋体"/>
                <w:b w:val="0"/>
                <w:bCs w:val="0"/>
                <w:i w:val="0"/>
                <w:iCs w:val="0"/>
                <w:color w:val="000000"/>
                <w:kern w:val="0"/>
                <w:sz w:val="21"/>
                <w:szCs w:val="21"/>
                <w:u w:val="none"/>
                <w:lang w:val="en-US" w:eastAsia="zh-CN" w:bidi="ar"/>
              </w:rPr>
              <w:t>入侵报警系统</w:t>
            </w:r>
          </w:p>
        </w:tc>
        <w:tc>
          <w:tcPr>
            <w:tcW w:w="3016" w:type="pct"/>
            <w:shd w:val="clear" w:color="auto" w:fill="FFFFFF" w:themeFill="background1"/>
            <w:vAlign w:val="center"/>
          </w:tcPr>
          <w:p w14:paraId="07441BBD">
            <w:pPr>
              <w:jc w:val="both"/>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1、防爆型双鉴探测器（1套）：防爆级别：EXdⅡBT4Gb。外壳釆用碳钢无缝焊接成型，表面高速抛光后粉末静电喷塑；所有紧固件均采用抗强腐蚀的304不锈钢材质；内置红外对射。</w:t>
            </w:r>
            <w:r>
              <w:rPr>
                <w:rFonts w:hint="eastAsia" w:ascii="宋体" w:hAnsi="宋体" w:eastAsia="宋体" w:cs="宋体"/>
                <w:color w:val="000000" w:themeColor="text1"/>
                <w:kern w:val="2"/>
                <w:sz w:val="21"/>
                <w:szCs w:val="21"/>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1"/>
                <w:szCs w:val="21"/>
                <w:lang w:val="en-US" w:eastAsia="zh-CN" w:bidi="ar-SA"/>
                <w14:textFill>
                  <w14:solidFill>
                    <w14:schemeClr w14:val="tx1"/>
                  </w14:solidFill>
                </w14:textFill>
              </w:rPr>
              <w:t>2、地址输入输出模块（1个）：采用超宽电压设计8.5-24V均可正常工作。带一路开关量联动输出，可联动灯光，警号等设备。</w:t>
            </w:r>
            <w:r>
              <w:rPr>
                <w:rFonts w:hint="eastAsia" w:ascii="宋体" w:hAnsi="宋体" w:eastAsia="宋体" w:cs="宋体"/>
                <w:color w:val="000000" w:themeColor="text1"/>
                <w:kern w:val="2"/>
                <w:sz w:val="21"/>
                <w:szCs w:val="21"/>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1"/>
                <w:szCs w:val="21"/>
                <w:lang w:val="en-US" w:eastAsia="zh-CN" w:bidi="ar-SA"/>
                <w14:textFill>
                  <w14:solidFill>
                    <w14:schemeClr w14:val="tx1"/>
                  </w14:solidFill>
                </w14:textFill>
              </w:rPr>
              <w:t>3、报警主机（1台）：32位高性能处理器，更快处理报警信息及各类报警事件。</w:t>
            </w:r>
            <w:r>
              <w:rPr>
                <w:rFonts w:hint="eastAsia" w:ascii="宋体" w:hAnsi="宋体" w:eastAsia="宋体" w:cs="宋体"/>
                <w:color w:val="000000" w:themeColor="text1"/>
                <w:kern w:val="2"/>
                <w:sz w:val="21"/>
                <w:szCs w:val="21"/>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1"/>
                <w:szCs w:val="21"/>
                <w:lang w:val="en-US" w:eastAsia="zh-CN" w:bidi="ar-SA"/>
                <w14:textFill>
                  <w14:solidFill>
                    <w14:schemeClr w14:val="tx1"/>
                  </w14:solidFill>
                </w14:textFill>
              </w:rPr>
              <w:t>4、报警键盘（1个）：采用485总线通讯方式设计，连接中心管理主机，使用密码对主控设备进行各种编程操作。</w:t>
            </w:r>
          </w:p>
          <w:p w14:paraId="378E3B12">
            <w:pPr>
              <w:numPr>
                <w:ilvl w:val="0"/>
                <w:numId w:val="2"/>
              </w:numPr>
              <w:jc w:val="both"/>
              <w:rPr>
                <w:rFonts w:hint="eastAsia" w:ascii="宋体" w:hAnsi="宋体" w:eastAsia="宋体" w:cs="宋体"/>
                <w:color w:val="000000" w:themeColor="text1"/>
                <w:kern w:val="2"/>
                <w:sz w:val="21"/>
                <w:szCs w:val="21"/>
                <w:shd w:val="clear" w:color="auto" w:fill="FFF3EB"/>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软件（1套）：系统软件是通信报警系统相配合的管理软件，能满足日常报警管理的需要，支持：WIN XP/7/8/10 。</w:t>
            </w:r>
          </w:p>
          <w:p w14:paraId="711942B4">
            <w:pPr>
              <w:numPr>
                <w:ilvl w:val="0"/>
                <w:numId w:val="2"/>
              </w:numPr>
              <w:jc w:val="both"/>
              <w:rPr>
                <w:rFonts w:hint="eastAsia" w:ascii="宋体" w:hAnsi="宋体" w:eastAsia="宋体" w:cs="宋体"/>
                <w:color w:val="000000" w:themeColor="text1"/>
                <w:kern w:val="2"/>
                <w:sz w:val="21"/>
                <w:szCs w:val="21"/>
                <w:shd w:val="clear" w:color="auto" w:fill="FFF3EB"/>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UPS电源（1套）：容量3KVA/2.4kW，输入电压：115~300VAC，输出电压220VAC。</w:t>
            </w:r>
            <w:r>
              <w:rPr>
                <w:rFonts w:hint="eastAsia" w:ascii="宋体" w:hAnsi="宋体" w:eastAsia="宋体" w:cs="宋体"/>
                <w:b/>
                <w:bCs/>
                <w:color w:val="000000" w:themeColor="text1"/>
                <w:kern w:val="2"/>
                <w:sz w:val="21"/>
                <w:szCs w:val="21"/>
                <w:lang w:val="en-US" w:eastAsia="zh-CN" w:bidi="ar-SA"/>
                <w14:textFill>
                  <w14:solidFill>
                    <w14:schemeClr w14:val="tx1"/>
                  </w14:solidFill>
                </w14:textFill>
              </w:rPr>
              <w:t>★终身免费提供每年一次检修服务，提供承诺函。</w:t>
            </w:r>
          </w:p>
          <w:p w14:paraId="17FBDF94">
            <w:pPr>
              <w:ind w:left="0" w:leftChars="0"/>
              <w:jc w:val="both"/>
              <w:rPr>
                <w:rFonts w:hint="default" w:ascii="宋体" w:hAnsi="宋体" w:eastAsia="宋体" w:cs="宋体"/>
                <w:color w:val="000000" w:themeColor="text1"/>
                <w:kern w:val="2"/>
                <w:sz w:val="21"/>
                <w:szCs w:val="21"/>
                <w:shd w:val="clear" w:color="auto" w:fill="FFF3EB"/>
                <w:lang w:val="en-US" w:eastAsia="en-US"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7、保证入侵警报系统与学校安保系统联网。</w:t>
            </w:r>
          </w:p>
        </w:tc>
        <w:tc>
          <w:tcPr>
            <w:tcW w:w="339" w:type="pct"/>
            <w:shd w:val="clear" w:color="auto" w:fill="FFFFFF" w:themeFill="background1"/>
            <w:vAlign w:val="center"/>
          </w:tcPr>
          <w:p w14:paraId="46F6E882">
            <w:pPr>
              <w:jc w:val="center"/>
              <w:rPr>
                <w:rFonts w:hint="eastAsia" w:ascii="宋体" w:hAnsi="宋体" w:eastAsia="宋体" w:cs="宋体"/>
                <w:b w:val="0"/>
                <w:bCs w:val="0"/>
                <w:i w:val="0"/>
                <w:iCs w:val="0"/>
                <w:color w:val="000000"/>
                <w:kern w:val="2"/>
                <w:sz w:val="21"/>
                <w:szCs w:val="21"/>
                <w:u w:val="none"/>
                <w:lang w:val="en-US" w:eastAsia="en-US" w:bidi="ar-SA"/>
              </w:rPr>
            </w:pPr>
            <w:r>
              <w:rPr>
                <w:rFonts w:hint="eastAsia" w:ascii="宋体" w:hAnsi="宋体" w:eastAsia="宋体" w:cs="宋体"/>
                <w:b w:val="0"/>
                <w:bCs w:val="0"/>
                <w:i w:val="0"/>
                <w:iCs w:val="0"/>
                <w:color w:val="000000"/>
                <w:sz w:val="21"/>
                <w:szCs w:val="21"/>
                <w:u w:val="none"/>
                <w:lang w:val="en-US" w:eastAsia="zh-CN"/>
              </w:rPr>
              <w:t>1</w:t>
            </w:r>
          </w:p>
        </w:tc>
        <w:tc>
          <w:tcPr>
            <w:tcW w:w="225" w:type="pct"/>
            <w:shd w:val="clear" w:color="auto" w:fill="FFFFFF" w:themeFill="background1"/>
            <w:vAlign w:val="center"/>
          </w:tcPr>
          <w:p w14:paraId="6E243DB3">
            <w:pPr>
              <w:jc w:val="center"/>
              <w:rPr>
                <w:rFonts w:hint="eastAsia" w:ascii="Times New Roman" w:hAnsi="Times New Roman" w:eastAsia="宋体" w:cs="Times New Roman"/>
                <w:b w:val="0"/>
                <w:bCs w:val="0"/>
                <w:i w:val="0"/>
                <w:iCs w:val="0"/>
                <w:color w:val="000000"/>
                <w:kern w:val="2"/>
                <w:sz w:val="21"/>
                <w:szCs w:val="21"/>
                <w:u w:val="none"/>
                <w:lang w:val="en-US" w:eastAsia="en-US" w:bidi="ar-SA"/>
              </w:rPr>
            </w:pPr>
            <w:r>
              <w:rPr>
                <w:rFonts w:hint="eastAsia" w:ascii="Times New Roman" w:hAnsi="Times New Roman" w:eastAsia="宋体" w:cs="Times New Roman"/>
                <w:b w:val="0"/>
                <w:bCs w:val="0"/>
                <w:i w:val="0"/>
                <w:iCs w:val="0"/>
                <w:color w:val="000000"/>
                <w:sz w:val="21"/>
                <w:szCs w:val="21"/>
                <w:u w:val="none"/>
                <w:lang w:val="en-US" w:eastAsia="zh-CN"/>
              </w:rPr>
              <w:t>套</w:t>
            </w:r>
          </w:p>
        </w:tc>
        <w:tc>
          <w:tcPr>
            <w:tcW w:w="427" w:type="pct"/>
            <w:vAlign w:val="center"/>
          </w:tcPr>
          <w:p w14:paraId="3B5CD84E">
            <w:pPr>
              <w:rPr>
                <w:rFonts w:ascii="宋体" w:hAnsi="宋体" w:eastAsia="宋体" w:cs="宋体"/>
                <w:sz w:val="24"/>
                <w:szCs w:val="24"/>
                <w:highlight w:val="none"/>
              </w:rPr>
            </w:pPr>
            <w:r>
              <w:rPr>
                <w:rFonts w:hint="eastAsia" w:ascii="宋体" w:hAnsi="宋体" w:eastAsia="宋体" w:cs="宋体"/>
                <w:sz w:val="24"/>
                <w:szCs w:val="24"/>
                <w:highlight w:val="none"/>
              </w:rPr>
              <w:t>工业</w:t>
            </w:r>
          </w:p>
        </w:tc>
        <w:tc>
          <w:tcPr>
            <w:tcW w:w="245" w:type="pct"/>
            <w:vAlign w:val="center"/>
          </w:tcPr>
          <w:p w14:paraId="528F937B">
            <w:pPr>
              <w:rPr>
                <w:rFonts w:ascii="宋体" w:hAnsi="宋体" w:eastAsia="宋体" w:cs="宋体"/>
                <w:sz w:val="24"/>
                <w:szCs w:val="24"/>
                <w:highlight w:val="none"/>
              </w:rPr>
            </w:pPr>
          </w:p>
        </w:tc>
      </w:tr>
    </w:tbl>
    <w:p w14:paraId="1E6A82EE">
      <w:pPr>
        <w:pStyle w:val="3"/>
        <w:rPr>
          <w:rFonts w:hint="eastAsia" w:ascii="宋体" w:hAnsi="宋体" w:eastAsia="宋体" w:cs="宋体"/>
          <w:sz w:val="24"/>
          <w:szCs w:val="24"/>
          <w:highlight w:val="none"/>
        </w:rPr>
      </w:pPr>
      <w:bookmarkStart w:id="6" w:name="_Toc7421"/>
      <w:bookmarkStart w:id="7" w:name="_Toc4843"/>
      <w:r>
        <w:rPr>
          <w:rFonts w:ascii="宋体" w:hAnsi="宋体" w:eastAsia="宋体" w:cs="宋体"/>
          <w:sz w:val="24"/>
          <w:szCs w:val="24"/>
          <w:highlight w:val="none"/>
        </w:rPr>
        <w:t>注：上表所属行业中标注“/”的品目，投标人在《中小企业声明函》中无需列明。</w:t>
      </w:r>
    </w:p>
    <w:bookmarkEnd w:id="6"/>
    <w:bookmarkEnd w:id="7"/>
    <w:p w14:paraId="5B45E06B">
      <w:pPr>
        <w:numPr>
          <w:ilvl w:val="0"/>
          <w:numId w:val="0"/>
        </w:numPr>
        <w:spacing w:line="360" w:lineRule="auto"/>
        <w:outlineLvl w:val="1"/>
        <w:rPr>
          <w:rFonts w:hint="eastAsia" w:ascii="宋体" w:hAnsi="宋体" w:eastAsia="宋体"/>
          <w:b/>
          <w:bCs/>
          <w:sz w:val="24"/>
          <w:szCs w:val="18"/>
          <w:highlight w:val="none"/>
          <w:lang w:val="en-US" w:eastAsia="zh-CN"/>
        </w:rPr>
      </w:pPr>
      <w:r>
        <w:rPr>
          <w:rFonts w:hint="eastAsia" w:ascii="宋体" w:hAnsi="宋体" w:eastAsia="宋体"/>
          <w:b/>
          <w:bCs/>
          <w:sz w:val="24"/>
          <w:szCs w:val="18"/>
          <w:highlight w:val="none"/>
          <w:lang w:val="en-US" w:eastAsia="zh-CN"/>
        </w:rPr>
        <w:t>三、报价要求</w:t>
      </w:r>
    </w:p>
    <w:p w14:paraId="16D9D337">
      <w:pPr>
        <w:ind w:right="-147" w:firstLine="480" w:firstLineChars="200"/>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本项目报价包含但不限于税费、人员工资、保险、运输、搬运、安装、调试等项目全部费用，后续不再另行追加任何费用。</w:t>
      </w:r>
    </w:p>
    <w:p w14:paraId="405ADB31">
      <w:pPr>
        <w:spacing w:line="360" w:lineRule="auto"/>
        <w:outlineLvl w:val="1"/>
        <w:rPr>
          <w:rFonts w:ascii="宋体" w:hAnsi="宋体" w:eastAsia="宋体"/>
          <w:b/>
          <w:bCs/>
          <w:sz w:val="24"/>
          <w:szCs w:val="18"/>
          <w:highlight w:val="none"/>
        </w:rPr>
      </w:pPr>
      <w:r>
        <w:rPr>
          <w:rFonts w:hint="eastAsia" w:ascii="宋体" w:hAnsi="宋体" w:eastAsia="宋体"/>
          <w:b/>
          <w:bCs/>
          <w:sz w:val="24"/>
          <w:szCs w:val="18"/>
          <w:highlight w:val="none"/>
          <w:lang w:val="en-US" w:eastAsia="zh-CN"/>
        </w:rPr>
        <w:t>四、</w:t>
      </w:r>
      <w:r>
        <w:rPr>
          <w:rFonts w:hint="eastAsia" w:ascii="宋体" w:hAnsi="宋体" w:eastAsia="宋体"/>
          <w:b/>
          <w:bCs/>
          <w:sz w:val="24"/>
          <w:szCs w:val="18"/>
          <w:highlight w:val="none"/>
        </w:rPr>
        <w:t>违约及风险约定</w:t>
      </w:r>
    </w:p>
    <w:p w14:paraId="7B53ABA8">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除不可抗力外，如果供应商没有按照采购人约定的期限、地点和方式交付货物，那么乙方须支付违约金，违约金按每迟延交付货物一日的应交付而未交付货物价格的0.1%计算，最高限额为本合同总价的2.5%；迟延交付货物的违约金计算数额达到前述最高限额之日起，甲方有权在要求乙方支付违约金的同时，书面通知中标商解除本合同并不予退还履约保证金；</w:t>
      </w:r>
    </w:p>
    <w:p w14:paraId="185BB879">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除不可抗力外，中标商未能履行项目约定的其他主要义务，经催告后在合理期限内仍未履行的，有其他违约行为致使不能实现项目实施目的的，或者有腐败行为（即：提供或给予或接受或索取任何财物或其他好处或者采取其他不正当手段影响合同签订、履行过程中的行为）或者欺诈行为（即：以谎报事实或者隐瞒真相的方法来影响合同签订、履行过程中的行为）的，书面通知中标商解除本合同并不予退还履约保证金。</w:t>
      </w:r>
    </w:p>
    <w:p w14:paraId="26268985">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3.不可抗力因素包括且不限于以下情况：</w:t>
      </w:r>
    </w:p>
    <w:p w14:paraId="398A416F">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①自然灾害：如台风、地震、洪水、冰雹等，这些自然灾害是无法预测且难以避免的。</w:t>
      </w:r>
    </w:p>
    <w:p w14:paraId="227DAA4F">
      <w:pPr>
        <w:ind w:right="-147" w:firstLine="480" w:firstLineChars="200"/>
        <w:jc w:val="lef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②政府行为：如征收、征用等，这些行为是政府为了公共利益而采取的，个人或企业往往无法抗拒。</w:t>
      </w:r>
    </w:p>
    <w:p w14:paraId="141BF910">
      <w:pPr>
        <w:ind w:right="-147" w:firstLine="480" w:firstLineChars="200"/>
        <w:jc w:val="left"/>
      </w:pPr>
      <w:bookmarkStart w:id="8" w:name="_GoBack"/>
      <w:bookmarkEnd w:id="8"/>
      <w:r>
        <w:rPr>
          <w:rFonts w:hint="eastAsia" w:ascii="宋体" w:hAnsi="宋体" w:eastAsia="宋体" w:cs="宋体"/>
          <w:sz w:val="24"/>
          <w:szCs w:val="24"/>
          <w:highlight w:val="none"/>
          <w:lang w:val="en-US" w:eastAsia="zh-CN"/>
        </w:rPr>
        <w:t>③社会异常事件：如罢工、骚乱等。</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multilevel"/>
    <w:tmpl w:val="0053208E"/>
    <w:lvl w:ilvl="0" w:tentative="0">
      <w:start w:val="5"/>
      <w:numFmt w:val="decimal"/>
      <w:lvlText w:val="%1、"/>
      <w:lvlJc w:val="left"/>
      <w:pPr>
        <w:ind w:left="336" w:hanging="336"/>
      </w:pPr>
    </w:lvl>
    <w:lvl w:ilvl="1" w:tentative="0">
      <w:start w:val="1"/>
      <w:numFmt w:val="lowerLetter"/>
      <w:lvlText w:val="%2)"/>
      <w:lvlJc w:val="left"/>
      <w:pPr>
        <w:ind w:left="756" w:hanging="336"/>
      </w:pPr>
    </w:lvl>
    <w:lvl w:ilvl="2" w:tentative="0">
      <w:start w:val="1"/>
      <w:numFmt w:val="lowerRoman"/>
      <w:lvlText w:val="%3)"/>
      <w:lvlJc w:val="left"/>
      <w:pPr>
        <w:ind w:left="1176" w:hanging="336"/>
      </w:pPr>
    </w:lvl>
    <w:lvl w:ilvl="3" w:tentative="0">
      <w:start w:val="1"/>
      <w:numFmt w:val="decimal"/>
      <w:lvlText w:val="%4、"/>
      <w:lvlJc w:val="left"/>
      <w:pPr>
        <w:ind w:left="1596" w:hanging="336"/>
      </w:pPr>
    </w:lvl>
    <w:lvl w:ilvl="4" w:tentative="0">
      <w:start w:val="1"/>
      <w:numFmt w:val="lowerLetter"/>
      <w:lvlText w:val="%5)"/>
      <w:lvlJc w:val="left"/>
      <w:pPr>
        <w:ind w:left="2016" w:hanging="336"/>
      </w:pPr>
    </w:lvl>
    <w:lvl w:ilvl="5" w:tentative="0">
      <w:start w:val="1"/>
      <w:numFmt w:val="lowerRoman"/>
      <w:lvlText w:val="%6)"/>
      <w:lvlJc w:val="left"/>
      <w:pPr>
        <w:ind w:left="2436" w:hanging="336"/>
      </w:pPr>
    </w:lvl>
    <w:lvl w:ilvl="6" w:tentative="0">
      <w:start w:val="1"/>
      <w:numFmt w:val="decimal"/>
      <w:lvlText w:val="%7、"/>
      <w:lvlJc w:val="left"/>
      <w:pPr>
        <w:ind w:left="2856" w:hanging="336"/>
      </w:pPr>
    </w:lvl>
    <w:lvl w:ilvl="7" w:tentative="0">
      <w:start w:val="1"/>
      <w:numFmt w:val="lowerLetter"/>
      <w:lvlText w:val="%8)"/>
      <w:lvlJc w:val="left"/>
      <w:pPr>
        <w:ind w:left="3276" w:hanging="336"/>
      </w:pPr>
    </w:lvl>
    <w:lvl w:ilvl="8" w:tentative="0">
      <w:start w:val="1"/>
      <w:numFmt w:val="lowerRoman"/>
      <w:lvlText w:val="%9)"/>
      <w:lvlJc w:val="left"/>
      <w:pPr>
        <w:ind w:left="3696" w:hanging="336"/>
      </w:pPr>
    </w:lvl>
  </w:abstractNum>
  <w:abstractNum w:abstractNumId="1">
    <w:nsid w:val="7DE6ECF0"/>
    <w:multiLevelType w:val="singleLevel"/>
    <w:tmpl w:val="7DE6ECF0"/>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A354F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hAnsi="@仿宋_GB2312" w:eastAsia="@仿宋_GB2312" w:cs="@仿宋_GB2312"/>
      <w:kern w:val="2"/>
      <w:sz w:val="21"/>
      <w:lang w:val="en-US" w:eastAsia="zh-CN" w:bidi="ar-SA"/>
    </w:rPr>
  </w:style>
  <w:style w:type="paragraph" w:styleId="2">
    <w:name w:val="heading 4"/>
    <w:basedOn w:val="1"/>
    <w:next w:val="1"/>
    <w:qFormat/>
    <w:uiPriority w:val="0"/>
    <w:pPr>
      <w:keepNext/>
      <w:keepLines/>
      <w:spacing w:before="280" w:after="290" w:line="376" w:lineRule="auto"/>
      <w:outlineLvl w:val="3"/>
    </w:pPr>
    <w:rPr>
      <w:b/>
      <w:bCs/>
      <w:sz w:val="28"/>
      <w:szCs w:val="28"/>
    </w:rPr>
  </w:style>
  <w:style w:type="paragraph" w:styleId="3">
    <w:name w:val="heading 5"/>
    <w:basedOn w:val="1"/>
    <w:next w:val="1"/>
    <w:unhideWhenUsed/>
    <w:qFormat/>
    <w:uiPriority w:val="9"/>
    <w:pPr>
      <w:keepNext/>
      <w:keepLines/>
      <w:spacing w:line="372" w:lineRule="auto"/>
      <w:outlineLvl w:val="4"/>
    </w:pPr>
    <w:rPr>
      <w:b/>
      <w:sz w:val="28"/>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7">
    <w:name w:val="D&amp;L"/>
    <w:basedOn w:val="4"/>
    <w:autoRedefine/>
    <w:qFormat/>
    <w:uiPriority w:val="0"/>
    <w:pPr>
      <w:pBdr>
        <w:bottom w:val="thinThickSmallGap" w:color="auto" w:sz="18" w:space="1"/>
      </w:pBdr>
      <w:adjustRightInd w:val="0"/>
      <w:snapToGrid/>
      <w:spacing w:line="240" w:lineRule="atLeast"/>
      <w:textAlignment w:val="baseline"/>
    </w:pPr>
    <w:rPr>
      <w:kern w:val="0"/>
      <w:sz w:val="24"/>
      <w:szCs w:val="20"/>
    </w:rPr>
  </w:style>
  <w:style w:type="paragraph" w:customStyle="1" w:styleId="8">
    <w:name w:val="xl31"/>
    <w:basedOn w:val="1"/>
    <w:autoRedefine/>
    <w:qFormat/>
    <w:uiPriority w:val="0"/>
    <w:pPr>
      <w:widowControl/>
      <w:spacing w:before="100" w:beforeAutospacing="1" w:after="100" w:afterAutospacing="1"/>
      <w:jc w:val="center"/>
    </w:pPr>
    <w:rPr>
      <w:b/>
      <w:bCs/>
      <w:kern w:val="0"/>
      <w:sz w:val="28"/>
      <w:szCs w:val="2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2025-04-03T09:09:45Z</dcterms:created>
  <dc:creator>Administrator</dc:creator>
  <cp:lastModifiedBy>M</cp:lastModifiedBy>
  <dcterms:modified xsi:type="dcterms:W3CDTF">2025-04-03T09:09:54Z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eyJoZGlkIjoiOWEwYTUzNzRjNTY1NjAwZjc3YTBlNGQwODhjMWZhNjciLCJ1c2VySWQiOiIyOTgxMTI1OTkifQ==</vt:lpwstr>
  </property>
  <property fmtid="{D5CDD505-2E9C-101B-9397-08002B2CF9AE}" pid="4" name="ICV">
    <vt:lpwstr>307D63BC35BF43828E02CA2126CA8876_12</vt:lpwstr>
  </property>
</Properties>
</file>