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15A86">
      <w:pPr>
        <w:pStyle w:val="2"/>
        <w:jc w:val="center"/>
        <w:outlineLvl w:val="1"/>
        <w:rPr>
          <w:rFonts w:ascii="宋体" w:hAnsi="宋体" w:cs="宋体"/>
          <w:b/>
          <w:bCs/>
          <w:sz w:val="28"/>
          <w:szCs w:val="36"/>
        </w:rPr>
      </w:pPr>
      <w:r>
        <w:rPr>
          <w:rFonts w:hint="eastAsia" w:ascii="宋体" w:hAnsi="宋体" w:cs="宋体"/>
          <w:b/>
          <w:bCs/>
          <w:sz w:val="28"/>
          <w:szCs w:val="36"/>
        </w:rPr>
        <w:t>采购需求说明</w:t>
      </w:r>
    </w:p>
    <w:p w14:paraId="17A56EBB">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1.本项目所有产品需安装调试到采购人实际使用状态，涉及到的所有辅材 由投标供应商自行承担，其投标报价包含在本次采购活动中，请各潜在投标供应 商综合考虑报价。</w:t>
      </w:r>
    </w:p>
    <w:p w14:paraId="60018AA3">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FF"/>
          <w:sz w:val="24"/>
          <w:szCs w:val="24"/>
          <w:lang w:val="en-US" w:eastAsia="zh-CN"/>
        </w:rPr>
      </w:pPr>
      <w:r>
        <w:rPr>
          <w:rFonts w:hint="eastAsia" w:ascii="宋体" w:hAnsi="宋体" w:cs="宋体"/>
          <w:color w:val="0000FF"/>
          <w:sz w:val="24"/>
          <w:szCs w:val="24"/>
          <w:lang w:val="en-US" w:eastAsia="zh-CN"/>
        </w:rPr>
        <w:t>*2.本项目免费质保期为三年，并免费提供设备整体搬迁服务一次（投标时提供承诺函，承诺函格式自拟，并加盖投标单位公章）。</w:t>
      </w:r>
    </w:p>
    <w:p w14:paraId="29ABAA00">
      <w:pPr>
        <w:pStyle w:val="6"/>
        <w:spacing w:line="360" w:lineRule="auto"/>
        <w:jc w:val="center"/>
        <w:rPr>
          <w:rFonts w:ascii="宋体" w:hAnsi="宋体" w:cs="宋体"/>
          <w:sz w:val="24"/>
          <w:szCs w:val="24"/>
        </w:rPr>
      </w:pPr>
    </w:p>
    <w:p w14:paraId="046B2669">
      <w:pPr>
        <w:pStyle w:val="2"/>
        <w:jc w:val="center"/>
        <w:outlineLvl w:val="1"/>
        <w:rPr>
          <w:rFonts w:ascii="宋体" w:hAnsi="宋体" w:cs="宋体"/>
          <w:b/>
          <w:bCs/>
          <w:sz w:val="28"/>
          <w:szCs w:val="36"/>
        </w:rPr>
      </w:pPr>
      <w:r>
        <w:rPr>
          <w:rFonts w:hint="eastAsia" w:ascii="宋体" w:hAnsi="宋体" w:cs="宋体"/>
          <w:b/>
          <w:bCs/>
          <w:sz w:val="28"/>
          <w:szCs w:val="36"/>
        </w:rPr>
        <w:t>采购需求一览表</w:t>
      </w:r>
    </w:p>
    <w:tbl>
      <w:tblPr>
        <w:tblStyle w:val="4"/>
        <w:tblW w:w="10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876"/>
        <w:gridCol w:w="3876"/>
        <w:gridCol w:w="480"/>
        <w:gridCol w:w="455"/>
        <w:gridCol w:w="648"/>
        <w:gridCol w:w="660"/>
        <w:gridCol w:w="652"/>
        <w:gridCol w:w="922"/>
        <w:gridCol w:w="708"/>
        <w:gridCol w:w="446"/>
      </w:tblGrid>
      <w:tr w14:paraId="6A13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582" w:type="dxa"/>
            <w:vMerge w:val="restart"/>
            <w:shd w:val="clear" w:color="auto" w:fill="auto"/>
            <w:vAlign w:val="center"/>
          </w:tcPr>
          <w:p w14:paraId="479B14BD">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序号</w:t>
            </w:r>
          </w:p>
        </w:tc>
        <w:tc>
          <w:tcPr>
            <w:tcW w:w="876" w:type="dxa"/>
            <w:vMerge w:val="restart"/>
            <w:shd w:val="clear" w:color="auto" w:fill="auto"/>
            <w:vAlign w:val="center"/>
          </w:tcPr>
          <w:p w14:paraId="1C741A83">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名称</w:t>
            </w:r>
          </w:p>
        </w:tc>
        <w:tc>
          <w:tcPr>
            <w:tcW w:w="3876" w:type="dxa"/>
            <w:vMerge w:val="restart"/>
            <w:shd w:val="clear" w:color="auto" w:fill="auto"/>
            <w:vAlign w:val="center"/>
          </w:tcPr>
          <w:p w14:paraId="50B0F75F">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技术参数和规格型号</w:t>
            </w:r>
          </w:p>
        </w:tc>
        <w:tc>
          <w:tcPr>
            <w:tcW w:w="480" w:type="dxa"/>
            <w:vMerge w:val="restart"/>
            <w:shd w:val="clear" w:color="auto" w:fill="auto"/>
            <w:vAlign w:val="center"/>
          </w:tcPr>
          <w:p w14:paraId="2779FA43">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数量</w:t>
            </w:r>
          </w:p>
        </w:tc>
        <w:tc>
          <w:tcPr>
            <w:tcW w:w="455" w:type="dxa"/>
            <w:vMerge w:val="restart"/>
            <w:shd w:val="clear" w:color="auto" w:fill="auto"/>
            <w:vAlign w:val="center"/>
          </w:tcPr>
          <w:p w14:paraId="6051003C">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单位</w:t>
            </w:r>
          </w:p>
        </w:tc>
        <w:tc>
          <w:tcPr>
            <w:tcW w:w="1308" w:type="dxa"/>
            <w:gridSpan w:val="2"/>
            <w:shd w:val="clear" w:color="auto" w:fill="auto"/>
            <w:vAlign w:val="center"/>
          </w:tcPr>
          <w:p w14:paraId="536BBA50">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是否采购节能产品</w:t>
            </w:r>
          </w:p>
        </w:tc>
        <w:tc>
          <w:tcPr>
            <w:tcW w:w="652" w:type="dxa"/>
            <w:vMerge w:val="restart"/>
            <w:shd w:val="clear" w:color="auto" w:fill="auto"/>
            <w:vAlign w:val="center"/>
          </w:tcPr>
          <w:p w14:paraId="5ABDD0CE">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是否为优先采购环境标志产品</w:t>
            </w:r>
          </w:p>
        </w:tc>
        <w:tc>
          <w:tcPr>
            <w:tcW w:w="922" w:type="dxa"/>
            <w:vMerge w:val="restart"/>
            <w:shd w:val="clear" w:color="auto" w:fill="auto"/>
            <w:vAlign w:val="center"/>
          </w:tcPr>
          <w:p w14:paraId="7CC5A2C7">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所属行业（按工信部联企业〔2011〕300号）</w:t>
            </w:r>
          </w:p>
        </w:tc>
        <w:tc>
          <w:tcPr>
            <w:tcW w:w="708" w:type="dxa"/>
            <w:vMerge w:val="restart"/>
            <w:shd w:val="clear" w:color="auto" w:fill="auto"/>
            <w:vAlign w:val="center"/>
          </w:tcPr>
          <w:p w14:paraId="18DB3B61">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标的性质（货物/服务）</w:t>
            </w:r>
          </w:p>
        </w:tc>
        <w:tc>
          <w:tcPr>
            <w:tcW w:w="446" w:type="dxa"/>
            <w:vMerge w:val="restart"/>
            <w:shd w:val="clear" w:color="auto" w:fill="auto"/>
            <w:vAlign w:val="center"/>
          </w:tcPr>
          <w:p w14:paraId="2775680D">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备注</w:t>
            </w:r>
          </w:p>
        </w:tc>
      </w:tr>
      <w:tr w14:paraId="168D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Merge w:val="continue"/>
            <w:shd w:val="clear" w:color="auto" w:fill="auto"/>
            <w:vAlign w:val="center"/>
          </w:tcPr>
          <w:p w14:paraId="2487C2BF">
            <w:pPr>
              <w:widowControl/>
              <w:jc w:val="center"/>
              <w:textAlignment w:val="center"/>
              <w:rPr>
                <w:rFonts w:ascii="Times New Roman" w:hAnsi="Times New Roman"/>
                <w:szCs w:val="21"/>
              </w:rPr>
            </w:pPr>
          </w:p>
        </w:tc>
        <w:tc>
          <w:tcPr>
            <w:tcW w:w="876" w:type="dxa"/>
            <w:vMerge w:val="continue"/>
            <w:shd w:val="clear" w:color="auto" w:fill="auto"/>
            <w:vAlign w:val="center"/>
          </w:tcPr>
          <w:p w14:paraId="7DDFB1BB">
            <w:pPr>
              <w:widowControl/>
              <w:jc w:val="center"/>
              <w:textAlignment w:val="center"/>
              <w:rPr>
                <w:rFonts w:ascii="Times New Roman" w:hAnsi="Times New Roman"/>
                <w:szCs w:val="21"/>
              </w:rPr>
            </w:pPr>
          </w:p>
        </w:tc>
        <w:tc>
          <w:tcPr>
            <w:tcW w:w="3876" w:type="dxa"/>
            <w:vMerge w:val="continue"/>
            <w:shd w:val="clear" w:color="auto" w:fill="auto"/>
            <w:vAlign w:val="center"/>
          </w:tcPr>
          <w:p w14:paraId="3200CCEB">
            <w:pPr>
              <w:widowControl/>
              <w:jc w:val="center"/>
              <w:textAlignment w:val="center"/>
              <w:rPr>
                <w:rFonts w:ascii="Times New Roman" w:hAnsi="Times New Roman"/>
                <w:szCs w:val="21"/>
              </w:rPr>
            </w:pPr>
          </w:p>
        </w:tc>
        <w:tc>
          <w:tcPr>
            <w:tcW w:w="480" w:type="dxa"/>
            <w:vMerge w:val="continue"/>
            <w:shd w:val="clear" w:color="auto" w:fill="auto"/>
            <w:vAlign w:val="center"/>
          </w:tcPr>
          <w:p w14:paraId="2AB4296E">
            <w:pPr>
              <w:widowControl/>
              <w:jc w:val="center"/>
              <w:textAlignment w:val="center"/>
              <w:rPr>
                <w:rFonts w:ascii="Times New Roman" w:hAnsi="Times New Roman"/>
                <w:szCs w:val="21"/>
              </w:rPr>
            </w:pPr>
          </w:p>
        </w:tc>
        <w:tc>
          <w:tcPr>
            <w:tcW w:w="455" w:type="dxa"/>
            <w:vMerge w:val="continue"/>
            <w:shd w:val="clear" w:color="auto" w:fill="auto"/>
            <w:vAlign w:val="center"/>
          </w:tcPr>
          <w:p w14:paraId="3EFA9C4F">
            <w:pPr>
              <w:widowControl/>
              <w:jc w:val="center"/>
              <w:textAlignment w:val="center"/>
              <w:rPr>
                <w:rFonts w:ascii="Times New Roman" w:hAnsi="Times New Roman"/>
                <w:szCs w:val="21"/>
              </w:rPr>
            </w:pPr>
          </w:p>
        </w:tc>
        <w:tc>
          <w:tcPr>
            <w:tcW w:w="648" w:type="dxa"/>
            <w:shd w:val="clear" w:color="auto" w:fill="auto"/>
            <w:vAlign w:val="center"/>
          </w:tcPr>
          <w:p w14:paraId="49BA1A0C">
            <w:pPr>
              <w:widowControl/>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强制采购</w:t>
            </w:r>
          </w:p>
        </w:tc>
        <w:tc>
          <w:tcPr>
            <w:tcW w:w="660" w:type="dxa"/>
            <w:shd w:val="clear" w:color="auto" w:fill="auto"/>
            <w:vAlign w:val="center"/>
          </w:tcPr>
          <w:p w14:paraId="0FAE7B3F">
            <w:pPr>
              <w:widowControl/>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优先采购</w:t>
            </w:r>
          </w:p>
        </w:tc>
        <w:tc>
          <w:tcPr>
            <w:tcW w:w="652" w:type="dxa"/>
            <w:vMerge w:val="continue"/>
            <w:shd w:val="clear" w:color="auto" w:fill="auto"/>
            <w:vAlign w:val="center"/>
          </w:tcPr>
          <w:p w14:paraId="5F926790">
            <w:pPr>
              <w:widowControl/>
              <w:jc w:val="center"/>
              <w:textAlignment w:val="center"/>
              <w:rPr>
                <w:rFonts w:ascii="Times New Roman" w:hAnsi="Times New Roman"/>
                <w:color w:val="000000"/>
                <w:kern w:val="0"/>
                <w:szCs w:val="21"/>
                <w:lang w:bidi="ar"/>
              </w:rPr>
            </w:pPr>
          </w:p>
        </w:tc>
        <w:tc>
          <w:tcPr>
            <w:tcW w:w="922" w:type="dxa"/>
            <w:vMerge w:val="continue"/>
            <w:shd w:val="clear" w:color="auto" w:fill="auto"/>
            <w:vAlign w:val="center"/>
          </w:tcPr>
          <w:p w14:paraId="255E4982">
            <w:pPr>
              <w:widowControl/>
              <w:jc w:val="center"/>
              <w:textAlignment w:val="center"/>
              <w:rPr>
                <w:rFonts w:ascii="Times New Roman" w:hAnsi="Times New Roman"/>
                <w:color w:val="000000"/>
                <w:kern w:val="0"/>
                <w:szCs w:val="21"/>
                <w:lang w:bidi="ar"/>
              </w:rPr>
            </w:pPr>
          </w:p>
        </w:tc>
        <w:tc>
          <w:tcPr>
            <w:tcW w:w="708" w:type="dxa"/>
            <w:vMerge w:val="continue"/>
            <w:shd w:val="clear" w:color="auto" w:fill="auto"/>
            <w:vAlign w:val="center"/>
          </w:tcPr>
          <w:p w14:paraId="03A06E78">
            <w:pPr>
              <w:widowControl/>
              <w:jc w:val="center"/>
              <w:textAlignment w:val="center"/>
              <w:rPr>
                <w:rFonts w:ascii="Times New Roman" w:hAnsi="Times New Roman"/>
                <w:color w:val="000000"/>
                <w:kern w:val="0"/>
                <w:szCs w:val="21"/>
                <w:lang w:bidi="ar"/>
              </w:rPr>
            </w:pPr>
          </w:p>
        </w:tc>
        <w:tc>
          <w:tcPr>
            <w:tcW w:w="446" w:type="dxa"/>
            <w:vMerge w:val="continue"/>
            <w:shd w:val="clear" w:color="auto" w:fill="auto"/>
            <w:vAlign w:val="center"/>
          </w:tcPr>
          <w:p w14:paraId="7DE7EE71">
            <w:pPr>
              <w:widowControl/>
              <w:jc w:val="center"/>
              <w:textAlignment w:val="center"/>
              <w:rPr>
                <w:rFonts w:ascii="Times New Roman" w:hAnsi="Times New Roman"/>
                <w:color w:val="000000"/>
                <w:kern w:val="0"/>
                <w:szCs w:val="21"/>
                <w:lang w:bidi="ar"/>
              </w:rPr>
            </w:pPr>
          </w:p>
        </w:tc>
      </w:tr>
      <w:tr w14:paraId="35AA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82" w:type="dxa"/>
            <w:shd w:val="clear" w:color="auto" w:fill="auto"/>
            <w:vAlign w:val="center"/>
          </w:tcPr>
          <w:p w14:paraId="0241D962">
            <w:pPr>
              <w:widowControl/>
              <w:jc w:val="center"/>
              <w:textAlignment w:val="center"/>
              <w:rPr>
                <w:rFonts w:hint="default" w:ascii="Times New Roman" w:hAnsi="Times New Roman"/>
                <w:bCs/>
                <w:color w:val="000000"/>
                <w:szCs w:val="21"/>
                <w:lang w:val="en-US" w:eastAsia="zh-CN"/>
              </w:rPr>
            </w:pPr>
            <w:r>
              <w:rPr>
                <w:rFonts w:hint="eastAsia" w:ascii="Times New Roman" w:hAnsi="Times New Roman"/>
                <w:bCs/>
                <w:color w:val="000000"/>
                <w:szCs w:val="21"/>
                <w:lang w:val="en-US" w:eastAsia="zh-CN"/>
              </w:rPr>
              <w:t>1</w:t>
            </w:r>
          </w:p>
        </w:tc>
        <w:tc>
          <w:tcPr>
            <w:tcW w:w="876" w:type="dxa"/>
            <w:shd w:val="clear" w:color="auto" w:fill="auto"/>
            <w:vAlign w:val="center"/>
          </w:tcPr>
          <w:p w14:paraId="1BB75950">
            <w:pPr>
              <w:jc w:val="center"/>
              <w:rPr>
                <w:rFonts w:hint="eastAsia" w:ascii="Times New Roman" w:hAnsi="Times New Roman" w:eastAsia="宋体"/>
                <w:bCs/>
                <w:color w:val="000000"/>
                <w:szCs w:val="21"/>
                <w:lang w:eastAsia="zh-CN"/>
              </w:rPr>
            </w:pPr>
            <w:r>
              <w:rPr>
                <w:rFonts w:ascii="Times New Roman" w:hAnsi="Times New Roman"/>
                <w:szCs w:val="21"/>
              </w:rPr>
              <w:t>实时荧光定量PCR</w:t>
            </w:r>
            <w:r>
              <w:rPr>
                <w:rFonts w:hint="eastAsia" w:ascii="Times New Roman" w:hAnsi="Times New Roman"/>
                <w:szCs w:val="21"/>
                <w:lang w:eastAsia="zh-CN"/>
              </w:rPr>
              <w:t>（</w:t>
            </w:r>
            <w:r>
              <w:rPr>
                <w:rFonts w:hint="eastAsia" w:ascii="Times New Roman" w:hAnsi="Times New Roman"/>
                <w:szCs w:val="21"/>
                <w:lang w:val="en-US" w:eastAsia="zh-CN"/>
              </w:rPr>
              <w:t>进口</w:t>
            </w:r>
            <w:r>
              <w:rPr>
                <w:rFonts w:hint="eastAsia" w:ascii="Times New Roman" w:hAnsi="Times New Roman"/>
                <w:szCs w:val="21"/>
                <w:lang w:eastAsia="zh-CN"/>
              </w:rPr>
              <w:t>）</w:t>
            </w:r>
          </w:p>
        </w:tc>
        <w:tc>
          <w:tcPr>
            <w:tcW w:w="3876" w:type="dxa"/>
            <w:shd w:val="clear" w:color="auto" w:fill="auto"/>
            <w:noWrap/>
            <w:vAlign w:val="center"/>
          </w:tcPr>
          <w:p w14:paraId="0CE4208F">
            <w:pPr>
              <w:jc w:val="left"/>
              <w:rPr>
                <w:rFonts w:hint="eastAsia" w:ascii="Times New Roman" w:hAnsi="Times New Roman"/>
                <w:bCs/>
                <w:color w:val="000000"/>
                <w:szCs w:val="21"/>
              </w:rPr>
            </w:pPr>
            <w:r>
              <w:rPr>
                <w:rFonts w:hint="eastAsia" w:ascii="Times New Roman" w:hAnsi="Times New Roman"/>
                <w:bCs/>
                <w:color w:val="000000"/>
                <w:szCs w:val="21"/>
              </w:rPr>
              <w:t>1、热循环系统：珀耳帖效应系统</w:t>
            </w:r>
          </w:p>
          <w:p w14:paraId="7DCBF56C">
            <w:pPr>
              <w:jc w:val="left"/>
              <w:rPr>
                <w:rFonts w:hint="eastAsia" w:ascii="Times New Roman" w:hAnsi="Times New Roman"/>
                <w:bCs/>
                <w:color w:val="0000FF"/>
                <w:szCs w:val="21"/>
              </w:rPr>
            </w:pPr>
            <w:r>
              <w:rPr>
                <w:rFonts w:hint="eastAsia" w:ascii="Times New Roman" w:hAnsi="Times New Roman"/>
                <w:bCs/>
                <w:color w:val="0000FF"/>
                <w:szCs w:val="21"/>
              </w:rPr>
              <w:t>★2、精确数码温控模块：6个独立的精确数码温控区域，每个区域可单独设置温度</w:t>
            </w:r>
            <w:r>
              <w:rPr>
                <w:rFonts w:hint="eastAsia" w:ascii="Times New Roman" w:hAnsi="Times New Roman"/>
                <w:b/>
                <w:bCs w:val="0"/>
                <w:color w:val="0000FF"/>
                <w:szCs w:val="21"/>
              </w:rPr>
              <w:t>（投标文件中提供产品彩页或公开发行的技术白皮书或第三方检测机构出具的检测报告扫描件或官网功能截图作为证明文件）</w:t>
            </w:r>
          </w:p>
          <w:p w14:paraId="31D742A5">
            <w:pPr>
              <w:jc w:val="left"/>
              <w:rPr>
                <w:rFonts w:hint="eastAsia" w:ascii="Times New Roman" w:hAnsi="Times New Roman"/>
                <w:bCs/>
                <w:color w:val="0000FF"/>
                <w:szCs w:val="21"/>
              </w:rPr>
            </w:pPr>
            <w:r>
              <w:rPr>
                <w:rFonts w:hint="eastAsia" w:ascii="Times New Roman" w:hAnsi="Times New Roman"/>
                <w:bCs/>
                <w:color w:val="0000FF"/>
                <w:szCs w:val="21"/>
              </w:rPr>
              <w:t>★3、检测方式：实时动态检测；同时收集96孔检测信号，不同孔之间不存在时间差</w:t>
            </w:r>
            <w:r>
              <w:rPr>
                <w:rFonts w:hint="eastAsia" w:ascii="Times New Roman" w:hAnsi="Times New Roman"/>
                <w:b/>
                <w:bCs w:val="0"/>
                <w:color w:val="0000FF"/>
                <w:szCs w:val="21"/>
              </w:rPr>
              <w:t>（投标文件中提供产品彩页或公开发行的技术白皮书或第三方检测机构出具的检测报告扫描件或官网功能截图作为证明文件）</w:t>
            </w:r>
          </w:p>
          <w:p w14:paraId="090CFB6C">
            <w:pPr>
              <w:jc w:val="left"/>
              <w:rPr>
                <w:rFonts w:hint="eastAsia" w:ascii="Times New Roman" w:hAnsi="Times New Roman"/>
                <w:bCs/>
                <w:color w:val="0000FF"/>
                <w:szCs w:val="21"/>
              </w:rPr>
            </w:pPr>
            <w:r>
              <w:rPr>
                <w:rFonts w:hint="eastAsia" w:ascii="Times New Roman" w:hAnsi="Times New Roman"/>
                <w:bCs/>
                <w:color w:val="0000FF"/>
                <w:szCs w:val="21"/>
              </w:rPr>
              <w:t>★4、光学系统：高亮度白光半导体光源（光源寿命不低于60000个小时）、无光纤类易损部件方便维护、6色激发滤光片，6色检测滤光片；每一孔可同时检测6 种不同的目标基因</w:t>
            </w:r>
            <w:r>
              <w:rPr>
                <w:rFonts w:hint="eastAsia" w:ascii="Times New Roman" w:hAnsi="Times New Roman"/>
                <w:b/>
                <w:bCs w:val="0"/>
                <w:color w:val="0000FF"/>
                <w:szCs w:val="21"/>
              </w:rPr>
              <w:t>（投标文件中提供产品彩页或公开发行的技术白皮书或第三方检测机构出具的检测报告扫描件或官网功能截图作为证明文件）</w:t>
            </w:r>
          </w:p>
          <w:p w14:paraId="1504AE1F">
            <w:pPr>
              <w:jc w:val="left"/>
              <w:rPr>
                <w:rFonts w:hint="eastAsia" w:ascii="Times New Roman" w:hAnsi="Times New Roman"/>
                <w:bCs/>
                <w:color w:val="0000FF"/>
                <w:szCs w:val="21"/>
              </w:rPr>
            </w:pPr>
            <w:r>
              <w:rPr>
                <w:rFonts w:hint="eastAsia" w:ascii="Times New Roman" w:hAnsi="Times New Roman"/>
                <w:bCs/>
                <w:color w:val="0000FF"/>
                <w:szCs w:val="21"/>
              </w:rPr>
              <w:t>★5、荧光通道数：6色激发光通道和6色检测光通道；可自由组合，最多21种不同的荧光光谱</w:t>
            </w:r>
            <w:r>
              <w:rPr>
                <w:rFonts w:hint="eastAsia" w:ascii="Times New Roman" w:hAnsi="Times New Roman"/>
                <w:b/>
                <w:bCs w:val="0"/>
                <w:color w:val="0000FF"/>
                <w:szCs w:val="21"/>
              </w:rPr>
              <w:t>（投标文件中提供产品彩页或公开发行的技术白皮书或第三方检测机构出具的检测报告扫描件或官网功能截图作为证明文件）</w:t>
            </w:r>
          </w:p>
          <w:p w14:paraId="1475C8AB">
            <w:pPr>
              <w:jc w:val="left"/>
              <w:rPr>
                <w:rFonts w:hint="eastAsia" w:ascii="Times New Roman" w:hAnsi="Times New Roman"/>
                <w:bCs/>
                <w:color w:val="0000FF"/>
                <w:szCs w:val="21"/>
              </w:rPr>
            </w:pPr>
            <w:r>
              <w:rPr>
                <w:rFonts w:hint="eastAsia" w:ascii="Times New Roman" w:hAnsi="Times New Roman"/>
                <w:bCs/>
                <w:color w:val="0000FF"/>
                <w:szCs w:val="21"/>
              </w:rPr>
              <w:t>★6、模块规格：支持标准96孔模块（样品体积：10-100 μL）可以升级为快速96孔模块（样品体积：10-30 μL）或384孔模块（样品体积：5-20 μL）</w:t>
            </w:r>
            <w:r>
              <w:rPr>
                <w:rFonts w:hint="eastAsia" w:ascii="Times New Roman" w:hAnsi="Times New Roman"/>
                <w:b/>
                <w:bCs w:val="0"/>
                <w:color w:val="0000FF"/>
                <w:szCs w:val="21"/>
              </w:rPr>
              <w:t>（投标文件中提供产品彩页或公开发行的技术白皮书或第三方检测机构出具的检测报告扫描件或官网功能截图作为证明文件）</w:t>
            </w:r>
          </w:p>
          <w:p w14:paraId="1D7ED632">
            <w:pPr>
              <w:jc w:val="left"/>
              <w:rPr>
                <w:rFonts w:hint="eastAsia" w:ascii="Times New Roman" w:hAnsi="Times New Roman"/>
                <w:bCs/>
                <w:color w:val="000000"/>
                <w:szCs w:val="21"/>
              </w:rPr>
            </w:pPr>
            <w:r>
              <w:rPr>
                <w:rFonts w:hint="eastAsia" w:ascii="Times New Roman" w:hAnsi="Times New Roman"/>
                <w:bCs/>
                <w:color w:val="000000"/>
                <w:szCs w:val="21"/>
              </w:rPr>
              <w:t>7、温度范围： 4°C–100°C</w:t>
            </w:r>
          </w:p>
          <w:p w14:paraId="336A2712">
            <w:pPr>
              <w:jc w:val="left"/>
              <w:rPr>
                <w:rFonts w:hint="eastAsia" w:ascii="Times New Roman" w:hAnsi="Times New Roman"/>
                <w:bCs/>
                <w:color w:val="000000"/>
                <w:szCs w:val="21"/>
                <w:highlight w:val="none"/>
              </w:rPr>
            </w:pPr>
            <w:r>
              <w:rPr>
                <w:rFonts w:hint="eastAsia" w:ascii="Times New Roman" w:hAnsi="Times New Roman"/>
                <w:bCs/>
                <w:color w:val="000000"/>
                <w:szCs w:val="21"/>
              </w:rPr>
              <w:t>8、温度均一</w:t>
            </w:r>
            <w:r>
              <w:rPr>
                <w:rFonts w:hint="eastAsia" w:ascii="Times New Roman" w:hAnsi="Times New Roman"/>
                <w:bCs/>
                <w:color w:val="000000"/>
                <w:szCs w:val="21"/>
                <w:highlight w:val="none"/>
              </w:rPr>
              <w:t>性：</w:t>
            </w:r>
            <w:r>
              <w:rPr>
                <w:rFonts w:hint="eastAsia" w:ascii="Times New Roman" w:hAnsi="Times New Roman"/>
                <w:bCs/>
                <w:color w:val="000000"/>
                <w:szCs w:val="21"/>
                <w:highlight w:val="none"/>
                <w:lang w:val="en-US" w:eastAsia="zh-CN"/>
              </w:rPr>
              <w:t>±</w:t>
            </w:r>
            <w:r>
              <w:rPr>
                <w:rFonts w:hint="eastAsia" w:ascii="Times New Roman" w:hAnsi="Times New Roman"/>
                <w:bCs/>
                <w:color w:val="000000"/>
                <w:szCs w:val="21"/>
                <w:highlight w:val="none"/>
              </w:rPr>
              <w:t>0.4°C</w:t>
            </w:r>
          </w:p>
          <w:p w14:paraId="2D40D1AC">
            <w:pPr>
              <w:jc w:val="left"/>
              <w:rPr>
                <w:rFonts w:hint="eastAsia" w:ascii="Times New Roman" w:hAnsi="Times New Roman"/>
                <w:bCs/>
                <w:color w:val="000000"/>
                <w:szCs w:val="21"/>
              </w:rPr>
            </w:pPr>
            <w:r>
              <w:rPr>
                <w:rFonts w:hint="eastAsia" w:ascii="Times New Roman" w:hAnsi="Times New Roman"/>
                <w:bCs/>
                <w:color w:val="000000"/>
                <w:szCs w:val="21"/>
                <w:highlight w:val="none"/>
              </w:rPr>
              <w:t>9、温控模块最高升</w:t>
            </w:r>
            <w:r>
              <w:rPr>
                <w:rFonts w:hint="eastAsia" w:ascii="Times New Roman" w:hAnsi="Times New Roman"/>
                <w:bCs/>
                <w:color w:val="000000"/>
                <w:szCs w:val="21"/>
              </w:rPr>
              <w:t xml:space="preserve">降温速率：6.5°C/秒 </w:t>
            </w:r>
          </w:p>
          <w:p w14:paraId="5EB6A33F">
            <w:pPr>
              <w:jc w:val="left"/>
              <w:rPr>
                <w:rFonts w:hint="eastAsia" w:ascii="Times New Roman" w:hAnsi="Times New Roman"/>
                <w:bCs/>
                <w:color w:val="000000"/>
                <w:szCs w:val="21"/>
              </w:rPr>
            </w:pPr>
            <w:r>
              <w:rPr>
                <w:rFonts w:hint="eastAsia" w:ascii="Times New Roman" w:hAnsi="Times New Roman"/>
                <w:bCs/>
                <w:color w:val="000000"/>
                <w:szCs w:val="21"/>
              </w:rPr>
              <w:t>10、高分辨熔解曲线分辨率：小至 0.015°C</w:t>
            </w:r>
          </w:p>
          <w:p w14:paraId="585746DF">
            <w:pPr>
              <w:jc w:val="left"/>
              <w:rPr>
                <w:rFonts w:hint="eastAsia" w:ascii="Times New Roman" w:hAnsi="Times New Roman"/>
                <w:bCs/>
                <w:color w:val="000000"/>
                <w:szCs w:val="21"/>
              </w:rPr>
            </w:pPr>
            <w:r>
              <w:rPr>
                <w:rFonts w:hint="eastAsia" w:ascii="Times New Roman" w:hAnsi="Times New Roman"/>
                <w:bCs/>
                <w:color w:val="000000"/>
                <w:szCs w:val="21"/>
              </w:rPr>
              <w:t xml:space="preserve">11、安装时已校准染料：FAM™, SYBR® Green I, VIC®, NED, ABY, JUN, Mustang Purple, TAMRA, Cy5, and ROX™ dyes </w:t>
            </w:r>
          </w:p>
          <w:p w14:paraId="7F9E0A53">
            <w:pPr>
              <w:jc w:val="left"/>
              <w:rPr>
                <w:rFonts w:hint="eastAsia" w:ascii="Times New Roman" w:hAnsi="Times New Roman"/>
                <w:bCs/>
                <w:color w:val="000000"/>
                <w:szCs w:val="21"/>
              </w:rPr>
            </w:pPr>
            <w:r>
              <w:rPr>
                <w:rFonts w:hint="eastAsia" w:ascii="Times New Roman" w:hAnsi="Times New Roman"/>
                <w:bCs/>
                <w:color w:val="000000"/>
                <w:szCs w:val="21"/>
              </w:rPr>
              <w:t>12、荧光染料：能同时检测并区分VIC荧光和TAMRA荧光，以用于TaqMan基因拷贝数(CNV)检测</w:t>
            </w:r>
          </w:p>
          <w:p w14:paraId="34D3D1EA">
            <w:pPr>
              <w:jc w:val="left"/>
              <w:rPr>
                <w:rFonts w:hint="eastAsia" w:ascii="Times New Roman" w:hAnsi="Times New Roman"/>
                <w:bCs/>
                <w:color w:val="0000FF"/>
                <w:szCs w:val="21"/>
              </w:rPr>
            </w:pPr>
            <w:r>
              <w:rPr>
                <w:rFonts w:hint="eastAsia" w:ascii="Times New Roman" w:hAnsi="Times New Roman"/>
                <w:bCs/>
                <w:color w:val="0000FF"/>
                <w:szCs w:val="21"/>
              </w:rPr>
              <w:t>★13、配备校正系统误差的方案：利用参比荧光染料进行内参比荧光校正，无需每孔采用独立的光纤检测即可校正光程差，同时校正加样误差和管间透光性差异，并可以监控反应体系是否蒸发进行故障排除</w:t>
            </w:r>
            <w:r>
              <w:rPr>
                <w:rFonts w:hint="eastAsia" w:ascii="Times New Roman" w:hAnsi="Times New Roman"/>
                <w:b/>
                <w:bCs w:val="0"/>
                <w:color w:val="0000FF"/>
                <w:szCs w:val="21"/>
              </w:rPr>
              <w:t>（投标文件中提供产品彩页或公开发行的技术白皮书或第三方检测机构出具的检测报告扫描件或官网功能截图作为证明文件）</w:t>
            </w:r>
          </w:p>
          <w:p w14:paraId="5867CD3F">
            <w:pPr>
              <w:jc w:val="left"/>
              <w:rPr>
                <w:rFonts w:hint="eastAsia" w:ascii="Times New Roman" w:hAnsi="Times New Roman"/>
                <w:bCs/>
                <w:color w:val="000000"/>
                <w:szCs w:val="21"/>
              </w:rPr>
            </w:pPr>
            <w:r>
              <w:rPr>
                <w:rFonts w:hint="eastAsia" w:ascii="Times New Roman" w:hAnsi="Times New Roman"/>
                <w:bCs/>
                <w:color w:val="000000"/>
                <w:szCs w:val="21"/>
              </w:rPr>
              <w:t>14、内置互动触摸屏</w:t>
            </w:r>
          </w:p>
          <w:p w14:paraId="42A1DFC4">
            <w:pPr>
              <w:jc w:val="left"/>
              <w:rPr>
                <w:rFonts w:hint="eastAsia" w:ascii="Times New Roman" w:hAnsi="Times New Roman"/>
                <w:bCs/>
                <w:color w:val="000000"/>
                <w:szCs w:val="21"/>
              </w:rPr>
            </w:pPr>
            <w:r>
              <w:rPr>
                <w:rFonts w:hint="eastAsia" w:ascii="Times New Roman" w:hAnsi="Times New Roman"/>
                <w:bCs/>
                <w:color w:val="000000"/>
                <w:szCs w:val="21"/>
              </w:rPr>
              <w:t>15、单机运行模式：可连接或不连接电脑，直接定义运行程序，并储存数据结果。</w:t>
            </w:r>
          </w:p>
          <w:p w14:paraId="299527FE">
            <w:pPr>
              <w:jc w:val="left"/>
              <w:rPr>
                <w:rFonts w:hint="eastAsia" w:ascii="Times New Roman" w:hAnsi="Times New Roman"/>
                <w:bCs/>
                <w:color w:val="0000FF"/>
                <w:szCs w:val="21"/>
              </w:rPr>
            </w:pPr>
            <w:r>
              <w:rPr>
                <w:rFonts w:hint="eastAsia" w:ascii="Times New Roman" w:hAnsi="Times New Roman"/>
                <w:bCs/>
                <w:color w:val="0000FF"/>
                <w:szCs w:val="21"/>
              </w:rPr>
              <w:t xml:space="preserve">★16、精密度（分辨率）：最低可分辨1.5倍拷贝数差异，置信度99.7% </w:t>
            </w:r>
            <w:r>
              <w:rPr>
                <w:rFonts w:hint="eastAsia" w:ascii="Times New Roman" w:hAnsi="Times New Roman"/>
                <w:b/>
                <w:bCs w:val="0"/>
                <w:color w:val="0000FF"/>
                <w:szCs w:val="21"/>
              </w:rPr>
              <w:t>（投标文件中提供产品彩页或公开发行的技术白皮书或第三方检测机构出具的检测报告扫描件或官网功能截图作为证明文件）</w:t>
            </w:r>
          </w:p>
          <w:p w14:paraId="1C9EC046">
            <w:pPr>
              <w:jc w:val="left"/>
              <w:rPr>
                <w:rFonts w:hint="eastAsia" w:ascii="Times New Roman" w:hAnsi="Times New Roman"/>
                <w:bCs/>
                <w:color w:val="000000"/>
                <w:szCs w:val="21"/>
                <w:highlight w:val="none"/>
              </w:rPr>
            </w:pPr>
            <w:r>
              <w:rPr>
                <w:rFonts w:hint="eastAsia" w:ascii="Times New Roman" w:hAnsi="Times New Roman"/>
                <w:bCs/>
                <w:color w:val="000000"/>
                <w:szCs w:val="21"/>
              </w:rPr>
              <w:t>17、支持云端服务器，可以用网络打开浏览器，使用云端服务器查看，分析，共享数据</w:t>
            </w:r>
          </w:p>
          <w:p w14:paraId="68D632E2">
            <w:pPr>
              <w:jc w:val="left"/>
              <w:rPr>
                <w:rFonts w:hint="eastAsia" w:ascii="Times New Roman" w:hAnsi="Times New Roman"/>
                <w:bCs/>
                <w:color w:val="000000"/>
                <w:szCs w:val="21"/>
                <w:highlight w:val="none"/>
              </w:rPr>
            </w:pPr>
            <w:r>
              <w:rPr>
                <w:rFonts w:hint="eastAsia" w:ascii="Times New Roman" w:hAnsi="Times New Roman"/>
                <w:bCs/>
                <w:color w:val="000000"/>
                <w:szCs w:val="21"/>
                <w:highlight w:val="none"/>
              </w:rPr>
              <w:t>18、云端服务器支持</w:t>
            </w:r>
            <w:r>
              <w:rPr>
                <w:rFonts w:hint="eastAsia" w:ascii="Times New Roman" w:hAnsi="Times New Roman"/>
                <w:bCs/>
                <w:color w:val="000000"/>
                <w:szCs w:val="21"/>
                <w:highlight w:val="none"/>
                <w:lang w:val="en-US" w:eastAsia="zh-CN"/>
              </w:rPr>
              <w:t>≥</w:t>
            </w:r>
            <w:r>
              <w:rPr>
                <w:rFonts w:hint="eastAsia" w:ascii="Times New Roman" w:hAnsi="Times New Roman"/>
                <w:bCs/>
                <w:color w:val="000000"/>
                <w:szCs w:val="21"/>
                <w:highlight w:val="none"/>
              </w:rPr>
              <w:t>10GB的免费存储空间</w:t>
            </w:r>
          </w:p>
          <w:p w14:paraId="107E53D8">
            <w:pPr>
              <w:jc w:val="left"/>
              <w:rPr>
                <w:rFonts w:hint="eastAsia" w:ascii="Times New Roman" w:hAnsi="Times New Roman"/>
                <w:bCs/>
                <w:color w:val="000000"/>
                <w:szCs w:val="21"/>
              </w:rPr>
            </w:pPr>
            <w:r>
              <w:rPr>
                <w:rFonts w:hint="eastAsia" w:ascii="Times New Roman" w:hAnsi="Times New Roman"/>
                <w:bCs/>
                <w:color w:val="000000"/>
                <w:szCs w:val="21"/>
              </w:rPr>
              <w:t>19、设置向导/高级设置/快速启动</w:t>
            </w:r>
          </w:p>
          <w:p w14:paraId="4FF7E731">
            <w:pPr>
              <w:jc w:val="left"/>
              <w:rPr>
                <w:rFonts w:hint="eastAsia" w:ascii="Times New Roman" w:hAnsi="Times New Roman"/>
                <w:bCs/>
                <w:color w:val="000000"/>
                <w:szCs w:val="21"/>
              </w:rPr>
            </w:pPr>
            <w:r>
              <w:rPr>
                <w:rFonts w:hint="eastAsia" w:ascii="Times New Roman" w:hAnsi="Times New Roman"/>
                <w:bCs/>
                <w:color w:val="0000FF"/>
                <w:szCs w:val="21"/>
              </w:rPr>
              <w:t>★20、软件支持应用：相对定量、绝对定量、CNV、SNP分型、HRM分析、蛋白稳定性分析等，</w:t>
            </w:r>
            <w:r>
              <w:rPr>
                <w:rFonts w:hint="eastAsia" w:ascii="Times New Roman" w:hAnsi="Times New Roman"/>
                <w:bCs/>
                <w:color w:val="0000FF"/>
                <w:szCs w:val="21"/>
                <w:lang w:val="en-US" w:eastAsia="zh-CN"/>
              </w:rPr>
              <w:t>需要</w:t>
            </w:r>
            <w:r>
              <w:rPr>
                <w:rFonts w:hint="eastAsia" w:ascii="Times New Roman" w:hAnsi="Times New Roman"/>
                <w:bCs/>
                <w:color w:val="0000FF"/>
                <w:szCs w:val="21"/>
              </w:rPr>
              <w:t>内置基因表达 (RQ) 相对定量分析功能，可同时分析100块板的实验数据，并用热点图和散点图提供数据质量的快速检查</w:t>
            </w:r>
            <w:r>
              <w:rPr>
                <w:rFonts w:hint="eastAsia" w:ascii="Times New Roman" w:hAnsi="Times New Roman"/>
                <w:b/>
                <w:bCs w:val="0"/>
                <w:color w:val="0000FF"/>
                <w:szCs w:val="21"/>
              </w:rPr>
              <w:t>（投标文件中提供产品彩页或公开发行的技术白皮书或第三方检测机构出具的检测报告扫描件或官网功能截图作为证明文件）</w:t>
            </w:r>
          </w:p>
        </w:tc>
        <w:tc>
          <w:tcPr>
            <w:tcW w:w="480" w:type="dxa"/>
            <w:shd w:val="clear" w:color="auto" w:fill="auto"/>
            <w:noWrap/>
            <w:vAlign w:val="center"/>
          </w:tcPr>
          <w:p w14:paraId="0D49A557">
            <w:pPr>
              <w:jc w:val="center"/>
              <w:rPr>
                <w:rFonts w:hint="default" w:ascii="Times New Roman" w:hAnsi="Times New Roman"/>
                <w:bCs/>
                <w:color w:val="000000"/>
                <w:szCs w:val="21"/>
                <w:lang w:val="en-US" w:eastAsia="zh-CN"/>
              </w:rPr>
            </w:pPr>
            <w:r>
              <w:rPr>
                <w:rFonts w:hint="eastAsia" w:ascii="Times New Roman" w:hAnsi="Times New Roman"/>
                <w:bCs/>
                <w:color w:val="000000"/>
                <w:szCs w:val="21"/>
                <w:lang w:val="en-US" w:eastAsia="zh-CN"/>
              </w:rPr>
              <w:t>1</w:t>
            </w:r>
          </w:p>
        </w:tc>
        <w:tc>
          <w:tcPr>
            <w:tcW w:w="455" w:type="dxa"/>
            <w:shd w:val="clear" w:color="auto" w:fill="auto"/>
            <w:noWrap/>
            <w:vAlign w:val="center"/>
          </w:tcPr>
          <w:p w14:paraId="6023C7E1">
            <w:pPr>
              <w:jc w:val="center"/>
              <w:rPr>
                <w:rFonts w:hint="default" w:ascii="Times New Roman" w:hAnsi="Times New Roman"/>
                <w:color w:val="000000"/>
                <w:szCs w:val="21"/>
                <w:lang w:val="en-US" w:eastAsia="zh-CN"/>
              </w:rPr>
            </w:pPr>
            <w:r>
              <w:rPr>
                <w:rFonts w:hint="eastAsia" w:ascii="Times New Roman" w:hAnsi="Times New Roman"/>
                <w:color w:val="000000"/>
                <w:szCs w:val="21"/>
                <w:lang w:val="en-US" w:eastAsia="zh-CN"/>
              </w:rPr>
              <w:t>台</w:t>
            </w:r>
          </w:p>
        </w:tc>
        <w:tc>
          <w:tcPr>
            <w:tcW w:w="648" w:type="dxa"/>
            <w:shd w:val="clear" w:color="auto" w:fill="auto"/>
            <w:noWrap/>
            <w:vAlign w:val="center"/>
          </w:tcPr>
          <w:p w14:paraId="7EFF349C">
            <w:pPr>
              <w:widowControl/>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否</w:t>
            </w:r>
          </w:p>
        </w:tc>
        <w:tc>
          <w:tcPr>
            <w:tcW w:w="660" w:type="dxa"/>
            <w:shd w:val="clear" w:color="auto" w:fill="auto"/>
            <w:noWrap/>
            <w:vAlign w:val="center"/>
          </w:tcPr>
          <w:p w14:paraId="6E7D36AB">
            <w:pPr>
              <w:widowControl/>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否</w:t>
            </w:r>
          </w:p>
        </w:tc>
        <w:tc>
          <w:tcPr>
            <w:tcW w:w="652" w:type="dxa"/>
            <w:shd w:val="clear" w:color="auto" w:fill="auto"/>
            <w:noWrap/>
            <w:vAlign w:val="center"/>
          </w:tcPr>
          <w:p w14:paraId="2A956072">
            <w:pPr>
              <w:widowControl/>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否</w:t>
            </w:r>
          </w:p>
        </w:tc>
        <w:tc>
          <w:tcPr>
            <w:tcW w:w="922" w:type="dxa"/>
            <w:shd w:val="clear" w:color="auto" w:fill="auto"/>
            <w:noWrap/>
            <w:vAlign w:val="center"/>
          </w:tcPr>
          <w:p w14:paraId="548BA286">
            <w:pPr>
              <w:widowControl/>
              <w:jc w:val="center"/>
              <w:textAlignment w:val="center"/>
              <w:rPr>
                <w:rFonts w:ascii="Times New Roman" w:hAnsi="Times New Roman"/>
                <w:color w:val="000000"/>
                <w:szCs w:val="21"/>
              </w:rPr>
            </w:pPr>
            <w:r>
              <w:rPr>
                <w:rFonts w:ascii="Times New Roman" w:hAnsi="Times New Roman"/>
                <w:color w:val="000000"/>
                <w:szCs w:val="21"/>
              </w:rPr>
              <w:t>工业</w:t>
            </w:r>
          </w:p>
        </w:tc>
        <w:tc>
          <w:tcPr>
            <w:tcW w:w="708" w:type="dxa"/>
            <w:shd w:val="clear" w:color="auto" w:fill="auto"/>
            <w:noWrap/>
            <w:vAlign w:val="center"/>
          </w:tcPr>
          <w:p w14:paraId="7BADF13F">
            <w:pPr>
              <w:widowControl/>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货物</w:t>
            </w:r>
          </w:p>
        </w:tc>
        <w:tc>
          <w:tcPr>
            <w:tcW w:w="446" w:type="dxa"/>
            <w:shd w:val="clear" w:color="auto" w:fill="auto"/>
            <w:vAlign w:val="center"/>
          </w:tcPr>
          <w:p w14:paraId="1859B71B">
            <w:pPr>
              <w:widowControl/>
              <w:jc w:val="center"/>
              <w:textAlignment w:val="center"/>
              <w:rPr>
                <w:rFonts w:ascii="Times New Roman" w:hAnsi="Times New Roman"/>
                <w:color w:val="000000"/>
                <w:szCs w:val="21"/>
              </w:rPr>
            </w:pPr>
          </w:p>
        </w:tc>
      </w:tr>
      <w:tr w14:paraId="4D34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82" w:type="dxa"/>
            <w:shd w:val="clear" w:color="auto" w:fill="auto"/>
            <w:vAlign w:val="center"/>
          </w:tcPr>
          <w:p w14:paraId="50041A35">
            <w:pPr>
              <w:widowControl/>
              <w:jc w:val="center"/>
              <w:textAlignment w:val="center"/>
              <w:rPr>
                <w:rFonts w:hint="default" w:ascii="Times New Roman" w:hAnsi="Times New Roman"/>
                <w:bCs/>
                <w:color w:val="000000"/>
                <w:szCs w:val="21"/>
                <w:lang w:val="en-US" w:eastAsia="zh-CN"/>
              </w:rPr>
            </w:pPr>
            <w:r>
              <w:rPr>
                <w:rFonts w:hint="eastAsia" w:ascii="Times New Roman" w:hAnsi="Times New Roman"/>
                <w:bCs/>
                <w:color w:val="000000"/>
                <w:szCs w:val="21"/>
                <w:lang w:val="en-US" w:eastAsia="zh-CN"/>
              </w:rPr>
              <w:t>2</w:t>
            </w:r>
          </w:p>
        </w:tc>
        <w:tc>
          <w:tcPr>
            <w:tcW w:w="876" w:type="dxa"/>
            <w:shd w:val="clear" w:color="auto" w:fill="auto"/>
            <w:vAlign w:val="center"/>
          </w:tcPr>
          <w:p w14:paraId="1B12F1F3">
            <w:pPr>
              <w:jc w:val="center"/>
              <w:rPr>
                <w:rFonts w:hint="eastAsia" w:ascii="Times New Roman" w:hAnsi="Times New Roman"/>
                <w:bCs/>
                <w:color w:val="000000"/>
                <w:szCs w:val="21"/>
              </w:rPr>
            </w:pPr>
            <w:r>
              <w:rPr>
                <w:rFonts w:hint="eastAsia" w:ascii="宋体" w:hAnsi="宋体" w:eastAsia="宋体" w:cs="宋体"/>
                <w:bCs/>
                <w:color w:val="000000"/>
                <w:szCs w:val="21"/>
              </w:rPr>
              <w:t>▲</w:t>
            </w:r>
            <w:r>
              <w:rPr>
                <w:rFonts w:ascii="Times New Roman" w:hAnsi="Times New Roman"/>
                <w:bCs/>
                <w:color w:val="000000"/>
                <w:szCs w:val="21"/>
              </w:rPr>
              <w:t>纳米粒度及Zeta电位分析仪</w:t>
            </w:r>
            <w:r>
              <w:rPr>
                <w:rFonts w:hint="eastAsia" w:ascii="Times New Roman" w:hAnsi="Times New Roman"/>
                <w:szCs w:val="21"/>
                <w:lang w:eastAsia="zh-CN"/>
              </w:rPr>
              <w:t>（</w:t>
            </w:r>
            <w:r>
              <w:rPr>
                <w:rFonts w:hint="eastAsia" w:ascii="Times New Roman" w:hAnsi="Times New Roman"/>
                <w:szCs w:val="21"/>
                <w:lang w:val="en-US" w:eastAsia="zh-CN"/>
              </w:rPr>
              <w:t>进口</w:t>
            </w:r>
            <w:r>
              <w:rPr>
                <w:rFonts w:hint="eastAsia" w:ascii="Times New Roman" w:hAnsi="Times New Roman"/>
                <w:szCs w:val="21"/>
                <w:lang w:eastAsia="zh-CN"/>
              </w:rPr>
              <w:t>）</w:t>
            </w:r>
          </w:p>
        </w:tc>
        <w:tc>
          <w:tcPr>
            <w:tcW w:w="3876" w:type="dxa"/>
            <w:shd w:val="clear" w:color="auto" w:fill="auto"/>
            <w:noWrap/>
            <w:vAlign w:val="center"/>
          </w:tcPr>
          <w:p w14:paraId="5C7C3B52">
            <w:pPr>
              <w:jc w:val="left"/>
              <w:rPr>
                <w:rFonts w:hint="eastAsia" w:ascii="Times New Roman" w:hAnsi="Times New Roman"/>
                <w:bCs/>
                <w:color w:val="000000"/>
                <w:szCs w:val="21"/>
              </w:rPr>
            </w:pPr>
            <w:r>
              <w:rPr>
                <w:rFonts w:hint="eastAsia" w:ascii="Times New Roman" w:hAnsi="Times New Roman"/>
                <w:bCs/>
                <w:color w:val="000000"/>
                <w:szCs w:val="21"/>
              </w:rPr>
              <w:t>1、粒径及Zeta电位测量原理：动态光散射法及激光多普勒电泳法</w:t>
            </w:r>
          </w:p>
          <w:p w14:paraId="24113AFF">
            <w:pPr>
              <w:jc w:val="left"/>
              <w:rPr>
                <w:rFonts w:hint="eastAsia" w:ascii="Times New Roman" w:hAnsi="Times New Roman"/>
                <w:bCs/>
                <w:color w:val="000000"/>
                <w:szCs w:val="21"/>
              </w:rPr>
            </w:pPr>
            <w:r>
              <w:rPr>
                <w:rFonts w:hint="eastAsia" w:ascii="Times New Roman" w:hAnsi="Times New Roman"/>
                <w:bCs/>
                <w:color w:val="000000"/>
                <w:szCs w:val="21"/>
              </w:rPr>
              <w:t>2、粒径测量范围：0.3 nm-10μm</w:t>
            </w:r>
          </w:p>
          <w:p w14:paraId="5E1CF153">
            <w:pPr>
              <w:jc w:val="left"/>
              <w:rPr>
                <w:rFonts w:hint="eastAsia" w:ascii="Times New Roman" w:hAnsi="Times New Roman"/>
                <w:bCs/>
                <w:color w:val="000000"/>
                <w:szCs w:val="21"/>
              </w:rPr>
            </w:pPr>
            <w:r>
              <w:rPr>
                <w:rFonts w:hint="eastAsia" w:ascii="Times New Roman" w:hAnsi="Times New Roman"/>
                <w:bCs/>
                <w:color w:val="000000"/>
                <w:szCs w:val="21"/>
              </w:rPr>
              <w:t>3、测量准确度：±2%（NIST标准）</w:t>
            </w:r>
          </w:p>
          <w:p w14:paraId="3765C2E7">
            <w:pPr>
              <w:jc w:val="left"/>
              <w:rPr>
                <w:rFonts w:hint="eastAsia" w:ascii="Times New Roman" w:hAnsi="Times New Roman"/>
                <w:bCs/>
                <w:color w:val="000000"/>
                <w:szCs w:val="21"/>
              </w:rPr>
            </w:pPr>
            <w:r>
              <w:rPr>
                <w:rFonts w:hint="eastAsia" w:ascii="Times New Roman" w:hAnsi="Times New Roman"/>
                <w:bCs/>
                <w:color w:val="000000"/>
                <w:szCs w:val="21"/>
              </w:rPr>
              <w:t>4、Zeta电位测量范围：-500 mV～500 mV</w:t>
            </w:r>
          </w:p>
          <w:p w14:paraId="57B679DE">
            <w:pPr>
              <w:jc w:val="left"/>
              <w:rPr>
                <w:rFonts w:hint="eastAsia" w:ascii="Times New Roman" w:hAnsi="Times New Roman"/>
                <w:bCs/>
                <w:color w:val="000000"/>
                <w:szCs w:val="21"/>
              </w:rPr>
            </w:pPr>
            <w:r>
              <w:rPr>
                <w:rFonts w:hint="eastAsia" w:ascii="Times New Roman" w:hAnsi="Times New Roman"/>
                <w:bCs/>
                <w:color w:val="000000"/>
                <w:szCs w:val="21"/>
              </w:rPr>
              <w:t>5、电导率范围：0-20S/m</w:t>
            </w:r>
          </w:p>
          <w:p w14:paraId="4B6CEF29">
            <w:pPr>
              <w:jc w:val="left"/>
              <w:rPr>
                <w:rFonts w:hint="eastAsia" w:ascii="Times New Roman" w:hAnsi="Times New Roman"/>
                <w:bCs/>
                <w:color w:val="000000"/>
                <w:szCs w:val="21"/>
              </w:rPr>
            </w:pPr>
            <w:r>
              <w:rPr>
                <w:rFonts w:hint="eastAsia" w:ascii="Times New Roman" w:hAnsi="Times New Roman"/>
                <w:bCs/>
                <w:color w:val="000000"/>
                <w:szCs w:val="21"/>
              </w:rPr>
              <w:t>6、Zeta电位测试适用的颗粒尺寸范围：2.0 nm-100µm</w:t>
            </w:r>
          </w:p>
          <w:p w14:paraId="7D2CA787">
            <w:pPr>
              <w:jc w:val="left"/>
              <w:rPr>
                <w:rFonts w:hint="eastAsia" w:ascii="Times New Roman" w:hAnsi="Times New Roman"/>
                <w:bCs/>
                <w:color w:val="000000"/>
                <w:szCs w:val="21"/>
              </w:rPr>
            </w:pPr>
            <w:r>
              <w:rPr>
                <w:rFonts w:hint="eastAsia" w:ascii="Times New Roman" w:hAnsi="Times New Roman"/>
                <w:bCs/>
                <w:color w:val="000000"/>
                <w:szCs w:val="21"/>
              </w:rPr>
              <w:t>7、粒径及Zeta电位测试最大样品浓度：40wt%</w:t>
            </w:r>
          </w:p>
          <w:p w14:paraId="29753C2D">
            <w:pPr>
              <w:jc w:val="left"/>
              <w:rPr>
                <w:rFonts w:hint="eastAsia" w:ascii="Times New Roman" w:hAnsi="Times New Roman"/>
                <w:bCs/>
                <w:color w:val="0000FF"/>
                <w:szCs w:val="21"/>
              </w:rPr>
            </w:pPr>
            <w:r>
              <w:rPr>
                <w:rFonts w:hint="eastAsia" w:ascii="Times New Roman" w:hAnsi="Times New Roman"/>
                <w:bCs/>
                <w:color w:val="0000FF"/>
                <w:szCs w:val="21"/>
              </w:rPr>
              <w:t>★8、光源类型：固体激光器，非气体激光器</w:t>
            </w:r>
            <w:r>
              <w:rPr>
                <w:rFonts w:hint="eastAsia" w:ascii="Times New Roman" w:hAnsi="Times New Roman"/>
                <w:b/>
                <w:bCs w:val="0"/>
                <w:color w:val="0000FF"/>
                <w:szCs w:val="21"/>
              </w:rPr>
              <w:t>（投标文件中提供产品彩页或公开发行的技术白皮书或第三方检测机构出具的检测报告扫描件或官网功能截图作为证明文件）</w:t>
            </w:r>
          </w:p>
          <w:p w14:paraId="0ADF8045">
            <w:pPr>
              <w:jc w:val="left"/>
              <w:rPr>
                <w:rFonts w:hint="eastAsia" w:ascii="Times New Roman" w:hAnsi="Times New Roman"/>
                <w:bCs/>
                <w:color w:val="0000FF"/>
                <w:szCs w:val="21"/>
              </w:rPr>
            </w:pPr>
            <w:r>
              <w:rPr>
                <w:rFonts w:hint="eastAsia" w:ascii="Times New Roman" w:hAnsi="Times New Roman"/>
                <w:bCs/>
                <w:color w:val="0000FF"/>
                <w:szCs w:val="21"/>
              </w:rPr>
              <w:t>★9、光源波长：≤532 nm</w:t>
            </w:r>
            <w:r>
              <w:rPr>
                <w:rFonts w:hint="eastAsia" w:ascii="Times New Roman" w:hAnsi="Times New Roman"/>
                <w:b/>
                <w:bCs w:val="0"/>
                <w:color w:val="0000FF"/>
                <w:szCs w:val="21"/>
              </w:rPr>
              <w:t>（投标文件中提供产品彩页或公开发行的技术白皮书或第三方检测机构出具的检测报告扫描件或官网功能截图作为证明文件）</w:t>
            </w:r>
          </w:p>
          <w:p w14:paraId="2FE9E739">
            <w:pPr>
              <w:jc w:val="left"/>
              <w:rPr>
                <w:rFonts w:hint="eastAsia" w:ascii="Times New Roman" w:hAnsi="Times New Roman"/>
                <w:bCs/>
                <w:color w:val="0000FF"/>
                <w:szCs w:val="21"/>
              </w:rPr>
            </w:pPr>
            <w:r>
              <w:rPr>
                <w:rFonts w:hint="eastAsia" w:ascii="Times New Roman" w:hAnsi="Times New Roman"/>
                <w:bCs/>
                <w:color w:val="0000FF"/>
                <w:szCs w:val="21"/>
              </w:rPr>
              <w:t>★10、光源功率：≥10mW</w:t>
            </w:r>
            <w:r>
              <w:rPr>
                <w:rFonts w:hint="eastAsia" w:ascii="Times New Roman" w:hAnsi="Times New Roman"/>
                <w:b/>
                <w:bCs w:val="0"/>
                <w:color w:val="0000FF"/>
                <w:szCs w:val="21"/>
              </w:rPr>
              <w:t>（投标文件中提供产品彩页或公开发行的技术白皮书或第三方检测机构出具的检测报告扫描件或官网功能截图作为证明文件）</w:t>
            </w:r>
          </w:p>
          <w:p w14:paraId="1D952762">
            <w:pPr>
              <w:jc w:val="left"/>
              <w:rPr>
                <w:rFonts w:hint="eastAsia" w:ascii="Times New Roman" w:hAnsi="Times New Roman"/>
                <w:bCs/>
                <w:color w:val="0000FF"/>
                <w:szCs w:val="21"/>
              </w:rPr>
            </w:pPr>
            <w:r>
              <w:rPr>
                <w:rFonts w:hint="eastAsia" w:ascii="Times New Roman" w:hAnsi="Times New Roman"/>
                <w:bCs/>
                <w:color w:val="0000FF"/>
                <w:szCs w:val="21"/>
              </w:rPr>
              <w:t>★11、检测器：光电倍增管（PMT）</w:t>
            </w:r>
            <w:r>
              <w:rPr>
                <w:rFonts w:hint="eastAsia" w:ascii="Times New Roman" w:hAnsi="Times New Roman"/>
                <w:b/>
                <w:bCs w:val="0"/>
                <w:color w:val="0000FF"/>
                <w:szCs w:val="21"/>
              </w:rPr>
              <w:t>（投标文件中提供产品彩页或公开发行的技术白皮书或第三方检测机构出具的检测报告扫描件或官网功能截图作为证明文件）</w:t>
            </w:r>
          </w:p>
          <w:p w14:paraId="5EA9C58F">
            <w:pPr>
              <w:jc w:val="left"/>
              <w:rPr>
                <w:rFonts w:hint="eastAsia" w:ascii="Times New Roman" w:hAnsi="Times New Roman"/>
                <w:bCs/>
                <w:color w:val="0000FF"/>
                <w:szCs w:val="21"/>
              </w:rPr>
            </w:pPr>
            <w:r>
              <w:rPr>
                <w:rFonts w:hint="eastAsia" w:ascii="Times New Roman" w:hAnsi="Times New Roman"/>
                <w:bCs/>
                <w:color w:val="0000FF"/>
                <w:szCs w:val="21"/>
              </w:rPr>
              <w:t>★12、仪器检测器个数：≥3个</w:t>
            </w:r>
            <w:r>
              <w:rPr>
                <w:rFonts w:hint="eastAsia" w:ascii="Times New Roman" w:hAnsi="Times New Roman"/>
                <w:b/>
                <w:bCs w:val="0"/>
                <w:color w:val="0000FF"/>
                <w:szCs w:val="21"/>
              </w:rPr>
              <w:t>（投标文件中提供产品彩页或公开发行的技术白皮书或第三方检测机构出具的检测报告扫描件或官网功能截图作为证明文件）</w:t>
            </w:r>
          </w:p>
          <w:p w14:paraId="2B9EA7BE">
            <w:pPr>
              <w:jc w:val="left"/>
              <w:rPr>
                <w:rFonts w:hint="eastAsia" w:ascii="Times New Roman" w:hAnsi="Times New Roman"/>
                <w:bCs/>
                <w:color w:val="000000"/>
                <w:szCs w:val="21"/>
              </w:rPr>
            </w:pPr>
            <w:r>
              <w:rPr>
                <w:rFonts w:hint="eastAsia" w:ascii="Times New Roman" w:hAnsi="Times New Roman"/>
                <w:bCs/>
                <w:color w:val="000000"/>
                <w:szCs w:val="21"/>
              </w:rPr>
              <w:t>13、仪器三个检测器角度范围：17°，90°和173°；仪器须配置透射光检测器以检测样品浓度并自动选择检测器角度</w:t>
            </w:r>
          </w:p>
          <w:p w14:paraId="2EE2D549">
            <w:pPr>
              <w:jc w:val="left"/>
              <w:rPr>
                <w:rFonts w:hint="eastAsia" w:ascii="Times New Roman" w:hAnsi="Times New Roman"/>
                <w:bCs/>
                <w:color w:val="000000"/>
                <w:szCs w:val="21"/>
              </w:rPr>
            </w:pPr>
            <w:r>
              <w:rPr>
                <w:rFonts w:hint="eastAsia" w:ascii="Times New Roman" w:hAnsi="Times New Roman"/>
                <w:bCs/>
                <w:color w:val="000000"/>
                <w:szCs w:val="21"/>
              </w:rPr>
              <w:t>14、仪器控温范围：0-90 ℃，控温精度0.1 ℃</w:t>
            </w:r>
          </w:p>
          <w:p w14:paraId="060D1851">
            <w:pPr>
              <w:jc w:val="left"/>
              <w:rPr>
                <w:rFonts w:hint="eastAsia" w:ascii="Times New Roman" w:hAnsi="Times New Roman"/>
                <w:bCs/>
                <w:color w:val="0000FF"/>
                <w:szCs w:val="21"/>
              </w:rPr>
            </w:pPr>
            <w:r>
              <w:rPr>
                <w:rFonts w:hint="eastAsia" w:ascii="Times New Roman" w:hAnsi="Times New Roman"/>
                <w:bCs/>
                <w:color w:val="0000FF"/>
                <w:szCs w:val="21"/>
              </w:rPr>
              <w:t>★15、电位样品池：石墨电极样品池</w:t>
            </w:r>
            <w:r>
              <w:rPr>
                <w:rFonts w:hint="eastAsia" w:ascii="Times New Roman" w:hAnsi="Times New Roman"/>
                <w:b/>
                <w:bCs w:val="0"/>
                <w:color w:val="0000FF"/>
                <w:szCs w:val="21"/>
              </w:rPr>
              <w:t>（投标文件中提供产品彩页或公开发行的技术白皮书或第三方检测机构出具的检测报告扫描件或官网功能截图作为证明文件）</w:t>
            </w:r>
          </w:p>
          <w:p w14:paraId="1332D0D1">
            <w:pPr>
              <w:jc w:val="left"/>
              <w:rPr>
                <w:rFonts w:hint="eastAsia" w:ascii="Times New Roman" w:hAnsi="Times New Roman"/>
                <w:bCs/>
                <w:color w:val="000000"/>
                <w:szCs w:val="21"/>
              </w:rPr>
            </w:pPr>
            <w:r>
              <w:rPr>
                <w:rFonts w:hint="eastAsia" w:ascii="Times New Roman" w:hAnsi="Times New Roman"/>
                <w:bCs/>
                <w:color w:val="000000"/>
                <w:szCs w:val="21"/>
              </w:rPr>
              <w:t>16、软件功能：</w:t>
            </w:r>
          </w:p>
          <w:p w14:paraId="3BF74ABA">
            <w:pPr>
              <w:jc w:val="left"/>
              <w:rPr>
                <w:rFonts w:hint="eastAsia" w:ascii="Times New Roman" w:hAnsi="Times New Roman"/>
                <w:bCs/>
                <w:color w:val="000000"/>
                <w:szCs w:val="21"/>
              </w:rPr>
            </w:pPr>
            <w:r>
              <w:rPr>
                <w:rFonts w:hint="eastAsia" w:ascii="Times New Roman" w:hAnsi="Times New Roman"/>
                <w:bCs/>
                <w:color w:val="000000"/>
                <w:szCs w:val="21"/>
              </w:rPr>
              <w:t>16.1 实时显示自相关函数曲线，显示中径，比表面积，峰值粒径，平均粒径，标准偏差，变异系数，区间值，百分百-粒径值（可达10条），Z平均粒径，多分散系数，粒径-百分比值（可达10条），粒径分布图，自相关函数，残差/折射率，粘度，计算范围和数据再计算功能</w:t>
            </w:r>
          </w:p>
          <w:p w14:paraId="312031F4">
            <w:pPr>
              <w:jc w:val="left"/>
              <w:rPr>
                <w:rFonts w:hint="eastAsia" w:ascii="Times New Roman" w:hAnsi="Times New Roman"/>
                <w:bCs/>
                <w:color w:val="000000"/>
                <w:szCs w:val="21"/>
              </w:rPr>
            </w:pPr>
            <w:r>
              <w:rPr>
                <w:rFonts w:hint="eastAsia" w:ascii="Times New Roman" w:hAnsi="Times New Roman"/>
                <w:bCs/>
                <w:color w:val="000000"/>
                <w:szCs w:val="21"/>
              </w:rPr>
              <w:t>16.2  Zeta电位，标准偏差，电泳迁移率及每个峰位的zeta电位/显示zeta电位图形，迁移率图及数据重新计算</w:t>
            </w:r>
          </w:p>
          <w:p w14:paraId="5A8013C0">
            <w:pPr>
              <w:jc w:val="left"/>
              <w:rPr>
                <w:rFonts w:hint="eastAsia" w:ascii="Times New Roman" w:hAnsi="Times New Roman"/>
                <w:bCs/>
                <w:color w:val="000000"/>
                <w:szCs w:val="21"/>
              </w:rPr>
            </w:pPr>
            <w:r>
              <w:rPr>
                <w:rFonts w:hint="eastAsia" w:ascii="Times New Roman" w:hAnsi="Times New Roman"/>
                <w:bCs/>
                <w:color w:val="000000"/>
                <w:szCs w:val="21"/>
              </w:rPr>
              <w:t xml:space="preserve">17、软件终身免费升级 </w:t>
            </w:r>
          </w:p>
        </w:tc>
        <w:tc>
          <w:tcPr>
            <w:tcW w:w="480" w:type="dxa"/>
            <w:shd w:val="clear" w:color="auto" w:fill="auto"/>
            <w:noWrap/>
            <w:vAlign w:val="center"/>
          </w:tcPr>
          <w:p w14:paraId="3DD860CC">
            <w:pPr>
              <w:jc w:val="center"/>
              <w:rPr>
                <w:rFonts w:hint="eastAsia" w:ascii="Times New Roman" w:hAnsi="Times New Roman"/>
                <w:bCs/>
                <w:color w:val="000000"/>
                <w:szCs w:val="21"/>
                <w:lang w:val="en-US" w:eastAsia="zh-CN"/>
              </w:rPr>
            </w:pPr>
            <w:r>
              <w:rPr>
                <w:rFonts w:hint="eastAsia" w:ascii="Times New Roman" w:hAnsi="Times New Roman"/>
                <w:bCs/>
                <w:color w:val="000000"/>
                <w:szCs w:val="21"/>
                <w:lang w:val="en-US" w:eastAsia="zh-CN"/>
              </w:rPr>
              <w:t>1</w:t>
            </w:r>
          </w:p>
        </w:tc>
        <w:tc>
          <w:tcPr>
            <w:tcW w:w="455" w:type="dxa"/>
            <w:shd w:val="clear" w:color="auto" w:fill="auto"/>
            <w:noWrap/>
            <w:vAlign w:val="center"/>
          </w:tcPr>
          <w:p w14:paraId="2B86E404">
            <w:pPr>
              <w:jc w:val="center"/>
              <w:rPr>
                <w:rFonts w:hint="eastAsia" w:ascii="Times New Roman" w:hAnsi="Times New Roman"/>
                <w:color w:val="000000"/>
                <w:szCs w:val="21"/>
                <w:lang w:val="en-US" w:eastAsia="zh-CN"/>
              </w:rPr>
            </w:pPr>
            <w:r>
              <w:rPr>
                <w:rFonts w:hint="eastAsia" w:ascii="Times New Roman" w:hAnsi="Times New Roman"/>
                <w:color w:val="000000"/>
                <w:szCs w:val="21"/>
                <w:lang w:val="en-US" w:eastAsia="zh-CN"/>
              </w:rPr>
              <w:t>台</w:t>
            </w:r>
          </w:p>
        </w:tc>
        <w:tc>
          <w:tcPr>
            <w:tcW w:w="648" w:type="dxa"/>
            <w:shd w:val="clear" w:color="auto" w:fill="auto"/>
            <w:noWrap/>
            <w:vAlign w:val="center"/>
          </w:tcPr>
          <w:p w14:paraId="0196843F">
            <w:pPr>
              <w:widowControl/>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否</w:t>
            </w:r>
          </w:p>
        </w:tc>
        <w:tc>
          <w:tcPr>
            <w:tcW w:w="660" w:type="dxa"/>
            <w:shd w:val="clear" w:color="auto" w:fill="auto"/>
            <w:noWrap/>
            <w:vAlign w:val="center"/>
          </w:tcPr>
          <w:p w14:paraId="326E20A9">
            <w:pPr>
              <w:widowControl/>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否</w:t>
            </w:r>
          </w:p>
        </w:tc>
        <w:tc>
          <w:tcPr>
            <w:tcW w:w="652" w:type="dxa"/>
            <w:shd w:val="clear" w:color="auto" w:fill="auto"/>
            <w:noWrap/>
            <w:vAlign w:val="center"/>
          </w:tcPr>
          <w:p w14:paraId="2EC5EF28">
            <w:pPr>
              <w:widowControl/>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否</w:t>
            </w:r>
          </w:p>
        </w:tc>
        <w:tc>
          <w:tcPr>
            <w:tcW w:w="922" w:type="dxa"/>
            <w:shd w:val="clear" w:color="auto" w:fill="auto"/>
            <w:noWrap/>
            <w:vAlign w:val="center"/>
          </w:tcPr>
          <w:p w14:paraId="7B542FAD">
            <w:pPr>
              <w:widowControl/>
              <w:jc w:val="center"/>
              <w:textAlignment w:val="center"/>
              <w:rPr>
                <w:rFonts w:ascii="Times New Roman" w:hAnsi="Times New Roman"/>
                <w:color w:val="000000"/>
                <w:szCs w:val="21"/>
              </w:rPr>
            </w:pPr>
            <w:r>
              <w:rPr>
                <w:rFonts w:ascii="Times New Roman" w:hAnsi="Times New Roman"/>
                <w:color w:val="000000"/>
                <w:szCs w:val="21"/>
              </w:rPr>
              <w:t>工业</w:t>
            </w:r>
          </w:p>
        </w:tc>
        <w:tc>
          <w:tcPr>
            <w:tcW w:w="708" w:type="dxa"/>
            <w:shd w:val="clear" w:color="auto" w:fill="auto"/>
            <w:noWrap/>
            <w:vAlign w:val="center"/>
          </w:tcPr>
          <w:p w14:paraId="0FF65437">
            <w:pPr>
              <w:widowControl/>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货物</w:t>
            </w:r>
          </w:p>
        </w:tc>
        <w:tc>
          <w:tcPr>
            <w:tcW w:w="446" w:type="dxa"/>
            <w:shd w:val="clear" w:color="auto" w:fill="auto"/>
            <w:vAlign w:val="center"/>
          </w:tcPr>
          <w:p w14:paraId="7DB43D67">
            <w:pPr>
              <w:widowControl/>
              <w:jc w:val="center"/>
              <w:textAlignment w:val="center"/>
              <w:rPr>
                <w:rFonts w:ascii="Times New Roman" w:hAnsi="Times New Roman"/>
                <w:color w:val="000000"/>
                <w:szCs w:val="21"/>
              </w:rPr>
            </w:pPr>
          </w:p>
        </w:tc>
      </w:tr>
    </w:tbl>
    <w:p w14:paraId="22814E62">
      <w:pPr>
        <w:pStyle w:val="6"/>
        <w:jc w:val="center"/>
        <w:rPr>
          <w:rFonts w:ascii="宋体" w:hAnsi="宋体" w:cs="宋体"/>
          <w:sz w:val="28"/>
          <w:szCs w:val="28"/>
        </w:rPr>
      </w:pPr>
      <w:r>
        <w:rPr>
          <w:rFonts w:hint="eastAsia" w:ascii="宋体" w:hAnsi="宋体" w:cs="宋体"/>
          <w:sz w:val="28"/>
          <w:szCs w:val="28"/>
        </w:rPr>
        <w:t xml:space="preserve">  </w:t>
      </w:r>
    </w:p>
    <w:p w14:paraId="4F376EC0">
      <w:pPr>
        <w:pStyle w:val="6"/>
        <w:jc w:val="center"/>
        <w:rPr>
          <w:rFonts w:ascii="宋体" w:hAnsi="宋体" w:cs="宋体"/>
          <w:sz w:val="24"/>
          <w:szCs w:val="24"/>
        </w:rPr>
      </w:pPr>
    </w:p>
    <w:p w14:paraId="46C0543B">
      <w:pPr>
        <w:pStyle w:val="6"/>
        <w:jc w:val="center"/>
        <w:outlineLvl w:val="1"/>
        <w:rPr>
          <w:rFonts w:ascii="宋体" w:hAnsi="宋体" w:cs="宋体"/>
          <w:sz w:val="24"/>
          <w:szCs w:val="24"/>
        </w:rPr>
      </w:pPr>
      <w:r>
        <w:rPr>
          <w:rFonts w:hint="eastAsia" w:ascii="宋体" w:hAnsi="宋体" w:cs="宋体"/>
          <w:sz w:val="24"/>
          <w:szCs w:val="24"/>
        </w:rPr>
        <w:t>本项目核心产品一览表</w:t>
      </w:r>
    </w:p>
    <w:tbl>
      <w:tblPr>
        <w:tblStyle w:val="4"/>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527"/>
        <w:gridCol w:w="6106"/>
      </w:tblGrid>
      <w:tr w14:paraId="3A6BC82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27" w:type="dxa"/>
            <w:tcBorders>
              <w:top w:val="outset" w:color="auto" w:sz="6" w:space="0"/>
              <w:left w:val="outset" w:color="auto" w:sz="6" w:space="0"/>
              <w:bottom w:val="outset" w:color="auto" w:sz="6" w:space="0"/>
              <w:right w:val="outset" w:color="auto" w:sz="6" w:space="0"/>
            </w:tcBorders>
            <w:vAlign w:val="center"/>
          </w:tcPr>
          <w:p w14:paraId="4C384004">
            <w:pPr>
              <w:jc w:val="center"/>
              <w:rPr>
                <w:rFonts w:ascii="宋体" w:hAnsi="宋体" w:cs="宋体"/>
              </w:rPr>
            </w:pPr>
            <w:r>
              <w:rPr>
                <w:rFonts w:hint="eastAsia" w:ascii="宋体" w:hAnsi="宋体" w:cs="宋体"/>
              </w:rPr>
              <w:t>序号</w:t>
            </w:r>
          </w:p>
        </w:tc>
        <w:tc>
          <w:tcPr>
            <w:tcW w:w="6106" w:type="dxa"/>
            <w:tcBorders>
              <w:top w:val="outset" w:color="auto" w:sz="6" w:space="0"/>
              <w:left w:val="outset" w:color="auto" w:sz="6" w:space="0"/>
              <w:bottom w:val="outset" w:color="auto" w:sz="6" w:space="0"/>
              <w:right w:val="outset" w:color="auto" w:sz="6" w:space="0"/>
            </w:tcBorders>
            <w:vAlign w:val="center"/>
          </w:tcPr>
          <w:p w14:paraId="3E7A2CBC">
            <w:pPr>
              <w:jc w:val="center"/>
              <w:rPr>
                <w:rFonts w:ascii="宋体" w:hAnsi="宋体" w:cs="宋体"/>
              </w:rPr>
            </w:pPr>
            <w:r>
              <w:rPr>
                <w:rFonts w:hint="eastAsia" w:ascii="宋体" w:hAnsi="宋体" w:cs="宋体"/>
              </w:rPr>
              <w:t>核心产品名称</w:t>
            </w:r>
          </w:p>
        </w:tc>
      </w:tr>
      <w:tr w14:paraId="37EE7B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27" w:type="dxa"/>
            <w:tcBorders>
              <w:top w:val="outset" w:color="auto" w:sz="6" w:space="0"/>
              <w:left w:val="outset" w:color="auto" w:sz="6" w:space="0"/>
              <w:bottom w:val="outset" w:color="auto" w:sz="6" w:space="0"/>
              <w:right w:val="outset" w:color="auto" w:sz="6" w:space="0"/>
            </w:tcBorders>
            <w:vAlign w:val="center"/>
          </w:tcPr>
          <w:p w14:paraId="4268E7D4">
            <w:pPr>
              <w:widowControl/>
              <w:jc w:val="center"/>
              <w:textAlignment w:val="center"/>
              <w:rPr>
                <w:rFonts w:ascii="宋体" w:hAnsi="宋体" w:cs="宋体"/>
                <w:color w:val="FF0000"/>
                <w:kern w:val="0"/>
                <w:szCs w:val="21"/>
                <w:lang w:bidi="ar"/>
              </w:rPr>
            </w:pPr>
            <w:r>
              <w:rPr>
                <w:rFonts w:ascii="Times New Roman" w:hAnsi="Times New Roman"/>
                <w:bCs/>
                <w:color w:val="000000"/>
                <w:szCs w:val="21"/>
              </w:rPr>
              <w:t>1</w:t>
            </w:r>
          </w:p>
        </w:tc>
        <w:tc>
          <w:tcPr>
            <w:tcW w:w="6106" w:type="dxa"/>
            <w:tcBorders>
              <w:top w:val="outset" w:color="auto" w:sz="6" w:space="0"/>
              <w:left w:val="outset" w:color="auto" w:sz="6" w:space="0"/>
              <w:bottom w:val="outset" w:color="auto" w:sz="6" w:space="0"/>
              <w:right w:val="outset" w:color="auto" w:sz="6" w:space="0"/>
            </w:tcBorders>
            <w:vAlign w:val="center"/>
          </w:tcPr>
          <w:p w14:paraId="38A71318">
            <w:pPr>
              <w:jc w:val="center"/>
              <w:rPr>
                <w:rFonts w:hint="eastAsia" w:ascii="宋体" w:hAnsi="宋体" w:eastAsia="宋体" w:cs="宋体"/>
                <w:color w:val="FF0000"/>
                <w:szCs w:val="21"/>
                <w:lang w:eastAsia="zh-CN"/>
              </w:rPr>
            </w:pPr>
            <w:r>
              <w:rPr>
                <w:rFonts w:hint="eastAsia" w:ascii="Times New Roman" w:hAnsi="Times New Roman"/>
                <w:bCs/>
                <w:color w:val="000000"/>
                <w:szCs w:val="21"/>
              </w:rPr>
              <w:t>▲</w:t>
            </w:r>
            <w:r>
              <w:rPr>
                <w:rFonts w:ascii="Times New Roman" w:hAnsi="Times New Roman"/>
                <w:bCs/>
                <w:color w:val="000000"/>
                <w:szCs w:val="21"/>
              </w:rPr>
              <w:t>纳米粒度及Zeta电位分析仪</w:t>
            </w:r>
            <w:r>
              <w:rPr>
                <w:rFonts w:hint="eastAsia" w:ascii="Times New Roman" w:hAnsi="Times New Roman"/>
                <w:bCs/>
                <w:color w:val="000000"/>
                <w:szCs w:val="21"/>
                <w:lang w:eastAsia="zh-CN"/>
              </w:rPr>
              <w:t>（</w:t>
            </w:r>
            <w:r>
              <w:rPr>
                <w:rFonts w:hint="eastAsia" w:ascii="Times New Roman" w:hAnsi="Times New Roman"/>
                <w:bCs/>
                <w:color w:val="000000"/>
                <w:szCs w:val="21"/>
                <w:lang w:val="en-US" w:eastAsia="zh-CN"/>
              </w:rPr>
              <w:t>进口</w:t>
            </w:r>
            <w:r>
              <w:rPr>
                <w:rFonts w:hint="eastAsia" w:ascii="Times New Roman" w:hAnsi="Times New Roman"/>
                <w:bCs/>
                <w:color w:val="000000"/>
                <w:szCs w:val="21"/>
                <w:lang w:eastAsia="zh-CN"/>
              </w:rPr>
              <w:t>）</w:t>
            </w:r>
          </w:p>
        </w:tc>
      </w:tr>
    </w:tbl>
    <w:p w14:paraId="502766C6">
      <w:pPr>
        <w:pStyle w:val="6"/>
        <w:ind w:firstLine="470" w:firstLineChars="196"/>
        <w:jc w:val="center"/>
        <w:rPr>
          <w:rFonts w:ascii="宋体" w:hAnsi="宋体" w:cs="宋体"/>
          <w:sz w:val="24"/>
          <w:szCs w:val="24"/>
        </w:rPr>
      </w:pPr>
    </w:p>
    <w:p w14:paraId="108B6ABA">
      <w:pPr>
        <w:pStyle w:val="6"/>
        <w:ind w:firstLine="470" w:firstLineChars="196"/>
        <w:rPr>
          <w:rFonts w:ascii="宋体" w:hAnsi="宋体" w:cs="宋体"/>
          <w:sz w:val="24"/>
          <w:szCs w:val="24"/>
        </w:rPr>
      </w:pPr>
      <w:r>
        <w:rPr>
          <w:rFonts w:hint="eastAsia" w:ascii="宋体" w:hAnsi="宋体" w:cs="宋体"/>
          <w:sz w:val="24"/>
          <w:szCs w:val="24"/>
        </w:rPr>
        <w:t>备注：1.本表序号为采购需求一览表中对应的产品序号；</w:t>
      </w:r>
    </w:p>
    <w:p w14:paraId="5B29E0CD">
      <w:pPr>
        <w:pStyle w:val="3"/>
        <w:ind w:left="1260"/>
        <w:rPr>
          <w:rFonts w:ascii="宋体" w:hAnsi="宋体" w:cs="宋体"/>
        </w:rPr>
      </w:pPr>
      <w:r>
        <w:rPr>
          <w:rFonts w:hint="eastAsia" w:ascii="宋体" w:hAnsi="宋体" w:cs="宋体"/>
          <w:sz w:val="24"/>
        </w:rPr>
        <w:t>2.上表应根据具体项目和评标办法合理填写。</w:t>
      </w:r>
    </w:p>
    <w:p w14:paraId="0C2EC8D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2552B"/>
    <w:rsid w:val="3342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index 4"/>
    <w:basedOn w:val="1"/>
    <w:next w:val="1"/>
    <w:qFormat/>
    <w:uiPriority w:val="99"/>
    <w:pPr>
      <w:ind w:left="600" w:leftChars="600"/>
    </w:pPr>
  </w:style>
  <w:style w:type="paragraph" w:customStyle="1" w:styleId="6">
    <w:name w:val="正文_0_0"/>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2292</Words>
  <Characters>2535</Characters>
  <Lines>0</Lines>
  <Paragraphs>0</Paragraphs>
  <TotalTime>0</TotalTime>
  <ScaleCrop>false</ScaleCrop>
  <LinksUpToDate>false</LinksUpToDate>
  <CharactersWithSpaces>2575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2025-09-18T09:58:00Z</dcterms:created>
  <dc:creator>1</dc:creator>
  <cp:lastModifiedBy>1</cp:lastModifiedBy>
  <dcterms:modified xsi:type="dcterms:W3CDTF">2025-09-18T09:58:24Z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8B5A3882BF044567B9639AD517DD7FB8_11</vt:lpwstr>
  </property>
  <property fmtid="{D5CDD505-2E9C-101B-9397-08002B2CF9AE}" pid="4" name="KSOTemplateDocerSaveRecord">
    <vt:lpwstr>eyJoZGlkIjoiY2Y2ZmQxMWU2ZmRiMGE2OTAyNWM3MWIyYmMwYjY2M2IiLCJ1c2VySWQiOiIyNDE0OTYzOCJ9</vt:lpwstr>
  </property>
</Properties>
</file>