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78B92">
      <w:pPr>
        <w:tabs>
          <w:tab w:val="left" w:pos="420"/>
        </w:tabs>
        <w:spacing w:line="1700" w:lineRule="exact"/>
        <w:jc w:val="center"/>
        <w:outlineLvl w:val="9"/>
        <w:rPr>
          <w:rFonts w:hint="eastAsia" w:ascii="Arial Black" w:hAnsi="Arial Black" w:eastAsia="黑体"/>
          <w:b/>
          <w:bCs/>
          <w:color w:val="000000"/>
          <w:sz w:val="52"/>
          <w:szCs w:val="52"/>
          <w14:shadow w14:blurRad="50800" w14:dist="38100" w14:dir="2700000" w14:sx="100000" w14:sy="100000" w14:kx="0" w14:ky="0" w14:algn="tl">
            <w14:srgbClr w14:val="000000">
              <w14:alpha w14:val="60000"/>
            </w14:srgbClr>
          </w14:shadow>
        </w:rPr>
      </w:pPr>
      <w:r>
        <w:rPr>
          <w:rFonts w:hint="eastAsia" w:ascii="Arial Black" w:hAnsi="Arial Black" w:eastAsia="黑体"/>
          <w:b/>
          <w:bCs/>
          <w:color w:val="000000"/>
          <w:sz w:val="52"/>
          <w:szCs w:val="52"/>
          <w:lang w:val="en-US" w:eastAsia="zh-CN"/>
          <w14:shadow w14:blurRad="50800" w14:dist="38100" w14:dir="2700000" w14:sx="100000" w14:sy="100000" w14:kx="0" w14:ky="0" w14:algn="tl">
            <w14:srgbClr w14:val="000000">
              <w14:alpha w14:val="60000"/>
            </w14:srgbClr>
          </w14:shadow>
        </w:rPr>
        <w:t xml:space="preserve">  </w:t>
      </w:r>
      <w:r>
        <w:rPr>
          <w:rFonts w:hint="eastAsia" w:ascii="Arial Black" w:hAnsi="Arial Black" w:eastAsia="黑体"/>
          <w:b/>
          <w:bCs/>
          <w:color w:val="000000"/>
          <w:sz w:val="52"/>
          <w:szCs w:val="52"/>
          <w14:shadow w14:blurRad="50800" w14:dist="38100" w14:dir="2700000" w14:sx="100000" w14:sy="100000" w14:kx="0" w14:ky="0" w14:algn="tl">
            <w14:srgbClr w14:val="000000">
              <w14:alpha w14:val="60000"/>
            </w14:srgbClr>
          </w14:shadow>
        </w:rPr>
        <w:t>安徽安天利信工程管理股份有限公司</w:t>
      </w:r>
    </w:p>
    <w:p w14:paraId="004E1893">
      <w:pPr>
        <w:outlineLvl w:val="9"/>
        <w:rPr>
          <w:rFonts w:hint="eastAsia"/>
          <w:b/>
          <w:bCs/>
          <w:sz w:val="36"/>
          <w:szCs w:val="44"/>
        </w:rPr>
      </w:pPr>
      <w:r>
        <w:rPr>
          <w:rFonts w:hint="eastAsia"/>
          <w:b/>
          <w:bCs/>
          <w:sz w:val="36"/>
          <w:szCs w:val="44"/>
        </w:rPr>
        <w:t xml:space="preserve">                                                                                                                                                                                                                                                                                                                                                                                                                 </w:t>
      </w:r>
    </w:p>
    <w:p w14:paraId="16C67CFD">
      <w:pPr>
        <w:tabs>
          <w:tab w:val="left" w:pos="420"/>
        </w:tabs>
        <w:spacing w:line="1700" w:lineRule="exact"/>
        <w:jc w:val="center"/>
        <w:outlineLvl w:val="9"/>
        <w:rPr>
          <w:rFonts w:hint="eastAsia" w:ascii="Arial Black" w:hAnsi="Arial Black" w:eastAsia="黑体"/>
          <w:b/>
          <w:color w:val="000000"/>
          <w:sz w:val="52"/>
          <w:szCs w:val="52"/>
          <w14:shadow w14:blurRad="50800" w14:dist="38100" w14:dir="2700000" w14:sx="100000" w14:sy="100000" w14:kx="0" w14:ky="0" w14:algn="tl">
            <w14:srgbClr w14:val="000000">
              <w14:alpha w14:val="60000"/>
            </w14:srgbClr>
          </w14:shadow>
        </w:rPr>
      </w:pPr>
      <w:bookmarkStart w:id="0" w:name="_Toc19648"/>
      <w:bookmarkStart w:id="1" w:name="_Toc20546"/>
      <w:bookmarkStart w:id="2" w:name="_Toc12981"/>
      <w:bookmarkStart w:id="3" w:name="_Toc22845"/>
      <w:bookmarkStart w:id="4" w:name="_Toc19459"/>
      <w:bookmarkStart w:id="5" w:name="_Toc4855"/>
      <w:bookmarkStart w:id="6" w:name="_Toc30149"/>
      <w:bookmarkStart w:id="7" w:name="_Toc19532"/>
      <w:bookmarkStart w:id="8" w:name="_Toc21883"/>
      <w:bookmarkStart w:id="9" w:name="_Toc4909"/>
      <w:bookmarkStart w:id="10" w:name="_Toc7911"/>
      <w:bookmarkStart w:id="11" w:name="_Toc1132"/>
      <w:bookmarkStart w:id="12" w:name="_Toc29627"/>
      <w:bookmarkStart w:id="13" w:name="_Toc26680"/>
      <w:bookmarkStart w:id="14" w:name="_Toc264"/>
      <w:bookmarkStart w:id="15" w:name="_Toc1052"/>
      <w:bookmarkStart w:id="16" w:name="_Toc31040"/>
      <w:bookmarkStart w:id="17" w:name="_Toc29962"/>
      <w:bookmarkStart w:id="18" w:name="_Toc30515"/>
      <w:bookmarkStart w:id="19" w:name="_Toc302"/>
      <w:bookmarkStart w:id="20" w:name="_Toc20604"/>
      <w:bookmarkStart w:id="21" w:name="_Toc29624"/>
      <w:bookmarkStart w:id="22" w:name="_Toc3215791"/>
      <w:bookmarkStart w:id="23" w:name="_Toc29467"/>
      <w:bookmarkStart w:id="24" w:name="_Toc1916807"/>
      <w:bookmarkStart w:id="25" w:name="_Toc14004"/>
      <w:bookmarkStart w:id="26" w:name="_Toc4823"/>
      <w:bookmarkStart w:id="27" w:name="_Toc3295841"/>
      <w:r>
        <w:rPr>
          <w:rFonts w:hint="eastAsia" w:ascii="Arial Black" w:hAnsi="Arial Black" w:eastAsia="黑体"/>
          <w:b/>
          <w:bCs/>
          <w:color w:val="000000"/>
          <w:sz w:val="52"/>
          <w:szCs w:val="52"/>
          <w14:shadow w14:blurRad="50800" w14:dist="38100" w14:dir="2700000" w14:sx="100000" w14:sy="100000" w14:kx="0" w14:ky="0" w14:algn="tl">
            <w14:srgbClr w14:val="000000">
              <w14:alpha w14:val="60000"/>
            </w14:srgbClr>
          </w14:shadow>
        </w:rPr>
        <w:t>政府采购货物类招标文件</w:t>
      </w:r>
      <w:bookmarkEnd w:id="0"/>
      <w:bookmarkEnd w:id="1"/>
      <w:bookmarkEnd w:id="2"/>
      <w:bookmarkEnd w:id="3"/>
      <w:bookmarkEnd w:id="4"/>
    </w:p>
    <w:p w14:paraId="27DACF7E">
      <w:pPr>
        <w:tabs>
          <w:tab w:val="left" w:pos="315"/>
          <w:tab w:val="left" w:pos="8820"/>
        </w:tabs>
        <w:spacing w:line="1700" w:lineRule="exact"/>
        <w:ind w:right="267" w:rightChars="127"/>
        <w:jc w:val="center"/>
        <w:rPr>
          <w:rFonts w:hint="eastAsia" w:ascii="仿宋_GB2312" w:eastAsia="仿宋_GB2312"/>
          <w:color w:val="000000"/>
          <w:sz w:val="44"/>
        </w:rPr>
      </w:pPr>
    </w:p>
    <w:p w14:paraId="3491F981">
      <w:pPr>
        <w:tabs>
          <w:tab w:val="left" w:pos="315"/>
          <w:tab w:val="left" w:pos="8820"/>
        </w:tabs>
        <w:ind w:right="267" w:rightChars="127"/>
        <w:jc w:val="center"/>
        <w:rPr>
          <w:rFonts w:hint="eastAsia" w:ascii="仿宋_GB2312" w:eastAsia="仿宋_GB2312"/>
          <w:color w:val="000000"/>
          <w:sz w:val="44"/>
        </w:rPr>
      </w:pPr>
    </w:p>
    <w:p w14:paraId="3A179BAC">
      <w:pPr>
        <w:tabs>
          <w:tab w:val="left" w:pos="315"/>
          <w:tab w:val="left" w:pos="8820"/>
        </w:tabs>
        <w:spacing w:before="240" w:beforeLines="100" w:after="120" w:afterLines="50" w:line="500" w:lineRule="exact"/>
        <w:ind w:right="267" w:rightChars="127"/>
        <w:rPr>
          <w:rFonts w:hint="eastAsia" w:ascii="仿宋_GB2312" w:eastAsia="仿宋_GB2312"/>
          <w:b/>
          <w:bCs/>
          <w:color w:val="000000"/>
          <w:sz w:val="32"/>
        </w:rPr>
      </w:pPr>
    </w:p>
    <w:p w14:paraId="6C1F3BBC">
      <w:pPr>
        <w:tabs>
          <w:tab w:val="left" w:pos="315"/>
          <w:tab w:val="left" w:pos="8820"/>
        </w:tabs>
        <w:spacing w:line="500" w:lineRule="exact"/>
        <w:ind w:right="267" w:rightChars="127"/>
        <w:rPr>
          <w:rFonts w:hint="eastAsia" w:ascii="仿宋_GB2312" w:eastAsia="仿宋_GB2312"/>
          <w:b/>
          <w:bCs/>
          <w:color w:val="000000"/>
          <w:sz w:val="36"/>
        </w:rPr>
      </w:pPr>
    </w:p>
    <w:p w14:paraId="5DB5BE32">
      <w:pPr>
        <w:tabs>
          <w:tab w:val="left" w:pos="315"/>
          <w:tab w:val="left" w:pos="8820"/>
        </w:tabs>
        <w:spacing w:line="500" w:lineRule="exact"/>
        <w:ind w:right="267" w:rightChars="127"/>
        <w:rPr>
          <w:rFonts w:hint="eastAsia" w:ascii="仿宋_GB2312" w:eastAsia="仿宋_GB2312"/>
          <w:color w:val="000000"/>
          <w:sz w:val="36"/>
        </w:rPr>
      </w:pPr>
    </w:p>
    <w:p w14:paraId="3D40AC22">
      <w:pPr>
        <w:tabs>
          <w:tab w:val="left" w:pos="315"/>
          <w:tab w:val="left" w:pos="8820"/>
        </w:tabs>
        <w:spacing w:line="500" w:lineRule="exact"/>
        <w:ind w:right="267" w:rightChars="127"/>
        <w:rPr>
          <w:rFonts w:hint="eastAsia" w:ascii="仿宋_GB2312" w:eastAsia="仿宋_GB2312"/>
          <w:color w:val="000000"/>
          <w:sz w:val="36"/>
        </w:rPr>
      </w:pPr>
    </w:p>
    <w:p w14:paraId="4261E015">
      <w:pPr>
        <w:tabs>
          <w:tab w:val="left" w:pos="315"/>
          <w:tab w:val="left" w:pos="8820"/>
        </w:tabs>
        <w:spacing w:line="500" w:lineRule="exact"/>
        <w:ind w:right="267" w:rightChars="127"/>
        <w:rPr>
          <w:rFonts w:hint="eastAsia" w:ascii="仿宋_GB2312" w:eastAsia="仿宋_GB2312"/>
          <w:color w:val="000000"/>
          <w:sz w:val="36"/>
        </w:rPr>
      </w:pPr>
      <w:r>
        <w:rPr>
          <w:rFonts w:hint="eastAsia" w:ascii="仿宋_GB2312" w:eastAsia="仿宋_GB2312"/>
          <w:color w:val="000000"/>
          <w:sz w:val="44"/>
        </w:rPr>
        <w:drawing>
          <wp:anchor distT="0" distB="0" distL="114300" distR="114300" simplePos="0" relativeHeight="251659264" behindDoc="0" locked="0" layoutInCell="1" allowOverlap="1">
            <wp:simplePos x="0" y="0"/>
            <wp:positionH relativeFrom="column">
              <wp:posOffset>687705</wp:posOffset>
            </wp:positionH>
            <wp:positionV relativeFrom="paragraph">
              <wp:posOffset>-2441575</wp:posOffset>
            </wp:positionV>
            <wp:extent cx="4744720" cy="3164205"/>
            <wp:effectExtent l="0" t="0" r="0" b="0"/>
            <wp:wrapSquare wrapText="bothSides"/>
            <wp:docPr id="2" name="图片 3" descr="48747075266018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487470752660183408"/>
                    <pic:cNvPicPr>
                      <a:picLocks noChangeAspect="1"/>
                    </pic:cNvPicPr>
                  </pic:nvPicPr>
                  <pic:blipFill>
                    <a:blip r:embed="rId14"/>
                    <a:stretch>
                      <a:fillRect/>
                    </a:stretch>
                  </pic:blipFill>
                  <pic:spPr>
                    <a:xfrm>
                      <a:off x="0" y="0"/>
                      <a:ext cx="4744720" cy="3164205"/>
                    </a:xfrm>
                    <a:prstGeom prst="rect">
                      <a:avLst/>
                    </a:prstGeom>
                    <a:noFill/>
                    <a:ln>
                      <a:noFill/>
                    </a:ln>
                  </pic:spPr>
                </pic:pic>
              </a:graphicData>
            </a:graphic>
          </wp:anchor>
        </w:drawing>
      </w:r>
    </w:p>
    <w:p w14:paraId="024CD17E">
      <w:pPr>
        <w:tabs>
          <w:tab w:val="left" w:pos="315"/>
          <w:tab w:val="left" w:pos="8820"/>
        </w:tabs>
        <w:spacing w:line="500" w:lineRule="exact"/>
        <w:ind w:right="267" w:rightChars="127"/>
        <w:rPr>
          <w:rFonts w:hint="eastAsia" w:ascii="仿宋_GB2312" w:eastAsia="仿宋_GB2312"/>
          <w:color w:val="000000"/>
          <w:sz w:val="36"/>
        </w:rPr>
      </w:pPr>
    </w:p>
    <w:p w14:paraId="0070D4D0">
      <w:pPr>
        <w:tabs>
          <w:tab w:val="left" w:pos="315"/>
          <w:tab w:val="left" w:pos="8820"/>
        </w:tabs>
        <w:spacing w:line="500" w:lineRule="exact"/>
        <w:ind w:right="267" w:rightChars="127"/>
        <w:rPr>
          <w:rFonts w:hint="eastAsia" w:ascii="仿宋_GB2312" w:eastAsia="仿宋_GB2312"/>
          <w:color w:val="000000"/>
          <w:sz w:val="36"/>
        </w:rPr>
      </w:pPr>
    </w:p>
    <w:p w14:paraId="7B9827C5">
      <w:pPr>
        <w:pStyle w:val="8"/>
        <w:ind w:firstLine="964" w:firstLineChars="300"/>
        <w:rPr>
          <w:rFonts w:hint="eastAsia" w:ascii="宋体" w:hAnsi="宋体" w:eastAsia="黑体"/>
          <w:color w:val="000000"/>
          <w:sz w:val="32"/>
          <w:u w:val="single"/>
          <w:lang w:eastAsia="zh-CN"/>
        </w:rPr>
      </w:pPr>
      <w:r>
        <w:rPr>
          <w:rFonts w:hint="eastAsia" w:ascii="宋体" w:hAnsi="宋体"/>
          <w:color w:val="000000"/>
          <w:sz w:val="32"/>
        </w:rPr>
        <w:t>项目名称：</w:t>
      </w:r>
      <w:r>
        <w:rPr>
          <w:rFonts w:hint="eastAsia" w:ascii="宋体" w:hAnsi="宋体"/>
          <w:color w:val="000000"/>
          <w:sz w:val="32"/>
          <w:lang w:val="sv-SE" w:eastAsia="zh-CN"/>
        </w:rPr>
        <w:t>安徽省第二人民医院紧密型城市医疗集团建设设备采购项目（第三包、第四包）（二次）</w:t>
      </w:r>
    </w:p>
    <w:p w14:paraId="24D25396">
      <w:pPr>
        <w:pStyle w:val="8"/>
        <w:ind w:firstLine="964" w:firstLineChars="300"/>
        <w:rPr>
          <w:rFonts w:hint="default" w:ascii="宋体" w:hAnsi="宋体" w:eastAsia="黑体"/>
          <w:color w:val="000000"/>
          <w:sz w:val="32"/>
          <w:u w:val="single"/>
          <w:lang w:val="en-US" w:eastAsia="zh-CN"/>
        </w:rPr>
      </w:pPr>
      <w:r>
        <w:rPr>
          <w:rFonts w:hint="eastAsia" w:ascii="宋体" w:hAnsi="宋体"/>
          <w:color w:val="000000"/>
          <w:sz w:val="32"/>
        </w:rPr>
        <w:t>项目编号：</w:t>
      </w:r>
      <w:r>
        <w:rPr>
          <w:rFonts w:hint="eastAsia" w:ascii="宋体" w:hAnsi="宋体"/>
          <w:color w:val="000000"/>
          <w:sz w:val="32"/>
          <w:u w:val="single"/>
          <w:lang w:val="en-US" w:eastAsia="zh-CN"/>
        </w:rPr>
        <w:t>26AT47094606254</w:t>
      </w:r>
    </w:p>
    <w:p w14:paraId="65A34F98">
      <w:pPr>
        <w:pStyle w:val="8"/>
        <w:ind w:firstLine="964" w:firstLineChars="300"/>
        <w:rPr>
          <w:rFonts w:hint="eastAsia" w:ascii="宋体" w:hAnsi="宋体"/>
          <w:color w:val="000000"/>
          <w:sz w:val="32"/>
          <w:u w:val="single"/>
        </w:rPr>
      </w:pPr>
      <w:r>
        <w:rPr>
          <w:rFonts w:hint="eastAsia" w:ascii="宋体" w:hAnsi="宋体"/>
          <w:color w:val="000000"/>
          <w:sz w:val="32"/>
        </w:rPr>
        <w:t>采 购 人：</w:t>
      </w:r>
      <w:r>
        <w:rPr>
          <w:rFonts w:hint="eastAsia" w:ascii="宋体" w:hAnsi="宋体"/>
          <w:color w:val="000000"/>
          <w:sz w:val="32"/>
          <w:lang w:val="sv-SE"/>
        </w:rPr>
        <w:t>安徽省第二人民医院</w:t>
      </w:r>
    </w:p>
    <w:p w14:paraId="465970F2">
      <w:pPr>
        <w:pStyle w:val="8"/>
        <w:ind w:firstLine="964" w:firstLineChars="300"/>
        <w:rPr>
          <w:rFonts w:ascii="宋体" w:hAnsi="宋体"/>
          <w:color w:val="000000"/>
          <w:sz w:val="32"/>
        </w:rPr>
      </w:pPr>
      <w:r>
        <w:rPr>
          <w:rFonts w:hint="eastAsia" w:ascii="宋体" w:hAnsi="宋体"/>
          <w:color w:val="000000"/>
          <w:sz w:val="32"/>
        </w:rPr>
        <w:t>采购代理：安徽安天利信工程管理股份有限公司</w:t>
      </w:r>
    </w:p>
    <w:p w14:paraId="6A862ABF">
      <w:pPr>
        <w:pStyle w:val="8"/>
        <w:ind w:firstLine="964" w:firstLineChars="300"/>
        <w:rPr>
          <w:rFonts w:ascii="宋体" w:hAnsi="宋体"/>
          <w:color w:val="000000"/>
          <w:sz w:val="32"/>
        </w:rPr>
      </w:pPr>
    </w:p>
    <w:p w14:paraId="1FADC19C">
      <w:pPr>
        <w:pStyle w:val="8"/>
        <w:ind w:firstLine="964" w:firstLineChars="300"/>
        <w:jc w:val="center"/>
        <w:rPr>
          <w:rFonts w:hint="eastAsia" w:ascii="宋体" w:hAnsi="宋体"/>
          <w:color w:val="000000"/>
          <w:sz w:val="32"/>
        </w:rPr>
        <w:sectPr>
          <w:headerReference r:id="rId5" w:type="default"/>
          <w:footerReference r:id="rId6" w:type="default"/>
          <w:footnotePr>
            <w:numFmt w:val="decimalEnclosedCircleChinese"/>
            <w:numRestart w:val="eachPage"/>
          </w:footnotePr>
          <w:pgSz w:w="11906" w:h="16838"/>
          <w:pgMar w:top="1134" w:right="1134" w:bottom="1134" w:left="1134" w:header="851" w:footer="851" w:gutter="0"/>
          <w:pgNumType w:start="1"/>
          <w:cols w:space="720" w:num="1"/>
          <w:docGrid w:linePitch="312" w:charSpace="0"/>
        </w:sectPr>
      </w:pPr>
      <w:r>
        <w:rPr>
          <w:rFonts w:hint="eastAsia" w:ascii="宋体" w:hAnsi="宋体"/>
          <w:color w:val="000000"/>
          <w:sz w:val="32"/>
        </w:rPr>
        <w:t>二〇</w:t>
      </w:r>
      <w:r>
        <w:rPr>
          <w:rFonts w:hint="eastAsia" w:ascii="宋体" w:hAnsi="宋体"/>
          <w:color w:val="000000"/>
          <w:sz w:val="32"/>
          <w:lang w:val="en-US" w:eastAsia="zh-CN"/>
        </w:rPr>
        <w:t>二六</w:t>
      </w:r>
      <w:r>
        <w:rPr>
          <w:rFonts w:hint="eastAsia" w:ascii="宋体" w:hAnsi="宋体"/>
          <w:color w:val="000000"/>
          <w:sz w:val="32"/>
        </w:rPr>
        <w:t>年</w:t>
      </w:r>
      <w:r>
        <w:rPr>
          <w:rFonts w:hint="eastAsia" w:ascii="宋体" w:hAnsi="宋体"/>
          <w:color w:val="000000"/>
          <w:sz w:val="32"/>
          <w:lang w:val="en-US" w:eastAsia="zh-CN"/>
        </w:rPr>
        <w:t>八</w:t>
      </w:r>
      <w:r>
        <w:rPr>
          <w:rFonts w:hint="eastAsia" w:ascii="宋体" w:hAnsi="宋体"/>
          <w:color w:val="000000"/>
          <w:sz w:val="32"/>
        </w:rPr>
        <w:t>月</w:t>
      </w:r>
    </w:p>
    <w:p w14:paraId="79D8A536">
      <w:pPr>
        <w:spacing w:before="0" w:beforeLines="0" w:after="0" w:afterLines="0" w:line="240" w:lineRule="auto"/>
        <w:ind w:left="0" w:leftChars="0" w:right="0" w:rightChars="0" w:firstLine="0" w:firstLineChars="0"/>
        <w:jc w:val="center"/>
        <w:rPr>
          <w:rFonts w:ascii="宋体" w:hAnsi="宋体" w:eastAsia="宋体"/>
          <w:b/>
          <w:bCs/>
          <w:sz w:val="44"/>
          <w:szCs w:val="44"/>
        </w:rPr>
      </w:pPr>
    </w:p>
    <w:p w14:paraId="3FB11CA2">
      <w:pPr>
        <w:spacing w:before="0" w:beforeLines="0" w:after="0" w:afterLines="0" w:line="240" w:lineRule="auto"/>
        <w:ind w:left="0" w:leftChars="0" w:right="0" w:rightChars="0" w:firstLine="0" w:firstLineChars="0"/>
        <w:jc w:val="center"/>
        <w:rPr>
          <w:rFonts w:hint="eastAsia" w:ascii="宋体" w:hAnsi="宋体" w:eastAsia="宋体" w:cs="Times New Roman"/>
          <w:color w:val="000000"/>
          <w:kern w:val="2"/>
          <w:sz w:val="21"/>
          <w:szCs w:val="22"/>
          <w:lang w:val="en-US" w:eastAsia="zh-CN" w:bidi="ar-SA"/>
        </w:rPr>
      </w:pPr>
      <w:r>
        <w:rPr>
          <w:rFonts w:ascii="宋体" w:hAnsi="宋体" w:eastAsia="宋体"/>
          <w:b/>
          <w:bCs/>
          <w:sz w:val="44"/>
          <w:szCs w:val="44"/>
        </w:rPr>
        <w:t>目</w:t>
      </w:r>
      <w:r>
        <w:rPr>
          <w:rFonts w:hint="eastAsia" w:ascii="宋体" w:hAnsi="宋体" w:eastAsia="宋体"/>
          <w:b/>
          <w:bCs/>
          <w:sz w:val="44"/>
          <w:szCs w:val="44"/>
          <w:lang w:val="en-US" w:eastAsia="zh-CN"/>
        </w:rPr>
        <w:t xml:space="preserve">  </w:t>
      </w:r>
      <w:r>
        <w:rPr>
          <w:rFonts w:ascii="宋体" w:hAnsi="宋体" w:eastAsia="宋体"/>
          <w:b/>
          <w:bCs/>
          <w:sz w:val="44"/>
          <w:szCs w:val="44"/>
        </w:rPr>
        <w:t>录</w:t>
      </w:r>
      <w:r>
        <w:rPr>
          <w:rFonts w:hint="eastAsia" w:ascii="宋体" w:hAnsi="宋体"/>
          <w:color w:val="000000"/>
          <w:sz w:val="32"/>
        </w:rPr>
        <w:fldChar w:fldCharType="begin"/>
      </w:r>
      <w:r>
        <w:rPr>
          <w:rFonts w:hint="eastAsia" w:ascii="宋体" w:hAnsi="宋体"/>
          <w:color w:val="000000"/>
          <w:sz w:val="32"/>
        </w:rPr>
        <w:instrText xml:space="preserve">TOC \o "1-1" \h \u </w:instrText>
      </w:r>
      <w:r>
        <w:rPr>
          <w:rFonts w:hint="eastAsia" w:ascii="宋体" w:hAnsi="宋体"/>
          <w:color w:val="000000"/>
          <w:sz w:val="32"/>
        </w:rPr>
        <w:fldChar w:fldCharType="separate"/>
      </w:r>
    </w:p>
    <w:p w14:paraId="0B84CBB2">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_Toc10101 </w:instrText>
      </w:r>
      <w:r>
        <w:rPr>
          <w:rFonts w:hint="eastAsia" w:ascii="宋体" w:hAnsi="宋体"/>
        </w:rPr>
        <w:fldChar w:fldCharType="separate"/>
      </w:r>
      <w:r>
        <w:t>第一章  招标公告</w:t>
      </w:r>
      <w:r>
        <w:tab/>
      </w:r>
      <w:r>
        <w:fldChar w:fldCharType="begin"/>
      </w:r>
      <w:r>
        <w:instrText xml:space="preserve"> PAGEREF _Toc10101 \h </w:instrText>
      </w:r>
      <w:r>
        <w:fldChar w:fldCharType="separate"/>
      </w:r>
      <w:r>
        <w:t>1</w:t>
      </w:r>
      <w:r>
        <w:fldChar w:fldCharType="end"/>
      </w:r>
      <w:r>
        <w:rPr>
          <w:rFonts w:hint="eastAsia" w:ascii="宋体" w:hAnsi="宋体"/>
          <w:color w:val="000000"/>
        </w:rPr>
        <w:fldChar w:fldCharType="end"/>
      </w:r>
    </w:p>
    <w:p w14:paraId="7A0984C2">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_Toc32366 </w:instrText>
      </w:r>
      <w:r>
        <w:rPr>
          <w:rFonts w:hint="eastAsia" w:ascii="宋体" w:hAnsi="宋体"/>
        </w:rPr>
        <w:fldChar w:fldCharType="separate"/>
      </w:r>
      <w:r>
        <w:rPr>
          <w:rFonts w:hint="eastAsia"/>
          <w:bCs/>
        </w:rPr>
        <w:t>第二章  投标供应商须知</w:t>
      </w:r>
      <w:r>
        <w:tab/>
      </w:r>
      <w:r>
        <w:fldChar w:fldCharType="begin"/>
      </w:r>
      <w:r>
        <w:instrText xml:space="preserve"> PAGEREF _Toc32366 \h </w:instrText>
      </w:r>
      <w:r>
        <w:fldChar w:fldCharType="separate"/>
      </w:r>
      <w:r>
        <w:t>5</w:t>
      </w:r>
      <w:r>
        <w:fldChar w:fldCharType="end"/>
      </w:r>
      <w:r>
        <w:rPr>
          <w:rFonts w:hint="eastAsia" w:ascii="宋体" w:hAnsi="宋体"/>
          <w:color w:val="000000"/>
        </w:rPr>
        <w:fldChar w:fldCharType="end"/>
      </w:r>
    </w:p>
    <w:p w14:paraId="0B49561D">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_Toc10124 </w:instrText>
      </w:r>
      <w:r>
        <w:rPr>
          <w:rFonts w:hint="eastAsia" w:ascii="宋体" w:hAnsi="宋体"/>
        </w:rPr>
        <w:fldChar w:fldCharType="separate"/>
      </w:r>
      <w:r>
        <w:rPr>
          <w:rFonts w:hint="eastAsia" w:ascii="宋体" w:hAnsi="宋体"/>
          <w:szCs w:val="36"/>
        </w:rPr>
        <w:t xml:space="preserve">第三章 </w:t>
      </w:r>
      <w:r>
        <w:rPr>
          <w:rFonts w:hint="eastAsia" w:ascii="宋体" w:hAnsi="宋体"/>
          <w:bCs w:val="0"/>
        </w:rPr>
        <w:t xml:space="preserve"> </w:t>
      </w:r>
      <w:r>
        <w:rPr>
          <w:rFonts w:hint="eastAsia" w:ascii="宋体" w:hAnsi="宋体"/>
          <w:szCs w:val="36"/>
        </w:rPr>
        <w:t>采购需求</w:t>
      </w:r>
      <w:r>
        <w:tab/>
      </w:r>
      <w:r>
        <w:fldChar w:fldCharType="begin"/>
      </w:r>
      <w:r>
        <w:instrText xml:space="preserve"> PAGEREF _Toc10124 \h </w:instrText>
      </w:r>
      <w:r>
        <w:fldChar w:fldCharType="separate"/>
      </w:r>
      <w:r>
        <w:t>33</w:t>
      </w:r>
      <w:r>
        <w:fldChar w:fldCharType="end"/>
      </w:r>
      <w:r>
        <w:rPr>
          <w:rFonts w:hint="eastAsia" w:ascii="宋体" w:hAnsi="宋体"/>
          <w:color w:val="000000"/>
        </w:rPr>
        <w:fldChar w:fldCharType="end"/>
      </w:r>
    </w:p>
    <w:p w14:paraId="40AF38AF">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_Toc18735 </w:instrText>
      </w:r>
      <w:r>
        <w:rPr>
          <w:rFonts w:hint="eastAsia" w:ascii="宋体" w:hAnsi="宋体"/>
        </w:rPr>
        <w:fldChar w:fldCharType="separate"/>
      </w:r>
      <w:r>
        <w:rPr>
          <w:rFonts w:hint="eastAsia" w:ascii="宋体" w:hAnsi="宋体" w:eastAsia="宋体" w:cs="Times New Roman"/>
          <w:szCs w:val="36"/>
        </w:rPr>
        <w:t>第四章  资格审查和评标办法</w:t>
      </w:r>
      <w:r>
        <w:tab/>
      </w:r>
      <w:r>
        <w:fldChar w:fldCharType="begin"/>
      </w:r>
      <w:r>
        <w:instrText xml:space="preserve"> PAGEREF _Toc18735 \h </w:instrText>
      </w:r>
      <w:r>
        <w:fldChar w:fldCharType="separate"/>
      </w:r>
      <w:r>
        <w:t>43</w:t>
      </w:r>
      <w:r>
        <w:fldChar w:fldCharType="end"/>
      </w:r>
      <w:r>
        <w:rPr>
          <w:rFonts w:hint="eastAsia" w:ascii="宋体" w:hAnsi="宋体"/>
          <w:color w:val="000000"/>
        </w:rPr>
        <w:fldChar w:fldCharType="end"/>
      </w:r>
    </w:p>
    <w:p w14:paraId="716DF043">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_Toc4672 </w:instrText>
      </w:r>
      <w:r>
        <w:rPr>
          <w:rFonts w:hint="eastAsia" w:ascii="宋体" w:hAnsi="宋体"/>
        </w:rPr>
        <w:fldChar w:fldCharType="separate"/>
      </w:r>
      <w:r>
        <w:rPr>
          <w:rFonts w:hint="eastAsia"/>
        </w:rPr>
        <w:t>（综合评分法）</w:t>
      </w:r>
      <w:r>
        <w:tab/>
      </w:r>
      <w:r>
        <w:fldChar w:fldCharType="begin"/>
      </w:r>
      <w:r>
        <w:instrText xml:space="preserve"> PAGEREF _Toc4672 \h </w:instrText>
      </w:r>
      <w:r>
        <w:fldChar w:fldCharType="separate"/>
      </w:r>
      <w:r>
        <w:t>43</w:t>
      </w:r>
      <w:r>
        <w:fldChar w:fldCharType="end"/>
      </w:r>
      <w:r>
        <w:rPr>
          <w:rFonts w:hint="eastAsia" w:ascii="宋体" w:hAnsi="宋体"/>
          <w:color w:val="000000"/>
        </w:rPr>
        <w:fldChar w:fldCharType="end"/>
      </w:r>
    </w:p>
    <w:p w14:paraId="22449EAD">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_Toc12499 </w:instrText>
      </w:r>
      <w:r>
        <w:rPr>
          <w:rFonts w:hint="eastAsia" w:ascii="宋体" w:hAnsi="宋体"/>
        </w:rPr>
        <w:fldChar w:fldCharType="separate"/>
      </w:r>
      <w:r>
        <w:rPr>
          <w:rFonts w:hint="eastAsia" w:ascii="宋体" w:hAnsi="宋体"/>
        </w:rPr>
        <w:t>第五章  政府采购</w:t>
      </w:r>
      <w:r>
        <w:rPr>
          <w:rFonts w:ascii="宋体" w:hAnsi="宋体"/>
        </w:rPr>
        <w:t>合同</w:t>
      </w:r>
      <w:r>
        <w:tab/>
      </w:r>
      <w:r>
        <w:fldChar w:fldCharType="begin"/>
      </w:r>
      <w:r>
        <w:instrText xml:space="preserve"> PAGEREF _Toc12499 \h </w:instrText>
      </w:r>
      <w:r>
        <w:fldChar w:fldCharType="separate"/>
      </w:r>
      <w:r>
        <w:t>56</w:t>
      </w:r>
      <w:r>
        <w:fldChar w:fldCharType="end"/>
      </w:r>
      <w:r>
        <w:rPr>
          <w:rFonts w:hint="eastAsia" w:ascii="宋体" w:hAnsi="宋体"/>
          <w:color w:val="000000"/>
        </w:rPr>
        <w:fldChar w:fldCharType="end"/>
      </w:r>
    </w:p>
    <w:p w14:paraId="6B7D322C">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_Toc20456 </w:instrText>
      </w:r>
      <w:r>
        <w:rPr>
          <w:rFonts w:hint="eastAsia" w:ascii="宋体" w:hAnsi="宋体"/>
        </w:rPr>
        <w:fldChar w:fldCharType="separate"/>
      </w:r>
      <w:r>
        <w:rPr>
          <w:rFonts w:hint="eastAsia" w:ascii="宋体" w:hAnsi="宋体"/>
        </w:rPr>
        <w:t>第六章</w:t>
      </w:r>
      <w:r>
        <w:rPr>
          <w:rFonts w:hint="eastAsia" w:ascii="宋体" w:hAnsi="宋体"/>
          <w:lang w:val="en-US" w:eastAsia="zh-CN"/>
        </w:rPr>
        <w:t xml:space="preserve"> </w:t>
      </w:r>
      <w:r>
        <w:rPr>
          <w:rFonts w:hint="eastAsia" w:ascii="宋体" w:hAnsi="宋体"/>
        </w:rPr>
        <w:t xml:space="preserve"> 投标文件格式</w:t>
      </w:r>
      <w:r>
        <w:tab/>
      </w:r>
      <w:r>
        <w:fldChar w:fldCharType="begin"/>
      </w:r>
      <w:r>
        <w:instrText xml:space="preserve"> PAGEREF _Toc20456 \h </w:instrText>
      </w:r>
      <w:r>
        <w:fldChar w:fldCharType="separate"/>
      </w:r>
      <w:r>
        <w:t>66</w:t>
      </w:r>
      <w:r>
        <w:fldChar w:fldCharType="end"/>
      </w:r>
      <w:r>
        <w:rPr>
          <w:rFonts w:hint="eastAsia" w:ascii="宋体" w:hAnsi="宋体"/>
          <w:color w:val="000000"/>
        </w:rPr>
        <w:fldChar w:fldCharType="end"/>
      </w:r>
      <w:bookmarkStart w:id="1366" w:name="_GoBack"/>
      <w:bookmarkEnd w:id="1366"/>
    </w:p>
    <w:p w14:paraId="444205FF">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_Toc16045 </w:instrText>
      </w:r>
      <w:r>
        <w:rPr>
          <w:rFonts w:hint="eastAsia" w:ascii="宋体" w:hAnsi="宋体"/>
        </w:rPr>
        <w:fldChar w:fldCharType="separate"/>
      </w:r>
      <w:r>
        <w:rPr>
          <w:rFonts w:hint="eastAsia" w:ascii="宋体" w:hAnsi="宋体"/>
        </w:rPr>
        <w:t xml:space="preserve">第七章  </w:t>
      </w:r>
      <w:r>
        <w:rPr>
          <w:rFonts w:hint="eastAsia" w:ascii="宋体" w:hAnsi="宋体"/>
          <w:lang w:eastAsia="zh-CN"/>
        </w:rPr>
        <w:t>安天e采</w:t>
      </w:r>
      <w:r>
        <w:rPr>
          <w:rFonts w:hint="eastAsia" w:ascii="宋体" w:hAnsi="宋体"/>
        </w:rPr>
        <w:t>全流程电子招投标注意事项</w:t>
      </w:r>
      <w:r>
        <w:tab/>
      </w:r>
      <w:r>
        <w:fldChar w:fldCharType="begin"/>
      </w:r>
      <w:r>
        <w:instrText xml:space="preserve"> PAGEREF _Toc16045 \h </w:instrText>
      </w:r>
      <w:r>
        <w:fldChar w:fldCharType="separate"/>
      </w:r>
      <w:r>
        <w:t>85</w:t>
      </w:r>
      <w:r>
        <w:fldChar w:fldCharType="end"/>
      </w:r>
      <w:r>
        <w:rPr>
          <w:rFonts w:hint="eastAsia" w:ascii="宋体" w:hAnsi="宋体"/>
          <w:color w:val="000000"/>
        </w:rPr>
        <w:fldChar w:fldCharType="end"/>
      </w:r>
    </w:p>
    <w:p w14:paraId="358B5364">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_Toc7804 </w:instrText>
      </w:r>
      <w:r>
        <w:rPr>
          <w:rFonts w:hint="eastAsia" w:ascii="宋体" w:hAnsi="宋体"/>
        </w:rPr>
        <w:fldChar w:fldCharType="separate"/>
      </w:r>
      <w:r>
        <w:t>第</w:t>
      </w:r>
      <w:r>
        <w:rPr>
          <w:rFonts w:hint="eastAsia"/>
        </w:rPr>
        <w:t>八</w:t>
      </w:r>
      <w:r>
        <w:t xml:space="preserve">章 </w:t>
      </w:r>
      <w:r>
        <w:rPr>
          <w:rFonts w:hint="eastAsia"/>
        </w:rPr>
        <w:t xml:space="preserve"> </w:t>
      </w:r>
      <w:r>
        <w:t>政府采购供应商询问函和质疑函范本</w:t>
      </w:r>
      <w:r>
        <w:tab/>
      </w:r>
      <w:r>
        <w:fldChar w:fldCharType="begin"/>
      </w:r>
      <w:r>
        <w:instrText xml:space="preserve"> PAGEREF _Toc7804 \h </w:instrText>
      </w:r>
      <w:r>
        <w:fldChar w:fldCharType="separate"/>
      </w:r>
      <w:r>
        <w:t>88</w:t>
      </w:r>
      <w:r>
        <w:fldChar w:fldCharType="end"/>
      </w:r>
      <w:r>
        <w:rPr>
          <w:rFonts w:hint="eastAsia" w:ascii="宋体" w:hAnsi="宋体"/>
          <w:color w:val="000000"/>
        </w:rPr>
        <w:fldChar w:fldCharType="end"/>
      </w:r>
    </w:p>
    <w:p w14:paraId="1E49D3AC">
      <w:pPr>
        <w:pStyle w:val="16"/>
        <w:tabs>
          <w:tab w:val="right" w:leader="dot" w:pos="9638"/>
        </w:tabs>
      </w:pPr>
      <w:r>
        <w:rPr>
          <w:rFonts w:hint="eastAsia" w:ascii="宋体" w:hAnsi="宋体"/>
          <w:color w:val="000000"/>
        </w:rPr>
        <w:fldChar w:fldCharType="begin"/>
      </w:r>
      <w:r>
        <w:rPr>
          <w:rFonts w:hint="eastAsia" w:ascii="宋体" w:hAnsi="宋体"/>
        </w:rPr>
        <w:instrText xml:space="preserve"> HYPERLINK \l _Toc2600 </w:instrText>
      </w:r>
      <w:r>
        <w:rPr>
          <w:rFonts w:hint="eastAsia" w:ascii="宋体" w:hAnsi="宋体"/>
        </w:rPr>
        <w:fldChar w:fldCharType="separate"/>
      </w:r>
      <w:r>
        <w:rPr>
          <w:rFonts w:hint="eastAsia" w:ascii="宋体" w:hAnsi="宋体"/>
          <w:szCs w:val="32"/>
        </w:rPr>
        <w:t>质疑函制作说明：</w:t>
      </w:r>
      <w:r>
        <w:tab/>
      </w:r>
      <w:r>
        <w:fldChar w:fldCharType="begin"/>
      </w:r>
      <w:r>
        <w:instrText xml:space="preserve"> PAGEREF _Toc2600 \h </w:instrText>
      </w:r>
      <w:r>
        <w:fldChar w:fldCharType="separate"/>
      </w:r>
      <w:r>
        <w:t>90</w:t>
      </w:r>
      <w:r>
        <w:fldChar w:fldCharType="end"/>
      </w:r>
      <w:r>
        <w:rPr>
          <w:rFonts w:hint="eastAsia" w:ascii="宋体" w:hAnsi="宋体"/>
          <w:color w:val="000000"/>
        </w:rPr>
        <w:fldChar w:fldCharType="end"/>
      </w:r>
    </w:p>
    <w:p w14:paraId="75474BE6">
      <w:pPr>
        <w:pStyle w:val="8"/>
        <w:spacing w:before="0" w:beforeLines="0" w:after="0" w:afterLines="0" w:line="240" w:lineRule="auto"/>
        <w:ind w:left="0" w:leftChars="0" w:right="0" w:rightChars="0" w:firstLine="843" w:firstLineChars="300"/>
        <w:jc w:val="center"/>
        <w:rPr>
          <w:rFonts w:hint="eastAsia" w:ascii="宋体" w:hAnsi="宋体"/>
          <w:color w:val="000000"/>
        </w:rPr>
      </w:pPr>
      <w:r>
        <w:rPr>
          <w:rFonts w:hint="eastAsia" w:ascii="宋体" w:hAnsi="宋体"/>
          <w:color w:val="000000"/>
        </w:rPr>
        <w:fldChar w:fldCharType="end"/>
      </w:r>
    </w:p>
    <w:p w14:paraId="6B14C8A5">
      <w:pPr>
        <w:pStyle w:val="8"/>
        <w:ind w:firstLine="843" w:firstLineChars="300"/>
        <w:jc w:val="center"/>
        <w:rPr>
          <w:rFonts w:hint="eastAsia" w:ascii="宋体" w:hAnsi="宋体"/>
          <w:color w:val="000000"/>
        </w:rPr>
        <w:sectPr>
          <w:footnotePr>
            <w:numFmt w:val="decimalEnclosedCircleChinese"/>
            <w:numRestart w:val="eachPage"/>
          </w:footnotePr>
          <w:pgSz w:w="11906" w:h="16838"/>
          <w:pgMar w:top="1134" w:right="1134" w:bottom="1134" w:left="1134" w:header="851" w:footer="851" w:gutter="0"/>
          <w:pgNumType w:start="1"/>
          <w:cols w:space="720" w:num="1"/>
          <w:docGrid w:linePitch="312" w:charSpace="0"/>
        </w:sectPr>
      </w:pPr>
    </w:p>
    <w:p w14:paraId="0A600835">
      <w:pPr>
        <w:rPr>
          <w:rFonts w:hint="eastAsia"/>
          <w:lang w:val="zh-CN" w:bidi="en-US"/>
        </w:rPr>
      </w:pPr>
    </w:p>
    <w:bookmarkEnd w:id="5"/>
    <w:bookmarkEnd w:id="6"/>
    <w:bookmarkEnd w:id="7"/>
    <w:bookmarkEnd w:id="8"/>
    <w:bookmarkEnd w:id="9"/>
    <w:bookmarkEnd w:id="10"/>
    <w:bookmarkEnd w:id="11"/>
    <w:bookmarkEnd w:id="12"/>
    <w:bookmarkEnd w:id="13"/>
    <w:bookmarkEnd w:id="14"/>
    <w:bookmarkEnd w:id="15"/>
    <w:bookmarkEnd w:id="16"/>
    <w:bookmarkEnd w:id="17"/>
    <w:p w14:paraId="3EF52CE4">
      <w:pPr>
        <w:widowControl/>
        <w:shd w:val="clear" w:color="auto" w:fill="FFFFFF"/>
        <w:spacing w:before="120" w:beforeLines="50" w:after="120" w:afterLines="50" w:line="360" w:lineRule="atLeast"/>
        <w:jc w:val="center"/>
        <w:outlineLvl w:val="0"/>
        <w:rPr>
          <w:rStyle w:val="29"/>
        </w:rPr>
      </w:pPr>
      <w:bookmarkStart w:id="28" w:name="_Toc10101"/>
      <w:r>
        <w:rPr>
          <w:rStyle w:val="29"/>
        </w:rPr>
        <w:t>第一章  招标公告</w:t>
      </w:r>
      <w:bookmarkEnd w:id="18"/>
      <w:bookmarkEnd w:id="19"/>
      <w:bookmarkEnd w:id="20"/>
      <w:bookmarkEnd w:id="21"/>
      <w:bookmarkEnd w:id="22"/>
      <w:bookmarkEnd w:id="23"/>
      <w:bookmarkEnd w:id="24"/>
      <w:bookmarkEnd w:id="25"/>
      <w:bookmarkEnd w:id="26"/>
      <w:bookmarkEnd w:id="27"/>
      <w:bookmarkEnd w:id="28"/>
    </w:p>
    <w:p w14:paraId="1B04D0CB">
      <w:pPr>
        <w:pBdr>
          <w:top w:val="none" w:color="auto" w:sz="0" w:space="1"/>
          <w:left w:val="none" w:color="auto" w:sz="0" w:space="4"/>
          <w:bottom w:val="none" w:color="auto" w:sz="0" w:space="1"/>
          <w:right w:val="none" w:color="auto" w:sz="0" w:space="4"/>
          <w:between w:val="none" w:color="auto" w:sz="0" w:space="0"/>
        </w:pBdr>
        <w:spacing w:line="360" w:lineRule="auto"/>
        <w:ind w:firstLine="560" w:firstLineChars="200"/>
        <w:rPr>
          <w:rFonts w:hint="eastAsia" w:ascii="仿宋" w:hAnsi="仿宋" w:eastAsia="仿宋"/>
          <w:sz w:val="28"/>
          <w:szCs w:val="28"/>
        </w:rPr>
      </w:pPr>
      <w:bookmarkStart w:id="29" w:name="_Toc35393790"/>
      <w:bookmarkStart w:id="30" w:name="_Toc28359079"/>
      <w:bookmarkStart w:id="31" w:name="_Toc415"/>
      <w:bookmarkStart w:id="32" w:name="_Toc35393621"/>
      <w:bookmarkStart w:id="33" w:name="_Toc28359002"/>
      <w:bookmarkStart w:id="34" w:name="_Toc8265"/>
      <w:bookmarkStart w:id="35" w:name="_Toc25558"/>
      <w:bookmarkStart w:id="36" w:name="_Hlk24379207"/>
      <w:r>
        <w:rPr>
          <w:rFonts w:hint="eastAsia" w:ascii="仿宋" w:hAnsi="仿宋" w:eastAsia="仿宋"/>
          <w:sz w:val="28"/>
          <w:szCs w:val="28"/>
        </w:rPr>
        <w:t>项目概况</w:t>
      </w:r>
    </w:p>
    <w:p w14:paraId="11FCB048">
      <w:pPr>
        <w:pBdr>
          <w:top w:val="none" w:color="auto" w:sz="0" w:space="1"/>
          <w:left w:val="none" w:color="auto" w:sz="0" w:space="4"/>
          <w:bottom w:val="none" w:color="auto" w:sz="0" w:space="1"/>
          <w:right w:val="none" w:color="auto" w:sz="0" w:space="4"/>
          <w:between w:val="none" w:color="auto" w:sz="0" w:space="0"/>
        </w:pBdr>
        <w:spacing w:line="360" w:lineRule="auto"/>
        <w:ind w:firstLine="560" w:firstLineChars="200"/>
        <w:rPr>
          <w:rFonts w:hint="eastAsia" w:ascii="仿宋" w:hAnsi="仿宋" w:eastAsia="仿宋"/>
          <w:sz w:val="28"/>
          <w:szCs w:val="28"/>
        </w:rPr>
      </w:pPr>
      <w:r>
        <w:rPr>
          <w:rFonts w:hint="eastAsia" w:ascii="仿宋" w:hAnsi="仿宋" w:eastAsia="仿宋"/>
          <w:sz w:val="28"/>
          <w:szCs w:val="28"/>
          <w:u w:val="none"/>
          <w:lang w:val="en-US" w:eastAsia="zh-CN"/>
        </w:rPr>
        <w:tab/>
      </w:r>
      <w:r>
        <w:rPr>
          <w:rFonts w:hint="eastAsia" w:ascii="仿宋" w:hAnsi="仿宋" w:eastAsia="仿宋"/>
          <w:sz w:val="28"/>
          <w:szCs w:val="28"/>
          <w:u w:val="none"/>
          <w:lang w:val="en-US" w:eastAsia="zh-CN"/>
        </w:rPr>
        <w:t>安徽省第二人民医院紧密型城市医疗集团建设设备采购项目（第三包、第四包）（二次）</w:t>
      </w:r>
      <w:r>
        <w:rPr>
          <w:rFonts w:hint="eastAsia" w:ascii="仿宋" w:hAnsi="仿宋" w:eastAsia="仿宋"/>
          <w:sz w:val="28"/>
          <w:szCs w:val="28"/>
        </w:rPr>
        <w:t>的潜在投标人应在</w:t>
      </w:r>
      <w:r>
        <w:rPr>
          <w:rFonts w:hint="eastAsia" w:ascii="仿宋" w:hAnsi="仿宋" w:eastAsia="仿宋"/>
          <w:sz w:val="28"/>
          <w:szCs w:val="28"/>
          <w:lang w:eastAsia="zh-CN"/>
        </w:rPr>
        <w:t>安天e采</w:t>
      </w:r>
      <w:r>
        <w:rPr>
          <w:rFonts w:hint="eastAsia" w:ascii="仿宋" w:hAnsi="仿宋" w:eastAsia="仿宋"/>
          <w:sz w:val="28"/>
          <w:szCs w:val="28"/>
        </w:rPr>
        <w:t>招标采购电子交易平台（www.xinecai.com）获取招标文件，并于</w:t>
      </w: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9月9日9点30分</w:t>
      </w:r>
      <w:r>
        <w:rPr>
          <w:rFonts w:hint="eastAsia" w:ascii="仿宋" w:hAnsi="仿宋" w:eastAsia="仿宋"/>
          <w:bCs/>
          <w:sz w:val="28"/>
          <w:szCs w:val="28"/>
          <w:u w:val="none"/>
        </w:rPr>
        <w:t>（</w:t>
      </w:r>
      <w:r>
        <w:rPr>
          <w:rFonts w:hint="eastAsia" w:ascii="仿宋" w:hAnsi="仿宋" w:eastAsia="仿宋"/>
          <w:bCs/>
          <w:sz w:val="28"/>
          <w:szCs w:val="28"/>
        </w:rPr>
        <w:t>北京时间）前递交投标</w:t>
      </w:r>
      <w:r>
        <w:rPr>
          <w:rFonts w:ascii="仿宋" w:hAnsi="仿宋" w:eastAsia="仿宋"/>
          <w:bCs/>
          <w:sz w:val="28"/>
          <w:szCs w:val="28"/>
        </w:rPr>
        <w:t>文件</w:t>
      </w:r>
      <w:r>
        <w:rPr>
          <w:rFonts w:hint="eastAsia" w:ascii="仿宋" w:hAnsi="仿宋" w:eastAsia="仿宋"/>
          <w:sz w:val="28"/>
          <w:szCs w:val="28"/>
        </w:rPr>
        <w:t>。</w:t>
      </w:r>
    </w:p>
    <w:p w14:paraId="5DD3D834">
      <w:pPr>
        <w:pBdr>
          <w:top w:val="none" w:color="auto" w:sz="0" w:space="1"/>
          <w:left w:val="none" w:color="auto" w:sz="0" w:space="4"/>
          <w:bottom w:val="none" w:color="auto" w:sz="0" w:space="1"/>
          <w:right w:val="none" w:color="auto" w:sz="0" w:space="4"/>
          <w:between w:val="none" w:color="auto" w:sz="0" w:space="0"/>
        </w:pBdr>
        <w:spacing w:line="360" w:lineRule="auto"/>
        <w:outlineLvl w:val="1"/>
        <w:rPr>
          <w:rFonts w:ascii="黑体" w:hAnsi="黑体" w:cs="宋体"/>
          <w:b/>
          <w:bCs/>
          <w:sz w:val="28"/>
          <w:szCs w:val="28"/>
        </w:rPr>
      </w:pPr>
      <w:r>
        <w:rPr>
          <w:rFonts w:hint="eastAsia" w:ascii="黑体" w:hAnsi="黑体" w:cs="宋体"/>
          <w:b/>
          <w:bCs/>
          <w:sz w:val="28"/>
          <w:szCs w:val="28"/>
        </w:rPr>
        <w:t>一、项目基本情况</w:t>
      </w:r>
      <w:bookmarkEnd w:id="29"/>
      <w:bookmarkEnd w:id="30"/>
      <w:bookmarkEnd w:id="31"/>
      <w:bookmarkEnd w:id="32"/>
      <w:bookmarkEnd w:id="33"/>
      <w:bookmarkEnd w:id="34"/>
      <w:bookmarkEnd w:id="35"/>
    </w:p>
    <w:p w14:paraId="43381B0E">
      <w:pPr>
        <w:spacing w:line="360" w:lineRule="auto"/>
        <w:ind w:firstLine="560" w:firstLineChars="200"/>
        <w:rPr>
          <w:rFonts w:hint="eastAsia" w:ascii="仿宋" w:hAnsi="仿宋" w:eastAsia="仿宋"/>
          <w:color w:val="FF0000"/>
          <w:sz w:val="28"/>
          <w:szCs w:val="28"/>
          <w:highlight w:val="none"/>
          <w:lang w:val="en-US" w:eastAsia="zh-CN"/>
        </w:rPr>
      </w:pPr>
      <w:r>
        <w:rPr>
          <w:rFonts w:hint="eastAsia" w:ascii="仿宋" w:hAnsi="仿宋" w:eastAsia="仿宋"/>
          <w:sz w:val="28"/>
          <w:szCs w:val="28"/>
          <w:highlight w:val="none"/>
        </w:rPr>
        <w:t>项目编号：</w:t>
      </w:r>
      <w:r>
        <w:rPr>
          <w:rFonts w:hint="eastAsia" w:ascii="仿宋" w:hAnsi="仿宋" w:eastAsia="仿宋"/>
          <w:sz w:val="28"/>
          <w:szCs w:val="28"/>
          <w:highlight w:val="none"/>
          <w:lang w:val="en-US" w:eastAsia="zh-CN"/>
        </w:rPr>
        <w:t>26AT47094606254</w:t>
      </w:r>
    </w:p>
    <w:p w14:paraId="12DD206D">
      <w:pPr>
        <w:spacing w:line="360" w:lineRule="auto"/>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项目名称：</w:t>
      </w:r>
      <w:r>
        <w:rPr>
          <w:rFonts w:hint="eastAsia" w:ascii="仿宋" w:hAnsi="仿宋" w:eastAsia="仿宋"/>
          <w:sz w:val="28"/>
          <w:szCs w:val="28"/>
          <w:highlight w:val="none"/>
          <w:lang w:val="sv-SE" w:eastAsia="zh-CN"/>
        </w:rPr>
        <w:t>安徽省第二人民医院紧密型城市医疗集团建设设备采购项目（第三包、第四包）（二次）</w:t>
      </w:r>
    </w:p>
    <w:bookmarkEnd w:id="36"/>
    <w:p w14:paraId="02738DFA">
      <w:pPr>
        <w:spacing w:line="360" w:lineRule="auto"/>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rPr>
        <w:t>预算金额：77.94</w:t>
      </w:r>
      <w:r>
        <w:rPr>
          <w:rFonts w:hint="eastAsia" w:ascii="仿宋" w:hAnsi="仿宋" w:eastAsia="仿宋"/>
          <w:sz w:val="28"/>
          <w:szCs w:val="28"/>
          <w:highlight w:val="none"/>
          <w:lang w:val="en-US" w:eastAsia="zh-CN"/>
        </w:rPr>
        <w:t>万元（人民币）</w:t>
      </w:r>
    </w:p>
    <w:p w14:paraId="21E68D7D">
      <w:pPr>
        <w:spacing w:line="360" w:lineRule="auto"/>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rPr>
        <w:t>最高限价：55.85</w:t>
      </w:r>
      <w:r>
        <w:rPr>
          <w:rFonts w:hint="eastAsia" w:ascii="仿宋" w:hAnsi="仿宋" w:eastAsia="仿宋"/>
          <w:sz w:val="28"/>
          <w:szCs w:val="28"/>
          <w:highlight w:val="none"/>
          <w:lang w:val="en-US" w:eastAsia="zh-CN"/>
        </w:rPr>
        <w:t>万元（人民币），</w:t>
      </w:r>
      <w:r>
        <w:rPr>
          <w:rFonts w:hint="eastAsia" w:ascii="仿宋" w:hAnsi="仿宋" w:eastAsia="仿宋" w:cs="Times New Roman"/>
          <w:sz w:val="28"/>
          <w:szCs w:val="28"/>
          <w:highlight w:val="none"/>
          <w:lang w:val="en-US" w:eastAsia="zh-CN"/>
        </w:rPr>
        <w:t>其中第三包：17万元；第四包38.85万元</w:t>
      </w:r>
    </w:p>
    <w:p w14:paraId="7CB4675C">
      <w:pPr>
        <w:pStyle w:val="7"/>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采购需求：</w:t>
      </w:r>
    </w:p>
    <w:p w14:paraId="7245ADCB">
      <w:pPr>
        <w:pStyle w:val="7"/>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第三包：负压真空干燥柜；</w:t>
      </w:r>
    </w:p>
    <w:p w14:paraId="04358B8C">
      <w:pPr>
        <w:pStyle w:val="7"/>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sz w:val="28"/>
          <w:szCs w:val="28"/>
          <w:highlight w:val="none"/>
          <w:lang w:val="en-US" w:eastAsia="zh-CN"/>
        </w:rPr>
      </w:pPr>
      <w:r>
        <w:rPr>
          <w:rFonts w:hint="eastAsia" w:ascii="仿宋" w:hAnsi="仿宋" w:eastAsia="仿宋" w:cs="Times New Roman"/>
          <w:sz w:val="28"/>
          <w:szCs w:val="28"/>
          <w:highlight w:val="none"/>
          <w:lang w:val="en-US" w:eastAsia="zh-CN"/>
        </w:rPr>
        <w:t>第四包：磁场刺激仪、盆底生物刺激反馈仪、生物反馈神经肌肉刺激治疗工作站</w:t>
      </w:r>
      <w:r>
        <w:rPr>
          <w:rFonts w:hint="eastAsia" w:ascii="仿宋" w:hAnsi="仿宋" w:eastAsia="仿宋"/>
          <w:sz w:val="28"/>
          <w:szCs w:val="28"/>
          <w:highlight w:val="none"/>
          <w:lang w:eastAsia="zh-CN"/>
        </w:rPr>
        <w:t>；</w:t>
      </w:r>
    </w:p>
    <w:p w14:paraId="51832319">
      <w:pPr>
        <w:spacing w:line="360" w:lineRule="auto"/>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合同履行期限：</w:t>
      </w:r>
      <w:r>
        <w:rPr>
          <w:rFonts w:hint="eastAsia" w:ascii="仿宋" w:hAnsi="仿宋" w:eastAsia="仿宋" w:cs="Times New Roman"/>
          <w:color w:val="auto"/>
          <w:sz w:val="28"/>
          <w:szCs w:val="28"/>
          <w:highlight w:val="none"/>
          <w:lang w:eastAsia="zh-CN"/>
        </w:rPr>
        <w:t>合同签订后，接采购人书面通知后30个日历天内完成交货、安装、调试等工作</w:t>
      </w:r>
      <w:r>
        <w:rPr>
          <w:rFonts w:hint="eastAsia" w:ascii="仿宋" w:hAnsi="仿宋" w:eastAsia="仿宋" w:cs="Times New Roman"/>
          <w:color w:val="auto"/>
          <w:sz w:val="28"/>
          <w:szCs w:val="28"/>
          <w:highlight w:val="none"/>
          <w:lang w:val="en-US" w:eastAsia="zh-CN"/>
        </w:rPr>
        <w:t>。</w:t>
      </w:r>
    </w:p>
    <w:p w14:paraId="18E42D3E">
      <w:pPr>
        <w:spacing w:line="360" w:lineRule="auto"/>
        <w:ind w:firstLine="560" w:firstLineChars="200"/>
        <w:rPr>
          <w:highlight w:val="none"/>
        </w:rPr>
      </w:pPr>
      <w:r>
        <w:rPr>
          <w:rFonts w:hint="eastAsia" w:ascii="仿宋" w:hAnsi="仿宋" w:eastAsia="仿宋"/>
          <w:sz w:val="28"/>
          <w:szCs w:val="28"/>
          <w:highlight w:val="none"/>
        </w:rPr>
        <w:t>本项目是否接受联合体投标：否</w:t>
      </w:r>
    </w:p>
    <w:p w14:paraId="0F9C72B8">
      <w:pPr>
        <w:spacing w:line="360" w:lineRule="auto"/>
        <w:ind w:firstLine="560" w:firstLineChars="200"/>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包别划分</w:t>
      </w:r>
      <w:r>
        <w:rPr>
          <w:rFonts w:hint="eastAsia" w:ascii="仿宋" w:hAnsi="仿宋" w:eastAsia="仿宋" w:cs="Times New Roman"/>
          <w:sz w:val="28"/>
          <w:szCs w:val="28"/>
          <w:highlight w:val="none"/>
          <w:lang w:eastAsia="zh-CN"/>
        </w:rPr>
        <w:t>：分为</w:t>
      </w:r>
      <w:r>
        <w:rPr>
          <w:rFonts w:hint="eastAsia" w:ascii="仿宋" w:hAnsi="仿宋" w:eastAsia="仿宋" w:cs="Times New Roman"/>
          <w:sz w:val="28"/>
          <w:szCs w:val="28"/>
          <w:highlight w:val="none"/>
          <w:lang w:val="en-US" w:eastAsia="zh-CN"/>
        </w:rPr>
        <w:t xml:space="preserve"> 2</w:t>
      </w:r>
      <w:r>
        <w:rPr>
          <w:rFonts w:hint="eastAsia" w:ascii="仿宋" w:hAnsi="仿宋" w:eastAsia="仿宋" w:cs="Times New Roman"/>
          <w:sz w:val="28"/>
          <w:szCs w:val="28"/>
          <w:highlight w:val="none"/>
          <w:lang w:eastAsia="zh-CN"/>
        </w:rPr>
        <w:t>个包</w:t>
      </w:r>
      <w:r>
        <w:rPr>
          <w:rFonts w:hint="eastAsia" w:ascii="仿宋" w:hAnsi="仿宋" w:eastAsia="仿宋" w:cs="Times New Roman"/>
          <w:sz w:val="28"/>
          <w:szCs w:val="28"/>
          <w:highlight w:val="none"/>
          <w:lang w:val="en-US" w:eastAsia="zh-CN"/>
        </w:rPr>
        <w:t>,</w:t>
      </w:r>
      <w:r>
        <w:rPr>
          <w:rFonts w:hint="eastAsia" w:ascii="仿宋" w:hAnsi="仿宋" w:eastAsia="仿宋" w:cs="Times New Roman"/>
          <w:sz w:val="28"/>
          <w:szCs w:val="28"/>
          <w:highlight w:val="none"/>
          <w:lang w:eastAsia="zh-CN"/>
        </w:rPr>
        <w:t>投标人根据自身情况可投其中的任意一个或多个标包，可中其中一个或多个标包</w:t>
      </w:r>
      <w:r>
        <w:rPr>
          <w:rFonts w:hint="eastAsia" w:ascii="仿宋" w:hAnsi="仿宋" w:eastAsia="仿宋" w:cs="Times New Roman"/>
          <w:sz w:val="28"/>
          <w:szCs w:val="28"/>
          <w:highlight w:val="none"/>
          <w:lang w:val="en-US" w:eastAsia="zh-CN"/>
        </w:rPr>
        <w:t>。</w:t>
      </w:r>
    </w:p>
    <w:p w14:paraId="1096BBDE">
      <w:pPr>
        <w:spacing w:before="260" w:after="260"/>
        <w:outlineLvl w:val="1"/>
        <w:rPr>
          <w:rFonts w:hint="eastAsia" w:ascii="黑体" w:hAnsi="黑体" w:cs="宋体"/>
          <w:b/>
          <w:bCs/>
          <w:sz w:val="28"/>
          <w:szCs w:val="28"/>
          <w:highlight w:val="none"/>
        </w:rPr>
      </w:pPr>
      <w:bookmarkStart w:id="37" w:name="_Toc35393622"/>
      <w:bookmarkStart w:id="38" w:name="_Toc35393791"/>
      <w:bookmarkStart w:id="39" w:name="_Toc30977"/>
      <w:bookmarkStart w:id="40" w:name="_Toc28359080"/>
      <w:bookmarkStart w:id="41" w:name="_Toc12328"/>
      <w:bookmarkStart w:id="42" w:name="_Toc30997"/>
      <w:bookmarkStart w:id="43" w:name="_Toc28359003"/>
      <w:r>
        <w:rPr>
          <w:rFonts w:hint="eastAsia" w:ascii="黑体" w:hAnsi="黑体" w:cs="宋体"/>
          <w:b/>
          <w:bCs/>
          <w:sz w:val="28"/>
          <w:szCs w:val="28"/>
          <w:highlight w:val="none"/>
        </w:rPr>
        <w:t>二、申请人的资格要求：</w:t>
      </w:r>
      <w:bookmarkEnd w:id="37"/>
      <w:bookmarkEnd w:id="38"/>
      <w:bookmarkEnd w:id="39"/>
      <w:bookmarkEnd w:id="40"/>
      <w:bookmarkEnd w:id="41"/>
      <w:bookmarkEnd w:id="42"/>
      <w:bookmarkEnd w:id="43"/>
    </w:p>
    <w:p w14:paraId="6246C62F">
      <w:pPr>
        <w:spacing w:line="360" w:lineRule="auto"/>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1.满足《中华人民共和国政府采购法》第二十二条规定；</w:t>
      </w:r>
    </w:p>
    <w:p w14:paraId="2A14EC79">
      <w:pPr>
        <w:spacing w:line="360" w:lineRule="auto"/>
        <w:ind w:firstLine="560" w:firstLineChars="200"/>
        <w:rPr>
          <w:rFonts w:hint="eastAsia" w:ascii="仿宋" w:hAnsi="仿宋" w:eastAsia="仿宋"/>
          <w:color w:val="auto"/>
          <w:sz w:val="28"/>
          <w:szCs w:val="28"/>
          <w:highlight w:val="none"/>
          <w:u w:val="single"/>
          <w:lang w:val="en-US" w:eastAsia="zh-CN"/>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.落实政府采购政策需满足的资格要求：</w:t>
      </w:r>
      <w:r>
        <w:rPr>
          <w:rFonts w:hint="eastAsia" w:ascii="仿宋" w:hAnsi="仿宋" w:eastAsia="仿宋"/>
          <w:color w:val="auto"/>
          <w:sz w:val="28"/>
          <w:szCs w:val="28"/>
          <w:highlight w:val="none"/>
          <w:lang w:val="en-US" w:eastAsia="zh-CN"/>
        </w:rPr>
        <w:t>无</w:t>
      </w:r>
    </w:p>
    <w:p w14:paraId="77111D60">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3.本项目的特定资格要求：</w:t>
      </w:r>
    </w:p>
    <w:p w14:paraId="31DDB7BD">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40" w:firstLineChars="200"/>
        <w:textAlignment w:val="auto"/>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t>3.1资质要求：</w:t>
      </w:r>
    </w:p>
    <w:p w14:paraId="176E6161">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40" w:firstLineChars="200"/>
        <w:textAlignment w:val="auto"/>
        <w:rPr>
          <w:rFonts w:hint="eastAsia" w:ascii="仿宋" w:hAnsi="仿宋" w:eastAsia="仿宋" w:cs="仿宋"/>
          <w:color w:val="auto"/>
          <w:sz w:val="27"/>
          <w:szCs w:val="27"/>
          <w:highlight w:val="none"/>
          <w:lang w:val="en-US" w:eastAsia="zh-CN"/>
        </w:rPr>
      </w:pPr>
      <w:r>
        <w:rPr>
          <w:rFonts w:hint="eastAsia" w:ascii="仿宋" w:hAnsi="仿宋" w:eastAsia="仿宋" w:cs="仿宋"/>
          <w:color w:val="auto"/>
          <w:sz w:val="27"/>
          <w:szCs w:val="27"/>
          <w:highlight w:val="none"/>
          <w:lang w:val="en-US" w:eastAsia="zh-CN"/>
        </w:rPr>
        <w:t>3.1.1</w:t>
      </w:r>
      <w:r>
        <w:rPr>
          <w:rFonts w:hint="eastAsia" w:ascii="仿宋" w:hAnsi="仿宋" w:eastAsia="仿宋" w:cs="仿宋"/>
          <w:color w:val="auto"/>
          <w:sz w:val="27"/>
          <w:szCs w:val="27"/>
          <w:highlight w:val="none"/>
        </w:rPr>
        <w:t>投标人为制造商的，须具有相应的医疗器械生产许可证（属于二类或三类时）</w:t>
      </w:r>
      <w:r>
        <w:rPr>
          <w:rFonts w:hint="eastAsia" w:ascii="仿宋" w:hAnsi="仿宋" w:eastAsia="仿宋" w:cs="仿宋"/>
          <w:color w:val="auto"/>
          <w:sz w:val="27"/>
          <w:szCs w:val="27"/>
          <w:highlight w:val="none"/>
          <w:lang w:val="en-US" w:eastAsia="zh-CN"/>
        </w:rPr>
        <w:t>或医疗器械生产备案凭证（所投产品属于一类时）</w:t>
      </w:r>
    </w:p>
    <w:p w14:paraId="7FCB57F9">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40" w:firstLineChars="200"/>
        <w:textAlignment w:val="auto"/>
        <w:rPr>
          <w:rFonts w:hint="eastAsia" w:ascii="仿宋" w:hAnsi="仿宋" w:eastAsia="仿宋" w:cs="仿宋"/>
          <w:color w:val="auto"/>
          <w:sz w:val="27"/>
          <w:szCs w:val="27"/>
          <w:highlight w:val="none"/>
          <w:lang w:val="en-US" w:eastAsia="zh-CN"/>
        </w:rPr>
      </w:pPr>
      <w:r>
        <w:rPr>
          <w:rFonts w:hint="eastAsia" w:ascii="仿宋" w:hAnsi="仿宋" w:eastAsia="仿宋" w:cs="仿宋"/>
          <w:color w:val="auto"/>
          <w:sz w:val="27"/>
          <w:szCs w:val="27"/>
          <w:highlight w:val="none"/>
          <w:lang w:val="en-US" w:eastAsia="zh-CN"/>
        </w:rPr>
        <w:t>3.1.2投标人为非制造商时，须具有与投标产品相应的有效的医疗器械经营许可证（属于三类时）或医疗器械经营备案凭证（属于二类时）</w:t>
      </w:r>
    </w:p>
    <w:p w14:paraId="2A06183B">
      <w:pPr>
        <w:pStyle w:val="19"/>
        <w:spacing w:before="0" w:beforeAutospacing="0" w:after="0" w:afterAutospacing="0" w:line="360" w:lineRule="auto"/>
        <w:ind w:firstLine="810" w:firstLineChars="300"/>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t>3.2信誉要求</w:t>
      </w:r>
    </w:p>
    <w:p w14:paraId="2E2FF6F8">
      <w:pPr>
        <w:pStyle w:val="19"/>
        <w:spacing w:before="0" w:beforeAutospacing="0" w:after="0" w:afterAutospacing="0" w:line="360" w:lineRule="auto"/>
        <w:ind w:firstLine="840" w:firstLineChars="3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截至提交首次投标文件截止时间，投标人（不含其不具备独立承担民事责任能力的分支机构）存在下列有效情形之一的，其投标文件按无效处理。</w:t>
      </w:r>
    </w:p>
    <w:p w14:paraId="6902DD60">
      <w:pPr>
        <w:spacing w:line="36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（1）被人民法院列入失信被执行人；</w:t>
      </w:r>
    </w:p>
    <w:p w14:paraId="34D3DE0C">
      <w:pPr>
        <w:spacing w:line="36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）被市场监督管理部门列入严重违法失信名单；</w:t>
      </w:r>
    </w:p>
    <w:p w14:paraId="56883183">
      <w:pPr>
        <w:spacing w:line="36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）被税务机关列入重大税收违法失信主体名单；</w:t>
      </w:r>
    </w:p>
    <w:p w14:paraId="6569535F">
      <w:pPr>
        <w:spacing w:line="36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）被财政部门列入政府采购严重违法失信行为记录名单。</w:t>
      </w:r>
    </w:p>
    <w:p w14:paraId="7B7A14CE">
      <w:pPr>
        <w:spacing w:line="360" w:lineRule="auto"/>
        <w:ind w:firstLine="560" w:firstLineChars="200"/>
        <w:rPr>
          <w:rFonts w:hint="eastAsia" w:ascii="仿宋" w:hAnsi="仿宋" w:eastAsia="仿宋"/>
          <w:i/>
          <w:iCs/>
          <w:sz w:val="28"/>
          <w:szCs w:val="28"/>
          <w:highlight w:val="none"/>
          <w:u w:val="single"/>
          <w:lang w:val="en-US" w:eastAsia="zh-CN"/>
        </w:rPr>
      </w:pPr>
      <w:r>
        <w:rPr>
          <w:rFonts w:hint="eastAsia" w:ascii="仿宋" w:hAnsi="仿宋" w:eastAsia="仿宋"/>
          <w:color w:val="auto"/>
          <w:sz w:val="28"/>
          <w:szCs w:val="28"/>
          <w:highlight w:val="none"/>
        </w:rPr>
        <w:t>注：“有效”是指“情形”规定的程度、起止期间处于有效状态。</w:t>
      </w:r>
      <w:r>
        <w:rPr>
          <w:rFonts w:ascii="Calibri" w:hAnsi="Calibri" w:eastAsia="仿宋" w:cs="Calibri"/>
          <w:color w:val="auto"/>
          <w:sz w:val="28"/>
          <w:szCs w:val="28"/>
          <w:highlight w:val="none"/>
        </w:rPr>
        <w:t>  </w:t>
      </w:r>
      <w:r>
        <w:rPr>
          <w:rFonts w:ascii="Calibri" w:hAnsi="Calibri" w:eastAsia="仿宋" w:cs="Calibri"/>
          <w:color w:val="auto"/>
          <w:sz w:val="28"/>
          <w:szCs w:val="28"/>
        </w:rPr>
        <w:t>  </w:t>
      </w:r>
      <w:r>
        <w:rPr>
          <w:rFonts w:hint="eastAsia" w:ascii="仿宋" w:hAnsi="仿宋" w:eastAsia="仿宋" w:cs="仿宋"/>
        </w:rPr>
        <w:t xml:space="preserve">  </w:t>
      </w:r>
    </w:p>
    <w:p w14:paraId="4A8C7748">
      <w:pPr>
        <w:spacing w:before="260" w:after="260"/>
        <w:outlineLvl w:val="1"/>
        <w:rPr>
          <w:rFonts w:hint="eastAsia" w:ascii="黑体" w:hAnsi="黑体" w:cs="宋体"/>
          <w:b/>
          <w:bCs/>
          <w:sz w:val="28"/>
          <w:szCs w:val="28"/>
        </w:rPr>
      </w:pPr>
      <w:bookmarkStart w:id="44" w:name="_Toc15468"/>
      <w:bookmarkStart w:id="45" w:name="_Toc35393792"/>
      <w:bookmarkStart w:id="46" w:name="_Toc15648"/>
      <w:bookmarkStart w:id="47" w:name="_Toc35393623"/>
      <w:bookmarkStart w:id="48" w:name="_Toc22727"/>
      <w:bookmarkStart w:id="49" w:name="_Toc6657"/>
      <w:bookmarkStart w:id="50" w:name="_Toc418935906"/>
      <w:bookmarkStart w:id="51" w:name="_Hlt510342998"/>
      <w:bookmarkStart w:id="52" w:name="_Hlt510343011"/>
      <w:r>
        <w:rPr>
          <w:rFonts w:hint="eastAsia" w:ascii="黑体" w:hAnsi="黑体" w:cs="宋体"/>
          <w:b/>
          <w:bCs/>
          <w:sz w:val="28"/>
          <w:szCs w:val="28"/>
        </w:rPr>
        <w:t>三、获取招标文件</w:t>
      </w:r>
      <w:bookmarkEnd w:id="44"/>
      <w:bookmarkEnd w:id="45"/>
      <w:bookmarkEnd w:id="46"/>
      <w:bookmarkEnd w:id="47"/>
      <w:bookmarkEnd w:id="48"/>
    </w:p>
    <w:p w14:paraId="2E19D70A">
      <w:pPr>
        <w:spacing w:line="360" w:lineRule="auto"/>
        <w:ind w:firstLine="540"/>
        <w:rPr>
          <w:rFonts w:ascii="仿宋" w:hAnsi="仿宋" w:eastAsia="仿宋" w:cs="宋体"/>
          <w:sz w:val="28"/>
          <w:szCs w:val="28"/>
        </w:rPr>
      </w:pPr>
      <w:r>
        <w:rPr>
          <w:rFonts w:hint="eastAsia" w:ascii="仿宋" w:hAnsi="仿宋" w:eastAsia="仿宋" w:cs="宋体"/>
          <w:sz w:val="28"/>
          <w:szCs w:val="28"/>
          <w:u w:val="none"/>
        </w:rPr>
        <w:t>时间：202</w:t>
      </w:r>
      <w:r>
        <w:rPr>
          <w:rFonts w:hint="eastAsia" w:ascii="仿宋" w:hAnsi="仿宋" w:eastAsia="仿宋" w:cs="宋体"/>
          <w:sz w:val="28"/>
          <w:szCs w:val="28"/>
          <w:u w:val="none"/>
          <w:lang w:val="en-US" w:eastAsia="zh-CN"/>
        </w:rPr>
        <w:t>6</w:t>
      </w:r>
      <w:r>
        <w:rPr>
          <w:rFonts w:hint="eastAsia" w:ascii="仿宋" w:hAnsi="仿宋" w:eastAsia="仿宋" w:cs="宋体"/>
          <w:sz w:val="28"/>
          <w:szCs w:val="28"/>
          <w:u w:val="none"/>
        </w:rPr>
        <w:t>年</w:t>
      </w:r>
      <w:r>
        <w:rPr>
          <w:rFonts w:hint="eastAsia" w:ascii="仿宋" w:hAnsi="仿宋" w:eastAsia="仿宋" w:cs="宋体"/>
          <w:sz w:val="28"/>
          <w:szCs w:val="28"/>
          <w:u w:val="none"/>
          <w:lang w:val="en-US" w:eastAsia="zh-CN"/>
        </w:rPr>
        <w:t>8月19日</w:t>
      </w:r>
      <w:r>
        <w:rPr>
          <w:rFonts w:hint="eastAsia" w:ascii="仿宋" w:hAnsi="仿宋" w:eastAsia="仿宋" w:cs="宋体"/>
          <w:sz w:val="28"/>
          <w:szCs w:val="28"/>
          <w:u w:val="none"/>
        </w:rPr>
        <w:t>至202</w:t>
      </w:r>
      <w:r>
        <w:rPr>
          <w:rFonts w:hint="eastAsia" w:ascii="仿宋" w:hAnsi="仿宋" w:eastAsia="仿宋" w:cs="宋体"/>
          <w:sz w:val="28"/>
          <w:szCs w:val="28"/>
          <w:u w:val="none"/>
          <w:lang w:val="en-US" w:eastAsia="zh-CN"/>
        </w:rPr>
        <w:t>6</w:t>
      </w:r>
      <w:r>
        <w:rPr>
          <w:rFonts w:hint="eastAsia" w:ascii="仿宋" w:hAnsi="仿宋" w:eastAsia="仿宋" w:cs="宋体"/>
          <w:sz w:val="28"/>
          <w:szCs w:val="28"/>
          <w:u w:val="none"/>
        </w:rPr>
        <w:t>年</w:t>
      </w:r>
      <w:r>
        <w:rPr>
          <w:rFonts w:hint="eastAsia" w:ascii="仿宋" w:hAnsi="仿宋" w:eastAsia="仿宋" w:cs="宋体"/>
          <w:sz w:val="28"/>
          <w:szCs w:val="28"/>
          <w:u w:val="none"/>
          <w:lang w:val="en-US" w:eastAsia="zh-CN"/>
        </w:rPr>
        <w:t>8月26日</w:t>
      </w:r>
      <w:r>
        <w:rPr>
          <w:rFonts w:hint="eastAsia" w:ascii="仿宋" w:hAnsi="仿宋" w:eastAsia="仿宋" w:cs="宋体"/>
          <w:sz w:val="28"/>
          <w:szCs w:val="28"/>
          <w:u w:val="none"/>
        </w:rPr>
        <w:t>，每天上午 00:00至12:00 ，下午12:00至23:59（北京时间，法定节假日除外）</w:t>
      </w:r>
    </w:p>
    <w:p w14:paraId="4D4BF7B5">
      <w:pPr>
        <w:spacing w:line="360" w:lineRule="auto"/>
        <w:ind w:firstLine="540"/>
        <w:rPr>
          <w:rFonts w:ascii="仿宋" w:hAnsi="仿宋" w:eastAsia="仿宋" w:cs="宋体"/>
          <w:sz w:val="28"/>
          <w:szCs w:val="28"/>
        </w:rPr>
      </w:pPr>
      <w:r>
        <w:rPr>
          <w:rFonts w:hint="eastAsia" w:ascii="仿宋" w:hAnsi="仿宋" w:eastAsia="仿宋" w:cs="宋体"/>
          <w:sz w:val="28"/>
          <w:szCs w:val="28"/>
        </w:rPr>
        <w:t>地点：</w:t>
      </w:r>
      <w:r>
        <w:rPr>
          <w:rFonts w:hint="eastAsia" w:ascii="仿宋" w:hAnsi="仿宋" w:eastAsia="仿宋" w:cs="宋体"/>
          <w:sz w:val="28"/>
          <w:szCs w:val="28"/>
          <w:lang w:eastAsia="zh-CN"/>
        </w:rPr>
        <w:t>安天e采</w:t>
      </w:r>
      <w:r>
        <w:rPr>
          <w:rFonts w:hint="eastAsia" w:ascii="仿宋" w:hAnsi="仿宋" w:eastAsia="仿宋" w:cs="宋体"/>
          <w:sz w:val="28"/>
          <w:szCs w:val="28"/>
        </w:rPr>
        <w:t>招标采购电子交易系统（www.xinecai.com）</w:t>
      </w:r>
    </w:p>
    <w:p w14:paraId="35436D33">
      <w:pPr>
        <w:spacing w:line="360" w:lineRule="auto"/>
        <w:ind w:firstLine="540"/>
        <w:rPr>
          <w:rFonts w:hint="eastAsia" w:ascii="仿宋" w:hAnsi="仿宋" w:eastAsia="仿宋" w:cs="宋体"/>
          <w:sz w:val="28"/>
          <w:szCs w:val="28"/>
          <w:u w:val="single"/>
        </w:rPr>
      </w:pPr>
      <w:r>
        <w:rPr>
          <w:rFonts w:hint="eastAsia" w:ascii="仿宋" w:hAnsi="仿宋" w:eastAsia="仿宋" w:cs="宋体"/>
          <w:sz w:val="28"/>
          <w:szCs w:val="28"/>
        </w:rPr>
        <w:t>方式：网上获取。具体操作参见</w:t>
      </w:r>
      <w:r>
        <w:rPr>
          <w:rFonts w:hint="eastAsia" w:ascii="仿宋" w:hAnsi="仿宋" w:eastAsia="仿宋" w:cs="宋体"/>
          <w:sz w:val="28"/>
          <w:szCs w:val="28"/>
          <w:lang w:eastAsia="zh-CN"/>
        </w:rPr>
        <w:t>安天e采</w:t>
      </w:r>
      <w:r>
        <w:rPr>
          <w:rFonts w:hint="eastAsia" w:ascii="仿宋" w:hAnsi="仿宋" w:eastAsia="仿宋" w:cs="宋体"/>
          <w:sz w:val="28"/>
          <w:szCs w:val="28"/>
        </w:rPr>
        <w:t>操作手册，</w:t>
      </w:r>
      <w:r>
        <w:rPr>
          <w:rFonts w:hint="eastAsia" w:ascii="仿宋" w:hAnsi="仿宋" w:eastAsia="仿宋" w:cs="宋体"/>
          <w:sz w:val="28"/>
          <w:szCs w:val="28"/>
          <w:lang w:eastAsia="zh-CN"/>
        </w:rPr>
        <w:t>安天e采</w:t>
      </w:r>
      <w:r>
        <w:rPr>
          <w:rFonts w:hint="eastAsia" w:ascii="仿宋" w:hAnsi="仿宋" w:eastAsia="仿宋" w:cs="宋体"/>
          <w:sz w:val="28"/>
          <w:szCs w:val="28"/>
        </w:rPr>
        <w:t>服务热线：400-050-9988</w:t>
      </w:r>
    </w:p>
    <w:p w14:paraId="45D1E3A8">
      <w:pPr>
        <w:spacing w:line="360" w:lineRule="auto"/>
        <w:ind w:firstLine="540"/>
        <w:rPr>
          <w:rFonts w:ascii="仿宋" w:hAnsi="仿宋" w:eastAsia="仿宋" w:cs="宋体"/>
          <w:sz w:val="28"/>
          <w:szCs w:val="28"/>
        </w:rPr>
      </w:pPr>
      <w:r>
        <w:rPr>
          <w:rFonts w:hint="eastAsia" w:ascii="仿宋" w:hAnsi="仿宋" w:eastAsia="仿宋" w:cs="宋体"/>
          <w:sz w:val="28"/>
          <w:szCs w:val="28"/>
        </w:rPr>
        <w:t>售价：￥0.0元，本公告包含的招标文件售价总和</w:t>
      </w:r>
    </w:p>
    <w:p w14:paraId="596059F0">
      <w:pPr>
        <w:spacing w:before="260" w:after="260"/>
        <w:outlineLvl w:val="1"/>
        <w:rPr>
          <w:rFonts w:ascii="黑体" w:hAnsi="黑体" w:cs="宋体"/>
          <w:b/>
          <w:bCs/>
          <w:sz w:val="28"/>
          <w:szCs w:val="28"/>
        </w:rPr>
      </w:pPr>
      <w:bookmarkStart w:id="53" w:name="_Toc28359082"/>
      <w:bookmarkStart w:id="54" w:name="_Toc28359005"/>
      <w:bookmarkStart w:id="55" w:name="_Toc35393793"/>
      <w:bookmarkStart w:id="56" w:name="_Toc22436"/>
      <w:bookmarkStart w:id="57" w:name="_Toc29529"/>
      <w:bookmarkStart w:id="58" w:name="_Toc35393624"/>
      <w:bookmarkStart w:id="59" w:name="_Toc19303"/>
      <w:r>
        <w:rPr>
          <w:rFonts w:hint="eastAsia" w:ascii="黑体" w:hAnsi="黑体" w:cs="宋体"/>
          <w:b/>
          <w:bCs/>
          <w:sz w:val="28"/>
          <w:szCs w:val="28"/>
        </w:rPr>
        <w:t>四、提交投标文件</w:t>
      </w:r>
      <w:bookmarkEnd w:id="53"/>
      <w:bookmarkEnd w:id="54"/>
      <w:r>
        <w:rPr>
          <w:rFonts w:hint="eastAsia" w:ascii="黑体" w:hAnsi="黑体" w:cs="宋体"/>
          <w:b/>
          <w:bCs/>
          <w:sz w:val="28"/>
          <w:szCs w:val="28"/>
        </w:rPr>
        <w:t>截止时间、开标时间和地点</w:t>
      </w:r>
      <w:bookmarkEnd w:id="55"/>
      <w:bookmarkEnd w:id="56"/>
      <w:bookmarkEnd w:id="57"/>
      <w:bookmarkEnd w:id="58"/>
      <w:bookmarkEnd w:id="59"/>
    </w:p>
    <w:p w14:paraId="3B464BB0">
      <w:pPr>
        <w:spacing w:line="360" w:lineRule="auto"/>
        <w:ind w:firstLine="560" w:firstLineChars="200"/>
        <w:rPr>
          <w:rFonts w:hint="eastAsia" w:ascii="仿宋" w:hAnsi="仿宋" w:eastAsia="仿宋"/>
          <w:bCs/>
          <w:sz w:val="28"/>
          <w:szCs w:val="28"/>
        </w:rPr>
      </w:pPr>
      <w:r>
        <w:rPr>
          <w:rFonts w:hint="eastAsia" w:ascii="仿宋" w:hAnsi="仿宋" w:eastAsia="仿宋"/>
          <w:bCs/>
          <w:sz w:val="28"/>
          <w:szCs w:val="28"/>
          <w:u w:val="none"/>
          <w:lang w:val="en-US" w:eastAsia="zh-CN"/>
        </w:rPr>
        <w:t>提交投标文件截止时间：</w:t>
      </w: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9月9日9点30分</w:t>
      </w:r>
      <w:r>
        <w:rPr>
          <w:rFonts w:hint="eastAsia" w:ascii="仿宋" w:hAnsi="仿宋" w:eastAsia="仿宋"/>
          <w:bCs/>
          <w:sz w:val="28"/>
          <w:szCs w:val="28"/>
        </w:rPr>
        <w:t>（北京时间）</w:t>
      </w:r>
    </w:p>
    <w:p w14:paraId="62BA71B0">
      <w:pPr>
        <w:spacing w:line="360" w:lineRule="auto"/>
        <w:ind w:firstLine="560" w:firstLineChars="200"/>
      </w:pPr>
      <w:r>
        <w:rPr>
          <w:rFonts w:hint="eastAsia" w:ascii="仿宋" w:hAnsi="仿宋" w:eastAsia="仿宋" w:cs="Times New Roman"/>
          <w:bCs/>
          <w:smallCaps w:val="0"/>
          <w:kern w:val="2"/>
          <w:sz w:val="28"/>
          <w:szCs w:val="28"/>
          <w:u w:val="none"/>
          <w:lang w:val="en-US" w:eastAsia="zh-CN" w:bidi="ar-SA"/>
        </w:rPr>
        <w:t>开标时间：</w:t>
      </w: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9月9日9点30分</w:t>
      </w:r>
      <w:r>
        <w:rPr>
          <w:rFonts w:hint="eastAsia" w:ascii="仿宋" w:hAnsi="仿宋" w:eastAsia="仿宋" w:cs="Times New Roman"/>
          <w:bCs/>
          <w:smallCaps w:val="0"/>
          <w:kern w:val="2"/>
          <w:sz w:val="28"/>
          <w:szCs w:val="28"/>
          <w:u w:val="none"/>
          <w:lang w:val="en-US" w:eastAsia="zh-CN" w:bidi="ar-SA"/>
        </w:rPr>
        <w:t>（北京时间）</w:t>
      </w:r>
    </w:p>
    <w:p w14:paraId="37CF1C18">
      <w:pPr>
        <w:spacing w:line="360" w:lineRule="auto"/>
        <w:ind w:firstLine="560" w:firstLineChars="200"/>
        <w:rPr>
          <w:rFonts w:ascii="仿宋" w:hAnsi="仿宋" w:eastAsia="仿宋"/>
          <w:bCs/>
          <w:sz w:val="28"/>
          <w:szCs w:val="28"/>
          <w:u w:val="single"/>
        </w:rPr>
      </w:pPr>
      <w:r>
        <w:rPr>
          <w:rFonts w:hint="eastAsia" w:ascii="仿宋" w:hAnsi="仿宋" w:eastAsia="仿宋"/>
          <w:sz w:val="28"/>
          <w:szCs w:val="28"/>
        </w:rPr>
        <w:t>地点：</w:t>
      </w:r>
      <w:r>
        <w:rPr>
          <w:rFonts w:hint="eastAsia" w:ascii="仿宋" w:hAnsi="仿宋" w:eastAsia="仿宋" w:cs="宋体"/>
          <w:sz w:val="28"/>
          <w:szCs w:val="28"/>
          <w:lang w:eastAsia="zh-CN"/>
        </w:rPr>
        <w:t>安天e采</w:t>
      </w:r>
      <w:r>
        <w:rPr>
          <w:rFonts w:hint="eastAsia" w:ascii="仿宋" w:hAnsi="仿宋" w:eastAsia="仿宋" w:cs="宋体"/>
          <w:sz w:val="28"/>
          <w:szCs w:val="28"/>
        </w:rPr>
        <w:t>招标采购电子交易系统（www.xinecai.com）</w:t>
      </w:r>
    </w:p>
    <w:p w14:paraId="5733B7B7">
      <w:pPr>
        <w:spacing w:before="260" w:after="260"/>
        <w:outlineLvl w:val="1"/>
        <w:rPr>
          <w:rFonts w:ascii="黑体" w:hAnsi="黑体" w:cs="宋体"/>
          <w:b/>
          <w:bCs/>
          <w:sz w:val="28"/>
          <w:szCs w:val="28"/>
        </w:rPr>
      </w:pPr>
      <w:bookmarkStart w:id="60" w:name="_Toc28420"/>
      <w:bookmarkStart w:id="61" w:name="_Toc35393794"/>
      <w:bookmarkStart w:id="62" w:name="_Toc28359007"/>
      <w:bookmarkStart w:id="63" w:name="_Toc28359084"/>
      <w:bookmarkStart w:id="64" w:name="_Toc24721"/>
      <w:bookmarkStart w:id="65" w:name="_Toc3709"/>
      <w:bookmarkStart w:id="66" w:name="_Toc35393625"/>
      <w:r>
        <w:rPr>
          <w:rFonts w:hint="eastAsia" w:ascii="黑体" w:hAnsi="黑体" w:cs="宋体"/>
          <w:b/>
          <w:bCs/>
          <w:sz w:val="28"/>
          <w:szCs w:val="28"/>
        </w:rPr>
        <w:t>五、公告期限</w:t>
      </w:r>
      <w:bookmarkEnd w:id="60"/>
      <w:bookmarkEnd w:id="61"/>
      <w:bookmarkEnd w:id="62"/>
      <w:bookmarkEnd w:id="63"/>
      <w:bookmarkEnd w:id="64"/>
      <w:bookmarkEnd w:id="65"/>
      <w:bookmarkEnd w:id="66"/>
    </w:p>
    <w:p w14:paraId="66FF7642">
      <w:pPr>
        <w:spacing w:line="360" w:lineRule="auto"/>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14:paraId="07690432">
      <w:pPr>
        <w:spacing w:before="260" w:after="260"/>
        <w:outlineLvl w:val="1"/>
        <w:rPr>
          <w:rFonts w:ascii="黑体" w:hAnsi="黑体" w:cs="宋体"/>
          <w:b/>
          <w:bCs/>
          <w:sz w:val="28"/>
          <w:szCs w:val="28"/>
        </w:rPr>
      </w:pPr>
      <w:bookmarkStart w:id="67" w:name="_Toc35393626"/>
      <w:bookmarkStart w:id="68" w:name="_Toc24953"/>
      <w:bookmarkStart w:id="69" w:name="_Toc25707"/>
      <w:bookmarkStart w:id="70" w:name="_Toc4868"/>
      <w:bookmarkStart w:id="71" w:name="_Toc35393795"/>
      <w:r>
        <w:rPr>
          <w:rFonts w:hint="eastAsia" w:ascii="黑体" w:hAnsi="黑体" w:cs="宋体"/>
          <w:b/>
          <w:bCs/>
          <w:sz w:val="28"/>
          <w:szCs w:val="28"/>
        </w:rPr>
        <w:t>六、其他补充事宜</w:t>
      </w:r>
      <w:bookmarkEnd w:id="67"/>
      <w:bookmarkEnd w:id="68"/>
      <w:bookmarkEnd w:id="69"/>
      <w:bookmarkEnd w:id="70"/>
      <w:bookmarkEnd w:id="71"/>
    </w:p>
    <w:p w14:paraId="5192D2DE">
      <w:pPr>
        <w:spacing w:line="360" w:lineRule="auto"/>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1.本项目落实节能环保、中小微型企业扶持等相关政府采购政策详见招标文件。</w:t>
      </w:r>
    </w:p>
    <w:p w14:paraId="60B81300">
      <w:pPr>
        <w:spacing w:line="360" w:lineRule="auto"/>
        <w:ind w:firstLine="560" w:firstLineChars="200"/>
        <w:rPr>
          <w:rFonts w:hint="eastAsia" w:ascii="仿宋" w:hAnsi="仿宋" w:eastAsia="仿宋" w:cs="宋体"/>
          <w:kern w:val="0"/>
          <w:sz w:val="28"/>
          <w:szCs w:val="28"/>
          <w:highlight w:val="none"/>
        </w:rPr>
      </w:pPr>
      <w:r>
        <w:rPr>
          <w:rFonts w:hint="eastAsia" w:ascii="仿宋" w:hAnsi="仿宋" w:eastAsia="仿宋" w:cs="宋体"/>
          <w:kern w:val="0"/>
          <w:sz w:val="28"/>
          <w:szCs w:val="28"/>
        </w:rPr>
        <w:t>2.申请人应合理安排招标文件获取及投标文件上传时间，特别是网络速度慢的地区，防止在系统关闭前网络拥堵无法操作。如因计算机及网络故障造成无</w:t>
      </w:r>
      <w:r>
        <w:rPr>
          <w:rFonts w:hint="eastAsia" w:ascii="仿宋" w:hAnsi="仿宋" w:eastAsia="仿宋" w:cs="宋体"/>
          <w:kern w:val="0"/>
          <w:sz w:val="28"/>
          <w:szCs w:val="28"/>
          <w:highlight w:val="none"/>
        </w:rPr>
        <w:t>法完成招标文件获取及投标文件上传的，责任自负。</w:t>
      </w:r>
    </w:p>
    <w:p w14:paraId="5EFAFCE9">
      <w:pPr>
        <w:spacing w:line="360" w:lineRule="auto"/>
        <w:ind w:firstLine="560" w:firstLineChars="200"/>
        <w:rPr>
          <w:rFonts w:hint="eastAsia" w:ascii="仿宋" w:hAnsi="仿宋" w:eastAsia="仿宋" w:cs="宋体"/>
          <w:kern w:val="0"/>
          <w:sz w:val="28"/>
          <w:szCs w:val="28"/>
          <w:highlight w:val="none"/>
        </w:rPr>
      </w:pPr>
      <w:r>
        <w:rPr>
          <w:rFonts w:hint="eastAsia" w:ascii="仿宋" w:hAnsi="仿宋" w:eastAsia="仿宋" w:cs="宋体"/>
          <w:kern w:val="0"/>
          <w:sz w:val="28"/>
          <w:szCs w:val="28"/>
          <w:highlight w:val="none"/>
        </w:rPr>
        <w:t>3.根据《政府采购促进中小企业发展管理办法》（财库〔2020〕46号）第六条</w:t>
      </w:r>
      <w:r>
        <w:rPr>
          <w:rFonts w:hint="eastAsia" w:ascii="仿宋" w:hAnsi="仿宋" w:eastAsia="仿宋" w:cs="宋体"/>
          <w:kern w:val="0"/>
          <w:sz w:val="28"/>
          <w:szCs w:val="28"/>
          <w:highlight w:val="none"/>
          <w:lang w:val="en-US" w:eastAsia="zh-CN"/>
        </w:rPr>
        <w:t>第二款</w:t>
      </w:r>
      <w:r>
        <w:rPr>
          <w:rFonts w:hint="eastAsia" w:ascii="仿宋" w:hAnsi="仿宋" w:eastAsia="仿宋" w:cs="宋体"/>
          <w:kern w:val="0"/>
          <w:sz w:val="28"/>
          <w:szCs w:val="28"/>
          <w:highlight w:val="none"/>
        </w:rPr>
        <w:t>规定，</w:t>
      </w:r>
      <w:r>
        <w:rPr>
          <w:rFonts w:hint="eastAsia" w:ascii="仿宋" w:hAnsi="仿宋" w:eastAsia="仿宋" w:cs="宋体"/>
          <w:b/>
          <w:bCs/>
          <w:kern w:val="0"/>
          <w:sz w:val="28"/>
          <w:szCs w:val="28"/>
          <w:highlight w:val="none"/>
        </w:rPr>
        <w:t>本次采购项目符合不专门面向中小企业预留采购份额情形</w:t>
      </w:r>
      <w:r>
        <w:rPr>
          <w:rFonts w:hint="eastAsia" w:ascii="仿宋" w:hAnsi="仿宋" w:eastAsia="仿宋" w:cs="宋体"/>
          <w:kern w:val="0"/>
          <w:sz w:val="28"/>
          <w:szCs w:val="28"/>
          <w:highlight w:val="none"/>
        </w:rPr>
        <w:t>：因确需使用不可替代的专利、专有技术，基础设施限制，或者提供特定公共服务等原因，只能从中小企业之外的供应商处采购的。投标人如对此项内容有疑问，可按招标文件约定提出询问或质疑。</w:t>
      </w:r>
    </w:p>
    <w:p w14:paraId="45180630">
      <w:pPr>
        <w:spacing w:before="260" w:after="260"/>
        <w:outlineLvl w:val="1"/>
        <w:rPr>
          <w:rFonts w:ascii="黑体" w:hAnsi="黑体" w:cs="宋体"/>
          <w:b/>
          <w:bCs/>
          <w:sz w:val="28"/>
          <w:szCs w:val="28"/>
        </w:rPr>
      </w:pPr>
      <w:bookmarkStart w:id="72" w:name="_Toc28359085"/>
      <w:bookmarkStart w:id="73" w:name="_Toc35393796"/>
      <w:bookmarkStart w:id="74" w:name="_Toc17612"/>
      <w:bookmarkStart w:id="75" w:name="_Toc8"/>
      <w:bookmarkStart w:id="76" w:name="_Toc28359008"/>
      <w:bookmarkStart w:id="77" w:name="_Toc17740"/>
      <w:bookmarkStart w:id="78" w:name="_Toc35393627"/>
      <w:r>
        <w:rPr>
          <w:rFonts w:hint="eastAsia" w:ascii="黑体" w:hAnsi="黑体" w:cs="宋体"/>
          <w:b/>
          <w:bCs/>
          <w:sz w:val="28"/>
          <w:szCs w:val="28"/>
        </w:rPr>
        <w:t>七、对本次招标提出询问，请按</w:t>
      </w:r>
      <w:r>
        <w:rPr>
          <w:rFonts w:ascii="黑体" w:hAnsi="黑体" w:cs="宋体"/>
          <w:b/>
          <w:bCs/>
          <w:sz w:val="28"/>
          <w:szCs w:val="28"/>
        </w:rPr>
        <w:t>以下方式</w:t>
      </w:r>
      <w:r>
        <w:rPr>
          <w:rFonts w:hint="eastAsia" w:ascii="黑体" w:hAnsi="黑体" w:cs="宋体"/>
          <w:b/>
          <w:bCs/>
          <w:sz w:val="28"/>
          <w:szCs w:val="28"/>
        </w:rPr>
        <w:t>联系。</w:t>
      </w:r>
      <w:bookmarkEnd w:id="72"/>
      <w:bookmarkEnd w:id="73"/>
      <w:bookmarkEnd w:id="74"/>
      <w:bookmarkEnd w:id="75"/>
      <w:bookmarkEnd w:id="76"/>
      <w:bookmarkEnd w:id="77"/>
      <w:bookmarkEnd w:id="78"/>
    </w:p>
    <w:p w14:paraId="7FB4DF3E">
      <w:pPr>
        <w:spacing w:line="360" w:lineRule="auto"/>
        <w:ind w:firstLine="840" w:firstLineChars="300"/>
        <w:rPr>
          <w:rFonts w:hint="eastAsia" w:ascii="仿宋" w:hAnsi="仿宋" w:eastAsia="仿宋" w:cs="宋体"/>
          <w:sz w:val="28"/>
          <w:szCs w:val="28"/>
        </w:rPr>
      </w:pPr>
      <w:r>
        <w:rPr>
          <w:rFonts w:hint="eastAsia" w:ascii="仿宋" w:hAnsi="仿宋" w:eastAsia="仿宋" w:cs="宋体"/>
          <w:sz w:val="28"/>
          <w:szCs w:val="28"/>
        </w:rPr>
        <w:t>1.采购人信息</w:t>
      </w:r>
    </w:p>
    <w:p w14:paraId="7DFDA10D">
      <w:pPr>
        <w:spacing w:line="360" w:lineRule="auto"/>
        <w:ind w:firstLine="840" w:firstLineChars="300"/>
        <w:rPr>
          <w:rFonts w:hint="eastAsia" w:ascii="仿宋" w:hAnsi="仿宋" w:eastAsia="仿宋" w:cs="宋体"/>
          <w:sz w:val="28"/>
          <w:szCs w:val="28"/>
        </w:rPr>
      </w:pPr>
      <w:r>
        <w:rPr>
          <w:rFonts w:hint="eastAsia" w:ascii="仿宋" w:hAnsi="仿宋" w:eastAsia="仿宋" w:cs="宋体"/>
          <w:sz w:val="28"/>
          <w:szCs w:val="28"/>
        </w:rPr>
        <w:t>名称：</w:t>
      </w:r>
      <w:r>
        <w:rPr>
          <w:rFonts w:hint="eastAsia" w:ascii="仿宋" w:hAnsi="仿宋" w:eastAsia="仿宋" w:cs="宋体"/>
          <w:sz w:val="28"/>
          <w:szCs w:val="28"/>
          <w:lang w:val="en-US" w:eastAsia="zh-CN"/>
        </w:rPr>
        <w:t>安徽省第二人民医院</w:t>
      </w:r>
    </w:p>
    <w:p w14:paraId="5E752032">
      <w:pPr>
        <w:spacing w:line="360" w:lineRule="auto"/>
        <w:ind w:firstLine="840" w:firstLineChars="300"/>
        <w:rPr>
          <w:rFonts w:hint="eastAsia" w:ascii="仿宋" w:hAnsi="仿宋" w:eastAsia="仿宋" w:cs="宋体"/>
          <w:sz w:val="28"/>
          <w:szCs w:val="28"/>
        </w:rPr>
      </w:pPr>
      <w:r>
        <w:rPr>
          <w:rFonts w:hint="eastAsia" w:ascii="仿宋" w:hAnsi="仿宋" w:eastAsia="仿宋" w:cs="宋体"/>
          <w:sz w:val="28"/>
          <w:szCs w:val="28"/>
        </w:rPr>
        <w:t>地址：安徽省合肥市北二环砀山路1868号</w:t>
      </w:r>
    </w:p>
    <w:p w14:paraId="13A904CB">
      <w:pPr>
        <w:spacing w:line="360" w:lineRule="auto"/>
        <w:ind w:firstLine="840" w:firstLineChars="300"/>
        <w:rPr>
          <w:rFonts w:hint="default" w:ascii="仿宋" w:hAnsi="仿宋" w:eastAsia="宋体" w:cs="宋体"/>
          <w:sz w:val="28"/>
          <w:szCs w:val="28"/>
          <w:lang w:val="en-US" w:eastAsia="zh-CN"/>
        </w:rPr>
      </w:pPr>
      <w:r>
        <w:rPr>
          <w:rFonts w:hint="eastAsia" w:ascii="仿宋" w:hAnsi="仿宋" w:eastAsia="仿宋" w:cs="宋体"/>
          <w:sz w:val="28"/>
          <w:szCs w:val="28"/>
        </w:rPr>
        <w:t>联系人：</w:t>
      </w:r>
      <w:r>
        <w:rPr>
          <w:rFonts w:hint="eastAsia" w:ascii="仿宋" w:hAnsi="仿宋" w:eastAsia="仿宋" w:cs="宋体"/>
          <w:sz w:val="28"/>
          <w:szCs w:val="28"/>
          <w:lang w:val="en-US" w:eastAsia="zh-CN"/>
        </w:rPr>
        <w:t>邓</w:t>
      </w:r>
      <w:r>
        <w:rPr>
          <w:rFonts w:hint="eastAsia" w:ascii="仿宋" w:hAnsi="仿宋" w:eastAsia="仿宋" w:cs="宋体"/>
          <w:sz w:val="28"/>
          <w:szCs w:val="28"/>
        </w:rPr>
        <w:t>老师</w:t>
      </w:r>
      <w:bookmarkStart w:id="79" w:name="_Toc28359009"/>
      <w:bookmarkStart w:id="80" w:name="_Toc28359086"/>
      <w:r>
        <w:rPr>
          <w:rFonts w:hint="eastAsia" w:ascii="仿宋" w:hAnsi="仿宋" w:eastAsia="仿宋" w:cs="宋体"/>
          <w:sz w:val="28"/>
          <w:szCs w:val="28"/>
          <w:lang w:val="en-US" w:eastAsia="zh-CN"/>
        </w:rPr>
        <w:t xml:space="preserve"> </w:t>
      </w:r>
      <w:r>
        <w:rPr>
          <w:rFonts w:hint="eastAsia" w:ascii="仿宋" w:hAnsi="仿宋" w:eastAsia="仿宋" w:cs="宋体"/>
          <w:kern w:val="2"/>
          <w:sz w:val="28"/>
          <w:szCs w:val="28"/>
          <w:lang w:val="en-US" w:eastAsia="zh-CN" w:bidi="ar-SA"/>
        </w:rPr>
        <w:t>0551-64280881</w:t>
      </w:r>
    </w:p>
    <w:p w14:paraId="287AEF64">
      <w:pPr>
        <w:spacing w:line="360" w:lineRule="auto"/>
        <w:ind w:firstLine="840" w:firstLineChars="300"/>
        <w:rPr>
          <w:rFonts w:hint="eastAsia" w:ascii="仿宋" w:hAnsi="仿宋" w:eastAsia="仿宋" w:cs="宋体"/>
          <w:sz w:val="28"/>
          <w:szCs w:val="28"/>
        </w:rPr>
      </w:pPr>
      <w:r>
        <w:rPr>
          <w:rFonts w:hint="eastAsia" w:ascii="仿宋" w:hAnsi="仿宋" w:eastAsia="仿宋" w:cs="宋体"/>
          <w:sz w:val="28"/>
          <w:szCs w:val="28"/>
        </w:rPr>
        <w:t>2.采购代理机构信息</w:t>
      </w:r>
      <w:bookmarkEnd w:id="79"/>
      <w:bookmarkEnd w:id="80"/>
    </w:p>
    <w:p w14:paraId="15799267">
      <w:pPr>
        <w:spacing w:line="360" w:lineRule="auto"/>
        <w:ind w:firstLine="840" w:firstLineChars="300"/>
        <w:rPr>
          <w:rFonts w:hint="eastAsia" w:ascii="仿宋" w:hAnsi="仿宋" w:eastAsia="仿宋"/>
          <w:sz w:val="28"/>
          <w:szCs w:val="28"/>
        </w:rPr>
      </w:pPr>
      <w:bookmarkStart w:id="81" w:name="_Toc28359087"/>
      <w:bookmarkStart w:id="82" w:name="_Toc28359010"/>
      <w:r>
        <w:rPr>
          <w:rFonts w:hint="eastAsia" w:ascii="仿宋" w:hAnsi="仿宋" w:eastAsia="仿宋"/>
          <w:sz w:val="28"/>
          <w:szCs w:val="28"/>
        </w:rPr>
        <w:t>名称：安徽安天利信工程管理股份有限公司</w:t>
      </w:r>
    </w:p>
    <w:p w14:paraId="053302EB">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地址：合肥市蜀山区蜀鑫路69号（创业大道与蜀鑫路西南角）</w:t>
      </w:r>
    </w:p>
    <w:p w14:paraId="4AAEF5B6">
      <w:pPr>
        <w:spacing w:line="360" w:lineRule="auto"/>
        <w:ind w:firstLine="840" w:firstLineChars="300"/>
        <w:rPr>
          <w:rFonts w:hint="default" w:ascii="仿宋" w:hAnsi="仿宋" w:eastAsia="仿宋"/>
          <w:sz w:val="28"/>
          <w:szCs w:val="28"/>
          <w:lang w:val="en-US" w:eastAsia="zh-CN"/>
        </w:rPr>
      </w:pPr>
      <w:r>
        <w:rPr>
          <w:rFonts w:hint="eastAsia" w:ascii="仿宋" w:hAnsi="仿宋" w:eastAsia="仿宋"/>
          <w:sz w:val="28"/>
          <w:szCs w:val="28"/>
        </w:rPr>
        <w:t>联系方式：</w:t>
      </w:r>
      <w:r>
        <w:rPr>
          <w:rFonts w:hint="eastAsia" w:ascii="仿宋" w:hAnsi="仿宋" w:eastAsia="仿宋"/>
          <w:sz w:val="28"/>
          <w:szCs w:val="28"/>
          <w:lang w:val="en-US" w:eastAsia="zh-CN"/>
        </w:rPr>
        <w:t>窦驰/田倩</w:t>
      </w:r>
      <w:r>
        <w:rPr>
          <w:rFonts w:hint="eastAsia" w:ascii="仿宋" w:hAnsi="仿宋" w:eastAsia="仿宋"/>
          <w:sz w:val="28"/>
          <w:szCs w:val="28"/>
        </w:rPr>
        <w:t xml:space="preserve"> 0551-637362</w:t>
      </w:r>
      <w:r>
        <w:rPr>
          <w:rFonts w:hint="eastAsia" w:ascii="仿宋" w:hAnsi="仿宋" w:eastAsia="仿宋"/>
          <w:sz w:val="28"/>
          <w:szCs w:val="28"/>
          <w:lang w:val="en-US" w:eastAsia="zh-CN"/>
        </w:rPr>
        <w:t>74</w:t>
      </w:r>
    </w:p>
    <w:p w14:paraId="160CBB52">
      <w:pPr>
        <w:spacing w:line="360" w:lineRule="auto"/>
        <w:ind w:firstLine="840" w:firstLineChars="300"/>
        <w:rPr>
          <w:rFonts w:ascii="仿宋" w:hAnsi="仿宋" w:eastAsia="仿宋"/>
          <w:sz w:val="28"/>
          <w:szCs w:val="28"/>
          <w:u w:val="single"/>
        </w:rPr>
      </w:pPr>
      <w:r>
        <w:rPr>
          <w:rFonts w:hint="eastAsia" w:ascii="仿宋" w:hAnsi="仿宋" w:eastAsia="仿宋" w:cs="宋体"/>
          <w:sz w:val="28"/>
          <w:szCs w:val="28"/>
        </w:rPr>
        <w:t>3.项目</w:t>
      </w:r>
      <w:r>
        <w:rPr>
          <w:rFonts w:ascii="仿宋" w:hAnsi="仿宋" w:eastAsia="仿宋" w:cs="宋体"/>
          <w:sz w:val="28"/>
          <w:szCs w:val="28"/>
        </w:rPr>
        <w:t>联系方式</w:t>
      </w:r>
      <w:bookmarkEnd w:id="81"/>
      <w:bookmarkEnd w:id="82"/>
    </w:p>
    <w:p w14:paraId="0E850520">
      <w:pPr>
        <w:spacing w:line="360" w:lineRule="auto"/>
        <w:ind w:firstLine="840" w:firstLineChars="300"/>
        <w:rPr>
          <w:rFonts w:hint="eastAsia" w:ascii="仿宋" w:hAnsi="仿宋" w:eastAsia="仿宋"/>
          <w:sz w:val="28"/>
          <w:szCs w:val="28"/>
          <w:u w:val="none"/>
        </w:rPr>
      </w:pPr>
      <w:bookmarkStart w:id="83" w:name="_Toc241459614"/>
      <w:bookmarkStart w:id="84" w:name="_Toc466024497"/>
      <w:bookmarkStart w:id="85" w:name="_Toc528760025"/>
      <w:bookmarkStart w:id="86" w:name="_Toc445554685"/>
      <w:r>
        <w:rPr>
          <w:rFonts w:hint="eastAsia" w:ascii="仿宋" w:hAnsi="仿宋" w:eastAsia="仿宋"/>
          <w:sz w:val="28"/>
          <w:szCs w:val="28"/>
          <w:u w:val="none"/>
        </w:rPr>
        <w:t>项目联系人：</w:t>
      </w:r>
      <w:r>
        <w:rPr>
          <w:rFonts w:hint="eastAsia" w:ascii="仿宋" w:hAnsi="仿宋" w:eastAsia="仿宋"/>
          <w:sz w:val="28"/>
          <w:szCs w:val="28"/>
          <w:lang w:val="en-US" w:eastAsia="zh-CN"/>
        </w:rPr>
        <w:t>窦驰/田倩</w:t>
      </w:r>
      <w:r>
        <w:rPr>
          <w:rFonts w:hint="eastAsia" w:ascii="仿宋" w:hAnsi="仿宋" w:eastAsia="仿宋"/>
          <w:sz w:val="28"/>
          <w:szCs w:val="28"/>
        </w:rPr>
        <w:t xml:space="preserve"> </w:t>
      </w:r>
    </w:p>
    <w:p w14:paraId="67023F7F">
      <w:pPr>
        <w:spacing w:line="360" w:lineRule="auto"/>
        <w:ind w:firstLine="840" w:firstLineChars="300"/>
        <w:rPr>
          <w:rFonts w:hint="default" w:ascii="仿宋" w:hAnsi="仿宋" w:eastAsia="仿宋"/>
          <w:sz w:val="28"/>
          <w:szCs w:val="28"/>
          <w:lang w:val="en-US" w:eastAsia="zh-CN"/>
        </w:rPr>
      </w:pPr>
      <w:r>
        <w:rPr>
          <w:rFonts w:hint="eastAsia" w:ascii="仿宋" w:hAnsi="仿宋" w:eastAsia="仿宋"/>
          <w:sz w:val="28"/>
          <w:szCs w:val="28"/>
          <w:u w:val="none"/>
        </w:rPr>
        <w:t>电话：</w:t>
      </w:r>
      <w:r>
        <w:rPr>
          <w:rFonts w:hint="eastAsia" w:ascii="仿宋" w:hAnsi="仿宋" w:eastAsia="仿宋"/>
          <w:sz w:val="28"/>
          <w:szCs w:val="28"/>
        </w:rPr>
        <w:t>0551-637362</w:t>
      </w:r>
      <w:r>
        <w:rPr>
          <w:rFonts w:hint="eastAsia" w:ascii="仿宋" w:hAnsi="仿宋" w:eastAsia="仿宋"/>
          <w:sz w:val="28"/>
          <w:szCs w:val="28"/>
          <w:lang w:val="en-US" w:eastAsia="zh-CN"/>
        </w:rPr>
        <w:t>74</w:t>
      </w:r>
    </w:p>
    <w:bookmarkEnd w:id="49"/>
    <w:bookmarkEnd w:id="83"/>
    <w:bookmarkEnd w:id="84"/>
    <w:bookmarkEnd w:id="85"/>
    <w:bookmarkEnd w:id="86"/>
    <w:p w14:paraId="5C72CF17">
      <w:pPr>
        <w:spacing w:line="360" w:lineRule="auto"/>
        <w:rPr>
          <w:rFonts w:ascii="仿宋" w:hAnsi="仿宋" w:eastAsia="仿宋"/>
          <w:sz w:val="28"/>
          <w:szCs w:val="28"/>
          <w:u w:val="single"/>
        </w:rPr>
      </w:pPr>
    </w:p>
    <w:p w14:paraId="2CDCD302">
      <w:pPr>
        <w:pStyle w:val="2"/>
        <w:spacing w:before="0" w:after="0" w:line="240" w:lineRule="auto"/>
        <w:jc w:val="center"/>
        <w:rPr>
          <w:rStyle w:val="29"/>
          <w:rFonts w:hint="eastAsia"/>
          <w:b/>
          <w:bCs/>
        </w:rPr>
      </w:pPr>
      <w:r>
        <w:rPr>
          <w:rStyle w:val="30"/>
          <w:rFonts w:hint="eastAsia" w:ascii="宋体" w:hAnsi="宋体" w:eastAsia="宋体" w:cs="宋体"/>
          <w:b w:val="0"/>
          <w:bCs/>
          <w:sz w:val="44"/>
          <w:szCs w:val="44"/>
        </w:rPr>
        <w:br w:type="page"/>
      </w:r>
      <w:bookmarkStart w:id="87" w:name="_Toc3018"/>
      <w:bookmarkStart w:id="88" w:name="_Toc4210"/>
      <w:bookmarkStart w:id="89" w:name="_Toc32366"/>
      <w:bookmarkStart w:id="90" w:name="_Toc31084"/>
      <w:bookmarkStart w:id="91" w:name="_Toc19206"/>
      <w:bookmarkStart w:id="92" w:name="_Toc13456"/>
      <w:bookmarkStart w:id="93" w:name="_Toc401"/>
      <w:bookmarkStart w:id="94" w:name="_Toc23909"/>
      <w:r>
        <w:rPr>
          <w:rStyle w:val="29"/>
          <w:rFonts w:hint="eastAsia"/>
          <w:b/>
          <w:bCs/>
        </w:rPr>
        <w:t>第二章  投标供应商须知</w:t>
      </w:r>
      <w:bookmarkEnd w:id="87"/>
      <w:bookmarkEnd w:id="88"/>
      <w:bookmarkEnd w:id="89"/>
    </w:p>
    <w:p w14:paraId="4A8361F9">
      <w:pPr>
        <w:pStyle w:val="3"/>
        <w:widowControl/>
        <w:spacing w:before="120" w:after="120" w:line="240" w:lineRule="auto"/>
        <w:jc w:val="center"/>
        <w:rPr>
          <w:rStyle w:val="30"/>
          <w:rFonts w:hint="eastAsia" w:ascii="宋体" w:hAnsi="宋体" w:eastAsia="宋体"/>
          <w:b w:val="0"/>
          <w:bCs w:val="0"/>
          <w:sz w:val="30"/>
          <w:szCs w:val="30"/>
        </w:rPr>
      </w:pPr>
      <w:bookmarkStart w:id="95" w:name="_Toc466024498"/>
      <w:bookmarkStart w:id="96" w:name="_Toc445554686"/>
      <w:bookmarkStart w:id="97" w:name="_Toc22526"/>
      <w:r>
        <w:rPr>
          <w:rStyle w:val="30"/>
          <w:rFonts w:hint="eastAsia" w:ascii="宋体" w:hAnsi="宋体" w:eastAsia="宋体"/>
          <w:b w:val="0"/>
          <w:bCs w:val="0"/>
          <w:sz w:val="30"/>
          <w:szCs w:val="30"/>
        </w:rPr>
        <w:t>一、投标供应商须知前附表</w:t>
      </w:r>
      <w:bookmarkEnd w:id="90"/>
      <w:bookmarkEnd w:id="91"/>
      <w:bookmarkEnd w:id="92"/>
      <w:bookmarkEnd w:id="93"/>
      <w:bookmarkEnd w:id="94"/>
      <w:bookmarkEnd w:id="95"/>
      <w:bookmarkEnd w:id="96"/>
      <w:bookmarkEnd w:id="97"/>
    </w:p>
    <w:tbl>
      <w:tblPr>
        <w:tblStyle w:val="2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778"/>
        <w:gridCol w:w="1804"/>
        <w:gridCol w:w="7100"/>
      </w:tblGrid>
      <w:tr w14:paraId="6769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blHeader/>
        </w:trPr>
        <w:tc>
          <w:tcPr>
            <w:tcW w:w="402" w:type="pct"/>
            <w:noWrap w:val="0"/>
            <w:vAlign w:val="center"/>
          </w:tcPr>
          <w:p w14:paraId="422CC09A">
            <w:pPr>
              <w:widowControl/>
              <w:adjustRightInd w:val="0"/>
              <w:snapToGrid w:val="0"/>
              <w:spacing w:line="384" w:lineRule="auto"/>
              <w:jc w:val="center"/>
              <w:rPr>
                <w:rFonts w:ascii="宋体" w:hAnsi="宋体" w:cs="Calibri"/>
                <w:b/>
                <w:szCs w:val="21"/>
                <w:highlight w:val="none"/>
              </w:rPr>
            </w:pPr>
            <w:r>
              <w:rPr>
                <w:rFonts w:hint="eastAsia" w:ascii="宋体" w:hAnsi="宋体" w:cs="Calibri"/>
                <w:b/>
                <w:szCs w:val="21"/>
                <w:highlight w:val="none"/>
              </w:rPr>
              <w:t>条款号</w:t>
            </w:r>
          </w:p>
        </w:tc>
        <w:tc>
          <w:tcPr>
            <w:tcW w:w="931" w:type="pct"/>
            <w:noWrap w:val="0"/>
            <w:vAlign w:val="center"/>
          </w:tcPr>
          <w:p w14:paraId="1A10D132">
            <w:pPr>
              <w:widowControl/>
              <w:adjustRightInd w:val="0"/>
              <w:snapToGrid w:val="0"/>
              <w:spacing w:line="384" w:lineRule="auto"/>
              <w:jc w:val="center"/>
              <w:rPr>
                <w:rFonts w:ascii="宋体" w:hAnsi="宋体" w:cs="Calibri"/>
                <w:b/>
                <w:szCs w:val="21"/>
                <w:highlight w:val="none"/>
              </w:rPr>
            </w:pPr>
            <w:r>
              <w:rPr>
                <w:rFonts w:hint="eastAsia" w:ascii="宋体" w:hAnsi="宋体" w:cs="Calibri"/>
                <w:b/>
                <w:szCs w:val="21"/>
                <w:highlight w:val="none"/>
              </w:rPr>
              <w:t>条款名称</w:t>
            </w:r>
          </w:p>
        </w:tc>
        <w:tc>
          <w:tcPr>
            <w:tcW w:w="3665" w:type="pct"/>
            <w:noWrap w:val="0"/>
            <w:vAlign w:val="center"/>
          </w:tcPr>
          <w:p w14:paraId="6C86216B">
            <w:pPr>
              <w:widowControl/>
              <w:adjustRightInd w:val="0"/>
              <w:snapToGrid w:val="0"/>
              <w:spacing w:line="384" w:lineRule="auto"/>
              <w:jc w:val="center"/>
              <w:rPr>
                <w:rFonts w:ascii="宋体" w:hAnsi="宋体" w:cs="Calibri"/>
                <w:b/>
                <w:szCs w:val="21"/>
                <w:highlight w:val="none"/>
              </w:rPr>
            </w:pPr>
            <w:r>
              <w:rPr>
                <w:rFonts w:hint="eastAsia" w:ascii="宋体" w:hAnsi="宋体" w:cs="Calibri"/>
                <w:b/>
                <w:szCs w:val="21"/>
                <w:highlight w:val="none"/>
              </w:rPr>
              <w:t>编</w:t>
            </w:r>
            <w:r>
              <w:rPr>
                <w:rFonts w:ascii="宋体" w:hAnsi="宋体" w:cs="Calibri"/>
                <w:b/>
                <w:szCs w:val="21"/>
                <w:highlight w:val="none"/>
              </w:rPr>
              <w:t xml:space="preserve">  </w:t>
            </w:r>
            <w:r>
              <w:rPr>
                <w:rFonts w:hint="eastAsia" w:ascii="宋体" w:hAnsi="宋体" w:cs="Calibri"/>
                <w:b/>
                <w:szCs w:val="21"/>
                <w:highlight w:val="none"/>
              </w:rPr>
              <w:t>列</w:t>
            </w:r>
            <w:r>
              <w:rPr>
                <w:rFonts w:ascii="宋体" w:hAnsi="宋体" w:cs="Calibri"/>
                <w:b/>
                <w:szCs w:val="21"/>
                <w:highlight w:val="none"/>
              </w:rPr>
              <w:t xml:space="preserve">  </w:t>
            </w:r>
            <w:r>
              <w:rPr>
                <w:rFonts w:hint="eastAsia" w:ascii="宋体" w:hAnsi="宋体" w:cs="Calibri"/>
                <w:b/>
                <w:szCs w:val="21"/>
                <w:highlight w:val="none"/>
              </w:rPr>
              <w:t>内</w:t>
            </w:r>
            <w:r>
              <w:rPr>
                <w:rFonts w:ascii="宋体" w:hAnsi="宋体" w:cs="Calibri"/>
                <w:b/>
                <w:szCs w:val="21"/>
                <w:highlight w:val="none"/>
              </w:rPr>
              <w:t xml:space="preserve">  </w:t>
            </w:r>
            <w:r>
              <w:rPr>
                <w:rFonts w:hint="eastAsia" w:ascii="宋体" w:hAnsi="宋体" w:cs="Calibri"/>
                <w:b/>
                <w:szCs w:val="21"/>
                <w:highlight w:val="none"/>
              </w:rPr>
              <w:t>容</w:t>
            </w:r>
          </w:p>
        </w:tc>
      </w:tr>
      <w:tr w14:paraId="6F2A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3E113946">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1.1.5</w:t>
            </w:r>
          </w:p>
        </w:tc>
        <w:tc>
          <w:tcPr>
            <w:tcW w:w="931" w:type="pct"/>
            <w:noWrap w:val="0"/>
            <w:vAlign w:val="center"/>
          </w:tcPr>
          <w:p w14:paraId="0CF16DA3">
            <w:pPr>
              <w:spacing w:line="384" w:lineRule="auto"/>
              <w:jc w:val="center"/>
              <w:rPr>
                <w:rFonts w:hint="eastAsia" w:cs="Calibri"/>
                <w:highlight w:val="none"/>
              </w:rPr>
            </w:pPr>
            <w:r>
              <w:rPr>
                <w:rFonts w:hint="eastAsia" w:cs="Calibri"/>
                <w:highlight w:val="none"/>
              </w:rPr>
              <w:t>包别划分</w:t>
            </w:r>
          </w:p>
        </w:tc>
        <w:tc>
          <w:tcPr>
            <w:tcW w:w="3665" w:type="pct"/>
            <w:noWrap w:val="0"/>
            <w:vAlign w:val="center"/>
          </w:tcPr>
          <w:p w14:paraId="01D45EE8">
            <w:pPr>
              <w:widowControl/>
              <w:adjustRightInd w:val="0"/>
              <w:snapToGrid w:val="0"/>
              <w:spacing w:line="384" w:lineRule="auto"/>
              <w:rPr>
                <w:rFonts w:hint="eastAsia" w:ascii="宋体" w:hAnsi="宋体" w:eastAsia="宋体"/>
                <w:szCs w:val="21"/>
                <w:highlight w:val="none"/>
                <w:lang w:eastAsia="zh-CN"/>
              </w:rPr>
            </w:pPr>
            <w:r>
              <w:rPr>
                <w:rFonts w:hint="eastAsia" w:ascii="宋体" w:hAnsi="宋体"/>
                <w:szCs w:val="21"/>
                <w:highlight w:val="none"/>
                <w:lang w:eastAsia="zh-CN"/>
              </w:rPr>
              <w:t>□</w:t>
            </w:r>
            <w:r>
              <w:rPr>
                <w:rFonts w:hint="eastAsia" w:ascii="宋体" w:hAnsi="宋体"/>
                <w:szCs w:val="21"/>
                <w:highlight w:val="none"/>
                <w:lang w:bidi="ar"/>
              </w:rPr>
              <w:t>不分包</w:t>
            </w:r>
            <w:r>
              <w:rPr>
                <w:rFonts w:hint="eastAsia" w:ascii="宋体" w:hAnsi="宋体"/>
                <w:szCs w:val="21"/>
                <w:highlight w:val="none"/>
                <w:lang w:val="en-US" w:eastAsia="zh-CN" w:bidi="ar"/>
              </w:rPr>
              <w:t xml:space="preserve">  </w:t>
            </w:r>
            <w:r>
              <w:rPr>
                <w:rFonts w:hint="eastAsia" w:ascii="宋体" w:hAnsi="宋体"/>
                <w:szCs w:val="21"/>
                <w:highlight w:val="none"/>
                <w:lang w:eastAsia="zh-CN"/>
              </w:rPr>
              <w:t>☑</w:t>
            </w:r>
            <w:r>
              <w:rPr>
                <w:rFonts w:hint="eastAsia" w:ascii="宋体" w:hAnsi="宋体"/>
                <w:szCs w:val="21"/>
                <w:highlight w:val="none"/>
                <w:lang w:bidi="ar"/>
              </w:rPr>
              <w:t>分为</w:t>
            </w:r>
            <w:r>
              <w:rPr>
                <w:rFonts w:hint="eastAsia" w:ascii="宋体" w:hAnsi="宋体"/>
                <w:szCs w:val="21"/>
                <w:highlight w:val="none"/>
                <w:u w:val="single"/>
                <w:lang w:val="en-US" w:eastAsia="zh-CN" w:bidi="ar"/>
              </w:rPr>
              <w:t xml:space="preserve"> 2 </w:t>
            </w:r>
            <w:r>
              <w:rPr>
                <w:rFonts w:hint="eastAsia" w:ascii="宋体" w:hAnsi="宋体"/>
                <w:szCs w:val="21"/>
                <w:highlight w:val="none"/>
                <w:lang w:bidi="ar"/>
              </w:rPr>
              <w:t>个包</w:t>
            </w:r>
            <w:r>
              <w:rPr>
                <w:rFonts w:hint="eastAsia" w:ascii="宋体" w:hAnsi="宋体"/>
                <w:szCs w:val="21"/>
                <w:highlight w:val="none"/>
                <w:lang w:eastAsia="zh-CN" w:bidi="ar"/>
              </w:rPr>
              <w:t>，</w:t>
            </w:r>
            <w:r>
              <w:rPr>
                <w:rFonts w:hint="eastAsia" w:ascii="宋体" w:hAnsi="宋体"/>
                <w:szCs w:val="21"/>
                <w:highlight w:val="none"/>
                <w:lang w:val="en-US" w:eastAsia="zh-CN" w:bidi="ar"/>
              </w:rPr>
              <w:t>详见招标公告，</w:t>
            </w:r>
            <w:r>
              <w:rPr>
                <w:rFonts w:hint="eastAsia" w:ascii="宋体" w:hAnsi="宋体"/>
                <w:szCs w:val="21"/>
                <w:highlight w:val="none"/>
                <w:lang w:eastAsia="zh-CN" w:bidi="ar"/>
              </w:rPr>
              <w:t>投标人根据自身情况可投其中的任意一个或多个标包，可中其中一个或多个标包。</w:t>
            </w:r>
          </w:p>
        </w:tc>
      </w:tr>
      <w:tr w14:paraId="1F76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4" w:hRule="atLeast"/>
        </w:trPr>
        <w:tc>
          <w:tcPr>
            <w:tcW w:w="402" w:type="pct"/>
            <w:noWrap w:val="0"/>
            <w:vAlign w:val="center"/>
          </w:tcPr>
          <w:p w14:paraId="50078403">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1.2.1</w:t>
            </w:r>
          </w:p>
        </w:tc>
        <w:tc>
          <w:tcPr>
            <w:tcW w:w="931" w:type="pct"/>
            <w:noWrap w:val="0"/>
            <w:vAlign w:val="center"/>
          </w:tcPr>
          <w:p w14:paraId="46851D38">
            <w:pPr>
              <w:spacing w:line="384" w:lineRule="auto"/>
              <w:jc w:val="center"/>
              <w:rPr>
                <w:rFonts w:hint="eastAsia" w:cs="Calibri"/>
                <w:highlight w:val="none"/>
              </w:rPr>
            </w:pPr>
            <w:r>
              <w:rPr>
                <w:rFonts w:hint="eastAsia" w:cs="Calibri"/>
                <w:highlight w:val="none"/>
              </w:rPr>
              <w:t>资金来源</w:t>
            </w:r>
          </w:p>
        </w:tc>
        <w:tc>
          <w:tcPr>
            <w:tcW w:w="3665" w:type="pct"/>
            <w:noWrap w:val="0"/>
            <w:vAlign w:val="center"/>
          </w:tcPr>
          <w:p w14:paraId="643FEAEB">
            <w:pPr>
              <w:spacing w:line="384" w:lineRule="auto"/>
              <w:rPr>
                <w:kern w:val="52"/>
                <w:highlight w:val="none"/>
              </w:rPr>
            </w:pPr>
            <w:r>
              <w:rPr>
                <w:rFonts w:hint="eastAsia"/>
                <w:kern w:val="52"/>
                <w:highlight w:val="none"/>
              </w:rPr>
              <w:t xml:space="preserve"> </w:t>
            </w:r>
            <w:r>
              <w:rPr>
                <w:rFonts w:hint="eastAsia" w:ascii="Times New Roman" w:eastAsia="宋体"/>
                <w:color w:val="auto"/>
                <w:kern w:val="52"/>
                <w:highlight w:val="none"/>
                <w:lang w:val="en-US" w:eastAsia="zh-CN"/>
              </w:rPr>
              <w:t>财政资金</w:t>
            </w:r>
          </w:p>
        </w:tc>
      </w:tr>
      <w:tr w14:paraId="49B21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44" w:hRule="atLeast"/>
        </w:trPr>
        <w:tc>
          <w:tcPr>
            <w:tcW w:w="402" w:type="pct"/>
            <w:noWrap w:val="0"/>
            <w:vAlign w:val="center"/>
          </w:tcPr>
          <w:p w14:paraId="7F60089E">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1.3.2</w:t>
            </w:r>
          </w:p>
        </w:tc>
        <w:tc>
          <w:tcPr>
            <w:tcW w:w="931" w:type="pct"/>
            <w:noWrap w:val="0"/>
            <w:vAlign w:val="center"/>
          </w:tcPr>
          <w:p w14:paraId="16E5E54E">
            <w:pPr>
              <w:spacing w:line="384" w:lineRule="auto"/>
              <w:jc w:val="center"/>
              <w:rPr>
                <w:rFonts w:hint="eastAsia" w:cs="Calibri"/>
                <w:highlight w:val="none"/>
              </w:rPr>
            </w:pPr>
            <w:r>
              <w:rPr>
                <w:rFonts w:hint="eastAsia" w:cs="Calibri"/>
                <w:highlight w:val="none"/>
              </w:rPr>
              <w:t>进口产品采购</w:t>
            </w:r>
          </w:p>
        </w:tc>
        <w:tc>
          <w:tcPr>
            <w:tcW w:w="3665" w:type="pct"/>
            <w:noWrap w:val="0"/>
            <w:vAlign w:val="center"/>
          </w:tcPr>
          <w:p w14:paraId="5A9E3DE6">
            <w:pPr>
              <w:spacing w:line="384" w:lineRule="auto"/>
              <w:rPr>
                <w:rFonts w:hint="eastAsia"/>
                <w:color w:val="auto"/>
                <w:kern w:val="52"/>
                <w:highlight w:val="none"/>
              </w:rPr>
            </w:pPr>
            <w:r>
              <w:rPr>
                <w:rFonts w:hint="eastAsia"/>
                <w:color w:val="auto"/>
                <w:kern w:val="52"/>
                <w:highlight w:val="none"/>
                <w:lang w:eastAsia="zh-CN"/>
              </w:rPr>
              <w:t>☑</w:t>
            </w:r>
            <w:r>
              <w:rPr>
                <w:rFonts w:hint="eastAsia"/>
                <w:color w:val="auto"/>
                <w:kern w:val="52"/>
                <w:highlight w:val="none"/>
              </w:rPr>
              <w:t>本项目不采购进口产品，拒绝进口产品参加投标</w:t>
            </w:r>
          </w:p>
          <w:p w14:paraId="0CDA6EF8">
            <w:pPr>
              <w:spacing w:line="384" w:lineRule="auto"/>
              <w:rPr>
                <w:rFonts w:hint="eastAsia"/>
                <w:kern w:val="52"/>
                <w:highlight w:val="none"/>
              </w:rPr>
            </w:pPr>
            <w:r>
              <w:rPr>
                <w:rFonts w:hint="eastAsia"/>
                <w:kern w:val="52"/>
                <w:highlight w:val="none"/>
                <w:lang w:eastAsia="zh-CN"/>
              </w:rPr>
              <w:t>□</w:t>
            </w:r>
            <w:r>
              <w:rPr>
                <w:rFonts w:hint="eastAsia"/>
                <w:kern w:val="52"/>
                <w:highlight w:val="none"/>
              </w:rPr>
              <w:t>本采购项目已经财政部门审核同意购买进口产品，同时不限制满足招标文件要求的国内产品参与投标</w:t>
            </w:r>
          </w:p>
          <w:p w14:paraId="727A4467">
            <w:pPr>
              <w:spacing w:line="384" w:lineRule="auto"/>
              <w:rPr>
                <w:rFonts w:hint="eastAsia" w:cs="Calibri"/>
                <w:color w:val="FF0000"/>
                <w:szCs w:val="21"/>
                <w:highlight w:val="none"/>
              </w:rPr>
            </w:pPr>
            <w:r>
              <w:rPr>
                <w:rFonts w:hint="eastAsia"/>
                <w:kern w:val="52"/>
                <w:highlight w:val="none"/>
              </w:rPr>
              <w:t>进口产品按照财政部文件《关于政府采购进口产品管理有关问题的通知》（财办</w:t>
            </w:r>
            <w:r>
              <w:rPr>
                <w:rFonts w:hint="eastAsia" w:ascii="宋体" w:hAnsi="宋体"/>
                <w:kern w:val="52"/>
                <w:highlight w:val="none"/>
              </w:rPr>
              <w:t>库[2008]248号）</w:t>
            </w:r>
            <w:r>
              <w:rPr>
                <w:rFonts w:hint="eastAsia"/>
                <w:kern w:val="52"/>
                <w:highlight w:val="none"/>
              </w:rPr>
              <w:t>认定，整机设备内的元器件不做限制。</w:t>
            </w:r>
          </w:p>
        </w:tc>
      </w:tr>
      <w:tr w14:paraId="5C131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73" w:hRule="atLeast"/>
        </w:trPr>
        <w:tc>
          <w:tcPr>
            <w:tcW w:w="402" w:type="pct"/>
            <w:noWrap w:val="0"/>
            <w:vAlign w:val="center"/>
          </w:tcPr>
          <w:p w14:paraId="078105F5">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1.3.3</w:t>
            </w:r>
          </w:p>
        </w:tc>
        <w:tc>
          <w:tcPr>
            <w:tcW w:w="931" w:type="pct"/>
            <w:noWrap w:val="0"/>
            <w:vAlign w:val="center"/>
          </w:tcPr>
          <w:p w14:paraId="18849E21">
            <w:pPr>
              <w:spacing w:line="384" w:lineRule="auto"/>
              <w:jc w:val="center"/>
              <w:rPr>
                <w:rFonts w:hint="eastAsia" w:cs="Calibri"/>
                <w:highlight w:val="none"/>
              </w:rPr>
            </w:pPr>
            <w:r>
              <w:rPr>
                <w:rFonts w:hint="eastAsia" w:cs="Calibri"/>
                <w:highlight w:val="none"/>
              </w:rPr>
              <w:t>供货及安装期限</w:t>
            </w:r>
          </w:p>
        </w:tc>
        <w:tc>
          <w:tcPr>
            <w:tcW w:w="3665" w:type="pct"/>
            <w:noWrap w:val="0"/>
            <w:vAlign w:val="center"/>
          </w:tcPr>
          <w:p w14:paraId="332D0EFA">
            <w:pPr>
              <w:spacing w:line="360" w:lineRule="auto"/>
              <w:rPr>
                <w:rFonts w:hint="eastAsia"/>
                <w:highlight w:val="none"/>
              </w:rPr>
            </w:pPr>
            <w:r>
              <w:rPr>
                <w:kern w:val="52"/>
                <w:highlight w:val="none"/>
              </w:rPr>
              <w:sym w:font="Wingdings" w:char="00FE"/>
            </w:r>
            <w:r>
              <w:rPr>
                <w:rFonts w:hint="eastAsia"/>
                <w:kern w:val="52"/>
                <w:highlight w:val="none"/>
                <w:lang w:eastAsia="zh-CN"/>
              </w:rPr>
              <w:t>合同签订后，接采购人书面通知后30个日历天完成交货、安装、调试等工作</w:t>
            </w:r>
            <w:r>
              <w:rPr>
                <w:rFonts w:hint="eastAsia"/>
                <w:kern w:val="52"/>
                <w:highlight w:val="none"/>
                <w:lang w:val="en-US" w:eastAsia="zh-CN"/>
              </w:rPr>
              <w:t>。</w:t>
            </w:r>
          </w:p>
          <w:p w14:paraId="0D328EF2">
            <w:pPr>
              <w:spacing w:line="384" w:lineRule="auto"/>
              <w:rPr>
                <w:rFonts w:hint="eastAsia"/>
                <w:highlight w:val="none"/>
              </w:rPr>
            </w:pPr>
            <w:r>
              <w:rPr>
                <w:rFonts w:hint="eastAsia"/>
                <w:highlight w:val="none"/>
                <w:lang w:eastAsia="zh-CN"/>
              </w:rPr>
              <w:t>□</w:t>
            </w:r>
            <w:r>
              <w:rPr>
                <w:rFonts w:hint="eastAsia"/>
                <w:highlight w:val="none"/>
              </w:rPr>
              <w:t>合同签订之日起</w:t>
            </w:r>
            <w:r>
              <w:rPr>
                <w:highlight w:val="none"/>
                <w:u w:val="single"/>
              </w:rPr>
              <w:t xml:space="preserve"> </w:t>
            </w:r>
            <w:r>
              <w:rPr>
                <w:rFonts w:hint="eastAsia"/>
                <w:highlight w:val="none"/>
                <w:u w:val="single"/>
                <w:lang w:val="en-US" w:eastAsia="zh-CN"/>
              </w:rPr>
              <w:t>/</w:t>
            </w:r>
            <w:r>
              <w:rPr>
                <w:highlight w:val="none"/>
                <w:u w:val="single"/>
              </w:rPr>
              <w:t xml:space="preserve"> </w:t>
            </w:r>
            <w:r>
              <w:rPr>
                <w:rFonts w:hint="eastAsia"/>
                <w:highlight w:val="none"/>
              </w:rPr>
              <w:t>日历天货到现场，货到验收合格之日起</w:t>
            </w:r>
            <w:r>
              <w:rPr>
                <w:highlight w:val="none"/>
                <w:u w:val="single"/>
              </w:rPr>
              <w:t xml:space="preserve"> </w:t>
            </w:r>
            <w:r>
              <w:rPr>
                <w:rFonts w:hint="eastAsia"/>
                <w:highlight w:val="none"/>
                <w:u w:val="single"/>
              </w:rPr>
              <w:t>/</w:t>
            </w:r>
            <w:r>
              <w:rPr>
                <w:highlight w:val="none"/>
                <w:u w:val="single"/>
              </w:rPr>
              <w:t xml:space="preserve"> </w:t>
            </w:r>
            <w:r>
              <w:rPr>
                <w:rFonts w:hint="eastAsia"/>
                <w:highlight w:val="none"/>
              </w:rPr>
              <w:t>日历天完成安装调试。</w:t>
            </w:r>
          </w:p>
          <w:p w14:paraId="2B051CB6">
            <w:pPr>
              <w:spacing w:line="384" w:lineRule="auto"/>
              <w:rPr>
                <w:highlight w:val="none"/>
                <w:u w:val="single"/>
              </w:rPr>
            </w:pPr>
            <w:r>
              <w:rPr>
                <w:rFonts w:hint="eastAsia"/>
                <w:highlight w:val="none"/>
              </w:rPr>
              <w:t>上述要求不允许负偏离。</w:t>
            </w:r>
            <w:r>
              <w:rPr>
                <w:rFonts w:hint="eastAsia"/>
                <w:b/>
                <w:highlight w:val="none"/>
              </w:rPr>
              <w:t>否则，按无效响应文件处理。</w:t>
            </w:r>
          </w:p>
        </w:tc>
      </w:tr>
      <w:tr w14:paraId="70CE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3C8ED618">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1.3.4</w:t>
            </w:r>
          </w:p>
        </w:tc>
        <w:tc>
          <w:tcPr>
            <w:tcW w:w="931" w:type="pct"/>
            <w:noWrap w:val="0"/>
            <w:vAlign w:val="center"/>
          </w:tcPr>
          <w:p w14:paraId="0E4E9ED8">
            <w:pPr>
              <w:spacing w:line="384" w:lineRule="auto"/>
              <w:jc w:val="center"/>
              <w:rPr>
                <w:rFonts w:cs="Calibri"/>
                <w:highlight w:val="none"/>
              </w:rPr>
            </w:pPr>
            <w:r>
              <w:rPr>
                <w:rFonts w:hint="eastAsia" w:cs="Calibri"/>
                <w:highlight w:val="none"/>
              </w:rPr>
              <w:t>供货及安装地点</w:t>
            </w:r>
          </w:p>
        </w:tc>
        <w:tc>
          <w:tcPr>
            <w:tcW w:w="3665" w:type="pct"/>
            <w:noWrap w:val="0"/>
            <w:vAlign w:val="center"/>
          </w:tcPr>
          <w:p w14:paraId="3A5789AF">
            <w:pPr>
              <w:spacing w:line="384" w:lineRule="auto"/>
              <w:rPr>
                <w:rFonts w:hint="default" w:ascii="宋体" w:hAnsi="宋体"/>
                <w:kern w:val="0"/>
                <w:szCs w:val="21"/>
                <w:highlight w:val="none"/>
                <w:lang w:val="en-US"/>
              </w:rPr>
            </w:pPr>
            <w:r>
              <w:rPr>
                <w:rFonts w:hint="eastAsia"/>
                <w:highlight w:val="none"/>
                <w:lang w:val="en-US" w:eastAsia="zh-CN"/>
              </w:rPr>
              <w:t>详见招标文件第三章采购需求</w:t>
            </w:r>
            <w:r>
              <w:rPr>
                <w:rFonts w:hint="eastAsia"/>
                <w:highlight w:val="none"/>
                <w:lang w:eastAsia="zh-CN"/>
              </w:rPr>
              <w:t>。</w:t>
            </w:r>
          </w:p>
        </w:tc>
      </w:tr>
      <w:tr w14:paraId="210F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46E261C8">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1.3.5</w:t>
            </w:r>
          </w:p>
        </w:tc>
        <w:tc>
          <w:tcPr>
            <w:tcW w:w="931" w:type="pct"/>
            <w:noWrap w:val="0"/>
            <w:vAlign w:val="center"/>
          </w:tcPr>
          <w:p w14:paraId="332A5797">
            <w:pPr>
              <w:spacing w:line="384" w:lineRule="auto"/>
              <w:jc w:val="center"/>
              <w:rPr>
                <w:rFonts w:hint="eastAsia" w:cs="Calibri"/>
                <w:highlight w:val="none"/>
              </w:rPr>
            </w:pPr>
            <w:r>
              <w:rPr>
                <w:rFonts w:hint="eastAsia" w:cs="Calibri"/>
                <w:highlight w:val="none"/>
              </w:rPr>
              <w:t>质量要求</w:t>
            </w:r>
          </w:p>
        </w:tc>
        <w:tc>
          <w:tcPr>
            <w:tcW w:w="3665" w:type="pct"/>
            <w:noWrap w:val="0"/>
            <w:vAlign w:val="center"/>
          </w:tcPr>
          <w:p w14:paraId="68FF328E">
            <w:pPr>
              <w:spacing w:line="384" w:lineRule="auto"/>
              <w:rPr>
                <w:rFonts w:hint="eastAsia" w:ascii="宋体" w:hAnsi="宋体" w:eastAsia="宋体"/>
                <w:kern w:val="0"/>
                <w:szCs w:val="21"/>
                <w:highlight w:val="none"/>
                <w:lang w:val="en-US" w:eastAsia="zh-CN"/>
              </w:rPr>
            </w:pPr>
            <w:r>
              <w:rPr>
                <w:rFonts w:hint="eastAsia" w:ascii="宋体" w:hAnsi="宋体"/>
                <w:color w:val="auto"/>
                <w:kern w:val="0"/>
                <w:szCs w:val="21"/>
                <w:highlight w:val="none"/>
              </w:rPr>
              <w:t>达到国家、行业标准以及</w:t>
            </w:r>
            <w:r>
              <w:rPr>
                <w:rFonts w:hint="eastAsia" w:ascii="宋体" w:hAnsi="宋体"/>
                <w:color w:val="auto"/>
                <w:kern w:val="0"/>
                <w:szCs w:val="21"/>
                <w:highlight w:val="none"/>
                <w:lang w:eastAsia="zh-CN"/>
              </w:rPr>
              <w:t>采购人</w:t>
            </w:r>
            <w:r>
              <w:rPr>
                <w:rFonts w:hint="eastAsia" w:ascii="宋体" w:hAnsi="宋体"/>
                <w:color w:val="auto"/>
                <w:kern w:val="0"/>
                <w:szCs w:val="21"/>
                <w:highlight w:val="none"/>
              </w:rPr>
              <w:t>采购需求标准。</w:t>
            </w:r>
          </w:p>
        </w:tc>
      </w:tr>
      <w:tr w14:paraId="1FB1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402" w:type="pct"/>
            <w:noWrap w:val="0"/>
            <w:vAlign w:val="center"/>
          </w:tcPr>
          <w:p w14:paraId="3EA9CAA0">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1.3.6</w:t>
            </w:r>
          </w:p>
        </w:tc>
        <w:tc>
          <w:tcPr>
            <w:tcW w:w="931" w:type="pct"/>
            <w:noWrap w:val="0"/>
            <w:vAlign w:val="center"/>
          </w:tcPr>
          <w:p w14:paraId="6BC34971">
            <w:pPr>
              <w:spacing w:line="384" w:lineRule="auto"/>
              <w:jc w:val="center"/>
              <w:rPr>
                <w:rFonts w:hint="eastAsia" w:cs="Calibri"/>
                <w:highlight w:val="none"/>
              </w:rPr>
            </w:pPr>
            <w:r>
              <w:rPr>
                <w:rFonts w:hint="eastAsia" w:cs="Calibri"/>
                <w:highlight w:val="none"/>
              </w:rPr>
              <w:t>免费质保期</w:t>
            </w:r>
          </w:p>
        </w:tc>
        <w:tc>
          <w:tcPr>
            <w:tcW w:w="3665" w:type="pct"/>
            <w:noWrap w:val="0"/>
            <w:vAlign w:val="center"/>
          </w:tcPr>
          <w:p w14:paraId="58A39716">
            <w:pPr>
              <w:spacing w:line="384" w:lineRule="auto"/>
              <w:rPr>
                <w:rFonts w:hint="eastAsia"/>
                <w:highlight w:val="none"/>
              </w:rPr>
            </w:pPr>
            <w:r>
              <w:rPr>
                <w:rFonts w:hint="eastAsia"/>
                <w:highlight w:val="none"/>
              </w:rPr>
              <w:t>质保期：</w:t>
            </w:r>
            <w:r>
              <w:rPr>
                <w:rFonts w:hint="eastAsia"/>
                <w:highlight w:val="none"/>
                <w:lang w:val="en-US" w:eastAsia="zh-CN"/>
              </w:rPr>
              <w:t>详见招标文件第三章采购需求</w:t>
            </w:r>
            <w:r>
              <w:rPr>
                <w:rFonts w:hint="eastAsia"/>
                <w:highlight w:val="none"/>
                <w:lang w:eastAsia="zh-CN"/>
              </w:rPr>
              <w:t>。</w:t>
            </w:r>
          </w:p>
          <w:p w14:paraId="16C3F91F">
            <w:pPr>
              <w:spacing w:line="384" w:lineRule="auto"/>
              <w:rPr>
                <w:highlight w:val="none"/>
              </w:rPr>
            </w:pPr>
            <w:r>
              <w:rPr>
                <w:rFonts w:hint="eastAsia"/>
                <w:highlight w:val="none"/>
              </w:rPr>
              <w:t>上述要求不允许负偏离。</w:t>
            </w:r>
            <w:r>
              <w:rPr>
                <w:rFonts w:hint="eastAsia"/>
                <w:b/>
                <w:highlight w:val="none"/>
              </w:rPr>
              <w:t>否则，按无效响应文件处理。</w:t>
            </w:r>
          </w:p>
        </w:tc>
      </w:tr>
      <w:tr w14:paraId="53540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6E581295">
            <w:pPr>
              <w:widowControl/>
              <w:spacing w:line="384" w:lineRule="auto"/>
              <w:jc w:val="center"/>
              <w:rPr>
                <w:rFonts w:ascii="宋体" w:hAnsi="宋体" w:cs="宋体"/>
                <w:kern w:val="0"/>
                <w:szCs w:val="21"/>
                <w:highlight w:val="none"/>
              </w:rPr>
            </w:pPr>
            <w:r>
              <w:rPr>
                <w:rFonts w:hint="eastAsia" w:ascii="宋体" w:hAnsi="宋体" w:cs="Calibri"/>
                <w:szCs w:val="21"/>
                <w:highlight w:val="none"/>
              </w:rPr>
              <w:t>1.3.7</w:t>
            </w:r>
          </w:p>
        </w:tc>
        <w:tc>
          <w:tcPr>
            <w:tcW w:w="931" w:type="pct"/>
            <w:noWrap w:val="0"/>
            <w:vAlign w:val="center"/>
          </w:tcPr>
          <w:p w14:paraId="41DEFFDC">
            <w:pPr>
              <w:spacing w:line="384" w:lineRule="auto"/>
              <w:jc w:val="center"/>
              <w:rPr>
                <w:rFonts w:hint="eastAsia" w:cs="Calibri"/>
                <w:highlight w:val="none"/>
              </w:rPr>
            </w:pPr>
            <w:r>
              <w:rPr>
                <w:rFonts w:hint="eastAsia" w:cs="Calibri"/>
                <w:highlight w:val="none"/>
              </w:rPr>
              <w:t>付款方式</w:t>
            </w:r>
          </w:p>
        </w:tc>
        <w:tc>
          <w:tcPr>
            <w:tcW w:w="3665" w:type="pct"/>
            <w:noWrap w:val="0"/>
            <w:vAlign w:val="center"/>
          </w:tcPr>
          <w:p w14:paraId="7D859FBE">
            <w:pPr>
              <w:spacing w:line="384" w:lineRule="auto"/>
              <w:rPr>
                <w:rFonts w:hint="eastAsia" w:ascii="宋体" w:hAnsi="宋体"/>
                <w:color w:val="auto"/>
                <w:kern w:val="0"/>
                <w:szCs w:val="21"/>
                <w:highlight w:val="none"/>
                <w:lang w:eastAsia="zh-CN"/>
              </w:rPr>
            </w:pPr>
            <w:r>
              <w:rPr>
                <w:rFonts w:hint="eastAsia" w:ascii="宋体" w:hAnsi="宋体"/>
                <w:color w:val="auto"/>
                <w:kern w:val="0"/>
                <w:szCs w:val="21"/>
                <w:highlight w:val="none"/>
                <w:lang w:val="en-US" w:eastAsia="zh-CN"/>
              </w:rPr>
              <w:t>本项目</w:t>
            </w:r>
            <w:r>
              <w:rPr>
                <w:rFonts w:hint="eastAsia" w:ascii="宋体" w:hAnsi="宋体"/>
                <w:color w:val="auto"/>
                <w:kern w:val="0"/>
                <w:szCs w:val="21"/>
                <w:highlight w:val="none"/>
              </w:rPr>
              <w:t>货到安装验收合格，提供产品的使用、操作及维修人员的培训，并能独立操作且使用部门签字确认后，采购人支付全部货款</w:t>
            </w:r>
            <w:r>
              <w:rPr>
                <w:rFonts w:hint="eastAsia" w:ascii="宋体" w:hAnsi="宋体"/>
                <w:color w:val="auto"/>
                <w:kern w:val="0"/>
                <w:szCs w:val="21"/>
                <w:highlight w:val="none"/>
                <w:lang w:eastAsia="zh-CN"/>
              </w:rPr>
              <w:t>。</w:t>
            </w:r>
          </w:p>
          <w:p w14:paraId="2F2AB007">
            <w:pPr>
              <w:spacing w:line="384" w:lineRule="auto"/>
              <w:rPr>
                <w:rFonts w:cs="Calibri"/>
                <w:highlight w:val="none"/>
                <w:u w:val="single"/>
              </w:rPr>
            </w:pPr>
            <w:r>
              <w:rPr>
                <w:rFonts w:hint="eastAsia" w:ascii="宋体" w:hAnsi="宋体"/>
                <w:b/>
                <w:bCs/>
                <w:color w:val="auto"/>
                <w:kern w:val="0"/>
                <w:szCs w:val="21"/>
                <w:highlight w:val="none"/>
              </w:rPr>
              <w:t>上述要求不允许负偏离。否则，按无效响应文件处理。</w:t>
            </w:r>
          </w:p>
        </w:tc>
      </w:tr>
      <w:tr w14:paraId="038A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18757B7F">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1.4.3</w:t>
            </w:r>
          </w:p>
        </w:tc>
        <w:tc>
          <w:tcPr>
            <w:tcW w:w="931" w:type="pct"/>
            <w:noWrap w:val="0"/>
            <w:vAlign w:val="center"/>
          </w:tcPr>
          <w:p w14:paraId="3EEA1E85">
            <w:pPr>
              <w:spacing w:line="384" w:lineRule="auto"/>
              <w:jc w:val="center"/>
              <w:rPr>
                <w:rFonts w:hint="eastAsia" w:cs="Calibri"/>
                <w:highlight w:val="none"/>
              </w:rPr>
            </w:pPr>
            <w:r>
              <w:rPr>
                <w:rFonts w:hint="eastAsia"/>
                <w:highlight w:val="none"/>
              </w:rPr>
              <w:t>投标供应商不得存在的其他情形</w:t>
            </w:r>
          </w:p>
        </w:tc>
        <w:tc>
          <w:tcPr>
            <w:tcW w:w="3665" w:type="pct"/>
            <w:noWrap w:val="0"/>
            <w:vAlign w:val="center"/>
          </w:tcPr>
          <w:p w14:paraId="1C911037">
            <w:pPr>
              <w:spacing w:line="384" w:lineRule="auto"/>
              <w:rPr>
                <w:rFonts w:hint="eastAsia" w:ascii="宋体" w:hAnsi="宋体" w:eastAsia="宋体"/>
                <w:b/>
                <w:bCs/>
                <w:szCs w:val="21"/>
                <w:highlight w:val="none"/>
                <w:lang w:eastAsia="zh-CN"/>
              </w:rPr>
            </w:pPr>
            <w:r>
              <w:rPr>
                <w:rFonts w:hint="eastAsia" w:ascii="宋体" w:hAnsi="宋体"/>
                <w:b/>
                <w:bCs/>
                <w:szCs w:val="21"/>
                <w:highlight w:val="none"/>
              </w:rPr>
              <w:t xml:space="preserve"> </w:t>
            </w:r>
            <w:r>
              <w:rPr>
                <w:rFonts w:hint="eastAsia" w:ascii="宋体" w:hAnsi="宋体"/>
                <w:b w:val="0"/>
                <w:bCs w:val="0"/>
                <w:szCs w:val="21"/>
                <w:highlight w:val="none"/>
                <w:lang w:val="en-US" w:eastAsia="zh-CN"/>
              </w:rPr>
              <w:t>详见投标人须知</w:t>
            </w:r>
          </w:p>
        </w:tc>
      </w:tr>
      <w:tr w14:paraId="727FD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2A4D82CA">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1.4.4</w:t>
            </w:r>
          </w:p>
        </w:tc>
        <w:tc>
          <w:tcPr>
            <w:tcW w:w="931" w:type="pct"/>
            <w:noWrap w:val="0"/>
            <w:vAlign w:val="center"/>
          </w:tcPr>
          <w:p w14:paraId="236A53D9">
            <w:pPr>
              <w:spacing w:line="384" w:lineRule="auto"/>
              <w:jc w:val="center"/>
              <w:rPr>
                <w:rFonts w:hint="eastAsia" w:cs="Calibri"/>
                <w:color w:val="auto"/>
                <w:highlight w:val="none"/>
              </w:rPr>
            </w:pPr>
            <w:r>
              <w:rPr>
                <w:rFonts w:hint="eastAsia"/>
                <w:color w:val="auto"/>
                <w:highlight w:val="none"/>
              </w:rPr>
              <w:t>核心产品</w:t>
            </w:r>
          </w:p>
        </w:tc>
        <w:tc>
          <w:tcPr>
            <w:tcW w:w="3665" w:type="pct"/>
            <w:noWrap w:val="0"/>
            <w:vAlign w:val="center"/>
          </w:tcPr>
          <w:p w14:paraId="6B021F8A">
            <w:pPr>
              <w:spacing w:line="384" w:lineRule="auto"/>
              <w:rPr>
                <w:rFonts w:hint="eastAsia" w:ascii="宋体" w:hAnsi="宋体" w:cs="Calibri"/>
                <w:i/>
                <w:color w:val="auto"/>
                <w:szCs w:val="21"/>
                <w:highlight w:val="none"/>
              </w:rPr>
            </w:pPr>
            <w:r>
              <w:rPr>
                <w:rFonts w:hint="eastAsia" w:ascii="宋体" w:hAnsi="宋体" w:cs="Calibri"/>
                <w:iCs/>
                <w:color w:val="auto"/>
                <w:szCs w:val="21"/>
                <w:highlight w:val="none"/>
              </w:rPr>
              <w:t>标注</w:t>
            </w:r>
            <w:r>
              <w:rPr>
                <w:rFonts w:hint="eastAsia" w:ascii="宋体" w:hAnsi="宋体" w:cs="宋体"/>
                <w:iCs/>
                <w:color w:val="auto"/>
                <w:szCs w:val="21"/>
                <w:highlight w:val="none"/>
              </w:rPr>
              <w:t>“▲”符号的产品</w:t>
            </w:r>
          </w:p>
        </w:tc>
      </w:tr>
      <w:tr w14:paraId="35068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7F44B126">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2.1</w:t>
            </w:r>
          </w:p>
        </w:tc>
        <w:tc>
          <w:tcPr>
            <w:tcW w:w="931" w:type="pct"/>
            <w:noWrap w:val="0"/>
            <w:vAlign w:val="center"/>
          </w:tcPr>
          <w:p w14:paraId="553475D8">
            <w:pPr>
              <w:spacing w:line="384" w:lineRule="auto"/>
              <w:jc w:val="center"/>
              <w:rPr>
                <w:rFonts w:hint="eastAsia" w:cs="Calibri"/>
                <w:highlight w:val="none"/>
              </w:rPr>
            </w:pPr>
            <w:r>
              <w:rPr>
                <w:rFonts w:hint="eastAsia" w:cs="Calibri"/>
                <w:highlight w:val="none"/>
              </w:rPr>
              <w:t>构成招标文件的其他材料</w:t>
            </w:r>
          </w:p>
        </w:tc>
        <w:tc>
          <w:tcPr>
            <w:tcW w:w="3665" w:type="pct"/>
            <w:noWrap w:val="0"/>
            <w:vAlign w:val="center"/>
          </w:tcPr>
          <w:p w14:paraId="038E1A5F">
            <w:pPr>
              <w:spacing w:line="384" w:lineRule="auto"/>
              <w:rPr>
                <w:rFonts w:ascii="宋体" w:hAnsi="宋体"/>
                <w:color w:val="0000FF"/>
                <w:szCs w:val="21"/>
                <w:highlight w:val="none"/>
              </w:rPr>
            </w:pPr>
            <w:r>
              <w:rPr>
                <w:rFonts w:hint="eastAsia" w:ascii="宋体" w:hAnsi="宋体"/>
                <w:szCs w:val="21"/>
                <w:highlight w:val="none"/>
              </w:rPr>
              <w:t>澄清答疑及采购人提供的其他相关技术资料（如有的话）</w:t>
            </w:r>
          </w:p>
        </w:tc>
      </w:tr>
      <w:tr w14:paraId="11B0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43D705F1">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2.2.1</w:t>
            </w:r>
          </w:p>
        </w:tc>
        <w:tc>
          <w:tcPr>
            <w:tcW w:w="931" w:type="pct"/>
            <w:noWrap w:val="0"/>
            <w:vAlign w:val="center"/>
          </w:tcPr>
          <w:p w14:paraId="129E36F4">
            <w:pPr>
              <w:spacing w:line="384" w:lineRule="auto"/>
              <w:jc w:val="center"/>
              <w:rPr>
                <w:rFonts w:cs="Calibri"/>
                <w:highlight w:val="none"/>
              </w:rPr>
            </w:pPr>
            <w:r>
              <w:rPr>
                <w:color w:val="000000"/>
                <w:highlight w:val="none"/>
              </w:rPr>
              <w:t>投标供应商要求澄清招标文件</w:t>
            </w:r>
          </w:p>
        </w:tc>
        <w:tc>
          <w:tcPr>
            <w:tcW w:w="3665" w:type="pct"/>
            <w:noWrap w:val="0"/>
            <w:vAlign w:val="center"/>
          </w:tcPr>
          <w:p w14:paraId="09C7244F">
            <w:pPr>
              <w:spacing w:line="384" w:lineRule="auto"/>
              <w:rPr>
                <w:rFonts w:hint="eastAsia" w:ascii="宋体" w:hAnsi="宋体" w:cs="Calibri"/>
                <w:szCs w:val="21"/>
                <w:highlight w:val="none"/>
              </w:rPr>
            </w:pPr>
            <w:r>
              <w:rPr>
                <w:rFonts w:hint="eastAsia" w:ascii="宋体" w:hAnsi="宋体" w:cs="Calibri"/>
                <w:szCs w:val="21"/>
                <w:highlight w:val="none"/>
              </w:rPr>
              <w:t>时间：</w:t>
            </w:r>
            <w:r>
              <w:rPr>
                <w:rFonts w:ascii="宋体" w:hAnsi="宋体" w:cs="Calibri"/>
                <w:szCs w:val="21"/>
                <w:highlight w:val="none"/>
              </w:rPr>
              <w:t>在</w:t>
            </w:r>
            <w:r>
              <w:rPr>
                <w:rFonts w:hint="eastAsia" w:ascii="宋体" w:hAnsi="宋体" w:cs="Calibri"/>
                <w:szCs w:val="21"/>
                <w:highlight w:val="none"/>
              </w:rPr>
              <w:t>提交首次投标文件截止时间</w:t>
            </w:r>
            <w:r>
              <w:rPr>
                <w:rFonts w:hint="eastAsia" w:ascii="宋体" w:hAnsi="宋体" w:cs="Calibri"/>
                <w:szCs w:val="21"/>
                <w:highlight w:val="none"/>
                <w:u w:val="single"/>
                <w:lang w:val="en-US" w:eastAsia="zh-CN"/>
              </w:rPr>
              <w:t>10</w:t>
            </w:r>
            <w:r>
              <w:rPr>
                <w:rFonts w:hint="eastAsia" w:ascii="宋体" w:hAnsi="宋体" w:cs="Calibri"/>
                <w:szCs w:val="21"/>
                <w:highlight w:val="none"/>
              </w:rPr>
              <w:t>日</w:t>
            </w:r>
            <w:r>
              <w:rPr>
                <w:rFonts w:ascii="宋体" w:hAnsi="宋体" w:cs="Calibri"/>
                <w:szCs w:val="21"/>
                <w:highlight w:val="none"/>
              </w:rPr>
              <w:t>前（以收到日期为准）</w:t>
            </w:r>
          </w:p>
          <w:p w14:paraId="4597049C">
            <w:pPr>
              <w:spacing w:line="384" w:lineRule="auto"/>
              <w:rPr>
                <w:rFonts w:ascii="宋体" w:hAnsi="宋体" w:cs="Calibri"/>
                <w:szCs w:val="21"/>
                <w:highlight w:val="none"/>
              </w:rPr>
            </w:pPr>
            <w:r>
              <w:rPr>
                <w:rFonts w:hint="eastAsia" w:ascii="宋体" w:hAnsi="宋体" w:cs="Calibri"/>
                <w:szCs w:val="21"/>
                <w:highlight w:val="none"/>
              </w:rPr>
              <w:t>形式：</w:t>
            </w:r>
            <w:r>
              <w:rPr>
                <w:szCs w:val="21"/>
                <w:highlight w:val="none"/>
              </w:rPr>
              <w:t>以电子邮件形式（</w:t>
            </w:r>
            <w:r>
              <w:rPr>
                <w:rFonts w:hint="eastAsia"/>
                <w:szCs w:val="21"/>
                <w:highlight w:val="none"/>
              </w:rPr>
              <w:t>czhang@ahbidding.com</w:t>
            </w:r>
            <w:r>
              <w:rPr>
                <w:szCs w:val="21"/>
                <w:highlight w:val="none"/>
              </w:rPr>
              <w:t>）或在</w:t>
            </w:r>
            <w:r>
              <w:rPr>
                <w:rFonts w:hint="eastAsia"/>
                <w:szCs w:val="21"/>
                <w:highlight w:val="none"/>
              </w:rPr>
              <w:t>招标文件规定的时间内登录交易系统选择异议模块，查找选择本项目按规定进行填写疑问或异议内容，并上传相应附件。</w:t>
            </w:r>
          </w:p>
        </w:tc>
      </w:tr>
      <w:tr w14:paraId="1AE6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67441EC2">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2.2.2</w:t>
            </w:r>
          </w:p>
        </w:tc>
        <w:tc>
          <w:tcPr>
            <w:tcW w:w="931" w:type="pct"/>
            <w:noWrap w:val="0"/>
            <w:vAlign w:val="center"/>
          </w:tcPr>
          <w:p w14:paraId="62E20173">
            <w:pPr>
              <w:spacing w:line="384" w:lineRule="auto"/>
              <w:jc w:val="center"/>
              <w:rPr>
                <w:highlight w:val="none"/>
              </w:rPr>
            </w:pPr>
            <w:r>
              <w:rPr>
                <w:rFonts w:hint="eastAsia" w:cs="Calibri"/>
                <w:highlight w:val="none"/>
              </w:rPr>
              <w:t>招标文件澄清发出的形式</w:t>
            </w:r>
          </w:p>
        </w:tc>
        <w:tc>
          <w:tcPr>
            <w:tcW w:w="3665" w:type="pct"/>
            <w:noWrap w:val="0"/>
            <w:vAlign w:val="center"/>
          </w:tcPr>
          <w:p w14:paraId="24E1E579">
            <w:pPr>
              <w:spacing w:line="384" w:lineRule="auto"/>
              <w:rPr>
                <w:rFonts w:hint="eastAsia" w:ascii="宋体" w:hAnsi="宋体" w:cs="Calibri"/>
                <w:szCs w:val="21"/>
                <w:highlight w:val="none"/>
              </w:rPr>
            </w:pPr>
            <w:r>
              <w:rPr>
                <w:rFonts w:hint="eastAsia" w:ascii="宋体" w:hAnsi="宋体" w:cs="Calibri"/>
                <w:szCs w:val="21"/>
                <w:highlight w:val="none"/>
              </w:rPr>
              <w:t>对招标文件进行的澄清，将</w:t>
            </w:r>
            <w:r>
              <w:rPr>
                <w:rFonts w:ascii="宋体" w:hAnsi="宋体" w:cs="Calibri"/>
                <w:szCs w:val="21"/>
                <w:highlight w:val="none"/>
              </w:rPr>
              <w:t>在</w:t>
            </w:r>
            <w:r>
              <w:rPr>
                <w:rFonts w:hint="eastAsia" w:ascii="宋体" w:hAnsi="宋体" w:cs="Calibri"/>
                <w:szCs w:val="21"/>
                <w:highlight w:val="none"/>
              </w:rPr>
              <w:t>招标</w:t>
            </w:r>
            <w:r>
              <w:rPr>
                <w:rFonts w:hint="eastAsia" w:ascii="宋体" w:hAnsi="宋体" w:cs="宋体"/>
                <w:kern w:val="0"/>
                <w:szCs w:val="21"/>
                <w:highlight w:val="none"/>
              </w:rPr>
              <w:t>公告发布媒体以及</w:t>
            </w:r>
            <w:r>
              <w:rPr>
                <w:rFonts w:hint="eastAsia" w:ascii="宋体" w:hAnsi="宋体" w:cs="Calibri"/>
                <w:szCs w:val="21"/>
                <w:highlight w:val="none"/>
                <w:lang w:eastAsia="zh-CN"/>
              </w:rPr>
              <w:t>安天e采</w:t>
            </w:r>
            <w:r>
              <w:rPr>
                <w:rFonts w:hint="eastAsia" w:ascii="宋体" w:hAnsi="宋体" w:cs="Calibri"/>
                <w:szCs w:val="21"/>
                <w:highlight w:val="none"/>
              </w:rPr>
              <w:t>招标采购电子交易系统</w:t>
            </w:r>
            <w:r>
              <w:rPr>
                <w:rFonts w:hint="eastAsia" w:ascii="宋体" w:hAnsi="宋体" w:cs="宋体"/>
                <w:kern w:val="0"/>
                <w:szCs w:val="21"/>
                <w:highlight w:val="none"/>
              </w:rPr>
              <w:t>进行</w:t>
            </w:r>
            <w:r>
              <w:rPr>
                <w:rFonts w:hint="eastAsia" w:ascii="宋体" w:hAnsi="宋体" w:cs="Calibri"/>
                <w:szCs w:val="21"/>
                <w:highlight w:val="none"/>
              </w:rPr>
              <w:t>发布。</w:t>
            </w:r>
          </w:p>
        </w:tc>
      </w:tr>
      <w:tr w14:paraId="51C1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2596CBD7">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2.2.3</w:t>
            </w:r>
          </w:p>
        </w:tc>
        <w:tc>
          <w:tcPr>
            <w:tcW w:w="931" w:type="pct"/>
            <w:noWrap w:val="0"/>
            <w:vAlign w:val="center"/>
          </w:tcPr>
          <w:p w14:paraId="78E4013D">
            <w:pPr>
              <w:spacing w:line="384" w:lineRule="auto"/>
              <w:jc w:val="center"/>
              <w:rPr>
                <w:rFonts w:hint="eastAsia" w:cs="Calibri"/>
                <w:highlight w:val="none"/>
              </w:rPr>
            </w:pPr>
            <w:r>
              <w:rPr>
                <w:rFonts w:hint="eastAsia" w:cs="Calibri"/>
                <w:highlight w:val="none"/>
              </w:rPr>
              <w:t>投标供应商确认收到招标文件澄清</w:t>
            </w:r>
          </w:p>
        </w:tc>
        <w:tc>
          <w:tcPr>
            <w:tcW w:w="3665" w:type="pct"/>
            <w:noWrap w:val="0"/>
            <w:vAlign w:val="center"/>
          </w:tcPr>
          <w:p w14:paraId="117A922E">
            <w:pPr>
              <w:spacing w:line="384" w:lineRule="auto"/>
              <w:rPr>
                <w:rFonts w:hint="eastAsia" w:ascii="宋体" w:hAnsi="宋体" w:cs="Calibri"/>
                <w:szCs w:val="21"/>
                <w:highlight w:val="none"/>
              </w:rPr>
            </w:pPr>
            <w:r>
              <w:rPr>
                <w:rFonts w:ascii="宋体" w:hAnsi="宋体" w:cs="Calibri"/>
                <w:szCs w:val="21"/>
                <w:highlight w:val="none"/>
              </w:rPr>
              <w:t>在</w:t>
            </w:r>
            <w:r>
              <w:rPr>
                <w:rFonts w:hint="eastAsia" w:ascii="宋体" w:hAnsi="宋体" w:cs="Calibri"/>
                <w:szCs w:val="21"/>
                <w:highlight w:val="none"/>
                <w:lang w:eastAsia="zh-CN"/>
              </w:rPr>
              <w:t>安天e采</w:t>
            </w:r>
            <w:r>
              <w:rPr>
                <w:rFonts w:hint="eastAsia" w:ascii="宋体" w:hAnsi="宋体" w:cs="Calibri"/>
                <w:szCs w:val="21"/>
                <w:highlight w:val="none"/>
              </w:rPr>
              <w:t>招标采购电子交易系统上发布，投标供应商应主动上网查询。投标供应商未及时关注相关信息的，责任自负。</w:t>
            </w:r>
          </w:p>
        </w:tc>
      </w:tr>
      <w:tr w14:paraId="5500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68AF61AB">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2.3.1</w:t>
            </w:r>
          </w:p>
        </w:tc>
        <w:tc>
          <w:tcPr>
            <w:tcW w:w="931" w:type="pct"/>
            <w:noWrap w:val="0"/>
            <w:vAlign w:val="center"/>
          </w:tcPr>
          <w:p w14:paraId="31D175F9">
            <w:pPr>
              <w:spacing w:line="384" w:lineRule="auto"/>
              <w:jc w:val="center"/>
              <w:rPr>
                <w:rFonts w:hint="eastAsia" w:cs="Calibri"/>
                <w:highlight w:val="none"/>
              </w:rPr>
            </w:pPr>
            <w:r>
              <w:rPr>
                <w:rFonts w:hint="eastAsia" w:cs="Calibri"/>
                <w:highlight w:val="none"/>
              </w:rPr>
              <w:t>招标文件修改发出的形式</w:t>
            </w:r>
          </w:p>
        </w:tc>
        <w:tc>
          <w:tcPr>
            <w:tcW w:w="3665" w:type="pct"/>
            <w:noWrap w:val="0"/>
            <w:vAlign w:val="center"/>
          </w:tcPr>
          <w:p w14:paraId="3ACE4C61">
            <w:pPr>
              <w:spacing w:line="384" w:lineRule="auto"/>
              <w:rPr>
                <w:rFonts w:hint="eastAsia" w:ascii="宋体" w:hAnsi="宋体" w:cs="Calibri"/>
                <w:szCs w:val="21"/>
                <w:highlight w:val="none"/>
              </w:rPr>
            </w:pPr>
            <w:r>
              <w:rPr>
                <w:rFonts w:hint="eastAsia" w:ascii="宋体" w:hAnsi="宋体" w:cs="Calibri"/>
                <w:szCs w:val="21"/>
                <w:highlight w:val="none"/>
              </w:rPr>
              <w:t>同澄清发出形式的规定</w:t>
            </w:r>
          </w:p>
        </w:tc>
      </w:tr>
      <w:tr w14:paraId="78E4C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53D8A143">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2.3.2</w:t>
            </w:r>
          </w:p>
        </w:tc>
        <w:tc>
          <w:tcPr>
            <w:tcW w:w="931" w:type="pct"/>
            <w:noWrap w:val="0"/>
            <w:vAlign w:val="center"/>
          </w:tcPr>
          <w:p w14:paraId="0D8A4D82">
            <w:pPr>
              <w:spacing w:line="384" w:lineRule="auto"/>
              <w:jc w:val="center"/>
              <w:rPr>
                <w:rFonts w:hint="eastAsia" w:cs="Calibri"/>
                <w:highlight w:val="none"/>
              </w:rPr>
            </w:pPr>
            <w:r>
              <w:rPr>
                <w:rFonts w:hint="eastAsia" w:cs="Calibri"/>
                <w:highlight w:val="none"/>
              </w:rPr>
              <w:t>投标供应商确认收到招标文件修改</w:t>
            </w:r>
          </w:p>
        </w:tc>
        <w:tc>
          <w:tcPr>
            <w:tcW w:w="3665" w:type="pct"/>
            <w:noWrap w:val="0"/>
            <w:vAlign w:val="center"/>
          </w:tcPr>
          <w:p w14:paraId="56C828AF">
            <w:pPr>
              <w:spacing w:line="384" w:lineRule="auto"/>
              <w:rPr>
                <w:rFonts w:hint="eastAsia" w:ascii="宋体" w:hAnsi="宋体" w:cs="Calibri"/>
                <w:szCs w:val="21"/>
                <w:highlight w:val="none"/>
              </w:rPr>
            </w:pPr>
            <w:r>
              <w:rPr>
                <w:rFonts w:hint="eastAsia" w:ascii="宋体" w:hAnsi="宋体" w:cs="Calibri"/>
                <w:szCs w:val="21"/>
                <w:highlight w:val="none"/>
              </w:rPr>
              <w:t>同确认收到澄清的规定</w:t>
            </w:r>
          </w:p>
        </w:tc>
      </w:tr>
      <w:tr w14:paraId="66023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194E74AC">
            <w:pPr>
              <w:widowControl/>
              <w:adjustRightInd w:val="0"/>
              <w:snapToGrid w:val="0"/>
              <w:spacing w:line="384" w:lineRule="auto"/>
              <w:jc w:val="center"/>
              <w:rPr>
                <w:rFonts w:hint="eastAsia" w:ascii="宋体" w:hAnsi="宋体" w:cs="宋体"/>
                <w:szCs w:val="21"/>
                <w:highlight w:val="none"/>
              </w:rPr>
            </w:pPr>
            <w:r>
              <w:rPr>
                <w:rFonts w:hint="eastAsia" w:ascii="宋体" w:hAnsi="宋体" w:cs="宋体"/>
                <w:szCs w:val="21"/>
                <w:highlight w:val="none"/>
              </w:rPr>
              <w:t>2.4.1</w:t>
            </w:r>
          </w:p>
        </w:tc>
        <w:tc>
          <w:tcPr>
            <w:tcW w:w="931" w:type="pct"/>
            <w:noWrap w:val="0"/>
            <w:vAlign w:val="center"/>
          </w:tcPr>
          <w:p w14:paraId="7AADF8DD">
            <w:pPr>
              <w:spacing w:line="384" w:lineRule="auto"/>
              <w:jc w:val="center"/>
              <w:rPr>
                <w:rFonts w:hint="eastAsia" w:ascii="宋体" w:hAnsi="宋体" w:cs="宋体"/>
                <w:szCs w:val="21"/>
                <w:highlight w:val="none"/>
              </w:rPr>
            </w:pPr>
            <w:r>
              <w:rPr>
                <w:rFonts w:hint="eastAsia" w:ascii="宋体" w:hAnsi="宋体" w:cs="宋体"/>
                <w:szCs w:val="21"/>
                <w:highlight w:val="none"/>
              </w:rPr>
              <w:t>投标供应商对招标文件提出质疑的时间和形式</w:t>
            </w:r>
          </w:p>
        </w:tc>
        <w:tc>
          <w:tcPr>
            <w:tcW w:w="3665" w:type="pct"/>
            <w:noWrap w:val="0"/>
            <w:vAlign w:val="center"/>
          </w:tcPr>
          <w:p w14:paraId="26214E11">
            <w:pPr>
              <w:spacing w:line="384" w:lineRule="auto"/>
              <w:rPr>
                <w:rFonts w:hint="eastAsia" w:ascii="宋体" w:hAnsi="宋体" w:cs="宋体"/>
                <w:szCs w:val="21"/>
                <w:highlight w:val="none"/>
              </w:rPr>
            </w:pPr>
            <w:r>
              <w:rPr>
                <w:rFonts w:hint="eastAsia" w:ascii="宋体" w:hAnsi="宋体" w:cs="宋体"/>
                <w:szCs w:val="21"/>
                <w:highlight w:val="none"/>
              </w:rPr>
              <w:t>时间：自收到招标文件之日起或采购文件公告期限届满之日起</w:t>
            </w:r>
            <w:r>
              <w:rPr>
                <w:rFonts w:ascii="宋体" w:hAnsi="宋体" w:cs="宋体"/>
                <w:szCs w:val="21"/>
                <w:highlight w:val="none"/>
              </w:rPr>
              <w:t>七个工作日内</w:t>
            </w:r>
          </w:p>
          <w:p w14:paraId="40135AD6">
            <w:pPr>
              <w:spacing w:line="384" w:lineRule="auto"/>
              <w:rPr>
                <w:rFonts w:hint="eastAsia" w:ascii="宋体" w:hAnsi="宋体" w:cs="宋体"/>
                <w:szCs w:val="21"/>
                <w:highlight w:val="none"/>
              </w:rPr>
            </w:pPr>
            <w:r>
              <w:rPr>
                <w:rFonts w:hint="eastAsia" w:ascii="宋体" w:hAnsi="宋体" w:cs="宋体"/>
                <w:szCs w:val="21"/>
                <w:highlight w:val="none"/>
              </w:rPr>
              <w:t>形式：见第二章第9.2款规定</w:t>
            </w:r>
          </w:p>
        </w:tc>
      </w:tr>
      <w:tr w14:paraId="0E6AE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4" w:hRule="atLeast"/>
        </w:trPr>
        <w:tc>
          <w:tcPr>
            <w:tcW w:w="402" w:type="pct"/>
            <w:noWrap w:val="0"/>
            <w:vAlign w:val="center"/>
          </w:tcPr>
          <w:p w14:paraId="7905C3E1">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3.1.4</w:t>
            </w:r>
          </w:p>
        </w:tc>
        <w:tc>
          <w:tcPr>
            <w:tcW w:w="931" w:type="pct"/>
            <w:noWrap w:val="0"/>
            <w:vAlign w:val="center"/>
          </w:tcPr>
          <w:p w14:paraId="1B250B4C">
            <w:pPr>
              <w:spacing w:line="384" w:lineRule="auto"/>
              <w:jc w:val="center"/>
              <w:rPr>
                <w:rFonts w:cs="Calibri"/>
                <w:highlight w:val="none"/>
              </w:rPr>
            </w:pPr>
            <w:r>
              <w:rPr>
                <w:rFonts w:hint="eastAsia" w:cs="Calibri"/>
                <w:highlight w:val="none"/>
              </w:rPr>
              <w:t>样品</w:t>
            </w:r>
          </w:p>
        </w:tc>
        <w:tc>
          <w:tcPr>
            <w:tcW w:w="3665" w:type="pct"/>
            <w:noWrap w:val="0"/>
            <w:vAlign w:val="center"/>
          </w:tcPr>
          <w:p w14:paraId="466D3B26">
            <w:pPr>
              <w:spacing w:line="384" w:lineRule="auto"/>
              <w:rPr>
                <w:rFonts w:hint="eastAsia" w:ascii="宋体" w:hAnsi="宋体" w:cs="Calibri"/>
                <w:szCs w:val="21"/>
                <w:highlight w:val="none"/>
              </w:rPr>
            </w:pPr>
            <w:r>
              <w:rPr>
                <w:rFonts w:hint="eastAsia" w:ascii="宋体" w:hAnsi="宋体" w:cs="Calibri"/>
                <w:szCs w:val="21"/>
                <w:highlight w:val="none"/>
              </w:rPr>
              <w:t>是否要求投标供应商提交样品：</w:t>
            </w:r>
          </w:p>
          <w:p w14:paraId="5F94941A">
            <w:pPr>
              <w:spacing w:line="384" w:lineRule="auto"/>
              <w:rPr>
                <w:rFonts w:ascii="宋体" w:hAnsi="宋体" w:cs="Calibri"/>
                <w:szCs w:val="21"/>
                <w:highlight w:val="none"/>
              </w:rPr>
            </w:pPr>
            <w:r>
              <w:rPr>
                <w:rFonts w:hint="eastAsia" w:ascii="宋体" w:hAnsi="宋体" w:cs="Calibri"/>
                <w:szCs w:val="21"/>
                <w:highlight w:val="none"/>
                <w:lang w:eastAsia="zh-CN"/>
              </w:rPr>
              <w:t>☑</w:t>
            </w:r>
            <w:r>
              <w:rPr>
                <w:rFonts w:hint="eastAsia" w:ascii="宋体" w:hAnsi="宋体" w:cs="Calibri"/>
                <w:szCs w:val="21"/>
                <w:highlight w:val="none"/>
              </w:rPr>
              <w:t>否</w:t>
            </w:r>
          </w:p>
          <w:p w14:paraId="6EB4F977">
            <w:pPr>
              <w:spacing w:line="384" w:lineRule="auto"/>
              <w:rPr>
                <w:rFonts w:hint="eastAsia" w:ascii="宋体" w:hAnsi="宋体" w:cs="Calibri"/>
                <w:szCs w:val="21"/>
                <w:highlight w:val="none"/>
              </w:rPr>
            </w:pPr>
            <w:r>
              <w:rPr>
                <w:rFonts w:hint="eastAsia" w:ascii="宋体" w:hAnsi="宋体" w:cs="Calibri"/>
                <w:szCs w:val="21"/>
                <w:highlight w:val="none"/>
              </w:rPr>
              <w:t>□是，提交样品的具体要求：</w:t>
            </w:r>
          </w:p>
          <w:p w14:paraId="50684443">
            <w:pPr>
              <w:spacing w:line="384" w:lineRule="auto"/>
              <w:rPr>
                <w:rFonts w:hint="eastAsia" w:ascii="宋体" w:hAnsi="宋体" w:cs="Calibri"/>
                <w:szCs w:val="21"/>
                <w:highlight w:val="none"/>
              </w:rPr>
            </w:pPr>
            <w:r>
              <w:rPr>
                <w:rFonts w:hint="eastAsia" w:ascii="宋体" w:hAnsi="宋体" w:cs="Calibri"/>
                <w:szCs w:val="21"/>
                <w:highlight w:val="none"/>
              </w:rPr>
              <w:t xml:space="preserve">（1）规格：                       </w:t>
            </w:r>
          </w:p>
          <w:p w14:paraId="467AB38F">
            <w:pPr>
              <w:spacing w:line="384" w:lineRule="auto"/>
              <w:rPr>
                <w:rFonts w:hint="eastAsia" w:ascii="宋体" w:hAnsi="宋体" w:cs="Calibri"/>
                <w:szCs w:val="21"/>
                <w:highlight w:val="none"/>
              </w:rPr>
            </w:pPr>
            <w:r>
              <w:rPr>
                <w:rFonts w:hint="eastAsia" w:ascii="宋体" w:hAnsi="宋体" w:cs="Calibri"/>
                <w:szCs w:val="21"/>
                <w:highlight w:val="none"/>
              </w:rPr>
              <w:t xml:space="preserve">（2）数量：                         </w:t>
            </w:r>
          </w:p>
          <w:p w14:paraId="103FB9B3">
            <w:pPr>
              <w:spacing w:line="384" w:lineRule="auto"/>
              <w:rPr>
                <w:rFonts w:hint="eastAsia" w:ascii="宋体" w:hAnsi="宋体" w:cs="Calibri"/>
                <w:szCs w:val="21"/>
                <w:highlight w:val="none"/>
              </w:rPr>
            </w:pPr>
            <w:r>
              <w:rPr>
                <w:rFonts w:hint="eastAsia" w:ascii="宋体" w:hAnsi="宋体" w:cs="Calibri"/>
                <w:szCs w:val="21"/>
                <w:highlight w:val="none"/>
              </w:rPr>
              <w:t>（3）密封、标志要求：不需密封，但应贴有加盖投标供应商印章或其委托代理人签字的标签。</w:t>
            </w:r>
          </w:p>
          <w:p w14:paraId="008560A8">
            <w:pPr>
              <w:spacing w:line="384" w:lineRule="auto"/>
              <w:rPr>
                <w:rFonts w:hint="eastAsia" w:ascii="宋体" w:hAnsi="宋体" w:cs="Calibri"/>
                <w:szCs w:val="21"/>
                <w:highlight w:val="none"/>
              </w:rPr>
            </w:pPr>
            <w:r>
              <w:rPr>
                <w:rFonts w:hint="eastAsia" w:ascii="宋体" w:hAnsi="宋体" w:cs="Calibri"/>
                <w:szCs w:val="21"/>
                <w:highlight w:val="none"/>
              </w:rPr>
              <w:t>（4）应在投标截止时间前递交，递交地点同投标文件递交地点，未按规定递交的不予受理。</w:t>
            </w:r>
          </w:p>
          <w:p w14:paraId="31A043D2">
            <w:pPr>
              <w:spacing w:line="384" w:lineRule="auto"/>
              <w:rPr>
                <w:rFonts w:hint="eastAsia" w:ascii="宋体" w:hAnsi="宋体" w:cs="Calibri"/>
                <w:szCs w:val="21"/>
                <w:highlight w:val="none"/>
              </w:rPr>
            </w:pPr>
            <w:r>
              <w:rPr>
                <w:rFonts w:hint="eastAsia" w:ascii="宋体" w:hAnsi="宋体" w:cs="Calibri"/>
                <w:szCs w:val="21"/>
                <w:highlight w:val="none"/>
              </w:rPr>
              <w:t>（5）</w:t>
            </w:r>
            <w:r>
              <w:rPr>
                <w:rFonts w:hint="eastAsia" w:ascii="宋体" w:hAnsi="宋体" w:cs="Calibri"/>
                <w:szCs w:val="21"/>
                <w:highlight w:val="none"/>
                <w:lang w:eastAsia="zh-CN"/>
              </w:rPr>
              <w:t>中标供应商</w:t>
            </w:r>
            <w:r>
              <w:rPr>
                <w:rFonts w:hint="eastAsia" w:ascii="宋体" w:hAnsi="宋体" w:cs="Calibri"/>
                <w:szCs w:val="21"/>
                <w:highlight w:val="none"/>
              </w:rPr>
              <w:t>样品的保管：自中标公告发布之日起</w:t>
            </w:r>
            <w:r>
              <w:rPr>
                <w:rFonts w:ascii="宋体" w:hAnsi="宋体" w:cs="Calibri"/>
                <w:szCs w:val="21"/>
                <w:highlight w:val="none"/>
              </w:rPr>
              <w:t>3个工作日内，移交采购人</w:t>
            </w:r>
            <w:r>
              <w:rPr>
                <w:rFonts w:hint="eastAsia" w:ascii="宋体" w:hAnsi="宋体" w:cs="Calibri"/>
                <w:szCs w:val="21"/>
                <w:highlight w:val="none"/>
              </w:rPr>
              <w:t>保管；若样品需要专业运送公司进行运送的，运送费用由中标人承担</w:t>
            </w:r>
            <w:r>
              <w:rPr>
                <w:rFonts w:ascii="宋体" w:hAnsi="宋体" w:cs="Calibri"/>
                <w:szCs w:val="21"/>
                <w:highlight w:val="none"/>
              </w:rPr>
              <w:t>。</w:t>
            </w:r>
          </w:p>
          <w:p w14:paraId="4E7E6D1C">
            <w:pPr>
              <w:spacing w:line="384" w:lineRule="auto"/>
              <w:rPr>
                <w:rFonts w:hint="eastAsia" w:ascii="宋体" w:hAnsi="宋体" w:cs="Calibri"/>
                <w:szCs w:val="21"/>
                <w:highlight w:val="none"/>
              </w:rPr>
            </w:pPr>
            <w:r>
              <w:rPr>
                <w:rFonts w:hint="eastAsia" w:ascii="宋体" w:hAnsi="宋体" w:cs="Calibri"/>
                <w:szCs w:val="21"/>
                <w:highlight w:val="none"/>
              </w:rPr>
              <w:t>（6）未</w:t>
            </w:r>
            <w:r>
              <w:rPr>
                <w:rFonts w:hint="eastAsia" w:ascii="宋体" w:hAnsi="宋体" w:cs="Calibri"/>
                <w:szCs w:val="21"/>
                <w:highlight w:val="none"/>
                <w:lang w:eastAsia="zh-CN"/>
              </w:rPr>
              <w:t>中标供应商</w:t>
            </w:r>
            <w:r>
              <w:rPr>
                <w:rFonts w:hint="eastAsia" w:ascii="宋体" w:hAnsi="宋体" w:cs="Calibri"/>
                <w:szCs w:val="21"/>
                <w:highlight w:val="none"/>
              </w:rPr>
              <w:t>样品的退还：自中标公告发布之日起</w:t>
            </w:r>
            <w:r>
              <w:rPr>
                <w:rFonts w:ascii="宋体" w:hAnsi="宋体" w:cs="Calibri"/>
                <w:szCs w:val="21"/>
                <w:highlight w:val="none"/>
              </w:rPr>
              <w:t>3个工作日内</w:t>
            </w:r>
            <w:r>
              <w:rPr>
                <w:rFonts w:hint="eastAsia" w:ascii="宋体" w:hAnsi="宋体" w:cs="Calibri"/>
                <w:szCs w:val="21"/>
                <w:highlight w:val="none"/>
              </w:rPr>
              <w:t>，投标供应商自行取回。逾期未取的，样品的损毁、灭失责任由投标供应商承担。</w:t>
            </w:r>
          </w:p>
        </w:tc>
      </w:tr>
      <w:tr w14:paraId="19DD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0EDC1631">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3.2.1</w:t>
            </w:r>
          </w:p>
        </w:tc>
        <w:tc>
          <w:tcPr>
            <w:tcW w:w="931" w:type="pct"/>
            <w:noWrap w:val="0"/>
            <w:vAlign w:val="center"/>
          </w:tcPr>
          <w:p w14:paraId="51AE6B75">
            <w:pPr>
              <w:spacing w:line="384" w:lineRule="auto"/>
              <w:jc w:val="center"/>
              <w:rPr>
                <w:rFonts w:hint="eastAsia" w:cs="Calibri"/>
                <w:highlight w:val="none"/>
              </w:rPr>
            </w:pPr>
            <w:r>
              <w:rPr>
                <w:rFonts w:hint="eastAsia" w:cs="Calibri"/>
                <w:highlight w:val="none"/>
              </w:rPr>
              <w:t>投标报价包括的</w:t>
            </w:r>
          </w:p>
          <w:p w14:paraId="419DA8E7">
            <w:pPr>
              <w:spacing w:line="384" w:lineRule="auto"/>
              <w:jc w:val="center"/>
              <w:rPr>
                <w:rFonts w:hint="eastAsia" w:cs="Calibri"/>
                <w:highlight w:val="none"/>
              </w:rPr>
            </w:pPr>
            <w:r>
              <w:rPr>
                <w:rFonts w:hint="eastAsia" w:cs="Calibri"/>
                <w:highlight w:val="none"/>
              </w:rPr>
              <w:t>内容</w:t>
            </w:r>
          </w:p>
        </w:tc>
        <w:tc>
          <w:tcPr>
            <w:tcW w:w="3665" w:type="pct"/>
            <w:noWrap w:val="0"/>
            <w:vAlign w:val="center"/>
          </w:tcPr>
          <w:p w14:paraId="5543B624">
            <w:pPr>
              <w:spacing w:line="384" w:lineRule="auto"/>
              <w:rPr>
                <w:rFonts w:hint="eastAsia" w:ascii="宋体" w:hAnsi="宋体" w:cs="Calibri"/>
                <w:szCs w:val="21"/>
                <w:highlight w:val="none"/>
              </w:rPr>
            </w:pPr>
            <w:r>
              <w:rPr>
                <w:rFonts w:hint="eastAsia" w:ascii="宋体" w:hAnsi="宋体" w:cs="Calibri"/>
                <w:szCs w:val="21"/>
                <w:highlight w:val="none"/>
              </w:rPr>
              <w:t>投标报价</w:t>
            </w:r>
            <w:r>
              <w:rPr>
                <w:rFonts w:ascii="宋体" w:hAnsi="宋体" w:cs="Calibri"/>
                <w:szCs w:val="21"/>
                <w:highlight w:val="none"/>
              </w:rPr>
              <w:t>包括货物从设计、采购、制造、交货（包括运输至采购人指定地点卸车就位）至售后服务的一切费用（如设计费、采购费、制造费、包装费、运输保险费、运输费、装卸费、其他技术服务及质保期服务费等）、管理费、利润和税金，以及</w:t>
            </w:r>
            <w:r>
              <w:rPr>
                <w:rFonts w:hint="eastAsia" w:ascii="宋体" w:hAnsi="宋体" w:cs="Calibri"/>
                <w:szCs w:val="21"/>
                <w:highlight w:val="none"/>
              </w:rPr>
              <w:t>采购</w:t>
            </w:r>
            <w:r>
              <w:rPr>
                <w:rFonts w:ascii="宋体" w:hAnsi="宋体" w:cs="Calibri"/>
                <w:szCs w:val="21"/>
                <w:highlight w:val="none"/>
              </w:rPr>
              <w:t>合同中所有责任、义务和风险。</w:t>
            </w:r>
          </w:p>
        </w:tc>
      </w:tr>
      <w:tr w14:paraId="1DD19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3FAD6FFE">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3.2.5</w:t>
            </w:r>
          </w:p>
        </w:tc>
        <w:tc>
          <w:tcPr>
            <w:tcW w:w="931" w:type="pct"/>
            <w:noWrap w:val="0"/>
            <w:vAlign w:val="center"/>
          </w:tcPr>
          <w:p w14:paraId="66597C51">
            <w:pPr>
              <w:spacing w:line="384" w:lineRule="auto"/>
              <w:jc w:val="center"/>
              <w:rPr>
                <w:rFonts w:hint="eastAsia" w:cs="Calibri"/>
                <w:highlight w:val="none"/>
              </w:rPr>
            </w:pPr>
            <w:r>
              <w:rPr>
                <w:rFonts w:hint="eastAsia" w:cs="Calibri"/>
                <w:highlight w:val="none"/>
              </w:rPr>
              <w:t>最高限价</w:t>
            </w:r>
          </w:p>
        </w:tc>
        <w:tc>
          <w:tcPr>
            <w:tcW w:w="3665" w:type="pct"/>
            <w:noWrap w:val="0"/>
            <w:vAlign w:val="center"/>
          </w:tcPr>
          <w:p w14:paraId="232C9937">
            <w:pPr>
              <w:spacing w:line="384" w:lineRule="auto"/>
              <w:rPr>
                <w:rFonts w:hint="eastAsia" w:ascii="宋体" w:hAnsi="宋体" w:cs="Calibri"/>
                <w:szCs w:val="21"/>
                <w:highlight w:val="none"/>
              </w:rPr>
            </w:pPr>
            <w:r>
              <w:rPr>
                <w:rFonts w:hint="eastAsia" w:ascii="宋体" w:hAnsi="宋体" w:cs="Calibri"/>
                <w:szCs w:val="21"/>
                <w:highlight w:val="none"/>
              </w:rPr>
              <w:t>详见招标公告</w:t>
            </w:r>
          </w:p>
        </w:tc>
      </w:tr>
      <w:tr w14:paraId="4FD2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38AED500">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3.2.6</w:t>
            </w:r>
          </w:p>
        </w:tc>
        <w:tc>
          <w:tcPr>
            <w:tcW w:w="931" w:type="pct"/>
            <w:noWrap w:val="0"/>
            <w:vAlign w:val="center"/>
          </w:tcPr>
          <w:p w14:paraId="435964F8">
            <w:pPr>
              <w:spacing w:line="384" w:lineRule="auto"/>
              <w:jc w:val="center"/>
              <w:rPr>
                <w:rFonts w:hint="eastAsia" w:cs="Calibri"/>
                <w:highlight w:val="none"/>
              </w:rPr>
            </w:pPr>
            <w:r>
              <w:rPr>
                <w:rFonts w:hint="eastAsia" w:cs="Calibri"/>
                <w:highlight w:val="none"/>
              </w:rPr>
              <w:t>投标报价的其他</w:t>
            </w:r>
          </w:p>
          <w:p w14:paraId="3E0E38F1">
            <w:pPr>
              <w:spacing w:line="384" w:lineRule="auto"/>
              <w:jc w:val="center"/>
              <w:rPr>
                <w:rFonts w:hint="eastAsia" w:cs="Calibri"/>
                <w:highlight w:val="none"/>
              </w:rPr>
            </w:pPr>
            <w:r>
              <w:rPr>
                <w:rFonts w:hint="eastAsia" w:cs="Calibri"/>
                <w:highlight w:val="none"/>
              </w:rPr>
              <w:t>要求</w:t>
            </w:r>
          </w:p>
        </w:tc>
        <w:tc>
          <w:tcPr>
            <w:tcW w:w="3665" w:type="pct"/>
            <w:noWrap w:val="0"/>
            <w:vAlign w:val="center"/>
          </w:tcPr>
          <w:p w14:paraId="0B342D03">
            <w:pPr>
              <w:spacing w:line="384" w:lineRule="auto"/>
              <w:rPr>
                <w:rFonts w:hint="eastAsia" w:ascii="宋体" w:hAnsi="宋体" w:cs="Calibri"/>
                <w:szCs w:val="21"/>
                <w:highlight w:val="none"/>
              </w:rPr>
            </w:pPr>
            <w:r>
              <w:rPr>
                <w:rFonts w:hint="eastAsia" w:ascii="宋体" w:hAnsi="宋体" w:cs="Calibri"/>
                <w:szCs w:val="21"/>
                <w:highlight w:val="none"/>
                <w:lang w:eastAsia="zh-CN"/>
              </w:rPr>
              <w:t>☑</w:t>
            </w:r>
            <w:r>
              <w:rPr>
                <w:rFonts w:hint="eastAsia" w:ascii="宋体" w:hAnsi="宋体" w:cs="Calibri"/>
                <w:szCs w:val="21"/>
                <w:highlight w:val="none"/>
              </w:rPr>
              <w:t>除招标文件另有规定外，投标供应商所报的价格在合同执行过程中固定不变,不得以任何理由予以变更。</w:t>
            </w:r>
          </w:p>
          <w:p w14:paraId="5B0EE521">
            <w:pPr>
              <w:spacing w:line="384" w:lineRule="auto"/>
              <w:rPr>
                <w:rFonts w:hint="eastAsia" w:ascii="宋体" w:hAnsi="宋体" w:cs="Calibri"/>
                <w:szCs w:val="21"/>
                <w:highlight w:val="none"/>
              </w:rPr>
            </w:pPr>
            <w:r>
              <w:rPr>
                <w:rFonts w:hint="eastAsia" w:ascii="宋体" w:hAnsi="宋体" w:cs="Calibri"/>
                <w:szCs w:val="21"/>
                <w:highlight w:val="none"/>
              </w:rPr>
              <w:t>□采购</w:t>
            </w:r>
            <w:r>
              <w:rPr>
                <w:rFonts w:ascii="宋体" w:hAnsi="宋体" w:cs="Calibri"/>
                <w:szCs w:val="21"/>
                <w:highlight w:val="none"/>
              </w:rPr>
              <w:t>人在“</w:t>
            </w:r>
            <w:r>
              <w:rPr>
                <w:rFonts w:hint="eastAsia" w:ascii="宋体" w:hAnsi="宋体" w:cs="Calibri"/>
                <w:szCs w:val="21"/>
                <w:highlight w:val="none"/>
              </w:rPr>
              <w:t>项目采购需求</w:t>
            </w:r>
            <w:r>
              <w:rPr>
                <w:rFonts w:ascii="宋体" w:hAnsi="宋体" w:cs="Calibri"/>
                <w:szCs w:val="21"/>
                <w:highlight w:val="none"/>
              </w:rPr>
              <w:t>”中所提供的各种货物的数量是计划采购数量，仅作为投标报价的依据，不作为最终结算与支付的依据。政府采购合同履行中，采购人需追加与合同标的相同的货物、工程或者服务的，在不改变合同其他条款的前提下，可以与供应商协商签订补充合同，但所有补充合同的采购金额不得超过原合同采购金额的百分之十。</w:t>
            </w:r>
          </w:p>
        </w:tc>
      </w:tr>
      <w:tr w14:paraId="0E3A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3DF84713">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3.3.1</w:t>
            </w:r>
          </w:p>
        </w:tc>
        <w:tc>
          <w:tcPr>
            <w:tcW w:w="931" w:type="pct"/>
            <w:noWrap w:val="0"/>
            <w:vAlign w:val="center"/>
          </w:tcPr>
          <w:p w14:paraId="36DD6A24">
            <w:pPr>
              <w:spacing w:line="384" w:lineRule="auto"/>
              <w:jc w:val="center"/>
              <w:rPr>
                <w:rFonts w:cs="Calibri"/>
                <w:highlight w:val="none"/>
              </w:rPr>
            </w:pPr>
            <w:r>
              <w:rPr>
                <w:rFonts w:hint="eastAsia" w:cs="Calibri"/>
                <w:highlight w:val="none"/>
              </w:rPr>
              <w:t>投标有效期</w:t>
            </w:r>
          </w:p>
        </w:tc>
        <w:tc>
          <w:tcPr>
            <w:tcW w:w="3665" w:type="pct"/>
            <w:noWrap w:val="0"/>
            <w:vAlign w:val="center"/>
          </w:tcPr>
          <w:p w14:paraId="3035D7E1">
            <w:pPr>
              <w:spacing w:line="384" w:lineRule="auto"/>
              <w:rPr>
                <w:rFonts w:ascii="宋体" w:hAnsi="宋体" w:cs="Calibri"/>
                <w:szCs w:val="21"/>
                <w:highlight w:val="none"/>
              </w:rPr>
            </w:pPr>
            <w:r>
              <w:rPr>
                <w:rFonts w:ascii="宋体" w:hAnsi="宋体" w:cs="Calibri"/>
                <w:szCs w:val="21"/>
                <w:highlight w:val="none"/>
              </w:rPr>
              <w:t xml:space="preserve"> </w:t>
            </w:r>
            <w:r>
              <w:rPr>
                <w:rFonts w:hint="eastAsia" w:ascii="宋体" w:hAnsi="宋体" w:cs="Calibri"/>
                <w:szCs w:val="21"/>
                <w:highlight w:val="none"/>
                <w:u w:val="single"/>
                <w:lang w:val="en-US" w:eastAsia="zh-CN"/>
              </w:rPr>
              <w:t>90</w:t>
            </w:r>
            <w:r>
              <w:rPr>
                <w:rFonts w:hint="eastAsia" w:ascii="宋体" w:hAnsi="宋体" w:cs="Calibri"/>
                <w:szCs w:val="21"/>
                <w:highlight w:val="none"/>
              </w:rPr>
              <w:t>个日历天（从投标截止时间算起）</w:t>
            </w:r>
          </w:p>
        </w:tc>
      </w:tr>
      <w:tr w14:paraId="46E6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4AD72444">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3.4.1</w:t>
            </w:r>
          </w:p>
        </w:tc>
        <w:tc>
          <w:tcPr>
            <w:tcW w:w="931" w:type="pct"/>
            <w:noWrap w:val="0"/>
            <w:vAlign w:val="center"/>
          </w:tcPr>
          <w:p w14:paraId="342DF2E3">
            <w:pPr>
              <w:spacing w:line="384" w:lineRule="auto"/>
              <w:jc w:val="center"/>
              <w:rPr>
                <w:rFonts w:hint="eastAsia" w:cs="Calibri"/>
                <w:highlight w:val="none"/>
              </w:rPr>
            </w:pPr>
            <w:r>
              <w:rPr>
                <w:rFonts w:hint="eastAsia" w:cs="Calibri"/>
                <w:highlight w:val="none"/>
              </w:rPr>
              <w:t>投标保证金</w:t>
            </w:r>
          </w:p>
        </w:tc>
        <w:tc>
          <w:tcPr>
            <w:tcW w:w="3665" w:type="pct"/>
            <w:noWrap w:val="0"/>
            <w:vAlign w:val="center"/>
          </w:tcPr>
          <w:p w14:paraId="5160B53F">
            <w:pPr>
              <w:spacing w:line="384" w:lineRule="auto"/>
              <w:rPr>
                <w:rFonts w:hint="eastAsia" w:ascii="宋体" w:hAnsi="宋体" w:cs="Calibri"/>
                <w:szCs w:val="21"/>
                <w:highlight w:val="none"/>
              </w:rPr>
            </w:pPr>
            <w:r>
              <w:rPr>
                <w:rFonts w:hint="eastAsia" w:ascii="宋体" w:hAnsi="宋体" w:cs="Calibri"/>
                <w:b/>
                <w:bCs/>
                <w:szCs w:val="21"/>
                <w:highlight w:val="none"/>
              </w:rPr>
              <w:t>本项目免收投标保证金</w:t>
            </w:r>
          </w:p>
        </w:tc>
      </w:tr>
      <w:tr w14:paraId="6E539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2EC3A2BC">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3.6.1</w:t>
            </w:r>
          </w:p>
        </w:tc>
        <w:tc>
          <w:tcPr>
            <w:tcW w:w="931" w:type="pct"/>
            <w:noWrap w:val="0"/>
            <w:vAlign w:val="center"/>
          </w:tcPr>
          <w:p w14:paraId="04102FD8">
            <w:pPr>
              <w:spacing w:line="384" w:lineRule="auto"/>
              <w:jc w:val="center"/>
              <w:rPr>
                <w:rFonts w:cs="Calibri"/>
                <w:highlight w:val="none"/>
              </w:rPr>
            </w:pPr>
            <w:r>
              <w:rPr>
                <w:rFonts w:hint="eastAsia" w:cs="Calibri"/>
                <w:highlight w:val="none"/>
              </w:rPr>
              <w:t>是否允许递交备选投标方案</w:t>
            </w:r>
          </w:p>
        </w:tc>
        <w:tc>
          <w:tcPr>
            <w:tcW w:w="3665" w:type="pct"/>
            <w:noWrap w:val="0"/>
            <w:vAlign w:val="center"/>
          </w:tcPr>
          <w:p w14:paraId="6FADF17A">
            <w:pPr>
              <w:spacing w:line="384" w:lineRule="auto"/>
              <w:rPr>
                <w:rFonts w:ascii="宋体" w:hAnsi="宋体" w:cs="Calibri"/>
                <w:szCs w:val="21"/>
                <w:highlight w:val="none"/>
              </w:rPr>
            </w:pPr>
            <w:r>
              <w:rPr>
                <w:rFonts w:hint="eastAsia" w:ascii="宋体" w:hAnsi="宋体" w:cs="Calibri"/>
                <w:szCs w:val="21"/>
                <w:highlight w:val="none"/>
                <w:lang w:eastAsia="zh-CN"/>
              </w:rPr>
              <w:t>☑</w:t>
            </w:r>
            <w:r>
              <w:rPr>
                <w:rFonts w:hint="eastAsia" w:ascii="宋体" w:hAnsi="宋体" w:cs="Calibri"/>
                <w:szCs w:val="21"/>
                <w:highlight w:val="none"/>
              </w:rPr>
              <w:t>不允许</w:t>
            </w:r>
          </w:p>
          <w:p w14:paraId="77115AE1">
            <w:pPr>
              <w:spacing w:line="384" w:lineRule="auto"/>
              <w:rPr>
                <w:rFonts w:ascii="宋体" w:hAnsi="宋体" w:cs="Calibri"/>
                <w:color w:val="0000FF"/>
                <w:szCs w:val="21"/>
                <w:highlight w:val="none"/>
                <w:u w:val="single"/>
              </w:rPr>
            </w:pPr>
            <w:r>
              <w:rPr>
                <w:rFonts w:hint="eastAsia" w:ascii="宋体" w:hAnsi="宋体" w:cs="Calibri"/>
                <w:szCs w:val="21"/>
                <w:highlight w:val="none"/>
              </w:rPr>
              <w:t>□允许，并满足以下条件：</w:t>
            </w:r>
            <w:r>
              <w:rPr>
                <w:rFonts w:hint="eastAsia" w:ascii="宋体" w:hAnsi="宋体" w:cs="Calibri"/>
                <w:szCs w:val="21"/>
                <w:highlight w:val="none"/>
                <w:u w:val="single"/>
              </w:rPr>
              <w:t xml:space="preserve">                  </w:t>
            </w:r>
          </w:p>
        </w:tc>
      </w:tr>
      <w:tr w14:paraId="657B7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4ECBF4FE">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3.7.4（1）</w:t>
            </w:r>
          </w:p>
        </w:tc>
        <w:tc>
          <w:tcPr>
            <w:tcW w:w="931" w:type="pct"/>
            <w:noWrap w:val="0"/>
            <w:vAlign w:val="center"/>
          </w:tcPr>
          <w:p w14:paraId="58EC0F24">
            <w:pPr>
              <w:spacing w:line="384" w:lineRule="auto"/>
              <w:jc w:val="center"/>
              <w:rPr>
                <w:rFonts w:hint="eastAsia" w:cs="Calibri"/>
                <w:highlight w:val="none"/>
              </w:rPr>
            </w:pPr>
            <w:r>
              <w:rPr>
                <w:rFonts w:hint="eastAsia" w:cs="Calibri"/>
                <w:highlight w:val="none"/>
              </w:rPr>
              <w:t>是否采用电子招标投标</w:t>
            </w:r>
          </w:p>
        </w:tc>
        <w:tc>
          <w:tcPr>
            <w:tcW w:w="3665" w:type="pct"/>
            <w:noWrap w:val="0"/>
            <w:vAlign w:val="center"/>
          </w:tcPr>
          <w:p w14:paraId="18206455">
            <w:pPr>
              <w:spacing w:line="384" w:lineRule="auto"/>
              <w:rPr>
                <w:rFonts w:hint="eastAsia" w:ascii="宋体" w:hAnsi="宋体" w:cs="Calibri"/>
                <w:b/>
                <w:szCs w:val="21"/>
                <w:highlight w:val="none"/>
              </w:rPr>
            </w:pPr>
            <w:r>
              <w:rPr>
                <w:rFonts w:hint="eastAsia" w:ascii="宋体" w:hAnsi="宋体" w:cs="Calibri"/>
                <w:b/>
                <w:szCs w:val="21"/>
                <w:highlight w:val="none"/>
              </w:rPr>
              <w:t>是</w:t>
            </w:r>
          </w:p>
          <w:p w14:paraId="4244322E">
            <w:pPr>
              <w:spacing w:line="384" w:lineRule="auto"/>
              <w:rPr>
                <w:rFonts w:hint="eastAsia" w:ascii="宋体" w:hAnsi="宋体" w:cs="Calibri"/>
                <w:b/>
                <w:szCs w:val="21"/>
                <w:highlight w:val="none"/>
              </w:rPr>
            </w:pPr>
            <w:r>
              <w:rPr>
                <w:rFonts w:hint="eastAsia" w:ascii="宋体" w:hAnsi="宋体" w:cs="Calibri"/>
                <w:bCs/>
                <w:szCs w:val="21"/>
                <w:highlight w:val="none"/>
              </w:rPr>
              <w:t>其他具体要求：电子投标文件所附证书证件均应为投标供应商证书证件的原件扫描件</w:t>
            </w:r>
          </w:p>
        </w:tc>
      </w:tr>
      <w:tr w14:paraId="6E01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37474F44">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3.7.4（2）</w:t>
            </w:r>
          </w:p>
        </w:tc>
        <w:tc>
          <w:tcPr>
            <w:tcW w:w="931" w:type="pct"/>
            <w:noWrap w:val="0"/>
            <w:vAlign w:val="center"/>
          </w:tcPr>
          <w:p w14:paraId="4F84C1CD">
            <w:pPr>
              <w:spacing w:line="384" w:lineRule="auto"/>
              <w:jc w:val="center"/>
              <w:rPr>
                <w:rFonts w:hint="eastAsia" w:cs="Calibri"/>
                <w:highlight w:val="none"/>
              </w:rPr>
            </w:pPr>
            <w:r>
              <w:rPr>
                <w:rFonts w:hint="eastAsia" w:cs="Calibri"/>
                <w:highlight w:val="none"/>
              </w:rPr>
              <w:t>关于数字证书的</w:t>
            </w:r>
          </w:p>
          <w:p w14:paraId="17C6E249">
            <w:pPr>
              <w:spacing w:line="384" w:lineRule="auto"/>
              <w:jc w:val="center"/>
              <w:rPr>
                <w:rFonts w:cs="Calibri"/>
                <w:highlight w:val="none"/>
              </w:rPr>
            </w:pPr>
            <w:r>
              <w:rPr>
                <w:rFonts w:hint="eastAsia" w:cs="Calibri"/>
                <w:highlight w:val="none"/>
              </w:rPr>
              <w:t>办理</w:t>
            </w:r>
          </w:p>
        </w:tc>
        <w:tc>
          <w:tcPr>
            <w:tcW w:w="3665" w:type="pct"/>
            <w:noWrap w:val="0"/>
            <w:vAlign w:val="center"/>
          </w:tcPr>
          <w:p w14:paraId="7743D678">
            <w:pPr>
              <w:snapToGrid w:val="0"/>
              <w:spacing w:line="384" w:lineRule="auto"/>
              <w:rPr>
                <w:rFonts w:hint="eastAsia" w:ascii="宋体" w:hAnsi="宋体" w:cs="Calibri"/>
                <w:b/>
                <w:szCs w:val="21"/>
                <w:highlight w:val="none"/>
              </w:rPr>
            </w:pPr>
            <w:r>
              <w:rPr>
                <w:rFonts w:hint="eastAsia" w:ascii="宋体" w:hAnsi="宋体" w:cs="Calibri"/>
                <w:b/>
                <w:szCs w:val="21"/>
                <w:highlight w:val="none"/>
              </w:rPr>
              <w:t>投标供应商须用通过</w:t>
            </w:r>
            <w:r>
              <w:rPr>
                <w:rFonts w:hint="eastAsia" w:ascii="宋体" w:hAnsi="宋体" w:cs="Calibri"/>
                <w:b/>
                <w:szCs w:val="21"/>
                <w:highlight w:val="none"/>
                <w:lang w:eastAsia="zh-CN"/>
              </w:rPr>
              <w:t>安天e采</w:t>
            </w:r>
            <w:r>
              <w:rPr>
                <w:rFonts w:hint="eastAsia" w:ascii="宋体" w:hAnsi="宋体" w:cs="Calibri"/>
                <w:b/>
                <w:szCs w:val="21"/>
                <w:highlight w:val="none"/>
              </w:rPr>
              <w:t>办理的移动认证证书（或介质数字证书）签章和加密投标文件，若使用介质数字证书的，建议使用企业法人主锁。如未办移动认证证书（或介质数字证书）请及时办理：移动认证办理联系电话：400-0878-198转1，移动认证办理须知详见</w:t>
            </w:r>
            <w:r>
              <w:rPr>
                <w:rFonts w:hint="eastAsia" w:ascii="宋体" w:hAnsi="宋体" w:cs="Calibri"/>
                <w:b/>
                <w:szCs w:val="21"/>
                <w:highlight w:val="none"/>
                <w:lang w:eastAsia="zh-CN"/>
              </w:rPr>
              <w:t>安天e采</w:t>
            </w:r>
            <w:r>
              <w:rPr>
                <w:rFonts w:hint="eastAsia" w:ascii="宋体" w:hAnsi="宋体" w:cs="Calibri"/>
                <w:b/>
                <w:szCs w:val="21"/>
                <w:highlight w:val="none"/>
              </w:rPr>
              <w:t>平台“移动认证上线通知”</w:t>
            </w:r>
          </w:p>
          <w:p w14:paraId="09B9C269">
            <w:pPr>
              <w:snapToGrid w:val="0"/>
              <w:spacing w:line="384" w:lineRule="auto"/>
              <w:rPr>
                <w:rFonts w:hint="eastAsia" w:ascii="宋体" w:hAnsi="宋体" w:cs="Calibri"/>
                <w:b/>
                <w:szCs w:val="21"/>
                <w:highlight w:val="none"/>
              </w:rPr>
            </w:pPr>
            <w:r>
              <w:rPr>
                <w:rFonts w:hint="eastAsia" w:ascii="宋体" w:hAnsi="宋体" w:cs="Calibri"/>
                <w:b/>
                <w:color w:val="auto"/>
                <w:szCs w:val="21"/>
                <w:highlight w:val="none"/>
                <w:u w:val="none"/>
              </w:rPr>
              <w:t>https://www.xinecai.com/ydrz.html；</w:t>
            </w:r>
          </w:p>
          <w:p w14:paraId="128EF875">
            <w:pPr>
              <w:spacing w:line="384" w:lineRule="auto"/>
              <w:rPr>
                <w:rFonts w:hint="eastAsia" w:ascii="宋体" w:hAnsi="宋体" w:cs="Calibri"/>
                <w:b/>
                <w:szCs w:val="21"/>
                <w:highlight w:val="none"/>
              </w:rPr>
            </w:pPr>
            <w:r>
              <w:rPr>
                <w:rFonts w:hint="eastAsia" w:ascii="宋体" w:hAnsi="宋体" w:cs="Calibri"/>
                <w:b/>
                <w:szCs w:val="21"/>
                <w:highlight w:val="none"/>
              </w:rPr>
              <w:t>办理介质数字证书的，参见CA办理须知</w:t>
            </w:r>
          </w:p>
          <w:p w14:paraId="19424193">
            <w:pPr>
              <w:spacing w:line="384" w:lineRule="auto"/>
              <w:rPr>
                <w:rFonts w:hint="eastAsia" w:ascii="宋体" w:hAnsi="宋体" w:cs="Calibri"/>
                <w:bCs/>
                <w:szCs w:val="21"/>
                <w:highlight w:val="none"/>
              </w:rPr>
            </w:pPr>
            <w:r>
              <w:rPr>
                <w:rFonts w:hint="eastAsia" w:ascii="宋体" w:hAnsi="宋体" w:cs="Calibri"/>
                <w:b/>
                <w:szCs w:val="21"/>
                <w:highlight w:val="none"/>
              </w:rPr>
              <w:t>https://www.xinecai.com/quesinfo/20.html。</w:t>
            </w:r>
          </w:p>
        </w:tc>
      </w:tr>
      <w:tr w14:paraId="6693D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30F5A4FF">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4.1.1</w:t>
            </w:r>
          </w:p>
        </w:tc>
        <w:tc>
          <w:tcPr>
            <w:tcW w:w="931" w:type="pct"/>
            <w:noWrap w:val="0"/>
            <w:vAlign w:val="center"/>
          </w:tcPr>
          <w:p w14:paraId="3036099D">
            <w:pPr>
              <w:spacing w:line="384" w:lineRule="auto"/>
              <w:jc w:val="center"/>
              <w:rPr>
                <w:rFonts w:cs="Calibri"/>
                <w:highlight w:val="none"/>
              </w:rPr>
            </w:pPr>
            <w:r>
              <w:rPr>
                <w:rFonts w:hint="eastAsia" w:cs="Calibri"/>
                <w:highlight w:val="none"/>
              </w:rPr>
              <w:t>投标文件加密要求</w:t>
            </w:r>
          </w:p>
        </w:tc>
        <w:tc>
          <w:tcPr>
            <w:tcW w:w="3665" w:type="pct"/>
            <w:noWrap w:val="0"/>
            <w:vAlign w:val="center"/>
          </w:tcPr>
          <w:p w14:paraId="375A66D2">
            <w:pPr>
              <w:spacing w:line="384" w:lineRule="auto"/>
              <w:rPr>
                <w:rFonts w:hint="eastAsia" w:ascii="宋体" w:hAnsi="宋体" w:cs="Calibri"/>
                <w:szCs w:val="21"/>
                <w:highlight w:val="none"/>
              </w:rPr>
            </w:pPr>
            <w:r>
              <w:rPr>
                <w:rFonts w:hint="eastAsia" w:ascii="宋体" w:hAnsi="宋体" w:cs="Calibri"/>
                <w:szCs w:val="21"/>
                <w:highlight w:val="none"/>
              </w:rPr>
              <w:t>加密的电子投标文件需使用数字证书进行加密,详见</w:t>
            </w:r>
            <w:r>
              <w:rPr>
                <w:rFonts w:hint="eastAsia" w:ascii="宋体" w:hAnsi="宋体" w:cs="Calibri"/>
                <w:szCs w:val="21"/>
                <w:highlight w:val="none"/>
                <w:lang w:eastAsia="zh-CN"/>
              </w:rPr>
              <w:t>安天e采</w:t>
            </w:r>
            <w:r>
              <w:rPr>
                <w:rFonts w:hint="eastAsia" w:ascii="宋体" w:hAnsi="宋体" w:cs="Calibri"/>
                <w:szCs w:val="21"/>
                <w:highlight w:val="none"/>
              </w:rPr>
              <w:t>招标采购电子交易系统上发布的有关电子投标文件的制作说明。</w:t>
            </w:r>
          </w:p>
        </w:tc>
      </w:tr>
      <w:tr w14:paraId="6DFC9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02B2629F">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4.2.1</w:t>
            </w:r>
          </w:p>
        </w:tc>
        <w:tc>
          <w:tcPr>
            <w:tcW w:w="931" w:type="pct"/>
            <w:noWrap w:val="0"/>
            <w:vAlign w:val="center"/>
          </w:tcPr>
          <w:p w14:paraId="45118F1C">
            <w:pPr>
              <w:spacing w:line="384" w:lineRule="auto"/>
              <w:jc w:val="center"/>
              <w:rPr>
                <w:rFonts w:cs="Calibri"/>
                <w:highlight w:val="none"/>
              </w:rPr>
            </w:pPr>
            <w:r>
              <w:rPr>
                <w:rFonts w:hint="eastAsia" w:cs="Calibri"/>
                <w:highlight w:val="none"/>
              </w:rPr>
              <w:t>投标截止时间</w:t>
            </w:r>
          </w:p>
        </w:tc>
        <w:tc>
          <w:tcPr>
            <w:tcW w:w="3665" w:type="pct"/>
            <w:noWrap w:val="0"/>
            <w:vAlign w:val="center"/>
          </w:tcPr>
          <w:p w14:paraId="7A705738">
            <w:pPr>
              <w:spacing w:line="384" w:lineRule="auto"/>
              <w:rPr>
                <w:rFonts w:hint="eastAsia" w:ascii="宋体" w:hAnsi="宋体" w:cs="Calibri"/>
                <w:szCs w:val="21"/>
                <w:highlight w:val="none"/>
              </w:rPr>
            </w:pPr>
            <w:r>
              <w:rPr>
                <w:rFonts w:hint="eastAsia" w:ascii="宋体" w:hAnsi="宋体"/>
                <w:szCs w:val="21"/>
                <w:highlight w:val="none"/>
                <w:u w:val="single"/>
              </w:rPr>
              <w:t xml:space="preserve"> 详见招标公告</w:t>
            </w:r>
          </w:p>
          <w:p w14:paraId="6ABAF781">
            <w:pPr>
              <w:spacing w:line="384" w:lineRule="auto"/>
              <w:rPr>
                <w:rFonts w:ascii="宋体" w:hAnsi="宋体" w:cs="Calibri"/>
                <w:b/>
                <w:szCs w:val="21"/>
                <w:highlight w:val="none"/>
              </w:rPr>
            </w:pPr>
            <w:r>
              <w:rPr>
                <w:rFonts w:hint="eastAsia" w:ascii="宋体" w:hAnsi="宋体" w:cs="Calibri"/>
                <w:b/>
                <w:szCs w:val="21"/>
                <w:highlight w:val="none"/>
              </w:rPr>
              <w:t>注：投标供应商未能在投标截止时间之前上传加密电子投标文件的，产生的后果由投标供应商自行承担。</w:t>
            </w:r>
          </w:p>
        </w:tc>
      </w:tr>
      <w:tr w14:paraId="7A8B3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2C845045">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4.2.2</w:t>
            </w:r>
          </w:p>
        </w:tc>
        <w:tc>
          <w:tcPr>
            <w:tcW w:w="931" w:type="pct"/>
            <w:noWrap w:val="0"/>
            <w:vAlign w:val="center"/>
          </w:tcPr>
          <w:p w14:paraId="1A2FC20D">
            <w:pPr>
              <w:spacing w:line="384" w:lineRule="auto"/>
              <w:jc w:val="center"/>
              <w:rPr>
                <w:rFonts w:hint="eastAsia" w:cs="Calibri"/>
                <w:highlight w:val="none"/>
              </w:rPr>
            </w:pPr>
            <w:r>
              <w:rPr>
                <w:rFonts w:hint="eastAsia" w:cs="Calibri"/>
                <w:highlight w:val="none"/>
              </w:rPr>
              <w:t>上传投标文件方式和地址</w:t>
            </w:r>
          </w:p>
        </w:tc>
        <w:tc>
          <w:tcPr>
            <w:tcW w:w="3665" w:type="pct"/>
            <w:noWrap w:val="0"/>
            <w:vAlign w:val="center"/>
          </w:tcPr>
          <w:p w14:paraId="0C1E3608">
            <w:pPr>
              <w:spacing w:line="384" w:lineRule="auto"/>
              <w:rPr>
                <w:rFonts w:ascii="宋体" w:hAnsi="宋体"/>
                <w:i/>
                <w:color w:val="FF0000"/>
                <w:szCs w:val="21"/>
                <w:highlight w:val="none"/>
              </w:rPr>
            </w:pPr>
            <w:r>
              <w:rPr>
                <w:rFonts w:hint="eastAsia" w:ascii="宋体" w:hAnsi="宋体"/>
                <w:szCs w:val="21"/>
                <w:highlight w:val="none"/>
                <w:lang w:eastAsia="zh-CN"/>
              </w:rPr>
              <w:t>安天e采</w:t>
            </w:r>
            <w:r>
              <w:rPr>
                <w:rFonts w:hint="eastAsia" w:ascii="宋体" w:hAnsi="宋体"/>
                <w:szCs w:val="21"/>
                <w:highlight w:val="none"/>
              </w:rPr>
              <w:t>招标采购电子交易系统（登录</w:t>
            </w:r>
            <w:r>
              <w:rPr>
                <w:rFonts w:hint="eastAsia" w:ascii="宋体" w:hAnsi="宋体"/>
                <w:szCs w:val="21"/>
                <w:highlight w:val="none"/>
                <w:lang w:eastAsia="zh-CN"/>
              </w:rPr>
              <w:t>安天e采</w:t>
            </w:r>
            <w:r>
              <w:rPr>
                <w:rFonts w:hint="eastAsia" w:ascii="宋体" w:hAnsi="宋体"/>
                <w:szCs w:val="21"/>
                <w:highlight w:val="none"/>
              </w:rPr>
              <w:t>招标采购电子交易系统，点击进入递交投标文件，上传加密的电子投标文件）。</w:t>
            </w:r>
          </w:p>
        </w:tc>
      </w:tr>
      <w:tr w14:paraId="7DEA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0408EDFC">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5.1</w:t>
            </w:r>
          </w:p>
        </w:tc>
        <w:tc>
          <w:tcPr>
            <w:tcW w:w="931" w:type="pct"/>
            <w:noWrap w:val="0"/>
            <w:vAlign w:val="center"/>
          </w:tcPr>
          <w:p w14:paraId="72D09C2B">
            <w:pPr>
              <w:spacing w:line="384" w:lineRule="auto"/>
              <w:jc w:val="center"/>
              <w:rPr>
                <w:rFonts w:cs="Calibri"/>
                <w:highlight w:val="none"/>
              </w:rPr>
            </w:pPr>
            <w:r>
              <w:rPr>
                <w:rFonts w:hint="eastAsia" w:cs="Calibri"/>
                <w:highlight w:val="none"/>
              </w:rPr>
              <w:t>开标时间和开标（</w:t>
            </w:r>
            <w:r>
              <w:rPr>
                <w:rFonts w:hint="eastAsia"/>
                <w:highlight w:val="none"/>
              </w:rPr>
              <w:t>投标</w:t>
            </w:r>
            <w:r>
              <w:rPr>
                <w:rFonts w:hint="eastAsia" w:cs="Calibri"/>
                <w:highlight w:val="none"/>
              </w:rPr>
              <w:t>）地点</w:t>
            </w:r>
          </w:p>
        </w:tc>
        <w:tc>
          <w:tcPr>
            <w:tcW w:w="3665" w:type="pct"/>
            <w:noWrap w:val="0"/>
            <w:vAlign w:val="center"/>
          </w:tcPr>
          <w:p w14:paraId="418A9D6A">
            <w:pPr>
              <w:spacing w:line="384" w:lineRule="auto"/>
              <w:rPr>
                <w:rFonts w:ascii="宋体" w:hAnsi="宋体" w:cs="Calibri"/>
                <w:szCs w:val="21"/>
                <w:highlight w:val="none"/>
              </w:rPr>
            </w:pPr>
            <w:r>
              <w:rPr>
                <w:rFonts w:hint="eastAsia" w:ascii="宋体" w:hAnsi="宋体" w:cs="Calibri"/>
                <w:szCs w:val="21"/>
                <w:highlight w:val="none"/>
              </w:rPr>
              <w:t>开标时间：同投标截止时间</w:t>
            </w:r>
          </w:p>
          <w:p w14:paraId="37098915">
            <w:pPr>
              <w:spacing w:line="384" w:lineRule="auto"/>
              <w:rPr>
                <w:rFonts w:ascii="宋体" w:hAnsi="宋体" w:cs="Calibri"/>
                <w:szCs w:val="21"/>
                <w:highlight w:val="none"/>
              </w:rPr>
            </w:pPr>
            <w:r>
              <w:rPr>
                <w:rFonts w:hint="eastAsia" w:ascii="宋体" w:hAnsi="宋体" w:cs="Calibri"/>
                <w:szCs w:val="21"/>
                <w:highlight w:val="none"/>
              </w:rPr>
              <w:t>开标（投标）地点：</w:t>
            </w:r>
            <w:r>
              <w:rPr>
                <w:rFonts w:hint="eastAsia" w:ascii="宋体" w:hAnsi="宋体" w:cs="Calibri"/>
                <w:szCs w:val="21"/>
                <w:highlight w:val="none"/>
                <w:lang w:eastAsia="zh-CN"/>
              </w:rPr>
              <w:t>安天e采</w:t>
            </w:r>
            <w:r>
              <w:rPr>
                <w:rFonts w:hint="eastAsia" w:ascii="宋体" w:hAnsi="宋体" w:cs="Calibri"/>
                <w:szCs w:val="21"/>
                <w:highlight w:val="none"/>
              </w:rPr>
              <w:t>招标采购电子交易系统</w:t>
            </w:r>
          </w:p>
        </w:tc>
      </w:tr>
      <w:tr w14:paraId="5263B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0024BE9D">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5.2.1</w:t>
            </w:r>
          </w:p>
        </w:tc>
        <w:tc>
          <w:tcPr>
            <w:tcW w:w="931" w:type="pct"/>
            <w:noWrap w:val="0"/>
            <w:vAlign w:val="center"/>
          </w:tcPr>
          <w:p w14:paraId="7604A3AA">
            <w:pPr>
              <w:spacing w:line="384" w:lineRule="auto"/>
              <w:jc w:val="center"/>
              <w:rPr>
                <w:rFonts w:hint="eastAsia" w:cs="Calibri"/>
                <w:highlight w:val="none"/>
              </w:rPr>
            </w:pPr>
            <w:r>
              <w:rPr>
                <w:rFonts w:hint="eastAsia" w:cs="Calibri"/>
                <w:highlight w:val="none"/>
              </w:rPr>
              <w:t>投标文件的解密</w:t>
            </w:r>
          </w:p>
          <w:p w14:paraId="624645AB">
            <w:pPr>
              <w:spacing w:line="384" w:lineRule="auto"/>
              <w:jc w:val="center"/>
              <w:rPr>
                <w:rFonts w:cs="Calibri"/>
                <w:highlight w:val="none"/>
              </w:rPr>
            </w:pPr>
            <w:r>
              <w:rPr>
                <w:rFonts w:hint="eastAsia" w:cs="Calibri"/>
                <w:highlight w:val="none"/>
              </w:rPr>
              <w:t>时间</w:t>
            </w:r>
          </w:p>
        </w:tc>
        <w:tc>
          <w:tcPr>
            <w:tcW w:w="3665" w:type="pct"/>
            <w:noWrap w:val="0"/>
            <w:vAlign w:val="center"/>
          </w:tcPr>
          <w:p w14:paraId="188481A9">
            <w:pPr>
              <w:spacing w:line="384" w:lineRule="auto"/>
              <w:rPr>
                <w:rFonts w:hint="eastAsia" w:ascii="宋体" w:hAnsi="宋体" w:cs="Calibri"/>
                <w:szCs w:val="21"/>
                <w:highlight w:val="none"/>
              </w:rPr>
            </w:pPr>
            <w:r>
              <w:rPr>
                <w:rFonts w:hint="eastAsia" w:ascii="宋体" w:hAnsi="宋体" w:cs="Calibri"/>
                <w:szCs w:val="21"/>
                <w:highlight w:val="none"/>
                <w:u w:val="single"/>
                <w:lang w:val="en-US" w:eastAsia="zh-CN"/>
              </w:rPr>
              <w:t>60</w:t>
            </w:r>
            <w:r>
              <w:rPr>
                <w:rFonts w:hint="eastAsia" w:ascii="宋体" w:hAnsi="宋体" w:cs="Calibri"/>
                <w:szCs w:val="21"/>
                <w:highlight w:val="none"/>
              </w:rPr>
              <w:t>分钟内（以</w:t>
            </w:r>
            <w:r>
              <w:rPr>
                <w:rFonts w:hint="eastAsia" w:ascii="宋体" w:hAnsi="宋体" w:cs="Calibri"/>
                <w:szCs w:val="21"/>
                <w:highlight w:val="none"/>
                <w:lang w:eastAsia="zh-CN"/>
              </w:rPr>
              <w:t>安天e采</w:t>
            </w:r>
            <w:r>
              <w:rPr>
                <w:rFonts w:hint="eastAsia" w:ascii="宋体" w:hAnsi="宋体" w:cs="Calibri"/>
                <w:szCs w:val="21"/>
                <w:highlight w:val="none"/>
              </w:rPr>
              <w:t>招标采购电子交易系统解密倒计时为准）</w:t>
            </w:r>
          </w:p>
        </w:tc>
      </w:tr>
      <w:tr w14:paraId="5739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7E359B2E">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5.2.3</w:t>
            </w:r>
          </w:p>
        </w:tc>
        <w:tc>
          <w:tcPr>
            <w:tcW w:w="931" w:type="pct"/>
            <w:noWrap w:val="0"/>
            <w:vAlign w:val="center"/>
          </w:tcPr>
          <w:p w14:paraId="05E01897">
            <w:pPr>
              <w:spacing w:line="384" w:lineRule="auto"/>
              <w:jc w:val="center"/>
              <w:rPr>
                <w:rFonts w:cs="Calibri"/>
                <w:highlight w:val="none"/>
              </w:rPr>
            </w:pPr>
            <w:r>
              <w:rPr>
                <w:rFonts w:cs="Calibri"/>
                <w:highlight w:val="none"/>
              </w:rPr>
              <w:t>是否接受提交非加密电子版投标文件</w:t>
            </w:r>
          </w:p>
        </w:tc>
        <w:tc>
          <w:tcPr>
            <w:tcW w:w="3665" w:type="pct"/>
            <w:noWrap w:val="0"/>
            <w:vAlign w:val="center"/>
          </w:tcPr>
          <w:p w14:paraId="3B2B836C">
            <w:pPr>
              <w:spacing w:line="384" w:lineRule="auto"/>
              <w:rPr>
                <w:rFonts w:hint="eastAsia" w:ascii="宋体" w:hAnsi="宋体" w:cs="Calibri"/>
                <w:szCs w:val="21"/>
                <w:highlight w:val="none"/>
              </w:rPr>
            </w:pPr>
            <w:r>
              <w:rPr>
                <w:rFonts w:hint="eastAsia" w:ascii="宋体" w:hAnsi="宋体" w:cs="Calibri"/>
                <w:szCs w:val="21"/>
                <w:highlight w:val="none"/>
                <w:lang w:eastAsia="zh-CN"/>
              </w:rPr>
              <w:t>☑</w:t>
            </w:r>
            <w:r>
              <w:rPr>
                <w:rFonts w:hint="eastAsia" w:ascii="宋体" w:hAnsi="宋体" w:cs="Calibri"/>
                <w:szCs w:val="21"/>
                <w:highlight w:val="none"/>
              </w:rPr>
              <w:t>不接受投标供应商递交非加密的电子投标文件</w:t>
            </w:r>
          </w:p>
          <w:p w14:paraId="0171A797">
            <w:pPr>
              <w:spacing w:line="384" w:lineRule="auto"/>
              <w:rPr>
                <w:rFonts w:ascii="宋体" w:hAnsi="宋体" w:cs="Calibri"/>
                <w:szCs w:val="21"/>
                <w:highlight w:val="none"/>
              </w:rPr>
            </w:pPr>
            <w:r>
              <w:rPr>
                <w:rFonts w:hint="eastAsia" w:ascii="宋体" w:hAnsi="宋体" w:cs="Calibri"/>
                <w:szCs w:val="21"/>
                <w:highlight w:val="none"/>
              </w:rPr>
              <w:t>在招标文件规定的时间内，投标供应商以招标文件中规定的方式未完成投标文件上传或解密的，视为其撤回投标。</w:t>
            </w:r>
          </w:p>
          <w:p w14:paraId="5B17C67D">
            <w:pPr>
              <w:spacing w:line="384" w:lineRule="auto"/>
              <w:rPr>
                <w:rFonts w:hint="eastAsia" w:ascii="宋体" w:hAnsi="宋体" w:cs="Calibri"/>
                <w:szCs w:val="21"/>
                <w:highlight w:val="none"/>
              </w:rPr>
            </w:pPr>
            <w:r>
              <w:rPr>
                <w:rFonts w:hint="eastAsia" w:ascii="宋体" w:hAnsi="宋体" w:cs="Calibri"/>
                <w:szCs w:val="21"/>
                <w:highlight w:val="none"/>
              </w:rPr>
              <w:t>□接受投标供应商递交非加密电子版投标文件并由投标供应商自行决定是否提交</w:t>
            </w:r>
          </w:p>
          <w:p w14:paraId="77F3A55C">
            <w:pPr>
              <w:spacing w:line="384" w:lineRule="auto"/>
              <w:rPr>
                <w:rFonts w:hint="eastAsia" w:ascii="宋体" w:hAnsi="宋体" w:cs="Calibri"/>
                <w:szCs w:val="21"/>
                <w:highlight w:val="none"/>
              </w:rPr>
            </w:pPr>
            <w:r>
              <w:rPr>
                <w:rFonts w:hint="eastAsia" w:ascii="宋体" w:hAnsi="宋体" w:cs="Calibri"/>
                <w:szCs w:val="21"/>
                <w:highlight w:val="none"/>
              </w:rPr>
              <w:t>电子投标文件上传成功但因电子招标投标交易平台原因导致解密异常时，可以在开标现场递交非加密电子版投标文件，采购代理机构将其导入电子招标投标交易平台，电子招标投标交易平台将对非加密电子投标文件与加密电子投标文件进行校验。非加密电子投标文件经平台校验通过的视为解密成功，该投标供应商的投标文件以非加密电子投标文件为准；校验失败或未递交非加密电子投标文件的，其投标无效。</w:t>
            </w:r>
          </w:p>
        </w:tc>
      </w:tr>
      <w:tr w14:paraId="1F5E5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0F660AF5">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5.2.4</w:t>
            </w:r>
          </w:p>
        </w:tc>
        <w:tc>
          <w:tcPr>
            <w:tcW w:w="931" w:type="pct"/>
            <w:noWrap w:val="0"/>
            <w:vAlign w:val="center"/>
          </w:tcPr>
          <w:p w14:paraId="35857680">
            <w:pPr>
              <w:spacing w:line="384" w:lineRule="auto"/>
              <w:jc w:val="center"/>
              <w:rPr>
                <w:rFonts w:hint="eastAsia" w:cs="Calibri"/>
                <w:highlight w:val="none"/>
              </w:rPr>
            </w:pPr>
            <w:r>
              <w:rPr>
                <w:rFonts w:hint="eastAsia" w:cs="Calibri"/>
                <w:highlight w:val="none"/>
              </w:rPr>
              <w:t>非加密电子版投标文件递交时间与</w:t>
            </w:r>
          </w:p>
          <w:p w14:paraId="6B598E3A">
            <w:pPr>
              <w:spacing w:line="384" w:lineRule="auto"/>
              <w:jc w:val="center"/>
              <w:rPr>
                <w:rFonts w:hint="eastAsia" w:cs="Calibri"/>
                <w:highlight w:val="none"/>
              </w:rPr>
            </w:pPr>
            <w:r>
              <w:rPr>
                <w:rFonts w:hint="eastAsia" w:cs="Calibri"/>
                <w:highlight w:val="none"/>
              </w:rPr>
              <w:t>地点</w:t>
            </w:r>
            <w:r>
              <w:rPr>
                <w:rFonts w:hint="eastAsia" w:cs="Calibri"/>
                <w:highlight w:val="none"/>
                <w:lang w:eastAsia="zh-CN"/>
              </w:rPr>
              <w:t>（</w:t>
            </w:r>
            <w:r>
              <w:rPr>
                <w:rFonts w:hint="eastAsia" w:cs="Calibri"/>
                <w:highlight w:val="none"/>
                <w:lang w:val="en-US" w:eastAsia="zh-CN"/>
              </w:rPr>
              <w:t>本项目不适用</w:t>
            </w:r>
            <w:r>
              <w:rPr>
                <w:rFonts w:hint="eastAsia" w:cs="Calibri"/>
                <w:highlight w:val="none"/>
                <w:lang w:eastAsia="zh-CN"/>
              </w:rPr>
              <w:t>）</w:t>
            </w:r>
          </w:p>
        </w:tc>
        <w:tc>
          <w:tcPr>
            <w:tcW w:w="3665" w:type="pct"/>
            <w:noWrap w:val="0"/>
            <w:vAlign w:val="center"/>
          </w:tcPr>
          <w:p w14:paraId="2534630F">
            <w:pPr>
              <w:spacing w:line="384" w:lineRule="auto"/>
              <w:rPr>
                <w:rFonts w:hint="eastAsia" w:ascii="宋体" w:hAnsi="宋体" w:cs="Calibri"/>
                <w:szCs w:val="21"/>
                <w:highlight w:val="none"/>
              </w:rPr>
            </w:pPr>
            <w:r>
              <w:rPr>
                <w:rFonts w:hint="eastAsia" w:ascii="宋体" w:hAnsi="宋体" w:cs="Calibri"/>
                <w:szCs w:val="21"/>
                <w:highlight w:val="none"/>
              </w:rPr>
              <w:t>非加密电子版投标文件递交时间：同投标截止时间</w:t>
            </w:r>
          </w:p>
          <w:p w14:paraId="418057A8">
            <w:pPr>
              <w:spacing w:line="384" w:lineRule="auto"/>
              <w:rPr>
                <w:rFonts w:hint="default" w:ascii="宋体" w:hAnsi="宋体" w:eastAsia="宋体" w:cs="Calibri"/>
                <w:szCs w:val="21"/>
                <w:highlight w:val="none"/>
                <w:lang w:val="en-US" w:eastAsia="zh-CN"/>
              </w:rPr>
            </w:pPr>
            <w:r>
              <w:rPr>
                <w:rFonts w:hint="eastAsia" w:ascii="宋体" w:hAnsi="宋体" w:cs="Calibri"/>
                <w:szCs w:val="21"/>
                <w:highlight w:val="none"/>
              </w:rPr>
              <w:t>非加密电子版投标文件递交地点：</w:t>
            </w:r>
            <w:r>
              <w:rPr>
                <w:rFonts w:hint="eastAsia" w:ascii="宋体" w:hAnsi="宋体"/>
                <w:szCs w:val="21"/>
                <w:highlight w:val="none"/>
                <w:lang w:val="en-US" w:eastAsia="zh-CN"/>
              </w:rPr>
              <w:t>/</w:t>
            </w:r>
          </w:p>
          <w:p w14:paraId="46828BDD">
            <w:pPr>
              <w:spacing w:line="384" w:lineRule="auto"/>
              <w:rPr>
                <w:rFonts w:hint="eastAsia" w:ascii="宋体" w:hAnsi="宋体" w:cs="Calibri"/>
                <w:szCs w:val="21"/>
                <w:highlight w:val="none"/>
              </w:rPr>
            </w:pPr>
            <w:r>
              <w:rPr>
                <w:rFonts w:hint="eastAsia" w:ascii="宋体" w:hAnsi="宋体" w:cs="Calibri"/>
                <w:b/>
                <w:bCs/>
                <w:szCs w:val="21"/>
                <w:highlight w:val="none"/>
              </w:rPr>
              <w:t>备注：非加密电子版投标文件应采用“U盘”或“光盘”形式并单独密封，封套上应加盖骑缝章。投标供应商未按照上述规定递交的非加密电子版投标文件，采购人及采购代理机构有权予以拒收。</w:t>
            </w:r>
          </w:p>
        </w:tc>
      </w:tr>
      <w:tr w14:paraId="423A7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648DF1B1">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6.1.1</w:t>
            </w:r>
          </w:p>
        </w:tc>
        <w:tc>
          <w:tcPr>
            <w:tcW w:w="931" w:type="pct"/>
            <w:noWrap w:val="0"/>
            <w:vAlign w:val="center"/>
          </w:tcPr>
          <w:p w14:paraId="4E89C4B2">
            <w:pPr>
              <w:spacing w:line="384" w:lineRule="auto"/>
              <w:jc w:val="center"/>
              <w:rPr>
                <w:rFonts w:cs="Calibri"/>
                <w:highlight w:val="none"/>
              </w:rPr>
            </w:pPr>
            <w:r>
              <w:rPr>
                <w:rFonts w:hint="eastAsia" w:cs="Calibri"/>
                <w:highlight w:val="none"/>
              </w:rPr>
              <w:t>评标委员会的组建</w:t>
            </w:r>
          </w:p>
        </w:tc>
        <w:tc>
          <w:tcPr>
            <w:tcW w:w="3665" w:type="pct"/>
            <w:noWrap w:val="0"/>
            <w:vAlign w:val="center"/>
          </w:tcPr>
          <w:p w14:paraId="31A52463">
            <w:pPr>
              <w:spacing w:line="384" w:lineRule="auto"/>
              <w:rPr>
                <w:rFonts w:hint="eastAsia" w:ascii="宋体" w:hAnsi="宋体" w:cs="Calibri"/>
                <w:szCs w:val="21"/>
                <w:highlight w:val="none"/>
              </w:rPr>
            </w:pPr>
            <w:r>
              <w:rPr>
                <w:rFonts w:hint="eastAsia" w:ascii="宋体" w:hAnsi="宋体" w:cs="Calibri"/>
                <w:szCs w:val="21"/>
                <w:highlight w:val="none"/>
              </w:rPr>
              <w:t>评标委员会的组成：</w:t>
            </w:r>
            <w:r>
              <w:rPr>
                <w:rFonts w:hint="eastAsia" w:ascii="宋体" w:hAnsi="宋体"/>
                <w:szCs w:val="21"/>
                <w:highlight w:val="none"/>
              </w:rPr>
              <w:t>评标</w:t>
            </w:r>
            <w:r>
              <w:rPr>
                <w:rFonts w:hint="eastAsia" w:ascii="宋体" w:hAnsi="宋体"/>
                <w:color w:val="000000"/>
                <w:szCs w:val="21"/>
                <w:highlight w:val="none"/>
              </w:rPr>
              <w:t>委员会由从</w:t>
            </w:r>
            <w:r>
              <w:rPr>
                <w:rFonts w:hint="eastAsia" w:ascii="宋体" w:hAnsi="宋体" w:cs="Calibri"/>
                <w:szCs w:val="21"/>
                <w:highlight w:val="none"/>
              </w:rPr>
              <w:t>专家库中抽取的专家组成（或由从专家库中抽取的评审专家及采购人代表组成）</w:t>
            </w:r>
          </w:p>
          <w:p w14:paraId="70BF57F7">
            <w:pPr>
              <w:spacing w:line="384" w:lineRule="auto"/>
              <w:rPr>
                <w:rFonts w:ascii="宋体" w:hAnsi="宋体" w:cs="Calibri"/>
                <w:szCs w:val="21"/>
                <w:highlight w:val="none"/>
              </w:rPr>
            </w:pPr>
            <w:r>
              <w:rPr>
                <w:rFonts w:hint="eastAsia" w:ascii="宋体" w:hAnsi="宋体" w:cs="Calibri"/>
                <w:szCs w:val="21"/>
                <w:highlight w:val="none"/>
              </w:rPr>
              <w:t>评标委员会的人数：5人及以上单数，采购人代表不得担任评标委员会组长。</w:t>
            </w:r>
          </w:p>
        </w:tc>
      </w:tr>
      <w:tr w14:paraId="3EC95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7FD2FA51">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6.3.2</w:t>
            </w:r>
          </w:p>
        </w:tc>
        <w:tc>
          <w:tcPr>
            <w:tcW w:w="931" w:type="pct"/>
            <w:noWrap w:val="0"/>
            <w:vAlign w:val="center"/>
          </w:tcPr>
          <w:p w14:paraId="003FDEDE">
            <w:pPr>
              <w:spacing w:line="384" w:lineRule="auto"/>
              <w:jc w:val="center"/>
              <w:rPr>
                <w:rFonts w:hint="eastAsia" w:cs="Calibri"/>
                <w:highlight w:val="none"/>
              </w:rPr>
            </w:pPr>
            <w:r>
              <w:rPr>
                <w:highlight w:val="none"/>
              </w:rPr>
              <w:t>推荐中标候选人的人数</w:t>
            </w:r>
          </w:p>
        </w:tc>
        <w:tc>
          <w:tcPr>
            <w:tcW w:w="3665" w:type="pct"/>
            <w:noWrap w:val="0"/>
            <w:vAlign w:val="center"/>
          </w:tcPr>
          <w:p w14:paraId="512FB48C">
            <w:pPr>
              <w:spacing w:line="384" w:lineRule="auto"/>
              <w:rPr>
                <w:rFonts w:ascii="宋体" w:hAnsi="宋体" w:cs="Calibri"/>
                <w:szCs w:val="21"/>
                <w:highlight w:val="none"/>
              </w:rPr>
            </w:pPr>
            <w:r>
              <w:rPr>
                <w:rFonts w:hint="eastAsia" w:ascii="宋体" w:hAnsi="宋体" w:cs="Calibri"/>
                <w:color w:val="auto"/>
                <w:szCs w:val="21"/>
                <w:highlight w:val="none"/>
                <w:lang w:val="en-US" w:eastAsia="zh-CN"/>
              </w:rPr>
              <w:t>每包</w:t>
            </w:r>
            <w:r>
              <w:rPr>
                <w:rFonts w:hint="eastAsia" w:ascii="宋体" w:hAnsi="宋体" w:cs="Calibri"/>
                <w:color w:val="auto"/>
                <w:szCs w:val="21"/>
                <w:highlight w:val="none"/>
              </w:rPr>
              <w:t>1</w:t>
            </w:r>
            <w:r>
              <w:rPr>
                <w:rFonts w:hint="eastAsia" w:ascii="宋体" w:hAnsi="宋体" w:cs="Calibri"/>
                <w:color w:val="auto"/>
                <w:szCs w:val="21"/>
                <w:highlight w:val="none"/>
                <w:lang w:val="en-US" w:eastAsia="zh-CN"/>
              </w:rPr>
              <w:t>-3</w:t>
            </w:r>
            <w:r>
              <w:rPr>
                <w:rFonts w:hint="eastAsia" w:ascii="宋体" w:hAnsi="宋体" w:cs="Calibri"/>
                <w:color w:val="auto"/>
                <w:szCs w:val="21"/>
                <w:highlight w:val="none"/>
              </w:rPr>
              <w:t>名</w:t>
            </w:r>
          </w:p>
        </w:tc>
      </w:tr>
      <w:tr w14:paraId="637A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68" w:hRule="atLeast"/>
        </w:trPr>
        <w:tc>
          <w:tcPr>
            <w:tcW w:w="402" w:type="pct"/>
            <w:noWrap w:val="0"/>
            <w:vAlign w:val="center"/>
          </w:tcPr>
          <w:p w14:paraId="36465399">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7.3.2</w:t>
            </w:r>
          </w:p>
        </w:tc>
        <w:tc>
          <w:tcPr>
            <w:tcW w:w="931" w:type="pct"/>
            <w:noWrap w:val="0"/>
            <w:vAlign w:val="center"/>
          </w:tcPr>
          <w:p w14:paraId="789702BF">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招标代理服务费</w:t>
            </w:r>
          </w:p>
        </w:tc>
        <w:tc>
          <w:tcPr>
            <w:tcW w:w="3665" w:type="pct"/>
            <w:noWrap w:val="0"/>
            <w:vAlign w:val="center"/>
          </w:tcPr>
          <w:p w14:paraId="058E6DBC">
            <w:pPr>
              <w:pStyle w:val="31"/>
              <w:widowControl w:val="0"/>
              <w:wordWrap w:val="0"/>
              <w:topLinePunct/>
              <w:adjustRightInd w:val="0"/>
              <w:snapToGrid w:val="0"/>
              <w:spacing w:line="384" w:lineRule="auto"/>
              <w:jc w:val="both"/>
              <w:rPr>
                <w:rFonts w:hint="eastAsia" w:ascii="宋体" w:hAnsi="宋体" w:cs="宋体"/>
                <w:kern w:val="2"/>
                <w:sz w:val="21"/>
                <w:szCs w:val="20"/>
                <w:highlight w:val="none"/>
              </w:rPr>
            </w:pPr>
            <w:r>
              <w:rPr>
                <w:rFonts w:hint="eastAsia" w:ascii="宋体" w:hAnsi="宋体" w:cs="宋体"/>
                <w:kern w:val="2"/>
                <w:sz w:val="21"/>
                <w:szCs w:val="20"/>
                <w:highlight w:val="none"/>
              </w:rPr>
              <w:t>（1）支付方：</w:t>
            </w:r>
            <w:r>
              <w:rPr>
                <w:rFonts w:hint="eastAsia" w:ascii="宋体" w:hAnsi="宋体" w:cs="宋体"/>
                <w:kern w:val="2"/>
                <w:sz w:val="21"/>
                <w:szCs w:val="20"/>
                <w:highlight w:val="none"/>
                <w:lang w:val="en-US" w:eastAsia="zh-CN"/>
              </w:rPr>
              <w:t>各包</w:t>
            </w:r>
            <w:r>
              <w:rPr>
                <w:rFonts w:hint="eastAsia" w:ascii="宋体" w:hAnsi="宋体" w:cs="宋体"/>
                <w:kern w:val="2"/>
                <w:sz w:val="21"/>
                <w:szCs w:val="20"/>
                <w:highlight w:val="none"/>
              </w:rPr>
              <w:t>中标供应商。</w:t>
            </w:r>
          </w:p>
          <w:p w14:paraId="1B1DCD88">
            <w:pPr>
              <w:pStyle w:val="31"/>
              <w:widowControl w:val="0"/>
              <w:wordWrap w:val="0"/>
              <w:topLinePunct/>
              <w:adjustRightInd w:val="0"/>
              <w:snapToGrid w:val="0"/>
              <w:spacing w:line="384" w:lineRule="auto"/>
              <w:jc w:val="both"/>
              <w:rPr>
                <w:rFonts w:ascii="宋体" w:hAnsi="宋体" w:cs="宋体"/>
                <w:kern w:val="2"/>
                <w:sz w:val="21"/>
                <w:szCs w:val="20"/>
                <w:highlight w:val="none"/>
              </w:rPr>
            </w:pPr>
            <w:r>
              <w:rPr>
                <w:rFonts w:hint="eastAsia" w:ascii="宋体" w:hAnsi="宋体" w:cs="宋体"/>
                <w:kern w:val="2"/>
                <w:sz w:val="21"/>
                <w:szCs w:val="20"/>
                <w:highlight w:val="none"/>
              </w:rPr>
              <w:t>（2）本项目代理服务费收费标准：中标人领取中标通知书前须向采购代理机构支付招标代理服务费，</w:t>
            </w:r>
            <w:r>
              <w:rPr>
                <w:rFonts w:hint="eastAsia" w:ascii="宋体" w:hAnsi="宋体" w:cs="宋体"/>
                <w:kern w:val="2"/>
                <w:sz w:val="21"/>
                <w:szCs w:val="20"/>
                <w:highlight w:val="none"/>
                <w:lang w:val="en-US" w:eastAsia="zh-CN"/>
              </w:rPr>
              <w:t>各包次</w:t>
            </w:r>
            <w:r>
              <w:rPr>
                <w:rFonts w:hint="eastAsia" w:ascii="宋体" w:hAnsi="宋体" w:cs="宋体"/>
                <w:kern w:val="2"/>
                <w:sz w:val="21"/>
                <w:szCs w:val="20"/>
                <w:highlight w:val="none"/>
              </w:rPr>
              <w:t>计取标准：中标服务费以中标金额为基数，</w:t>
            </w:r>
            <w:r>
              <w:rPr>
                <w:rFonts w:hint="eastAsia" w:ascii="宋体" w:hAnsi="宋体" w:cs="宋体"/>
                <w:kern w:val="2"/>
                <w:sz w:val="21"/>
                <w:szCs w:val="20"/>
                <w:highlight w:val="none"/>
                <w:lang w:eastAsia="zh-CN"/>
              </w:rPr>
              <w:t>按照</w:t>
            </w:r>
            <w:r>
              <w:rPr>
                <w:rFonts w:hint="eastAsia" w:ascii="宋体" w:hAnsi="宋体" w:cs="宋体"/>
                <w:kern w:val="2"/>
                <w:sz w:val="21"/>
                <w:szCs w:val="20"/>
                <w:highlight w:val="none"/>
              </w:rPr>
              <w:t>国家原计委计价格〔2002〕1980号文的</w:t>
            </w:r>
            <w:r>
              <w:rPr>
                <w:rFonts w:hint="eastAsia" w:ascii="宋体" w:hAnsi="宋体" w:cs="宋体"/>
                <w:kern w:val="2"/>
                <w:sz w:val="21"/>
                <w:szCs w:val="20"/>
                <w:highlight w:val="none"/>
                <w:lang w:val="en-US" w:eastAsia="zh-CN"/>
              </w:rPr>
              <w:t>5</w:t>
            </w:r>
            <w:r>
              <w:rPr>
                <w:rFonts w:hint="eastAsia" w:ascii="宋体" w:hAnsi="宋体" w:cs="宋体"/>
                <w:kern w:val="2"/>
                <w:sz w:val="21"/>
                <w:szCs w:val="20"/>
                <w:highlight w:val="none"/>
              </w:rPr>
              <w:t>0%向中标人收取</w:t>
            </w:r>
          </w:p>
          <w:p w14:paraId="772B9FA5">
            <w:pPr>
              <w:pStyle w:val="31"/>
              <w:widowControl w:val="0"/>
              <w:wordWrap w:val="0"/>
              <w:topLinePunct/>
              <w:adjustRightInd w:val="0"/>
              <w:snapToGrid w:val="0"/>
              <w:spacing w:line="384" w:lineRule="auto"/>
              <w:jc w:val="both"/>
              <w:rPr>
                <w:rFonts w:ascii="宋体" w:hAnsi="宋体" w:cs="宋体"/>
                <w:kern w:val="2"/>
                <w:sz w:val="21"/>
                <w:szCs w:val="20"/>
                <w:highlight w:val="none"/>
              </w:rPr>
            </w:pPr>
            <w:r>
              <w:rPr>
                <w:rFonts w:hint="eastAsia" w:ascii="宋体" w:hAnsi="宋体" w:cs="宋体"/>
                <w:kern w:val="2"/>
                <w:sz w:val="21"/>
                <w:szCs w:val="20"/>
                <w:highlight w:val="none"/>
              </w:rPr>
              <w:t>（3）代理服务费收取方式：转账/电汇。</w:t>
            </w:r>
          </w:p>
        </w:tc>
      </w:tr>
      <w:tr w14:paraId="30AC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23" w:hRule="atLeast"/>
        </w:trPr>
        <w:tc>
          <w:tcPr>
            <w:tcW w:w="402" w:type="pct"/>
            <w:noWrap w:val="0"/>
            <w:vAlign w:val="center"/>
          </w:tcPr>
          <w:p w14:paraId="5CD09739">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7.4.1</w:t>
            </w:r>
          </w:p>
        </w:tc>
        <w:tc>
          <w:tcPr>
            <w:tcW w:w="931" w:type="pct"/>
            <w:noWrap w:val="0"/>
            <w:vAlign w:val="center"/>
          </w:tcPr>
          <w:p w14:paraId="4AC18B5C">
            <w:pPr>
              <w:widowControl/>
              <w:adjustRightInd w:val="0"/>
              <w:snapToGrid w:val="0"/>
              <w:spacing w:line="384" w:lineRule="auto"/>
              <w:jc w:val="center"/>
              <w:rPr>
                <w:highlight w:val="none"/>
              </w:rPr>
            </w:pPr>
            <w:r>
              <w:rPr>
                <w:rFonts w:hint="eastAsia" w:ascii="宋体" w:hAnsi="宋体" w:cs="Calibri"/>
                <w:szCs w:val="21"/>
                <w:highlight w:val="none"/>
              </w:rPr>
              <w:t>履约保证金</w:t>
            </w:r>
          </w:p>
        </w:tc>
        <w:tc>
          <w:tcPr>
            <w:tcW w:w="3665" w:type="pct"/>
            <w:noWrap w:val="0"/>
            <w:vAlign w:val="center"/>
          </w:tcPr>
          <w:p w14:paraId="4835380B">
            <w:pPr>
              <w:pStyle w:val="12"/>
              <w:widowControl/>
              <w:adjustRightInd w:val="0"/>
              <w:snapToGrid w:val="0"/>
              <w:spacing w:line="384" w:lineRule="auto"/>
              <w:rPr>
                <w:rFonts w:hint="eastAsia" w:hAnsi="宋体" w:cs="宋体"/>
                <w:highlight w:val="none"/>
              </w:rPr>
            </w:pPr>
            <w:r>
              <w:rPr>
                <w:rFonts w:hint="eastAsia" w:hAnsi="宋体" w:cs="宋体"/>
                <w:highlight w:val="none"/>
              </w:rPr>
              <w:t>（1）金额：</w:t>
            </w:r>
          </w:p>
          <w:p w14:paraId="7F475470">
            <w:pPr>
              <w:pStyle w:val="12"/>
              <w:widowControl/>
              <w:adjustRightInd w:val="0"/>
              <w:snapToGrid w:val="0"/>
              <w:spacing w:line="384" w:lineRule="auto"/>
              <w:rPr>
                <w:rFonts w:hint="eastAsia" w:hAnsi="宋体" w:cs="宋体"/>
                <w:highlight w:val="none"/>
              </w:rPr>
            </w:pPr>
            <w:r>
              <w:rPr>
                <w:rFonts w:hint="eastAsia" w:hAnsi="宋体" w:cs="宋体"/>
                <w:highlight w:val="none"/>
                <w:lang w:eastAsia="zh-CN"/>
              </w:rPr>
              <w:t>□</w:t>
            </w:r>
            <w:r>
              <w:rPr>
                <w:rFonts w:hint="eastAsia" w:hAnsi="宋体" w:cs="宋体"/>
                <w:highlight w:val="none"/>
              </w:rPr>
              <w:t>免收</w:t>
            </w:r>
          </w:p>
          <w:p w14:paraId="57E15AD3">
            <w:pPr>
              <w:pStyle w:val="12"/>
              <w:widowControl/>
              <w:adjustRightInd w:val="0"/>
              <w:snapToGrid w:val="0"/>
              <w:spacing w:line="384" w:lineRule="auto"/>
              <w:rPr>
                <w:rFonts w:hint="eastAsia" w:hAnsi="宋体" w:cs="宋体"/>
                <w:color w:val="auto"/>
                <w:highlight w:val="none"/>
              </w:rPr>
            </w:pPr>
            <w:r>
              <w:rPr>
                <w:rFonts w:hint="eastAsia" w:hAnsi="宋体" w:cs="宋体"/>
                <w:color w:val="auto"/>
                <w:highlight w:val="none"/>
                <w:lang w:eastAsia="zh-CN"/>
              </w:rPr>
              <w:t>☑</w:t>
            </w:r>
            <w:r>
              <w:rPr>
                <w:rFonts w:hint="eastAsia" w:hAnsi="宋体" w:cs="宋体"/>
                <w:color w:val="auto"/>
                <w:highlight w:val="none"/>
                <w:lang w:val="en-US" w:eastAsia="zh-CN"/>
              </w:rPr>
              <w:t>每包：</w:t>
            </w:r>
            <w:r>
              <w:rPr>
                <w:rFonts w:hint="eastAsia" w:hAnsi="宋体" w:cs="宋体"/>
                <w:color w:val="auto"/>
                <w:highlight w:val="none"/>
                <w:lang w:eastAsia="zh-CN"/>
              </w:rPr>
              <w:t>合同金额</w:t>
            </w:r>
            <w:r>
              <w:rPr>
                <w:rFonts w:hint="eastAsia" w:hAnsi="宋体" w:cs="宋体"/>
                <w:color w:val="auto"/>
                <w:highlight w:val="none"/>
              </w:rPr>
              <w:t>的</w:t>
            </w:r>
            <w:r>
              <w:rPr>
                <w:rFonts w:hint="eastAsia" w:hAnsi="宋体" w:cs="宋体"/>
                <w:color w:val="auto"/>
                <w:highlight w:val="none"/>
                <w:lang w:val="en-US" w:eastAsia="zh-CN"/>
              </w:rPr>
              <w:t>2.5</w:t>
            </w:r>
            <w:r>
              <w:rPr>
                <w:rFonts w:hint="eastAsia" w:hAnsi="宋体" w:cs="宋体"/>
                <w:color w:val="auto"/>
                <w:highlight w:val="none"/>
              </w:rPr>
              <w:t>%</w:t>
            </w:r>
          </w:p>
          <w:p w14:paraId="0910A3D2">
            <w:pPr>
              <w:pStyle w:val="12"/>
              <w:widowControl/>
              <w:adjustRightInd w:val="0"/>
              <w:snapToGrid w:val="0"/>
              <w:spacing w:line="384" w:lineRule="auto"/>
              <w:rPr>
                <w:rFonts w:hint="eastAsia" w:hAnsi="宋体" w:cs="宋体"/>
                <w:highlight w:val="none"/>
              </w:rPr>
            </w:pPr>
            <w:r>
              <w:rPr>
                <w:rFonts w:hint="eastAsia" w:hAnsi="宋体" w:cs="宋体"/>
                <w:highlight w:val="none"/>
              </w:rPr>
              <w:t>□定额收取：人民币              元</w:t>
            </w:r>
          </w:p>
          <w:p w14:paraId="49E97C41">
            <w:pPr>
              <w:pStyle w:val="12"/>
              <w:widowControl/>
              <w:adjustRightInd w:val="0"/>
              <w:snapToGrid w:val="0"/>
              <w:spacing w:line="384" w:lineRule="auto"/>
              <w:rPr>
                <w:rFonts w:hint="eastAsia" w:hAnsi="宋体" w:cs="宋体"/>
                <w:highlight w:val="none"/>
              </w:rPr>
            </w:pPr>
            <w:r>
              <w:rPr>
                <w:rFonts w:hint="eastAsia" w:hAnsi="宋体" w:cs="宋体"/>
                <w:highlight w:val="none"/>
              </w:rPr>
              <w:t>（2）支付方式：</w:t>
            </w:r>
          </w:p>
          <w:p w14:paraId="5BAE76A5">
            <w:pPr>
              <w:pStyle w:val="12"/>
              <w:widowControl/>
              <w:adjustRightInd w:val="0"/>
              <w:snapToGrid w:val="0"/>
              <w:spacing w:line="384" w:lineRule="auto"/>
              <w:rPr>
                <w:rFonts w:hint="eastAsia" w:hAnsi="宋体" w:cs="宋体"/>
                <w:highlight w:val="none"/>
              </w:rPr>
            </w:pPr>
            <w:r>
              <w:rPr>
                <w:rFonts w:hint="eastAsia" w:hAnsi="宋体" w:cs="宋体"/>
                <w:highlight w:val="none"/>
              </w:rPr>
              <w:sym w:font="Wingdings" w:char="00FE"/>
            </w:r>
            <w:r>
              <w:rPr>
                <w:rFonts w:hint="eastAsia" w:hAnsi="宋体" w:cs="宋体"/>
                <w:highlight w:val="none"/>
              </w:rPr>
              <w:t xml:space="preserve">转账/电汇 </w:t>
            </w:r>
            <w:r>
              <w:rPr>
                <w:rFonts w:hint="eastAsia" w:hAnsi="宋体" w:cs="宋体"/>
                <w:highlight w:val="none"/>
              </w:rPr>
              <w:sym w:font="Wingdings" w:char="00FE"/>
            </w:r>
            <w:r>
              <w:rPr>
                <w:rFonts w:hint="eastAsia" w:hAnsi="宋体" w:cs="宋体"/>
                <w:highlight w:val="none"/>
              </w:rPr>
              <w:t xml:space="preserve">支票 </w:t>
            </w:r>
            <w:r>
              <w:rPr>
                <w:rFonts w:hint="eastAsia" w:hAnsi="宋体" w:cs="宋体"/>
                <w:highlight w:val="none"/>
              </w:rPr>
              <w:sym w:font="Wingdings" w:char="00FE"/>
            </w:r>
            <w:r>
              <w:rPr>
                <w:rFonts w:hint="eastAsia" w:hAnsi="宋体" w:cs="宋体"/>
                <w:highlight w:val="none"/>
              </w:rPr>
              <w:t xml:space="preserve">汇票 </w:t>
            </w:r>
            <w:r>
              <w:rPr>
                <w:rFonts w:hint="eastAsia" w:hAnsi="宋体" w:cs="宋体"/>
                <w:highlight w:val="none"/>
              </w:rPr>
              <w:sym w:font="Wingdings" w:char="00FE"/>
            </w:r>
            <w:r>
              <w:rPr>
                <w:rFonts w:hint="eastAsia" w:hAnsi="宋体" w:cs="宋体"/>
                <w:highlight w:val="none"/>
              </w:rPr>
              <w:t xml:space="preserve">本票 </w:t>
            </w:r>
            <w:r>
              <w:rPr>
                <w:rFonts w:hint="eastAsia" w:hAnsi="宋体" w:cs="宋体"/>
                <w:highlight w:val="none"/>
              </w:rPr>
              <w:sym w:font="Wingdings" w:char="00FE"/>
            </w:r>
            <w:r>
              <w:rPr>
                <w:rFonts w:hint="eastAsia" w:hAnsi="宋体" w:cs="宋体"/>
                <w:highlight w:val="none"/>
              </w:rPr>
              <w:t xml:space="preserve">保险 </w:t>
            </w:r>
            <w:r>
              <w:rPr>
                <w:rFonts w:hint="eastAsia" w:hAnsi="宋体" w:cs="宋体"/>
                <w:highlight w:val="none"/>
              </w:rPr>
              <w:sym w:font="Wingdings" w:char="00FE"/>
            </w:r>
            <w:r>
              <w:rPr>
                <w:rFonts w:hint="eastAsia" w:hAnsi="宋体" w:cs="宋体"/>
                <w:highlight w:val="none"/>
              </w:rPr>
              <w:t>保函</w:t>
            </w:r>
          </w:p>
          <w:p w14:paraId="1591EB4E">
            <w:pPr>
              <w:pStyle w:val="12"/>
              <w:widowControl/>
              <w:numPr>
                <w:ilvl w:val="0"/>
                <w:numId w:val="0"/>
              </w:numPr>
              <w:adjustRightInd w:val="0"/>
              <w:snapToGrid w:val="0"/>
              <w:spacing w:line="384" w:lineRule="auto"/>
              <w:rPr>
                <w:rFonts w:hint="eastAsia" w:hAnsi="宋体" w:cs="宋体"/>
                <w:highlight w:val="none"/>
              </w:rPr>
            </w:pPr>
            <w:r>
              <w:rPr>
                <w:rFonts w:hint="eastAsia" w:ascii="宋体" w:hAnsi="宋体" w:eastAsia="宋体" w:cs="宋体"/>
                <w:kern w:val="2"/>
                <w:sz w:val="21"/>
                <w:szCs w:val="20"/>
                <w:highlight w:val="none"/>
                <w:lang w:val="en-US" w:eastAsia="zh-CN" w:bidi="ar-SA"/>
              </w:rPr>
              <w:t>（3）</w:t>
            </w:r>
            <w:r>
              <w:rPr>
                <w:rFonts w:hint="eastAsia" w:hAnsi="宋体" w:cs="宋体"/>
                <w:highlight w:val="none"/>
              </w:rPr>
              <w:t xml:space="preserve">收取单位：安徽省第二人民医院      </w:t>
            </w:r>
          </w:p>
          <w:p w14:paraId="56312D00">
            <w:pPr>
              <w:pStyle w:val="12"/>
              <w:widowControl/>
              <w:numPr>
                <w:ilvl w:val="0"/>
                <w:numId w:val="0"/>
              </w:numPr>
              <w:adjustRightInd w:val="0"/>
              <w:snapToGrid w:val="0"/>
              <w:spacing w:line="384" w:lineRule="auto"/>
              <w:rPr>
                <w:rFonts w:hint="eastAsia" w:hAnsi="宋体" w:cs="宋体"/>
                <w:highlight w:val="none"/>
                <w:lang w:val="en-US" w:eastAsia="zh-CN"/>
              </w:rPr>
            </w:pPr>
            <w:r>
              <w:rPr>
                <w:rFonts w:hint="eastAsia" w:ascii="宋体" w:hAnsi="宋体" w:eastAsia="宋体" w:cs="宋体"/>
                <w:kern w:val="2"/>
                <w:sz w:val="21"/>
                <w:szCs w:val="20"/>
                <w:highlight w:val="none"/>
                <w:lang w:val="en-US" w:eastAsia="zh-CN" w:bidi="ar-SA"/>
              </w:rPr>
              <w:t>（4）</w:t>
            </w:r>
            <w:r>
              <w:rPr>
                <w:rFonts w:hint="eastAsia" w:hAnsi="宋体" w:cs="宋体"/>
                <w:highlight w:val="none"/>
                <w:lang w:val="en-US" w:eastAsia="zh-CN"/>
              </w:rPr>
              <w:t xml:space="preserve">开户行：建设银行合肥瑶海支行                      </w:t>
            </w:r>
          </w:p>
          <w:p w14:paraId="0997CF94">
            <w:pPr>
              <w:pStyle w:val="12"/>
              <w:widowControl/>
              <w:numPr>
                <w:ilvl w:val="0"/>
                <w:numId w:val="0"/>
              </w:numPr>
              <w:adjustRightInd w:val="0"/>
              <w:snapToGrid w:val="0"/>
              <w:spacing w:line="384" w:lineRule="auto"/>
              <w:rPr>
                <w:rFonts w:hint="eastAsia" w:hAnsi="宋体" w:cs="宋体"/>
                <w:highlight w:val="none"/>
                <w:lang w:val="en-US" w:eastAsia="zh-CN"/>
              </w:rPr>
            </w:pPr>
            <w:r>
              <w:rPr>
                <w:rFonts w:hint="eastAsia" w:hAnsi="宋体" w:cs="宋体"/>
                <w:highlight w:val="none"/>
                <w:lang w:val="en-US" w:eastAsia="zh-CN"/>
              </w:rPr>
              <w:t xml:space="preserve">（5）收取账号：3400 1448 6080 5300 2706 </w:t>
            </w:r>
          </w:p>
          <w:p w14:paraId="4D5D4000">
            <w:pPr>
              <w:pStyle w:val="12"/>
              <w:widowControl/>
              <w:numPr>
                <w:ilvl w:val="0"/>
                <w:numId w:val="0"/>
              </w:numPr>
              <w:adjustRightInd w:val="0"/>
              <w:snapToGrid w:val="0"/>
              <w:spacing w:line="384" w:lineRule="auto"/>
              <w:rPr>
                <w:rFonts w:hint="eastAsia" w:hAnsi="宋体" w:cs="宋体"/>
                <w:highlight w:val="none"/>
                <w:lang w:val="en-US" w:eastAsia="zh-CN"/>
              </w:rPr>
            </w:pPr>
            <w:r>
              <w:rPr>
                <w:rFonts w:hint="eastAsia" w:hAnsi="宋体" w:cs="宋体"/>
                <w:highlight w:val="none"/>
                <w:lang w:val="en-US" w:eastAsia="zh-CN"/>
              </w:rPr>
              <w:t xml:space="preserve">（6）履约保证金提交时间：每包中标通知书发出之日起7个日历天内。        </w:t>
            </w:r>
          </w:p>
          <w:p w14:paraId="41E31C6D">
            <w:pPr>
              <w:pStyle w:val="12"/>
              <w:widowControl/>
              <w:numPr>
                <w:ilvl w:val="0"/>
                <w:numId w:val="0"/>
              </w:numPr>
              <w:adjustRightInd w:val="0"/>
              <w:snapToGrid w:val="0"/>
              <w:spacing w:line="384" w:lineRule="auto"/>
              <w:rPr>
                <w:rFonts w:hint="eastAsia" w:hAnsi="宋体" w:cs="宋体"/>
                <w:highlight w:val="none"/>
                <w:lang w:val="en-US" w:eastAsia="zh-CN"/>
              </w:rPr>
            </w:pPr>
            <w:r>
              <w:rPr>
                <w:rFonts w:hint="eastAsia" w:hAnsi="宋体" w:cs="宋体"/>
                <w:highlight w:val="none"/>
                <w:lang w:val="en-US" w:eastAsia="zh-CN"/>
              </w:rPr>
              <w:t>（7）退还时间：每包项目完成并验收合格后一次性退还</w:t>
            </w:r>
          </w:p>
          <w:p w14:paraId="5511B40E">
            <w:pPr>
              <w:pStyle w:val="12"/>
              <w:widowControl/>
              <w:numPr>
                <w:ilvl w:val="0"/>
                <w:numId w:val="0"/>
              </w:numPr>
              <w:adjustRightInd w:val="0"/>
              <w:snapToGrid w:val="0"/>
              <w:spacing w:line="384" w:lineRule="auto"/>
              <w:rPr>
                <w:rFonts w:hint="eastAsia" w:hAnsi="宋体" w:cs="宋体"/>
                <w:highlight w:val="none"/>
              </w:rPr>
            </w:pPr>
            <w:r>
              <w:rPr>
                <w:rFonts w:hint="eastAsia" w:hAnsi="宋体" w:cs="宋体"/>
                <w:highlight w:val="none"/>
                <w:lang w:val="en-US" w:eastAsia="zh-CN"/>
              </w:rPr>
              <w:t>（8） 履约保证金不予退还的情形：未在约定时间内送货或交付的产品质量有问题影响使用或违反采购人规定的其它违约情况。</w:t>
            </w:r>
            <w:r>
              <w:rPr>
                <w:rFonts w:hint="eastAsia" w:hAnsi="宋体" w:cs="宋体"/>
                <w:highlight w:val="none"/>
              </w:rPr>
              <w:t xml:space="preserve">              </w:t>
            </w:r>
          </w:p>
          <w:p w14:paraId="3511C4E5">
            <w:pPr>
              <w:pStyle w:val="12"/>
              <w:widowControl/>
              <w:adjustRightInd w:val="0"/>
              <w:snapToGrid w:val="0"/>
              <w:spacing w:line="384" w:lineRule="auto"/>
              <w:rPr>
                <w:rFonts w:hint="eastAsia" w:hAnsi="宋体" w:cs="宋体"/>
                <w:highlight w:val="none"/>
              </w:rPr>
            </w:pPr>
            <w:r>
              <w:rPr>
                <w:rFonts w:hint="eastAsia" w:hAnsi="宋体" w:cs="宋体"/>
                <w:highlight w:val="none"/>
              </w:rPr>
              <w:t>注意事项：</w:t>
            </w:r>
          </w:p>
          <w:p w14:paraId="76F55F97">
            <w:pPr>
              <w:pStyle w:val="12"/>
              <w:widowControl/>
              <w:adjustRightInd w:val="0"/>
              <w:snapToGrid w:val="0"/>
              <w:spacing w:line="384" w:lineRule="auto"/>
              <w:rPr>
                <w:rFonts w:hint="eastAsia" w:hAnsi="宋体" w:cs="宋体"/>
                <w:b/>
                <w:bCs/>
                <w:highlight w:val="none"/>
              </w:rPr>
            </w:pPr>
            <w:r>
              <w:rPr>
                <w:rFonts w:hint="eastAsia" w:hAnsi="宋体" w:cs="宋体"/>
                <w:b/>
                <w:bCs/>
                <w:highlight w:val="none"/>
              </w:rPr>
              <w:t>（1）以上各类机构出具的以担保函、保证保险承担责任的方式均须满足无条件见索即付条件。</w:t>
            </w:r>
          </w:p>
          <w:p w14:paraId="75EAB999">
            <w:pPr>
              <w:pStyle w:val="12"/>
              <w:widowControl/>
              <w:adjustRightInd w:val="0"/>
              <w:snapToGrid w:val="0"/>
              <w:spacing w:line="384" w:lineRule="auto"/>
              <w:rPr>
                <w:rFonts w:hAnsi="宋体"/>
                <w:szCs w:val="21"/>
                <w:highlight w:val="none"/>
              </w:rPr>
            </w:pPr>
            <w:r>
              <w:rPr>
                <w:rFonts w:hint="eastAsia" w:hAnsi="宋体" w:cs="宋体"/>
                <w:b/>
                <w:bCs/>
                <w:highlight w:val="none"/>
              </w:rPr>
              <w:t>（2）以担保函、保证保险形式缴纳履约保证金的，受益人和收取单位须为采购人。</w:t>
            </w:r>
          </w:p>
        </w:tc>
      </w:tr>
      <w:tr w14:paraId="47D77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13ED44CF">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11.1.1</w:t>
            </w:r>
          </w:p>
        </w:tc>
        <w:tc>
          <w:tcPr>
            <w:tcW w:w="931" w:type="pct"/>
            <w:noWrap w:val="0"/>
            <w:vAlign w:val="center"/>
          </w:tcPr>
          <w:p w14:paraId="43395EBE">
            <w:pPr>
              <w:spacing w:line="384" w:lineRule="auto"/>
              <w:jc w:val="center"/>
              <w:rPr>
                <w:rFonts w:hint="eastAsia"/>
                <w:highlight w:val="none"/>
              </w:rPr>
            </w:pPr>
            <w:r>
              <w:rPr>
                <w:rFonts w:hint="eastAsia"/>
                <w:highlight w:val="none"/>
              </w:rPr>
              <w:t>节能产品强制及优先采购政策的执行</w:t>
            </w:r>
          </w:p>
        </w:tc>
        <w:tc>
          <w:tcPr>
            <w:tcW w:w="3665" w:type="pct"/>
            <w:noWrap w:val="0"/>
            <w:vAlign w:val="center"/>
          </w:tcPr>
          <w:p w14:paraId="35EA9122">
            <w:pPr>
              <w:spacing w:line="384" w:lineRule="auto"/>
              <w:rPr>
                <w:rFonts w:hint="eastAsia"/>
                <w:highlight w:val="none"/>
              </w:rPr>
            </w:pPr>
            <w:r>
              <w:rPr>
                <w:highlight w:val="none"/>
              </w:rPr>
              <w:sym w:font="Wingdings" w:char="F0FE"/>
            </w:r>
            <w:r>
              <w:rPr>
                <w:rFonts w:hint="eastAsia"/>
                <w:highlight w:val="none"/>
              </w:rPr>
              <w:t>是，本项目执行《节能产品政府采购实施意见》的规定，其中：</w:t>
            </w:r>
          </w:p>
          <w:p w14:paraId="0113DE67">
            <w:pPr>
              <w:spacing w:line="384" w:lineRule="auto"/>
              <w:rPr>
                <w:rFonts w:hint="eastAsia"/>
                <w:highlight w:val="none"/>
              </w:rPr>
            </w:pPr>
            <w:r>
              <w:rPr>
                <w:rFonts w:hint="eastAsia"/>
                <w:highlight w:val="none"/>
              </w:rPr>
              <w:t>节能产品是指：</w:t>
            </w:r>
            <w:r>
              <w:rPr>
                <w:rFonts w:hint="eastAsia"/>
                <w:highlight w:val="none"/>
                <w:u w:val="single"/>
              </w:rPr>
              <w:t>属于财政部、发改委等部委颁发的最新《政府采购节能产品品目清单》 的节能产品，包括强制采购的节能产品与优先采购的节能产品；</w:t>
            </w:r>
          </w:p>
          <w:p w14:paraId="77703561">
            <w:pPr>
              <w:widowControl/>
              <w:snapToGrid w:val="0"/>
              <w:spacing w:line="384" w:lineRule="auto"/>
              <w:rPr>
                <w:rFonts w:hint="eastAsia"/>
                <w:highlight w:val="none"/>
              </w:rPr>
            </w:pPr>
            <w:r>
              <w:rPr>
                <w:rFonts w:hint="eastAsia"/>
                <w:highlight w:val="none"/>
              </w:rPr>
              <w:t>如属于政府强制采购的节能产品的，供应商须在投标文件中附相关产品有效期内的《节能产品认证证书》复制件，</w:t>
            </w:r>
            <w:r>
              <w:rPr>
                <w:rFonts w:hint="eastAsia"/>
                <w:b/>
                <w:bCs/>
                <w:highlight w:val="none"/>
              </w:rPr>
              <w:t>否则按无效投标处理</w:t>
            </w:r>
            <w:r>
              <w:rPr>
                <w:rFonts w:hint="eastAsia"/>
                <w:highlight w:val="none"/>
              </w:rPr>
              <w:t>。</w:t>
            </w:r>
          </w:p>
          <w:p w14:paraId="371C5010">
            <w:pPr>
              <w:pStyle w:val="9"/>
              <w:spacing w:line="384" w:lineRule="auto"/>
              <w:rPr>
                <w:highlight w:val="none"/>
              </w:rPr>
            </w:pPr>
            <w:r>
              <w:rPr>
                <w:rFonts w:hint="eastAsia" w:ascii="Times New Roman" w:hAnsi="Times New Roman"/>
                <w:sz w:val="21"/>
                <w:szCs w:val="22"/>
                <w:highlight w:val="none"/>
              </w:rPr>
              <w:t>如属于优先采购的节能产品的，供应商可在投标文件中附相关产品有效期内的《节能产品认证证书》复制件。</w:t>
            </w:r>
          </w:p>
        </w:tc>
      </w:tr>
      <w:tr w14:paraId="246E8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7CB0A23A">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11.1.2</w:t>
            </w:r>
          </w:p>
        </w:tc>
        <w:tc>
          <w:tcPr>
            <w:tcW w:w="931" w:type="pct"/>
            <w:noWrap w:val="0"/>
            <w:vAlign w:val="center"/>
          </w:tcPr>
          <w:p w14:paraId="6BA69824">
            <w:pPr>
              <w:spacing w:line="384" w:lineRule="auto"/>
              <w:jc w:val="center"/>
              <w:rPr>
                <w:rFonts w:hint="eastAsia"/>
                <w:highlight w:val="none"/>
              </w:rPr>
            </w:pPr>
            <w:r>
              <w:rPr>
                <w:rFonts w:hint="eastAsia"/>
                <w:highlight w:val="none"/>
              </w:rPr>
              <w:t>环境标志产品优先采购政策的执行</w:t>
            </w:r>
          </w:p>
        </w:tc>
        <w:tc>
          <w:tcPr>
            <w:tcW w:w="3665" w:type="pct"/>
            <w:noWrap w:val="0"/>
            <w:vAlign w:val="center"/>
          </w:tcPr>
          <w:p w14:paraId="6ABDA5B9">
            <w:pPr>
              <w:spacing w:line="384" w:lineRule="auto"/>
              <w:rPr>
                <w:rFonts w:hint="eastAsia"/>
                <w:highlight w:val="none"/>
              </w:rPr>
            </w:pPr>
            <w:r>
              <w:rPr>
                <w:highlight w:val="none"/>
              </w:rPr>
              <w:sym w:font="Wingdings" w:char="F0FE"/>
            </w:r>
            <w:r>
              <w:rPr>
                <w:rFonts w:hint="eastAsia"/>
                <w:highlight w:val="none"/>
              </w:rPr>
              <w:t>是，本项目执行《关于环境标志产品政府采购实施的意见》的规定，其中：</w:t>
            </w:r>
          </w:p>
          <w:p w14:paraId="2D24D510">
            <w:pPr>
              <w:spacing w:line="384" w:lineRule="auto"/>
              <w:rPr>
                <w:rFonts w:hint="eastAsia"/>
                <w:highlight w:val="none"/>
              </w:rPr>
            </w:pPr>
            <w:r>
              <w:rPr>
                <w:rFonts w:hint="eastAsia"/>
                <w:highlight w:val="none"/>
                <w:lang w:bidi="en-US"/>
              </w:rPr>
              <w:t>环境标志产品</w:t>
            </w:r>
            <w:r>
              <w:rPr>
                <w:rFonts w:hint="eastAsia"/>
                <w:highlight w:val="none"/>
              </w:rPr>
              <w:t>指：</w:t>
            </w:r>
            <w:r>
              <w:rPr>
                <w:rFonts w:hint="eastAsia"/>
                <w:highlight w:val="none"/>
                <w:u w:val="single"/>
              </w:rPr>
              <w:t xml:space="preserve">  属于财政部、发改委等部委颁发的最新《政府采购环境标志产品品目清单》 的环境标志产品。</w:t>
            </w:r>
          </w:p>
          <w:p w14:paraId="25309B8E">
            <w:pPr>
              <w:widowControl/>
              <w:snapToGrid w:val="0"/>
              <w:spacing w:line="384" w:lineRule="auto"/>
              <w:rPr>
                <w:rFonts w:hint="eastAsia"/>
                <w:highlight w:val="none"/>
              </w:rPr>
            </w:pPr>
            <w:r>
              <w:rPr>
                <w:rFonts w:hint="eastAsia"/>
                <w:highlight w:val="none"/>
              </w:rPr>
              <w:t>如有所投</w:t>
            </w:r>
            <w:r>
              <w:rPr>
                <w:highlight w:val="none"/>
              </w:rPr>
              <w:t>产品符合相关要求，供应商</w:t>
            </w:r>
            <w:r>
              <w:rPr>
                <w:rFonts w:hint="eastAsia"/>
                <w:highlight w:val="none"/>
              </w:rPr>
              <w:t>可</w:t>
            </w:r>
            <w:r>
              <w:rPr>
                <w:highlight w:val="none"/>
              </w:rPr>
              <w:t>在</w:t>
            </w:r>
            <w:r>
              <w:rPr>
                <w:rFonts w:hint="eastAsia"/>
                <w:highlight w:val="none"/>
              </w:rPr>
              <w:t>投标</w:t>
            </w:r>
            <w:r>
              <w:rPr>
                <w:highlight w:val="none"/>
              </w:rPr>
              <w:t>文件</w:t>
            </w:r>
            <w:r>
              <w:rPr>
                <w:rFonts w:hint="eastAsia"/>
                <w:highlight w:val="none"/>
              </w:rPr>
              <w:t>中</w:t>
            </w:r>
            <w:r>
              <w:rPr>
                <w:highlight w:val="none"/>
              </w:rPr>
              <w:t>附</w:t>
            </w:r>
            <w:r>
              <w:rPr>
                <w:rFonts w:hint="eastAsia"/>
                <w:highlight w:val="none"/>
              </w:rPr>
              <w:t>相关产品有效期内的《环境标志产品认证证书》</w:t>
            </w:r>
            <w:r>
              <w:rPr>
                <w:highlight w:val="none"/>
              </w:rPr>
              <w:t>复制件。</w:t>
            </w:r>
          </w:p>
        </w:tc>
      </w:tr>
      <w:tr w14:paraId="1E25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7680FF26">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11.2.1</w:t>
            </w:r>
          </w:p>
        </w:tc>
        <w:tc>
          <w:tcPr>
            <w:tcW w:w="931" w:type="pct"/>
            <w:noWrap w:val="0"/>
            <w:vAlign w:val="center"/>
          </w:tcPr>
          <w:p w14:paraId="70CE355E">
            <w:pPr>
              <w:pStyle w:val="32"/>
              <w:spacing w:line="384" w:lineRule="auto"/>
              <w:jc w:val="center"/>
              <w:rPr>
                <w:sz w:val="21"/>
                <w:szCs w:val="21"/>
                <w:highlight w:val="none"/>
              </w:rPr>
            </w:pPr>
            <w:r>
              <w:rPr>
                <w:sz w:val="21"/>
                <w:szCs w:val="21"/>
                <w:highlight w:val="none"/>
              </w:rPr>
              <w:t>是否为专门面向中小企业采购</w:t>
            </w:r>
          </w:p>
        </w:tc>
        <w:tc>
          <w:tcPr>
            <w:tcW w:w="3665" w:type="pct"/>
            <w:noWrap w:val="0"/>
            <w:vAlign w:val="center"/>
          </w:tcPr>
          <w:p w14:paraId="5578FF20">
            <w:pPr>
              <w:pStyle w:val="32"/>
              <w:spacing w:line="384" w:lineRule="auto"/>
              <w:rPr>
                <w:rFonts w:hint="eastAsia"/>
                <w:sz w:val="21"/>
                <w:szCs w:val="21"/>
                <w:highlight w:val="none"/>
              </w:rPr>
            </w:pPr>
            <w:r>
              <w:rPr>
                <w:sz w:val="21"/>
                <w:szCs w:val="21"/>
                <w:highlight w:val="none"/>
              </w:rPr>
              <w:t>□是。</w:t>
            </w:r>
            <w:r>
              <w:rPr>
                <w:rFonts w:hint="eastAsia"/>
                <w:sz w:val="21"/>
                <w:szCs w:val="21"/>
                <w:highlight w:val="none"/>
              </w:rPr>
              <w:t>本项目专门面向中小企业采购，如投标</w:t>
            </w:r>
            <w:r>
              <w:rPr>
                <w:rFonts w:hint="eastAsia"/>
                <w:sz w:val="21"/>
                <w:szCs w:val="21"/>
                <w:highlight w:val="none"/>
                <w:lang w:val="en-US"/>
              </w:rPr>
              <w:t>供应商</w:t>
            </w:r>
            <w:r>
              <w:rPr>
                <w:rFonts w:hint="eastAsia"/>
                <w:sz w:val="21"/>
                <w:szCs w:val="21"/>
                <w:highlight w:val="none"/>
              </w:rPr>
              <w:t>提供的货物不符合《政府采购促进中小企业发展管理办法》第四条规定的，其投标文件将被认定为无效。</w:t>
            </w:r>
          </w:p>
          <w:p w14:paraId="68F89B91">
            <w:pPr>
              <w:pStyle w:val="32"/>
              <w:tabs>
                <w:tab w:val="left" w:pos="828"/>
              </w:tabs>
              <w:spacing w:line="384" w:lineRule="auto"/>
              <w:rPr>
                <w:sz w:val="21"/>
                <w:szCs w:val="21"/>
                <w:highlight w:val="none"/>
              </w:rPr>
            </w:pPr>
            <w:r>
              <w:rPr>
                <w:rFonts w:hint="eastAsia"/>
                <w:sz w:val="21"/>
                <w:szCs w:val="21"/>
                <w:highlight w:val="none"/>
                <w:lang w:eastAsia="zh-CN"/>
              </w:rPr>
              <w:t>☑</w:t>
            </w:r>
            <w:r>
              <w:rPr>
                <w:sz w:val="21"/>
                <w:szCs w:val="21"/>
                <w:highlight w:val="none"/>
              </w:rPr>
              <w:t>否</w:t>
            </w:r>
          </w:p>
        </w:tc>
      </w:tr>
      <w:tr w14:paraId="4FEF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56374D89">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11.2.2</w:t>
            </w:r>
          </w:p>
        </w:tc>
        <w:tc>
          <w:tcPr>
            <w:tcW w:w="931" w:type="pct"/>
            <w:noWrap w:val="0"/>
            <w:vAlign w:val="center"/>
          </w:tcPr>
          <w:p w14:paraId="2D57C06E">
            <w:pPr>
              <w:spacing w:line="384" w:lineRule="auto"/>
              <w:jc w:val="center"/>
              <w:rPr>
                <w:rFonts w:hint="eastAsia"/>
                <w:szCs w:val="21"/>
                <w:highlight w:val="none"/>
              </w:rPr>
            </w:pPr>
            <w:r>
              <w:rPr>
                <w:rFonts w:hint="eastAsia"/>
                <w:szCs w:val="21"/>
                <w:highlight w:val="none"/>
              </w:rPr>
              <w:t>对中小企业产品、监狱企业产品、残疾人福利单位产品的价格扣除标准</w:t>
            </w:r>
          </w:p>
        </w:tc>
        <w:tc>
          <w:tcPr>
            <w:tcW w:w="3665" w:type="pct"/>
            <w:noWrap w:val="0"/>
            <w:vAlign w:val="center"/>
          </w:tcPr>
          <w:p w14:paraId="7B3B1A19">
            <w:pPr>
              <w:spacing w:line="384" w:lineRule="auto"/>
              <w:rPr>
                <w:rFonts w:ascii="宋体" w:hAnsi="宋体"/>
                <w:szCs w:val="21"/>
                <w:highlight w:val="none"/>
              </w:rPr>
            </w:pPr>
            <w:r>
              <w:rPr>
                <w:rFonts w:hint="eastAsia" w:ascii="宋体" w:hAnsi="宋体"/>
                <w:szCs w:val="21"/>
                <w:highlight w:val="none"/>
              </w:rPr>
              <w:t>依据财政部、工业和信息化部《关于印发&lt;政府采购促进中小企业发展管理办法&gt;的通知》（财库〔2020〕46号）以及《进一步加大政府采购支持中小企业力度》（财库〔2022〕19号）有关规定：</w:t>
            </w:r>
          </w:p>
          <w:p w14:paraId="3B8DFA35">
            <w:pPr>
              <w:pStyle w:val="32"/>
              <w:numPr>
                <w:ilvl w:val="0"/>
                <w:numId w:val="1"/>
              </w:numPr>
              <w:tabs>
                <w:tab w:val="left" w:pos="710"/>
              </w:tabs>
              <w:spacing w:line="384" w:lineRule="auto"/>
              <w:ind w:left="0" w:firstLine="0"/>
              <w:rPr>
                <w:sz w:val="21"/>
                <w:szCs w:val="21"/>
                <w:highlight w:val="none"/>
              </w:rPr>
            </w:pPr>
            <w:r>
              <w:rPr>
                <w:sz w:val="21"/>
                <w:szCs w:val="21"/>
                <w:highlight w:val="none"/>
              </w:rPr>
              <w:t>小型和微型企业价格扣除：</w:t>
            </w:r>
            <w:r>
              <w:rPr>
                <w:sz w:val="21"/>
                <w:szCs w:val="21"/>
                <w:highlight w:val="none"/>
                <w:u w:val="single" w:color="FF0000"/>
              </w:rPr>
              <w:t>（</w:t>
            </w:r>
            <w:r>
              <w:rPr>
                <w:rFonts w:hint="eastAsia"/>
                <w:sz w:val="21"/>
                <w:szCs w:val="21"/>
                <w:highlight w:val="none"/>
                <w:u w:val="single" w:color="FF0000"/>
                <w:lang w:val="en-US" w:eastAsia="zh-CN"/>
              </w:rPr>
              <w:t>10</w:t>
            </w:r>
            <w:r>
              <w:rPr>
                <w:sz w:val="21"/>
                <w:szCs w:val="21"/>
                <w:highlight w:val="none"/>
                <w:u w:val="single" w:color="FF0000"/>
              </w:rPr>
              <w:t>）</w:t>
            </w:r>
            <w:r>
              <w:rPr>
                <w:sz w:val="21"/>
                <w:szCs w:val="21"/>
                <w:highlight w:val="none"/>
              </w:rPr>
              <w:t>%</w:t>
            </w:r>
          </w:p>
          <w:p w14:paraId="05E941C1">
            <w:pPr>
              <w:pStyle w:val="32"/>
              <w:numPr>
                <w:ilvl w:val="0"/>
                <w:numId w:val="1"/>
              </w:numPr>
              <w:tabs>
                <w:tab w:val="left" w:pos="710"/>
              </w:tabs>
              <w:spacing w:line="384" w:lineRule="auto"/>
              <w:ind w:left="0" w:firstLine="0"/>
              <w:rPr>
                <w:sz w:val="21"/>
                <w:szCs w:val="21"/>
                <w:highlight w:val="none"/>
              </w:rPr>
            </w:pPr>
            <w:r>
              <w:rPr>
                <w:sz w:val="21"/>
                <w:szCs w:val="21"/>
                <w:highlight w:val="none"/>
              </w:rPr>
              <w:t>监狱企业价格扣除：</w:t>
            </w:r>
            <w:r>
              <w:rPr>
                <w:sz w:val="21"/>
                <w:szCs w:val="21"/>
                <w:highlight w:val="none"/>
                <w:u w:val="single" w:color="FF0000"/>
              </w:rPr>
              <w:t>同小型和微型企业</w:t>
            </w:r>
            <w:r>
              <w:rPr>
                <w:sz w:val="21"/>
                <w:szCs w:val="21"/>
                <w:highlight w:val="none"/>
              </w:rPr>
              <w:t>。</w:t>
            </w:r>
          </w:p>
          <w:p w14:paraId="351E982A">
            <w:pPr>
              <w:pStyle w:val="32"/>
              <w:numPr>
                <w:ilvl w:val="0"/>
                <w:numId w:val="1"/>
              </w:numPr>
              <w:tabs>
                <w:tab w:val="left" w:pos="710"/>
              </w:tabs>
              <w:spacing w:line="384" w:lineRule="auto"/>
              <w:ind w:left="0" w:firstLine="0"/>
              <w:rPr>
                <w:sz w:val="21"/>
                <w:szCs w:val="21"/>
                <w:highlight w:val="none"/>
              </w:rPr>
            </w:pPr>
            <w:r>
              <w:rPr>
                <w:spacing w:val="2"/>
                <w:sz w:val="21"/>
                <w:szCs w:val="21"/>
                <w:highlight w:val="none"/>
              </w:rPr>
              <w:t>残疾人福利性单位价格扣除：</w:t>
            </w:r>
            <w:r>
              <w:rPr>
                <w:spacing w:val="1"/>
                <w:sz w:val="21"/>
                <w:szCs w:val="21"/>
                <w:highlight w:val="none"/>
                <w:u w:val="single" w:color="FF0000"/>
              </w:rPr>
              <w:t>同小型和微型</w:t>
            </w:r>
            <w:r>
              <w:rPr>
                <w:rFonts w:hint="eastAsia"/>
                <w:spacing w:val="1"/>
                <w:sz w:val="21"/>
                <w:szCs w:val="21"/>
                <w:highlight w:val="none"/>
                <w:u w:val="single" w:color="FF0000"/>
              </w:rPr>
              <w:t>企业</w:t>
            </w:r>
          </w:p>
          <w:p w14:paraId="419FFB65">
            <w:pPr>
              <w:pStyle w:val="32"/>
              <w:numPr>
                <w:ilvl w:val="0"/>
                <w:numId w:val="1"/>
              </w:numPr>
              <w:tabs>
                <w:tab w:val="left" w:pos="710"/>
              </w:tabs>
              <w:spacing w:line="384" w:lineRule="auto"/>
              <w:ind w:left="0" w:firstLine="0"/>
              <w:rPr>
                <w:rFonts w:ascii="Times New Roman" w:hAnsi="Times New Roman" w:cs="Times New Roman"/>
                <w:i/>
                <w:color w:val="FF0000"/>
                <w:w w:val="95"/>
                <w:kern w:val="2"/>
                <w:sz w:val="21"/>
                <w:szCs w:val="21"/>
                <w:highlight w:val="none"/>
                <w:lang w:val="en-US" w:bidi="ar-SA"/>
              </w:rPr>
            </w:pPr>
            <w:r>
              <w:rPr>
                <w:sz w:val="21"/>
                <w:szCs w:val="21"/>
                <w:highlight w:val="none"/>
              </w:rPr>
              <w:t>符合条件的联合体价格扣除</w:t>
            </w:r>
            <w:r>
              <w:rPr>
                <w:sz w:val="21"/>
                <w:szCs w:val="21"/>
                <w:highlight w:val="none"/>
                <w:u w:val="single" w:color="FF0000"/>
              </w:rPr>
              <w:t>：（</w:t>
            </w:r>
            <w:r>
              <w:rPr>
                <w:rFonts w:hint="eastAsia"/>
                <w:sz w:val="21"/>
                <w:szCs w:val="21"/>
                <w:highlight w:val="none"/>
                <w:u w:val="single" w:color="FF0000"/>
              </w:rPr>
              <w:t xml:space="preserve">   </w:t>
            </w:r>
            <w:r>
              <w:rPr>
                <w:rFonts w:hint="eastAsia"/>
                <w:sz w:val="21"/>
                <w:szCs w:val="21"/>
                <w:highlight w:val="none"/>
                <w:u w:val="single" w:color="FF0000"/>
                <w:lang w:val="en-US" w:eastAsia="zh-CN"/>
              </w:rPr>
              <w:t>/</w:t>
            </w:r>
            <w:r>
              <w:rPr>
                <w:rFonts w:hint="eastAsia"/>
                <w:sz w:val="21"/>
                <w:szCs w:val="21"/>
                <w:highlight w:val="none"/>
                <w:u w:val="single" w:color="FF0000"/>
              </w:rPr>
              <w:t xml:space="preserve"> </w:t>
            </w:r>
            <w:r>
              <w:rPr>
                <w:sz w:val="21"/>
                <w:szCs w:val="21"/>
                <w:highlight w:val="none"/>
                <w:u w:val="single" w:color="FF0000"/>
              </w:rPr>
              <w:t>）</w:t>
            </w:r>
            <w:r>
              <w:rPr>
                <w:sz w:val="21"/>
                <w:szCs w:val="21"/>
                <w:highlight w:val="none"/>
              </w:rPr>
              <w:t>%</w:t>
            </w:r>
          </w:p>
          <w:p w14:paraId="0F2FFFE1">
            <w:pPr>
              <w:pStyle w:val="32"/>
              <w:numPr>
                <w:ilvl w:val="0"/>
                <w:numId w:val="1"/>
              </w:numPr>
              <w:tabs>
                <w:tab w:val="left" w:pos="723"/>
              </w:tabs>
              <w:spacing w:line="384" w:lineRule="auto"/>
              <w:ind w:left="0" w:firstLine="0"/>
              <w:rPr>
                <w:rFonts w:hint="eastAsia"/>
                <w:i/>
                <w:sz w:val="21"/>
                <w:szCs w:val="21"/>
                <w:highlight w:val="none"/>
              </w:rPr>
            </w:pPr>
            <w:r>
              <w:rPr>
                <w:sz w:val="21"/>
                <w:szCs w:val="21"/>
                <w:highlight w:val="none"/>
              </w:rPr>
              <w:t>符合条件的向小微企业分包的大中型企业价格扣除：</w:t>
            </w:r>
            <w:r>
              <w:rPr>
                <w:w w:val="95"/>
                <w:sz w:val="21"/>
                <w:szCs w:val="21"/>
                <w:highlight w:val="none"/>
                <w:u w:val="single" w:color="FF0000"/>
              </w:rPr>
              <w:t>（</w:t>
            </w:r>
            <w:r>
              <w:rPr>
                <w:rFonts w:hint="eastAsia"/>
                <w:w w:val="95"/>
                <w:sz w:val="21"/>
                <w:szCs w:val="21"/>
                <w:highlight w:val="none"/>
                <w:u w:val="single" w:color="FF0000"/>
              </w:rPr>
              <w:t xml:space="preserve"> </w:t>
            </w:r>
            <w:r>
              <w:rPr>
                <w:rFonts w:hint="eastAsia"/>
                <w:w w:val="95"/>
                <w:sz w:val="21"/>
                <w:szCs w:val="21"/>
                <w:highlight w:val="none"/>
                <w:u w:val="single" w:color="FF0000"/>
                <w:lang w:val="en-US" w:eastAsia="zh-CN"/>
              </w:rPr>
              <w:t>/</w:t>
            </w:r>
            <w:r>
              <w:rPr>
                <w:rFonts w:hint="eastAsia"/>
                <w:w w:val="95"/>
                <w:sz w:val="21"/>
                <w:szCs w:val="21"/>
                <w:highlight w:val="none"/>
                <w:u w:val="single" w:color="FF0000"/>
              </w:rPr>
              <w:t xml:space="preserve">  </w:t>
            </w:r>
            <w:r>
              <w:rPr>
                <w:w w:val="95"/>
                <w:sz w:val="21"/>
                <w:szCs w:val="21"/>
                <w:highlight w:val="none"/>
                <w:u w:val="single" w:color="FF0000"/>
              </w:rPr>
              <w:t>）</w:t>
            </w:r>
            <w:r>
              <w:rPr>
                <w:w w:val="95"/>
                <w:sz w:val="21"/>
                <w:szCs w:val="21"/>
                <w:highlight w:val="none"/>
              </w:rPr>
              <w:t>%。</w:t>
            </w:r>
          </w:p>
          <w:p w14:paraId="16228505">
            <w:pPr>
              <w:spacing w:line="384" w:lineRule="auto"/>
              <w:rPr>
                <w:rFonts w:hint="eastAsia" w:ascii="宋体" w:hAnsi="宋体"/>
                <w:szCs w:val="21"/>
                <w:highlight w:val="none"/>
              </w:rPr>
            </w:pPr>
            <w:r>
              <w:rPr>
                <w:rFonts w:hint="eastAsia" w:ascii="宋体" w:hAnsi="宋体"/>
                <w:szCs w:val="21"/>
                <w:highlight w:val="none"/>
              </w:rPr>
              <w:t>参加本次采购活动的中小企业应当在投标文件中提供有效的《中小企业声明函》，并对其真实性负责。</w:t>
            </w:r>
          </w:p>
          <w:p w14:paraId="184750E9">
            <w:pPr>
              <w:spacing w:line="384" w:lineRule="auto"/>
              <w:rPr>
                <w:rFonts w:hint="eastAsia" w:ascii="宋体" w:hAnsi="宋体"/>
                <w:b/>
                <w:szCs w:val="21"/>
                <w:highlight w:val="none"/>
              </w:rPr>
            </w:pPr>
            <w:r>
              <w:rPr>
                <w:rFonts w:hint="eastAsia" w:ascii="宋体" w:hAnsi="宋体"/>
                <w:szCs w:val="21"/>
                <w:highlight w:val="none"/>
              </w:rPr>
              <w:t>根据财政部 司法部《关于政府采购支持监狱企业发展有关问题的通知》(财库〔2014〕68号)，监狱企业视同小型、微型企业，不重复享受价格扣除优惠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b/>
                <w:szCs w:val="21"/>
                <w:highlight w:val="none"/>
              </w:rPr>
              <w:t>监狱企业参加政府采购活动时，提供由省级以上监狱管理局、戒毒管理局(含新疆生产建设兵团)出具的属于监狱企业的证明文件扫描件，不再提供《中小微企业声明函》。</w:t>
            </w:r>
          </w:p>
          <w:p w14:paraId="774D8CBA">
            <w:pPr>
              <w:spacing w:line="384" w:lineRule="auto"/>
              <w:rPr>
                <w:rFonts w:hint="eastAsia" w:ascii="宋体" w:hAnsi="宋体"/>
                <w:b/>
                <w:szCs w:val="21"/>
                <w:highlight w:val="none"/>
              </w:rPr>
            </w:pPr>
            <w:r>
              <w:rPr>
                <w:rFonts w:hint="eastAsia" w:ascii="宋体" w:hAnsi="宋体"/>
                <w:szCs w:val="21"/>
                <w:highlight w:val="none"/>
              </w:rPr>
              <w:t>根据 《财政部 民政部 中国残疾人联合会关于促进残疾人就业政府釆购政策的通知》(财库〔2017〕141号)的规定，残疾人福利性单位视同小型、微型企业，残疾人福利性单位同为小型、微型企业的，不重复享受价格扣除优惠政策。</w:t>
            </w:r>
            <w:r>
              <w:rPr>
                <w:rFonts w:hint="eastAsia" w:ascii="宋体" w:hAnsi="宋体"/>
                <w:b/>
                <w:szCs w:val="21"/>
                <w:highlight w:val="none"/>
              </w:rPr>
              <w:t>残疾人福利性单位参加政府采购活动时，应当在投标文件中提供《残疾人福利性单位声明函》，不再提供《中小企业声明函》，并对其真实性负责。</w:t>
            </w:r>
          </w:p>
          <w:p w14:paraId="0E5CBC45">
            <w:pPr>
              <w:spacing w:line="384" w:lineRule="auto"/>
              <w:rPr>
                <w:rFonts w:hint="eastAsia" w:ascii="宋体" w:hAnsi="宋体"/>
                <w:szCs w:val="21"/>
                <w:highlight w:val="none"/>
                <w:lang w:bidi="en-US"/>
              </w:rPr>
            </w:pPr>
            <w:r>
              <w:rPr>
                <w:rFonts w:hint="eastAsia" w:ascii="宋体" w:hAnsi="宋体"/>
                <w:b/>
                <w:szCs w:val="21"/>
                <w:highlight w:val="none"/>
              </w:rPr>
              <w:t>注：本项目将对中标人提供的中小企业产品（工程或服务）品名及生产厂家，随评审结果一并公布。如提供虚假材料，将取消中标资格并报相关部门按有关规定处理，并</w:t>
            </w:r>
            <w:r>
              <w:rPr>
                <w:rFonts w:hint="eastAsia" w:ascii="宋体" w:hAnsi="宋体"/>
                <w:b/>
                <w:szCs w:val="21"/>
                <w:highlight w:val="none"/>
                <w:lang w:eastAsia="zh-CN"/>
              </w:rPr>
              <w:t>记入</w:t>
            </w:r>
            <w:r>
              <w:rPr>
                <w:rFonts w:hint="eastAsia" w:ascii="宋体" w:hAnsi="宋体"/>
                <w:b/>
                <w:szCs w:val="21"/>
                <w:highlight w:val="none"/>
              </w:rPr>
              <w:t>不良记录。</w:t>
            </w:r>
          </w:p>
        </w:tc>
      </w:tr>
      <w:tr w14:paraId="1DEE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5101F587">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11.2.3</w:t>
            </w:r>
          </w:p>
        </w:tc>
        <w:tc>
          <w:tcPr>
            <w:tcW w:w="931" w:type="pct"/>
            <w:noWrap w:val="0"/>
            <w:vAlign w:val="center"/>
          </w:tcPr>
          <w:p w14:paraId="7A5C23D6">
            <w:pPr>
              <w:spacing w:line="384" w:lineRule="auto"/>
              <w:jc w:val="center"/>
              <w:rPr>
                <w:rFonts w:hint="eastAsia"/>
                <w:highlight w:val="none"/>
              </w:rPr>
            </w:pPr>
            <w:r>
              <w:rPr>
                <w:rFonts w:hint="eastAsia"/>
                <w:highlight w:val="none"/>
              </w:rPr>
              <w:t>是否允许大中型</w:t>
            </w:r>
          </w:p>
          <w:p w14:paraId="34E29145">
            <w:pPr>
              <w:spacing w:line="384" w:lineRule="auto"/>
              <w:jc w:val="center"/>
              <w:rPr>
                <w:rFonts w:hint="eastAsia"/>
                <w:highlight w:val="none"/>
              </w:rPr>
            </w:pPr>
            <w:r>
              <w:rPr>
                <w:rFonts w:hint="eastAsia"/>
                <w:highlight w:val="none"/>
              </w:rPr>
              <w:t>企业向小微企业</w:t>
            </w:r>
          </w:p>
          <w:p w14:paraId="5BF6A7A0">
            <w:pPr>
              <w:spacing w:line="384" w:lineRule="auto"/>
              <w:jc w:val="center"/>
              <w:rPr>
                <w:rFonts w:hint="eastAsia"/>
                <w:highlight w:val="none"/>
              </w:rPr>
            </w:pPr>
            <w:r>
              <w:rPr>
                <w:rFonts w:hint="eastAsia"/>
                <w:highlight w:val="none"/>
              </w:rPr>
              <w:t>分包</w:t>
            </w:r>
          </w:p>
        </w:tc>
        <w:tc>
          <w:tcPr>
            <w:tcW w:w="3665" w:type="pct"/>
            <w:noWrap w:val="0"/>
            <w:vAlign w:val="center"/>
          </w:tcPr>
          <w:p w14:paraId="717EB62E">
            <w:pPr>
              <w:spacing w:line="384" w:lineRule="auto"/>
              <w:rPr>
                <w:rFonts w:hint="eastAsia"/>
                <w:highlight w:val="none"/>
              </w:rPr>
            </w:pPr>
            <w:r>
              <w:rPr>
                <w:rFonts w:hint="eastAsia"/>
                <w:highlight w:val="none"/>
              </w:rPr>
              <w:t>□是</w:t>
            </w:r>
            <w:r>
              <w:rPr>
                <w:highlight w:val="none"/>
              </w:rPr>
              <w:t xml:space="preserve"> </w:t>
            </w:r>
            <w:r>
              <w:rPr>
                <w:rFonts w:hint="eastAsia"/>
                <w:highlight w:val="none"/>
              </w:rPr>
              <w:t xml:space="preserve">   </w:t>
            </w:r>
            <w:r>
              <w:rPr>
                <w:rFonts w:hint="eastAsia"/>
                <w:highlight w:val="none"/>
                <w:lang w:eastAsia="zh-CN"/>
              </w:rPr>
              <w:t>☑</w:t>
            </w:r>
            <w:r>
              <w:rPr>
                <w:rFonts w:hint="eastAsia"/>
                <w:highlight w:val="none"/>
              </w:rPr>
              <w:t>否</w:t>
            </w:r>
          </w:p>
        </w:tc>
      </w:tr>
      <w:tr w14:paraId="27A6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40" w:hRule="atLeast"/>
        </w:trPr>
        <w:tc>
          <w:tcPr>
            <w:tcW w:w="402" w:type="pct"/>
            <w:noWrap w:val="0"/>
            <w:vAlign w:val="center"/>
          </w:tcPr>
          <w:p w14:paraId="7B98DBE5">
            <w:pPr>
              <w:widowControl/>
              <w:adjustRightInd w:val="0"/>
              <w:snapToGrid w:val="0"/>
              <w:spacing w:line="384" w:lineRule="auto"/>
              <w:jc w:val="center"/>
              <w:rPr>
                <w:rFonts w:hint="eastAsia" w:ascii="宋体" w:hAnsi="宋体" w:cs="Calibri"/>
                <w:szCs w:val="21"/>
                <w:highlight w:val="none"/>
              </w:rPr>
            </w:pPr>
            <w:r>
              <w:rPr>
                <w:rFonts w:hint="eastAsia" w:ascii="宋体" w:hAnsi="宋体" w:eastAsia="宋体" w:cs="宋体"/>
                <w:highlight w:val="none"/>
                <w:vertAlign w:val="baseline"/>
                <w:lang w:val="en-US" w:eastAsia="zh-CN"/>
              </w:rPr>
              <w:t>11.3.1</w:t>
            </w:r>
          </w:p>
        </w:tc>
        <w:tc>
          <w:tcPr>
            <w:tcW w:w="931" w:type="pct"/>
            <w:noWrap w:val="0"/>
            <w:vAlign w:val="center"/>
          </w:tcPr>
          <w:p w14:paraId="1C05EF46">
            <w:pPr>
              <w:spacing w:line="384" w:lineRule="auto"/>
              <w:jc w:val="center"/>
              <w:rPr>
                <w:rFonts w:hint="eastAsia"/>
                <w:highlight w:val="none"/>
              </w:rPr>
            </w:pPr>
            <w:r>
              <w:rPr>
                <w:rFonts w:hint="eastAsia" w:ascii="宋体" w:hAnsi="宋体" w:eastAsia="宋体" w:cs="宋体"/>
                <w:highlight w:val="none"/>
                <w:vertAlign w:val="baseline"/>
              </w:rPr>
              <w:t>本国产品价格扣除(适用于既有本国产品又有非本国产品参与竞争的货物项目)</w:t>
            </w:r>
          </w:p>
        </w:tc>
        <w:tc>
          <w:tcPr>
            <w:tcW w:w="3665" w:type="pct"/>
            <w:noWrap w:val="0"/>
            <w:vAlign w:val="center"/>
          </w:tcPr>
          <w:p w14:paraId="5AB4EBB7">
            <w:pPr>
              <w:keepNext w:val="0"/>
              <w:keepLines w:val="0"/>
              <w:pageBreakBefore w:val="0"/>
              <w:widowControl w:val="0"/>
              <w:kinsoku/>
              <w:wordWrap/>
              <w:overflowPunct/>
              <w:topLinePunct w:val="0"/>
              <w:autoSpaceDE/>
              <w:autoSpaceDN/>
              <w:bidi w:val="0"/>
              <w:adjustRightInd/>
              <w:snapToGrid/>
              <w:spacing w:line="384" w:lineRule="auto"/>
              <w:jc w:val="both"/>
              <w:textAlignment w:val="auto"/>
              <w:rPr>
                <w:rFonts w:hint="eastAsia" w:ascii="宋体" w:hAnsi="宋体" w:eastAsia="宋体" w:cs="宋体"/>
                <w:highlight w:val="none"/>
                <w:vertAlign w:val="baseline"/>
              </w:rPr>
            </w:pPr>
            <w:r>
              <w:rPr>
                <w:rFonts w:hint="eastAsia" w:ascii="宋体" w:hAnsi="宋体" w:eastAsia="宋体" w:cs="宋体"/>
                <w:highlight w:val="none"/>
                <w:vertAlign w:val="baseline"/>
              </w:rPr>
              <w:t>（1）项目或者采购包中采购内容为单一产品的，既有本国产品又有非本国产品参与竞争的，对本国产品给予价格扣除</w:t>
            </w:r>
            <w:r>
              <w:rPr>
                <w:rFonts w:hint="eastAsia" w:ascii="宋体" w:hAnsi="宋体" w:eastAsia="宋体" w:cs="宋体"/>
                <w:highlight w:val="none"/>
                <w:u w:val="single"/>
                <w:vertAlign w:val="baseline"/>
              </w:rPr>
              <w:t>20%</w:t>
            </w:r>
            <w:r>
              <w:rPr>
                <w:rFonts w:hint="eastAsia" w:ascii="宋体" w:hAnsi="宋体" w:eastAsia="宋体" w:cs="宋体"/>
                <w:highlight w:val="none"/>
                <w:vertAlign w:val="baseline"/>
              </w:rPr>
              <w:t>。</w:t>
            </w:r>
          </w:p>
          <w:p w14:paraId="6CBBE298">
            <w:pPr>
              <w:keepNext w:val="0"/>
              <w:keepLines w:val="0"/>
              <w:pageBreakBefore w:val="0"/>
              <w:widowControl w:val="0"/>
              <w:kinsoku/>
              <w:wordWrap/>
              <w:overflowPunct/>
              <w:topLinePunct w:val="0"/>
              <w:autoSpaceDE/>
              <w:autoSpaceDN/>
              <w:bidi w:val="0"/>
              <w:adjustRightInd/>
              <w:snapToGrid/>
              <w:spacing w:line="384" w:lineRule="auto"/>
              <w:textAlignment w:val="auto"/>
              <w:rPr>
                <w:rFonts w:hint="eastAsia"/>
                <w:highlight w:val="none"/>
              </w:rPr>
            </w:pPr>
            <w:r>
              <w:rPr>
                <w:rFonts w:hint="eastAsia" w:ascii="宋体" w:hAnsi="宋体" w:eastAsia="宋体" w:cs="宋体"/>
                <w:highlight w:val="none"/>
                <w:vertAlign w:val="baseline"/>
              </w:rPr>
              <w:t>（2）项目或者采购包中含有多种产品的，符合本国产品标准的产品成本之和占该投标人提供的全部产品成本之和的比例≥80%，所有产品价格扣除</w:t>
            </w:r>
            <w:r>
              <w:rPr>
                <w:rFonts w:hint="eastAsia" w:ascii="宋体" w:hAnsi="宋体" w:eastAsia="宋体" w:cs="宋体"/>
                <w:highlight w:val="none"/>
                <w:u w:val="single"/>
                <w:vertAlign w:val="baseline"/>
              </w:rPr>
              <w:t>20%</w:t>
            </w:r>
            <w:r>
              <w:rPr>
                <w:rFonts w:hint="eastAsia" w:ascii="宋体" w:hAnsi="宋体" w:eastAsia="宋体" w:cs="宋体"/>
                <w:highlight w:val="none"/>
                <w:vertAlign w:val="baseline"/>
              </w:rPr>
              <w:t>。</w:t>
            </w:r>
          </w:p>
        </w:tc>
      </w:tr>
      <w:tr w14:paraId="3556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79E9C984">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12.1</w:t>
            </w:r>
          </w:p>
        </w:tc>
        <w:tc>
          <w:tcPr>
            <w:tcW w:w="931" w:type="pct"/>
            <w:noWrap w:val="0"/>
            <w:vAlign w:val="center"/>
          </w:tcPr>
          <w:p w14:paraId="7A85EA01">
            <w:pPr>
              <w:spacing w:line="384" w:lineRule="auto"/>
              <w:jc w:val="center"/>
              <w:rPr>
                <w:highlight w:val="none"/>
              </w:rPr>
            </w:pPr>
            <w:r>
              <w:rPr>
                <w:rFonts w:hint="eastAsia"/>
                <w:highlight w:val="none"/>
              </w:rPr>
              <w:t>原则规定与定义</w:t>
            </w:r>
          </w:p>
        </w:tc>
        <w:tc>
          <w:tcPr>
            <w:tcW w:w="3665" w:type="pct"/>
            <w:noWrap w:val="0"/>
            <w:vAlign w:val="center"/>
          </w:tcPr>
          <w:p w14:paraId="39F21EF6">
            <w:pPr>
              <w:spacing w:line="384" w:lineRule="auto"/>
              <w:rPr>
                <w:rFonts w:hint="eastAsia"/>
                <w:highlight w:val="none"/>
              </w:rPr>
            </w:pPr>
            <w:r>
              <w:rPr>
                <w:rFonts w:hint="eastAsia"/>
                <w:highlight w:val="none"/>
              </w:rPr>
              <w:t>（1）投标供应商</w:t>
            </w:r>
            <w:r>
              <w:rPr>
                <w:highlight w:val="none"/>
              </w:rPr>
              <w:t>须知前附表是对</w:t>
            </w:r>
            <w:r>
              <w:rPr>
                <w:rFonts w:hint="eastAsia"/>
                <w:highlight w:val="none"/>
              </w:rPr>
              <w:t>投标供应商</w:t>
            </w:r>
            <w:r>
              <w:rPr>
                <w:highlight w:val="none"/>
              </w:rPr>
              <w:t>须知正文部分对应条款的补充、细化，</w:t>
            </w:r>
            <w:r>
              <w:rPr>
                <w:rFonts w:hint="eastAsia"/>
                <w:highlight w:val="none"/>
              </w:rPr>
              <w:t>投标供应商</w:t>
            </w:r>
            <w:r>
              <w:rPr>
                <w:highlight w:val="none"/>
              </w:rPr>
              <w:t>阅读时应与正文部分一并阅读，</w:t>
            </w:r>
            <w:r>
              <w:rPr>
                <w:rFonts w:hint="eastAsia"/>
                <w:highlight w:val="none"/>
              </w:rPr>
              <w:t>投标供应商</w:t>
            </w:r>
            <w:r>
              <w:rPr>
                <w:highlight w:val="none"/>
              </w:rPr>
              <w:t>须知前附表与正文部分不一致处，应以</w:t>
            </w:r>
            <w:r>
              <w:rPr>
                <w:rFonts w:hint="eastAsia"/>
                <w:highlight w:val="none"/>
              </w:rPr>
              <w:t>投标供应商</w:t>
            </w:r>
            <w:r>
              <w:rPr>
                <w:highlight w:val="none"/>
              </w:rPr>
              <w:t>须知前附表为准。</w:t>
            </w:r>
          </w:p>
          <w:p w14:paraId="3B2C4243">
            <w:pPr>
              <w:spacing w:line="384" w:lineRule="auto"/>
              <w:rPr>
                <w:rFonts w:hint="eastAsia"/>
                <w:highlight w:val="none"/>
              </w:rPr>
            </w:pPr>
            <w:r>
              <w:rPr>
                <w:rFonts w:hint="eastAsia"/>
                <w:highlight w:val="none"/>
              </w:rPr>
              <w:t>（2）</w:t>
            </w:r>
            <w:r>
              <w:rPr>
                <w:highlight w:val="none"/>
              </w:rPr>
              <w:t>“</w:t>
            </w:r>
            <w:r>
              <w:rPr>
                <w:highlight w:val="none"/>
              </w:rPr>
              <w:sym w:font="Wingdings" w:char="F0FE"/>
            </w:r>
            <w:r>
              <w:rPr>
                <w:highlight w:val="none"/>
              </w:rPr>
              <w:t>”符号表示本招标文件选定的内容；“</w:t>
            </w:r>
            <w:r>
              <w:rPr>
                <w:rFonts w:hint="eastAsia"/>
                <w:highlight w:val="none"/>
              </w:rPr>
              <w:t>□</w:t>
            </w:r>
            <w:r>
              <w:rPr>
                <w:highlight w:val="none"/>
              </w:rPr>
              <w:t>”符号表示本招标文件未选定的内容；空格中的“/”表示没有具体内容。投标供应商投标时请按“</w:t>
            </w:r>
            <w:r>
              <w:rPr>
                <w:highlight w:val="none"/>
              </w:rPr>
              <w:sym w:font="Wingdings" w:char="F0FE"/>
            </w:r>
            <w:r>
              <w:rPr>
                <w:highlight w:val="none"/>
              </w:rPr>
              <w:t>符号”选定的内容和要求参加投标。</w:t>
            </w:r>
          </w:p>
          <w:p w14:paraId="771CDA5C">
            <w:pPr>
              <w:spacing w:line="384" w:lineRule="auto"/>
              <w:rPr>
                <w:rFonts w:hint="eastAsia"/>
                <w:highlight w:val="none"/>
              </w:rPr>
            </w:pPr>
            <w:r>
              <w:rPr>
                <w:rFonts w:hint="eastAsia"/>
                <w:highlight w:val="none"/>
              </w:rPr>
              <w:t>（3）与合同履行有关条款中注明的“甲方</w:t>
            </w:r>
            <w:r>
              <w:rPr>
                <w:rFonts w:hint="eastAsia"/>
                <w:highlight w:val="none"/>
                <w:lang w:eastAsia="zh-CN"/>
              </w:rPr>
              <w:t>”“</w:t>
            </w:r>
            <w:r>
              <w:rPr>
                <w:rFonts w:hint="eastAsia"/>
                <w:highlight w:val="none"/>
              </w:rPr>
              <w:t>买方”，在招标投标阶段按“采购人”理解；注明的“乙方</w:t>
            </w:r>
            <w:r>
              <w:rPr>
                <w:rFonts w:hint="eastAsia"/>
                <w:highlight w:val="none"/>
                <w:lang w:eastAsia="zh-CN"/>
              </w:rPr>
              <w:t>”“</w:t>
            </w:r>
            <w:r>
              <w:rPr>
                <w:rFonts w:hint="eastAsia"/>
                <w:highlight w:val="none"/>
              </w:rPr>
              <w:t>卖方”，按“投标供应商”理解。</w:t>
            </w:r>
          </w:p>
        </w:tc>
      </w:tr>
      <w:tr w14:paraId="6E26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5FA2BBA0">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12.2</w:t>
            </w:r>
          </w:p>
        </w:tc>
        <w:tc>
          <w:tcPr>
            <w:tcW w:w="931" w:type="pct"/>
            <w:noWrap w:val="0"/>
            <w:vAlign w:val="center"/>
          </w:tcPr>
          <w:p w14:paraId="6D6F8A22">
            <w:pPr>
              <w:spacing w:line="384" w:lineRule="auto"/>
              <w:jc w:val="center"/>
              <w:rPr>
                <w:rFonts w:hint="eastAsia" w:cs="Calibri"/>
                <w:highlight w:val="none"/>
              </w:rPr>
            </w:pPr>
            <w:r>
              <w:rPr>
                <w:rFonts w:hint="eastAsia" w:cs="Calibri"/>
                <w:highlight w:val="none"/>
              </w:rPr>
              <w:t>招标文件的解释</w:t>
            </w:r>
          </w:p>
        </w:tc>
        <w:tc>
          <w:tcPr>
            <w:tcW w:w="3665" w:type="pct"/>
            <w:noWrap w:val="0"/>
            <w:vAlign w:val="center"/>
          </w:tcPr>
          <w:p w14:paraId="6536A4A1">
            <w:pPr>
              <w:spacing w:line="384" w:lineRule="auto"/>
              <w:rPr>
                <w:highlight w:val="none"/>
              </w:rPr>
            </w:pPr>
            <w:r>
              <w:rPr>
                <w:highlight w:val="none"/>
              </w:rPr>
              <w:t>构成本招标文件的各个组成文件应互为解释，互为说明；</w:t>
            </w:r>
          </w:p>
          <w:p w14:paraId="26B6DB0B">
            <w:pPr>
              <w:spacing w:line="384" w:lineRule="auto"/>
              <w:rPr>
                <w:highlight w:val="none"/>
              </w:rPr>
            </w:pPr>
            <w:r>
              <w:rPr>
                <w:highlight w:val="none"/>
              </w:rPr>
              <w:t>除招标文件中有特别规定外，仅适用于招标投标阶段的规定，按</w:t>
            </w:r>
            <w:r>
              <w:rPr>
                <w:rFonts w:hint="eastAsia"/>
                <w:highlight w:val="none"/>
              </w:rPr>
              <w:t>下列组成文件：</w:t>
            </w:r>
            <w:r>
              <w:rPr>
                <w:highlight w:val="none"/>
              </w:rPr>
              <w:t>招标公告（投标邀请书）、</w:t>
            </w:r>
            <w:r>
              <w:rPr>
                <w:rFonts w:hint="eastAsia"/>
                <w:highlight w:val="none"/>
              </w:rPr>
              <w:t>投标供应商须知前附表、</w:t>
            </w:r>
            <w:r>
              <w:rPr>
                <w:highlight w:val="none"/>
              </w:rPr>
              <w:t>投标</w:t>
            </w:r>
            <w:r>
              <w:rPr>
                <w:rFonts w:hint="eastAsia"/>
                <w:highlight w:val="none"/>
              </w:rPr>
              <w:t>供应商</w:t>
            </w:r>
            <w:r>
              <w:rPr>
                <w:highlight w:val="none"/>
              </w:rPr>
              <w:t>须知、评标办法、投标文件格式的先后顺序解释；</w:t>
            </w:r>
          </w:p>
          <w:p w14:paraId="507388A2">
            <w:pPr>
              <w:spacing w:line="384" w:lineRule="auto"/>
              <w:rPr>
                <w:highlight w:val="none"/>
              </w:rPr>
            </w:pPr>
            <w:r>
              <w:rPr>
                <w:highlight w:val="none"/>
              </w:rPr>
              <w:t>同一组成文件中就同一事项的规定或约定不一致的，以编排顺序在后者为准；同一组成文件不同版本之间有不一致的，以形成时间在后者为准。</w:t>
            </w:r>
          </w:p>
          <w:p w14:paraId="4C112B8D">
            <w:pPr>
              <w:spacing w:line="384" w:lineRule="auto"/>
              <w:rPr>
                <w:rFonts w:hint="eastAsia"/>
                <w:highlight w:val="none"/>
              </w:rPr>
            </w:pPr>
            <w:r>
              <w:rPr>
                <w:highlight w:val="none"/>
              </w:rPr>
              <w:t>按本款前述规定仍不能形成结论的，由</w:t>
            </w:r>
            <w:r>
              <w:rPr>
                <w:rFonts w:hint="eastAsia"/>
                <w:highlight w:val="none"/>
                <w:lang w:eastAsia="zh-CN"/>
              </w:rPr>
              <w:t>采购人</w:t>
            </w:r>
            <w:r>
              <w:rPr>
                <w:highlight w:val="none"/>
              </w:rPr>
              <w:t>或招标代理机构负责解释。</w:t>
            </w:r>
          </w:p>
        </w:tc>
      </w:tr>
      <w:tr w14:paraId="55BF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43172FC4">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12.3</w:t>
            </w:r>
          </w:p>
        </w:tc>
        <w:tc>
          <w:tcPr>
            <w:tcW w:w="931" w:type="pct"/>
            <w:noWrap w:val="0"/>
            <w:vAlign w:val="center"/>
          </w:tcPr>
          <w:p w14:paraId="5BDB044D">
            <w:pPr>
              <w:spacing w:line="384" w:lineRule="auto"/>
              <w:jc w:val="center"/>
              <w:rPr>
                <w:rFonts w:hint="eastAsia" w:cs="Calibri"/>
                <w:highlight w:val="none"/>
              </w:rPr>
            </w:pPr>
            <w:r>
              <w:rPr>
                <w:rFonts w:hint="eastAsia" w:cs="Calibri"/>
                <w:highlight w:val="none"/>
              </w:rPr>
              <w:t>知识产权</w:t>
            </w:r>
          </w:p>
        </w:tc>
        <w:tc>
          <w:tcPr>
            <w:tcW w:w="3665" w:type="pct"/>
            <w:noWrap w:val="0"/>
            <w:vAlign w:val="center"/>
          </w:tcPr>
          <w:p w14:paraId="5D0800B7">
            <w:pPr>
              <w:spacing w:line="384" w:lineRule="auto"/>
              <w:rPr>
                <w:rFonts w:hint="eastAsia"/>
                <w:highlight w:val="none"/>
              </w:rPr>
            </w:pPr>
            <w:r>
              <w:rPr>
                <w:rFonts w:hint="eastAsia"/>
                <w:highlight w:val="none"/>
              </w:rPr>
              <w:t>（1）构成本招标文件各个组成部分的文件，未经采购人书面同意，投标供应商不得擅自复印和用于非本招标项目所需的其他目的。</w:t>
            </w:r>
            <w:r>
              <w:rPr>
                <w:highlight w:val="none"/>
              </w:rPr>
              <w:t>如因此导致</w:t>
            </w:r>
            <w:r>
              <w:rPr>
                <w:rFonts w:hint="eastAsia"/>
                <w:highlight w:val="none"/>
              </w:rPr>
              <w:t>采购人</w:t>
            </w:r>
            <w:r>
              <w:rPr>
                <w:highlight w:val="none"/>
              </w:rPr>
              <w:t>损失的，投标供应商须承担全部赔偿责任。</w:t>
            </w:r>
          </w:p>
          <w:p w14:paraId="08CC5BD1">
            <w:pPr>
              <w:spacing w:line="384" w:lineRule="auto"/>
              <w:rPr>
                <w:highlight w:val="none"/>
              </w:rPr>
            </w:pPr>
            <w:r>
              <w:rPr>
                <w:rFonts w:hint="eastAsia"/>
                <w:highlight w:val="none"/>
              </w:rPr>
              <w:t>（2）投标供应商需保证：采购人</w:t>
            </w:r>
            <w:r>
              <w:rPr>
                <w:highlight w:val="none"/>
              </w:rPr>
              <w:t>在中华人民共和国境内使用</w:t>
            </w:r>
            <w:r>
              <w:rPr>
                <w:rFonts w:hint="eastAsia"/>
                <w:highlight w:val="none"/>
              </w:rPr>
              <w:t>中</w:t>
            </w:r>
            <w:r>
              <w:rPr>
                <w:highlight w:val="none"/>
              </w:rPr>
              <w:t>标货物</w:t>
            </w:r>
            <w:r>
              <w:rPr>
                <w:rFonts w:hint="eastAsia"/>
                <w:highlight w:val="none"/>
              </w:rPr>
              <w:t>（服务）</w:t>
            </w:r>
            <w:r>
              <w:rPr>
                <w:highlight w:val="none"/>
              </w:rPr>
              <w:t>、资料、技术、服务或其任何一部分时</w:t>
            </w:r>
            <w:r>
              <w:rPr>
                <w:rFonts w:hint="eastAsia"/>
                <w:highlight w:val="none"/>
              </w:rPr>
              <w:t>，履行合同义务后</w:t>
            </w:r>
            <w:r>
              <w:rPr>
                <w:highlight w:val="none"/>
              </w:rPr>
              <w:t>，享有不受限制的无偿使用权，不会产生因第三方提出侵犯其专利权、商标权或其它知识产权而引起的法律或经济纠纷。如投标供应商不拥有相应的知识产权，则在投标报价中必须包括合法获取该知识产权的一切相关费用。如因此导致</w:t>
            </w:r>
            <w:r>
              <w:rPr>
                <w:rFonts w:hint="eastAsia"/>
                <w:highlight w:val="none"/>
              </w:rPr>
              <w:t>采购人</w:t>
            </w:r>
            <w:r>
              <w:rPr>
                <w:highlight w:val="none"/>
              </w:rPr>
              <w:t>损失的，投标供应商须承担全部赔偿责任（</w:t>
            </w:r>
            <w:r>
              <w:rPr>
                <w:rFonts w:hint="eastAsia"/>
                <w:highlight w:val="none"/>
              </w:rPr>
              <w:t>承诺函格式详见投标文件格式相关内容）</w:t>
            </w:r>
            <w:r>
              <w:rPr>
                <w:highlight w:val="none"/>
              </w:rPr>
              <w:t>。</w:t>
            </w:r>
          </w:p>
        </w:tc>
      </w:tr>
      <w:tr w14:paraId="6980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noWrap w:val="0"/>
            <w:vAlign w:val="center"/>
          </w:tcPr>
          <w:p w14:paraId="431140CD">
            <w:pPr>
              <w:widowControl/>
              <w:adjustRightInd w:val="0"/>
              <w:snapToGrid w:val="0"/>
              <w:spacing w:line="384" w:lineRule="auto"/>
              <w:jc w:val="center"/>
              <w:rPr>
                <w:rFonts w:hint="eastAsia" w:ascii="宋体" w:hAnsi="宋体" w:cs="Calibri"/>
                <w:szCs w:val="21"/>
                <w:highlight w:val="none"/>
              </w:rPr>
            </w:pPr>
            <w:r>
              <w:rPr>
                <w:rFonts w:hint="eastAsia" w:ascii="宋体" w:hAnsi="宋体" w:cs="Calibri"/>
                <w:szCs w:val="21"/>
                <w:highlight w:val="none"/>
              </w:rPr>
              <w:t>12.4</w:t>
            </w:r>
          </w:p>
        </w:tc>
        <w:tc>
          <w:tcPr>
            <w:tcW w:w="931" w:type="pct"/>
            <w:noWrap w:val="0"/>
            <w:vAlign w:val="center"/>
          </w:tcPr>
          <w:p w14:paraId="065E9C3D">
            <w:pPr>
              <w:spacing w:line="384" w:lineRule="auto"/>
              <w:jc w:val="center"/>
              <w:rPr>
                <w:rFonts w:cs="Calibri"/>
                <w:b/>
                <w:bCs/>
                <w:highlight w:val="none"/>
              </w:rPr>
            </w:pPr>
            <w:r>
              <w:rPr>
                <w:rFonts w:hint="eastAsia" w:cs="Calibri"/>
                <w:b/>
                <w:bCs/>
                <w:highlight w:val="none"/>
              </w:rPr>
              <w:t>特别提醒</w:t>
            </w:r>
          </w:p>
        </w:tc>
        <w:tc>
          <w:tcPr>
            <w:tcW w:w="3665" w:type="pct"/>
            <w:noWrap w:val="0"/>
            <w:vAlign w:val="center"/>
          </w:tcPr>
          <w:p w14:paraId="517D7ADF">
            <w:pPr>
              <w:spacing w:line="384" w:lineRule="auto"/>
              <w:rPr>
                <w:rFonts w:hint="eastAsia"/>
                <w:highlight w:val="none"/>
              </w:rPr>
            </w:pPr>
            <w:r>
              <w:rPr>
                <w:rFonts w:hint="eastAsia"/>
                <w:highlight w:val="none"/>
              </w:rPr>
              <w:t>（1）本项目评审时将查询生成投标文件的硬件信息，如不同投标文件的硬件信息异常一致，相关投标将被认定为投标无效，并报政府采购监督管理部门处理。</w:t>
            </w:r>
          </w:p>
          <w:p w14:paraId="53965A87">
            <w:pPr>
              <w:spacing w:line="384" w:lineRule="auto"/>
              <w:rPr>
                <w:rFonts w:hint="eastAsia"/>
                <w:highlight w:val="none"/>
              </w:rPr>
            </w:pPr>
            <w:r>
              <w:rPr>
                <w:rFonts w:hint="eastAsia"/>
                <w:highlight w:val="none"/>
              </w:rPr>
              <w:t>（2）因电子服务系统或电子交易系统出现软件设计或功能缺陷、运行异常等情况，影响政府采购活动正常进行的，政府采购各方当事人免责。</w:t>
            </w:r>
          </w:p>
          <w:p w14:paraId="42F6AD2B">
            <w:pPr>
              <w:pStyle w:val="3"/>
              <w:spacing w:before="0" w:after="0" w:line="384" w:lineRule="auto"/>
              <w:rPr>
                <w:rFonts w:hint="eastAsia"/>
                <w:highlight w:val="none"/>
              </w:rPr>
            </w:pPr>
            <w:r>
              <w:rPr>
                <w:rFonts w:hint="eastAsia" w:ascii="Times New Roman" w:hAnsi="Times New Roman"/>
                <w:kern w:val="2"/>
                <w:sz w:val="21"/>
                <w:szCs w:val="22"/>
                <w:highlight w:val="none"/>
              </w:rPr>
              <w:t>（3）投标人在“</w:t>
            </w:r>
            <w:r>
              <w:rPr>
                <w:rFonts w:hint="eastAsia" w:ascii="Times New Roman" w:hAnsi="Times New Roman"/>
                <w:kern w:val="2"/>
                <w:sz w:val="21"/>
                <w:szCs w:val="22"/>
                <w:highlight w:val="none"/>
                <w:lang w:eastAsia="zh-CN"/>
              </w:rPr>
              <w:t>安天e采</w:t>
            </w:r>
            <w:r>
              <w:rPr>
                <w:rFonts w:hint="eastAsia" w:ascii="Times New Roman" w:hAnsi="Times New Roman"/>
                <w:kern w:val="2"/>
                <w:sz w:val="21"/>
                <w:szCs w:val="22"/>
                <w:highlight w:val="none"/>
              </w:rPr>
              <w:t>”电子系统中填写诸如“开标记录”等内容后应仔细核对其与投标文件内容的一致性；当“</w:t>
            </w:r>
            <w:r>
              <w:rPr>
                <w:rFonts w:hint="eastAsia" w:ascii="Times New Roman" w:hAnsi="Times New Roman"/>
                <w:kern w:val="2"/>
                <w:sz w:val="21"/>
                <w:szCs w:val="22"/>
                <w:highlight w:val="none"/>
                <w:lang w:eastAsia="zh-CN"/>
              </w:rPr>
              <w:t>安天e采</w:t>
            </w:r>
            <w:r>
              <w:rPr>
                <w:rFonts w:hint="eastAsia" w:ascii="Times New Roman" w:hAnsi="Times New Roman"/>
                <w:kern w:val="2"/>
                <w:sz w:val="21"/>
                <w:szCs w:val="22"/>
                <w:highlight w:val="none"/>
              </w:rPr>
              <w:t>”电子系统中填写内容与电子投标文件中内容不一致时，以系统中提交的投标文件中载明的内容为准。</w:t>
            </w:r>
          </w:p>
        </w:tc>
      </w:tr>
      <w:tr w14:paraId="600E8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vMerge w:val="restart"/>
            <w:noWrap w:val="0"/>
            <w:vAlign w:val="center"/>
          </w:tcPr>
          <w:p w14:paraId="1F5AFEC0">
            <w:pPr>
              <w:widowControl/>
              <w:adjustRightInd w:val="0"/>
              <w:snapToGrid w:val="0"/>
              <w:spacing w:line="384" w:lineRule="auto"/>
              <w:jc w:val="center"/>
              <w:rPr>
                <w:rFonts w:ascii="宋体" w:hAnsi="宋体" w:cs="Calibri"/>
                <w:szCs w:val="21"/>
                <w:highlight w:val="none"/>
              </w:rPr>
            </w:pPr>
            <w:r>
              <w:rPr>
                <w:rFonts w:hint="eastAsia" w:ascii="宋体" w:hAnsi="宋体" w:cs="Calibri"/>
                <w:szCs w:val="21"/>
                <w:highlight w:val="none"/>
              </w:rPr>
              <w:t>12.5</w:t>
            </w:r>
          </w:p>
        </w:tc>
        <w:tc>
          <w:tcPr>
            <w:tcW w:w="931" w:type="pct"/>
            <w:noWrap w:val="0"/>
            <w:vAlign w:val="center"/>
          </w:tcPr>
          <w:p w14:paraId="11BA191A">
            <w:pPr>
              <w:spacing w:line="384" w:lineRule="auto"/>
              <w:jc w:val="center"/>
              <w:rPr>
                <w:rFonts w:hint="eastAsia" w:cs="Calibri"/>
                <w:highlight w:val="none"/>
              </w:rPr>
            </w:pPr>
            <w:r>
              <w:rPr>
                <w:rFonts w:hint="eastAsia" w:cs="Calibri"/>
                <w:highlight w:val="none"/>
              </w:rPr>
              <w:t>评标办法的确定</w:t>
            </w:r>
          </w:p>
        </w:tc>
        <w:tc>
          <w:tcPr>
            <w:tcW w:w="3665" w:type="pct"/>
            <w:noWrap w:val="0"/>
            <w:vAlign w:val="center"/>
          </w:tcPr>
          <w:p w14:paraId="22F0DD3C">
            <w:pPr>
              <w:spacing w:line="384" w:lineRule="auto"/>
              <w:rPr>
                <w:rFonts w:hint="eastAsia"/>
                <w:highlight w:val="none"/>
              </w:rPr>
            </w:pPr>
            <w:r>
              <w:rPr>
                <w:rFonts w:hint="eastAsia"/>
                <w:highlight w:val="none"/>
              </w:rPr>
              <w:t>本项目采用：</w:t>
            </w:r>
            <w:r>
              <w:rPr>
                <w:rFonts w:hint="eastAsia"/>
                <w:b/>
                <w:highlight w:val="none"/>
              </w:rPr>
              <w:t>综合评分法</w:t>
            </w:r>
          </w:p>
        </w:tc>
      </w:tr>
      <w:tr w14:paraId="2F63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vMerge w:val="continue"/>
            <w:noWrap w:val="0"/>
            <w:vAlign w:val="center"/>
          </w:tcPr>
          <w:p w14:paraId="5BE325A3">
            <w:pPr>
              <w:widowControl/>
              <w:adjustRightInd w:val="0"/>
              <w:snapToGrid w:val="0"/>
              <w:spacing w:line="384" w:lineRule="auto"/>
              <w:jc w:val="center"/>
              <w:rPr>
                <w:rFonts w:hint="eastAsia" w:ascii="宋体" w:hAnsi="宋体" w:cs="Calibri"/>
                <w:szCs w:val="21"/>
                <w:highlight w:val="none"/>
              </w:rPr>
            </w:pPr>
          </w:p>
        </w:tc>
        <w:tc>
          <w:tcPr>
            <w:tcW w:w="931" w:type="pct"/>
            <w:noWrap w:val="0"/>
            <w:vAlign w:val="center"/>
          </w:tcPr>
          <w:p w14:paraId="45BE7770">
            <w:pPr>
              <w:spacing w:line="384" w:lineRule="auto"/>
              <w:jc w:val="center"/>
              <w:rPr>
                <w:rFonts w:hint="eastAsia" w:cs="Calibri"/>
                <w:highlight w:val="none"/>
              </w:rPr>
            </w:pPr>
            <w:r>
              <w:rPr>
                <w:rFonts w:hint="eastAsia" w:cs="Calibri"/>
                <w:highlight w:val="none"/>
              </w:rPr>
              <w:t>政府采购监管部门</w:t>
            </w:r>
          </w:p>
        </w:tc>
        <w:tc>
          <w:tcPr>
            <w:tcW w:w="3665" w:type="pct"/>
            <w:noWrap w:val="0"/>
            <w:vAlign w:val="center"/>
          </w:tcPr>
          <w:p w14:paraId="1175B154">
            <w:pPr>
              <w:spacing w:line="384" w:lineRule="auto"/>
              <w:rPr>
                <w:rFonts w:hint="eastAsia"/>
                <w:highlight w:val="none"/>
              </w:rPr>
            </w:pPr>
            <w:r>
              <w:rPr>
                <w:rFonts w:hint="eastAsia"/>
                <w:highlight w:val="none"/>
              </w:rPr>
              <w:t>本项目的监管部门是：安徽省财政厅</w:t>
            </w:r>
          </w:p>
        </w:tc>
      </w:tr>
      <w:tr w14:paraId="4592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402" w:type="pct"/>
            <w:vMerge w:val="continue"/>
            <w:noWrap w:val="0"/>
            <w:vAlign w:val="center"/>
          </w:tcPr>
          <w:p w14:paraId="05F51A65">
            <w:pPr>
              <w:widowControl/>
              <w:adjustRightInd w:val="0"/>
              <w:snapToGrid w:val="0"/>
              <w:spacing w:line="384" w:lineRule="auto"/>
              <w:jc w:val="center"/>
              <w:rPr>
                <w:rFonts w:hint="eastAsia" w:ascii="宋体" w:hAnsi="宋体" w:cs="Calibri"/>
                <w:szCs w:val="21"/>
                <w:highlight w:val="none"/>
              </w:rPr>
            </w:pPr>
          </w:p>
        </w:tc>
        <w:tc>
          <w:tcPr>
            <w:tcW w:w="931" w:type="pct"/>
            <w:noWrap w:val="0"/>
            <w:vAlign w:val="center"/>
          </w:tcPr>
          <w:p w14:paraId="6C06AFAD">
            <w:pPr>
              <w:widowControl/>
              <w:adjustRightInd w:val="0"/>
              <w:snapToGrid w:val="0"/>
              <w:spacing w:line="384"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其他内容</w:t>
            </w:r>
          </w:p>
        </w:tc>
        <w:tc>
          <w:tcPr>
            <w:tcW w:w="3665" w:type="pct"/>
            <w:noWrap w:val="0"/>
            <w:vAlign w:val="center"/>
          </w:tcPr>
          <w:p w14:paraId="48B060BC">
            <w:pPr>
              <w:widowControl/>
              <w:adjustRightInd w:val="0"/>
              <w:snapToGrid w:val="0"/>
              <w:spacing w:line="38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政采贷”融资指引：有融资需求的中标人在取得政府采购中标或成交通知书后，可访问安徽省政府采购网“政采贷”栏目，查看和联系第三方平台或者金融机构，商洽融资事项，确定融资意向。中标人签署政府采购中标（成交）合同后，登录“徽采云”金融服务模块，选择意向产品进行申请，并填写相关信息，“徽采云”金融服务模块将中标人融资申请信息推送第三方平台、意向金融机构。</w:t>
            </w:r>
          </w:p>
          <w:p w14:paraId="78FF0C1D">
            <w:pPr>
              <w:widowControl/>
              <w:adjustRightInd w:val="0"/>
              <w:snapToGrid w:val="0"/>
              <w:spacing w:line="38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2.电子保函指引：中标人可访问安徽省政府采购网“融资/保函”栏目，申请办理电子保函（包括：履约保函、预付款保函）。</w:t>
            </w:r>
          </w:p>
          <w:p w14:paraId="71DB4AB5">
            <w:pPr>
              <w:adjustRightInd w:val="0"/>
              <w:snapToGrid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4、</w:t>
            </w:r>
            <w:r>
              <w:rPr>
                <w:rFonts w:hint="eastAsia" w:ascii="宋体" w:hAnsi="宋体" w:eastAsia="宋体" w:cs="宋体"/>
                <w:b w:val="0"/>
                <w:bCs/>
                <w:color w:val="000000"/>
                <w:sz w:val="21"/>
                <w:szCs w:val="21"/>
                <w:highlight w:val="none"/>
                <w:lang w:eastAsia="zh-TW"/>
              </w:rPr>
              <w:t>根据</w:t>
            </w:r>
            <w:r>
              <w:rPr>
                <w:rFonts w:hint="eastAsia" w:ascii="宋体" w:hAnsi="宋体" w:eastAsia="宋体" w:cs="宋体"/>
                <w:b w:val="0"/>
                <w:bCs/>
                <w:color w:val="000000"/>
                <w:sz w:val="21"/>
                <w:szCs w:val="21"/>
                <w:highlight w:val="none"/>
              </w:rPr>
              <w:t>国家工业和信息化部等部门发布的工信部联重装【2023】127号文及安徽省人民政府发布的皖政秘【2023】243号文要求，</w:t>
            </w:r>
            <w:r>
              <w:rPr>
                <w:rFonts w:hint="eastAsia" w:ascii="宋体" w:hAnsi="宋体" w:eastAsia="宋体" w:cs="宋体"/>
                <w:b w:val="0"/>
                <w:bCs/>
                <w:color w:val="000000"/>
                <w:sz w:val="21"/>
                <w:szCs w:val="21"/>
                <w:highlight w:val="none"/>
                <w:lang w:eastAsia="zh-TW"/>
              </w:rPr>
              <w:t>鼓励和支持制造业自主创新和高质量发展，“三首”产品</w:t>
            </w:r>
            <w:r>
              <w:rPr>
                <w:rFonts w:hint="eastAsia" w:ascii="宋体" w:hAnsi="宋体" w:eastAsia="宋体" w:cs="宋体"/>
                <w:b w:val="0"/>
                <w:bCs/>
                <w:color w:val="000000"/>
                <w:sz w:val="21"/>
                <w:szCs w:val="21"/>
                <w:highlight w:val="none"/>
              </w:rPr>
              <w:t>（系指首台套重大技术装备、首批次新材料、首版次软件，简称为</w:t>
            </w:r>
            <w:r>
              <w:rPr>
                <w:rFonts w:hint="eastAsia" w:ascii="宋体" w:hAnsi="宋体" w:eastAsia="宋体" w:cs="宋体"/>
                <w:b w:val="0"/>
                <w:bCs/>
                <w:color w:val="000000"/>
                <w:sz w:val="21"/>
                <w:szCs w:val="21"/>
                <w:highlight w:val="none"/>
                <w:lang w:eastAsia="zh-TW"/>
              </w:rPr>
              <w:t>“三首”产品</w:t>
            </w:r>
            <w:r>
              <w:rPr>
                <w:rFonts w:hint="eastAsia" w:ascii="宋体" w:hAnsi="宋体" w:eastAsia="宋体" w:cs="宋体"/>
                <w:b w:val="0"/>
                <w:bCs/>
                <w:color w:val="000000"/>
                <w:sz w:val="21"/>
                <w:szCs w:val="21"/>
                <w:highlight w:val="none"/>
              </w:rPr>
              <w:t>）</w:t>
            </w:r>
            <w:r>
              <w:rPr>
                <w:rFonts w:hint="eastAsia" w:ascii="宋体" w:hAnsi="宋体" w:eastAsia="宋体" w:cs="宋体"/>
                <w:b w:val="0"/>
                <w:bCs/>
                <w:color w:val="000000"/>
                <w:sz w:val="21"/>
                <w:szCs w:val="21"/>
                <w:highlight w:val="none"/>
                <w:lang w:eastAsia="zh-TW"/>
              </w:rPr>
              <w:t>企业参加招投标活动的，视同满足招标文件中同类产品的业绩要求，符合要求的投标人应当在投标文件中提供主管部门出具的相关</w:t>
            </w:r>
            <w:r>
              <w:rPr>
                <w:rFonts w:hint="eastAsia" w:ascii="宋体" w:hAnsi="宋体" w:eastAsia="宋体" w:cs="宋体"/>
                <w:b w:val="0"/>
                <w:bCs/>
                <w:color w:val="000000"/>
                <w:sz w:val="21"/>
                <w:szCs w:val="21"/>
                <w:highlight w:val="none"/>
              </w:rPr>
              <w:t>有效</w:t>
            </w:r>
            <w:r>
              <w:rPr>
                <w:rFonts w:hint="eastAsia" w:ascii="宋体" w:hAnsi="宋体" w:eastAsia="宋体" w:cs="宋体"/>
                <w:b w:val="0"/>
                <w:bCs/>
                <w:color w:val="000000"/>
                <w:sz w:val="21"/>
                <w:szCs w:val="21"/>
                <w:highlight w:val="none"/>
                <w:lang w:eastAsia="zh-TW"/>
              </w:rPr>
              <w:t>证明材料（如“三首”产品名单公示截图</w:t>
            </w:r>
            <w:r>
              <w:rPr>
                <w:rFonts w:hint="eastAsia" w:ascii="宋体" w:hAnsi="宋体" w:eastAsia="宋体" w:cs="宋体"/>
                <w:b w:val="0"/>
                <w:bCs/>
                <w:color w:val="000000"/>
                <w:sz w:val="21"/>
                <w:szCs w:val="21"/>
                <w:highlight w:val="none"/>
              </w:rPr>
              <w:t>且体现正式公布日期</w:t>
            </w:r>
            <w:r>
              <w:rPr>
                <w:rFonts w:hint="eastAsia" w:ascii="宋体" w:hAnsi="宋体" w:eastAsia="宋体" w:cs="宋体"/>
                <w:b w:val="0"/>
                <w:bCs/>
                <w:color w:val="000000"/>
                <w:sz w:val="21"/>
                <w:szCs w:val="21"/>
                <w:highlight w:val="none"/>
                <w:lang w:eastAsia="zh-TW"/>
              </w:rPr>
              <w:t>），并对其真实性负责</w:t>
            </w:r>
            <w:r>
              <w:rPr>
                <w:rFonts w:hint="eastAsia" w:ascii="宋体" w:hAnsi="宋体" w:eastAsia="宋体" w:cs="宋体"/>
                <w:b w:val="0"/>
                <w:bCs/>
                <w:color w:val="000000"/>
                <w:sz w:val="21"/>
                <w:szCs w:val="21"/>
                <w:highlight w:val="none"/>
              </w:rPr>
              <w:t>。</w:t>
            </w:r>
          </w:p>
          <w:p w14:paraId="49377C31">
            <w:pPr>
              <w:widowControl/>
              <w:adjustRightInd w:val="0"/>
              <w:snapToGrid w:val="0"/>
              <w:spacing w:line="384" w:lineRule="auto"/>
              <w:rPr>
                <w:rFonts w:hint="eastAsia" w:ascii="宋体" w:hAnsi="宋体" w:eastAsia="宋体" w:cs="宋体"/>
                <w:sz w:val="21"/>
                <w:szCs w:val="21"/>
                <w:highlight w:val="none"/>
              </w:rPr>
            </w:pPr>
            <w:r>
              <w:rPr>
                <w:rFonts w:hint="eastAsia" w:ascii="宋体" w:hAnsi="宋体" w:eastAsia="宋体" w:cs="宋体"/>
                <w:b w:val="0"/>
                <w:bCs/>
                <w:sz w:val="21"/>
                <w:szCs w:val="21"/>
                <w:highlight w:val="none"/>
              </w:rPr>
              <w:t>5、</w:t>
            </w:r>
            <w:r>
              <w:rPr>
                <w:rFonts w:hint="eastAsia" w:ascii="宋体" w:hAnsi="宋体" w:eastAsia="宋体" w:cs="宋体"/>
                <w:b w:val="0"/>
                <w:bCs/>
                <w:color w:val="000000"/>
                <w:sz w:val="21"/>
                <w:szCs w:val="21"/>
                <w:highlight w:val="none"/>
              </w:rPr>
              <w:t>如投标人在填写中小企业声明函时，填写了从业人员、营业收入和资产总额的内容，但属于企业类型（即中型企业、小型企业、微型企业）填写错误（仅此处填写错误，不作为否决其投标文件的依据），则评标委员会按照投标人所填写的从业人员、营业收入和资产总额的内容对应正确的企业类型进行评审。</w:t>
            </w:r>
          </w:p>
        </w:tc>
      </w:tr>
      <w:tr w14:paraId="3AF12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53" w:hRule="atLeast"/>
        </w:trPr>
        <w:tc>
          <w:tcPr>
            <w:tcW w:w="402" w:type="pct"/>
            <w:vMerge w:val="continue"/>
            <w:noWrap w:val="0"/>
            <w:vAlign w:val="center"/>
          </w:tcPr>
          <w:p w14:paraId="431CB385">
            <w:pPr>
              <w:widowControl/>
              <w:adjustRightInd w:val="0"/>
              <w:snapToGrid w:val="0"/>
              <w:spacing w:line="384" w:lineRule="auto"/>
              <w:jc w:val="center"/>
              <w:rPr>
                <w:rFonts w:hint="eastAsia" w:ascii="宋体" w:hAnsi="宋体" w:cs="Calibri"/>
                <w:szCs w:val="21"/>
                <w:highlight w:val="none"/>
              </w:rPr>
            </w:pPr>
          </w:p>
        </w:tc>
        <w:tc>
          <w:tcPr>
            <w:tcW w:w="931" w:type="pct"/>
            <w:noWrap w:val="0"/>
            <w:vAlign w:val="center"/>
          </w:tcPr>
          <w:p w14:paraId="530E11F3">
            <w:pPr>
              <w:widowControl/>
              <w:adjustRightInd w:val="0"/>
              <w:snapToGrid w:val="0"/>
              <w:spacing w:line="384" w:lineRule="auto"/>
              <w:jc w:val="center"/>
              <w:rPr>
                <w:rFonts w:hint="eastAsia" w:cs="Calibri"/>
                <w:b w:val="0"/>
                <w:bCs w:val="0"/>
                <w:color w:val="auto"/>
                <w:highlight w:val="none"/>
              </w:rPr>
            </w:pPr>
            <w:r>
              <w:rPr>
                <w:rFonts w:hint="eastAsia" w:cs="Calibri"/>
                <w:b w:val="0"/>
                <w:bCs w:val="0"/>
                <w:color w:val="auto"/>
                <w:highlight w:val="none"/>
              </w:rPr>
              <w:t>提示</w:t>
            </w:r>
          </w:p>
        </w:tc>
        <w:tc>
          <w:tcPr>
            <w:tcW w:w="3665" w:type="pct"/>
            <w:noWrap w:val="0"/>
            <w:vAlign w:val="center"/>
          </w:tcPr>
          <w:p w14:paraId="06656D75">
            <w:pPr>
              <w:widowControl/>
              <w:adjustRightInd w:val="0"/>
              <w:snapToGrid w:val="0"/>
              <w:spacing w:line="384" w:lineRule="auto"/>
              <w:rPr>
                <w:b w:val="0"/>
                <w:bCs w:val="0"/>
                <w:color w:val="auto"/>
                <w:highlight w:val="none"/>
              </w:rPr>
            </w:pPr>
            <w:r>
              <w:rPr>
                <w:b w:val="0"/>
                <w:bCs w:val="0"/>
                <w:color w:val="auto"/>
                <w:highlight w:val="none"/>
              </w:rPr>
              <w:t>请各</w:t>
            </w:r>
            <w:r>
              <w:rPr>
                <w:rFonts w:hint="eastAsia"/>
                <w:b w:val="0"/>
                <w:bCs w:val="0"/>
                <w:color w:val="auto"/>
                <w:highlight w:val="none"/>
              </w:rPr>
              <w:t>投标</w:t>
            </w:r>
            <w:r>
              <w:rPr>
                <w:b w:val="0"/>
                <w:bCs w:val="0"/>
                <w:color w:val="auto"/>
                <w:highlight w:val="none"/>
              </w:rPr>
              <w:t>供应商及时进行“徽采云”平台注册，完成正式入库，未完成正式入库的</w:t>
            </w:r>
            <w:r>
              <w:rPr>
                <w:rFonts w:hint="eastAsia"/>
                <w:b w:val="0"/>
                <w:bCs w:val="0"/>
                <w:color w:val="auto"/>
                <w:highlight w:val="none"/>
              </w:rPr>
              <w:t>投标</w:t>
            </w:r>
            <w:r>
              <w:rPr>
                <w:b w:val="0"/>
                <w:bCs w:val="0"/>
                <w:color w:val="auto"/>
                <w:highlight w:val="none"/>
              </w:rPr>
              <w:t>供应商中标后将影响采购人进行合同备案，无法顺利完成合同执行、付款。相关操作流程详见“徽采云”-徽采学院-供应商注册与配置。</w:t>
            </w:r>
          </w:p>
        </w:tc>
      </w:tr>
      <w:bookmarkEnd w:id="50"/>
      <w:bookmarkEnd w:id="51"/>
      <w:bookmarkEnd w:id="52"/>
    </w:tbl>
    <w:p w14:paraId="29EA518A">
      <w:pPr>
        <w:widowControl/>
        <w:rPr>
          <w:rStyle w:val="30"/>
          <w:rFonts w:ascii="宋体" w:hAnsi="宋体" w:eastAsia="宋体"/>
          <w:bCs w:val="0"/>
          <w:sz w:val="24"/>
          <w:szCs w:val="24"/>
        </w:rPr>
        <w:sectPr>
          <w:headerReference r:id="rId7" w:type="default"/>
          <w:footerReference r:id="rId8" w:type="default"/>
          <w:footnotePr>
            <w:numFmt w:val="decimalEnclosedCircleChinese"/>
            <w:numRestart w:val="eachPage"/>
          </w:footnotePr>
          <w:pgSz w:w="11906" w:h="16838"/>
          <w:pgMar w:top="1134" w:right="1134" w:bottom="1134" w:left="1134" w:header="851" w:footer="851" w:gutter="0"/>
          <w:pgNumType w:fmt="decimal" w:start="1"/>
          <w:cols w:space="720" w:num="1"/>
          <w:docGrid w:linePitch="312" w:charSpace="0"/>
        </w:sectPr>
      </w:pPr>
    </w:p>
    <w:p w14:paraId="542D44BD">
      <w:pPr>
        <w:pStyle w:val="3"/>
        <w:spacing w:before="120" w:after="120" w:line="240" w:lineRule="auto"/>
        <w:jc w:val="center"/>
        <w:rPr>
          <w:rStyle w:val="30"/>
          <w:rFonts w:ascii="宋体" w:hAnsi="宋体" w:eastAsia="宋体"/>
          <w:b w:val="0"/>
          <w:bCs w:val="0"/>
          <w:sz w:val="30"/>
          <w:szCs w:val="30"/>
        </w:rPr>
      </w:pPr>
      <w:bookmarkStart w:id="98" w:name="_Toc19124"/>
      <w:bookmarkStart w:id="99" w:name="_Toc25880"/>
      <w:bookmarkStart w:id="100" w:name="_Toc3295844"/>
      <w:bookmarkStart w:id="101" w:name="_Toc23425"/>
      <w:bookmarkStart w:id="102" w:name="_Toc3215794"/>
      <w:bookmarkStart w:id="103" w:name="_Toc29821"/>
      <w:bookmarkStart w:id="104" w:name="_Toc13777"/>
      <w:bookmarkStart w:id="105" w:name="_Toc455587032"/>
      <w:bookmarkStart w:id="106" w:name="_Toc445554688"/>
      <w:bookmarkStart w:id="107" w:name="_Toc342296161"/>
      <w:bookmarkStart w:id="108" w:name="_Toc342297618"/>
      <w:bookmarkStart w:id="109" w:name="_Toc342294713"/>
      <w:bookmarkStart w:id="110" w:name="_Toc458504818"/>
      <w:bookmarkStart w:id="111" w:name="_Toc338944604"/>
      <w:bookmarkStart w:id="112" w:name="_Toc179632546"/>
      <w:bookmarkStart w:id="113" w:name="_Toc338943699"/>
      <w:bookmarkStart w:id="114" w:name="_Toc371415920"/>
      <w:bookmarkStart w:id="115" w:name="_Toc152045529"/>
      <w:bookmarkStart w:id="116" w:name="_Toc333600682"/>
      <w:bookmarkStart w:id="117" w:name="_Toc455587216"/>
      <w:bookmarkStart w:id="118" w:name="_Toc144974497"/>
      <w:bookmarkStart w:id="119" w:name="_Toc333599658"/>
      <w:bookmarkStart w:id="120" w:name="_Toc152042305"/>
      <w:bookmarkStart w:id="121" w:name="_Toc466024500"/>
      <w:r>
        <w:rPr>
          <w:rStyle w:val="30"/>
          <w:rFonts w:hint="eastAsia" w:ascii="宋体" w:hAnsi="宋体" w:eastAsia="宋体"/>
          <w:b w:val="0"/>
          <w:bCs w:val="0"/>
          <w:sz w:val="30"/>
          <w:szCs w:val="30"/>
        </w:rPr>
        <w:t xml:space="preserve">二、 </w:t>
      </w:r>
      <w:r>
        <w:rPr>
          <w:rStyle w:val="30"/>
          <w:rFonts w:ascii="宋体" w:hAnsi="宋体" w:eastAsia="宋体"/>
          <w:b w:val="0"/>
          <w:bCs w:val="0"/>
          <w:sz w:val="30"/>
          <w:szCs w:val="30"/>
        </w:rPr>
        <w:t>投标供应商须知</w:t>
      </w:r>
      <w:bookmarkEnd w:id="98"/>
      <w:bookmarkEnd w:id="99"/>
      <w:bookmarkEnd w:id="100"/>
      <w:bookmarkEnd w:id="101"/>
      <w:bookmarkEnd w:id="102"/>
      <w:bookmarkEnd w:id="103"/>
      <w:bookmarkEnd w:id="104"/>
    </w:p>
    <w:p w14:paraId="3A01C91E">
      <w:pPr>
        <w:widowControl/>
        <w:adjustRightInd w:val="0"/>
        <w:snapToGrid w:val="0"/>
        <w:spacing w:before="124" w:beforeLines="40" w:after="124" w:afterLines="40" w:line="400" w:lineRule="exact"/>
        <w:ind w:firstLine="420" w:firstLineChars="200"/>
        <w:rPr>
          <w:rFonts w:hint="eastAsia" w:ascii="宋体" w:hAnsi="宋体"/>
          <w:szCs w:val="21"/>
        </w:rPr>
      </w:pPr>
      <w:bookmarkStart w:id="122" w:name="_Toc3219775"/>
      <w:bookmarkStart w:id="123" w:name="_Toc3295845"/>
      <w:bookmarkStart w:id="124" w:name="_Toc3215795"/>
      <w:bookmarkStart w:id="125" w:name="_Toc2176143"/>
      <w:r>
        <w:rPr>
          <w:rFonts w:hint="eastAsia" w:ascii="宋体" w:hAnsi="宋体"/>
          <w:szCs w:val="21"/>
        </w:rPr>
        <w:t>注：如投标供应商须知前附表与本部分对同一内容的规定不一致，以投标供应商须知前附表的规定为准。</w:t>
      </w:r>
      <w:bookmarkEnd w:id="122"/>
      <w:bookmarkEnd w:id="123"/>
      <w:bookmarkEnd w:id="124"/>
    </w:p>
    <w:p w14:paraId="0E57752D">
      <w:pPr>
        <w:pStyle w:val="3"/>
        <w:spacing w:before="0" w:after="0" w:line="432" w:lineRule="auto"/>
        <w:rPr>
          <w:rStyle w:val="30"/>
          <w:rFonts w:ascii="宋体" w:hAnsi="宋体" w:eastAsia="宋体"/>
          <w:b/>
          <w:bCs/>
        </w:rPr>
      </w:pPr>
      <w:bookmarkStart w:id="126" w:name="_Toc21576"/>
      <w:bookmarkStart w:id="127" w:name="_Toc3215796"/>
      <w:bookmarkStart w:id="128" w:name="_Toc10390"/>
      <w:bookmarkStart w:id="129" w:name="_Toc316"/>
      <w:bookmarkStart w:id="130" w:name="_Toc3295846"/>
      <w:r>
        <w:rPr>
          <w:rStyle w:val="30"/>
          <w:rFonts w:hint="eastAsia" w:ascii="黑体" w:hAnsi="黑体"/>
          <w:b/>
          <w:bCs/>
        </w:rPr>
        <w:t>1</w:t>
      </w:r>
      <w:r>
        <w:rPr>
          <w:rStyle w:val="30"/>
          <w:rFonts w:hint="eastAsia" w:ascii="宋体" w:hAnsi="宋体" w:eastAsia="宋体"/>
          <w:b/>
          <w:bCs/>
        </w:rPr>
        <w:t xml:space="preserve">. </w:t>
      </w:r>
      <w:r>
        <w:rPr>
          <w:rStyle w:val="30"/>
          <w:rFonts w:hint="eastAsia" w:ascii="黑体" w:hAnsi="黑体"/>
          <w:b/>
          <w:bCs/>
        </w:rPr>
        <w:t>总则</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5"/>
      <w:bookmarkEnd w:id="126"/>
      <w:bookmarkEnd w:id="127"/>
      <w:bookmarkEnd w:id="128"/>
      <w:bookmarkEnd w:id="129"/>
      <w:bookmarkEnd w:id="130"/>
    </w:p>
    <w:p w14:paraId="16F9EE26">
      <w:pPr>
        <w:pStyle w:val="4"/>
        <w:spacing w:before="0" w:after="0" w:line="432" w:lineRule="auto"/>
        <w:ind w:firstLine="280" w:firstLineChars="100"/>
        <w:rPr>
          <w:rFonts w:ascii="黑体" w:hAnsi="黑体" w:eastAsia="黑体"/>
          <w:b w:val="0"/>
          <w:sz w:val="28"/>
          <w:szCs w:val="28"/>
        </w:rPr>
      </w:pPr>
      <w:bookmarkStart w:id="131" w:name="_Toc333600683"/>
      <w:bookmarkStart w:id="132" w:name="_Toc455587033"/>
      <w:bookmarkStart w:id="133" w:name="_Toc2176144"/>
      <w:bookmarkStart w:id="134" w:name="_Toc342296162"/>
      <w:bookmarkStart w:id="135" w:name="_Toc338943700"/>
      <w:bookmarkStart w:id="136" w:name="_Toc333587853"/>
      <w:bookmarkStart w:id="137" w:name="_Toc179632547"/>
      <w:bookmarkStart w:id="138" w:name="_Toc3295847"/>
      <w:bookmarkStart w:id="139" w:name="_Toc338944605"/>
      <w:bookmarkStart w:id="140" w:name="_Toc333599659"/>
      <w:bookmarkStart w:id="141" w:name="_Toc3219777"/>
      <w:bookmarkStart w:id="142" w:name="_Toc3215797"/>
      <w:bookmarkStart w:id="143" w:name="_Toc466024501"/>
      <w:bookmarkStart w:id="144" w:name="_Toc342297619"/>
      <w:bookmarkStart w:id="145" w:name="_Toc371415921"/>
      <w:bookmarkStart w:id="146" w:name="_Toc342294714"/>
      <w:bookmarkStart w:id="147" w:name="_Toc144974498"/>
      <w:bookmarkStart w:id="148" w:name="_Toc152045530"/>
      <w:bookmarkStart w:id="149" w:name="_Toc455587217"/>
      <w:bookmarkStart w:id="150" w:name="_Toc152042306"/>
      <w:bookmarkStart w:id="151" w:name="_Toc445554689"/>
      <w:bookmarkStart w:id="152" w:name="_Toc458504819"/>
      <w:r>
        <w:rPr>
          <w:rFonts w:ascii="黑体" w:hAnsi="黑体" w:eastAsia="黑体"/>
          <w:b w:val="0"/>
          <w:sz w:val="28"/>
          <w:szCs w:val="28"/>
        </w:rPr>
        <w:t>1</w:t>
      </w:r>
      <w:r>
        <w:rPr>
          <w:rFonts w:hint="eastAsia" w:ascii="黑体" w:hAnsi="黑体" w:eastAsia="黑体"/>
          <w:b w:val="0"/>
          <w:sz w:val="28"/>
          <w:szCs w:val="28"/>
        </w:rPr>
        <w:t>.1 项目概况</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5F7F6246">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1.1.1 根据《中华人民共和国政府采购法》《中华人民共和国政府采购法实施条例》《政府采购货物和服务招标投标管理办法》等有关</w:t>
      </w:r>
      <w:r>
        <w:rPr>
          <w:rFonts w:hint="eastAsia" w:ascii="宋体" w:hAnsi="宋体"/>
          <w:szCs w:val="21"/>
          <w:lang w:eastAsia="zh-CN"/>
        </w:rPr>
        <w:t>法律法规</w:t>
      </w:r>
      <w:r>
        <w:rPr>
          <w:rFonts w:hint="eastAsia" w:ascii="宋体" w:hAnsi="宋体"/>
          <w:szCs w:val="21"/>
        </w:rPr>
        <w:t>和规章的规定，本项目已具备政府采购条件，现以招标方式进行政府采购。</w:t>
      </w:r>
    </w:p>
    <w:p w14:paraId="59543204">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1.1.2 采购人：见招标公告/投标邀请。</w:t>
      </w:r>
    </w:p>
    <w:p w14:paraId="2EE4C02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1.1.3 采购代理机构：见招标公告/投标邀请。</w:t>
      </w:r>
    </w:p>
    <w:p w14:paraId="5BDA15B5">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1.1.4 采购项目名称：见招标公告/投标邀请。</w:t>
      </w:r>
    </w:p>
    <w:p w14:paraId="43D021F7">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1.1.5 包别划分：见投标供应商须知前附表。</w:t>
      </w:r>
    </w:p>
    <w:p w14:paraId="1E90328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1.1.6 采购预算：见招标公告/投标邀请。</w:t>
      </w:r>
    </w:p>
    <w:p w14:paraId="3244E472">
      <w:pPr>
        <w:pStyle w:val="4"/>
        <w:adjustRightInd w:val="0"/>
        <w:spacing w:before="0" w:after="0" w:line="432" w:lineRule="auto"/>
        <w:ind w:firstLine="280" w:firstLineChars="100"/>
        <w:jc w:val="left"/>
        <w:rPr>
          <w:rFonts w:hint="eastAsia" w:ascii="黑体" w:hAnsi="黑体" w:eastAsia="黑体"/>
          <w:b w:val="0"/>
          <w:sz w:val="28"/>
          <w:szCs w:val="28"/>
        </w:rPr>
      </w:pPr>
      <w:bookmarkStart w:id="153" w:name="_Toc3295848"/>
      <w:bookmarkStart w:id="154" w:name="_Toc3219778"/>
      <w:bookmarkStart w:id="155" w:name="_Toc3215798"/>
      <w:bookmarkStart w:id="156" w:name="_Toc2176145"/>
      <w:bookmarkStart w:id="157" w:name="_Toc466024502"/>
      <w:bookmarkStart w:id="158" w:name="_Toc455587034"/>
      <w:bookmarkStart w:id="159" w:name="_Toc455587218"/>
      <w:bookmarkStart w:id="160" w:name="_Toc458504820"/>
      <w:bookmarkStart w:id="161" w:name="_Toc445554690"/>
      <w:r>
        <w:rPr>
          <w:rFonts w:hint="eastAsia" w:ascii="黑体" w:hAnsi="黑体" w:eastAsia="黑体"/>
          <w:b w:val="0"/>
          <w:sz w:val="28"/>
          <w:szCs w:val="28"/>
        </w:rPr>
        <w:t>1.2 资金来源</w:t>
      </w:r>
      <w:bookmarkEnd w:id="153"/>
      <w:bookmarkEnd w:id="154"/>
      <w:bookmarkEnd w:id="155"/>
      <w:bookmarkEnd w:id="156"/>
    </w:p>
    <w:p w14:paraId="4FF38CE1">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1.2.1 资金来源：见投标供应商须知前附表。</w:t>
      </w:r>
    </w:p>
    <w:p w14:paraId="2D6140E0">
      <w:pPr>
        <w:pStyle w:val="4"/>
        <w:adjustRightInd w:val="0"/>
        <w:spacing w:before="0" w:after="0" w:line="432" w:lineRule="auto"/>
        <w:ind w:firstLine="280" w:firstLineChars="100"/>
        <w:jc w:val="left"/>
        <w:rPr>
          <w:rFonts w:ascii="黑体" w:hAnsi="黑体" w:eastAsia="黑体"/>
          <w:b w:val="0"/>
          <w:sz w:val="28"/>
          <w:szCs w:val="28"/>
        </w:rPr>
      </w:pPr>
      <w:bookmarkStart w:id="162" w:name="_Toc2176146"/>
      <w:bookmarkStart w:id="163" w:name="_Toc3295849"/>
      <w:bookmarkStart w:id="164" w:name="_Toc3219779"/>
      <w:bookmarkStart w:id="165" w:name="_Toc3215799"/>
      <w:r>
        <w:rPr>
          <w:rFonts w:hint="eastAsia" w:ascii="黑体" w:hAnsi="黑体" w:eastAsia="黑体"/>
          <w:b w:val="0"/>
          <w:sz w:val="28"/>
          <w:szCs w:val="28"/>
        </w:rPr>
        <w:t>1.3 采购需求、交货地点、供货安装期限和质量要求</w:t>
      </w:r>
      <w:bookmarkEnd w:id="157"/>
      <w:bookmarkEnd w:id="158"/>
      <w:bookmarkEnd w:id="159"/>
      <w:bookmarkEnd w:id="160"/>
      <w:bookmarkEnd w:id="161"/>
      <w:bookmarkEnd w:id="162"/>
      <w:bookmarkEnd w:id="163"/>
      <w:bookmarkEnd w:id="164"/>
      <w:bookmarkEnd w:id="165"/>
    </w:p>
    <w:p w14:paraId="57A3CEC5">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1.3.1 采购需求：见招标公告/投标邀请。</w:t>
      </w:r>
    </w:p>
    <w:p w14:paraId="471C2759">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1.3.2 进口产品采购：见投标供应商须知前附表。</w:t>
      </w:r>
    </w:p>
    <w:p w14:paraId="4F66C13D">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1.3.3 供货及安装期限：见投标供应商须知前附表。</w:t>
      </w:r>
    </w:p>
    <w:p w14:paraId="6A3487D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1.3.4 供货及安装地点：见投标供应商须知前附表。</w:t>
      </w:r>
    </w:p>
    <w:p w14:paraId="30A0A9D9">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1.3.5 质量要求：见投标供应商须知前附表。</w:t>
      </w:r>
    </w:p>
    <w:p w14:paraId="70D5A254">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1.3.6 免费质保期：见投标供应商须知前附表。</w:t>
      </w:r>
    </w:p>
    <w:p w14:paraId="6A2472DF">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1.3.7 付款方式：见投标供应商须知前附表。</w:t>
      </w:r>
    </w:p>
    <w:p w14:paraId="2B25F41C">
      <w:pPr>
        <w:pStyle w:val="4"/>
        <w:adjustRightInd w:val="0"/>
        <w:spacing w:before="0" w:after="0" w:line="432" w:lineRule="auto"/>
        <w:ind w:firstLine="280" w:firstLineChars="100"/>
        <w:jc w:val="left"/>
        <w:rPr>
          <w:rFonts w:ascii="黑体" w:hAnsi="黑体" w:eastAsia="黑体"/>
          <w:b w:val="0"/>
          <w:sz w:val="28"/>
          <w:szCs w:val="28"/>
        </w:rPr>
      </w:pPr>
      <w:bookmarkStart w:id="166" w:name="_Toc152042310"/>
      <w:bookmarkStart w:id="167" w:name="_Toc466024503"/>
      <w:bookmarkStart w:id="168" w:name="_Toc338944609"/>
      <w:bookmarkStart w:id="169" w:name="_Toc445554692"/>
      <w:bookmarkStart w:id="170" w:name="_Toc333599663"/>
      <w:bookmarkStart w:id="171" w:name="_Toc3219780"/>
      <w:bookmarkStart w:id="172" w:name="_Toc3215800"/>
      <w:bookmarkStart w:id="173" w:name="_Toc338943704"/>
      <w:bookmarkStart w:id="174" w:name="_Toc2176147"/>
      <w:bookmarkStart w:id="175" w:name="_Toc455587035"/>
      <w:bookmarkStart w:id="176" w:name="_Toc342294718"/>
      <w:bookmarkStart w:id="177" w:name="_Toc342297623"/>
      <w:bookmarkStart w:id="178" w:name="_Toc144974502"/>
      <w:bookmarkStart w:id="179" w:name="_Toc152045534"/>
      <w:bookmarkStart w:id="180" w:name="_Toc3295850"/>
      <w:bookmarkStart w:id="181" w:name="_Toc333587857"/>
      <w:bookmarkStart w:id="182" w:name="_Toc342296166"/>
      <w:bookmarkStart w:id="183" w:name="_Toc179632551"/>
      <w:bookmarkStart w:id="184" w:name="_Toc333600687"/>
      <w:bookmarkStart w:id="185" w:name="_Toc458504821"/>
      <w:bookmarkStart w:id="186" w:name="_Toc455587219"/>
      <w:bookmarkStart w:id="187" w:name="_Toc371415924"/>
      <w:r>
        <w:rPr>
          <w:rFonts w:hint="eastAsia" w:ascii="黑体" w:hAnsi="黑体" w:eastAsia="黑体"/>
          <w:b w:val="0"/>
          <w:sz w:val="28"/>
          <w:szCs w:val="28"/>
        </w:rPr>
        <w:t>1.4 投标供应商资格要求</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39A28F39">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1.4.1 投标供应商应具备承担本采购项目的资质条件、能力和信誉：见招标公告/投标邀请。</w:t>
      </w:r>
    </w:p>
    <w:p w14:paraId="01EBA2AA">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1.4.2 投标供应商须知前附表规定接受联合体投标的，除应符合本章第1.4.1项和投标供应商须知前附表的要求外，还应遵守以下规定：</w:t>
      </w:r>
    </w:p>
    <w:p w14:paraId="175C3E8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（1）联合体各方应按招标文件提供的格式签订联合体协议书，明确联合体牵头人和各方权利义务，并承诺就成交项目向采购人承担连带责任；</w:t>
      </w:r>
    </w:p>
    <w:p w14:paraId="5010355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（2）由同一专业的单位组成的联合体，按照资质等级较低的单位确定资质等级；</w:t>
      </w:r>
    </w:p>
    <w:p w14:paraId="355B78C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（3）联合体各方不得再以自己名义单独或参加其他联合体在本项目中投标，否则各相关投标均无效；</w:t>
      </w:r>
    </w:p>
    <w:p w14:paraId="56100D71">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4）联合体各方应分别按照本招标文件的要求，填写投标文件中的相应表格，并由联合体牵头人负责对联合体各成员的资料进行统一汇总后一并提交给采购人；联合体牵头人所提交的投标文件应认为已代表了联合体各成员的真实情况；</w:t>
      </w:r>
    </w:p>
    <w:p w14:paraId="6D7D316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（5）尽管委任了联合体牵头人，但联合体各成员在投标、签订合同与履行合同过程中，仍负有连带的和各自的法律责任。</w:t>
      </w:r>
    </w:p>
    <w:p w14:paraId="46D4A4B7">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1.4.3 投标供应商（包括联合体各成员）不得存在下列情形之一：</w:t>
      </w:r>
    </w:p>
    <w:p w14:paraId="78E97090">
      <w:pPr>
        <w:widowControl/>
        <w:adjustRightInd w:val="0"/>
        <w:snapToGrid w:val="0"/>
        <w:spacing w:line="432" w:lineRule="auto"/>
        <w:ind w:firstLine="420" w:firstLineChars="200"/>
        <w:jc w:val="left"/>
        <w:rPr>
          <w:rFonts w:hint="eastAsia" w:ascii="宋体" w:hAnsi="宋体"/>
          <w:szCs w:val="21"/>
        </w:rPr>
      </w:pPr>
      <w:bookmarkStart w:id="188" w:name="_Toc338943705"/>
      <w:bookmarkStart w:id="189" w:name="_Toc144974503"/>
      <w:bookmarkStart w:id="190" w:name="_Toc338944610"/>
      <w:bookmarkStart w:id="191" w:name="_Toc342297624"/>
      <w:bookmarkStart w:id="192" w:name="_Toc333600688"/>
      <w:bookmarkStart w:id="193" w:name="_Toc179632552"/>
      <w:bookmarkStart w:id="194" w:name="_Toc152042311"/>
      <w:bookmarkStart w:id="195" w:name="_Toc333587858"/>
      <w:bookmarkStart w:id="196" w:name="_Toc342296167"/>
      <w:bookmarkStart w:id="197" w:name="_Toc333599664"/>
      <w:bookmarkStart w:id="198" w:name="_Toc152045535"/>
      <w:bookmarkStart w:id="199" w:name="_Toc342294719"/>
      <w:r>
        <w:rPr>
          <w:rFonts w:hint="eastAsia" w:ascii="宋体" w:hAnsi="宋体"/>
          <w:szCs w:val="21"/>
        </w:rPr>
        <w:t>（1）为本采购项目的采购代理机构；</w:t>
      </w:r>
    </w:p>
    <w:p w14:paraId="574D2F29">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（2）为采购人不具有独立法人资格的附属机构；</w:t>
      </w:r>
    </w:p>
    <w:p w14:paraId="4B57CD2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（3）与采购人存在利害关系且可能影响采购公正性；</w:t>
      </w:r>
    </w:p>
    <w:p w14:paraId="2E94265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（4）由本采购项目采购代理机构代理投标，或者接受过本采购项目的采购代理机构为本采购项目提供咨询的；</w:t>
      </w:r>
    </w:p>
    <w:p w14:paraId="163E5CDC">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（5）被责令停产停业、暂扣或者吊销许可证、暂扣或者吊销执照；</w:t>
      </w:r>
    </w:p>
    <w:p w14:paraId="7F2A1BE1">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（6）进入清算程序，或被宣告破产，或其他丧失履约能力的情形；</w:t>
      </w:r>
    </w:p>
    <w:p w14:paraId="61BFAF27">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（7）与本项目其他投标供应商的单位负责人为同一人或者存在直接控股、管理关系的不同投标供应商；</w:t>
      </w:r>
    </w:p>
    <w:p w14:paraId="0E2930D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（8）被依法禁止参加政府采购活动并在有效期内的；</w:t>
      </w:r>
    </w:p>
    <w:p w14:paraId="4FDAC8F5">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（9）为采购项目提供整体设计、规范编制或者项目管理、监理、检测等服务的投标供应商，不得再参加该采购项目的其他采购活动，具体按财政部财办库〔2015〕295号文件规定；</w:t>
      </w:r>
    </w:p>
    <w:p w14:paraId="3B17565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（10）被人民法院列入失信被执行人名单的（以http://zxgk.court.gov.cn/shixin/查询为准）；</w:t>
      </w:r>
    </w:p>
    <w:p w14:paraId="2027463D">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（11）被税务机关列入重大税收违法失信主体名单的（以www.creditchina.gov.cn查询为准）；</w:t>
      </w:r>
    </w:p>
    <w:p w14:paraId="7FF05E5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（12）被财政部门列入政府采购严重违法失信行为记录名单的（以www.ccgp.gov.cn/查询为准）；</w:t>
      </w:r>
    </w:p>
    <w:p w14:paraId="17CEC0C7">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（13）被市场监督管理部门列入严重违法失信名单的（以www.gsxt.gov.cn查询为准）；</w:t>
      </w:r>
    </w:p>
    <w:p w14:paraId="74DBB941">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（14）法律法规规定的其他情形；</w:t>
      </w:r>
    </w:p>
    <w:p w14:paraId="4DD69FF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（15）投标供应商须知前附表规定的其他情形。</w:t>
      </w:r>
    </w:p>
    <w:p w14:paraId="533CE40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以联合体方式参加采购活动的，联合体任一成员不得存在以上情形。</w:t>
      </w:r>
    </w:p>
    <w:p w14:paraId="031B861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1.4.4 相同品牌产品参加投标时，按以下要求确定投标供应商投标资格和中标人推荐资格：</w:t>
      </w:r>
    </w:p>
    <w:p w14:paraId="5EA0D21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（1）采用最低评标价法时：</w:t>
      </w:r>
    </w:p>
    <w:p w14:paraId="5756B7FC">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单一产品采购项目，提供相同品牌产品的不同投标供应商参加同一合同项下投标的，以其中通过资格审查、符合性审查且报价最低的参加评标；报价相同的，由评标委员会抽签确定；其他投标无效。</w:t>
      </w:r>
    </w:p>
    <w:p w14:paraId="6FBD60F4">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非单一产品采购项目，核心产品提供相同品牌产品的不同投标供应商参加同一合同项下投标的，以其中通过资格审查、符合性审查且报价最低的参加评标；报价相同的，由评标委员会抽签确定；其他投标无效。</w:t>
      </w:r>
    </w:p>
    <w:p w14:paraId="2499BA2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（2）采用综合评分法时：</w:t>
      </w:r>
    </w:p>
    <w:p w14:paraId="4BAE6687">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单一产品采购项目，提供相同品牌产品且通过资格审查、符合性审查的不同投标供应商参加同一合同项下投标的，按一家投标供应商计算，评审后得分最高的同品牌投标供应商获得中标人推荐资格；评审得分相同的，参照文件第四章评分办法第十条规定；其他同品牌投标供应商不作为中标候选人。</w:t>
      </w:r>
    </w:p>
    <w:p w14:paraId="646FAAE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非单一产品采购项目，核心产品提供相同品牌产品且通过资格审查、符合性审查的不同投标供应商参加同一合同项下投标的，按一家投标供应商计算，评审后得分最高的同品牌投标供应商获得中标人推荐资格；评审得分相同的，参照文件第四章评分办法第十条规定；其他同品牌投标供应商不作为中标候选人。</w:t>
      </w:r>
    </w:p>
    <w:p w14:paraId="6DCC0B0C">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（3）核心产品：见投标供应商须知前附表。</w:t>
      </w:r>
    </w:p>
    <w:p w14:paraId="37F5BBDB">
      <w:pPr>
        <w:pStyle w:val="4"/>
        <w:adjustRightInd w:val="0"/>
        <w:spacing w:before="0" w:after="0" w:line="432" w:lineRule="auto"/>
        <w:ind w:firstLine="280" w:firstLineChars="100"/>
        <w:jc w:val="left"/>
        <w:rPr>
          <w:rFonts w:ascii="黑体" w:hAnsi="黑体" w:eastAsia="黑体"/>
          <w:b w:val="0"/>
          <w:sz w:val="28"/>
          <w:szCs w:val="28"/>
        </w:rPr>
      </w:pPr>
      <w:bookmarkStart w:id="200" w:name="_Toc455587220"/>
      <w:bookmarkStart w:id="201" w:name="_Toc2176148"/>
      <w:bookmarkStart w:id="202" w:name="_Toc466024504"/>
      <w:bookmarkStart w:id="203" w:name="_Toc455587036"/>
      <w:bookmarkStart w:id="204" w:name="_Toc3295851"/>
      <w:bookmarkStart w:id="205" w:name="_Toc371415925"/>
      <w:bookmarkStart w:id="206" w:name="_Toc445554693"/>
      <w:bookmarkStart w:id="207" w:name="_Toc3219781"/>
      <w:bookmarkStart w:id="208" w:name="_Toc3215801"/>
      <w:bookmarkStart w:id="209" w:name="_Toc458504822"/>
      <w:r>
        <w:rPr>
          <w:rFonts w:hint="eastAsia" w:ascii="黑体" w:hAnsi="黑体" w:eastAsia="黑体"/>
          <w:b w:val="0"/>
          <w:sz w:val="28"/>
          <w:szCs w:val="28"/>
        </w:rPr>
        <w:t>1.5 费用承担</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7663AE28">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投标供应商准备和参加投标活动发生的费用自理。</w:t>
      </w:r>
    </w:p>
    <w:p w14:paraId="6D3CF661">
      <w:pPr>
        <w:pStyle w:val="4"/>
        <w:adjustRightInd w:val="0"/>
        <w:spacing w:before="0" w:after="0" w:line="432" w:lineRule="auto"/>
        <w:ind w:firstLine="280" w:firstLineChars="100"/>
        <w:jc w:val="left"/>
        <w:rPr>
          <w:rFonts w:ascii="黑体" w:hAnsi="黑体" w:eastAsia="黑体"/>
          <w:b w:val="0"/>
          <w:sz w:val="28"/>
          <w:szCs w:val="28"/>
        </w:rPr>
      </w:pPr>
      <w:bookmarkStart w:id="210" w:name="_Toc3219782"/>
      <w:bookmarkStart w:id="211" w:name="_Toc3295852"/>
      <w:bookmarkStart w:id="212" w:name="_Toc3215802"/>
      <w:bookmarkStart w:id="213" w:name="_Toc455587221"/>
      <w:bookmarkStart w:id="214" w:name="_Toc445554694"/>
      <w:bookmarkStart w:id="215" w:name="_Toc455587037"/>
      <w:bookmarkStart w:id="216" w:name="_Toc466024505"/>
      <w:bookmarkStart w:id="217" w:name="_Toc2176149"/>
      <w:bookmarkStart w:id="218" w:name="_Toc458504823"/>
      <w:bookmarkStart w:id="219" w:name="_Toc152042312"/>
      <w:bookmarkStart w:id="220" w:name="_Toc152045536"/>
      <w:bookmarkStart w:id="221" w:name="_Toc300834956"/>
      <w:bookmarkStart w:id="222" w:name="_Toc144974504"/>
      <w:bookmarkStart w:id="223" w:name="_Toc247527560"/>
      <w:bookmarkStart w:id="224" w:name="_Toc247513959"/>
      <w:r>
        <w:rPr>
          <w:rFonts w:hint="eastAsia" w:ascii="黑体" w:hAnsi="黑体" w:eastAsia="黑体"/>
          <w:b w:val="0"/>
          <w:sz w:val="28"/>
          <w:szCs w:val="28"/>
        </w:rPr>
        <w:t>1.6 保密</w:t>
      </w:r>
      <w:bookmarkEnd w:id="210"/>
      <w:bookmarkEnd w:id="211"/>
      <w:bookmarkEnd w:id="212"/>
      <w:bookmarkEnd w:id="213"/>
      <w:bookmarkEnd w:id="214"/>
      <w:bookmarkEnd w:id="215"/>
      <w:bookmarkEnd w:id="216"/>
      <w:bookmarkEnd w:id="217"/>
      <w:bookmarkEnd w:id="218"/>
    </w:p>
    <w:p w14:paraId="550E6459">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参与招标投标活动的各方应当对招标文件和投标文件中的商业和技术等秘密保密，否则应当承担相应的法律责任。</w:t>
      </w:r>
    </w:p>
    <w:p w14:paraId="238CF957">
      <w:pPr>
        <w:pStyle w:val="4"/>
        <w:adjustRightInd w:val="0"/>
        <w:spacing w:before="0" w:after="0" w:line="432" w:lineRule="auto"/>
        <w:ind w:firstLine="280" w:firstLineChars="100"/>
        <w:jc w:val="left"/>
        <w:rPr>
          <w:rFonts w:ascii="黑体" w:hAnsi="黑体" w:eastAsia="黑体"/>
          <w:b w:val="0"/>
          <w:sz w:val="28"/>
          <w:szCs w:val="28"/>
        </w:rPr>
      </w:pPr>
      <w:bookmarkStart w:id="225" w:name="_Toc458504824"/>
      <w:bookmarkStart w:id="226" w:name="_Toc466024506"/>
      <w:bookmarkStart w:id="227" w:name="_Toc3215803"/>
      <w:bookmarkStart w:id="228" w:name="_Toc2176150"/>
      <w:bookmarkStart w:id="229" w:name="_Toc3295853"/>
      <w:bookmarkStart w:id="230" w:name="_Toc455587038"/>
      <w:bookmarkStart w:id="231" w:name="_Toc3219783"/>
      <w:bookmarkStart w:id="232" w:name="_Toc455587222"/>
      <w:bookmarkStart w:id="233" w:name="_Toc445554695"/>
      <w:r>
        <w:rPr>
          <w:rFonts w:hint="eastAsia" w:ascii="黑体" w:hAnsi="黑体" w:eastAsia="黑体"/>
          <w:b w:val="0"/>
          <w:sz w:val="28"/>
          <w:szCs w:val="28"/>
        </w:rPr>
        <w:t>1.7 语言文字</w:t>
      </w:r>
    </w:p>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14:paraId="437F59DB">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除专用术语外，与招标投标有关的语言均应当使用中文。必要时专用术语应附有中文注释。</w:t>
      </w:r>
    </w:p>
    <w:p w14:paraId="535D4E81">
      <w:pPr>
        <w:pStyle w:val="4"/>
        <w:adjustRightInd w:val="0"/>
        <w:spacing w:before="0" w:after="0" w:line="432" w:lineRule="auto"/>
        <w:ind w:firstLine="280" w:firstLineChars="100"/>
        <w:jc w:val="left"/>
        <w:rPr>
          <w:rFonts w:ascii="黑体" w:hAnsi="黑体" w:eastAsia="黑体"/>
          <w:b w:val="0"/>
          <w:sz w:val="28"/>
          <w:szCs w:val="28"/>
        </w:rPr>
      </w:pPr>
      <w:bookmarkStart w:id="234" w:name="_Toc466024507"/>
      <w:bookmarkStart w:id="235" w:name="_Toc3219784"/>
      <w:bookmarkStart w:id="236" w:name="_Toc371415926"/>
      <w:bookmarkStart w:id="237" w:name="_Toc342297627"/>
      <w:bookmarkStart w:id="238" w:name="_Toc152042314"/>
      <w:bookmarkStart w:id="239" w:name="_Toc445554696"/>
      <w:bookmarkStart w:id="240" w:name="_Toc338943708"/>
      <w:bookmarkStart w:id="241" w:name="_Toc342296170"/>
      <w:bookmarkStart w:id="242" w:name="_Toc3295854"/>
      <w:bookmarkStart w:id="243" w:name="_Toc458504825"/>
      <w:bookmarkStart w:id="244" w:name="_Toc144974506"/>
      <w:bookmarkStart w:id="245" w:name="_Toc333587861"/>
      <w:bookmarkStart w:id="246" w:name="_Toc455587223"/>
      <w:bookmarkStart w:id="247" w:name="_Toc152045538"/>
      <w:bookmarkStart w:id="248" w:name="_Toc3215804"/>
      <w:bookmarkStart w:id="249" w:name="_Toc2176151"/>
      <w:bookmarkStart w:id="250" w:name="_Toc342294722"/>
      <w:bookmarkStart w:id="251" w:name="_Toc455587039"/>
      <w:bookmarkStart w:id="252" w:name="_Toc179632555"/>
      <w:bookmarkStart w:id="253" w:name="_Toc338944613"/>
      <w:bookmarkStart w:id="254" w:name="_Toc333599667"/>
      <w:bookmarkStart w:id="255" w:name="_Toc333600691"/>
      <w:r>
        <w:rPr>
          <w:rFonts w:hint="eastAsia" w:ascii="黑体" w:hAnsi="黑体" w:eastAsia="黑体"/>
          <w:b w:val="0"/>
          <w:sz w:val="28"/>
          <w:szCs w:val="28"/>
        </w:rPr>
        <w:t>1.8 计量单位</w:t>
      </w:r>
    </w:p>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14:paraId="7687BB21">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除招标文件另有规定外，所有计量均采用中华人民共和国法定计量单位。</w:t>
      </w:r>
    </w:p>
    <w:p w14:paraId="7B4E19F6">
      <w:pPr>
        <w:pStyle w:val="4"/>
        <w:adjustRightInd w:val="0"/>
        <w:spacing w:before="0" w:after="0" w:line="432" w:lineRule="auto"/>
        <w:ind w:firstLine="280" w:firstLineChars="100"/>
        <w:jc w:val="left"/>
        <w:rPr>
          <w:rFonts w:ascii="黑体" w:hAnsi="黑体" w:eastAsia="黑体"/>
          <w:b w:val="0"/>
          <w:sz w:val="28"/>
          <w:szCs w:val="28"/>
        </w:rPr>
      </w:pPr>
      <w:bookmarkStart w:id="256" w:name="_Toc445554697"/>
      <w:bookmarkStart w:id="257" w:name="_Toc458504826"/>
      <w:bookmarkStart w:id="258" w:name="_Toc371415927"/>
      <w:bookmarkStart w:id="259" w:name="_Toc455587224"/>
      <w:bookmarkStart w:id="260" w:name="_Toc455587040"/>
      <w:bookmarkStart w:id="261" w:name="_Toc2176152"/>
      <w:bookmarkStart w:id="262" w:name="_Toc466024508"/>
      <w:bookmarkStart w:id="263" w:name="_Toc3215805"/>
      <w:bookmarkStart w:id="264" w:name="_Toc3295855"/>
      <w:bookmarkStart w:id="265" w:name="_Toc3219785"/>
      <w:bookmarkStart w:id="266" w:name="_Toc179632557"/>
      <w:bookmarkStart w:id="267" w:name="_Toc333599669"/>
      <w:bookmarkStart w:id="268" w:name="_Toc338944615"/>
      <w:bookmarkStart w:id="269" w:name="_Toc152045540"/>
      <w:bookmarkStart w:id="270" w:name="_Toc144974508"/>
      <w:bookmarkStart w:id="271" w:name="_Toc342297629"/>
      <w:bookmarkStart w:id="272" w:name="_Toc342294724"/>
      <w:bookmarkStart w:id="273" w:name="_Toc152042316"/>
      <w:bookmarkStart w:id="274" w:name="_Toc333600693"/>
      <w:bookmarkStart w:id="275" w:name="_Toc342296172"/>
      <w:bookmarkStart w:id="276" w:name="_Toc333587863"/>
      <w:bookmarkStart w:id="277" w:name="_Toc338943710"/>
      <w:r>
        <w:rPr>
          <w:rFonts w:hint="eastAsia" w:ascii="黑体" w:hAnsi="黑体" w:eastAsia="黑体"/>
          <w:b w:val="0"/>
          <w:sz w:val="28"/>
          <w:szCs w:val="28"/>
        </w:rPr>
        <w:t>1.9</w:t>
      </w:r>
      <w:bookmarkEnd w:id="256"/>
      <w:bookmarkEnd w:id="257"/>
      <w:bookmarkEnd w:id="258"/>
      <w:bookmarkEnd w:id="259"/>
      <w:bookmarkEnd w:id="260"/>
      <w:r>
        <w:rPr>
          <w:rFonts w:hint="eastAsia" w:ascii="黑体" w:hAnsi="黑体" w:eastAsia="黑体"/>
          <w:b w:val="0"/>
          <w:sz w:val="28"/>
          <w:szCs w:val="28"/>
        </w:rPr>
        <w:t xml:space="preserve"> 现场</w:t>
      </w:r>
      <w:bookmarkEnd w:id="261"/>
      <w:bookmarkEnd w:id="262"/>
      <w:r>
        <w:rPr>
          <w:rFonts w:hint="eastAsia" w:ascii="黑体" w:hAnsi="黑体" w:eastAsia="黑体"/>
          <w:b w:val="0"/>
          <w:sz w:val="28"/>
          <w:szCs w:val="28"/>
        </w:rPr>
        <w:t>勘察</w:t>
      </w:r>
      <w:bookmarkEnd w:id="263"/>
      <w:bookmarkEnd w:id="264"/>
      <w:bookmarkEnd w:id="265"/>
    </w:p>
    <w:p w14:paraId="263C61A9">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1.9.1 投标供应商须知前附表规定组织现场勘察的，采购人按投标供应商须知前附表规定的时间、地点组织投标供应商现场勘察。采购人不组织统一现场勘察的，由投标供应商自行勘察现场。</w:t>
      </w:r>
    </w:p>
    <w:p w14:paraId="100EA2CF">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1.9.2 投标供应商现场勘察发生的费用自理。</w:t>
      </w:r>
    </w:p>
    <w:p w14:paraId="35BD676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1.9.3 除采购人的原因外，投标供应商自行负责在现场勘察中所发生的人员伤亡和财产损失。</w:t>
      </w:r>
    </w:p>
    <w:p w14:paraId="34EB4F0A">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1.9.4 采购人在现场勘察中介绍的现场情况和周边相关的环境情况，仅作为投标供应商在编制投标文件时参考，采购人不对投标供应商据此作出的判断和决策负责。</w:t>
      </w:r>
    </w:p>
    <w:p w14:paraId="3E6FDB69">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1.9.5 除非有特殊要求，招标文件不单独提供供货使用地的自然环境、气候条件、公用设施等情况，投标供应商被视为熟悉上述与履行合同有关的一切情况。</w:t>
      </w:r>
    </w:p>
    <w:p w14:paraId="1837F03D">
      <w:pPr>
        <w:pStyle w:val="4"/>
        <w:adjustRightInd w:val="0"/>
        <w:spacing w:before="0" w:after="0" w:line="432" w:lineRule="auto"/>
        <w:ind w:firstLine="280" w:firstLineChars="100"/>
        <w:jc w:val="left"/>
        <w:rPr>
          <w:rFonts w:hint="eastAsia" w:ascii="黑体" w:hAnsi="黑体" w:eastAsia="黑体"/>
          <w:b w:val="0"/>
          <w:sz w:val="28"/>
          <w:szCs w:val="28"/>
        </w:rPr>
      </w:pPr>
      <w:bookmarkStart w:id="278" w:name="_Toc455587041"/>
      <w:bookmarkStart w:id="279" w:name="_Toc445554698"/>
      <w:bookmarkStart w:id="280" w:name="_Toc458504827"/>
      <w:bookmarkStart w:id="281" w:name="_Toc455587225"/>
      <w:bookmarkStart w:id="282" w:name="_Toc466024509"/>
      <w:bookmarkStart w:id="283" w:name="_Toc3295856"/>
      <w:bookmarkStart w:id="284" w:name="_Toc3215806"/>
      <w:bookmarkStart w:id="285" w:name="_Toc2176153"/>
      <w:bookmarkStart w:id="286" w:name="_Toc3219786"/>
      <w:r>
        <w:rPr>
          <w:rFonts w:hint="eastAsia" w:ascii="黑体" w:hAnsi="黑体" w:eastAsia="黑体"/>
          <w:b w:val="0"/>
          <w:sz w:val="28"/>
          <w:szCs w:val="28"/>
        </w:rPr>
        <w:t>1.10</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Pr>
          <w:rFonts w:hint="eastAsia" w:ascii="黑体" w:hAnsi="黑体" w:eastAsia="黑体"/>
          <w:b w:val="0"/>
          <w:sz w:val="28"/>
          <w:szCs w:val="28"/>
        </w:rPr>
        <w:t xml:space="preserve"> 开标前答疑会</w:t>
      </w:r>
      <w:bookmarkEnd w:id="282"/>
      <w:bookmarkEnd w:id="283"/>
      <w:bookmarkEnd w:id="284"/>
      <w:bookmarkEnd w:id="285"/>
      <w:bookmarkEnd w:id="286"/>
      <w:r>
        <w:rPr>
          <w:rFonts w:hint="eastAsia" w:ascii="黑体" w:hAnsi="黑体" w:eastAsia="黑体"/>
          <w:b w:val="0"/>
          <w:sz w:val="28"/>
          <w:szCs w:val="28"/>
        </w:rPr>
        <w:t>（如有）</w:t>
      </w:r>
    </w:p>
    <w:p w14:paraId="7B486D0F">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1.10.1 投标供应商须知前附表规定召开开标前答疑会（以下简称答疑会）的，采购人按照投标供应商须知前附表规定的时间和地点召开答疑会，澄清投标供应商提出的问题。</w:t>
      </w:r>
    </w:p>
    <w:p w14:paraId="0031622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1.10.2 投标供应商应当在投标供应商须知前附表规定的时间前，以书面形式将提出的问题送达采购人，以便采购人在会议期间澄清。</w:t>
      </w:r>
    </w:p>
    <w:p w14:paraId="53C002D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1.10.3 答疑会后，采购人应当在投标供应商须知前附表规定的时间内，对投标供应商所提问题的澄清，以书面方式通知所有购买招标文件的投标供应商。该澄清内容为招标文件的组成部分。</w:t>
      </w:r>
    </w:p>
    <w:p w14:paraId="6F0866E5">
      <w:pPr>
        <w:pStyle w:val="4"/>
        <w:adjustRightInd w:val="0"/>
        <w:spacing w:before="0" w:after="0" w:line="432" w:lineRule="auto"/>
        <w:ind w:firstLine="280" w:firstLineChars="100"/>
        <w:jc w:val="left"/>
        <w:rPr>
          <w:rFonts w:hint="eastAsia" w:ascii="黑体" w:hAnsi="黑体" w:eastAsia="黑体"/>
          <w:b w:val="0"/>
          <w:sz w:val="28"/>
          <w:szCs w:val="28"/>
        </w:rPr>
      </w:pPr>
      <w:bookmarkStart w:id="287" w:name="_Toc3219787"/>
      <w:bookmarkStart w:id="288" w:name="_Toc3215807"/>
      <w:bookmarkStart w:id="289" w:name="_Toc3295857"/>
      <w:bookmarkStart w:id="290" w:name="_Toc2176154"/>
      <w:r>
        <w:rPr>
          <w:rFonts w:hint="eastAsia" w:ascii="黑体" w:hAnsi="黑体" w:eastAsia="黑体"/>
          <w:b w:val="0"/>
          <w:sz w:val="28"/>
          <w:szCs w:val="28"/>
        </w:rPr>
        <w:t>1.11 分包</w:t>
      </w:r>
      <w:bookmarkEnd w:id="287"/>
      <w:bookmarkEnd w:id="288"/>
      <w:bookmarkEnd w:id="289"/>
      <w:bookmarkEnd w:id="290"/>
    </w:p>
    <w:p w14:paraId="6E17BD02">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 xml:space="preserve">1.11.1 投标供应商拟在中标后将中标项目的非主体、非关键性工作进行分包的，应符合投标供应商须知前附表规定的分包内容、分包金额，分包承担主体应当具备相应资质条件且不得再次分包，除投标供应商须知前附表规定的非主体、非关键性工作外，其他工作不得分包。 </w:t>
      </w:r>
    </w:p>
    <w:p w14:paraId="75DFE61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1.11.2 中标人不得向他人转让中标项目。中标人应当就分包项目向采购人负责，分包承担主体就分包项目承担连带责任。</w:t>
      </w:r>
    </w:p>
    <w:p w14:paraId="71BDB397">
      <w:pPr>
        <w:pStyle w:val="3"/>
        <w:spacing w:before="0" w:after="0" w:line="432" w:lineRule="auto"/>
        <w:rPr>
          <w:rStyle w:val="30"/>
          <w:rFonts w:ascii="黑体" w:hAnsi="黑体"/>
          <w:b/>
          <w:bCs/>
        </w:rPr>
      </w:pPr>
      <w:bookmarkStart w:id="291" w:name="_Toc342297632"/>
      <w:bookmarkStart w:id="292" w:name="_Toc455587043"/>
      <w:bookmarkStart w:id="293" w:name="_Toc152045542"/>
      <w:bookmarkStart w:id="294" w:name="_Toc458504828"/>
      <w:bookmarkStart w:id="295" w:name="_Toc144974510"/>
      <w:bookmarkStart w:id="296" w:name="_Toc371415929"/>
      <w:bookmarkStart w:id="297" w:name="_Toc333600696"/>
      <w:bookmarkStart w:id="298" w:name="_Toc3295858"/>
      <w:bookmarkStart w:id="299" w:name="_Toc152042318"/>
      <w:bookmarkStart w:id="300" w:name="_Toc2478"/>
      <w:bookmarkStart w:id="301" w:name="_Toc12176"/>
      <w:bookmarkStart w:id="302" w:name="_Toc466024510"/>
      <w:bookmarkStart w:id="303" w:name="_Toc179632560"/>
      <w:bookmarkStart w:id="304" w:name="_Toc3215808"/>
      <w:bookmarkStart w:id="305" w:name="_Toc338944618"/>
      <w:bookmarkStart w:id="306" w:name="_Toc18141"/>
      <w:bookmarkStart w:id="307" w:name="_Toc445554700"/>
      <w:bookmarkStart w:id="308" w:name="_Toc333599672"/>
      <w:bookmarkStart w:id="309" w:name="_Toc2176155"/>
      <w:bookmarkStart w:id="310" w:name="_Toc338943713"/>
      <w:bookmarkStart w:id="311" w:name="_Toc342294727"/>
      <w:bookmarkStart w:id="312" w:name="_Toc342296175"/>
      <w:bookmarkStart w:id="313" w:name="_Toc455587227"/>
      <w:r>
        <w:rPr>
          <w:rStyle w:val="30"/>
          <w:rFonts w:hint="eastAsia" w:ascii="黑体" w:hAnsi="黑体"/>
          <w:b/>
          <w:bCs/>
        </w:rPr>
        <w:t>2. 招标文件</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3266D61B">
      <w:pPr>
        <w:pStyle w:val="4"/>
        <w:adjustRightInd w:val="0"/>
        <w:spacing w:before="0" w:after="0" w:line="432" w:lineRule="auto"/>
        <w:ind w:firstLine="280" w:firstLineChars="100"/>
        <w:jc w:val="left"/>
        <w:rPr>
          <w:rFonts w:ascii="黑体" w:hAnsi="黑体" w:eastAsia="黑体"/>
          <w:b w:val="0"/>
          <w:sz w:val="28"/>
          <w:szCs w:val="28"/>
        </w:rPr>
      </w:pPr>
      <w:bookmarkStart w:id="314" w:name="_Toc342297633"/>
      <w:bookmarkStart w:id="315" w:name="_Toc342296176"/>
      <w:bookmarkStart w:id="316" w:name="_Toc179632561"/>
      <w:bookmarkStart w:id="317" w:name="_Toc455587044"/>
      <w:bookmarkStart w:id="318" w:name="_Toc3219789"/>
      <w:bookmarkStart w:id="319" w:name="_Toc455587228"/>
      <w:bookmarkStart w:id="320" w:name="_Toc144974511"/>
      <w:bookmarkStart w:id="321" w:name="_Toc342294728"/>
      <w:bookmarkStart w:id="322" w:name="_Toc371415930"/>
      <w:bookmarkStart w:id="323" w:name="_Toc2176156"/>
      <w:bookmarkStart w:id="324" w:name="_Toc3215809"/>
      <w:bookmarkStart w:id="325" w:name="_Toc3295859"/>
      <w:bookmarkStart w:id="326" w:name="_Toc333599673"/>
      <w:bookmarkStart w:id="327" w:name="_Toc458504829"/>
      <w:bookmarkStart w:id="328" w:name="_Toc152045543"/>
      <w:bookmarkStart w:id="329" w:name="_Toc338944619"/>
      <w:bookmarkStart w:id="330" w:name="_Toc466024511"/>
      <w:bookmarkStart w:id="331" w:name="_Toc152042319"/>
      <w:bookmarkStart w:id="332" w:name="_Toc338943714"/>
      <w:bookmarkStart w:id="333" w:name="_Toc445554701"/>
      <w:bookmarkStart w:id="334" w:name="_Toc333600697"/>
      <w:bookmarkStart w:id="335" w:name="_Toc333587867"/>
      <w:r>
        <w:rPr>
          <w:rFonts w:hint="eastAsia" w:ascii="黑体" w:hAnsi="黑体" w:eastAsia="黑体"/>
          <w:b w:val="0"/>
          <w:sz w:val="28"/>
          <w:szCs w:val="28"/>
        </w:rPr>
        <w:t>2.1 招标文件的组成</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2A25152D">
      <w:pPr>
        <w:widowControl/>
        <w:adjustRightInd w:val="0"/>
        <w:snapToGrid w:val="0"/>
        <w:spacing w:before="124" w:beforeLines="40" w:line="432" w:lineRule="auto"/>
        <w:ind w:firstLine="420" w:firstLineChars="200"/>
        <w:jc w:val="left"/>
        <w:rPr>
          <w:rFonts w:ascii="宋体" w:hAnsi="宋体"/>
          <w:szCs w:val="21"/>
        </w:rPr>
      </w:pPr>
      <w:r>
        <w:rPr>
          <w:rFonts w:hint="eastAsia" w:ascii="宋体" w:hAnsi="宋体"/>
          <w:szCs w:val="21"/>
        </w:rPr>
        <w:t>本招标文件包括：</w:t>
      </w:r>
    </w:p>
    <w:p w14:paraId="65023EF0">
      <w:pPr>
        <w:widowControl/>
        <w:adjustRightInd w:val="0"/>
        <w:snapToGrid w:val="0"/>
        <w:spacing w:line="432" w:lineRule="auto"/>
        <w:ind w:firstLine="420" w:firstLineChars="20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）招标公告（或投标邀请书）；</w:t>
      </w:r>
    </w:p>
    <w:p w14:paraId="34E1B1DF">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）投标供应商须知前附表；</w:t>
      </w:r>
    </w:p>
    <w:p w14:paraId="5FF4918F">
      <w:pPr>
        <w:widowControl/>
        <w:adjustRightInd w:val="0"/>
        <w:snapToGrid w:val="0"/>
        <w:spacing w:line="432" w:lineRule="auto"/>
        <w:ind w:firstLine="420" w:firstLineChars="200"/>
        <w:jc w:val="left"/>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）投标供应商须知</w:t>
      </w:r>
    </w:p>
    <w:p w14:paraId="46B6E375">
      <w:pPr>
        <w:widowControl/>
        <w:adjustRightInd w:val="0"/>
        <w:snapToGrid w:val="0"/>
        <w:spacing w:line="432" w:lineRule="auto"/>
        <w:ind w:firstLine="420" w:firstLineChars="200"/>
        <w:jc w:val="left"/>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）采购需求；</w:t>
      </w:r>
    </w:p>
    <w:p w14:paraId="33E1A9B5">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（5）资格审查与评标办法；</w:t>
      </w:r>
    </w:p>
    <w:p w14:paraId="228829A4">
      <w:pPr>
        <w:widowControl/>
        <w:adjustRightInd w:val="0"/>
        <w:snapToGrid w:val="0"/>
        <w:spacing w:line="432" w:lineRule="auto"/>
        <w:ind w:firstLine="420" w:firstLineChars="200"/>
        <w:jc w:val="left"/>
        <w:rPr>
          <w:rFonts w:ascii="宋体" w:hAnsi="宋体"/>
          <w:szCs w:val="21"/>
        </w:rPr>
      </w:pPr>
      <w:r>
        <w:rPr>
          <w:rFonts w:hint="eastAsia" w:ascii="宋体" w:hAnsi="宋体"/>
          <w:szCs w:val="21"/>
        </w:rPr>
        <w:t>（6）合同条款及格式；</w:t>
      </w:r>
    </w:p>
    <w:p w14:paraId="57A6F62B">
      <w:pPr>
        <w:widowControl/>
        <w:adjustRightInd w:val="0"/>
        <w:snapToGrid w:val="0"/>
        <w:spacing w:line="432" w:lineRule="auto"/>
        <w:ind w:firstLine="420" w:firstLineChars="200"/>
        <w:jc w:val="left"/>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）投标文件格式；</w:t>
      </w:r>
    </w:p>
    <w:p w14:paraId="045E5DC2">
      <w:pPr>
        <w:widowControl/>
        <w:adjustRightInd w:val="0"/>
        <w:snapToGrid w:val="0"/>
        <w:spacing w:line="432" w:lineRule="auto"/>
        <w:ind w:firstLine="420" w:firstLineChars="200"/>
        <w:jc w:val="left"/>
        <w:rPr>
          <w:rFonts w:ascii="宋体" w:hAnsi="宋体"/>
          <w:szCs w:val="21"/>
        </w:rPr>
      </w:pPr>
      <w:r>
        <w:rPr>
          <w:rFonts w:hint="eastAsia" w:ascii="宋体" w:hAnsi="宋体"/>
          <w:szCs w:val="21"/>
        </w:rPr>
        <w:t>（8）其他材料。</w:t>
      </w:r>
    </w:p>
    <w:p w14:paraId="1DE34F9A">
      <w:pPr>
        <w:widowControl/>
        <w:adjustRightInd w:val="0"/>
        <w:snapToGrid w:val="0"/>
        <w:spacing w:line="432" w:lineRule="auto"/>
        <w:ind w:firstLine="420" w:firstLineChars="200"/>
        <w:jc w:val="left"/>
        <w:rPr>
          <w:rFonts w:ascii="宋体" w:hAnsi="宋体"/>
          <w:szCs w:val="21"/>
        </w:rPr>
      </w:pPr>
      <w:r>
        <w:rPr>
          <w:rFonts w:hint="eastAsia" w:ascii="宋体" w:hAnsi="宋体"/>
          <w:szCs w:val="21"/>
        </w:rPr>
        <w:t>对招标文件所作的澄清、修改、补充通知，构成招标文件的组成部分。当招标文件、招标文件的澄清或修改等在同一内容的表述上不一致时，以最后发出的书面文件为准。</w:t>
      </w:r>
    </w:p>
    <w:p w14:paraId="261396F2">
      <w:pPr>
        <w:pStyle w:val="4"/>
        <w:adjustRightInd w:val="0"/>
        <w:spacing w:before="0" w:after="0" w:line="432" w:lineRule="auto"/>
        <w:ind w:firstLine="280" w:firstLineChars="100"/>
        <w:jc w:val="left"/>
        <w:rPr>
          <w:rFonts w:ascii="黑体" w:hAnsi="黑体" w:eastAsia="黑体"/>
          <w:b w:val="0"/>
          <w:sz w:val="28"/>
          <w:szCs w:val="28"/>
        </w:rPr>
      </w:pPr>
      <w:bookmarkStart w:id="336" w:name="_Toc247513968"/>
      <w:bookmarkStart w:id="337" w:name="_Toc455587229"/>
      <w:bookmarkStart w:id="338" w:name="_Toc3295860"/>
      <w:bookmarkStart w:id="339" w:name="_Toc152042320"/>
      <w:bookmarkStart w:id="340" w:name="_Toc445554702"/>
      <w:bookmarkStart w:id="341" w:name="_Toc455587045"/>
      <w:bookmarkStart w:id="342" w:name="_Toc458504830"/>
      <w:bookmarkStart w:id="343" w:name="_Toc247527569"/>
      <w:bookmarkStart w:id="344" w:name="_Toc371415931"/>
      <w:bookmarkStart w:id="345" w:name="_Toc466024512"/>
      <w:bookmarkStart w:id="346" w:name="_Toc3219790"/>
      <w:bookmarkStart w:id="347" w:name="_Toc2176157"/>
      <w:bookmarkStart w:id="348" w:name="_Toc3215810"/>
      <w:bookmarkStart w:id="349" w:name="_Toc152045544"/>
      <w:bookmarkStart w:id="350" w:name="_Toc144974512"/>
      <w:bookmarkStart w:id="351" w:name="_Toc300834965"/>
      <w:r>
        <w:rPr>
          <w:rFonts w:hint="eastAsia" w:ascii="黑体" w:hAnsi="黑体" w:eastAsia="黑体"/>
          <w:b w:val="0"/>
          <w:sz w:val="28"/>
          <w:szCs w:val="28"/>
        </w:rPr>
        <w:t>2.2 招标文件的澄清</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08EA5135">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2.2.1 投标供应商应仔细阅读和检查招标文件的全部内容。如发现缺页或附件不全，应及时向采购人提出，以便补齐。如有疑问，应按投标供应商须知前附表规定的时间和形式将提出的问题送达采购人，要求采购人对招标文件予以澄清。</w:t>
      </w:r>
    </w:p>
    <w:p w14:paraId="0DD119B5">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2.2.2 招标文件的澄清将以投标供应商须知前附表规定的形式发给所有购买招标文件的投标供应商，但不指明澄清问题的来源。如果澄清发出的时间距本章第4.2.1项规定的投标截止时间不足15日的，并且澄清内容可能影响投标文件编制的，将相应顺延投标截止时间。</w:t>
      </w:r>
    </w:p>
    <w:p w14:paraId="56094D1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2.2.3 投标供应商在收到澄清后，除投标供应商须知前附表另有规定外，应当在投标供应商须知前附表规定的时间内以书面形式通知采购人，确认已收到该澄清。</w:t>
      </w:r>
    </w:p>
    <w:p w14:paraId="499289CD">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2.2.4 除非采购人认为确有必要答复，否则，采购人有权拒绝回复投标供应商在本章第2.2.1项规定的时间后的任何澄清要求。</w:t>
      </w:r>
    </w:p>
    <w:p w14:paraId="7A983B97">
      <w:pPr>
        <w:pStyle w:val="4"/>
        <w:adjustRightInd w:val="0"/>
        <w:spacing w:before="0" w:after="0" w:line="432" w:lineRule="auto"/>
        <w:ind w:firstLine="280" w:firstLineChars="100"/>
        <w:jc w:val="left"/>
        <w:rPr>
          <w:rFonts w:ascii="黑体" w:hAnsi="黑体" w:eastAsia="黑体"/>
          <w:b w:val="0"/>
          <w:sz w:val="28"/>
          <w:szCs w:val="28"/>
        </w:rPr>
      </w:pPr>
      <w:bookmarkStart w:id="352" w:name="_Toc3219791"/>
      <w:bookmarkStart w:id="353" w:name="_Toc247513969"/>
      <w:bookmarkStart w:id="354" w:name="_Toc300834966"/>
      <w:bookmarkStart w:id="355" w:name="_Toc3295861"/>
      <w:bookmarkStart w:id="356" w:name="_Toc3215811"/>
      <w:bookmarkStart w:id="357" w:name="_Toc247527570"/>
      <w:bookmarkStart w:id="358" w:name="_Toc455587230"/>
      <w:bookmarkStart w:id="359" w:name="_Toc445554703"/>
      <w:bookmarkStart w:id="360" w:name="_Toc458504831"/>
      <w:bookmarkStart w:id="361" w:name="_Toc152042321"/>
      <w:bookmarkStart w:id="362" w:name="_Toc152045545"/>
      <w:bookmarkStart w:id="363" w:name="_Toc371415932"/>
      <w:bookmarkStart w:id="364" w:name="_Toc144974513"/>
      <w:bookmarkStart w:id="365" w:name="_Toc466024513"/>
      <w:bookmarkStart w:id="366" w:name="_Toc2176158"/>
      <w:bookmarkStart w:id="367" w:name="_Toc455587046"/>
      <w:r>
        <w:rPr>
          <w:rFonts w:hint="eastAsia" w:ascii="黑体" w:hAnsi="黑体" w:eastAsia="黑体"/>
          <w:b w:val="0"/>
          <w:sz w:val="28"/>
          <w:szCs w:val="28"/>
        </w:rPr>
        <w:t>2.3 招标文件的修改</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6C4E402A">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 xml:space="preserve">2.3.1 采购人以投标供应商须知前附表规定的形式修改招标文件，并通知所有购买招标文件的投标供应商。如果修改招标文件的时间距本章第4.2.1项规定的投标截止时间不足15日的，并且澄清内容可能影响投标文件编制的，将相应顺延投标截止时间。 </w:t>
      </w:r>
    </w:p>
    <w:p w14:paraId="41BB60AC">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2.3.2 投标供应商收到修改内容后，除投标供应商须知前附表另有规定外，应在投标供应商须知前附表规定的时间内以书面形式通知采购人，确认已收到该修改。</w:t>
      </w:r>
    </w:p>
    <w:p w14:paraId="3AA2E295">
      <w:pPr>
        <w:pStyle w:val="4"/>
        <w:adjustRightInd w:val="0"/>
        <w:spacing w:before="0" w:after="0" w:line="432" w:lineRule="auto"/>
        <w:ind w:firstLine="280" w:firstLineChars="100"/>
        <w:jc w:val="left"/>
        <w:rPr>
          <w:rFonts w:hint="eastAsia" w:ascii="黑体" w:hAnsi="黑体" w:eastAsia="黑体"/>
          <w:b w:val="0"/>
          <w:sz w:val="28"/>
          <w:szCs w:val="28"/>
        </w:rPr>
      </w:pPr>
      <w:bookmarkStart w:id="368" w:name="_Toc3215812"/>
      <w:bookmarkStart w:id="369" w:name="_Toc3295862"/>
      <w:bookmarkStart w:id="370" w:name="_Toc2176159"/>
      <w:bookmarkStart w:id="371" w:name="_Toc3219792"/>
      <w:r>
        <w:rPr>
          <w:rFonts w:hint="eastAsia" w:ascii="黑体" w:hAnsi="黑体" w:eastAsia="黑体"/>
          <w:b w:val="0"/>
          <w:sz w:val="28"/>
          <w:szCs w:val="28"/>
        </w:rPr>
        <w:t>2.4 招标文件的质疑</w:t>
      </w:r>
      <w:bookmarkEnd w:id="368"/>
      <w:bookmarkEnd w:id="369"/>
      <w:bookmarkEnd w:id="370"/>
      <w:bookmarkEnd w:id="371"/>
    </w:p>
    <w:p w14:paraId="0C21A79C">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2.4.1 投标供应商认为招标文件（包括对招标文件澄清和修改的内容）使自己的权益受到损害时，应当按投标供应商须知前附表规定的时间和形式向采购人提出质疑。</w:t>
      </w:r>
    </w:p>
    <w:p w14:paraId="56A7EB1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2.4.2 采购人自收到质疑之日起在7个工作日内作出答复。逾期提出的，采购人可不予受理。质疑与答复应采取书面形式。</w:t>
      </w:r>
    </w:p>
    <w:p w14:paraId="29266BB1">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2.4.3 采购人对质疑的答复构成对招标文件澄清或者修改的，采购人将按照本章第2.2款、第2.3款规定办理。</w:t>
      </w:r>
      <w:bookmarkStart w:id="372" w:name="_Toc152045546"/>
      <w:bookmarkStart w:id="373" w:name="_Toc342296179"/>
      <w:bookmarkStart w:id="374" w:name="_Toc2176160"/>
      <w:bookmarkStart w:id="375" w:name="_Toc333600700"/>
      <w:bookmarkStart w:id="376" w:name="_Toc455587232"/>
      <w:bookmarkStart w:id="377" w:name="_Toc333599676"/>
      <w:bookmarkStart w:id="378" w:name="_Toc466024514"/>
      <w:bookmarkStart w:id="379" w:name="_Toc338943717"/>
      <w:bookmarkStart w:id="380" w:name="_Toc458504832"/>
      <w:bookmarkStart w:id="381" w:name="_Toc342297636"/>
      <w:bookmarkStart w:id="382" w:name="_Toc445554705"/>
      <w:bookmarkStart w:id="383" w:name="_Toc144974514"/>
      <w:bookmarkStart w:id="384" w:name="_Toc179632564"/>
      <w:bookmarkStart w:id="385" w:name="_Toc371415933"/>
      <w:bookmarkStart w:id="386" w:name="_Toc342294731"/>
      <w:bookmarkStart w:id="387" w:name="_Toc152042322"/>
      <w:bookmarkStart w:id="388" w:name="_Toc338944622"/>
      <w:bookmarkStart w:id="389" w:name="_Toc455587048"/>
    </w:p>
    <w:p w14:paraId="7A85E0A6">
      <w:pPr>
        <w:pStyle w:val="3"/>
        <w:spacing w:before="0" w:after="0" w:line="432" w:lineRule="auto"/>
        <w:rPr>
          <w:rStyle w:val="30"/>
          <w:rFonts w:ascii="黑体" w:hAnsi="黑体"/>
          <w:b/>
          <w:bCs/>
        </w:rPr>
      </w:pPr>
      <w:bookmarkStart w:id="390" w:name="_Toc26204"/>
      <w:bookmarkStart w:id="391" w:name="_Toc3295863"/>
      <w:bookmarkStart w:id="392" w:name="_Toc3215813"/>
      <w:bookmarkStart w:id="393" w:name="_Toc32267"/>
      <w:bookmarkStart w:id="394" w:name="_Toc12301"/>
      <w:r>
        <w:rPr>
          <w:rStyle w:val="30"/>
          <w:rFonts w:hint="eastAsia" w:ascii="黑体" w:hAnsi="黑体"/>
          <w:b/>
          <w:bCs/>
        </w:rPr>
        <w:t>3. 投标文件</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6376EB83">
      <w:pPr>
        <w:pStyle w:val="4"/>
        <w:adjustRightInd w:val="0"/>
        <w:spacing w:before="0" w:after="0" w:line="432" w:lineRule="auto"/>
        <w:ind w:firstLine="280" w:firstLineChars="100"/>
        <w:jc w:val="left"/>
        <w:rPr>
          <w:rFonts w:ascii="黑体" w:hAnsi="黑体" w:eastAsia="黑体"/>
          <w:b w:val="0"/>
          <w:sz w:val="28"/>
          <w:szCs w:val="28"/>
        </w:rPr>
      </w:pPr>
      <w:bookmarkStart w:id="395" w:name="_Toc179632565"/>
      <w:bookmarkStart w:id="396" w:name="_Toc333600701"/>
      <w:bookmarkStart w:id="397" w:name="_Toc342296180"/>
      <w:bookmarkStart w:id="398" w:name="_Toc3215814"/>
      <w:bookmarkStart w:id="399" w:name="_Toc445554706"/>
      <w:bookmarkStart w:id="400" w:name="_Toc455587049"/>
      <w:bookmarkStart w:id="401" w:name="_Toc338944623"/>
      <w:bookmarkStart w:id="402" w:name="_Toc3219794"/>
      <w:bookmarkStart w:id="403" w:name="_Toc342294732"/>
      <w:bookmarkStart w:id="404" w:name="_Toc338943718"/>
      <w:bookmarkStart w:id="405" w:name="_Toc458504833"/>
      <w:bookmarkStart w:id="406" w:name="_Toc371415934"/>
      <w:bookmarkStart w:id="407" w:name="_Toc333599677"/>
      <w:bookmarkStart w:id="408" w:name="_Toc466024515"/>
      <w:bookmarkStart w:id="409" w:name="_Toc152045547"/>
      <w:bookmarkStart w:id="410" w:name="_Toc3295864"/>
      <w:bookmarkStart w:id="411" w:name="_Toc2176161"/>
      <w:bookmarkStart w:id="412" w:name="_Toc152042323"/>
      <w:bookmarkStart w:id="413" w:name="_Toc333587871"/>
      <w:bookmarkStart w:id="414" w:name="_Toc144974515"/>
      <w:bookmarkStart w:id="415" w:name="_Toc342297637"/>
      <w:bookmarkStart w:id="416" w:name="_Toc455587233"/>
      <w:r>
        <w:rPr>
          <w:rFonts w:hint="eastAsia" w:ascii="黑体" w:hAnsi="黑体" w:eastAsia="黑体"/>
          <w:b w:val="0"/>
          <w:sz w:val="28"/>
          <w:szCs w:val="28"/>
        </w:rPr>
        <w:t>3.1 投标文件的组成</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78CD177C">
      <w:pPr>
        <w:widowControl/>
        <w:adjustRightInd w:val="0"/>
        <w:snapToGrid w:val="0"/>
        <w:spacing w:before="124" w:beforeLines="40" w:line="432" w:lineRule="auto"/>
        <w:ind w:firstLine="420" w:firstLineChars="200"/>
        <w:jc w:val="left"/>
        <w:rPr>
          <w:rFonts w:hint="eastAsia" w:ascii="宋体" w:hAnsi="宋体"/>
          <w:szCs w:val="21"/>
        </w:rPr>
      </w:pPr>
      <w:bookmarkStart w:id="417" w:name="_Toc342297638"/>
      <w:bookmarkStart w:id="418" w:name="_Toc342296181"/>
      <w:bookmarkStart w:id="419" w:name="_Toc333600702"/>
      <w:bookmarkStart w:id="420" w:name="_Toc144974516"/>
      <w:bookmarkStart w:id="421" w:name="_Toc342294733"/>
      <w:bookmarkStart w:id="422" w:name="_Toc338943719"/>
      <w:bookmarkStart w:id="423" w:name="_Toc152045548"/>
      <w:bookmarkStart w:id="424" w:name="_Toc333587872"/>
      <w:bookmarkStart w:id="425" w:name="_Toc338944624"/>
      <w:bookmarkStart w:id="426" w:name="_Toc333599678"/>
      <w:bookmarkStart w:id="427" w:name="_Toc179632566"/>
      <w:bookmarkStart w:id="428" w:name="_Toc152042324"/>
      <w:r>
        <w:rPr>
          <w:rFonts w:hint="eastAsia" w:ascii="宋体" w:hAnsi="宋体"/>
          <w:szCs w:val="21"/>
        </w:rPr>
        <w:t>3.1.1 投标文件应包括下列内容：</w:t>
      </w:r>
    </w:p>
    <w:p w14:paraId="7CB6F3B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须知前附表、评标办法及采购需求中规定的相关材料。投标供应商在评标过程中作出的符合法律法规和招标文件规定的澄清确认，构成投标文件的组成部分。</w:t>
      </w:r>
    </w:p>
    <w:p w14:paraId="57B426A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3.1.2 投标供应商须知前附表规定不接受联合体投标的，或投标供应商没有组成联合体的，投标文件不包括联合体协议书。</w:t>
      </w:r>
    </w:p>
    <w:p w14:paraId="1733266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3.1.3 投标供应商须知前附表规定不要求递交投标货物样品的，投标文件不包括样品。否则投标供应商应按照投标供应商须知前附表规定的内容、数量、时间、地点等要求提供投标货物样品。</w:t>
      </w:r>
    </w:p>
    <w:p w14:paraId="60928DA3">
      <w:pPr>
        <w:pStyle w:val="4"/>
        <w:adjustRightInd w:val="0"/>
        <w:spacing w:before="0" w:after="0" w:line="432" w:lineRule="auto"/>
        <w:ind w:firstLine="280" w:firstLineChars="100"/>
        <w:jc w:val="left"/>
        <w:rPr>
          <w:rFonts w:ascii="黑体" w:hAnsi="黑体" w:eastAsia="黑体"/>
          <w:b w:val="0"/>
          <w:sz w:val="28"/>
          <w:szCs w:val="28"/>
        </w:rPr>
      </w:pPr>
      <w:bookmarkStart w:id="429" w:name="_Toc3219795"/>
      <w:bookmarkStart w:id="430" w:name="_Toc445554707"/>
      <w:bookmarkStart w:id="431" w:name="_Toc466024516"/>
      <w:bookmarkStart w:id="432" w:name="_Toc455587234"/>
      <w:bookmarkStart w:id="433" w:name="_Toc455587050"/>
      <w:bookmarkStart w:id="434" w:name="_Toc458504834"/>
      <w:bookmarkStart w:id="435" w:name="_Toc3295865"/>
      <w:bookmarkStart w:id="436" w:name="_Toc3215815"/>
      <w:bookmarkStart w:id="437" w:name="_Toc2176162"/>
      <w:r>
        <w:rPr>
          <w:rFonts w:hint="eastAsia" w:ascii="黑体" w:hAnsi="黑体" w:eastAsia="黑体"/>
          <w:b w:val="0"/>
          <w:sz w:val="28"/>
          <w:szCs w:val="28"/>
        </w:rPr>
        <w:t>3.2 投标报价</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Start w:id="438" w:name="_Toc370199958"/>
    </w:p>
    <w:p w14:paraId="4733FD49">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3.2.1 投标报价应包括的内容见投标供应商须知前附表的规定。投标供应商应当按招标文件规定进行投标报价，并按给定格式填写投标报价表格。</w:t>
      </w:r>
      <w:bookmarkEnd w:id="438"/>
      <w:bookmarkStart w:id="439" w:name="_Toc370199959"/>
    </w:p>
    <w:p w14:paraId="433FDCF9">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3.2.2 投标供应商应充分了解该项目的总体情况以及影响报价的其他要素。</w:t>
      </w:r>
    </w:p>
    <w:p w14:paraId="2E64B20A">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3.2.3 提交两个或两个以上的投标报价，或者任何有选择性的报价或者有附加条件的报价的投标将按无效处理，投标供应商须知前附表允许递交备选方案的除外。</w:t>
      </w:r>
    </w:p>
    <w:p w14:paraId="5B90C49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3.2.4 投标报价为各分项报价之和。如分项报价中存在缺漏项，则视为缺漏项价格已包含在其他分项报价之中。投标供应商在投标截止时间前修改开标一览表中的投标报价总额，应同时修改投标文件“分项报价表”中的相应报价。此修改须符合本章第4.3款的有关要求。</w:t>
      </w:r>
    </w:p>
    <w:p w14:paraId="69CC4BB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3.2.5 采购人设有最高限价的，投标报价不得超过最高限价，否则响应无效，最高限价在投标供应商须知前附表中载明。</w:t>
      </w:r>
    </w:p>
    <w:p w14:paraId="4686E3AA">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3.2.6 投标报价的其他要求见投标供应商须知前附表。</w:t>
      </w:r>
    </w:p>
    <w:p w14:paraId="70337EA1">
      <w:pPr>
        <w:widowControl/>
        <w:adjustRightInd w:val="0"/>
        <w:snapToGrid w:val="0"/>
        <w:spacing w:line="432" w:lineRule="auto"/>
        <w:ind w:firstLine="420" w:firstLineChars="200"/>
        <w:jc w:val="left"/>
        <w:rPr>
          <w:rFonts w:hint="eastAsia"/>
        </w:rPr>
      </w:pPr>
      <w:r>
        <w:rPr>
          <w:rFonts w:hint="eastAsia" w:ascii="宋体" w:hAnsi="宋体"/>
          <w:szCs w:val="21"/>
          <w:highlight w:val="none"/>
        </w:rPr>
        <w:t>3.2.7 根据《关于推动解决政府采购异常低价问题的通知》（财库〔2026〕2号），政府采购项目评审中出现异常低价情形的，评标委员会应当启动异常低价投标审查程序，异常低价投标审查的数值标准详见投标人须知前附表，最高不得超过65%。</w:t>
      </w:r>
    </w:p>
    <w:bookmarkEnd w:id="439"/>
    <w:p w14:paraId="1AD76B28">
      <w:pPr>
        <w:pStyle w:val="4"/>
        <w:adjustRightInd w:val="0"/>
        <w:spacing w:before="0" w:after="0" w:line="432" w:lineRule="auto"/>
        <w:ind w:firstLine="280" w:firstLineChars="100"/>
        <w:jc w:val="left"/>
        <w:rPr>
          <w:rFonts w:ascii="黑体" w:hAnsi="黑体" w:eastAsia="黑体"/>
          <w:b w:val="0"/>
          <w:sz w:val="28"/>
          <w:szCs w:val="28"/>
        </w:rPr>
      </w:pPr>
      <w:bookmarkStart w:id="440" w:name="_Toc3219796"/>
      <w:bookmarkStart w:id="441" w:name="_Toc371415937"/>
      <w:bookmarkStart w:id="442" w:name="_Toc455587051"/>
      <w:bookmarkStart w:id="443" w:name="_Toc342297639"/>
      <w:bookmarkStart w:id="444" w:name="_Toc333600703"/>
      <w:bookmarkStart w:id="445" w:name="_Toc144974517"/>
      <w:bookmarkStart w:id="446" w:name="_Toc445554708"/>
      <w:bookmarkStart w:id="447" w:name="_Toc458504835"/>
      <w:bookmarkStart w:id="448" w:name="_Toc152042325"/>
      <w:bookmarkStart w:id="449" w:name="_Toc333599679"/>
      <w:bookmarkStart w:id="450" w:name="_Toc333587873"/>
      <w:bookmarkStart w:id="451" w:name="_Toc338944625"/>
      <w:bookmarkStart w:id="452" w:name="_Toc338943720"/>
      <w:bookmarkStart w:id="453" w:name="_Toc3215816"/>
      <w:bookmarkStart w:id="454" w:name="_Toc152045549"/>
      <w:bookmarkStart w:id="455" w:name="_Toc466024517"/>
      <w:bookmarkStart w:id="456" w:name="_Toc2176163"/>
      <w:bookmarkStart w:id="457" w:name="_Toc179632567"/>
      <w:bookmarkStart w:id="458" w:name="_Toc342294734"/>
      <w:bookmarkStart w:id="459" w:name="_Toc3295866"/>
      <w:bookmarkStart w:id="460" w:name="_Toc455587235"/>
      <w:bookmarkStart w:id="461" w:name="_Toc342296182"/>
      <w:r>
        <w:rPr>
          <w:rFonts w:hint="eastAsia" w:ascii="黑体" w:hAnsi="黑体" w:eastAsia="黑体"/>
          <w:b w:val="0"/>
          <w:sz w:val="28"/>
          <w:szCs w:val="28"/>
        </w:rPr>
        <w:t>3.3 投标有效期</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532F7C76">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3.3.1 在投标供应商须知前附表规定中的投标有效期内，投标文件保持有效，投标供应商不得要求撤销或修改其投标文件，否则应承担招标文件和法律法规规定的责任。</w:t>
      </w:r>
    </w:p>
    <w:p w14:paraId="11059CE9">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 xml:space="preserve">3.3.2 出现特殊情况需要延长投标有效期的，采购人以书面形式通知所有投标供应商延长投标有效期。投标供应商同意延长的，应当相应延长其投标保证金的有效期，但不得要求或被允许修改或撤销其投标文件；投标供应商拒绝延长的，其投标失效，但投标供应商有权收回其投标保证金。 </w:t>
      </w:r>
    </w:p>
    <w:p w14:paraId="506C3E8D">
      <w:pPr>
        <w:pStyle w:val="4"/>
        <w:adjustRightInd w:val="0"/>
        <w:spacing w:before="0" w:after="0" w:line="432" w:lineRule="auto"/>
        <w:ind w:firstLine="280" w:firstLineChars="100"/>
        <w:jc w:val="left"/>
        <w:rPr>
          <w:rFonts w:hint="eastAsia" w:ascii="黑体" w:hAnsi="黑体" w:eastAsia="黑体"/>
          <w:b w:val="0"/>
          <w:sz w:val="28"/>
          <w:szCs w:val="28"/>
        </w:rPr>
      </w:pPr>
      <w:bookmarkStart w:id="462" w:name="_Toc3219797"/>
      <w:bookmarkStart w:id="463" w:name="_Toc3215817"/>
      <w:bookmarkStart w:id="464" w:name="_Toc2176164"/>
      <w:bookmarkStart w:id="465" w:name="_Toc152045550"/>
      <w:bookmarkStart w:id="466" w:name="_Toc144974518"/>
      <w:bookmarkStart w:id="467" w:name="_Toc342294735"/>
      <w:bookmarkStart w:id="468" w:name="_Toc3295867"/>
      <w:bookmarkStart w:id="469" w:name="_Toc455587052"/>
      <w:bookmarkStart w:id="470" w:name="_Toc445554709"/>
      <w:bookmarkStart w:id="471" w:name="_Toc179632568"/>
      <w:bookmarkStart w:id="472" w:name="_Toc458504836"/>
      <w:bookmarkStart w:id="473" w:name="_Toc333587874"/>
      <w:bookmarkStart w:id="474" w:name="_Toc466024518"/>
      <w:bookmarkStart w:id="475" w:name="_Toc338943721"/>
      <w:bookmarkStart w:id="476" w:name="_Toc333599680"/>
      <w:bookmarkStart w:id="477" w:name="_Toc333600704"/>
      <w:bookmarkStart w:id="478" w:name="_Toc455587236"/>
      <w:bookmarkStart w:id="479" w:name="_Toc342297640"/>
      <w:bookmarkStart w:id="480" w:name="_Toc338944626"/>
      <w:bookmarkStart w:id="481" w:name="_Toc152042326"/>
      <w:bookmarkStart w:id="482" w:name="_Toc342296183"/>
      <w:bookmarkStart w:id="483" w:name="_Toc371415938"/>
      <w:r>
        <w:rPr>
          <w:rFonts w:hint="eastAsia" w:ascii="黑体" w:hAnsi="黑体" w:eastAsia="黑体"/>
          <w:b w:val="0"/>
          <w:sz w:val="28"/>
          <w:szCs w:val="28"/>
        </w:rPr>
        <w:t>3.4 投标保证金</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hint="eastAsia" w:ascii="黑体" w:hAnsi="黑体" w:eastAsia="黑体"/>
          <w:b w:val="0"/>
          <w:sz w:val="28"/>
          <w:szCs w:val="28"/>
        </w:rPr>
        <w:t>（本项目不适用）</w:t>
      </w:r>
    </w:p>
    <w:p w14:paraId="44B0A2C3">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3.4.1 投标供应商在递交投标文件的同时，应按投标供应商须知前附表规定递交投标保证金，并作为其投标文件的组成部分。联合体投标的，其投标保证金可以由牵头人提交，并应符合投标供应商须知前附表的规定。</w:t>
      </w:r>
    </w:p>
    <w:p w14:paraId="238C421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3.4.2 投标保证金用于保护采购人免受因投标供应商的行为而引起的风险。</w:t>
      </w:r>
    </w:p>
    <w:p w14:paraId="60F21E2C">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3.4.3 投标供应商不按本章第3.4.1项</w:t>
      </w:r>
      <w:bookmarkStart w:id="484" w:name="_Toc384308227"/>
      <w:bookmarkStart w:id="485" w:name="_Toc29025"/>
      <w:bookmarkStart w:id="486" w:name="_Toc369531533"/>
      <w:bookmarkStart w:id="487" w:name="_Toc361508602"/>
      <w:bookmarkStart w:id="488" w:name="_Toc352691490"/>
      <w:r>
        <w:rPr>
          <w:rFonts w:hint="eastAsia" w:ascii="宋体" w:hAnsi="宋体"/>
          <w:szCs w:val="21"/>
        </w:rPr>
        <w:t>要求提交投标保证金的，</w:t>
      </w:r>
      <w:bookmarkEnd w:id="484"/>
      <w:bookmarkEnd w:id="485"/>
      <w:bookmarkEnd w:id="486"/>
      <w:bookmarkEnd w:id="487"/>
      <w:bookmarkEnd w:id="488"/>
      <w:r>
        <w:rPr>
          <w:rFonts w:hint="eastAsia" w:ascii="宋体" w:hAnsi="宋体"/>
          <w:szCs w:val="21"/>
        </w:rPr>
        <w:t>其投标无效。</w:t>
      </w:r>
    </w:p>
    <w:p w14:paraId="7BA4C35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3.4.4 自中标通知书发出之日起5个工作日内退还未</w:t>
      </w:r>
      <w:r>
        <w:rPr>
          <w:rFonts w:hint="eastAsia" w:ascii="宋体" w:hAnsi="宋体"/>
          <w:szCs w:val="21"/>
          <w:lang w:eastAsia="zh-CN"/>
        </w:rPr>
        <w:t>中标供应商</w:t>
      </w:r>
      <w:r>
        <w:rPr>
          <w:rFonts w:hint="eastAsia" w:ascii="宋体" w:hAnsi="宋体"/>
          <w:szCs w:val="21"/>
        </w:rPr>
        <w:t>的投标保证金，自政府采购合同签订之日起5个工作日内并支付代理服务费用后，退还中标人的投标保证金。</w:t>
      </w:r>
    </w:p>
    <w:p w14:paraId="4E4D29B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3.4.5 有下列情形之一的，投标保证金不予退还，投标供应商还应承担法律法规规定的其他责任。</w:t>
      </w:r>
    </w:p>
    <w:p w14:paraId="567E0EF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（1）投标供应商在投标有效期内撤销投标文件；</w:t>
      </w:r>
    </w:p>
    <w:p w14:paraId="5B391E1F">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（2）中标人在收到中标通知书后，无正当理由不与采购人订立合同，在签订合同时向采购人提出附加条件，或者不按照招标文件要求提交履约保证金；</w:t>
      </w:r>
    </w:p>
    <w:p w14:paraId="07914294">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（3）投标供应商在投标文件中提供虚假材料的；</w:t>
      </w:r>
    </w:p>
    <w:p w14:paraId="124FFB2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（4）投标供应商与采购人、其他投标供应商或者采购代理机构恶意串通的；</w:t>
      </w:r>
    </w:p>
    <w:p w14:paraId="209882E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（5）经相关部门依法认定的其他违反</w:t>
      </w:r>
      <w:r>
        <w:rPr>
          <w:rFonts w:hint="eastAsia" w:ascii="宋体" w:hAnsi="宋体"/>
          <w:szCs w:val="21"/>
          <w:lang w:eastAsia="zh-CN"/>
        </w:rPr>
        <w:t>法律法规</w:t>
      </w:r>
      <w:r>
        <w:rPr>
          <w:rFonts w:hint="eastAsia" w:ascii="宋体" w:hAnsi="宋体"/>
          <w:szCs w:val="21"/>
        </w:rPr>
        <w:t>、规章和行政规范性文件的行为，应不予退还投标保证金的；</w:t>
      </w:r>
    </w:p>
    <w:p w14:paraId="084A3F4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（6）法律法规规定其他情形；</w:t>
      </w:r>
    </w:p>
    <w:p w14:paraId="7B51CB4A">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（7）投标供应商须知前附表规定的其他情形。</w:t>
      </w:r>
    </w:p>
    <w:p w14:paraId="4AAAE65C">
      <w:pPr>
        <w:pStyle w:val="4"/>
        <w:adjustRightInd w:val="0"/>
        <w:spacing w:before="0" w:after="0" w:line="432" w:lineRule="auto"/>
        <w:ind w:firstLine="280" w:firstLineChars="100"/>
        <w:jc w:val="left"/>
        <w:rPr>
          <w:rFonts w:ascii="黑体" w:hAnsi="黑体" w:eastAsia="黑体"/>
          <w:b w:val="0"/>
          <w:sz w:val="28"/>
          <w:szCs w:val="28"/>
        </w:rPr>
      </w:pPr>
      <w:bookmarkStart w:id="489" w:name="_Toc333599681"/>
      <w:bookmarkStart w:id="490" w:name="_Toc455587237"/>
      <w:bookmarkStart w:id="491" w:name="_Toc152042327"/>
      <w:bookmarkStart w:id="492" w:name="_Toc333600705"/>
      <w:bookmarkStart w:id="493" w:name="_Toc338944627"/>
      <w:bookmarkStart w:id="494" w:name="_Toc152045551"/>
      <w:bookmarkStart w:id="495" w:name="_Toc342294736"/>
      <w:bookmarkStart w:id="496" w:name="_Toc179632569"/>
      <w:bookmarkStart w:id="497" w:name="_Toc466024519"/>
      <w:bookmarkStart w:id="498" w:name="_Toc3219798"/>
      <w:bookmarkStart w:id="499" w:name="_Toc338943722"/>
      <w:bookmarkStart w:id="500" w:name="_Toc371415939"/>
      <w:bookmarkStart w:id="501" w:name="_Toc458504837"/>
      <w:bookmarkStart w:id="502" w:name="_Toc445554710"/>
      <w:bookmarkStart w:id="503" w:name="_Toc3215818"/>
      <w:bookmarkStart w:id="504" w:name="_Toc144974519"/>
      <w:bookmarkStart w:id="505" w:name="_Toc3295868"/>
      <w:bookmarkStart w:id="506" w:name="_Toc342297641"/>
      <w:bookmarkStart w:id="507" w:name="_Toc333587875"/>
      <w:bookmarkStart w:id="508" w:name="_Toc455587053"/>
      <w:bookmarkStart w:id="509" w:name="_Toc2176165"/>
      <w:bookmarkStart w:id="510" w:name="_Toc342296184"/>
      <w:r>
        <w:rPr>
          <w:rFonts w:hint="eastAsia" w:ascii="黑体" w:hAnsi="黑体" w:eastAsia="黑体"/>
          <w:b w:val="0"/>
          <w:sz w:val="28"/>
          <w:szCs w:val="28"/>
        </w:rPr>
        <w:t>3.5 资格审查资料（适用于已进行资格预审的）</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23382C1D">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3.5.1 投标供应商在递交投标文件前，发生可能影响其投标资格的新情况的，应更新或补充其在申请资格预审时提供的资料，以证实其各项资格条件仍能继续满足资格预审文件的要求。</w:t>
      </w:r>
    </w:p>
    <w:p w14:paraId="7B1D59B9">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3.5.2 投标供应商是代理商或经销商的，通过资格预审后如确定了拟投标货物（服务）的制造商（提供商）的，投标时不得更换，否则其投标将按无效处理。</w:t>
      </w:r>
    </w:p>
    <w:p w14:paraId="5DBFE7B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3.5.3 如本招标文件“评标办法”中涉及到对相关投标供应商资格进行评审的，投标供应商应在投标文件相应的“资格审查资料”中提供证明文件。</w:t>
      </w:r>
    </w:p>
    <w:p w14:paraId="62051CCD">
      <w:pPr>
        <w:pStyle w:val="4"/>
        <w:adjustRightInd w:val="0"/>
        <w:spacing w:before="0" w:after="0" w:line="432" w:lineRule="auto"/>
        <w:ind w:firstLine="280" w:firstLineChars="100"/>
        <w:jc w:val="left"/>
        <w:rPr>
          <w:rFonts w:ascii="黑体" w:hAnsi="黑体" w:eastAsia="黑体"/>
          <w:b w:val="0"/>
          <w:sz w:val="28"/>
          <w:szCs w:val="28"/>
        </w:rPr>
      </w:pPr>
      <w:bookmarkStart w:id="511" w:name="_Toc342294737"/>
      <w:bookmarkStart w:id="512" w:name="_Toc333600706"/>
      <w:bookmarkStart w:id="513" w:name="_Toc338944628"/>
      <w:bookmarkStart w:id="514" w:name="_Toc466024520"/>
      <w:bookmarkStart w:id="515" w:name="_Toc152042328"/>
      <w:bookmarkStart w:id="516" w:name="_Toc152045552"/>
      <w:bookmarkStart w:id="517" w:name="_Toc338943723"/>
      <w:bookmarkStart w:id="518" w:name="_Toc333599682"/>
      <w:bookmarkStart w:id="519" w:name="_Toc455587054"/>
      <w:bookmarkStart w:id="520" w:name="_Toc342297642"/>
      <w:bookmarkStart w:id="521" w:name="_Toc445554711"/>
      <w:bookmarkStart w:id="522" w:name="_Toc2176166"/>
      <w:bookmarkStart w:id="523" w:name="_Toc3215819"/>
      <w:bookmarkStart w:id="524" w:name="_Toc3295869"/>
      <w:bookmarkStart w:id="525" w:name="_Toc3219799"/>
      <w:bookmarkStart w:id="526" w:name="_Toc342296185"/>
      <w:bookmarkStart w:id="527" w:name="_Toc458504838"/>
      <w:bookmarkStart w:id="528" w:name="_Toc455587238"/>
      <w:bookmarkStart w:id="529" w:name="_Toc333587876"/>
      <w:bookmarkStart w:id="530" w:name="_Toc144974520"/>
      <w:bookmarkStart w:id="531" w:name="_Toc371415940"/>
      <w:bookmarkStart w:id="532" w:name="_Toc179632570"/>
      <w:r>
        <w:rPr>
          <w:rFonts w:hint="eastAsia" w:ascii="黑体" w:hAnsi="黑体" w:eastAsia="黑体"/>
          <w:b w:val="0"/>
          <w:sz w:val="28"/>
          <w:szCs w:val="28"/>
        </w:rPr>
        <w:t>3.5 资格审查资料（适用于未进行资格预审的）</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7C9111B0">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3.5.1 本招标文件“评标办法”中涉及到对相关投标供应商资格进行评审的，投标供应商应在投标文件相应的“资格审查资料”中提供证明文件。</w:t>
      </w:r>
    </w:p>
    <w:p w14:paraId="6EDE6613">
      <w:pPr>
        <w:pStyle w:val="4"/>
        <w:adjustRightInd w:val="0"/>
        <w:spacing w:before="0" w:after="0" w:line="432" w:lineRule="auto"/>
        <w:ind w:firstLine="280" w:firstLineChars="100"/>
        <w:jc w:val="left"/>
        <w:rPr>
          <w:rFonts w:ascii="黑体" w:hAnsi="黑体" w:eastAsia="黑体"/>
          <w:b w:val="0"/>
          <w:sz w:val="28"/>
          <w:szCs w:val="28"/>
        </w:rPr>
      </w:pPr>
      <w:bookmarkStart w:id="533" w:name="_Toc2176167"/>
      <w:bookmarkStart w:id="534" w:name="_Toc3295870"/>
      <w:bookmarkStart w:id="535" w:name="_Toc3215820"/>
      <w:bookmarkStart w:id="536" w:name="_Toc3219800"/>
      <w:r>
        <w:rPr>
          <w:rFonts w:hint="eastAsia" w:ascii="黑体" w:hAnsi="黑体" w:eastAsia="黑体"/>
          <w:b w:val="0"/>
          <w:sz w:val="28"/>
          <w:szCs w:val="28"/>
        </w:rPr>
        <w:t>3.6 备选投标方案</w:t>
      </w:r>
      <w:bookmarkEnd w:id="533"/>
      <w:bookmarkEnd w:id="534"/>
      <w:bookmarkEnd w:id="535"/>
      <w:bookmarkEnd w:id="536"/>
    </w:p>
    <w:p w14:paraId="30ED7122">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3.6.1 除投标供应商须知前附表另有规定外，投标供应商不得递交备选投标方案，否则其投标将按无效处理。</w:t>
      </w:r>
    </w:p>
    <w:p w14:paraId="1B3D7FA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3.6.2 允许投标供应商递交备选投标方案的，只有中标人所递交的备选投标方案方可予以考虑。评标委员会认为中标人的备选投标方案优于其按照招标文件要求编制的投标方案的，采购人可以接受该备选投标方案。</w:t>
      </w:r>
    </w:p>
    <w:p w14:paraId="7E4D00F9">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3.6.3 投标供应商提供两个或两个以上投标报价，或者在投标文件中提供一个报价，但同时提供两个或两个以上设计方案的，视为提供备选方案。</w:t>
      </w:r>
    </w:p>
    <w:p w14:paraId="12DB4569">
      <w:pPr>
        <w:pStyle w:val="4"/>
        <w:adjustRightInd w:val="0"/>
        <w:spacing w:before="0" w:after="0" w:line="432" w:lineRule="auto"/>
        <w:ind w:firstLine="280" w:firstLineChars="100"/>
        <w:jc w:val="left"/>
        <w:rPr>
          <w:rFonts w:ascii="黑体" w:hAnsi="黑体" w:eastAsia="黑体"/>
          <w:b w:val="0"/>
          <w:sz w:val="28"/>
          <w:szCs w:val="28"/>
        </w:rPr>
      </w:pPr>
      <w:bookmarkStart w:id="537" w:name="_Toc3295871"/>
      <w:bookmarkStart w:id="538" w:name="_Toc455587057"/>
      <w:bookmarkStart w:id="539" w:name="_Toc445554714"/>
      <w:bookmarkStart w:id="540" w:name="_Toc371415942"/>
      <w:bookmarkStart w:id="541" w:name="_Toc458504841"/>
      <w:bookmarkStart w:id="542" w:name="_Toc455587241"/>
      <w:bookmarkStart w:id="543" w:name="_Toc3219801"/>
      <w:bookmarkStart w:id="544" w:name="_Toc3215821"/>
      <w:bookmarkStart w:id="545" w:name="_Toc2176168"/>
      <w:bookmarkStart w:id="546" w:name="_Toc466024523"/>
      <w:r>
        <w:rPr>
          <w:rFonts w:hint="eastAsia" w:ascii="黑体" w:hAnsi="黑体" w:eastAsia="黑体"/>
          <w:b w:val="0"/>
          <w:sz w:val="28"/>
          <w:szCs w:val="28"/>
        </w:rPr>
        <w:t>3.7 投标文件的编制</w:t>
      </w:r>
      <w:bookmarkEnd w:id="537"/>
      <w:bookmarkEnd w:id="538"/>
      <w:bookmarkEnd w:id="539"/>
      <w:bookmarkEnd w:id="540"/>
      <w:bookmarkEnd w:id="541"/>
      <w:bookmarkEnd w:id="542"/>
      <w:bookmarkEnd w:id="543"/>
      <w:bookmarkEnd w:id="544"/>
      <w:bookmarkEnd w:id="545"/>
      <w:bookmarkEnd w:id="546"/>
    </w:p>
    <w:p w14:paraId="01941756">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3.7.1 投标文件应按招标文件规定格式进行编写，如有必要，可以增加附页、扩展表格，作为投标文件的组成部分。</w:t>
      </w:r>
    </w:p>
    <w:p w14:paraId="63D6D86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3.7.2 投标文件应当对招标文件有关采购需求、供货安装期限、质保期、技术与服务要求、投标报价要求、投标有效期、付款方式、合同条款等实质性内容做出响应。投标文件在满足招标文件实质性要求的基础上，可以提出比招标文件要求更有利于采购人的承诺。</w:t>
      </w:r>
    </w:p>
    <w:p w14:paraId="42513CC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3.7.3 投标供应商必须对其提交的资料的真实性负责，并接受采购人对其中任何资料进一步审查的要求。</w:t>
      </w:r>
    </w:p>
    <w:p w14:paraId="6A95F11A">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3.7.4（1） 本项目采用电子招投标方式，请投标供应商在</w:t>
      </w:r>
      <w:r>
        <w:rPr>
          <w:rFonts w:hint="eastAsia" w:ascii="宋体" w:hAnsi="宋体"/>
          <w:szCs w:val="21"/>
          <w:lang w:eastAsia="zh-CN"/>
        </w:rPr>
        <w:t>安天e采</w:t>
      </w:r>
      <w:r>
        <w:rPr>
          <w:rFonts w:hint="eastAsia" w:ascii="宋体" w:hAnsi="宋体"/>
          <w:szCs w:val="21"/>
        </w:rPr>
        <w:t>系统中下载</w:t>
      </w:r>
      <w:r>
        <w:rPr>
          <w:rFonts w:hint="eastAsia" w:ascii="宋体" w:hAnsi="宋体"/>
          <w:szCs w:val="21"/>
          <w:lang w:eastAsia="zh-CN"/>
        </w:rPr>
        <w:t>安天e采</w:t>
      </w:r>
      <w:r>
        <w:rPr>
          <w:rFonts w:hint="eastAsia" w:ascii="宋体" w:hAnsi="宋体"/>
          <w:szCs w:val="21"/>
        </w:rPr>
        <w:t>投标文件制作工具，具体操作步骤和程序请参见“产品与服务”-“服务指南”-“</w:t>
      </w:r>
      <w:r>
        <w:rPr>
          <w:rFonts w:hint="eastAsia" w:ascii="宋体" w:hAnsi="宋体"/>
          <w:szCs w:val="21"/>
          <w:lang w:eastAsia="zh-CN"/>
        </w:rPr>
        <w:t>安天e采</w:t>
      </w:r>
      <w:r>
        <w:rPr>
          <w:rFonts w:hint="eastAsia" w:ascii="宋体" w:hAnsi="宋体"/>
          <w:szCs w:val="21"/>
        </w:rPr>
        <w:t>资料下载”栏目--“招投标文件查看制作”，仔细阅读招标文件要求和相关操作手册。（如有技术问题请联系</w:t>
      </w:r>
      <w:r>
        <w:rPr>
          <w:rFonts w:hint="eastAsia" w:ascii="宋体" w:hAnsi="宋体"/>
          <w:szCs w:val="21"/>
          <w:lang w:eastAsia="zh-CN"/>
        </w:rPr>
        <w:t>安天e采</w:t>
      </w:r>
      <w:r>
        <w:rPr>
          <w:rFonts w:hint="eastAsia" w:ascii="宋体" w:hAnsi="宋体"/>
          <w:szCs w:val="21"/>
        </w:rPr>
        <w:t>服务热线：400-050-9988）。</w:t>
      </w:r>
    </w:p>
    <w:p w14:paraId="704DC94C">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（2）投标供应商须用通过</w:t>
      </w:r>
      <w:r>
        <w:rPr>
          <w:rFonts w:hint="eastAsia" w:ascii="宋体" w:hAnsi="宋体"/>
          <w:szCs w:val="21"/>
          <w:lang w:eastAsia="zh-CN"/>
        </w:rPr>
        <w:t>安天e采</w:t>
      </w:r>
      <w:r>
        <w:rPr>
          <w:rFonts w:hint="eastAsia" w:ascii="宋体" w:hAnsi="宋体"/>
          <w:szCs w:val="21"/>
        </w:rPr>
        <w:t>办理的移动认证证书（或介质数字证书）签章和加密投标文件，若使用介质数字证书的，建议使用企业法人主锁。如未办移动认证证书（或介质数字证书）请及时办理：移动认证办理联系电话：400-0878-198转1，移动认证办理须知详见</w:t>
      </w:r>
      <w:r>
        <w:rPr>
          <w:rFonts w:hint="eastAsia" w:ascii="宋体" w:hAnsi="宋体"/>
          <w:szCs w:val="21"/>
          <w:lang w:eastAsia="zh-CN"/>
        </w:rPr>
        <w:t>安天e采</w:t>
      </w:r>
      <w:r>
        <w:rPr>
          <w:rFonts w:hint="eastAsia" w:ascii="宋体" w:hAnsi="宋体"/>
          <w:szCs w:val="21"/>
        </w:rPr>
        <w:t>平台“移动认证上线通知”（https://www.xinecai.com/ydrz.html）”；办理介质数字证书的，参见CA办理须知https://www.xinecai.com/quesinfo/20.html。</w:t>
      </w:r>
    </w:p>
    <w:p w14:paraId="3A65AF71">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（3）本项目投标供应商需采用最新版</w:t>
      </w:r>
      <w:r>
        <w:rPr>
          <w:rFonts w:hint="eastAsia" w:ascii="宋体" w:hAnsi="宋体"/>
          <w:szCs w:val="21"/>
          <w:lang w:eastAsia="zh-CN"/>
        </w:rPr>
        <w:t>安天e采</w:t>
      </w:r>
      <w:r>
        <w:rPr>
          <w:rFonts w:hint="eastAsia" w:ascii="宋体" w:hAnsi="宋体"/>
          <w:szCs w:val="21"/>
        </w:rPr>
        <w:t>投标文件制作工具，具体请在“</w:t>
      </w:r>
      <w:r>
        <w:rPr>
          <w:rFonts w:hint="eastAsia" w:ascii="宋体" w:hAnsi="宋体"/>
          <w:szCs w:val="21"/>
          <w:lang w:eastAsia="zh-CN"/>
        </w:rPr>
        <w:t>安天e采</w:t>
      </w:r>
      <w:r>
        <w:rPr>
          <w:rFonts w:hint="eastAsia" w:ascii="宋体" w:hAnsi="宋体"/>
          <w:szCs w:val="21"/>
        </w:rPr>
        <w:t>招标采购电子交易系统”服务指南页面（https://www.xinecai.com/serveguide）下载，软件启动时也将进行提示（需在国际互联网络通畅状态），各投标供应商需注意更新（更新前务必将杀毒软件及安全卫士退出，否则会导致更新失败），以免造成标书制作错误。如因此导致无效投标，责任自负。</w:t>
      </w:r>
    </w:p>
    <w:p w14:paraId="245ABA07">
      <w:pPr>
        <w:pStyle w:val="3"/>
        <w:spacing w:before="0" w:after="0" w:line="432" w:lineRule="auto"/>
        <w:rPr>
          <w:rStyle w:val="30"/>
          <w:rFonts w:ascii="黑体" w:hAnsi="黑体"/>
          <w:b/>
          <w:bCs/>
        </w:rPr>
      </w:pPr>
      <w:bookmarkStart w:id="547" w:name="_Toc342294740"/>
      <w:bookmarkStart w:id="548" w:name="_Toc16356"/>
      <w:bookmarkStart w:id="549" w:name="_Toc3295872"/>
      <w:bookmarkStart w:id="550" w:name="_Toc179632573"/>
      <w:bookmarkStart w:id="551" w:name="_Toc152042331"/>
      <w:bookmarkStart w:id="552" w:name="_Toc152045555"/>
      <w:bookmarkStart w:id="553" w:name="_Toc445554715"/>
      <w:bookmarkStart w:id="554" w:name="_Toc458504842"/>
      <w:bookmarkStart w:id="555" w:name="_Toc3598"/>
      <w:bookmarkStart w:id="556" w:name="_Toc342296188"/>
      <w:bookmarkStart w:id="557" w:name="_Toc466024524"/>
      <w:bookmarkStart w:id="558" w:name="_Toc2176169"/>
      <w:bookmarkStart w:id="559" w:name="_Toc3215822"/>
      <w:bookmarkStart w:id="560" w:name="_Toc144974523"/>
      <w:bookmarkStart w:id="561" w:name="_Toc338943726"/>
      <w:bookmarkStart w:id="562" w:name="_Toc7482"/>
      <w:bookmarkStart w:id="563" w:name="_Toc342297645"/>
      <w:bookmarkStart w:id="564" w:name="_Toc333600709"/>
      <w:bookmarkStart w:id="565" w:name="_Toc455587242"/>
      <w:bookmarkStart w:id="566" w:name="_Toc338944631"/>
      <w:bookmarkStart w:id="567" w:name="_Toc455587058"/>
      <w:bookmarkStart w:id="568" w:name="_Toc371415943"/>
      <w:bookmarkStart w:id="569" w:name="_Toc333599685"/>
      <w:r>
        <w:rPr>
          <w:rStyle w:val="30"/>
          <w:rFonts w:hint="eastAsia" w:ascii="黑体" w:hAnsi="黑体"/>
          <w:b/>
          <w:bCs/>
        </w:rPr>
        <w:t>4. 投标</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4613685F">
      <w:pPr>
        <w:pStyle w:val="4"/>
        <w:adjustRightInd w:val="0"/>
        <w:spacing w:before="0" w:after="0" w:line="432" w:lineRule="auto"/>
        <w:ind w:firstLine="280" w:firstLineChars="100"/>
        <w:jc w:val="left"/>
        <w:rPr>
          <w:rFonts w:ascii="黑体" w:hAnsi="黑体" w:eastAsia="黑体"/>
          <w:b w:val="0"/>
          <w:sz w:val="28"/>
          <w:szCs w:val="28"/>
        </w:rPr>
      </w:pPr>
      <w:bookmarkStart w:id="570" w:name="_Toc152045556"/>
      <w:bookmarkStart w:id="571" w:name="_Toc144974524"/>
      <w:bookmarkStart w:id="572" w:name="_Toc333587880"/>
      <w:bookmarkStart w:id="573" w:name="_Toc152042332"/>
      <w:bookmarkStart w:id="574" w:name="_Toc333600710"/>
      <w:bookmarkStart w:id="575" w:name="_Toc179632574"/>
      <w:bookmarkStart w:id="576" w:name="_Toc333599686"/>
      <w:bookmarkStart w:id="577" w:name="_Toc338943727"/>
      <w:bookmarkStart w:id="578" w:name="_Toc3219803"/>
      <w:bookmarkStart w:id="579" w:name="_Toc458504843"/>
      <w:bookmarkStart w:id="580" w:name="_Toc342297646"/>
      <w:bookmarkStart w:id="581" w:name="_Toc466024525"/>
      <w:bookmarkStart w:id="582" w:name="_Toc371415944"/>
      <w:bookmarkStart w:id="583" w:name="_Toc338944632"/>
      <w:bookmarkStart w:id="584" w:name="_Toc445554716"/>
      <w:bookmarkStart w:id="585" w:name="_Toc342294741"/>
      <w:bookmarkStart w:id="586" w:name="_Toc455587243"/>
      <w:bookmarkStart w:id="587" w:name="_Toc3295873"/>
      <w:bookmarkStart w:id="588" w:name="_Toc3215823"/>
      <w:bookmarkStart w:id="589" w:name="_Toc2176170"/>
      <w:bookmarkStart w:id="590" w:name="_Toc342296189"/>
      <w:bookmarkStart w:id="591" w:name="_Toc455587059"/>
      <w:r>
        <w:rPr>
          <w:rFonts w:hint="eastAsia" w:ascii="黑体" w:hAnsi="黑体" w:eastAsia="黑体"/>
          <w:b w:val="0"/>
          <w:sz w:val="28"/>
          <w:szCs w:val="28"/>
        </w:rPr>
        <w:t>4.1 投标文件的签章和</w:t>
      </w:r>
      <w:bookmarkEnd w:id="570"/>
      <w:bookmarkEnd w:id="571"/>
      <w:bookmarkEnd w:id="572"/>
      <w:bookmarkEnd w:id="573"/>
      <w:bookmarkEnd w:id="574"/>
      <w:bookmarkEnd w:id="575"/>
      <w:bookmarkEnd w:id="576"/>
      <w:r>
        <w:rPr>
          <w:rFonts w:hint="eastAsia" w:ascii="黑体" w:hAnsi="黑体" w:eastAsia="黑体"/>
          <w:b w:val="0"/>
          <w:sz w:val="28"/>
          <w:szCs w:val="28"/>
        </w:rPr>
        <w:t>加密</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7F006430">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4.1.1 本项目要求提供加密电子投标文件，投标文件的签章和加密应满足以下规定：</w:t>
      </w:r>
    </w:p>
    <w:p w14:paraId="4EF00B63">
      <w:pPr>
        <w:widowControl/>
        <w:adjustRightInd w:val="0"/>
        <w:snapToGrid w:val="0"/>
        <w:spacing w:line="432" w:lineRule="auto"/>
        <w:ind w:firstLine="420" w:firstLineChars="200"/>
        <w:jc w:val="left"/>
        <w:rPr>
          <w:rFonts w:hint="eastAsia" w:ascii="宋体" w:hAnsi="宋体"/>
          <w:szCs w:val="21"/>
        </w:rPr>
      </w:pPr>
      <w:bookmarkStart w:id="592" w:name="_Toc3219804"/>
      <w:bookmarkStart w:id="593" w:name="_Toc458504844"/>
      <w:bookmarkStart w:id="594" w:name="_Toc371415945"/>
      <w:bookmarkStart w:id="595" w:name="_Toc3295874"/>
      <w:bookmarkStart w:id="596" w:name="_Toc3215824"/>
      <w:bookmarkStart w:id="597" w:name="_Toc445554717"/>
      <w:bookmarkStart w:id="598" w:name="_Toc455587060"/>
      <w:bookmarkStart w:id="599" w:name="_Toc455587244"/>
      <w:bookmarkStart w:id="600" w:name="_Toc2176171"/>
      <w:bookmarkStart w:id="601" w:name="_Toc466024526"/>
      <w:r>
        <w:rPr>
          <w:rFonts w:hint="eastAsia" w:ascii="宋体" w:hAnsi="宋体"/>
          <w:szCs w:val="21"/>
        </w:rPr>
        <w:t>（1）在第六章“投标文件格式”中要求盖投标供应商电子签章处，投标供应商均应加盖投标供应商电子签章。联合体投标的，除联合协议及联合体各成员单位提供的本单位证明材料外，投标文件由联合体牵头供应商按上述规定加盖联合体牵头供应商单位电子签章。</w:t>
      </w:r>
    </w:p>
    <w:p w14:paraId="2591857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（2）投标文件制作完成后，系统将自动同时生成加密版投标文件与非加密版投标文件。</w:t>
      </w:r>
    </w:p>
    <w:p w14:paraId="605D7322">
      <w:pPr>
        <w:widowControl/>
        <w:snapToGrid w:val="0"/>
        <w:spacing w:line="432" w:lineRule="auto"/>
        <w:ind w:firstLine="281" w:firstLineChars="100"/>
        <w:outlineLvl w:val="2"/>
        <w:rPr>
          <w:rFonts w:ascii="黑体" w:hAnsi="黑体" w:eastAsia="黑体"/>
          <w:b/>
          <w:sz w:val="28"/>
          <w:szCs w:val="28"/>
        </w:rPr>
      </w:pPr>
      <w:r>
        <w:rPr>
          <w:rFonts w:hint="eastAsia" w:ascii="黑体" w:hAnsi="黑体" w:eastAsia="黑体"/>
          <w:b/>
          <w:sz w:val="28"/>
          <w:szCs w:val="28"/>
        </w:rPr>
        <w:t>4.2 投标文件的递交</w:t>
      </w:r>
      <w:bookmarkEnd w:id="592"/>
      <w:bookmarkEnd w:id="593"/>
      <w:bookmarkEnd w:id="594"/>
      <w:bookmarkEnd w:id="595"/>
      <w:bookmarkEnd w:id="596"/>
      <w:bookmarkEnd w:id="597"/>
      <w:bookmarkEnd w:id="598"/>
      <w:bookmarkEnd w:id="599"/>
      <w:bookmarkEnd w:id="600"/>
      <w:bookmarkEnd w:id="601"/>
    </w:p>
    <w:p w14:paraId="042A601D">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4.2.1 投标供应商应在投标供应商须知前附表规定的投标截止时间前上传加密版电子投标文件。</w:t>
      </w:r>
    </w:p>
    <w:p w14:paraId="52F6F02D">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4.2.2 投标文件的上传地址：见投标供应商须知前附表。</w:t>
      </w:r>
    </w:p>
    <w:p w14:paraId="60DA16E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4.2.3 投标截止时间以</w:t>
      </w:r>
      <w:r>
        <w:rPr>
          <w:rFonts w:hint="eastAsia" w:ascii="宋体" w:hAnsi="宋体"/>
          <w:szCs w:val="21"/>
          <w:lang w:eastAsia="zh-CN"/>
        </w:rPr>
        <w:t>安天e采</w:t>
      </w:r>
      <w:r>
        <w:rPr>
          <w:rFonts w:hint="eastAsia" w:ascii="宋体" w:hAnsi="宋体"/>
          <w:szCs w:val="21"/>
        </w:rPr>
        <w:t>招标采购电子交易系统（https://www.xinecai.com）的系统时间为准，逾期系统将自动关闭,电子投标文件未完成上传的，投标将被拒绝。加密文件上传后投标供应商可进行模拟解密检验加密文件是否正常。</w:t>
      </w:r>
    </w:p>
    <w:p w14:paraId="289E22ED">
      <w:pPr>
        <w:pStyle w:val="4"/>
        <w:adjustRightInd w:val="0"/>
        <w:spacing w:before="0" w:after="0" w:line="432" w:lineRule="auto"/>
        <w:ind w:firstLine="280" w:firstLineChars="100"/>
        <w:jc w:val="left"/>
        <w:rPr>
          <w:rFonts w:ascii="黑体" w:hAnsi="黑体" w:eastAsia="黑体"/>
          <w:b w:val="0"/>
          <w:sz w:val="28"/>
          <w:szCs w:val="28"/>
        </w:rPr>
      </w:pPr>
      <w:bookmarkStart w:id="602" w:name="_Toc455587061"/>
      <w:bookmarkStart w:id="603" w:name="_Toc333600712"/>
      <w:bookmarkStart w:id="604" w:name="_Toc342297648"/>
      <w:bookmarkStart w:id="605" w:name="_Toc445554718"/>
      <w:bookmarkStart w:id="606" w:name="_Toc152045558"/>
      <w:bookmarkStart w:id="607" w:name="_Toc458504845"/>
      <w:bookmarkStart w:id="608" w:name="_Toc2176172"/>
      <w:bookmarkStart w:id="609" w:name="_Toc466024527"/>
      <w:bookmarkStart w:id="610" w:name="_Toc333587882"/>
      <w:bookmarkStart w:id="611" w:name="_Toc455587245"/>
      <w:bookmarkStart w:id="612" w:name="_Toc3215825"/>
      <w:bookmarkStart w:id="613" w:name="_Toc342296191"/>
      <w:bookmarkStart w:id="614" w:name="_Toc179632576"/>
      <w:bookmarkStart w:id="615" w:name="_Toc338943729"/>
      <w:bookmarkStart w:id="616" w:name="_Toc342294743"/>
      <w:bookmarkStart w:id="617" w:name="_Toc3219805"/>
      <w:bookmarkStart w:id="618" w:name="_Toc333599688"/>
      <w:bookmarkStart w:id="619" w:name="_Toc3295875"/>
      <w:bookmarkStart w:id="620" w:name="_Toc152042334"/>
      <w:bookmarkStart w:id="621" w:name="_Toc371415946"/>
      <w:bookmarkStart w:id="622" w:name="_Toc144974526"/>
      <w:bookmarkStart w:id="623" w:name="_Toc338944634"/>
      <w:r>
        <w:rPr>
          <w:rFonts w:hint="eastAsia" w:ascii="黑体" w:hAnsi="黑体" w:eastAsia="黑体"/>
          <w:b w:val="0"/>
          <w:sz w:val="28"/>
          <w:szCs w:val="28"/>
        </w:rPr>
        <w:t>4.3 投标文件的修改与撤回</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37206FA5">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4.3.1 投标供应商在投标截止时间之前，可以对其所递交的电子投标文件进行撤回，修改后重新上传</w:t>
      </w:r>
    </w:p>
    <w:p w14:paraId="2C0B4E9F">
      <w:pPr>
        <w:pStyle w:val="3"/>
        <w:spacing w:before="0" w:after="0" w:line="432" w:lineRule="auto"/>
        <w:rPr>
          <w:rStyle w:val="30"/>
          <w:rFonts w:hint="eastAsia" w:ascii="黑体" w:hAnsi="黑体"/>
          <w:b/>
          <w:bCs/>
        </w:rPr>
      </w:pPr>
      <w:bookmarkStart w:id="624" w:name="_Toc342296192"/>
      <w:bookmarkStart w:id="625" w:name="_Toc22089"/>
      <w:bookmarkStart w:id="626" w:name="_Toc333600713"/>
      <w:bookmarkStart w:id="627" w:name="_Toc338943730"/>
      <w:bookmarkStart w:id="628" w:name="_Toc144974527"/>
      <w:bookmarkStart w:id="629" w:name="_Toc6836"/>
      <w:bookmarkStart w:id="630" w:name="_Toc458504846"/>
      <w:bookmarkStart w:id="631" w:name="_Toc179632577"/>
      <w:bookmarkStart w:id="632" w:name="_Toc152042335"/>
      <w:bookmarkStart w:id="633" w:name="_Toc466024528"/>
      <w:bookmarkStart w:id="634" w:name="_Toc342294744"/>
      <w:bookmarkStart w:id="635" w:name="_Toc152045559"/>
      <w:bookmarkStart w:id="636" w:name="_Toc445554719"/>
      <w:bookmarkStart w:id="637" w:name="_Toc371415947"/>
      <w:bookmarkStart w:id="638" w:name="_Toc342297649"/>
      <w:bookmarkStart w:id="639" w:name="_Toc455587062"/>
      <w:bookmarkStart w:id="640" w:name="_Toc3215826"/>
      <w:bookmarkStart w:id="641" w:name="_Toc2176173"/>
      <w:bookmarkStart w:id="642" w:name="_Toc3295876"/>
      <w:bookmarkStart w:id="643" w:name="_Toc333599689"/>
      <w:bookmarkStart w:id="644" w:name="_Toc455587246"/>
      <w:bookmarkStart w:id="645" w:name="_Toc21076"/>
      <w:bookmarkStart w:id="646" w:name="_Toc338944635"/>
      <w:r>
        <w:rPr>
          <w:rStyle w:val="30"/>
          <w:rFonts w:hint="eastAsia" w:ascii="黑体" w:hAnsi="黑体"/>
          <w:b/>
          <w:bCs/>
        </w:rPr>
        <w:t>5. 开标</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4CDA0FFB">
      <w:pPr>
        <w:pStyle w:val="4"/>
        <w:adjustRightInd w:val="0"/>
        <w:spacing w:before="0" w:after="0" w:line="432" w:lineRule="auto"/>
        <w:ind w:firstLine="280" w:firstLineChars="100"/>
        <w:jc w:val="left"/>
        <w:rPr>
          <w:rFonts w:ascii="黑体" w:hAnsi="黑体" w:eastAsia="黑体"/>
          <w:b w:val="0"/>
          <w:sz w:val="28"/>
          <w:szCs w:val="28"/>
        </w:rPr>
      </w:pPr>
      <w:bookmarkStart w:id="647" w:name="_Toc445554720"/>
      <w:bookmarkStart w:id="648" w:name="_Toc342296193"/>
      <w:bookmarkStart w:id="649" w:name="_Toc455587063"/>
      <w:bookmarkStart w:id="650" w:name="_Toc333600714"/>
      <w:bookmarkStart w:id="651" w:name="_Toc338944636"/>
      <w:bookmarkStart w:id="652" w:name="_Toc3295877"/>
      <w:bookmarkStart w:id="653" w:name="_Toc2176174"/>
      <w:bookmarkStart w:id="654" w:name="_Toc458504847"/>
      <w:bookmarkStart w:id="655" w:name="_Toc333599690"/>
      <w:bookmarkStart w:id="656" w:name="_Toc371415948"/>
      <w:bookmarkStart w:id="657" w:name="_Toc342294745"/>
      <w:bookmarkStart w:id="658" w:name="_Toc179632578"/>
      <w:bookmarkStart w:id="659" w:name="_Toc342297650"/>
      <w:bookmarkStart w:id="660" w:name="_Toc338943731"/>
      <w:bookmarkStart w:id="661" w:name="_Toc144974528"/>
      <w:bookmarkStart w:id="662" w:name="_Toc466024529"/>
      <w:bookmarkStart w:id="663" w:name="_Toc3215827"/>
      <w:bookmarkStart w:id="664" w:name="_Toc152042336"/>
      <w:bookmarkStart w:id="665" w:name="_Toc152045560"/>
      <w:bookmarkStart w:id="666" w:name="_Toc455587247"/>
      <w:bookmarkStart w:id="667" w:name="_Toc3219807"/>
      <w:bookmarkStart w:id="668" w:name="_Toc333587884"/>
      <w:r>
        <w:rPr>
          <w:rFonts w:hint="eastAsia" w:ascii="黑体" w:hAnsi="黑体" w:eastAsia="黑体"/>
          <w:b w:val="0"/>
          <w:sz w:val="28"/>
          <w:szCs w:val="28"/>
        </w:rPr>
        <w:t>5.1 开标时间和地点</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565DAD7D">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采购人在本章第4.2.1项规定的投标截止时间（开标时间）和地点组织公开开标。</w:t>
      </w:r>
    </w:p>
    <w:p w14:paraId="23B89E7B">
      <w:pPr>
        <w:pStyle w:val="4"/>
        <w:adjustRightInd w:val="0"/>
        <w:spacing w:before="0" w:after="0" w:line="432" w:lineRule="auto"/>
        <w:ind w:firstLine="281" w:firstLineChars="100"/>
        <w:jc w:val="left"/>
        <w:rPr>
          <w:rFonts w:hint="eastAsia" w:ascii="黑体" w:hAnsi="黑体" w:eastAsia="黑体"/>
          <w:sz w:val="28"/>
          <w:szCs w:val="28"/>
        </w:rPr>
      </w:pPr>
      <w:bookmarkStart w:id="669" w:name="_Toc2176176"/>
      <w:bookmarkStart w:id="670" w:name="_Toc3219809"/>
      <w:bookmarkStart w:id="671" w:name="_Toc3295879"/>
      <w:bookmarkStart w:id="672" w:name="_Toc3215829"/>
      <w:r>
        <w:rPr>
          <w:rFonts w:hint="eastAsia" w:ascii="黑体" w:hAnsi="黑体" w:eastAsia="黑体"/>
          <w:sz w:val="28"/>
          <w:szCs w:val="28"/>
        </w:rPr>
        <w:t>5.2 开标程序</w:t>
      </w:r>
      <w:bookmarkEnd w:id="669"/>
      <w:bookmarkEnd w:id="670"/>
      <w:bookmarkEnd w:id="671"/>
      <w:bookmarkEnd w:id="672"/>
    </w:p>
    <w:p w14:paraId="40774C77">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5.2.1 开标时，各投标供应商应在规定时间前（以</w:t>
      </w:r>
      <w:r>
        <w:rPr>
          <w:rFonts w:hint="eastAsia" w:ascii="宋体" w:hAnsi="宋体"/>
          <w:szCs w:val="21"/>
          <w:lang w:eastAsia="zh-CN"/>
        </w:rPr>
        <w:t>安天e采</w:t>
      </w:r>
      <w:r>
        <w:rPr>
          <w:rFonts w:hint="eastAsia" w:ascii="宋体" w:hAnsi="宋体"/>
          <w:szCs w:val="21"/>
        </w:rPr>
        <w:t>招标采购电子交易系统解密倒计时为准）对本单位的投标文件进行解密。</w:t>
      </w:r>
    </w:p>
    <w:p w14:paraId="549C09D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5.2.2 投标供应商需在开标前及时登录</w:t>
      </w:r>
      <w:r>
        <w:rPr>
          <w:rFonts w:hint="eastAsia" w:ascii="宋体" w:hAnsi="宋体"/>
          <w:szCs w:val="21"/>
          <w:lang w:eastAsia="zh-CN"/>
        </w:rPr>
        <w:t>安天e采</w:t>
      </w:r>
      <w:r>
        <w:rPr>
          <w:rFonts w:hint="eastAsia" w:ascii="宋体" w:hAnsi="宋体"/>
          <w:szCs w:val="21"/>
        </w:rPr>
        <w:t>在线开标系统（使用介质数字证书用户请选择ie11及以上浏览器进行登录，如电脑未安装ie浏览器，可至</w:t>
      </w:r>
      <w:r>
        <w:rPr>
          <w:rFonts w:hint="eastAsia" w:ascii="宋体" w:hAnsi="宋体"/>
          <w:szCs w:val="21"/>
          <w:lang w:eastAsia="zh-CN"/>
        </w:rPr>
        <w:t>安天e采</w:t>
      </w:r>
      <w:r>
        <w:rPr>
          <w:rFonts w:hint="eastAsia" w:ascii="宋体" w:hAnsi="宋体"/>
          <w:szCs w:val="21"/>
        </w:rPr>
        <w:t>门户网站产品服务&gt;服务指南中下载（https://www.xinecai.com/serveguide#），登录前请确认是否安装</w:t>
      </w:r>
      <w:r>
        <w:rPr>
          <w:rFonts w:hint="eastAsia" w:ascii="宋体" w:hAnsi="宋体"/>
          <w:szCs w:val="21"/>
          <w:lang w:eastAsia="zh-CN"/>
        </w:rPr>
        <w:t>安天e采</w:t>
      </w:r>
      <w:r>
        <w:rPr>
          <w:rFonts w:hint="eastAsia" w:ascii="宋体" w:hAnsi="宋体"/>
          <w:szCs w:val="21"/>
        </w:rPr>
        <w:t>驱动。登录</w:t>
      </w:r>
      <w:r>
        <w:rPr>
          <w:rFonts w:hint="eastAsia" w:ascii="宋体" w:hAnsi="宋体"/>
          <w:szCs w:val="21"/>
          <w:lang w:eastAsia="zh-CN"/>
        </w:rPr>
        <w:t>安天e采</w:t>
      </w:r>
      <w:r>
        <w:rPr>
          <w:rFonts w:hint="eastAsia" w:ascii="宋体" w:hAnsi="宋体"/>
          <w:szCs w:val="21"/>
        </w:rPr>
        <w:t>招标采购电子交易系统，点击进入开标系统或者点击https://kb.xinecai.com/process/login链接进入）。为便于开标过程中突发情况下沟通联系，建议投标供应商进行签到。开标时，投标供应商必须使用</w:t>
      </w:r>
      <w:r>
        <w:rPr>
          <w:rFonts w:hint="eastAsia" w:ascii="宋体" w:hAnsi="宋体"/>
          <w:szCs w:val="21"/>
          <w:lang w:eastAsia="zh-CN"/>
        </w:rPr>
        <w:t>安天e采</w:t>
      </w:r>
      <w:r>
        <w:rPr>
          <w:rFonts w:hint="eastAsia" w:ascii="宋体" w:hAnsi="宋体"/>
          <w:szCs w:val="21"/>
        </w:rPr>
        <w:t>办理的移动认证证书（或介质数字证书）按照系统提示在规定时间内进行远程解密（加密证书需与解密证书一致，否则无法解密成功）。</w:t>
      </w:r>
    </w:p>
    <w:p w14:paraId="6D665CEF">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5.2.3 是否接受提交非加密电子版投标文件：见投标供应商须知前附表。</w:t>
      </w:r>
    </w:p>
    <w:p w14:paraId="4A21F3BB">
      <w:pPr>
        <w:widowControl/>
        <w:adjustRightInd w:val="0"/>
        <w:snapToGrid w:val="0"/>
        <w:spacing w:line="432" w:lineRule="auto"/>
        <w:ind w:firstLine="420" w:firstLineChars="200"/>
        <w:jc w:val="left"/>
        <w:rPr>
          <w:rFonts w:ascii="宋体" w:hAnsi="宋体"/>
          <w:szCs w:val="21"/>
        </w:rPr>
      </w:pPr>
      <w:r>
        <w:rPr>
          <w:rFonts w:hint="eastAsia" w:ascii="宋体" w:hAnsi="宋体"/>
          <w:szCs w:val="21"/>
        </w:rPr>
        <w:t>5.2.4 递交非加密电子版投标文件相关要求：见投标供应商须知前附表。</w:t>
      </w:r>
    </w:p>
    <w:p w14:paraId="5E2D596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5.2.5 主持人按下列程序进行开标：</w:t>
      </w:r>
    </w:p>
    <w:p w14:paraId="25AA16BC">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（1）宣布开标纪律；</w:t>
      </w:r>
    </w:p>
    <w:p w14:paraId="56933ACC">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（2）公布在投标截止时间前上传电子投标文件的投标供应商名称；</w:t>
      </w:r>
    </w:p>
    <w:p w14:paraId="13E603D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（3）解密标书；</w:t>
      </w:r>
    </w:p>
    <w:p w14:paraId="3365FC6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（4）唱标；</w:t>
      </w:r>
    </w:p>
    <w:p w14:paraId="51A60E8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（5）公布唱标信息；</w:t>
      </w:r>
    </w:p>
    <w:p w14:paraId="5601A1B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（6）开标结束。</w:t>
      </w:r>
    </w:p>
    <w:p w14:paraId="19558E4F">
      <w:pPr>
        <w:pStyle w:val="4"/>
        <w:adjustRightInd w:val="0"/>
        <w:spacing w:before="0" w:after="0" w:line="432" w:lineRule="auto"/>
        <w:ind w:firstLine="281" w:firstLineChars="100"/>
        <w:jc w:val="left"/>
        <w:rPr>
          <w:rFonts w:hint="eastAsia" w:ascii="黑体" w:hAnsi="黑体" w:eastAsia="黑体"/>
          <w:sz w:val="28"/>
          <w:szCs w:val="28"/>
        </w:rPr>
      </w:pPr>
      <w:bookmarkStart w:id="673" w:name="_Toc3219810"/>
      <w:bookmarkStart w:id="674" w:name="_Toc3295880"/>
      <w:bookmarkStart w:id="675" w:name="_Toc2176177"/>
      <w:bookmarkStart w:id="676" w:name="_Toc3215830"/>
      <w:r>
        <w:rPr>
          <w:rFonts w:hint="eastAsia" w:ascii="黑体" w:hAnsi="黑体" w:eastAsia="黑体"/>
          <w:sz w:val="28"/>
          <w:szCs w:val="28"/>
        </w:rPr>
        <w:t>5.3 开标</w:t>
      </w:r>
      <w:bookmarkEnd w:id="673"/>
      <w:bookmarkEnd w:id="674"/>
      <w:bookmarkEnd w:id="675"/>
      <w:bookmarkEnd w:id="676"/>
      <w:r>
        <w:rPr>
          <w:rFonts w:hint="eastAsia" w:ascii="黑体" w:hAnsi="黑体" w:eastAsia="黑体"/>
          <w:sz w:val="28"/>
          <w:szCs w:val="28"/>
        </w:rPr>
        <w:t>疑义</w:t>
      </w:r>
    </w:p>
    <w:p w14:paraId="77B395B9">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投标供应商代表对开标过程和开标记录有疑义，以及认为采购人、采购代理机构相关工作人员有需要回避的情形的，应当场提出询问或者回避申请。采购人、采购代理机构对投标供应商代表提出的询问或者回避申请应当及时处理。</w:t>
      </w:r>
    </w:p>
    <w:p w14:paraId="322EFC2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投标供应商未参加开标的，视同认可开标结果。</w:t>
      </w:r>
    </w:p>
    <w:p w14:paraId="5567A413">
      <w:pPr>
        <w:pStyle w:val="3"/>
        <w:spacing w:before="0" w:after="0" w:line="432" w:lineRule="auto"/>
        <w:rPr>
          <w:rStyle w:val="30"/>
          <w:rFonts w:hint="eastAsia" w:ascii="黑体" w:hAnsi="黑体"/>
          <w:b/>
          <w:bCs/>
        </w:rPr>
      </w:pPr>
      <w:bookmarkStart w:id="677" w:name="_Toc466024531"/>
      <w:bookmarkStart w:id="678" w:name="_Toc179632580"/>
      <w:bookmarkStart w:id="679" w:name="_Toc5392"/>
      <w:bookmarkStart w:id="680" w:name="_Toc13460"/>
      <w:bookmarkStart w:id="681" w:name="_Toc455587250"/>
      <w:bookmarkStart w:id="682" w:name="_Toc342294747"/>
      <w:bookmarkStart w:id="683" w:name="_Toc455587066"/>
      <w:bookmarkStart w:id="684" w:name="_Toc342296195"/>
      <w:bookmarkStart w:id="685" w:name="_Toc458504849"/>
      <w:bookmarkStart w:id="686" w:name="_Toc3295881"/>
      <w:bookmarkStart w:id="687" w:name="_Toc152045562"/>
      <w:bookmarkStart w:id="688" w:name="_Toc152042338"/>
      <w:bookmarkStart w:id="689" w:name="_Toc371415950"/>
      <w:bookmarkStart w:id="690" w:name="_Toc445554723"/>
      <w:bookmarkStart w:id="691" w:name="_Toc3215831"/>
      <w:bookmarkStart w:id="692" w:name="_Toc338943733"/>
      <w:bookmarkStart w:id="693" w:name="_Toc2176178"/>
      <w:bookmarkStart w:id="694" w:name="_Toc342297652"/>
      <w:bookmarkStart w:id="695" w:name="_Toc144974530"/>
      <w:bookmarkStart w:id="696" w:name="_Toc338944638"/>
      <w:bookmarkStart w:id="697" w:name="_Toc21924"/>
      <w:bookmarkStart w:id="698" w:name="_Toc333600716"/>
      <w:bookmarkStart w:id="699" w:name="_Toc333599692"/>
      <w:r>
        <w:rPr>
          <w:rStyle w:val="30"/>
          <w:rFonts w:hint="eastAsia" w:ascii="黑体" w:hAnsi="黑体"/>
          <w:b/>
          <w:bCs/>
        </w:rPr>
        <w:t>6. 评标</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p w14:paraId="36D94047">
      <w:pPr>
        <w:pStyle w:val="4"/>
        <w:adjustRightInd w:val="0"/>
        <w:spacing w:before="0" w:after="0" w:line="432" w:lineRule="auto"/>
        <w:ind w:firstLine="280" w:firstLineChars="100"/>
        <w:jc w:val="left"/>
        <w:rPr>
          <w:rFonts w:ascii="黑体" w:hAnsi="黑体" w:eastAsia="黑体"/>
          <w:b w:val="0"/>
          <w:sz w:val="28"/>
          <w:szCs w:val="28"/>
        </w:rPr>
      </w:pPr>
      <w:bookmarkStart w:id="700" w:name="_Toc179632581"/>
      <w:bookmarkStart w:id="701" w:name="_Toc338943734"/>
      <w:bookmarkStart w:id="702" w:name="_Toc3215832"/>
      <w:bookmarkStart w:id="703" w:name="_Toc455587067"/>
      <w:bookmarkStart w:id="704" w:name="_Toc342294748"/>
      <w:bookmarkStart w:id="705" w:name="_Toc371415951"/>
      <w:bookmarkStart w:id="706" w:name="_Toc466024532"/>
      <w:bookmarkStart w:id="707" w:name="_Toc342296196"/>
      <w:bookmarkStart w:id="708" w:name="_Toc338944639"/>
      <w:bookmarkStart w:id="709" w:name="_Toc342297653"/>
      <w:bookmarkStart w:id="710" w:name="_Toc152045563"/>
      <w:bookmarkStart w:id="711" w:name="_Toc333587887"/>
      <w:bookmarkStart w:id="712" w:name="_Toc2176179"/>
      <w:bookmarkStart w:id="713" w:name="_Toc458504850"/>
      <w:bookmarkStart w:id="714" w:name="_Toc455587251"/>
      <w:bookmarkStart w:id="715" w:name="_Toc333599693"/>
      <w:bookmarkStart w:id="716" w:name="_Toc445554724"/>
      <w:bookmarkStart w:id="717" w:name="_Toc3295882"/>
      <w:bookmarkStart w:id="718" w:name="_Toc333600717"/>
      <w:bookmarkStart w:id="719" w:name="_Toc144974531"/>
      <w:bookmarkStart w:id="720" w:name="_Toc3219812"/>
      <w:bookmarkStart w:id="721" w:name="_Toc152042339"/>
      <w:r>
        <w:rPr>
          <w:rFonts w:hint="eastAsia" w:ascii="黑体" w:hAnsi="黑体" w:eastAsia="黑体"/>
          <w:b w:val="0"/>
          <w:sz w:val="28"/>
          <w:szCs w:val="28"/>
        </w:rPr>
        <w:t>6.1 评标委员会</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083AEA9A">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6.1.1 评标由采购人依法组建的评标委员会负责。评标委员会由采购人代表和评审专家组成（或由从专家库中抽取的评审专家及采购人代表组成）。评审专家的确定方式见投标供应商须知前附表。</w:t>
      </w:r>
    </w:p>
    <w:p w14:paraId="347571D4">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6.1.2 评标委员会成员有下列情形之一的，应当回避：</w:t>
      </w:r>
    </w:p>
    <w:p w14:paraId="4AAC8191">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（1）参加采购活动前三年内，与投标供应商存在劳动关系，或者担任过投标供应商的董事、监事，或者是投标供应商的控股股东或实际控制人；</w:t>
      </w:r>
    </w:p>
    <w:p w14:paraId="0E5AAB2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（2）与投标供应商的法定代表人或者负责人有夫妻、直系血亲、三代以内旁系血亲或者近姻亲关系；</w:t>
      </w:r>
    </w:p>
    <w:p w14:paraId="26BE28A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（3）与投标供应商有其他可能影响政府采购活动公平、公正进行的关系。</w:t>
      </w:r>
    </w:p>
    <w:p w14:paraId="0C3F9A8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6.1.3 评标过程中，评标委员会成员有回避事由、擅离职守或者因健康等原因不能继续评标的，采购人有权更换。被更换的评标委员会成员作出的评审结论无效，由更换后的评标委员会成员重新进行评审。</w:t>
      </w:r>
    </w:p>
    <w:p w14:paraId="5B6FD405">
      <w:pPr>
        <w:pStyle w:val="4"/>
        <w:adjustRightInd w:val="0"/>
        <w:spacing w:before="0" w:after="0" w:line="432" w:lineRule="auto"/>
        <w:ind w:firstLine="280" w:firstLineChars="100"/>
        <w:jc w:val="left"/>
        <w:rPr>
          <w:rFonts w:hint="eastAsia" w:ascii="黑体" w:hAnsi="黑体" w:eastAsia="黑体"/>
          <w:b w:val="0"/>
          <w:sz w:val="28"/>
          <w:szCs w:val="28"/>
        </w:rPr>
      </w:pPr>
      <w:bookmarkStart w:id="722" w:name="_Toc445554725"/>
      <w:bookmarkStart w:id="723" w:name="_Toc3295883"/>
      <w:bookmarkStart w:id="724" w:name="_Toc342296197"/>
      <w:bookmarkStart w:id="725" w:name="_Toc342297654"/>
      <w:bookmarkStart w:id="726" w:name="_Toc338943735"/>
      <w:bookmarkStart w:id="727" w:name="_Toc333587888"/>
      <w:bookmarkStart w:id="728" w:name="_Toc466024533"/>
      <w:bookmarkStart w:id="729" w:name="_Toc3219813"/>
      <w:bookmarkStart w:id="730" w:name="_Toc179632582"/>
      <w:bookmarkStart w:id="731" w:name="_Toc152042340"/>
      <w:bookmarkStart w:id="732" w:name="_Toc338944640"/>
      <w:bookmarkStart w:id="733" w:name="_Toc2176180"/>
      <w:bookmarkStart w:id="734" w:name="_Toc455587252"/>
      <w:bookmarkStart w:id="735" w:name="_Toc152045564"/>
      <w:bookmarkStart w:id="736" w:name="_Toc333600718"/>
      <w:bookmarkStart w:id="737" w:name="_Toc342294749"/>
      <w:bookmarkStart w:id="738" w:name="_Toc3215833"/>
      <w:bookmarkStart w:id="739" w:name="_Toc144974532"/>
      <w:bookmarkStart w:id="740" w:name="_Toc458504851"/>
      <w:bookmarkStart w:id="741" w:name="_Toc455587068"/>
      <w:bookmarkStart w:id="742" w:name="_Toc333599694"/>
      <w:bookmarkStart w:id="743" w:name="_Toc371415952"/>
      <w:r>
        <w:rPr>
          <w:rFonts w:hint="eastAsia" w:ascii="黑体" w:hAnsi="黑体" w:eastAsia="黑体"/>
          <w:b w:val="0"/>
          <w:sz w:val="28"/>
          <w:szCs w:val="28"/>
        </w:rPr>
        <w:t>6.2 评标原则</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03A44139">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评标委员会应该按照客观、公正、审慎的原则，根据招标文件规定的评审程序、评审方法和评审标准进行独立评审。</w:t>
      </w:r>
    </w:p>
    <w:p w14:paraId="575623BD">
      <w:pPr>
        <w:pStyle w:val="4"/>
        <w:adjustRightInd w:val="0"/>
        <w:spacing w:before="0" w:after="0" w:line="432" w:lineRule="auto"/>
        <w:ind w:firstLine="280" w:firstLineChars="100"/>
        <w:jc w:val="left"/>
        <w:rPr>
          <w:rFonts w:ascii="黑体" w:hAnsi="黑体" w:eastAsia="黑体"/>
          <w:b w:val="0"/>
          <w:sz w:val="28"/>
          <w:szCs w:val="28"/>
        </w:rPr>
      </w:pPr>
      <w:bookmarkStart w:id="744" w:name="_Toc342294750"/>
      <w:bookmarkStart w:id="745" w:name="_Toc152042341"/>
      <w:bookmarkStart w:id="746" w:name="_Toc152045565"/>
      <w:bookmarkStart w:id="747" w:name="_Toc455587069"/>
      <w:bookmarkStart w:id="748" w:name="_Toc338943736"/>
      <w:bookmarkStart w:id="749" w:name="_Toc3215834"/>
      <w:bookmarkStart w:id="750" w:name="_Toc144974533"/>
      <w:bookmarkStart w:id="751" w:name="_Toc458504852"/>
      <w:bookmarkStart w:id="752" w:name="_Toc445554726"/>
      <w:bookmarkStart w:id="753" w:name="_Toc3219814"/>
      <w:bookmarkStart w:id="754" w:name="_Toc3295884"/>
      <w:bookmarkStart w:id="755" w:name="_Toc455587253"/>
      <w:bookmarkStart w:id="756" w:name="_Toc466024534"/>
      <w:bookmarkStart w:id="757" w:name="_Toc333600719"/>
      <w:bookmarkStart w:id="758" w:name="_Toc338944641"/>
      <w:bookmarkStart w:id="759" w:name="_Toc333599695"/>
      <w:bookmarkStart w:id="760" w:name="_Toc2176181"/>
      <w:bookmarkStart w:id="761" w:name="_Toc333587889"/>
      <w:bookmarkStart w:id="762" w:name="_Toc342296198"/>
      <w:bookmarkStart w:id="763" w:name="_Toc371415953"/>
      <w:bookmarkStart w:id="764" w:name="_Toc342297655"/>
      <w:bookmarkStart w:id="765" w:name="_Toc179632583"/>
      <w:r>
        <w:rPr>
          <w:rFonts w:hint="eastAsia" w:ascii="黑体" w:hAnsi="黑体" w:eastAsia="黑体"/>
          <w:b w:val="0"/>
          <w:sz w:val="28"/>
          <w:szCs w:val="28"/>
        </w:rPr>
        <w:t>6.3 评标</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14756B24">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6.3.1 评标委员会按照招标文件第四章“资格审查和评标办法”规定的方法、评审因素、标准和程序对投标文件进行评审。“评标办法”没有规定的方法、评审因素和标准，不作为评标依据。</w:t>
      </w:r>
      <w:bookmarkStart w:id="766" w:name="_Toc152045566"/>
      <w:bookmarkStart w:id="767" w:name="_Toc342296199"/>
      <w:bookmarkStart w:id="768" w:name="_Toc338943737"/>
      <w:bookmarkStart w:id="769" w:name="_Toc338944642"/>
      <w:bookmarkStart w:id="770" w:name="_Toc342297656"/>
      <w:bookmarkStart w:id="771" w:name="_Toc144974534"/>
      <w:bookmarkStart w:id="772" w:name="_Toc342294751"/>
      <w:bookmarkStart w:id="773" w:name="_Toc152042342"/>
      <w:bookmarkStart w:id="774" w:name="_Toc179632584"/>
      <w:bookmarkStart w:id="775" w:name="_Toc333600720"/>
      <w:bookmarkStart w:id="776" w:name="_Toc333599696"/>
    </w:p>
    <w:p w14:paraId="22F9726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6.3.2 评标完成后，评标委员会应当向采购人提交书面评标报告和中标候选人名单。评标委员会推荐中标</w:t>
      </w:r>
      <w:bookmarkStart w:id="777" w:name="_Toc247513982"/>
      <w:bookmarkStart w:id="778" w:name="_Toc384308240"/>
      <w:bookmarkStart w:id="779" w:name="_Toc247527583"/>
      <w:bookmarkStart w:id="780" w:name="_Toc352691502"/>
      <w:bookmarkStart w:id="781" w:name="_Toc369531546"/>
      <w:bookmarkStart w:id="782" w:name="_Toc12259"/>
      <w:bookmarkStart w:id="783" w:name="_Toc300834979"/>
      <w:bookmarkStart w:id="784" w:name="_Toc361508615"/>
      <w:r>
        <w:rPr>
          <w:rFonts w:hint="eastAsia" w:ascii="宋体" w:hAnsi="宋体"/>
          <w:szCs w:val="21"/>
        </w:rPr>
        <w:t>候选人的人数见投标供应商须知前附</w:t>
      </w:r>
      <w:bookmarkEnd w:id="777"/>
      <w:bookmarkEnd w:id="778"/>
      <w:bookmarkEnd w:id="779"/>
      <w:bookmarkEnd w:id="780"/>
      <w:bookmarkEnd w:id="781"/>
      <w:bookmarkEnd w:id="782"/>
      <w:bookmarkEnd w:id="783"/>
      <w:bookmarkEnd w:id="784"/>
      <w:r>
        <w:rPr>
          <w:rFonts w:hint="eastAsia" w:ascii="宋体" w:hAnsi="宋体"/>
          <w:szCs w:val="21"/>
        </w:rPr>
        <w:t>表。</w:t>
      </w:r>
    </w:p>
    <w:p w14:paraId="5E4C88DD">
      <w:pPr>
        <w:pStyle w:val="3"/>
        <w:spacing w:before="0" w:after="0" w:line="432" w:lineRule="auto"/>
        <w:rPr>
          <w:rStyle w:val="30"/>
          <w:rFonts w:hint="eastAsia" w:ascii="黑体" w:hAnsi="黑体"/>
          <w:b/>
          <w:bCs/>
        </w:rPr>
      </w:pPr>
      <w:bookmarkStart w:id="785" w:name="_Toc3215835"/>
      <w:bookmarkStart w:id="786" w:name="_Toc25291"/>
      <w:bookmarkStart w:id="787" w:name="_Toc455587254"/>
      <w:bookmarkStart w:id="788" w:name="_Toc2176182"/>
      <w:bookmarkStart w:id="789" w:name="_Toc458504853"/>
      <w:bookmarkStart w:id="790" w:name="_Toc466024535"/>
      <w:bookmarkStart w:id="791" w:name="_Toc21001"/>
      <w:bookmarkStart w:id="792" w:name="_Toc445554727"/>
      <w:bookmarkStart w:id="793" w:name="_Toc455587070"/>
      <w:bookmarkStart w:id="794" w:name="_Toc371415954"/>
      <w:bookmarkStart w:id="795" w:name="_Toc3295885"/>
      <w:bookmarkStart w:id="796" w:name="_Toc32108"/>
      <w:r>
        <w:rPr>
          <w:rStyle w:val="30"/>
          <w:rFonts w:hint="eastAsia" w:ascii="黑体" w:hAnsi="黑体"/>
          <w:b/>
          <w:bCs/>
        </w:rPr>
        <w:t>7. 合同授予</w:t>
      </w:r>
      <w:bookmarkEnd w:id="766"/>
      <w:bookmarkEnd w:id="767"/>
      <w:bookmarkEnd w:id="768"/>
      <w:bookmarkEnd w:id="769"/>
      <w:bookmarkEnd w:id="770"/>
      <w:bookmarkEnd w:id="771"/>
      <w:bookmarkEnd w:id="772"/>
      <w:bookmarkEnd w:id="773"/>
      <w:bookmarkEnd w:id="774"/>
      <w:bookmarkEnd w:id="775"/>
      <w:bookmarkEnd w:id="776"/>
      <w:bookmarkEnd w:id="785"/>
      <w:bookmarkEnd w:id="786"/>
      <w:bookmarkEnd w:id="787"/>
      <w:bookmarkEnd w:id="788"/>
      <w:bookmarkEnd w:id="789"/>
      <w:bookmarkEnd w:id="790"/>
      <w:bookmarkEnd w:id="791"/>
      <w:bookmarkEnd w:id="792"/>
      <w:bookmarkEnd w:id="793"/>
      <w:bookmarkEnd w:id="794"/>
      <w:bookmarkEnd w:id="795"/>
      <w:bookmarkEnd w:id="796"/>
    </w:p>
    <w:p w14:paraId="6EDF24D8">
      <w:pPr>
        <w:pStyle w:val="4"/>
        <w:adjustRightInd w:val="0"/>
        <w:spacing w:before="0" w:after="0" w:line="432" w:lineRule="auto"/>
        <w:ind w:firstLine="280" w:firstLineChars="100"/>
        <w:jc w:val="left"/>
        <w:rPr>
          <w:rFonts w:ascii="黑体" w:hAnsi="黑体" w:eastAsia="黑体"/>
          <w:b w:val="0"/>
          <w:sz w:val="28"/>
          <w:szCs w:val="28"/>
        </w:rPr>
      </w:pPr>
      <w:bookmarkStart w:id="797" w:name="_Toc362252685"/>
      <w:bookmarkStart w:id="798" w:name="_Toc445554728"/>
      <w:bookmarkStart w:id="799" w:name="_Toc455587255"/>
      <w:bookmarkStart w:id="800" w:name="_Toc458504854"/>
      <w:bookmarkStart w:id="801" w:name="_Toc349730879"/>
      <w:bookmarkStart w:id="802" w:name="_Toc371415955"/>
      <w:bookmarkStart w:id="803" w:name="_Toc466024536"/>
      <w:bookmarkStart w:id="804" w:name="_Toc455587071"/>
      <w:bookmarkStart w:id="805" w:name="_Toc3219816"/>
      <w:bookmarkStart w:id="806" w:name="_Toc3215836"/>
      <w:bookmarkStart w:id="807" w:name="_Toc2176183"/>
      <w:bookmarkStart w:id="808" w:name="_Toc3295886"/>
      <w:bookmarkStart w:id="809" w:name="_Toc144974535"/>
      <w:bookmarkStart w:id="810" w:name="_Toc152045567"/>
      <w:bookmarkStart w:id="811" w:name="_Toc338943738"/>
      <w:bookmarkStart w:id="812" w:name="_Toc342297657"/>
      <w:bookmarkStart w:id="813" w:name="_Toc338944643"/>
      <w:bookmarkStart w:id="814" w:name="_Toc179632585"/>
      <w:bookmarkStart w:id="815" w:name="_Toc333599697"/>
      <w:bookmarkStart w:id="816" w:name="_Toc333587891"/>
      <w:bookmarkStart w:id="817" w:name="_Toc333600721"/>
      <w:bookmarkStart w:id="818" w:name="_Toc342294752"/>
      <w:bookmarkStart w:id="819" w:name="_Toc342296200"/>
      <w:bookmarkStart w:id="820" w:name="_Toc152042343"/>
      <w:r>
        <w:rPr>
          <w:rFonts w:hint="eastAsia" w:ascii="黑体" w:hAnsi="黑体" w:eastAsia="黑体"/>
          <w:b w:val="0"/>
          <w:sz w:val="28"/>
          <w:szCs w:val="28"/>
        </w:rPr>
        <w:t>7.1</w:t>
      </w:r>
      <w:bookmarkEnd w:id="797"/>
      <w:bookmarkEnd w:id="798"/>
      <w:bookmarkEnd w:id="799"/>
      <w:bookmarkEnd w:id="800"/>
      <w:bookmarkEnd w:id="801"/>
      <w:bookmarkEnd w:id="802"/>
      <w:bookmarkEnd w:id="803"/>
      <w:bookmarkEnd w:id="804"/>
      <w:r>
        <w:rPr>
          <w:rFonts w:hint="eastAsia" w:ascii="黑体" w:hAnsi="黑体" w:eastAsia="黑体"/>
          <w:b w:val="0"/>
          <w:sz w:val="28"/>
          <w:szCs w:val="28"/>
        </w:rPr>
        <w:t xml:space="preserve"> 确定中标人</w:t>
      </w:r>
      <w:bookmarkEnd w:id="805"/>
      <w:bookmarkEnd w:id="806"/>
      <w:bookmarkEnd w:id="807"/>
      <w:bookmarkEnd w:id="808"/>
    </w:p>
    <w:p w14:paraId="71303FBD">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7.1.1 按照投标供应商须知前附表规定，采购人或采购人委托的评标委员在评标报告确定的中标候选人名单中按顺序确定中标人。中标候选人并列的，由采购人或者采购人委托评标委员会按照招标文件规定的方式确定中标人；招标文件未规定的，由评标委员会通过随机抽取的方式确定。</w:t>
      </w:r>
    </w:p>
    <w:p w14:paraId="6414FEF1">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7.1.2 采购人确定中标人后，按投标供应商须知前附表规定的公告中标结果，公告内容和期限符合投标供应商须知前附表规定。</w:t>
      </w:r>
    </w:p>
    <w:p w14:paraId="35BF76A8">
      <w:pPr>
        <w:pStyle w:val="4"/>
        <w:adjustRightInd w:val="0"/>
        <w:spacing w:before="0" w:after="0" w:line="432" w:lineRule="auto"/>
        <w:ind w:firstLine="280" w:firstLineChars="100"/>
        <w:jc w:val="left"/>
        <w:rPr>
          <w:rFonts w:hint="eastAsia" w:ascii="黑体" w:hAnsi="黑体" w:eastAsia="黑体"/>
          <w:b w:val="0"/>
          <w:sz w:val="28"/>
          <w:szCs w:val="28"/>
        </w:rPr>
      </w:pPr>
      <w:bookmarkStart w:id="821" w:name="_Toc3295887"/>
      <w:bookmarkStart w:id="822" w:name="_Toc2176184"/>
      <w:bookmarkStart w:id="823" w:name="_Toc3219817"/>
      <w:bookmarkStart w:id="824" w:name="_Toc3215837"/>
      <w:r>
        <w:rPr>
          <w:rFonts w:hint="eastAsia" w:ascii="黑体" w:hAnsi="黑体" w:eastAsia="黑体"/>
          <w:b w:val="0"/>
          <w:sz w:val="28"/>
          <w:szCs w:val="28"/>
        </w:rPr>
        <w:t>7.2 中标结果质疑</w:t>
      </w:r>
      <w:bookmarkEnd w:id="821"/>
      <w:bookmarkEnd w:id="822"/>
      <w:bookmarkEnd w:id="823"/>
      <w:bookmarkEnd w:id="824"/>
    </w:p>
    <w:p w14:paraId="75D3DE4D">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供应商认为采购文件、采购过程、中标或者成交结果使自己的权益受到损害的，可以在知道或者应知其权益受到损害之日起7个工作日内，以书面形式向采购人、采购代理机构提出质疑。以联合体形式参加政府采购活动的，质疑应当由联合体所以成员共同提出。</w:t>
      </w:r>
    </w:p>
    <w:p w14:paraId="551DAB59">
      <w:pPr>
        <w:pStyle w:val="4"/>
        <w:adjustRightInd w:val="0"/>
        <w:spacing w:before="0" w:after="0" w:line="432" w:lineRule="auto"/>
        <w:ind w:firstLine="280" w:firstLineChars="100"/>
        <w:jc w:val="left"/>
        <w:rPr>
          <w:rFonts w:ascii="黑体" w:hAnsi="黑体" w:eastAsia="黑体"/>
          <w:b w:val="0"/>
          <w:sz w:val="28"/>
          <w:szCs w:val="28"/>
        </w:rPr>
      </w:pPr>
      <w:bookmarkStart w:id="825" w:name="_Toc445554730"/>
      <w:bookmarkStart w:id="826" w:name="_Toc3295888"/>
      <w:bookmarkStart w:id="827" w:name="_Toc349730880"/>
      <w:bookmarkStart w:id="828" w:name="_Toc3219818"/>
      <w:bookmarkStart w:id="829" w:name="_Toc455587072"/>
      <w:bookmarkStart w:id="830" w:name="_Toc3215838"/>
      <w:bookmarkStart w:id="831" w:name="_Toc466024537"/>
      <w:bookmarkStart w:id="832" w:name="_Toc362252686"/>
      <w:bookmarkStart w:id="833" w:name="_Toc458504855"/>
      <w:bookmarkStart w:id="834" w:name="_Toc2176185"/>
      <w:bookmarkStart w:id="835" w:name="_Toc455587256"/>
      <w:bookmarkStart w:id="836" w:name="_Toc371415957"/>
      <w:r>
        <w:rPr>
          <w:rFonts w:hint="eastAsia" w:ascii="黑体" w:hAnsi="黑体" w:eastAsia="黑体"/>
          <w:b w:val="0"/>
          <w:sz w:val="28"/>
          <w:szCs w:val="28"/>
        </w:rPr>
        <w:t>7.3 中标通知</w:t>
      </w:r>
      <w:bookmarkEnd w:id="825"/>
      <w:bookmarkEnd w:id="826"/>
      <w:bookmarkEnd w:id="827"/>
      <w:bookmarkEnd w:id="828"/>
      <w:bookmarkEnd w:id="829"/>
      <w:bookmarkEnd w:id="830"/>
      <w:bookmarkEnd w:id="831"/>
      <w:bookmarkEnd w:id="832"/>
      <w:bookmarkEnd w:id="833"/>
      <w:bookmarkEnd w:id="834"/>
      <w:bookmarkEnd w:id="835"/>
      <w:bookmarkEnd w:id="836"/>
    </w:p>
    <w:p w14:paraId="402057F3">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7.3.1 中标结果确定后，采购人以书面形式向中标人发出中标通知书。</w:t>
      </w:r>
    </w:p>
    <w:p w14:paraId="62ECEC9D">
      <w:pPr>
        <w:widowControl/>
        <w:adjustRightInd w:val="0"/>
        <w:snapToGrid w:val="0"/>
        <w:spacing w:line="432" w:lineRule="auto"/>
        <w:ind w:firstLine="420" w:firstLineChars="200"/>
        <w:jc w:val="left"/>
        <w:rPr>
          <w:rFonts w:ascii="宋体" w:hAnsi="宋体"/>
          <w:szCs w:val="21"/>
        </w:rPr>
      </w:pPr>
      <w:r>
        <w:rPr>
          <w:rFonts w:hint="eastAsia" w:ascii="宋体" w:hAnsi="宋体"/>
          <w:szCs w:val="21"/>
        </w:rPr>
        <w:t>7.3.2 中标人领取中标通知书前须向采购代理机构支付招标代理服务费，其计取标准：</w:t>
      </w:r>
      <w:r>
        <w:rPr>
          <w:rFonts w:hint="eastAsia" w:ascii="宋体" w:hAnsi="宋体"/>
          <w:szCs w:val="21"/>
          <w:u w:val="single"/>
        </w:rPr>
        <w:t>详见投标供应商须知前附表</w:t>
      </w:r>
      <w:r>
        <w:rPr>
          <w:rFonts w:hint="eastAsia" w:ascii="宋体" w:hAnsi="宋体"/>
          <w:szCs w:val="21"/>
        </w:rPr>
        <w:t>。</w:t>
      </w:r>
    </w:p>
    <w:p w14:paraId="53255BD8">
      <w:pPr>
        <w:pStyle w:val="4"/>
        <w:adjustRightInd w:val="0"/>
        <w:spacing w:before="0" w:after="0" w:line="432" w:lineRule="auto"/>
        <w:ind w:firstLine="280" w:firstLineChars="100"/>
        <w:jc w:val="left"/>
        <w:rPr>
          <w:rFonts w:ascii="黑体" w:hAnsi="黑体" w:eastAsia="黑体"/>
          <w:b w:val="0"/>
          <w:sz w:val="28"/>
          <w:szCs w:val="28"/>
        </w:rPr>
      </w:pPr>
      <w:bookmarkStart w:id="837" w:name="_Toc371415958"/>
      <w:bookmarkStart w:id="838" w:name="_Toc362252687"/>
      <w:bookmarkStart w:id="839" w:name="_Toc458504856"/>
      <w:bookmarkStart w:id="840" w:name="_Toc455587073"/>
      <w:bookmarkStart w:id="841" w:name="_Toc466024538"/>
      <w:bookmarkStart w:id="842" w:name="_Toc445554731"/>
      <w:bookmarkStart w:id="843" w:name="_Toc455587257"/>
      <w:bookmarkStart w:id="844" w:name="_Toc349730881"/>
      <w:bookmarkStart w:id="845" w:name="_Toc2176186"/>
      <w:bookmarkStart w:id="846" w:name="_Toc3295889"/>
      <w:bookmarkStart w:id="847" w:name="_Toc3219819"/>
      <w:bookmarkStart w:id="848" w:name="_Toc3215839"/>
      <w:r>
        <w:rPr>
          <w:rFonts w:hint="eastAsia" w:ascii="黑体" w:hAnsi="黑体" w:eastAsia="黑体"/>
          <w:b w:val="0"/>
          <w:sz w:val="28"/>
          <w:szCs w:val="28"/>
        </w:rPr>
        <w:t>7.4 履约</w:t>
      </w:r>
      <w:bookmarkEnd w:id="837"/>
      <w:bookmarkEnd w:id="838"/>
      <w:bookmarkEnd w:id="839"/>
      <w:bookmarkEnd w:id="840"/>
      <w:bookmarkEnd w:id="841"/>
      <w:bookmarkEnd w:id="842"/>
      <w:bookmarkEnd w:id="843"/>
      <w:bookmarkEnd w:id="844"/>
      <w:r>
        <w:rPr>
          <w:rFonts w:hint="eastAsia" w:ascii="黑体" w:hAnsi="黑体" w:eastAsia="黑体"/>
          <w:b w:val="0"/>
          <w:sz w:val="28"/>
          <w:szCs w:val="28"/>
        </w:rPr>
        <w:t>保证金</w:t>
      </w:r>
      <w:bookmarkEnd w:id="845"/>
      <w:bookmarkEnd w:id="846"/>
      <w:bookmarkEnd w:id="847"/>
      <w:bookmarkEnd w:id="848"/>
    </w:p>
    <w:p w14:paraId="5F8242F9">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7.4.1 在签订合同前，中标人应按投标供应商须知前附表规定的金额、形式向采购人提交履约保证金。联合体中标的，其履约保证金以联合体各方或者联合体中牵头人的名义提交。</w:t>
      </w:r>
    </w:p>
    <w:p w14:paraId="44E3235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7.4.2 除投标供应商须知前附表另有规定外，中标人不能按要求提交履约保证金的，其投标保证金不予退还；给采购人造成的损失超过投标保证金数额的，中标人还应当对超过部分予以赔偿。</w:t>
      </w:r>
    </w:p>
    <w:p w14:paraId="5B1438CD">
      <w:pPr>
        <w:pStyle w:val="4"/>
        <w:adjustRightInd w:val="0"/>
        <w:spacing w:before="0" w:after="0" w:line="432" w:lineRule="auto"/>
        <w:ind w:firstLine="280" w:firstLineChars="100"/>
        <w:jc w:val="left"/>
        <w:rPr>
          <w:rFonts w:ascii="黑体" w:hAnsi="黑体" w:eastAsia="黑体"/>
          <w:b w:val="0"/>
          <w:sz w:val="28"/>
          <w:szCs w:val="28"/>
        </w:rPr>
      </w:pPr>
      <w:bookmarkStart w:id="849" w:name="_Toc3219820"/>
      <w:bookmarkStart w:id="850" w:name="_Toc3295890"/>
      <w:bookmarkStart w:id="851" w:name="_Toc333599700"/>
      <w:bookmarkStart w:id="852" w:name="_Toc3215840"/>
      <w:bookmarkStart w:id="853" w:name="_Toc455587258"/>
      <w:bookmarkStart w:id="854" w:name="_Toc342294755"/>
      <w:bookmarkStart w:id="855" w:name="_Toc445554732"/>
      <w:bookmarkStart w:id="856" w:name="_Toc349730882"/>
      <w:bookmarkStart w:id="857" w:name="_Toc342296203"/>
      <w:bookmarkStart w:id="858" w:name="_Toc458504857"/>
      <w:bookmarkStart w:id="859" w:name="_Toc2176187"/>
      <w:bookmarkStart w:id="860" w:name="_Toc333587894"/>
      <w:bookmarkStart w:id="861" w:name="_Toc466024539"/>
      <w:bookmarkStart w:id="862" w:name="_Toc338943741"/>
      <w:bookmarkStart w:id="863" w:name="_Toc455587074"/>
      <w:bookmarkStart w:id="864" w:name="_Toc371415959"/>
      <w:bookmarkStart w:id="865" w:name="_Toc179632588"/>
      <w:bookmarkStart w:id="866" w:name="_Toc338944646"/>
      <w:bookmarkStart w:id="867" w:name="_Toc333600724"/>
      <w:bookmarkStart w:id="868" w:name="_Toc362252688"/>
      <w:r>
        <w:rPr>
          <w:rFonts w:hint="eastAsia" w:ascii="黑体" w:hAnsi="黑体" w:eastAsia="黑体"/>
          <w:b w:val="0"/>
          <w:sz w:val="28"/>
          <w:szCs w:val="28"/>
        </w:rPr>
        <w:t>7.5 签订合同</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p w14:paraId="5A9D71FC">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7.5.1 采购人和中标人应当在中标通知书发出之日起7个工作日内，根据招标文件和中标人的投标文件订立书面合同，所签订的合同不得对招标文件确定的事项和中标人投标文件作实质性修改。中标人无正当理由拒签合同，在签订合同时向采购人提出附加条件，采购人有权取消其中标资格；给采购人造成的损失由中标人承担。</w:t>
      </w:r>
    </w:p>
    <w:p w14:paraId="001E412F">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7.5.2 因中标人原因未签订合同的，采购人可以按照评审报告推荐的中标候选人名单排序，确定下一候选人为中标人，也可以重新开展政府采购活动。</w:t>
      </w:r>
    </w:p>
    <w:p w14:paraId="3FFA962A">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7.5.3 发出中标通知书后，采购人无正当理由拒签合同的，按照相关规定予以处理。</w:t>
      </w:r>
    </w:p>
    <w:p w14:paraId="7FF9D3A4">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7.5.4 联合体中标的，联合体各方应当共同与采购人签订合同，就中标项目向采购人承担连带责任。</w:t>
      </w:r>
    </w:p>
    <w:p w14:paraId="1ACFE07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7.5.5 依据《政府采购促进中小企业发展管理办法》（财库〔2020〕46 号）以及《进一步加大政府采购支持中小企业力度》（财库〔2022〕19号） 规定享受扶持政策获得政府采购合同的，小微企业不得将合同分包给大中型企业，中型企业不得将合同分包给大型企业。</w:t>
      </w:r>
    </w:p>
    <w:bookmarkEnd w:id="809"/>
    <w:bookmarkEnd w:id="810"/>
    <w:bookmarkEnd w:id="811"/>
    <w:bookmarkEnd w:id="812"/>
    <w:bookmarkEnd w:id="813"/>
    <w:bookmarkEnd w:id="814"/>
    <w:bookmarkEnd w:id="815"/>
    <w:bookmarkEnd w:id="816"/>
    <w:bookmarkEnd w:id="817"/>
    <w:bookmarkEnd w:id="818"/>
    <w:bookmarkEnd w:id="819"/>
    <w:bookmarkEnd w:id="820"/>
    <w:p w14:paraId="4C5D9144">
      <w:pPr>
        <w:pStyle w:val="3"/>
        <w:spacing w:before="0" w:after="0" w:line="432" w:lineRule="auto"/>
        <w:rPr>
          <w:rStyle w:val="30"/>
          <w:rFonts w:hint="eastAsia" w:ascii="黑体" w:hAnsi="黑体"/>
          <w:b/>
          <w:bCs/>
        </w:rPr>
      </w:pPr>
      <w:bookmarkStart w:id="869" w:name="_Toc458504860"/>
      <w:bookmarkStart w:id="870" w:name="_Toc455587075"/>
      <w:bookmarkStart w:id="871" w:name="_Toc455587259"/>
      <w:bookmarkStart w:id="872" w:name="_Toc2176188"/>
      <w:bookmarkStart w:id="873" w:name="_Toc25657"/>
      <w:bookmarkStart w:id="874" w:name="_Toc29092"/>
      <w:bookmarkStart w:id="875" w:name="_Toc3215841"/>
      <w:bookmarkStart w:id="876" w:name="_Toc3295891"/>
      <w:bookmarkStart w:id="877" w:name="_Toc466024542"/>
      <w:bookmarkStart w:id="878" w:name="_Toc29360"/>
      <w:r>
        <w:rPr>
          <w:rStyle w:val="30"/>
          <w:rFonts w:hint="eastAsia" w:ascii="黑体" w:hAnsi="黑体"/>
          <w:b/>
          <w:bCs/>
        </w:rPr>
        <w:t>8. 废标</w:t>
      </w:r>
      <w:bookmarkEnd w:id="869"/>
      <w:bookmarkEnd w:id="870"/>
      <w:bookmarkEnd w:id="871"/>
      <w:r>
        <w:rPr>
          <w:rStyle w:val="30"/>
          <w:rFonts w:hint="eastAsia" w:ascii="黑体" w:hAnsi="黑体"/>
          <w:b/>
          <w:bCs/>
        </w:rPr>
        <w:t>、变更采购方式与终止招标</w:t>
      </w:r>
      <w:bookmarkEnd w:id="872"/>
      <w:bookmarkEnd w:id="873"/>
      <w:bookmarkEnd w:id="874"/>
      <w:bookmarkEnd w:id="875"/>
      <w:bookmarkEnd w:id="876"/>
      <w:bookmarkEnd w:id="877"/>
      <w:bookmarkEnd w:id="878"/>
    </w:p>
    <w:p w14:paraId="1E0D8714">
      <w:pPr>
        <w:pStyle w:val="4"/>
        <w:adjustRightInd w:val="0"/>
        <w:spacing w:before="0" w:after="0" w:line="432" w:lineRule="auto"/>
        <w:ind w:firstLine="280" w:firstLineChars="100"/>
        <w:jc w:val="left"/>
        <w:rPr>
          <w:rFonts w:hint="eastAsia" w:ascii="黑体" w:hAnsi="黑体" w:eastAsia="黑体"/>
          <w:b w:val="0"/>
          <w:sz w:val="28"/>
          <w:szCs w:val="28"/>
        </w:rPr>
      </w:pPr>
      <w:bookmarkStart w:id="879" w:name="_Toc3215842"/>
      <w:bookmarkStart w:id="880" w:name="_Toc466024543"/>
      <w:bookmarkStart w:id="881" w:name="_Toc3219822"/>
      <w:bookmarkStart w:id="882" w:name="_Toc455587260"/>
      <w:bookmarkStart w:id="883" w:name="_Toc458504861"/>
      <w:bookmarkStart w:id="884" w:name="_Toc455587076"/>
      <w:bookmarkStart w:id="885" w:name="_Toc3295892"/>
      <w:bookmarkStart w:id="886" w:name="_Toc2176189"/>
      <w:bookmarkStart w:id="887" w:name="_Toc338943743"/>
      <w:bookmarkStart w:id="888" w:name="_Toc179632590"/>
      <w:bookmarkStart w:id="889" w:name="_Toc152042348"/>
      <w:bookmarkStart w:id="890" w:name="_Toc333587896"/>
      <w:bookmarkStart w:id="891" w:name="_Toc342294757"/>
      <w:bookmarkStart w:id="892" w:name="_Toc342297662"/>
      <w:bookmarkStart w:id="893" w:name="_Toc333599702"/>
      <w:bookmarkStart w:id="894" w:name="_Toc152045572"/>
      <w:bookmarkStart w:id="895" w:name="_Toc338944648"/>
      <w:bookmarkStart w:id="896" w:name="_Toc333600726"/>
      <w:bookmarkStart w:id="897" w:name="_Toc371415961"/>
      <w:bookmarkStart w:id="898" w:name="_Toc445554734"/>
      <w:bookmarkStart w:id="899" w:name="_Toc342296205"/>
      <w:bookmarkStart w:id="900" w:name="_Toc144974540"/>
      <w:r>
        <w:rPr>
          <w:rFonts w:hint="eastAsia" w:ascii="黑体" w:hAnsi="黑体" w:eastAsia="黑体"/>
          <w:b w:val="0"/>
          <w:sz w:val="28"/>
          <w:szCs w:val="28"/>
        </w:rPr>
        <w:t>8.1 废标</w:t>
      </w:r>
      <w:bookmarkEnd w:id="879"/>
      <w:bookmarkEnd w:id="880"/>
      <w:bookmarkEnd w:id="881"/>
      <w:bookmarkEnd w:id="882"/>
      <w:bookmarkEnd w:id="883"/>
      <w:bookmarkEnd w:id="884"/>
      <w:bookmarkEnd w:id="885"/>
      <w:bookmarkEnd w:id="886"/>
    </w:p>
    <w:p w14:paraId="602CE6D8">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8.1.1 出现下列情形之一的，应予废标：</w:t>
      </w:r>
    </w:p>
    <w:p w14:paraId="70438614">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（1）符合专业条件的投标供应商或者对招标文件作实质响应的投标供应商不足3家的；</w:t>
      </w:r>
    </w:p>
    <w:p w14:paraId="37EFC87D">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（2）出现影响采购公正的违法、违规行为的；</w:t>
      </w:r>
    </w:p>
    <w:p w14:paraId="1A04202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（3）投标供应商的报价均超过了采购预算或最高限价（多包的采购的，指调节后的采购预算），采购人不能支付的；</w:t>
      </w:r>
    </w:p>
    <w:p w14:paraId="46999924">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（4）因重大变故，采购任务取消的。</w:t>
      </w:r>
    </w:p>
    <w:p w14:paraId="12B65015">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8.1.2 废标后，采购人应当将废标理由通知所有投标供应商。</w:t>
      </w:r>
    </w:p>
    <w:p w14:paraId="4B359257">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8.1.3 废标后，除采购任务取消情形外，应当重新组织招标；需要采取其他方式采购的，需要批准的应当在采购活动开始前获得批准。</w:t>
      </w:r>
    </w:p>
    <w:p w14:paraId="71C8C386">
      <w:pPr>
        <w:pStyle w:val="4"/>
        <w:adjustRightInd w:val="0"/>
        <w:spacing w:before="0" w:after="0" w:line="432" w:lineRule="auto"/>
        <w:ind w:firstLine="280" w:firstLineChars="100"/>
        <w:jc w:val="left"/>
        <w:rPr>
          <w:rFonts w:ascii="黑体" w:hAnsi="黑体" w:eastAsia="黑体"/>
          <w:b w:val="0"/>
          <w:sz w:val="28"/>
          <w:szCs w:val="28"/>
        </w:rPr>
      </w:pPr>
      <w:bookmarkStart w:id="901" w:name="_Toc455587261"/>
      <w:bookmarkStart w:id="902" w:name="_Toc455587077"/>
      <w:bookmarkStart w:id="903" w:name="_Toc458504862"/>
      <w:bookmarkStart w:id="904" w:name="_Toc3215843"/>
      <w:bookmarkStart w:id="905" w:name="_Toc3295893"/>
      <w:bookmarkStart w:id="906" w:name="_Toc466024544"/>
      <w:bookmarkStart w:id="907" w:name="_Toc3219823"/>
      <w:bookmarkStart w:id="908" w:name="_Toc2176190"/>
      <w:r>
        <w:rPr>
          <w:rFonts w:hint="eastAsia" w:ascii="黑体" w:hAnsi="黑体" w:eastAsia="黑体"/>
          <w:b w:val="0"/>
          <w:sz w:val="28"/>
          <w:szCs w:val="28"/>
        </w:rPr>
        <w:t>8.2</w:t>
      </w:r>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r>
        <w:rPr>
          <w:rFonts w:hint="eastAsia" w:ascii="黑体" w:hAnsi="黑体" w:eastAsia="黑体"/>
          <w:b w:val="0"/>
          <w:sz w:val="28"/>
          <w:szCs w:val="28"/>
        </w:rPr>
        <w:t xml:space="preserve"> 重新招标与变更采购方式</w:t>
      </w:r>
      <w:bookmarkEnd w:id="903"/>
      <w:bookmarkEnd w:id="904"/>
      <w:bookmarkEnd w:id="905"/>
      <w:bookmarkEnd w:id="906"/>
      <w:bookmarkEnd w:id="907"/>
      <w:bookmarkEnd w:id="908"/>
    </w:p>
    <w:p w14:paraId="32DFAA2B">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8.2.1 公开招标数额标准以上的采购项目，投标截止后投标供应商不足3家或者通过资格审查或符合性审查的投标供应商不足3家的，除采购任务取消情形外，按照以下方式处理：</w:t>
      </w:r>
    </w:p>
    <w:p w14:paraId="74C9BDD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（1）招标文件存在不合理条款或者招标程序不符合规定的，采购人、采购代理机构改正后依法重新招标；</w:t>
      </w:r>
    </w:p>
    <w:p w14:paraId="6AE8F4F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（2）招标文件没有不合理条款、招标程序符合规定，需要采用其他采购方式采购的，采购人应当依法报财政部门批准。</w:t>
      </w:r>
    </w:p>
    <w:p w14:paraId="09777B1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8.2.2 公开招标数额标准以上的采购项目，出现本章8.2.1项情形或者重新招标未能成立的，采购人拟申请采用其他方式采购的，应由评标委员会或者3名以上评审专家出具招标文件没有不合理条款的论证意见。</w:t>
      </w:r>
    </w:p>
    <w:p w14:paraId="524DE643">
      <w:pPr>
        <w:pStyle w:val="4"/>
        <w:adjustRightInd w:val="0"/>
        <w:spacing w:before="0" w:after="0" w:line="432" w:lineRule="auto"/>
        <w:ind w:firstLine="280" w:firstLineChars="100"/>
        <w:jc w:val="left"/>
        <w:rPr>
          <w:rFonts w:hint="eastAsia" w:ascii="黑体" w:hAnsi="黑体" w:eastAsia="黑体"/>
          <w:b w:val="0"/>
          <w:sz w:val="28"/>
          <w:szCs w:val="28"/>
        </w:rPr>
      </w:pPr>
      <w:bookmarkStart w:id="909" w:name="_Toc458504863"/>
      <w:bookmarkStart w:id="910" w:name="_Toc3295894"/>
      <w:bookmarkStart w:id="911" w:name="_Toc2176191"/>
      <w:bookmarkStart w:id="912" w:name="_Toc455587078"/>
      <w:bookmarkStart w:id="913" w:name="_Toc3219824"/>
      <w:bookmarkStart w:id="914" w:name="_Toc3215844"/>
      <w:bookmarkStart w:id="915" w:name="_Toc455587262"/>
      <w:bookmarkStart w:id="916" w:name="_Toc445554736"/>
      <w:bookmarkStart w:id="917" w:name="_Toc466024545"/>
      <w:bookmarkStart w:id="918" w:name="_Toc338944650"/>
      <w:bookmarkStart w:id="919" w:name="_Toc144974542"/>
      <w:bookmarkStart w:id="920" w:name="_Toc152045574"/>
      <w:bookmarkStart w:id="921" w:name="_Toc152042350"/>
      <w:bookmarkStart w:id="922" w:name="_Toc333599704"/>
      <w:bookmarkStart w:id="923" w:name="_Toc333600728"/>
      <w:bookmarkStart w:id="924" w:name="_Toc338943745"/>
      <w:bookmarkStart w:id="925" w:name="_Toc342296207"/>
      <w:bookmarkStart w:id="926" w:name="_Toc179632592"/>
      <w:bookmarkStart w:id="927" w:name="_Toc342294759"/>
      <w:bookmarkStart w:id="928" w:name="_Toc342297664"/>
      <w:r>
        <w:rPr>
          <w:rFonts w:hint="eastAsia" w:ascii="黑体" w:hAnsi="黑体" w:eastAsia="黑体"/>
          <w:b w:val="0"/>
          <w:sz w:val="28"/>
          <w:szCs w:val="28"/>
        </w:rPr>
        <w:t>8.3 终止招标</w:t>
      </w:r>
      <w:bookmarkEnd w:id="909"/>
      <w:bookmarkEnd w:id="910"/>
      <w:bookmarkEnd w:id="911"/>
      <w:bookmarkEnd w:id="912"/>
      <w:bookmarkEnd w:id="913"/>
      <w:bookmarkEnd w:id="914"/>
      <w:bookmarkEnd w:id="915"/>
      <w:bookmarkEnd w:id="916"/>
      <w:bookmarkEnd w:id="917"/>
    </w:p>
    <w:p w14:paraId="014510B7">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因不可抗力等原因，采购人终止招标的，将及时发布公告，或者以书面形式通知被邀请的或者已经获取招标文件的潜在投标供应商。</w:t>
      </w:r>
    </w:p>
    <w:bookmarkEnd w:id="918"/>
    <w:bookmarkEnd w:id="919"/>
    <w:bookmarkEnd w:id="920"/>
    <w:bookmarkEnd w:id="921"/>
    <w:bookmarkEnd w:id="922"/>
    <w:bookmarkEnd w:id="923"/>
    <w:bookmarkEnd w:id="924"/>
    <w:bookmarkEnd w:id="925"/>
    <w:bookmarkEnd w:id="926"/>
    <w:bookmarkEnd w:id="927"/>
    <w:bookmarkEnd w:id="928"/>
    <w:p w14:paraId="003DB16E">
      <w:pPr>
        <w:pStyle w:val="3"/>
        <w:spacing w:before="0" w:after="0" w:line="432" w:lineRule="auto"/>
        <w:rPr>
          <w:rStyle w:val="30"/>
          <w:rFonts w:hint="eastAsia" w:ascii="黑体" w:hAnsi="黑体"/>
          <w:b/>
          <w:bCs/>
        </w:rPr>
      </w:pPr>
      <w:bookmarkStart w:id="929" w:name="_Toc2032"/>
      <w:bookmarkStart w:id="930" w:name="_Toc3295895"/>
      <w:bookmarkStart w:id="931" w:name="_Toc26390"/>
      <w:bookmarkStart w:id="932" w:name="_Toc2176192"/>
      <w:bookmarkStart w:id="933" w:name="_Toc7573"/>
      <w:bookmarkStart w:id="934" w:name="_Toc3215845"/>
      <w:bookmarkStart w:id="935" w:name="_Toc445554737"/>
      <w:bookmarkStart w:id="936" w:name="_Toc458504864"/>
      <w:bookmarkStart w:id="937" w:name="_Toc455587079"/>
      <w:bookmarkStart w:id="938" w:name="_Toc455587263"/>
      <w:bookmarkStart w:id="939" w:name="_Toc466024546"/>
      <w:r>
        <w:rPr>
          <w:rStyle w:val="30"/>
          <w:rFonts w:hint="eastAsia" w:ascii="黑体" w:hAnsi="黑体"/>
          <w:b/>
          <w:bCs/>
        </w:rPr>
        <w:t>9. 询问与质疑</w:t>
      </w:r>
      <w:bookmarkEnd w:id="929"/>
      <w:bookmarkEnd w:id="930"/>
      <w:bookmarkEnd w:id="931"/>
      <w:bookmarkEnd w:id="932"/>
      <w:bookmarkEnd w:id="933"/>
      <w:bookmarkEnd w:id="934"/>
    </w:p>
    <w:p w14:paraId="53B256F3">
      <w:pPr>
        <w:pStyle w:val="4"/>
        <w:adjustRightInd w:val="0"/>
        <w:spacing w:before="0" w:after="0" w:line="432" w:lineRule="auto"/>
        <w:ind w:firstLine="280" w:firstLineChars="100"/>
        <w:jc w:val="left"/>
        <w:rPr>
          <w:rFonts w:hint="eastAsia" w:ascii="黑体" w:hAnsi="黑体" w:eastAsia="黑体"/>
          <w:b w:val="0"/>
          <w:sz w:val="28"/>
          <w:szCs w:val="28"/>
        </w:rPr>
      </w:pPr>
      <w:bookmarkStart w:id="940" w:name="_Toc2176193"/>
      <w:bookmarkStart w:id="941" w:name="_Toc3219826"/>
      <w:bookmarkStart w:id="942" w:name="_Toc3215846"/>
      <w:bookmarkStart w:id="943" w:name="_Toc3295896"/>
      <w:r>
        <w:rPr>
          <w:rFonts w:hint="eastAsia" w:ascii="黑体" w:hAnsi="黑体" w:eastAsia="黑体"/>
          <w:b w:val="0"/>
          <w:sz w:val="28"/>
          <w:szCs w:val="28"/>
        </w:rPr>
        <w:t>9.1 询问与质疑的提出</w:t>
      </w:r>
      <w:bookmarkEnd w:id="940"/>
      <w:bookmarkEnd w:id="941"/>
      <w:bookmarkEnd w:id="942"/>
      <w:bookmarkEnd w:id="943"/>
    </w:p>
    <w:p w14:paraId="31872638">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9.1.1 投标供应商对招标文件、采购过程、中标结果有相关疑问的，可以向采购代理机构提出询问。认为其权益受到损害的，可以提出书面质疑。质疑材料应当采用中文，有关材料是外文的，应当同时提供其中文译本。</w:t>
      </w:r>
    </w:p>
    <w:p w14:paraId="05DCBFB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9.1.2 提出质疑的投标供应商应当是参与所质疑项目采购活动的投标供应商。潜在投标供应商已依法获取其可质疑的招标文件的，可以对招标文件提出质疑。</w:t>
      </w:r>
    </w:p>
    <w:p w14:paraId="60436115">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9.1.3 投标供应商应当在法定质疑期内一次性提出针对同一采购程序环节的质疑。质疑应当有具体的事项及根据，不得进行虚假、恶意质疑，扰乱政府采购活动正常的工作秩序。</w:t>
      </w:r>
    </w:p>
    <w:p w14:paraId="7801E357">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9.1.4 接受质疑的单位、联系人及联系方式，详见《招标公告》中的采购人及采购代理机构的联系方式。</w:t>
      </w:r>
    </w:p>
    <w:p w14:paraId="737E735A">
      <w:pPr>
        <w:pStyle w:val="4"/>
        <w:adjustRightInd w:val="0"/>
        <w:spacing w:before="0" w:after="0" w:line="432" w:lineRule="auto"/>
        <w:ind w:firstLine="280" w:firstLineChars="100"/>
        <w:jc w:val="left"/>
        <w:rPr>
          <w:rFonts w:hint="eastAsia" w:ascii="黑体" w:hAnsi="黑体" w:eastAsia="黑体"/>
          <w:b w:val="0"/>
          <w:sz w:val="28"/>
          <w:szCs w:val="28"/>
        </w:rPr>
      </w:pPr>
      <w:bookmarkStart w:id="944" w:name="_Toc3295897"/>
      <w:bookmarkStart w:id="945" w:name="_Toc3219827"/>
      <w:bookmarkStart w:id="946" w:name="_Toc2176194"/>
      <w:bookmarkStart w:id="947" w:name="_Toc3215847"/>
      <w:r>
        <w:rPr>
          <w:rFonts w:hint="eastAsia" w:ascii="黑体" w:hAnsi="黑体" w:eastAsia="黑体"/>
          <w:b w:val="0"/>
          <w:sz w:val="28"/>
          <w:szCs w:val="28"/>
        </w:rPr>
        <w:t>9.2 质疑材料的要求</w:t>
      </w:r>
      <w:bookmarkEnd w:id="944"/>
      <w:bookmarkEnd w:id="945"/>
      <w:bookmarkEnd w:id="946"/>
      <w:bookmarkEnd w:id="947"/>
    </w:p>
    <w:p w14:paraId="1923CEF3">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9.2.1 书面质疑材料应当包括以下内容：</w:t>
      </w:r>
    </w:p>
    <w:p w14:paraId="3353341F">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（1）提起质疑的投标供应商名称、地址、邮编、联系人及联系电话；</w:t>
      </w:r>
    </w:p>
    <w:p w14:paraId="623B43F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（2）项目名称、项目编号及分包号（如有）；</w:t>
      </w:r>
    </w:p>
    <w:p w14:paraId="0C66B22C">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（3）具体、明确的质疑事项和与质疑事项相关的请求；</w:t>
      </w:r>
    </w:p>
    <w:p w14:paraId="3EBF598A">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（4）有效线索和相关证明材料等事实依据；</w:t>
      </w:r>
    </w:p>
    <w:p w14:paraId="7C26CF3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（5）必要的法律依据；</w:t>
      </w:r>
    </w:p>
    <w:p w14:paraId="58299E6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（6）提出质疑的日期</w:t>
      </w:r>
    </w:p>
    <w:p w14:paraId="62231AF6">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投标供应商为自然人的，应当由本人签字；投标供应商为法人或者其他组织的，应当加盖投标供应商单位公章，并由法定代表人（单位负责人）或者其授权代表签字或者盖章，并附法定代表人（单位负责人）及其委托联系人的有效身份证复制件。</w:t>
      </w:r>
    </w:p>
    <w:p w14:paraId="32D3DDAB">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9.2.2 质疑材料存在以下情形的，采购代理机构不予受理。</w:t>
      </w:r>
    </w:p>
    <w:p w14:paraId="7C5B3EE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（1）提起质疑的主体不是参与该政府采购项目活动的供应商；</w:t>
      </w:r>
    </w:p>
    <w:p w14:paraId="27922CFA">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（2）提起质疑的时间超过规定时限的；</w:t>
      </w:r>
    </w:p>
    <w:p w14:paraId="7702EC6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（3）质疑材料不完整的；</w:t>
      </w:r>
    </w:p>
    <w:p w14:paraId="3A6252F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（4）质疑事项含有主观猜测等内容且未提供充分有效线索、难以查证的；</w:t>
      </w:r>
    </w:p>
    <w:p w14:paraId="2080A121">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（5）质疑事项缺乏事实依据，质疑事项不成立的；</w:t>
      </w:r>
    </w:p>
    <w:p w14:paraId="4F53AFDD">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（6）捏造事实或者提供虚假材料；</w:t>
      </w:r>
    </w:p>
    <w:p w14:paraId="79613F1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（7）以非法手段取得证明材料。证明材料来源的合法性存在明显疑问，质疑人无法证明其取得方式合法的，视为以非法手段取得证明材料；</w:t>
      </w:r>
    </w:p>
    <w:p w14:paraId="18F22F99">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（8）对其他投标供应商的投标文件详细内容质疑，无法提供合法来源渠道的。</w:t>
      </w:r>
    </w:p>
    <w:p w14:paraId="5861E143">
      <w:pPr>
        <w:pStyle w:val="4"/>
        <w:adjustRightInd w:val="0"/>
        <w:spacing w:before="0" w:after="0" w:line="432" w:lineRule="auto"/>
        <w:ind w:firstLine="280" w:firstLineChars="100"/>
        <w:jc w:val="left"/>
        <w:rPr>
          <w:rFonts w:hint="eastAsia" w:ascii="黑体" w:hAnsi="黑体" w:eastAsia="黑体"/>
          <w:b w:val="0"/>
          <w:sz w:val="28"/>
          <w:szCs w:val="28"/>
        </w:rPr>
      </w:pPr>
      <w:bookmarkStart w:id="948" w:name="_Toc3295898"/>
      <w:bookmarkStart w:id="949" w:name="_Toc3215848"/>
      <w:bookmarkStart w:id="950" w:name="_Toc3219828"/>
      <w:bookmarkStart w:id="951" w:name="_Toc2176195"/>
      <w:r>
        <w:rPr>
          <w:rFonts w:hint="eastAsia" w:ascii="黑体" w:hAnsi="黑体" w:eastAsia="黑体"/>
          <w:b w:val="0"/>
          <w:sz w:val="28"/>
          <w:szCs w:val="28"/>
        </w:rPr>
        <w:t>9.3 质疑处理</w:t>
      </w:r>
      <w:bookmarkEnd w:id="948"/>
      <w:bookmarkEnd w:id="949"/>
      <w:bookmarkEnd w:id="950"/>
      <w:bookmarkEnd w:id="951"/>
    </w:p>
    <w:p w14:paraId="51DF4770">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9.3.1 投标供应商对评审过程、中标或者成交结果提出质疑的，采购人、采购代理机构可以组织原评标委员会协助答复质疑。</w:t>
      </w:r>
    </w:p>
    <w:p w14:paraId="418E5563">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9.3.2 质疑答复以书面形式通知质疑供应商和其他有关供应商。但答复的内容不得涉及商业秘密。</w:t>
      </w:r>
    </w:p>
    <w:p w14:paraId="4F472CF7">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9.3.3 采购人、采购代理机构认为投标供应商质疑不成立，或者成立但未对中标结果构成影响的，继续开展采购活动；认为投标供应商质疑成立且影响或者可能影响中标结果的，按照下列情况处理：</w:t>
      </w:r>
    </w:p>
    <w:p w14:paraId="335A09AF">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（1）对招标文件提出的质疑，依法通过澄清或者修改可以继续开展采购活动的，澄清或者修改采购文件后继续开展采购活动；否则应当修改招标文件后重新开展采购活动。</w:t>
      </w:r>
    </w:p>
    <w:p w14:paraId="457E751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（2）对采购过程、中标结果提出的质疑，合格供应商符合法定数量时，可以从合格的中标候选人中另行确定中标供应商的，应当依法另行确定中标供应商；否则应当重新开展采购活动。</w:t>
      </w:r>
    </w:p>
    <w:p w14:paraId="4F05DB92">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质疑答复导致中标结果改变的，采购人或者采购代理机构应当将有关情况书面报告本级财政部门。</w:t>
      </w:r>
    </w:p>
    <w:p w14:paraId="33FA6AE0">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9.3.4 质疑人在答复期满前撤回质疑的，应由法定代表人或授权代表人签字确认。质疑人不得以同一理由再次提出质疑。</w:t>
      </w:r>
    </w:p>
    <w:p w14:paraId="54DF485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9.3.5 因处理质疑发生的检验、检测、鉴定等费用，由提出申请的投标供应商先行垫付。质疑处理决定各方无异议后，按照“谁过错谁负担”的原则由承担责任的一方负担；双方都有责任的，由双方合理分担。</w:t>
      </w:r>
    </w:p>
    <w:p w14:paraId="61FB20BE">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9.3.6 投标供应商不得以质疑为名进行虚假、恶意质疑，扰乱政府采购正常的工作秩序。投标供应商有下列情形之一的，属于虚假、恶意质疑，被质疑人应当驳回质疑，并向同级政府采购监督管理部门报告，将其列入不良行为记录名单，并依法予以处罚：</w:t>
      </w:r>
    </w:p>
    <w:p w14:paraId="08DF3438">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（1）一年内三次以上质疑均查无实据的；</w:t>
      </w:r>
    </w:p>
    <w:p w14:paraId="7A192EA4">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（2）捏造事实或者提供虚假质疑材料的；</w:t>
      </w:r>
    </w:p>
    <w:p w14:paraId="51AE3E2F">
      <w:pPr>
        <w:widowControl/>
        <w:adjustRightInd w:val="0"/>
        <w:snapToGrid w:val="0"/>
        <w:spacing w:line="432" w:lineRule="auto"/>
        <w:ind w:firstLine="420" w:firstLineChars="200"/>
        <w:jc w:val="left"/>
        <w:rPr>
          <w:rFonts w:hint="eastAsia" w:ascii="宋体" w:hAnsi="宋体"/>
          <w:szCs w:val="21"/>
        </w:rPr>
      </w:pPr>
      <w:r>
        <w:rPr>
          <w:rFonts w:hint="eastAsia" w:ascii="宋体" w:hAnsi="宋体"/>
          <w:szCs w:val="21"/>
        </w:rPr>
        <w:t>（3）以非法手段取得证明材料。证明材料来源的合法性存在明显疑问，质疑人无法证明其取得方式合法的，视为以非法手段取得证明材料。</w:t>
      </w:r>
    </w:p>
    <w:p w14:paraId="1C8C70C6">
      <w:pPr>
        <w:pStyle w:val="3"/>
        <w:spacing w:before="0" w:after="0" w:line="432" w:lineRule="auto"/>
        <w:rPr>
          <w:rStyle w:val="30"/>
          <w:rFonts w:hint="eastAsia" w:ascii="黑体" w:hAnsi="黑体"/>
          <w:b/>
          <w:bCs/>
        </w:rPr>
      </w:pPr>
      <w:bookmarkStart w:id="952" w:name="_Toc3295899"/>
      <w:bookmarkStart w:id="953" w:name="_Toc3215849"/>
      <w:bookmarkStart w:id="954" w:name="_Toc661"/>
      <w:bookmarkStart w:id="955" w:name="_Toc20391"/>
      <w:bookmarkStart w:id="956" w:name="_Toc15269"/>
      <w:bookmarkStart w:id="957" w:name="_Toc2176196"/>
      <w:r>
        <w:rPr>
          <w:rStyle w:val="30"/>
          <w:rFonts w:hint="eastAsia" w:ascii="黑体" w:hAnsi="黑体"/>
          <w:b/>
          <w:bCs/>
        </w:rPr>
        <w:t>10. 纪律和监督</w:t>
      </w:r>
      <w:bookmarkEnd w:id="935"/>
      <w:bookmarkEnd w:id="936"/>
      <w:bookmarkEnd w:id="937"/>
      <w:bookmarkEnd w:id="938"/>
      <w:bookmarkEnd w:id="939"/>
      <w:bookmarkEnd w:id="952"/>
      <w:bookmarkEnd w:id="953"/>
      <w:bookmarkEnd w:id="954"/>
      <w:bookmarkEnd w:id="955"/>
      <w:bookmarkEnd w:id="956"/>
      <w:bookmarkEnd w:id="957"/>
    </w:p>
    <w:p w14:paraId="7B884D2D">
      <w:pPr>
        <w:pStyle w:val="4"/>
        <w:adjustRightInd w:val="0"/>
        <w:spacing w:before="0" w:after="0" w:line="432" w:lineRule="auto"/>
        <w:ind w:firstLine="280" w:firstLineChars="100"/>
        <w:jc w:val="left"/>
        <w:rPr>
          <w:rFonts w:ascii="黑体" w:hAnsi="黑体" w:eastAsia="黑体"/>
          <w:b w:val="0"/>
          <w:sz w:val="28"/>
          <w:szCs w:val="28"/>
        </w:rPr>
      </w:pPr>
      <w:bookmarkStart w:id="958" w:name="_Toc371415965"/>
      <w:bookmarkStart w:id="959" w:name="_Toc333599705"/>
      <w:bookmarkStart w:id="960" w:name="_Toc152042351"/>
      <w:bookmarkStart w:id="961" w:name="_Toc342297665"/>
      <w:bookmarkStart w:id="962" w:name="_Toc3215850"/>
      <w:bookmarkStart w:id="963" w:name="_Toc338943746"/>
      <w:bookmarkStart w:id="964" w:name="_Toc3295900"/>
      <w:bookmarkStart w:id="965" w:name="_Toc338944651"/>
      <w:bookmarkStart w:id="966" w:name="_Toc342296208"/>
      <w:bookmarkStart w:id="967" w:name="_Toc445554738"/>
      <w:bookmarkStart w:id="968" w:name="_Toc455587264"/>
      <w:bookmarkStart w:id="969" w:name="_Toc333600729"/>
      <w:bookmarkStart w:id="970" w:name="_Toc144974543"/>
      <w:bookmarkStart w:id="971" w:name="_Toc458504865"/>
      <w:bookmarkStart w:id="972" w:name="_Toc333587899"/>
      <w:bookmarkStart w:id="973" w:name="_Toc179632593"/>
      <w:bookmarkStart w:id="974" w:name="_Toc152045575"/>
      <w:bookmarkStart w:id="975" w:name="_Toc455587080"/>
      <w:bookmarkStart w:id="976" w:name="_Toc2176197"/>
      <w:bookmarkStart w:id="977" w:name="_Toc466024547"/>
      <w:bookmarkStart w:id="978" w:name="_Toc342294760"/>
      <w:bookmarkStart w:id="979" w:name="_Toc3219830"/>
      <w:r>
        <w:rPr>
          <w:rFonts w:hint="eastAsia" w:ascii="黑体" w:hAnsi="黑体" w:eastAsia="黑体"/>
          <w:b w:val="0"/>
          <w:sz w:val="28"/>
          <w:szCs w:val="28"/>
        </w:rPr>
        <w:t>10.1 对采购人的纪律要求</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p>
    <w:p w14:paraId="0C36398D">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采购人不得泄漏招标投标活动中应当保密的情况和资料，不得与投标供应商串通损害国家利益、社会公共利益或者他人合法权益。</w:t>
      </w:r>
    </w:p>
    <w:p w14:paraId="3312C5F1">
      <w:pPr>
        <w:pStyle w:val="4"/>
        <w:adjustRightInd w:val="0"/>
        <w:spacing w:before="0" w:after="0" w:line="432" w:lineRule="auto"/>
        <w:ind w:firstLine="280" w:firstLineChars="100"/>
        <w:jc w:val="left"/>
        <w:rPr>
          <w:rFonts w:ascii="黑体" w:hAnsi="黑体" w:eastAsia="黑体"/>
          <w:b w:val="0"/>
          <w:sz w:val="28"/>
          <w:szCs w:val="28"/>
        </w:rPr>
      </w:pPr>
      <w:bookmarkStart w:id="980" w:name="_Toc152042352"/>
      <w:bookmarkStart w:id="981" w:name="_Toc333587900"/>
      <w:bookmarkStart w:id="982" w:name="_Toc3219831"/>
      <w:bookmarkStart w:id="983" w:name="_Toc466024548"/>
      <w:bookmarkStart w:id="984" w:name="_Toc2176198"/>
      <w:bookmarkStart w:id="985" w:name="_Toc445554739"/>
      <w:bookmarkStart w:id="986" w:name="_Toc3215851"/>
      <w:bookmarkStart w:id="987" w:name="_Toc333600730"/>
      <w:bookmarkStart w:id="988" w:name="_Toc342294761"/>
      <w:bookmarkStart w:id="989" w:name="_Toc371415966"/>
      <w:bookmarkStart w:id="990" w:name="_Toc144974544"/>
      <w:bookmarkStart w:id="991" w:name="_Toc338943747"/>
      <w:bookmarkStart w:id="992" w:name="_Toc455587265"/>
      <w:bookmarkStart w:id="993" w:name="_Toc333599706"/>
      <w:bookmarkStart w:id="994" w:name="_Toc152045576"/>
      <w:bookmarkStart w:id="995" w:name="_Toc342297666"/>
      <w:bookmarkStart w:id="996" w:name="_Toc458504866"/>
      <w:bookmarkStart w:id="997" w:name="_Toc338944652"/>
      <w:bookmarkStart w:id="998" w:name="_Toc342296209"/>
      <w:bookmarkStart w:id="999" w:name="_Toc455587081"/>
      <w:bookmarkStart w:id="1000" w:name="_Toc179632594"/>
      <w:bookmarkStart w:id="1001" w:name="_Toc3295901"/>
      <w:r>
        <w:rPr>
          <w:rFonts w:hint="eastAsia" w:ascii="黑体" w:hAnsi="黑体" w:eastAsia="黑体"/>
          <w:b w:val="0"/>
          <w:sz w:val="28"/>
          <w:szCs w:val="28"/>
        </w:rPr>
        <w:t>10.2 对投标供应商的纪律要求</w:t>
      </w:r>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p>
    <w:p w14:paraId="1E75852E">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投标供应商不得相互串通投标或者与采购人串通投标，不得向采购人或者评标委员会成员行贿谋取中标，不得以他人名义投标或者以其他方式弄虚作假骗取中标；投标供应商不得以任何方式干扰、影响评标工作。</w:t>
      </w:r>
    </w:p>
    <w:p w14:paraId="4658EC6F">
      <w:pPr>
        <w:pStyle w:val="4"/>
        <w:adjustRightInd w:val="0"/>
        <w:spacing w:before="0" w:after="0" w:line="432" w:lineRule="auto"/>
        <w:ind w:firstLine="280" w:firstLineChars="100"/>
        <w:jc w:val="left"/>
        <w:rPr>
          <w:rFonts w:ascii="黑体" w:hAnsi="黑体" w:eastAsia="黑体"/>
          <w:b w:val="0"/>
          <w:sz w:val="28"/>
          <w:szCs w:val="28"/>
        </w:rPr>
      </w:pPr>
      <w:bookmarkStart w:id="1002" w:name="_Toc458504867"/>
      <w:bookmarkStart w:id="1003" w:name="_Toc342294762"/>
      <w:bookmarkStart w:id="1004" w:name="_Toc144974545"/>
      <w:bookmarkStart w:id="1005" w:name="_Toc455587266"/>
      <w:bookmarkStart w:id="1006" w:name="_Toc455587082"/>
      <w:bookmarkStart w:id="1007" w:name="_Toc342296210"/>
      <w:bookmarkStart w:id="1008" w:name="_Toc371415967"/>
      <w:bookmarkStart w:id="1009" w:name="_Toc152042353"/>
      <w:bookmarkStart w:id="1010" w:name="_Toc179632595"/>
      <w:bookmarkStart w:id="1011" w:name="_Toc466024549"/>
      <w:bookmarkStart w:id="1012" w:name="_Toc333587901"/>
      <w:bookmarkStart w:id="1013" w:name="_Toc152045577"/>
      <w:bookmarkStart w:id="1014" w:name="_Toc342297667"/>
      <w:bookmarkStart w:id="1015" w:name="_Toc3295902"/>
      <w:bookmarkStart w:id="1016" w:name="_Toc3219832"/>
      <w:bookmarkStart w:id="1017" w:name="_Toc3215852"/>
      <w:bookmarkStart w:id="1018" w:name="_Toc445554740"/>
      <w:bookmarkStart w:id="1019" w:name="_Toc338943748"/>
      <w:bookmarkStart w:id="1020" w:name="_Toc2176199"/>
      <w:bookmarkStart w:id="1021" w:name="_Toc333599707"/>
      <w:bookmarkStart w:id="1022" w:name="_Toc333600731"/>
      <w:bookmarkStart w:id="1023" w:name="_Toc338944653"/>
      <w:r>
        <w:rPr>
          <w:rFonts w:hint="eastAsia" w:ascii="黑体" w:hAnsi="黑体" w:eastAsia="黑体"/>
          <w:b w:val="0"/>
          <w:sz w:val="28"/>
          <w:szCs w:val="28"/>
        </w:rPr>
        <w:t>10.3 对评标委员会成员的纪律要求</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14:paraId="0CA5E460">
      <w:pPr>
        <w:widowControl/>
        <w:adjustRightInd w:val="0"/>
        <w:snapToGrid w:val="0"/>
        <w:spacing w:before="124" w:beforeLines="40" w:line="432" w:lineRule="auto"/>
        <w:ind w:firstLine="420" w:firstLineChars="200"/>
        <w:jc w:val="left"/>
        <w:rPr>
          <w:rFonts w:hint="eastAsia" w:ascii="宋体" w:hAnsi="宋体"/>
          <w:szCs w:val="21"/>
        </w:rPr>
      </w:pPr>
      <w:r>
        <w:rPr>
          <w:rFonts w:hint="eastAsia" w:ascii="宋体" w:hAnsi="宋体"/>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评标办法”没有规定的评审因素和标准进行评标。</w:t>
      </w:r>
    </w:p>
    <w:p w14:paraId="57A12846">
      <w:pPr>
        <w:pStyle w:val="4"/>
        <w:adjustRightInd w:val="0"/>
        <w:spacing w:before="0" w:after="0" w:line="432" w:lineRule="auto"/>
        <w:ind w:firstLine="280" w:firstLineChars="100"/>
        <w:jc w:val="left"/>
        <w:rPr>
          <w:rFonts w:ascii="黑体" w:hAnsi="黑体" w:eastAsia="黑体"/>
          <w:b w:val="0"/>
          <w:sz w:val="28"/>
          <w:szCs w:val="28"/>
        </w:rPr>
      </w:pPr>
      <w:bookmarkStart w:id="1024" w:name="_Toc3295903"/>
      <w:bookmarkStart w:id="1025" w:name="_Toc333599708"/>
      <w:bookmarkStart w:id="1026" w:name="_Toc3219833"/>
      <w:bookmarkStart w:id="1027" w:name="_Toc458504868"/>
      <w:bookmarkStart w:id="1028" w:name="_Toc466024550"/>
      <w:bookmarkStart w:id="1029" w:name="_Toc2176200"/>
      <w:bookmarkStart w:id="1030" w:name="_Toc333600732"/>
      <w:bookmarkStart w:id="1031" w:name="_Toc179632596"/>
      <w:bookmarkStart w:id="1032" w:name="_Toc338943749"/>
      <w:bookmarkStart w:id="1033" w:name="_Toc342294763"/>
      <w:bookmarkStart w:id="1034" w:name="_Toc455587267"/>
      <w:bookmarkStart w:id="1035" w:name="_Toc445554741"/>
      <w:bookmarkStart w:id="1036" w:name="_Toc455587083"/>
      <w:bookmarkStart w:id="1037" w:name="_Toc338944654"/>
      <w:bookmarkStart w:id="1038" w:name="_Toc152042354"/>
      <w:bookmarkStart w:id="1039" w:name="_Toc3215853"/>
      <w:bookmarkStart w:id="1040" w:name="_Toc333587902"/>
      <w:bookmarkStart w:id="1041" w:name="_Toc342297668"/>
      <w:bookmarkStart w:id="1042" w:name="_Toc371415968"/>
      <w:bookmarkStart w:id="1043" w:name="_Toc342296211"/>
      <w:bookmarkStart w:id="1044" w:name="_Toc152045578"/>
      <w:bookmarkStart w:id="1045" w:name="_Toc144974546"/>
      <w:r>
        <w:rPr>
          <w:rFonts w:hint="eastAsia" w:ascii="黑体" w:hAnsi="黑体" w:eastAsia="黑体"/>
          <w:b w:val="0"/>
          <w:sz w:val="28"/>
          <w:szCs w:val="28"/>
        </w:rPr>
        <w:t>10.4 对与评标活动有关的工作人员的纪律要求</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p w14:paraId="1D380AE0">
      <w:pPr>
        <w:widowControl/>
        <w:adjustRightInd w:val="0"/>
        <w:snapToGrid w:val="0"/>
        <w:spacing w:before="124" w:beforeLines="40" w:line="432" w:lineRule="auto"/>
        <w:ind w:firstLine="420" w:firstLineChars="200"/>
        <w:jc w:val="left"/>
        <w:rPr>
          <w:rFonts w:hint="eastAsia" w:ascii="宋体" w:hAnsi="宋体"/>
          <w:szCs w:val="21"/>
        </w:rPr>
      </w:pPr>
      <w:bookmarkStart w:id="1046" w:name="_Toc152042355"/>
      <w:r>
        <w:rPr>
          <w:rFonts w:hint="eastAsia" w:ascii="宋体" w:hAnsi="宋体"/>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1046"/>
    </w:p>
    <w:bookmarkEnd w:id="1045"/>
    <w:p w14:paraId="75DB79AD">
      <w:pPr>
        <w:pStyle w:val="3"/>
        <w:spacing w:before="0" w:after="0" w:line="432" w:lineRule="auto"/>
        <w:rPr>
          <w:rStyle w:val="30"/>
          <w:rFonts w:hint="eastAsia" w:ascii="黑体" w:hAnsi="黑体"/>
          <w:b/>
          <w:bCs w:val="0"/>
          <w:highlight w:val="none"/>
        </w:rPr>
      </w:pPr>
      <w:bookmarkStart w:id="1047" w:name="_Toc31465"/>
      <w:bookmarkStart w:id="1048" w:name="_Toc22321"/>
      <w:bookmarkStart w:id="1049" w:name="_Toc3295904"/>
      <w:bookmarkStart w:id="1050" w:name="_Toc3215854"/>
      <w:bookmarkStart w:id="1051" w:name="_Toc2176201"/>
      <w:bookmarkStart w:id="1052" w:name="_Toc26797"/>
      <w:bookmarkStart w:id="1053" w:name="_Toc338943751"/>
      <w:bookmarkStart w:id="1054" w:name="_Toc333600734"/>
      <w:bookmarkStart w:id="1055" w:name="_Toc152045580"/>
      <w:bookmarkStart w:id="1056" w:name="_Toc152042357"/>
      <w:bookmarkStart w:id="1057" w:name="_Toc455587269"/>
      <w:bookmarkStart w:id="1058" w:name="_Toc458504870"/>
      <w:bookmarkStart w:id="1059" w:name="_Toc342296213"/>
      <w:bookmarkStart w:id="1060" w:name="_Toc144974547"/>
      <w:bookmarkStart w:id="1061" w:name="_Toc333599710"/>
      <w:bookmarkStart w:id="1062" w:name="_Toc342294765"/>
      <w:bookmarkStart w:id="1063" w:name="_Toc455587085"/>
      <w:bookmarkStart w:id="1064" w:name="_Toc445554743"/>
      <w:bookmarkStart w:id="1065" w:name="_Toc371415963"/>
      <w:bookmarkStart w:id="1066" w:name="_Toc179632598"/>
      <w:bookmarkStart w:id="1067" w:name="_Toc466024552"/>
      <w:bookmarkStart w:id="1068" w:name="_Toc342297670"/>
      <w:bookmarkStart w:id="1069" w:name="_Toc338944656"/>
      <w:r>
        <w:rPr>
          <w:rStyle w:val="30"/>
          <w:rFonts w:hint="eastAsia" w:ascii="黑体" w:hAnsi="黑体"/>
          <w:b/>
          <w:bCs w:val="0"/>
          <w:highlight w:val="none"/>
        </w:rPr>
        <w:t>11. 政府采购政策</w:t>
      </w:r>
      <w:bookmarkEnd w:id="1047"/>
      <w:bookmarkEnd w:id="1048"/>
      <w:bookmarkEnd w:id="1049"/>
      <w:bookmarkEnd w:id="1050"/>
      <w:bookmarkEnd w:id="1051"/>
      <w:bookmarkEnd w:id="1052"/>
    </w:p>
    <w:p w14:paraId="0079D53E">
      <w:pPr>
        <w:pStyle w:val="4"/>
        <w:adjustRightInd w:val="0"/>
        <w:spacing w:before="0" w:after="0" w:line="432" w:lineRule="auto"/>
        <w:ind w:firstLine="280" w:firstLineChars="100"/>
        <w:jc w:val="left"/>
        <w:rPr>
          <w:rFonts w:hint="eastAsia" w:ascii="黑体" w:hAnsi="黑体" w:eastAsia="黑体"/>
          <w:b w:val="0"/>
          <w:sz w:val="28"/>
          <w:szCs w:val="28"/>
          <w:highlight w:val="none"/>
        </w:rPr>
      </w:pPr>
      <w:bookmarkStart w:id="1070" w:name="_Toc2176202"/>
      <w:bookmarkStart w:id="1071" w:name="_Toc3219835"/>
      <w:bookmarkStart w:id="1072" w:name="_Toc3295905"/>
      <w:bookmarkStart w:id="1073" w:name="_Toc3215855"/>
      <w:r>
        <w:rPr>
          <w:rFonts w:hint="eastAsia" w:ascii="黑体" w:hAnsi="黑体" w:eastAsia="黑体"/>
          <w:b w:val="0"/>
          <w:sz w:val="28"/>
          <w:szCs w:val="28"/>
          <w:highlight w:val="none"/>
        </w:rPr>
        <w:t>11.1 节能与环保</w:t>
      </w:r>
      <w:bookmarkEnd w:id="1070"/>
      <w:bookmarkEnd w:id="1071"/>
      <w:bookmarkEnd w:id="1072"/>
      <w:bookmarkEnd w:id="1073"/>
    </w:p>
    <w:p w14:paraId="33BA14AF">
      <w:pPr>
        <w:widowControl/>
        <w:adjustRightInd w:val="0"/>
        <w:snapToGrid w:val="0"/>
        <w:spacing w:before="124" w:beforeLines="40" w:line="432" w:lineRule="auto"/>
        <w:ind w:firstLine="420" w:firstLineChars="200"/>
        <w:jc w:val="left"/>
        <w:rPr>
          <w:rFonts w:hint="eastAsia" w:ascii="宋体" w:hAnsi="宋体"/>
          <w:szCs w:val="21"/>
          <w:highlight w:val="none"/>
        </w:rPr>
      </w:pPr>
      <w:bookmarkStart w:id="1074" w:name="_Toc3295906"/>
      <w:bookmarkStart w:id="1075" w:name="_Toc2176203"/>
      <w:bookmarkStart w:id="1076" w:name="_Toc3215856"/>
      <w:bookmarkStart w:id="1077" w:name="_Toc3219836"/>
      <w:r>
        <w:rPr>
          <w:rFonts w:hint="eastAsia" w:ascii="宋体" w:hAnsi="宋体"/>
          <w:szCs w:val="21"/>
          <w:highlight w:val="none"/>
        </w:rPr>
        <w:t>11.1.1 本项目是否强制采购节能产品见投标供应商须知前附表。如属于强制采购节能产品的，投标供应商所投产品必须在投标供应商须知前附表规定的节能产品政府采购品目清单内。</w:t>
      </w:r>
    </w:p>
    <w:p w14:paraId="4431BD2D">
      <w:pPr>
        <w:widowControl/>
        <w:adjustRightInd w:val="0"/>
        <w:snapToGrid w:val="0"/>
        <w:spacing w:line="432" w:lineRule="auto"/>
        <w:ind w:firstLine="420" w:firstLineChars="200"/>
        <w:jc w:val="left"/>
        <w:rPr>
          <w:rFonts w:ascii="宋体" w:hAnsi="宋体"/>
          <w:szCs w:val="21"/>
          <w:highlight w:val="none"/>
        </w:rPr>
      </w:pPr>
      <w:r>
        <w:rPr>
          <w:rFonts w:hint="eastAsia" w:ascii="宋体" w:hAnsi="宋体"/>
          <w:szCs w:val="21"/>
          <w:highlight w:val="none"/>
        </w:rPr>
        <w:t>11.1.2 如投标产品属于优先采购的节能产品或环境标志产品的，如采用最低评标价法时，出现投标供应商有效投标报价相同的情况，则所投产品为节能或环保产品优先。如采用综合评分法时，出现投标供应商总得分且投标报价均相同的，则所投产品为节能或环保品目产品优先。对于所投产品均为节能或环保品目产品的，节能及环保产品证书多者优先。对于同时列入环保品目清单和节能产品政府采购品目清单的产品，优先于只列入其中一个清单的产品。</w:t>
      </w:r>
    </w:p>
    <w:p w14:paraId="4A61A612">
      <w:pPr>
        <w:pStyle w:val="4"/>
        <w:adjustRightInd w:val="0"/>
        <w:spacing w:before="0" w:after="0" w:line="432" w:lineRule="auto"/>
        <w:ind w:firstLine="280" w:firstLineChars="100"/>
        <w:jc w:val="left"/>
        <w:rPr>
          <w:rFonts w:hint="eastAsia" w:ascii="黑体" w:hAnsi="黑体" w:eastAsia="黑体"/>
          <w:b w:val="0"/>
          <w:sz w:val="28"/>
          <w:szCs w:val="28"/>
          <w:highlight w:val="none"/>
        </w:rPr>
      </w:pPr>
      <w:r>
        <w:rPr>
          <w:rFonts w:hint="eastAsia" w:ascii="黑体" w:hAnsi="黑体" w:eastAsia="黑体"/>
          <w:b w:val="0"/>
          <w:sz w:val="28"/>
          <w:szCs w:val="28"/>
          <w:highlight w:val="none"/>
        </w:rPr>
        <w:t>11.2 促进中小企业发展</w:t>
      </w:r>
      <w:bookmarkEnd w:id="1074"/>
      <w:bookmarkEnd w:id="1075"/>
      <w:bookmarkEnd w:id="1076"/>
      <w:bookmarkEnd w:id="1077"/>
    </w:p>
    <w:p w14:paraId="2A6AB667">
      <w:pPr>
        <w:widowControl/>
        <w:adjustRightInd w:val="0"/>
        <w:snapToGrid w:val="0"/>
        <w:spacing w:before="124" w:beforeLines="40" w:line="432" w:lineRule="auto"/>
        <w:ind w:firstLine="420" w:firstLineChars="200"/>
        <w:jc w:val="left"/>
        <w:rPr>
          <w:rFonts w:hint="eastAsia" w:ascii="宋体" w:hAnsi="宋体"/>
          <w:szCs w:val="21"/>
          <w:highlight w:val="none"/>
        </w:rPr>
      </w:pPr>
      <w:r>
        <w:rPr>
          <w:rFonts w:hint="eastAsia" w:ascii="宋体" w:hAnsi="宋体"/>
          <w:szCs w:val="21"/>
          <w:highlight w:val="none"/>
        </w:rPr>
        <w:t>11.2.1 若投标供应商须知前附表中写明专门面向中小企业采购的，如投标供应商提供的货物非中小企业制造的，其投标文件将被认定为投标无效。</w:t>
      </w:r>
    </w:p>
    <w:p w14:paraId="1CF5436B">
      <w:pPr>
        <w:widowControl/>
        <w:adjustRightInd w:val="0"/>
        <w:snapToGrid w:val="0"/>
        <w:spacing w:line="432" w:lineRule="auto"/>
        <w:ind w:firstLine="420" w:firstLineChars="200"/>
        <w:jc w:val="left"/>
        <w:rPr>
          <w:rFonts w:hint="eastAsia" w:ascii="宋体" w:hAnsi="宋体"/>
          <w:szCs w:val="21"/>
          <w:highlight w:val="none"/>
        </w:rPr>
      </w:pPr>
      <w:r>
        <w:rPr>
          <w:rFonts w:hint="eastAsia" w:ascii="宋体" w:hAnsi="宋体"/>
          <w:szCs w:val="21"/>
          <w:highlight w:val="none"/>
        </w:rPr>
        <w:t>11.2.2 根据《政府采购促进中小企业发展管理办法》（财库〔2020〕46 号）、《财政部 司法部关于政府采购支持监狱企业发展有关问题的通知》（财库〔2014〕68号）和《三部门联合发布关于促进残疾人就业政府采购政策的通知》（财库〔2017〕141 号）的规定，对满足价格扣除条件且在投标文件中提交了《中小企业声明函》、《残疾人福利性单位声明函》或省级以上监狱管理局、戒毒管理局（含新疆生产建设兵团）出具的属于监狱企业的证明文件的供应商，其最后报价按照供应商须知前附表中规定的标准扣除后的价格参与评审。对于同时属于小微企业、监狱企业或残疾人福利性单位的，不重复进行最后报价扣除。</w:t>
      </w:r>
    </w:p>
    <w:p w14:paraId="06B7607B">
      <w:pPr>
        <w:widowControl/>
        <w:adjustRightInd w:val="0"/>
        <w:snapToGrid w:val="0"/>
        <w:spacing w:line="432" w:lineRule="auto"/>
        <w:ind w:firstLine="420" w:firstLineChars="200"/>
        <w:jc w:val="left"/>
        <w:rPr>
          <w:rFonts w:hint="eastAsia" w:ascii="宋体" w:hAnsi="宋体"/>
          <w:szCs w:val="21"/>
          <w:highlight w:val="none"/>
        </w:rPr>
      </w:pPr>
      <w:r>
        <w:rPr>
          <w:rFonts w:hint="eastAsia" w:ascii="宋体" w:hAnsi="宋体"/>
          <w:szCs w:val="21"/>
          <w:highlight w:val="none"/>
        </w:rPr>
        <w:t>以联合体形式参加政府采购活动，联合体各方均为中小企业的，联合体视同中小企业。其中，联合体各方均为小微企业的，联合体视同小微企业。</w:t>
      </w:r>
    </w:p>
    <w:p w14:paraId="5D871B03">
      <w:pPr>
        <w:widowControl/>
        <w:adjustRightInd w:val="0"/>
        <w:snapToGrid w:val="0"/>
        <w:spacing w:line="432" w:lineRule="auto"/>
        <w:ind w:firstLine="420" w:firstLineChars="200"/>
        <w:jc w:val="left"/>
        <w:rPr>
          <w:rFonts w:hint="eastAsia" w:ascii="宋体" w:hAnsi="宋体"/>
          <w:szCs w:val="21"/>
          <w:highlight w:val="none"/>
        </w:rPr>
      </w:pPr>
      <w:r>
        <w:rPr>
          <w:rFonts w:hint="eastAsia" w:ascii="宋体" w:hAnsi="宋体"/>
          <w:szCs w:val="21"/>
          <w:highlight w:val="none"/>
        </w:rPr>
        <w:t>大中型企业、其他自然人、法人或者非法人组织与小型、微型企业组成联合体共同参加采购活动的，联合体协议中应写明小型、微型企业的协议合同金额占到联合体协议合同总金额的比例。</w:t>
      </w:r>
    </w:p>
    <w:p w14:paraId="09179A9B">
      <w:pPr>
        <w:widowControl/>
        <w:adjustRightInd w:val="0"/>
        <w:snapToGrid w:val="0"/>
        <w:spacing w:line="432" w:lineRule="auto"/>
        <w:ind w:firstLine="420" w:firstLineChars="200"/>
        <w:jc w:val="left"/>
        <w:rPr>
          <w:rFonts w:hint="eastAsia" w:ascii="宋体" w:hAnsi="宋体"/>
          <w:szCs w:val="21"/>
          <w:highlight w:val="none"/>
        </w:rPr>
      </w:pPr>
      <w:r>
        <w:rPr>
          <w:rFonts w:hint="eastAsia" w:ascii="宋体" w:hAnsi="宋体"/>
          <w:szCs w:val="21"/>
          <w:highlight w:val="none"/>
        </w:rPr>
        <w:t>11.2.3 接受大中型企业与小微企业组成联合体或者允许大中型企业向一家或者多家小微企业分包的，对于联合协议或者分包意向协议约定小微企业的合同份额占到合同总金额30%以上的，可给予联合体或者大中型企业的最后报价按照供应商须知前附表中规定的标准扣除后的价格参与评审。组成联合体或者接受分包的小微企业与联合体内其他企业、分包企业之间存在直接控股、管理关系的，不享受价格扣除优惠政策。</w:t>
      </w:r>
    </w:p>
    <w:p w14:paraId="3B72B865">
      <w:pPr>
        <w:pStyle w:val="4"/>
        <w:keepNext w:val="0"/>
        <w:keepLines w:val="0"/>
        <w:pageBreakBefore w:val="0"/>
        <w:widowControl w:val="0"/>
        <w:kinsoku/>
        <w:wordWrap/>
        <w:overflowPunct/>
        <w:topLinePunct w:val="0"/>
        <w:autoSpaceDE/>
        <w:autoSpaceDN/>
        <w:bidi w:val="0"/>
        <w:adjustRightInd w:val="0"/>
        <w:snapToGrid/>
        <w:spacing w:before="0" w:after="0" w:line="432" w:lineRule="auto"/>
        <w:ind w:firstLine="280" w:firstLineChars="100"/>
        <w:jc w:val="left"/>
        <w:textAlignment w:val="auto"/>
        <w:rPr>
          <w:rFonts w:hint="eastAsia" w:ascii="黑体" w:hAnsi="黑体" w:eastAsia="黑体" w:cs="Times New Roman"/>
          <w:b w:val="0"/>
          <w:bCs w:val="0"/>
          <w:sz w:val="28"/>
          <w:szCs w:val="28"/>
          <w:highlight w:val="none"/>
        </w:rPr>
      </w:pPr>
      <w:r>
        <w:rPr>
          <w:rFonts w:hint="eastAsia" w:ascii="黑体" w:hAnsi="黑体" w:eastAsia="黑体" w:cs="Times New Roman"/>
          <w:b w:val="0"/>
          <w:bCs w:val="0"/>
          <w:sz w:val="28"/>
          <w:szCs w:val="28"/>
          <w:highlight w:val="none"/>
        </w:rPr>
        <w:t>11.3 本国产品价格扣除</w:t>
      </w:r>
    </w:p>
    <w:p w14:paraId="5FAF77CC">
      <w:pPr>
        <w:keepNext w:val="0"/>
        <w:keepLines w:val="0"/>
        <w:pageBreakBefore w:val="0"/>
        <w:widowControl w:val="0"/>
        <w:kinsoku/>
        <w:wordWrap/>
        <w:overflowPunct/>
        <w:topLinePunct w:val="0"/>
        <w:autoSpaceDE/>
        <w:autoSpaceDN/>
        <w:bidi w:val="0"/>
        <w:adjustRightInd w:val="0"/>
        <w:snapToGrid w:val="0"/>
        <w:spacing w:before="124" w:beforeLines="40" w:line="432" w:lineRule="auto"/>
        <w:ind w:firstLine="420" w:firstLineChars="200"/>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11.3.1根据《国务院办公厅关于在政府采购中实施本国产品标准及相关政策的通知》（国办发〔2025〕34号）和财政部工业和信息化部关于贯彻落实《国务院办公厅关于在政府采购中实施本国产品标准及相关政策的通知》的意见（财库〔2025〕30号），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607EF8C4">
      <w:pPr>
        <w:keepNext w:val="0"/>
        <w:keepLines w:val="0"/>
        <w:pageBreakBefore w:val="0"/>
        <w:widowControl w:val="0"/>
        <w:kinsoku/>
        <w:wordWrap/>
        <w:overflowPunct/>
        <w:topLinePunct w:val="0"/>
        <w:autoSpaceDE/>
        <w:autoSpaceDN/>
        <w:bidi w:val="0"/>
        <w:adjustRightInd w:val="0"/>
        <w:snapToGrid w:val="0"/>
        <w:spacing w:before="124" w:beforeLines="40" w:line="432" w:lineRule="auto"/>
        <w:ind w:firstLine="422" w:firstLineChars="200"/>
        <w:jc w:val="left"/>
        <w:textAlignment w:val="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评标委员会应当对投标人所出具的《关于符合本国产品标准的声明函》（以下简称《声明函》）的完整性、准确性进行审查，评审中发现《声明函》内容含义不明确、同类事项与投标文件表述不一致或者有明显文字错误等情况的，应当以书面形式要求投标人作出必要的澄清、说明或者补正。经澄清、说明或者补正的《声明函》仍然不符合规定要求的，投标人提供的相关产品视为不符合本国产品标准。</w:t>
      </w:r>
    </w:p>
    <w:p w14:paraId="482EC5B1">
      <w:pPr>
        <w:keepNext w:val="0"/>
        <w:keepLines w:val="0"/>
        <w:pageBreakBefore w:val="0"/>
        <w:widowControl w:val="0"/>
        <w:kinsoku/>
        <w:wordWrap/>
        <w:overflowPunct/>
        <w:topLinePunct w:val="0"/>
        <w:autoSpaceDE/>
        <w:autoSpaceDN/>
        <w:bidi w:val="0"/>
        <w:adjustRightInd w:val="0"/>
        <w:snapToGrid w:val="0"/>
        <w:spacing w:before="124" w:beforeLines="40" w:line="432" w:lineRule="auto"/>
        <w:ind w:firstLine="420" w:firstLineChars="200"/>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注：本项目所称的本国产品是指在中国境内生产的产品，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B6FE8D0">
      <w:pPr>
        <w:widowControl/>
        <w:adjustRightInd w:val="0"/>
        <w:snapToGrid w:val="0"/>
        <w:spacing w:before="124" w:beforeLines="40" w:line="432" w:lineRule="auto"/>
        <w:ind w:firstLine="420" w:firstLineChars="200"/>
        <w:jc w:val="left"/>
        <w:rPr>
          <w:rFonts w:hint="eastAsia" w:ascii="宋体" w:hAnsi="宋体" w:eastAsia="宋体" w:cs="Times New Roman"/>
          <w:szCs w:val="21"/>
          <w:highlight w:val="none"/>
        </w:rPr>
      </w:pPr>
      <w:r>
        <w:rPr>
          <w:rFonts w:hint="eastAsia" w:ascii="宋体" w:hAnsi="宋体" w:eastAsia="宋体" w:cs="Times New Roman"/>
          <w:szCs w:val="21"/>
          <w:highlight w:val="none"/>
        </w:rPr>
        <w:t>11.3.2 同时符合 11.2和 11.3.1的价格评审优惠时，评标价为投标报价分别扣除促进中小企业发展政策的价格评审优惠和本国产品支持政策的价格评审优惠后的价格。</w:t>
      </w:r>
    </w:p>
    <w:p w14:paraId="438030B7">
      <w:pPr>
        <w:pStyle w:val="3"/>
        <w:spacing w:before="0" w:after="0" w:line="432" w:lineRule="auto"/>
        <w:jc w:val="left"/>
        <w:rPr>
          <w:rStyle w:val="30"/>
          <w:rFonts w:hint="eastAsia" w:ascii="黑体" w:hAnsi="黑体"/>
          <w:b/>
          <w:bCs w:val="0"/>
          <w:highlight w:val="none"/>
        </w:rPr>
      </w:pPr>
      <w:bookmarkStart w:id="1078" w:name="_Toc2176204"/>
      <w:bookmarkStart w:id="1079" w:name="_Toc3215857"/>
      <w:bookmarkStart w:id="1080" w:name="_Toc3295907"/>
      <w:bookmarkStart w:id="1081" w:name="_Toc29401"/>
      <w:bookmarkStart w:id="1082" w:name="_Toc28804"/>
      <w:bookmarkStart w:id="1083" w:name="_Toc13155"/>
      <w:r>
        <w:rPr>
          <w:rStyle w:val="30"/>
          <w:rFonts w:hint="eastAsia" w:ascii="黑体" w:hAnsi="黑体"/>
          <w:b/>
          <w:bCs w:val="0"/>
          <w:highlight w:val="none"/>
        </w:rPr>
        <w:t>12. 需要补充的其他内容</w:t>
      </w:r>
      <w:bookmarkEnd w:id="1078"/>
      <w:bookmarkEnd w:id="1079"/>
      <w:bookmarkEnd w:id="1080"/>
      <w:bookmarkEnd w:id="1081"/>
      <w:bookmarkEnd w:id="1082"/>
      <w:bookmarkEnd w:id="1083"/>
    </w:p>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p w14:paraId="3AA5B3D1">
      <w:pPr>
        <w:widowControl/>
        <w:adjustRightInd w:val="0"/>
        <w:snapToGrid w:val="0"/>
        <w:spacing w:before="124" w:beforeLines="40" w:line="432" w:lineRule="auto"/>
        <w:ind w:firstLine="420" w:firstLineChars="200"/>
        <w:jc w:val="left"/>
        <w:rPr>
          <w:rFonts w:hint="eastAsia" w:ascii="宋体" w:hAnsi="宋体"/>
          <w:szCs w:val="21"/>
          <w:highlight w:val="none"/>
        </w:rPr>
      </w:pPr>
      <w:bookmarkStart w:id="1084" w:name="_Toc458504872"/>
      <w:bookmarkStart w:id="1085" w:name="_Toc455587087"/>
      <w:bookmarkStart w:id="1086" w:name="_Toc466024554"/>
      <w:bookmarkStart w:id="1087" w:name="_Toc455587271"/>
      <w:bookmarkStart w:id="1088" w:name="_Toc445554745"/>
      <w:r>
        <w:rPr>
          <w:rFonts w:hint="eastAsia" w:ascii="宋体" w:hAnsi="宋体"/>
          <w:szCs w:val="21"/>
          <w:highlight w:val="none"/>
        </w:rPr>
        <w:t>需要补充的其他内容</w:t>
      </w:r>
      <w:bookmarkEnd w:id="1084"/>
      <w:bookmarkEnd w:id="1085"/>
      <w:bookmarkEnd w:id="1086"/>
      <w:bookmarkEnd w:id="1087"/>
      <w:bookmarkEnd w:id="1088"/>
      <w:r>
        <w:rPr>
          <w:rFonts w:hint="eastAsia" w:ascii="宋体" w:hAnsi="宋体"/>
          <w:szCs w:val="21"/>
          <w:highlight w:val="none"/>
        </w:rPr>
        <w:t>：见投标供应商须知前附表。</w:t>
      </w:r>
    </w:p>
    <w:p w14:paraId="12203AE7">
      <w:pPr>
        <w:widowControl/>
        <w:adjustRightInd w:val="0"/>
        <w:snapToGrid w:val="0"/>
        <w:spacing w:before="124" w:beforeLines="40" w:line="432" w:lineRule="auto"/>
        <w:ind w:firstLine="420" w:firstLineChars="200"/>
        <w:jc w:val="left"/>
        <w:rPr>
          <w:rFonts w:hint="eastAsia" w:ascii="宋体" w:hAnsi="宋体"/>
          <w:szCs w:val="21"/>
        </w:rPr>
      </w:pPr>
    </w:p>
    <w:p w14:paraId="16736FA0">
      <w:pPr>
        <w:pStyle w:val="2"/>
        <w:ind w:leftChars="100"/>
        <w:jc w:val="center"/>
        <w:rPr>
          <w:rFonts w:hint="eastAsia" w:ascii="宋体" w:hAnsi="宋体"/>
        </w:rPr>
      </w:pPr>
      <w:bookmarkStart w:id="1089" w:name="_Hlt509650351"/>
      <w:bookmarkEnd w:id="1089"/>
      <w:bookmarkStart w:id="1090" w:name="_Hlt516969057"/>
      <w:bookmarkEnd w:id="1090"/>
      <w:bookmarkStart w:id="1091" w:name="_Toc1916820"/>
      <w:r>
        <w:rPr>
          <w:rFonts w:ascii="宋体" w:hAnsi="宋体"/>
        </w:rPr>
        <w:br w:type="page"/>
      </w:r>
      <w:bookmarkStart w:id="1092" w:name="_Toc6022"/>
      <w:bookmarkStart w:id="1093" w:name="_Toc10124"/>
      <w:bookmarkStart w:id="1094" w:name="_Toc31174"/>
      <w:bookmarkStart w:id="1095" w:name="_Toc27599"/>
      <w:bookmarkStart w:id="1096" w:name="_Toc22221"/>
      <w:bookmarkStart w:id="1097" w:name="_Toc3215858"/>
      <w:bookmarkStart w:id="1098" w:name="_Toc23664"/>
      <w:bookmarkStart w:id="1099" w:name="_Toc11621"/>
      <w:bookmarkStart w:id="1100" w:name="_Toc3295908"/>
      <w:bookmarkStart w:id="1101" w:name="_Toc13274"/>
      <w:r>
        <w:rPr>
          <w:rFonts w:hint="eastAsia" w:ascii="宋体" w:hAnsi="宋体"/>
          <w:szCs w:val="36"/>
        </w:rPr>
        <w:t xml:space="preserve">第三章 </w:t>
      </w:r>
      <w:r>
        <w:rPr>
          <w:rFonts w:hint="eastAsia" w:ascii="宋体" w:hAnsi="宋体"/>
          <w:b w:val="0"/>
          <w:bCs w:val="0"/>
        </w:rPr>
        <w:t xml:space="preserve"> </w:t>
      </w:r>
      <w:r>
        <w:rPr>
          <w:rFonts w:hint="eastAsia" w:ascii="宋体" w:hAnsi="宋体"/>
          <w:szCs w:val="36"/>
        </w:rPr>
        <w:t>采购需求</w:t>
      </w:r>
      <w:bookmarkEnd w:id="1092"/>
      <w:bookmarkEnd w:id="1093"/>
    </w:p>
    <w:p w14:paraId="3BA53917">
      <w:pPr>
        <w:spacing w:before="124" w:beforeLines="40" w:after="124" w:afterLines="40" w:line="400" w:lineRule="exact"/>
        <w:ind w:firstLine="420" w:firstLineChars="200"/>
        <w:jc w:val="left"/>
        <w:rPr>
          <w:rFonts w:hint="eastAsia" w:ascii="宋体" w:hAnsi="宋体"/>
          <w:szCs w:val="21"/>
        </w:rPr>
      </w:pPr>
      <w:r>
        <w:rPr>
          <w:rFonts w:hint="eastAsia" w:ascii="宋体" w:hAnsi="宋体"/>
          <w:szCs w:val="21"/>
        </w:rPr>
        <w:t>前注：</w:t>
      </w:r>
    </w:p>
    <w:p w14:paraId="0AAB0BD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本采购需求中提出的技术方案仅为参考，如无明确限制，投标供应商可以进行优化，提供满足采购人实际需要的更优（或者性能实质上不低于的）技术方案或者设备配置，且此方案或配置须经评标委员会评审认可；</w:t>
      </w:r>
      <w:r>
        <w:rPr>
          <w:rFonts w:hint="eastAsia" w:ascii="宋体" w:hAnsi="宋体"/>
          <w:szCs w:val="21"/>
        </w:rPr>
        <w:cr/>
      </w:r>
      <w:r>
        <w:rPr>
          <w:rFonts w:hint="eastAsia" w:ascii="宋体" w:hAnsi="宋体"/>
          <w:szCs w:val="21"/>
        </w:rPr>
        <w:t xml:space="preserve">    2.投标供应商应当在投标文件中列出完成本项目并通过验收所需的所有各项服务等明细表及全部费用。中标供应商必须确保整体通过采购人及有关主管部门验收；投标供应商应自行踏勘项目现场，如投标供应商因未及时踏勘现场而导致的报价缺项漏项废标</w:t>
      </w:r>
      <w:r>
        <w:rPr>
          <w:rFonts w:hint="eastAsia" w:ascii="宋体" w:hAnsi="宋体"/>
          <w:szCs w:val="21"/>
          <w:lang w:eastAsia="zh-CN"/>
        </w:rPr>
        <w:t>或</w:t>
      </w:r>
      <w:r>
        <w:rPr>
          <w:rFonts w:hint="eastAsia" w:ascii="宋体" w:hAnsi="宋体"/>
          <w:szCs w:val="21"/>
        </w:rPr>
        <w:t>中标后无法完工，投标供应商自行承担一切后果；</w:t>
      </w:r>
    </w:p>
    <w:p w14:paraId="613DBF2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如涉及商品包装和快递包装，投标人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p w14:paraId="23336666">
      <w:pPr>
        <w:adjustRightInd w:val="0"/>
        <w:snapToGrid w:val="0"/>
        <w:spacing w:line="360" w:lineRule="auto"/>
        <w:ind w:firstLine="422" w:firstLineChars="200"/>
        <w:jc w:val="left"/>
        <w:rPr>
          <w:rFonts w:hint="eastAsia" w:ascii="宋体" w:hAnsi="宋体" w:eastAsia="宋体" w:cs="Times New Roman"/>
          <w:b/>
          <w:bCs/>
          <w:sz w:val="21"/>
          <w:szCs w:val="21"/>
        </w:rPr>
      </w:pPr>
      <w:r>
        <w:rPr>
          <w:rFonts w:hint="eastAsia" w:ascii="宋体" w:hAnsi="宋体" w:eastAsia="宋体" w:cs="Times New Roman"/>
          <w:b/>
          <w:bCs/>
          <w:sz w:val="21"/>
          <w:szCs w:val="21"/>
        </w:rPr>
        <w:t>4.本章中标注“▲”的产品为主要标的（包括核心产品）。</w:t>
      </w:r>
      <w:bookmarkStart w:id="1102" w:name="_Hlk33586079"/>
      <w:r>
        <w:rPr>
          <w:rFonts w:hint="eastAsia" w:ascii="宋体" w:hAnsi="宋体" w:eastAsia="宋体" w:cs="Times New Roman"/>
          <w:b/>
          <w:bCs/>
          <w:sz w:val="21"/>
          <w:szCs w:val="21"/>
        </w:rPr>
        <w:t>采购人（代理机构）在编制招标文件时必须将采购的主要标的（包括核心产品）标注“▲”</w:t>
      </w:r>
      <w:bookmarkEnd w:id="1102"/>
      <w:r>
        <w:rPr>
          <w:rFonts w:hint="eastAsia" w:ascii="宋体" w:hAnsi="宋体" w:eastAsia="宋体" w:cs="Times New Roman"/>
          <w:b/>
          <w:bCs/>
          <w:sz w:val="21"/>
          <w:szCs w:val="21"/>
        </w:rPr>
        <w:t>。</w:t>
      </w:r>
    </w:p>
    <w:p w14:paraId="60B688BE">
      <w:pPr>
        <w:adjustRightInd w:val="0"/>
        <w:snapToGrid w:val="0"/>
        <w:spacing w:line="360" w:lineRule="auto"/>
        <w:ind w:firstLine="422" w:firstLineChars="200"/>
        <w:jc w:val="left"/>
        <w:rPr>
          <w:rFonts w:hint="eastAsia" w:ascii="宋体" w:hAnsi="宋体" w:cs="Times New Roman"/>
          <w:b/>
          <w:bCs/>
          <w:sz w:val="21"/>
          <w:szCs w:val="21"/>
          <w:lang w:val="en-US" w:eastAsia="zh-CN"/>
        </w:rPr>
      </w:pPr>
      <w:bookmarkStart w:id="1103" w:name="_Hlk130665727"/>
      <w:r>
        <w:rPr>
          <w:rFonts w:hint="eastAsia" w:ascii="宋体" w:hAnsi="宋体"/>
          <w:b/>
          <w:bCs/>
          <w:szCs w:val="21"/>
        </w:rPr>
        <w:t>5.本章中标注“</w:t>
      </w:r>
      <w:r>
        <w:rPr>
          <w:rFonts w:hint="eastAsia" w:ascii="宋体" w:hAnsi="宋体"/>
          <w:b/>
          <w:bCs/>
          <w:szCs w:val="21"/>
          <w:lang w:val="en-US" w:eastAsia="zh-CN"/>
        </w:rPr>
        <w:t>■</w:t>
      </w:r>
      <w:r>
        <w:rPr>
          <w:rFonts w:hint="eastAsia" w:ascii="宋体" w:hAnsi="宋体"/>
          <w:b/>
          <w:bCs/>
          <w:szCs w:val="21"/>
        </w:rPr>
        <w:t>”的参数为实质性参数，招标文件采购需求中要求了提供具体证明材料类型的须按照要求提供，未明确要求提供具体证明材料类型的，投标人须在投标文件中自行提供相关证明材料（包括不限于产品彩页或操作界面截图或产品技术白皮书或产品检测报告等，但提供的证明材料须经评标委员会评审并认可）。</w:t>
      </w:r>
    </w:p>
    <w:p w14:paraId="6C520FAC">
      <w:pPr>
        <w:adjustRightInd w:val="0"/>
        <w:snapToGrid w:val="0"/>
        <w:spacing w:line="360" w:lineRule="auto"/>
        <w:ind w:firstLine="422" w:firstLineChars="200"/>
        <w:jc w:val="left"/>
        <w:rPr>
          <w:rFonts w:hint="eastAsia" w:ascii="宋体" w:hAnsi="宋体" w:eastAsia="宋体" w:cs="Times New Roman"/>
          <w:b/>
          <w:bCs/>
          <w:sz w:val="21"/>
          <w:szCs w:val="21"/>
          <w:lang w:eastAsia="zh-CN"/>
        </w:rPr>
      </w:pPr>
      <w:r>
        <w:rPr>
          <w:rFonts w:hint="eastAsia" w:ascii="宋体" w:hAnsi="宋体" w:cs="Times New Roman"/>
          <w:b/>
          <w:bCs/>
          <w:sz w:val="21"/>
          <w:szCs w:val="21"/>
          <w:lang w:val="en-US" w:eastAsia="zh-CN"/>
        </w:rPr>
        <w:t>6</w:t>
      </w:r>
      <w:r>
        <w:rPr>
          <w:rFonts w:hint="eastAsia" w:ascii="宋体" w:hAnsi="宋体" w:eastAsia="宋体" w:cs="Times New Roman"/>
          <w:b/>
          <w:bCs/>
          <w:sz w:val="21"/>
          <w:szCs w:val="21"/>
        </w:rPr>
        <w:t>.本章中标注“★”的技术参数，为采购产品的重要技术参数，招标文件采购需求中要求了提供具体证明材料类型的须按照要求提供，未明确要求提供具体证明材料类型的，投标人须在投标文件中自行提供相关证明材料（包括不限于产品彩页或操作界面截图或产品技术白皮书或产品检测报告等，但提供的证明材料须经评标委员会评审并认可）</w:t>
      </w:r>
      <w:r>
        <w:rPr>
          <w:rFonts w:hint="eastAsia" w:ascii="宋体" w:hAnsi="宋体" w:eastAsia="宋体" w:cs="Times New Roman"/>
          <w:b/>
          <w:bCs/>
          <w:sz w:val="21"/>
          <w:szCs w:val="21"/>
          <w:lang w:eastAsia="zh-CN"/>
        </w:rPr>
        <w:t>。</w:t>
      </w:r>
    </w:p>
    <w:p w14:paraId="5B079D72">
      <w:pPr>
        <w:adjustRightInd w:val="0"/>
        <w:snapToGrid w:val="0"/>
        <w:spacing w:line="360" w:lineRule="auto"/>
        <w:ind w:firstLine="422" w:firstLineChars="200"/>
        <w:jc w:val="left"/>
        <w:rPr>
          <w:rFonts w:hint="eastAsia" w:ascii="宋体" w:hAnsi="宋体" w:eastAsia="宋体" w:cs="Times New Roman"/>
          <w:b/>
          <w:bCs/>
          <w:sz w:val="21"/>
          <w:szCs w:val="21"/>
          <w:lang w:val="en-US" w:eastAsia="zh-CN"/>
        </w:rPr>
      </w:pPr>
      <w:r>
        <w:rPr>
          <w:rFonts w:hint="eastAsia" w:ascii="宋体" w:hAnsi="宋体" w:cs="Times New Roman"/>
          <w:b/>
          <w:bCs/>
          <w:sz w:val="21"/>
          <w:szCs w:val="21"/>
          <w:lang w:val="en-US" w:eastAsia="zh-CN"/>
        </w:rPr>
        <w:t>7</w:t>
      </w:r>
      <w:r>
        <w:rPr>
          <w:rFonts w:hint="eastAsia" w:ascii="宋体" w:hAnsi="宋体" w:eastAsia="宋体" w:cs="Times New Roman"/>
          <w:b/>
          <w:bCs/>
          <w:sz w:val="21"/>
          <w:szCs w:val="21"/>
          <w:lang w:val="en-US" w:eastAsia="zh-CN"/>
        </w:rPr>
        <w:t>.</w:t>
      </w:r>
      <w:r>
        <w:rPr>
          <w:rFonts w:hint="eastAsia" w:ascii="宋体" w:hAnsi="宋体" w:eastAsia="宋体" w:cs="Times New Roman"/>
          <w:b/>
          <w:bCs/>
          <w:sz w:val="21"/>
          <w:szCs w:val="21"/>
        </w:rPr>
        <w:t>本章中</w:t>
      </w:r>
      <w:r>
        <w:rPr>
          <w:rFonts w:hint="eastAsia" w:ascii="宋体" w:hAnsi="宋体" w:eastAsia="宋体" w:cs="Times New Roman"/>
          <w:b/>
          <w:bCs/>
          <w:sz w:val="21"/>
          <w:szCs w:val="21"/>
          <w:lang w:val="en-US" w:eastAsia="zh-CN"/>
        </w:rPr>
        <w:t>未做</w:t>
      </w:r>
      <w:r>
        <w:rPr>
          <w:rFonts w:hint="eastAsia" w:ascii="宋体" w:hAnsi="宋体" w:eastAsia="宋体" w:cs="Times New Roman"/>
          <w:b/>
          <w:bCs/>
          <w:sz w:val="21"/>
          <w:szCs w:val="21"/>
        </w:rPr>
        <w:t>标注的技术参数</w:t>
      </w:r>
      <w:r>
        <w:rPr>
          <w:rFonts w:hint="eastAsia" w:ascii="宋体" w:hAnsi="宋体" w:cs="Times New Roman"/>
          <w:b/>
          <w:bCs/>
          <w:sz w:val="21"/>
          <w:szCs w:val="21"/>
          <w:lang w:eastAsia="zh-CN"/>
        </w:rPr>
        <w:t>（无标识项）</w:t>
      </w:r>
      <w:r>
        <w:rPr>
          <w:rFonts w:hint="eastAsia" w:ascii="宋体" w:hAnsi="宋体" w:eastAsia="宋体" w:cs="Times New Roman"/>
          <w:b/>
          <w:bCs/>
          <w:sz w:val="21"/>
          <w:szCs w:val="21"/>
        </w:rPr>
        <w:t>，</w:t>
      </w:r>
      <w:r>
        <w:rPr>
          <w:rFonts w:hint="eastAsia" w:ascii="宋体" w:hAnsi="宋体" w:eastAsia="宋体" w:cs="Times New Roman"/>
          <w:b/>
          <w:bCs/>
          <w:sz w:val="21"/>
          <w:szCs w:val="21"/>
          <w:lang w:val="en-US" w:eastAsia="zh-CN"/>
        </w:rPr>
        <w:t>为采购产品的一般技术参数，如</w:t>
      </w:r>
      <w:r>
        <w:rPr>
          <w:rFonts w:hint="eastAsia" w:ascii="宋体" w:hAnsi="宋体" w:eastAsia="宋体" w:cs="Times New Roman"/>
          <w:b/>
          <w:bCs/>
          <w:sz w:val="21"/>
          <w:szCs w:val="21"/>
        </w:rPr>
        <w:t>招标文件采购需求中要求</w:t>
      </w:r>
      <w:r>
        <w:rPr>
          <w:rFonts w:hint="eastAsia" w:ascii="宋体" w:hAnsi="宋体" w:eastAsia="宋体" w:cs="Times New Roman"/>
          <w:b/>
          <w:bCs/>
          <w:sz w:val="21"/>
          <w:szCs w:val="21"/>
          <w:lang w:val="en-US" w:eastAsia="zh-CN"/>
        </w:rPr>
        <w:t>提供相应的证明材料的须按要求提供，否则视为负偏离，</w:t>
      </w:r>
      <w:r>
        <w:rPr>
          <w:rFonts w:hint="eastAsia" w:ascii="宋体" w:hAnsi="宋体" w:eastAsia="宋体" w:cs="Times New Roman"/>
          <w:b/>
          <w:bCs/>
          <w:sz w:val="21"/>
          <w:szCs w:val="21"/>
        </w:rPr>
        <w:t>未明确要求</w:t>
      </w:r>
      <w:r>
        <w:rPr>
          <w:rFonts w:hint="eastAsia" w:ascii="宋体" w:hAnsi="宋体" w:eastAsia="宋体" w:cs="Times New Roman"/>
          <w:b/>
          <w:bCs/>
          <w:sz w:val="21"/>
          <w:szCs w:val="21"/>
          <w:lang w:val="en-US" w:eastAsia="zh-CN"/>
        </w:rPr>
        <w:t>的投标人须在技术参数响应表中内如实响应。</w:t>
      </w:r>
      <w:bookmarkEnd w:id="1103"/>
      <w:bookmarkStart w:id="1104" w:name="_Toc32151"/>
      <w:bookmarkStart w:id="1105" w:name="_Toc2554"/>
    </w:p>
    <w:p w14:paraId="25E28E01">
      <w:pPr>
        <w:pStyle w:val="21"/>
        <w:rPr>
          <w:rFonts w:hint="eastAsia" w:ascii="宋体" w:hAnsi="宋体" w:eastAsia="宋体" w:cs="Times New Roman"/>
          <w:b/>
          <w:bCs/>
          <w:sz w:val="21"/>
          <w:szCs w:val="21"/>
          <w:lang w:val="en-US" w:eastAsia="zh-CN"/>
        </w:rPr>
        <w:sectPr>
          <w:headerReference r:id="rId9" w:type="default"/>
          <w:pgSz w:w="11907" w:h="16840"/>
          <w:pgMar w:top="1440" w:right="1247" w:bottom="1440" w:left="1247" w:header="851" w:footer="992" w:gutter="0"/>
          <w:pgNumType w:fmt="decimal"/>
          <w:cols w:space="720" w:num="1"/>
          <w:docGrid w:linePitch="303" w:charSpace="0"/>
        </w:sectPr>
      </w:pPr>
    </w:p>
    <w:bookmarkEnd w:id="1104"/>
    <w:bookmarkEnd w:id="1105"/>
    <w:p w14:paraId="23E1E84E">
      <w:pPr>
        <w:numPr>
          <w:ilvl w:val="0"/>
          <w:numId w:val="0"/>
        </w:numPr>
        <w:spacing w:line="360" w:lineRule="auto"/>
        <w:outlineLvl w:val="1"/>
        <w:rPr>
          <w:rFonts w:hint="eastAsia" w:ascii="宋体" w:hAnsi="宋体" w:cs="宋体"/>
          <w:b/>
          <w:bCs/>
          <w:szCs w:val="21"/>
          <w:highlight w:val="none"/>
        </w:rPr>
      </w:pPr>
      <w:bookmarkStart w:id="1106" w:name="_Toc22662"/>
      <w:r>
        <w:rPr>
          <w:rFonts w:hint="eastAsia" w:ascii="宋体" w:hAnsi="宋体" w:eastAsia="宋体" w:cs="宋体"/>
          <w:b/>
          <w:bCs/>
          <w:kern w:val="2"/>
          <w:sz w:val="28"/>
          <w:szCs w:val="28"/>
          <w:lang w:val="en-US" w:eastAsia="zh-CN" w:bidi="ar-SA"/>
        </w:rPr>
        <w:t>第三包：负压真空干燥柜</w:t>
      </w:r>
      <w:r>
        <w:rPr>
          <w:rFonts w:hint="eastAsia" w:ascii="宋体" w:hAnsi="宋体" w:eastAsia="宋体" w:cs="宋体"/>
          <w:b/>
          <w:bCs/>
          <w:kern w:val="2"/>
          <w:sz w:val="28"/>
          <w:szCs w:val="28"/>
          <w:lang w:val="en-US" w:eastAsia="zh-CN" w:bidi="ar-SA"/>
        </w:rPr>
        <w:br w:type="textWrapping"/>
      </w:r>
      <w:r>
        <w:rPr>
          <w:rFonts w:hint="eastAsia" w:ascii="宋体" w:hAnsi="宋体" w:cs="宋体"/>
          <w:b/>
          <w:szCs w:val="21"/>
          <w:highlight w:val="none"/>
          <w:lang w:val="en-US" w:eastAsia="zh-CN"/>
        </w:rPr>
        <w:tab/>
      </w:r>
      <w:r>
        <w:rPr>
          <w:rFonts w:hint="eastAsia" w:ascii="宋体" w:hAnsi="宋体" w:eastAsia="宋体" w:cs="宋体"/>
          <w:b/>
          <w:bCs/>
          <w:kern w:val="2"/>
          <w:sz w:val="24"/>
          <w:szCs w:val="24"/>
          <w:highlight w:val="none"/>
          <w:lang w:val="en-US" w:eastAsia="zh-CN" w:bidi="ar-SA"/>
        </w:rPr>
        <w:t>一、采购需求前附表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2319"/>
        <w:gridCol w:w="6617"/>
      </w:tblGrid>
      <w:tr w14:paraId="64862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noWrap w:val="0"/>
            <w:vAlign w:val="center"/>
          </w:tcPr>
          <w:p w14:paraId="3F08F494">
            <w:pPr>
              <w:spacing w:line="360" w:lineRule="auto"/>
              <w:jc w:val="center"/>
              <w:rPr>
                <w:rFonts w:hint="eastAsia" w:ascii="宋体" w:hAnsi="宋体"/>
                <w:b/>
                <w:szCs w:val="21"/>
                <w:highlight w:val="none"/>
              </w:rPr>
            </w:pPr>
            <w:r>
              <w:rPr>
                <w:rFonts w:hint="eastAsia" w:ascii="宋体" w:hAnsi="宋体"/>
                <w:b/>
                <w:szCs w:val="21"/>
                <w:highlight w:val="none"/>
              </w:rPr>
              <w:t>序号</w:t>
            </w:r>
          </w:p>
        </w:tc>
        <w:tc>
          <w:tcPr>
            <w:tcW w:w="1176" w:type="pct"/>
            <w:noWrap w:val="0"/>
            <w:vAlign w:val="center"/>
          </w:tcPr>
          <w:p w14:paraId="0FD26C38">
            <w:pPr>
              <w:spacing w:line="360" w:lineRule="auto"/>
              <w:jc w:val="center"/>
              <w:rPr>
                <w:rFonts w:hint="eastAsia"/>
                <w:b/>
                <w:szCs w:val="21"/>
                <w:highlight w:val="none"/>
              </w:rPr>
            </w:pPr>
            <w:r>
              <w:rPr>
                <w:rFonts w:hint="eastAsia" w:ascii="宋体" w:hAnsi="宋体"/>
                <w:b/>
                <w:szCs w:val="21"/>
                <w:highlight w:val="none"/>
              </w:rPr>
              <w:t>条款名称</w:t>
            </w:r>
          </w:p>
        </w:tc>
        <w:tc>
          <w:tcPr>
            <w:tcW w:w="3356" w:type="pct"/>
            <w:noWrap w:val="0"/>
            <w:vAlign w:val="center"/>
          </w:tcPr>
          <w:p w14:paraId="1C32FF74">
            <w:pPr>
              <w:spacing w:line="360" w:lineRule="auto"/>
              <w:jc w:val="center"/>
              <w:rPr>
                <w:rFonts w:hint="eastAsia"/>
                <w:b/>
                <w:szCs w:val="21"/>
                <w:highlight w:val="none"/>
              </w:rPr>
            </w:pPr>
            <w:r>
              <w:rPr>
                <w:rFonts w:hint="eastAsia"/>
                <w:b/>
                <w:szCs w:val="21"/>
                <w:highlight w:val="none"/>
              </w:rPr>
              <w:t>内容、说明与要求</w:t>
            </w:r>
          </w:p>
        </w:tc>
      </w:tr>
      <w:tr w14:paraId="4787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35237BA1">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rPr>
              <w:t>1</w:t>
            </w:r>
          </w:p>
        </w:tc>
        <w:tc>
          <w:tcPr>
            <w:tcW w:w="0" w:type="auto"/>
            <w:shd w:val="clear" w:color="auto" w:fill="auto"/>
            <w:vAlign w:val="center"/>
          </w:tcPr>
          <w:p w14:paraId="4FB9F340">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sz w:val="24"/>
                <w:highlight w:val="none"/>
              </w:rPr>
              <w:t>付款方式</w:t>
            </w:r>
          </w:p>
        </w:tc>
        <w:tc>
          <w:tcPr>
            <w:tcW w:w="0" w:type="auto"/>
            <w:shd w:val="clear" w:color="auto" w:fill="auto"/>
            <w:vAlign w:val="center"/>
          </w:tcPr>
          <w:p w14:paraId="539D2BAD">
            <w:pPr>
              <w:pStyle w:val="39"/>
              <w:widowControl w:val="0"/>
              <w:spacing w:before="0" w:beforeAutospacing="0" w:after="0" w:afterAutospacing="0" w:line="360" w:lineRule="auto"/>
              <w:jc w:val="both"/>
              <w:rPr>
                <w:rFonts w:hint="eastAsia" w:ascii="宋体" w:hAnsi="宋体" w:eastAsia="宋体" w:cs="Times New Roman"/>
                <w:b w:val="0"/>
                <w:bCs/>
                <w:color w:val="auto"/>
                <w:kern w:val="0"/>
                <w:sz w:val="24"/>
                <w:szCs w:val="28"/>
                <w:highlight w:val="none"/>
                <w:u w:val="single"/>
                <w:lang w:val="en-US" w:eastAsia="zh-CN" w:bidi="ar-SA"/>
              </w:rPr>
            </w:pPr>
            <w:r>
              <w:rPr>
                <w:rFonts w:hint="eastAsia" w:ascii="宋体" w:hAnsi="宋体" w:eastAsia="宋体"/>
                <w:b w:val="0"/>
                <w:sz w:val="24"/>
                <w:highlight w:val="none"/>
                <w:lang w:val="en-US" w:eastAsia="zh-CN"/>
              </w:rPr>
              <w:t>本项目</w:t>
            </w:r>
            <w:r>
              <w:rPr>
                <w:rFonts w:hint="eastAsia" w:ascii="宋体" w:hAnsi="宋体" w:eastAsia="宋体"/>
                <w:b w:val="0"/>
                <w:sz w:val="24"/>
                <w:highlight w:val="none"/>
              </w:rPr>
              <w:t>货到安装验收合格，提供产品的使用、操作及维修人员的培训，并能独立操作且使用部门签字确认后，采购人支付全部货款</w:t>
            </w:r>
            <w:r>
              <w:rPr>
                <w:rFonts w:hint="eastAsia" w:ascii="宋体" w:hAnsi="宋体" w:eastAsia="宋体"/>
                <w:b w:val="0"/>
                <w:sz w:val="24"/>
                <w:highlight w:val="none"/>
                <w:lang w:eastAsia="zh-CN"/>
              </w:rPr>
              <w:t>。</w:t>
            </w:r>
          </w:p>
        </w:tc>
      </w:tr>
      <w:tr w14:paraId="7A2E2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34F54A5A">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rPr>
              <w:t>2</w:t>
            </w:r>
          </w:p>
        </w:tc>
        <w:tc>
          <w:tcPr>
            <w:tcW w:w="0" w:type="auto"/>
            <w:shd w:val="clear" w:color="auto" w:fill="auto"/>
            <w:vAlign w:val="center"/>
          </w:tcPr>
          <w:p w14:paraId="40817E24">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sz w:val="24"/>
                <w:highlight w:val="none"/>
              </w:rPr>
              <w:t>供货及安装地点</w:t>
            </w:r>
          </w:p>
        </w:tc>
        <w:tc>
          <w:tcPr>
            <w:tcW w:w="0" w:type="auto"/>
            <w:shd w:val="clear" w:color="auto" w:fill="auto"/>
            <w:vAlign w:val="center"/>
          </w:tcPr>
          <w:p w14:paraId="686C3434">
            <w:pPr>
              <w:pStyle w:val="39"/>
              <w:widowControl w:val="0"/>
              <w:spacing w:before="0" w:beforeAutospacing="0" w:after="0" w:afterAutospacing="0" w:line="360" w:lineRule="auto"/>
              <w:jc w:val="both"/>
              <w:rPr>
                <w:rFonts w:hint="default" w:ascii="宋体" w:hAnsi="宋体" w:eastAsia="宋体" w:cs="Times New Roman"/>
                <w:b w:val="0"/>
                <w:bCs/>
                <w:color w:val="auto"/>
                <w:kern w:val="0"/>
                <w:sz w:val="24"/>
                <w:szCs w:val="28"/>
                <w:highlight w:val="none"/>
                <w:lang w:val="en-US" w:eastAsia="zh-CN" w:bidi="ar-SA"/>
              </w:rPr>
            </w:pPr>
            <w:r>
              <w:rPr>
                <w:rFonts w:hint="eastAsia" w:cs="Times New Roman"/>
                <w:b w:val="0"/>
                <w:bCs/>
                <w:color w:val="auto"/>
                <w:kern w:val="0"/>
                <w:sz w:val="24"/>
                <w:szCs w:val="28"/>
                <w:highlight w:val="none"/>
                <w:lang w:val="en-US" w:eastAsia="zh-CN" w:bidi="ar-SA"/>
              </w:rPr>
              <w:t>安徽省第二人民医院供应室C楼3层</w:t>
            </w:r>
          </w:p>
        </w:tc>
      </w:tr>
      <w:tr w14:paraId="63F8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5FD98EE4">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rPr>
              <w:t>3</w:t>
            </w:r>
          </w:p>
        </w:tc>
        <w:tc>
          <w:tcPr>
            <w:tcW w:w="0" w:type="auto"/>
            <w:shd w:val="clear" w:color="auto" w:fill="auto"/>
            <w:vAlign w:val="center"/>
          </w:tcPr>
          <w:p w14:paraId="7676C0C9">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sz w:val="24"/>
                <w:highlight w:val="none"/>
              </w:rPr>
              <w:t>供货及安装期限</w:t>
            </w:r>
          </w:p>
        </w:tc>
        <w:tc>
          <w:tcPr>
            <w:tcW w:w="0" w:type="auto"/>
            <w:shd w:val="clear" w:color="auto" w:fill="auto"/>
            <w:vAlign w:val="center"/>
          </w:tcPr>
          <w:p w14:paraId="0C132CDD">
            <w:pPr>
              <w:pStyle w:val="39"/>
              <w:widowControl w:val="0"/>
              <w:spacing w:before="0" w:beforeAutospacing="0" w:after="0" w:afterAutospacing="0" w:line="360" w:lineRule="auto"/>
              <w:jc w:val="both"/>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cs="Times New Roman"/>
                <w:b w:val="0"/>
                <w:bCs/>
                <w:color w:val="auto"/>
                <w:kern w:val="0"/>
                <w:sz w:val="24"/>
                <w:szCs w:val="28"/>
                <w:highlight w:val="none"/>
                <w:lang w:val="en-US" w:eastAsia="zh-CN" w:bidi="ar-SA"/>
              </w:rPr>
              <w:t>合同签订后，接采购人书面通知后30个日历天内完成交货、安装、调试等工作。</w:t>
            </w:r>
          </w:p>
        </w:tc>
      </w:tr>
      <w:tr w14:paraId="3063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25E49EC2">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rPr>
              <w:t>4</w:t>
            </w:r>
          </w:p>
        </w:tc>
        <w:tc>
          <w:tcPr>
            <w:tcW w:w="0" w:type="auto"/>
            <w:shd w:val="clear" w:color="auto" w:fill="auto"/>
            <w:vAlign w:val="center"/>
          </w:tcPr>
          <w:p w14:paraId="76160EB7">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sz w:val="24"/>
                <w:highlight w:val="none"/>
              </w:rPr>
              <w:t>免费质保期</w:t>
            </w:r>
          </w:p>
        </w:tc>
        <w:tc>
          <w:tcPr>
            <w:tcW w:w="0" w:type="auto"/>
            <w:shd w:val="clear" w:color="auto" w:fill="auto"/>
            <w:vAlign w:val="center"/>
          </w:tcPr>
          <w:p w14:paraId="61D15F9E">
            <w:pPr>
              <w:keepNext w:val="0"/>
              <w:keepLines w:val="0"/>
              <w:widowControl/>
              <w:suppressLineNumbers w:val="0"/>
              <w:jc w:val="left"/>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cs="Times New Roman"/>
                <w:b w:val="0"/>
                <w:bCs/>
                <w:color w:val="auto"/>
                <w:kern w:val="0"/>
                <w:sz w:val="24"/>
                <w:szCs w:val="28"/>
                <w:highlight w:val="none"/>
                <w:lang w:val="en-US" w:eastAsia="zh-CN" w:bidi="ar-SA"/>
              </w:rPr>
              <w:t>自验收合格之日起整</w:t>
            </w:r>
            <w:r>
              <w:rPr>
                <w:rFonts w:hint="eastAsia" w:cs="Times New Roman"/>
                <w:b w:val="0"/>
                <w:bCs/>
                <w:color w:val="auto"/>
                <w:kern w:val="0"/>
                <w:sz w:val="24"/>
                <w:szCs w:val="28"/>
                <w:highlight w:val="none"/>
                <w:lang w:val="en-US" w:eastAsia="zh-CN" w:bidi="ar-SA"/>
              </w:rPr>
              <w:t>机</w:t>
            </w:r>
            <w:r>
              <w:rPr>
                <w:rFonts w:hint="eastAsia" w:ascii="宋体" w:hAnsi="宋体" w:eastAsia="宋体" w:cs="Times New Roman"/>
                <w:b w:val="0"/>
                <w:bCs/>
                <w:color w:val="auto"/>
                <w:kern w:val="0"/>
                <w:sz w:val="24"/>
                <w:szCs w:val="28"/>
                <w:highlight w:val="none"/>
                <w:lang w:val="en-US" w:eastAsia="zh-CN" w:bidi="ar-SA"/>
              </w:rPr>
              <w:t>（含所有投标提供的配套附件</w:t>
            </w:r>
            <w:r>
              <w:rPr>
                <w:rFonts w:hint="eastAsia" w:ascii="宋体" w:hAnsi="宋体" w:cs="Times New Roman"/>
                <w:b w:val="0"/>
                <w:bCs/>
                <w:color w:val="auto"/>
                <w:kern w:val="0"/>
                <w:sz w:val="24"/>
                <w:szCs w:val="28"/>
                <w:highlight w:val="none"/>
                <w:lang w:val="en-US" w:eastAsia="zh-CN" w:bidi="ar-SA"/>
              </w:rPr>
              <w:t>，</w:t>
            </w:r>
            <w:r>
              <w:rPr>
                <w:rFonts w:hint="eastAsia" w:ascii="宋体" w:hAnsi="宋体" w:eastAsia="宋体" w:cs="Times New Roman"/>
                <w:b w:val="0"/>
                <w:bCs/>
                <w:color w:val="auto"/>
                <w:kern w:val="0"/>
                <w:sz w:val="24"/>
                <w:szCs w:val="28"/>
                <w:highlight w:val="none"/>
                <w:lang w:val="en-US" w:eastAsia="zh-CN" w:bidi="ar-SA"/>
              </w:rPr>
              <w:t>原厂辅助设备和其他品牌辅助设备）原厂质保</w:t>
            </w:r>
            <w:r>
              <w:rPr>
                <w:rFonts w:hint="eastAsia" w:cs="Times New Roman"/>
                <w:b w:val="0"/>
                <w:bCs/>
                <w:color w:val="auto"/>
                <w:kern w:val="0"/>
                <w:sz w:val="24"/>
                <w:szCs w:val="28"/>
                <w:highlight w:val="none"/>
                <w:lang w:val="en-US" w:eastAsia="zh-CN" w:bidi="ar-SA"/>
              </w:rPr>
              <w:t>5</w:t>
            </w:r>
            <w:r>
              <w:rPr>
                <w:rFonts w:hint="eastAsia" w:ascii="宋体" w:hAnsi="宋体" w:eastAsia="宋体" w:cs="Times New Roman"/>
                <w:b w:val="0"/>
                <w:bCs/>
                <w:color w:val="auto"/>
                <w:kern w:val="0"/>
                <w:sz w:val="24"/>
                <w:szCs w:val="28"/>
                <w:highlight w:val="none"/>
                <w:lang w:val="en-US" w:eastAsia="zh-CN" w:bidi="ar-SA"/>
              </w:rPr>
              <w:t>年。</w:t>
            </w:r>
          </w:p>
        </w:tc>
      </w:tr>
      <w:tr w14:paraId="5195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6EF0AB8E">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lang w:val="en-US" w:eastAsia="zh-CN"/>
              </w:rPr>
              <w:t>5</w:t>
            </w:r>
          </w:p>
        </w:tc>
        <w:tc>
          <w:tcPr>
            <w:tcW w:w="0" w:type="auto"/>
            <w:shd w:val="clear" w:color="auto" w:fill="auto"/>
            <w:vAlign w:val="center"/>
          </w:tcPr>
          <w:p w14:paraId="4EEB9050">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color w:val="auto"/>
                <w:sz w:val="24"/>
                <w:highlight w:val="none"/>
                <w:lang w:val="en-US" w:eastAsia="zh-CN"/>
              </w:rPr>
              <w:t>医疗器械注册证（或医疗器械备案材料）</w:t>
            </w:r>
          </w:p>
        </w:tc>
        <w:tc>
          <w:tcPr>
            <w:tcW w:w="0" w:type="auto"/>
            <w:shd w:val="clear" w:color="auto" w:fill="auto"/>
            <w:vAlign w:val="center"/>
          </w:tcPr>
          <w:p w14:paraId="1E5CB402">
            <w:pPr>
              <w:pStyle w:val="39"/>
              <w:widowControl w:val="0"/>
              <w:spacing w:before="0" w:beforeAutospacing="0" w:after="0" w:afterAutospacing="0" w:line="360" w:lineRule="auto"/>
              <w:jc w:val="both"/>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color w:val="auto"/>
                <w:sz w:val="24"/>
                <w:highlight w:val="none"/>
              </w:rPr>
              <w:t>投标产品须具有有效的医疗器械注册证（属于二类、三类时）；投标产品纳入备案管理时（属于一类时），须在投标文件中提供备案材料或承诺函（承诺在合同签订前提供所投产品的备案证明材料，若未按规定提供视为自动放弃中标资格）。</w:t>
            </w:r>
          </w:p>
        </w:tc>
      </w:tr>
    </w:tbl>
    <w:p w14:paraId="40A6BCFA">
      <w:pPr>
        <w:pStyle w:val="18"/>
        <w:rPr>
          <w:rFonts w:hint="eastAsia" w:ascii="宋体" w:hAnsi="宋体" w:eastAsia="宋体" w:cs="Times New Roman"/>
          <w:b w:val="0"/>
          <w:bCs/>
          <w:smallCaps w:val="0"/>
          <w:color w:val="auto"/>
          <w:kern w:val="0"/>
          <w:sz w:val="24"/>
          <w:szCs w:val="28"/>
          <w:highlight w:val="none"/>
          <w:lang w:val="en-US" w:eastAsia="zh-CN" w:bidi="ar-SA"/>
        </w:rPr>
      </w:pPr>
    </w:p>
    <w:p w14:paraId="3293CEC9">
      <w:pPr>
        <w:spacing w:line="360" w:lineRule="auto"/>
        <w:rPr>
          <w:rFonts w:hint="eastAsia" w:ascii="宋体" w:hAnsi="宋体" w:eastAsia="宋体" w:cs="宋体"/>
          <w:b/>
          <w:bCs/>
          <w:kern w:val="2"/>
          <w:sz w:val="21"/>
          <w:szCs w:val="21"/>
          <w:highlight w:val="none"/>
          <w:lang w:val="en-US" w:eastAsia="zh-CN" w:bidi="ar-SA"/>
        </w:rPr>
      </w:pPr>
      <w:r>
        <w:rPr>
          <w:rFonts w:hint="eastAsia" w:ascii="宋体" w:hAnsi="宋体" w:eastAsia="宋体" w:cs="Times New Roman"/>
          <w:b w:val="0"/>
          <w:bCs/>
          <w:smallCaps w:val="0"/>
          <w:color w:val="auto"/>
          <w:kern w:val="0"/>
          <w:sz w:val="24"/>
          <w:szCs w:val="28"/>
          <w:highlight w:val="none"/>
          <w:lang w:val="en-US" w:eastAsia="zh-CN" w:bidi="ar-SA"/>
        </w:rPr>
        <w:t>注：上述商务条款必须全部满足，否则作无效标处理。</w:t>
      </w:r>
    </w:p>
    <w:p w14:paraId="6E5D172F">
      <w:pPr>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二、</w:t>
      </w:r>
      <w:r>
        <w:rPr>
          <w:rFonts w:hint="eastAsia" w:ascii="宋体" w:hAnsi="宋体" w:eastAsia="宋体" w:cs="宋体"/>
          <w:b/>
          <w:sz w:val="24"/>
          <w:szCs w:val="24"/>
          <w:highlight w:val="none"/>
        </w:rPr>
        <w:t>货物</w:t>
      </w:r>
      <w:r>
        <w:rPr>
          <w:rFonts w:hint="eastAsia" w:ascii="宋体" w:hAnsi="宋体" w:eastAsia="宋体" w:cs="宋体"/>
          <w:b/>
          <w:bCs/>
          <w:sz w:val="24"/>
          <w:szCs w:val="24"/>
          <w:highlight w:val="none"/>
        </w:rPr>
        <w:t>需求</w:t>
      </w:r>
      <w:r>
        <w:rPr>
          <w:rFonts w:hint="eastAsia" w:ascii="宋体" w:hAnsi="宋体" w:eastAsia="宋体" w:cs="宋体"/>
          <w:b/>
          <w:bCs/>
          <w:sz w:val="24"/>
          <w:szCs w:val="24"/>
          <w:highlight w:val="none"/>
          <w:lang w:val="en-US" w:eastAsia="zh-CN"/>
        </w:rPr>
        <w:t>一览表</w:t>
      </w:r>
    </w:p>
    <w:tbl>
      <w:tblPr>
        <w:tblStyle w:val="23"/>
        <w:tblW w:w="41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0"/>
        <w:gridCol w:w="1716"/>
        <w:gridCol w:w="2211"/>
        <w:gridCol w:w="1264"/>
        <w:gridCol w:w="1080"/>
      </w:tblGrid>
      <w:tr w14:paraId="627B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148" w:type="pct"/>
            <w:noWrap w:val="0"/>
            <w:vAlign w:val="center"/>
          </w:tcPr>
          <w:p w14:paraId="040DDB0B">
            <w:pPr>
              <w:widowControl/>
              <w:jc w:val="center"/>
              <w:rPr>
                <w:rFonts w:hint="default" w:ascii="宋体" w:hAnsi="宋体" w:eastAsia="宋体" w:cs="宋体"/>
                <w:b/>
                <w:bCs/>
                <w:snapToGrid w:val="0"/>
                <w:color w:val="000000"/>
                <w:kern w:val="0"/>
                <w:szCs w:val="21"/>
                <w:highlight w:val="none"/>
                <w:lang w:val="en-US" w:eastAsia="zh-CN" w:bidi="ar"/>
              </w:rPr>
            </w:pPr>
            <w:r>
              <w:rPr>
                <w:rFonts w:hint="eastAsia" w:ascii="宋体" w:hAnsi="宋体" w:cs="宋体"/>
                <w:b/>
                <w:bCs/>
                <w:snapToGrid w:val="0"/>
                <w:color w:val="000000"/>
                <w:kern w:val="0"/>
                <w:szCs w:val="21"/>
                <w:highlight w:val="none"/>
                <w:lang w:val="en-US" w:eastAsia="zh-CN" w:bidi="ar"/>
              </w:rPr>
              <w:t>货物名称</w:t>
            </w:r>
          </w:p>
        </w:tc>
        <w:tc>
          <w:tcPr>
            <w:tcW w:w="1053" w:type="pct"/>
            <w:noWrap w:val="0"/>
            <w:vAlign w:val="center"/>
          </w:tcPr>
          <w:p w14:paraId="1CC20AA0">
            <w:pPr>
              <w:widowControl/>
              <w:jc w:val="center"/>
              <w:rPr>
                <w:rFonts w:hint="eastAsia" w:ascii="宋体" w:hAnsi="宋体" w:cs="宋体"/>
                <w:b/>
                <w:bCs/>
                <w:snapToGrid w:val="0"/>
                <w:color w:val="000000"/>
                <w:kern w:val="0"/>
                <w:szCs w:val="21"/>
                <w:highlight w:val="none"/>
                <w:lang w:bidi="ar"/>
              </w:rPr>
            </w:pPr>
            <w:r>
              <w:rPr>
                <w:rFonts w:hint="eastAsia" w:ascii="宋体" w:hAnsi="宋体" w:cs="宋体"/>
                <w:b/>
                <w:bCs/>
                <w:snapToGrid w:val="0"/>
                <w:color w:val="000000"/>
                <w:kern w:val="0"/>
                <w:szCs w:val="21"/>
                <w:highlight w:val="none"/>
                <w:lang w:val="en-US" w:eastAsia="zh-CN" w:bidi="ar"/>
              </w:rPr>
              <w:t>数量（单位）</w:t>
            </w:r>
          </w:p>
        </w:tc>
        <w:tc>
          <w:tcPr>
            <w:tcW w:w="1357" w:type="pct"/>
            <w:noWrap w:val="0"/>
            <w:vAlign w:val="center"/>
          </w:tcPr>
          <w:p w14:paraId="305E94E5">
            <w:pPr>
              <w:widowControl/>
              <w:jc w:val="center"/>
              <w:rPr>
                <w:rFonts w:hint="default" w:ascii="宋体" w:hAnsi="宋体" w:cs="宋体"/>
                <w:b/>
                <w:bCs/>
                <w:snapToGrid w:val="0"/>
                <w:color w:val="000000"/>
                <w:kern w:val="0"/>
                <w:szCs w:val="21"/>
                <w:highlight w:val="none"/>
                <w:lang w:val="en-US" w:eastAsia="zh-CN" w:bidi="ar"/>
              </w:rPr>
            </w:pPr>
            <w:r>
              <w:rPr>
                <w:rFonts w:hint="eastAsia" w:ascii="宋体" w:hAnsi="宋体" w:eastAsia="宋体" w:cs="宋体"/>
                <w:b/>
                <w:bCs/>
                <w:snapToGrid w:val="0"/>
                <w:color w:val="000000"/>
                <w:kern w:val="0"/>
                <w:szCs w:val="21"/>
                <w:highlight w:val="none"/>
                <w:lang w:val="en-US" w:eastAsia="zh-CN" w:bidi="ar"/>
              </w:rPr>
              <w:t>最高限价（万元</w:t>
            </w:r>
            <w:r>
              <w:rPr>
                <w:rFonts w:hint="eastAsia" w:ascii="宋体" w:hAnsi="宋体" w:cs="宋体"/>
                <w:b/>
                <w:bCs/>
                <w:snapToGrid w:val="0"/>
                <w:color w:val="000000"/>
                <w:kern w:val="0"/>
                <w:szCs w:val="21"/>
                <w:highlight w:val="none"/>
                <w:lang w:val="en-US" w:eastAsia="zh-CN" w:bidi="ar"/>
              </w:rPr>
              <w:t>/套</w:t>
            </w:r>
            <w:r>
              <w:rPr>
                <w:rFonts w:hint="eastAsia" w:ascii="宋体" w:hAnsi="宋体" w:eastAsia="宋体" w:cs="宋体"/>
                <w:b/>
                <w:bCs/>
                <w:snapToGrid w:val="0"/>
                <w:color w:val="000000"/>
                <w:kern w:val="0"/>
                <w:szCs w:val="21"/>
                <w:highlight w:val="none"/>
                <w:lang w:val="en-US" w:eastAsia="zh-CN" w:bidi="ar"/>
              </w:rPr>
              <w:t>）</w:t>
            </w:r>
          </w:p>
        </w:tc>
        <w:tc>
          <w:tcPr>
            <w:tcW w:w="776" w:type="pct"/>
            <w:noWrap w:val="0"/>
            <w:vAlign w:val="center"/>
          </w:tcPr>
          <w:p w14:paraId="1B6B7F10">
            <w:pPr>
              <w:widowControl/>
              <w:jc w:val="center"/>
              <w:rPr>
                <w:rFonts w:hint="eastAsia" w:ascii="宋体" w:hAnsi="宋体" w:cs="宋体"/>
                <w:b/>
                <w:bCs/>
                <w:snapToGrid w:val="0"/>
                <w:color w:val="000000"/>
                <w:kern w:val="0"/>
                <w:szCs w:val="21"/>
                <w:highlight w:val="none"/>
                <w:lang w:bidi="ar"/>
              </w:rPr>
            </w:pPr>
            <w:r>
              <w:rPr>
                <w:rFonts w:hint="eastAsia" w:ascii="宋体" w:hAnsi="宋体" w:cs="宋体"/>
                <w:b/>
                <w:bCs/>
                <w:snapToGrid w:val="0"/>
                <w:color w:val="000000"/>
                <w:kern w:val="0"/>
                <w:szCs w:val="21"/>
                <w:highlight w:val="none"/>
                <w:lang w:val="en-US" w:eastAsia="zh-CN" w:bidi="ar"/>
              </w:rPr>
              <w:t>所属行业</w:t>
            </w:r>
          </w:p>
        </w:tc>
        <w:tc>
          <w:tcPr>
            <w:tcW w:w="663" w:type="pct"/>
            <w:noWrap w:val="0"/>
            <w:vAlign w:val="center"/>
          </w:tcPr>
          <w:p w14:paraId="0A13B305">
            <w:pPr>
              <w:widowControl/>
              <w:jc w:val="center"/>
              <w:rPr>
                <w:rFonts w:hint="eastAsia" w:ascii="宋体" w:hAnsi="宋体" w:cs="宋体"/>
                <w:b/>
                <w:bCs/>
                <w:snapToGrid w:val="0"/>
                <w:color w:val="000000"/>
                <w:kern w:val="0"/>
                <w:szCs w:val="21"/>
                <w:highlight w:val="none"/>
                <w:lang w:bidi="ar"/>
              </w:rPr>
            </w:pPr>
            <w:r>
              <w:rPr>
                <w:rFonts w:hint="eastAsia" w:ascii="宋体" w:hAnsi="宋体" w:cs="宋体"/>
                <w:b/>
                <w:bCs/>
                <w:snapToGrid w:val="0"/>
                <w:color w:val="000000"/>
                <w:kern w:val="0"/>
                <w:szCs w:val="21"/>
                <w:highlight w:val="none"/>
                <w:lang w:val="en-US" w:eastAsia="zh-CN" w:bidi="ar"/>
              </w:rPr>
              <w:t>备注</w:t>
            </w:r>
          </w:p>
        </w:tc>
      </w:tr>
      <w:tr w14:paraId="3D2DF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148" w:type="pct"/>
            <w:noWrap w:val="0"/>
            <w:vAlign w:val="center"/>
          </w:tcPr>
          <w:p w14:paraId="14514751">
            <w:pPr>
              <w:spacing w:line="360" w:lineRule="auto"/>
              <w:jc w:val="center"/>
              <w:rPr>
                <w:rFonts w:hint="eastAsia" w:ascii="宋体" w:hAnsi="宋体" w:eastAsia="宋体" w:cs="宋体"/>
                <w:szCs w:val="21"/>
                <w:highlight w:val="none"/>
                <w:lang w:val="en-US" w:eastAsia="zh-CN"/>
              </w:rPr>
            </w:pPr>
            <w:r>
              <w:rPr>
                <w:rFonts w:hint="eastAsia" w:ascii="宋体" w:hAnsi="宋体" w:eastAsia="宋体" w:cs="Times New Roman"/>
                <w:b/>
                <w:bCs/>
                <w:sz w:val="21"/>
                <w:szCs w:val="21"/>
                <w:highlight w:val="none"/>
              </w:rPr>
              <w:t>▲</w:t>
            </w:r>
            <w:r>
              <w:rPr>
                <w:rFonts w:hint="eastAsia" w:ascii="宋体" w:hAnsi="宋体" w:eastAsia="宋体" w:cs="宋体"/>
                <w:szCs w:val="21"/>
                <w:highlight w:val="none"/>
                <w:lang w:val="en-US" w:eastAsia="zh-CN"/>
              </w:rPr>
              <w:t>负压真空干燥柜</w:t>
            </w:r>
          </w:p>
        </w:tc>
        <w:tc>
          <w:tcPr>
            <w:tcW w:w="1053" w:type="pct"/>
            <w:noWrap w:val="0"/>
            <w:vAlign w:val="center"/>
          </w:tcPr>
          <w:p w14:paraId="3F5DA6D5">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1（套）</w:t>
            </w:r>
          </w:p>
        </w:tc>
        <w:tc>
          <w:tcPr>
            <w:tcW w:w="1357" w:type="pct"/>
            <w:noWrap w:val="0"/>
            <w:vAlign w:val="center"/>
          </w:tcPr>
          <w:p w14:paraId="75C144AD">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17</w:t>
            </w:r>
            <w:r>
              <w:rPr>
                <w:rFonts w:hint="eastAsia" w:ascii="宋体" w:hAnsi="宋体" w:eastAsia="宋体" w:cs="宋体"/>
                <w:szCs w:val="21"/>
                <w:highlight w:val="none"/>
                <w:lang w:val="en-US" w:eastAsia="zh-CN"/>
              </w:rPr>
              <w:t>万元/</w:t>
            </w:r>
            <w:r>
              <w:rPr>
                <w:rFonts w:hint="eastAsia" w:ascii="宋体" w:hAnsi="宋体" w:cs="宋体"/>
                <w:szCs w:val="21"/>
                <w:highlight w:val="none"/>
                <w:lang w:val="en-US" w:eastAsia="zh-CN"/>
              </w:rPr>
              <w:t>套</w:t>
            </w:r>
          </w:p>
        </w:tc>
        <w:tc>
          <w:tcPr>
            <w:tcW w:w="776" w:type="pct"/>
            <w:noWrap w:val="0"/>
            <w:vAlign w:val="center"/>
          </w:tcPr>
          <w:p w14:paraId="7CDD252E">
            <w:pPr>
              <w:spacing w:line="360"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工业</w:t>
            </w:r>
          </w:p>
        </w:tc>
        <w:tc>
          <w:tcPr>
            <w:tcW w:w="663" w:type="pct"/>
            <w:noWrap w:val="0"/>
            <w:vAlign w:val="center"/>
          </w:tcPr>
          <w:p w14:paraId="5E4997A0">
            <w:pPr>
              <w:spacing w:line="360" w:lineRule="auto"/>
              <w:jc w:val="center"/>
              <w:rPr>
                <w:rFonts w:hint="eastAsia" w:ascii="宋体" w:hAnsi="宋体" w:eastAsia="宋体" w:cs="宋体"/>
                <w:szCs w:val="21"/>
                <w:highlight w:val="none"/>
                <w:lang w:val="en-US" w:eastAsia="zh-CN"/>
              </w:rPr>
            </w:pPr>
          </w:p>
        </w:tc>
      </w:tr>
    </w:tbl>
    <w:p w14:paraId="4EF273D1">
      <w:pPr>
        <w:pStyle w:val="6"/>
        <w:rPr>
          <w:rFonts w:hint="eastAsia"/>
        </w:rPr>
      </w:pPr>
    </w:p>
    <w:p w14:paraId="1B02124C">
      <w:pPr>
        <w:numPr>
          <w:ilvl w:val="0"/>
          <w:numId w:val="0"/>
        </w:numPr>
        <w:spacing w:line="360" w:lineRule="auto"/>
        <w:outlineLvl w:val="9"/>
        <w:rPr>
          <w:rFonts w:hint="eastAsia" w:ascii="宋体" w:hAnsi="宋体" w:eastAsia="宋体" w:cs="宋体"/>
          <w:b/>
          <w:bCs/>
          <w:sz w:val="24"/>
          <w:szCs w:val="24"/>
          <w:lang w:val="en-US" w:eastAsia="zh-CN"/>
        </w:rPr>
      </w:pPr>
      <w:r>
        <w:rPr>
          <w:rFonts w:hint="eastAsia" w:ascii="宋体" w:hAnsi="宋体" w:eastAsia="宋体" w:cs="宋体"/>
          <w:b/>
          <w:bCs/>
          <w:kern w:val="2"/>
          <w:sz w:val="24"/>
          <w:szCs w:val="24"/>
          <w:lang w:val="en-US" w:eastAsia="zh-CN" w:bidi="ar-SA"/>
        </w:rPr>
        <w:t>三、</w:t>
      </w:r>
      <w:r>
        <w:rPr>
          <w:rFonts w:hint="eastAsia" w:ascii="宋体" w:hAnsi="宋体" w:eastAsia="宋体" w:cs="宋体"/>
          <w:b/>
          <w:bCs/>
          <w:sz w:val="24"/>
          <w:szCs w:val="24"/>
          <w:lang w:val="en-US" w:eastAsia="zh-CN"/>
        </w:rPr>
        <w:t>技术参数及要求</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3"/>
        <w:gridCol w:w="2354"/>
        <w:gridCol w:w="5847"/>
      </w:tblGrid>
      <w:tr w14:paraId="063C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39" w:type="pct"/>
            <w:noWrap w:val="0"/>
            <w:vAlign w:val="center"/>
          </w:tcPr>
          <w:p w14:paraId="2D6FE6B9">
            <w:pPr>
              <w:widowControl/>
              <w:jc w:val="center"/>
              <w:rPr>
                <w:rFonts w:hint="eastAsia" w:ascii="宋体" w:hAnsi="宋体" w:cs="宋体"/>
                <w:b/>
                <w:bCs/>
                <w:szCs w:val="21"/>
              </w:rPr>
            </w:pPr>
            <w:r>
              <w:rPr>
                <w:rFonts w:hint="eastAsia" w:ascii="宋体" w:hAnsi="宋体" w:cs="宋体"/>
                <w:b/>
                <w:bCs/>
                <w:snapToGrid w:val="0"/>
                <w:color w:val="000000"/>
                <w:kern w:val="0"/>
                <w:szCs w:val="21"/>
                <w:lang w:bidi="ar"/>
              </w:rPr>
              <w:t>标识符号</w:t>
            </w:r>
          </w:p>
        </w:tc>
        <w:tc>
          <w:tcPr>
            <w:tcW w:w="1194" w:type="pct"/>
            <w:noWrap w:val="0"/>
            <w:vAlign w:val="center"/>
          </w:tcPr>
          <w:p w14:paraId="5161A51E">
            <w:pPr>
              <w:widowControl/>
              <w:jc w:val="center"/>
              <w:rPr>
                <w:rFonts w:hint="eastAsia" w:ascii="宋体" w:hAnsi="宋体" w:cs="宋体"/>
                <w:b/>
                <w:bCs/>
                <w:snapToGrid w:val="0"/>
                <w:color w:val="000000"/>
                <w:kern w:val="0"/>
                <w:szCs w:val="21"/>
                <w:lang w:bidi="ar"/>
              </w:rPr>
            </w:pPr>
            <w:r>
              <w:rPr>
                <w:rFonts w:hint="eastAsia" w:ascii="宋体" w:hAnsi="宋体" w:cs="宋体"/>
                <w:b/>
                <w:bCs/>
                <w:snapToGrid w:val="0"/>
                <w:color w:val="000000"/>
                <w:kern w:val="0"/>
                <w:szCs w:val="21"/>
                <w:lang w:bidi="ar"/>
              </w:rPr>
              <w:t>标识含义</w:t>
            </w:r>
          </w:p>
        </w:tc>
        <w:tc>
          <w:tcPr>
            <w:tcW w:w="2966" w:type="pct"/>
            <w:noWrap w:val="0"/>
            <w:vAlign w:val="center"/>
          </w:tcPr>
          <w:p w14:paraId="638A9069">
            <w:pPr>
              <w:widowControl/>
              <w:jc w:val="center"/>
              <w:rPr>
                <w:rFonts w:hint="eastAsia" w:ascii="宋体" w:hAnsi="宋体" w:cs="宋体"/>
                <w:b/>
                <w:bCs/>
                <w:snapToGrid w:val="0"/>
                <w:color w:val="000000"/>
                <w:kern w:val="0"/>
                <w:szCs w:val="21"/>
                <w:lang w:bidi="ar"/>
              </w:rPr>
            </w:pPr>
            <w:r>
              <w:rPr>
                <w:rFonts w:hint="eastAsia" w:ascii="宋体" w:hAnsi="宋体" w:cs="宋体"/>
                <w:b/>
                <w:bCs/>
                <w:snapToGrid w:val="0"/>
                <w:color w:val="000000"/>
                <w:kern w:val="0"/>
                <w:szCs w:val="21"/>
                <w:lang w:bidi="ar"/>
              </w:rPr>
              <w:t>相关要求</w:t>
            </w:r>
          </w:p>
        </w:tc>
      </w:tr>
      <w:tr w14:paraId="25D7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616" w:type="dxa"/>
            <w:noWrap w:val="0"/>
            <w:vAlign w:val="center"/>
          </w:tcPr>
          <w:p w14:paraId="26660DC8">
            <w:pPr>
              <w:spacing w:line="360" w:lineRule="auto"/>
              <w:jc w:val="center"/>
              <w:rPr>
                <w:rFonts w:hint="eastAsia" w:ascii="宋体" w:hAnsi="宋体" w:cs="宋体"/>
                <w:szCs w:val="21"/>
              </w:rPr>
            </w:pPr>
            <w:r>
              <w:rPr>
                <w:rFonts w:hint="eastAsia" w:ascii="宋体" w:hAnsi="宋体" w:cs="宋体"/>
                <w:szCs w:val="21"/>
                <w:lang w:val="en-US" w:eastAsia="zh-CN"/>
              </w:rPr>
              <w:t>■</w:t>
            </w:r>
          </w:p>
        </w:tc>
        <w:tc>
          <w:tcPr>
            <w:tcW w:w="2300" w:type="dxa"/>
            <w:noWrap w:val="0"/>
            <w:vAlign w:val="center"/>
          </w:tcPr>
          <w:p w14:paraId="3A3250C7">
            <w:pPr>
              <w:spacing w:line="360" w:lineRule="auto"/>
              <w:jc w:val="center"/>
              <w:rPr>
                <w:rFonts w:hint="eastAsia" w:ascii="宋体" w:hAnsi="宋体" w:cs="宋体"/>
                <w:szCs w:val="21"/>
              </w:rPr>
            </w:pPr>
            <w:r>
              <w:rPr>
                <w:rFonts w:hint="eastAsia" w:ascii="宋体" w:hAnsi="宋体" w:cs="宋体"/>
                <w:szCs w:val="21"/>
              </w:rPr>
              <w:t>实质性参数或条款要求</w:t>
            </w:r>
          </w:p>
        </w:tc>
        <w:tc>
          <w:tcPr>
            <w:tcW w:w="5713" w:type="dxa"/>
            <w:noWrap w:val="0"/>
            <w:vAlign w:val="center"/>
          </w:tcPr>
          <w:p w14:paraId="1EF6BC2A">
            <w:pPr>
              <w:spacing w:line="360" w:lineRule="auto"/>
              <w:jc w:val="center"/>
              <w:rPr>
                <w:rFonts w:hint="eastAsia" w:ascii="宋体" w:hAnsi="宋体" w:cs="宋体"/>
                <w:szCs w:val="21"/>
              </w:rPr>
            </w:pPr>
            <w:r>
              <w:rPr>
                <w:rFonts w:hint="eastAsia" w:ascii="宋体" w:hAnsi="宋体" w:cs="宋体"/>
                <w:b/>
                <w:bCs/>
                <w:szCs w:val="21"/>
              </w:rPr>
              <w:t>负偏离或未响应视为实质性不响应招标文件要求</w:t>
            </w:r>
          </w:p>
        </w:tc>
      </w:tr>
      <w:tr w14:paraId="7383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39" w:type="pct"/>
            <w:noWrap w:val="0"/>
            <w:vAlign w:val="center"/>
          </w:tcPr>
          <w:p w14:paraId="4D83E234">
            <w:pPr>
              <w:spacing w:line="360" w:lineRule="auto"/>
              <w:jc w:val="center"/>
              <w:rPr>
                <w:rFonts w:hint="eastAsia" w:ascii="宋体" w:hAnsi="宋体" w:cs="宋体"/>
                <w:szCs w:val="21"/>
              </w:rPr>
            </w:pPr>
            <w:r>
              <w:rPr>
                <w:rFonts w:hint="eastAsia" w:ascii="宋体" w:hAnsi="宋体" w:cs="宋体"/>
                <w:szCs w:val="21"/>
              </w:rPr>
              <w:t>★</w:t>
            </w:r>
          </w:p>
        </w:tc>
        <w:tc>
          <w:tcPr>
            <w:tcW w:w="1194" w:type="pct"/>
            <w:noWrap w:val="0"/>
            <w:vAlign w:val="center"/>
          </w:tcPr>
          <w:p w14:paraId="57921C18">
            <w:pPr>
              <w:spacing w:line="360" w:lineRule="auto"/>
              <w:jc w:val="center"/>
              <w:rPr>
                <w:rFonts w:hint="eastAsia" w:ascii="宋体" w:hAnsi="宋体" w:cs="宋体"/>
                <w:szCs w:val="21"/>
              </w:rPr>
            </w:pPr>
            <w:r>
              <w:rPr>
                <w:rFonts w:hint="eastAsia" w:ascii="宋体" w:hAnsi="宋体" w:cs="宋体"/>
                <w:szCs w:val="21"/>
              </w:rPr>
              <w:t>重要技术参数</w:t>
            </w:r>
          </w:p>
        </w:tc>
        <w:tc>
          <w:tcPr>
            <w:tcW w:w="2966" w:type="pct"/>
            <w:noWrap w:val="0"/>
            <w:vAlign w:val="center"/>
          </w:tcPr>
          <w:p w14:paraId="64DF373B">
            <w:pPr>
              <w:spacing w:line="360" w:lineRule="auto"/>
              <w:jc w:val="center"/>
              <w:rPr>
                <w:rFonts w:hint="eastAsia" w:ascii="宋体" w:hAnsi="宋体" w:cs="宋体"/>
                <w:szCs w:val="21"/>
              </w:rPr>
            </w:pPr>
            <w:r>
              <w:rPr>
                <w:rFonts w:hint="eastAsia" w:ascii="宋体" w:hAnsi="宋体" w:cs="宋体"/>
                <w:szCs w:val="21"/>
              </w:rPr>
              <w:t>评审项</w:t>
            </w:r>
          </w:p>
        </w:tc>
      </w:tr>
      <w:tr w14:paraId="0A959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39" w:type="pct"/>
            <w:noWrap w:val="0"/>
            <w:vAlign w:val="center"/>
          </w:tcPr>
          <w:p w14:paraId="6FA08ED0">
            <w:pPr>
              <w:spacing w:line="360" w:lineRule="auto"/>
              <w:jc w:val="center"/>
              <w:rPr>
                <w:rFonts w:hint="eastAsia" w:ascii="宋体" w:hAnsi="宋体" w:cs="宋体"/>
                <w:szCs w:val="21"/>
              </w:rPr>
            </w:pPr>
          </w:p>
        </w:tc>
        <w:tc>
          <w:tcPr>
            <w:tcW w:w="1194" w:type="pct"/>
            <w:noWrap w:val="0"/>
            <w:vAlign w:val="center"/>
          </w:tcPr>
          <w:p w14:paraId="5B0F6300">
            <w:pPr>
              <w:spacing w:line="360" w:lineRule="auto"/>
              <w:jc w:val="center"/>
              <w:rPr>
                <w:rFonts w:hint="eastAsia" w:ascii="宋体" w:hAnsi="宋体" w:cs="宋体"/>
                <w:szCs w:val="21"/>
              </w:rPr>
            </w:pPr>
            <w:r>
              <w:rPr>
                <w:rFonts w:hint="eastAsia" w:ascii="宋体" w:hAnsi="宋体" w:cs="宋体"/>
                <w:szCs w:val="21"/>
              </w:rPr>
              <w:t>无标识项</w:t>
            </w:r>
          </w:p>
        </w:tc>
        <w:tc>
          <w:tcPr>
            <w:tcW w:w="2966" w:type="pct"/>
            <w:noWrap w:val="0"/>
            <w:vAlign w:val="center"/>
          </w:tcPr>
          <w:p w14:paraId="1E77DF54">
            <w:pPr>
              <w:spacing w:line="360" w:lineRule="auto"/>
              <w:jc w:val="left"/>
              <w:rPr>
                <w:rFonts w:hint="eastAsia" w:ascii="宋体" w:hAnsi="宋体" w:eastAsia="宋体" w:cs="宋体"/>
                <w:szCs w:val="21"/>
                <w:lang w:eastAsia="zh-CN"/>
              </w:rPr>
            </w:pPr>
            <w:r>
              <w:rPr>
                <w:rFonts w:hint="eastAsia" w:ascii="宋体" w:hAnsi="宋体" w:cs="宋体"/>
                <w:szCs w:val="21"/>
              </w:rPr>
              <w:t>评审项</w:t>
            </w:r>
            <w:r>
              <w:rPr>
                <w:rFonts w:hint="eastAsia" w:ascii="宋体" w:hAnsi="宋体" w:cs="宋体"/>
                <w:szCs w:val="21"/>
                <w:lang w:eastAsia="zh-CN"/>
              </w:rPr>
              <w:t>（针对无标识</w:t>
            </w:r>
            <w:r>
              <w:rPr>
                <w:rFonts w:hint="eastAsia" w:ascii="宋体" w:hAnsi="宋体" w:cs="宋体"/>
                <w:szCs w:val="21"/>
                <w:lang w:val="en-US" w:eastAsia="zh-CN"/>
              </w:rPr>
              <w:t>项</w:t>
            </w:r>
            <w:r>
              <w:rPr>
                <w:rFonts w:hint="eastAsia" w:ascii="宋体" w:hAnsi="宋体" w:cs="宋体"/>
                <w:szCs w:val="21"/>
                <w:lang w:eastAsia="zh-CN"/>
              </w:rPr>
              <w:t>评审时：如某项参数仅存在一级序号时，则以一级序号为最小单位计算条目数量（即为一项）；如某项参数同时存在一级序号和二级序号时，则以二级序号为最小单位计算条目数量（即为一项）；如某项参数存在多级序号时，则以最后一级序号为最小单位计算条目数量（即为一项）。）</w:t>
            </w:r>
          </w:p>
        </w:tc>
      </w:tr>
    </w:tbl>
    <w:p w14:paraId="3EEAFDAB">
      <w:pPr>
        <w:jc w:val="both"/>
        <w:rPr>
          <w:rFonts w:hint="default" w:ascii="宋体" w:hAnsi="宋体"/>
          <w:b/>
          <w:bCs/>
          <w:sz w:val="32"/>
          <w:szCs w:val="32"/>
        </w:rPr>
      </w:pPr>
    </w:p>
    <w:p w14:paraId="3C8BF569">
      <w:pPr>
        <w:jc w:val="center"/>
        <w:rPr>
          <w:rFonts w:hint="eastAsia" w:ascii="Times New Roman" w:hAnsi="Times New Roman" w:eastAsia="宋体" w:cs="Times New Roman"/>
          <w:kern w:val="2"/>
          <w:sz w:val="21"/>
          <w:szCs w:val="22"/>
          <w:lang w:val="en-US" w:eastAsia="zh-CN" w:bidi="ar-SA"/>
        </w:rPr>
      </w:pPr>
      <w:r>
        <w:rPr>
          <w:rFonts w:hint="default" w:ascii="宋体" w:hAnsi="宋体"/>
          <w:b/>
          <w:bCs/>
          <w:sz w:val="32"/>
          <w:szCs w:val="32"/>
        </w:rPr>
        <w:t>负压</w:t>
      </w:r>
      <w:r>
        <w:rPr>
          <w:rFonts w:hint="eastAsia" w:ascii="宋体" w:hAnsi="宋体"/>
          <w:b/>
          <w:bCs/>
          <w:sz w:val="32"/>
          <w:szCs w:val="32"/>
        </w:rPr>
        <w:t>真空干燥柜</w:t>
      </w:r>
    </w:p>
    <w:tbl>
      <w:tblPr>
        <w:tblStyle w:val="23"/>
        <w:tblpPr w:leftFromText="180" w:rightFromText="180" w:vertAnchor="text" w:horzAnchor="page" w:tblpX="1225" w:tblpY="693"/>
        <w:tblOverlap w:val="never"/>
        <w:tblW w:w="9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302"/>
        <w:gridCol w:w="6151"/>
      </w:tblGrid>
      <w:tr w14:paraId="68B15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587" w:type="dxa"/>
            <w:gridSpan w:val="2"/>
            <w:noWrap/>
          </w:tcPr>
          <w:p w14:paraId="3BB20989">
            <w:pPr>
              <w:jc w:val="center"/>
              <w:rPr>
                <w:rFonts w:ascii="宋体" w:hAnsi="宋体"/>
                <w:color w:val="auto"/>
                <w:szCs w:val="21"/>
              </w:rPr>
            </w:pPr>
            <w:r>
              <w:rPr>
                <w:rFonts w:hint="eastAsia" w:ascii="宋体" w:hAnsi="宋体"/>
                <w:color w:val="auto"/>
                <w:szCs w:val="21"/>
              </w:rPr>
              <w:t>序号</w:t>
            </w:r>
          </w:p>
        </w:tc>
        <w:tc>
          <w:tcPr>
            <w:tcW w:w="6151" w:type="dxa"/>
            <w:noWrap/>
          </w:tcPr>
          <w:p w14:paraId="1722407F">
            <w:pPr>
              <w:jc w:val="center"/>
              <w:rPr>
                <w:rFonts w:ascii="宋体" w:hAnsi="宋体"/>
                <w:color w:val="auto"/>
                <w:szCs w:val="21"/>
              </w:rPr>
            </w:pPr>
            <w:r>
              <w:rPr>
                <w:rFonts w:hint="eastAsia" w:ascii="宋体" w:hAnsi="宋体"/>
                <w:color w:val="auto"/>
                <w:szCs w:val="21"/>
                <w:lang w:val="en-US" w:eastAsia="zh-CN"/>
              </w:rPr>
              <w:t>参数</w:t>
            </w:r>
            <w:r>
              <w:rPr>
                <w:rFonts w:hint="eastAsia" w:ascii="宋体" w:hAnsi="宋体"/>
                <w:color w:val="auto"/>
                <w:szCs w:val="21"/>
              </w:rPr>
              <w:t>要求</w:t>
            </w:r>
          </w:p>
        </w:tc>
      </w:tr>
      <w:tr w14:paraId="519A6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303C9886">
            <w:pPr>
              <w:rPr>
                <w:rFonts w:hint="eastAsia" w:ascii="宋体" w:hAnsi="宋体" w:eastAsia="宋体"/>
                <w:b/>
                <w:bCs/>
                <w:color w:val="auto"/>
                <w:szCs w:val="21"/>
                <w:lang w:eastAsia="zh-CN"/>
              </w:rPr>
            </w:pPr>
            <w:r>
              <w:rPr>
                <w:rFonts w:hint="eastAsia" w:ascii="宋体" w:hAnsi="宋体"/>
                <w:b/>
                <w:bCs/>
                <w:color w:val="auto"/>
                <w:szCs w:val="21"/>
              </w:rPr>
              <w:t>1.</w:t>
            </w:r>
          </w:p>
        </w:tc>
        <w:tc>
          <w:tcPr>
            <w:tcW w:w="2302" w:type="dxa"/>
            <w:noWrap/>
          </w:tcPr>
          <w:p w14:paraId="6D964751">
            <w:pPr>
              <w:rPr>
                <w:rFonts w:ascii="宋体" w:hAnsi="宋体"/>
                <w:b/>
                <w:bCs/>
                <w:color w:val="auto"/>
                <w:szCs w:val="21"/>
              </w:rPr>
            </w:pPr>
            <w:r>
              <w:rPr>
                <w:rFonts w:hint="eastAsia" w:ascii="宋体" w:hAnsi="宋体"/>
                <w:b/>
                <w:bCs/>
                <w:color w:val="auto"/>
                <w:szCs w:val="21"/>
              </w:rPr>
              <w:t>舱体</w:t>
            </w:r>
          </w:p>
        </w:tc>
        <w:tc>
          <w:tcPr>
            <w:tcW w:w="6151" w:type="dxa"/>
            <w:noWrap/>
          </w:tcPr>
          <w:p w14:paraId="03F5021E">
            <w:pPr>
              <w:rPr>
                <w:rFonts w:ascii="宋体" w:hAnsi="宋体"/>
                <w:color w:val="auto"/>
                <w:szCs w:val="21"/>
              </w:rPr>
            </w:pPr>
          </w:p>
        </w:tc>
      </w:tr>
      <w:tr w14:paraId="76FC8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6532B710">
            <w:pPr>
              <w:rPr>
                <w:rFonts w:ascii="宋体" w:hAnsi="宋体"/>
                <w:color w:val="auto"/>
                <w:szCs w:val="21"/>
              </w:rPr>
            </w:pPr>
            <w:r>
              <w:rPr>
                <w:rFonts w:hint="eastAsia" w:ascii="仿宋" w:hAnsi="仿宋" w:eastAsia="仿宋" w:cs="仿宋"/>
                <w:b/>
                <w:bCs/>
                <w:color w:val="000000"/>
                <w:sz w:val="24"/>
                <w:highlight w:val="none"/>
              </w:rPr>
              <w:t>★</w:t>
            </w:r>
            <w:r>
              <w:rPr>
                <w:rFonts w:hint="eastAsia" w:ascii="宋体" w:hAnsi="宋体"/>
                <w:color w:val="auto"/>
                <w:szCs w:val="21"/>
              </w:rPr>
              <w:t>1.1</w:t>
            </w:r>
          </w:p>
        </w:tc>
        <w:tc>
          <w:tcPr>
            <w:tcW w:w="2302" w:type="dxa"/>
            <w:noWrap/>
          </w:tcPr>
          <w:p w14:paraId="1E7073C5">
            <w:pPr>
              <w:rPr>
                <w:rFonts w:ascii="宋体" w:hAnsi="宋体"/>
                <w:color w:val="auto"/>
                <w:szCs w:val="21"/>
              </w:rPr>
            </w:pPr>
            <w:r>
              <w:rPr>
                <w:rFonts w:hint="eastAsia" w:ascii="宋体" w:hAnsi="宋体"/>
                <w:color w:val="auto"/>
                <w:szCs w:val="21"/>
              </w:rPr>
              <w:t>容积</w:t>
            </w:r>
          </w:p>
        </w:tc>
        <w:tc>
          <w:tcPr>
            <w:tcW w:w="6151" w:type="dxa"/>
            <w:noWrap/>
          </w:tcPr>
          <w:p w14:paraId="4A107EF2">
            <w:pPr>
              <w:rPr>
                <w:rFonts w:ascii="宋体" w:hAnsi="宋体"/>
                <w:color w:val="auto"/>
                <w:szCs w:val="21"/>
              </w:rPr>
            </w:pPr>
            <w:r>
              <w:rPr>
                <w:rFonts w:hint="eastAsia" w:ascii="宋体" w:hAnsi="宋体"/>
                <w:color w:val="auto"/>
                <w:szCs w:val="21"/>
              </w:rPr>
              <w:t>≥2</w:t>
            </w:r>
            <w:r>
              <w:rPr>
                <w:rFonts w:hint="default" w:ascii="宋体" w:hAnsi="宋体"/>
                <w:color w:val="auto"/>
                <w:szCs w:val="21"/>
                <w:lang w:val="en-US"/>
              </w:rPr>
              <w:t>5</w:t>
            </w:r>
            <w:r>
              <w:rPr>
                <w:rFonts w:hint="eastAsia" w:ascii="宋体" w:hAnsi="宋体"/>
                <w:color w:val="auto"/>
                <w:szCs w:val="21"/>
                <w:lang w:val="en-US" w:eastAsia="zh-CN"/>
              </w:rPr>
              <w:t>0</w:t>
            </w:r>
            <w:r>
              <w:rPr>
                <w:rFonts w:hint="eastAsia" w:ascii="宋体" w:hAnsi="宋体"/>
                <w:color w:val="auto"/>
                <w:szCs w:val="21"/>
              </w:rPr>
              <w:t>L</w:t>
            </w:r>
          </w:p>
        </w:tc>
      </w:tr>
      <w:tr w14:paraId="30DA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348EC1B6">
            <w:pPr>
              <w:rPr>
                <w:rFonts w:ascii="宋体" w:hAnsi="宋体"/>
                <w:color w:val="auto"/>
                <w:szCs w:val="21"/>
              </w:rPr>
            </w:pPr>
            <w:r>
              <w:rPr>
                <w:rFonts w:hint="eastAsia" w:ascii="宋体" w:hAnsi="宋体"/>
                <w:color w:val="auto"/>
                <w:szCs w:val="21"/>
              </w:rPr>
              <w:t>1.2</w:t>
            </w:r>
          </w:p>
        </w:tc>
        <w:tc>
          <w:tcPr>
            <w:tcW w:w="2302" w:type="dxa"/>
            <w:noWrap/>
          </w:tcPr>
          <w:p w14:paraId="0AB92B8F">
            <w:pPr>
              <w:rPr>
                <w:rFonts w:ascii="宋体" w:hAnsi="宋体"/>
                <w:color w:val="auto"/>
                <w:szCs w:val="21"/>
              </w:rPr>
            </w:pPr>
            <w:r>
              <w:rPr>
                <w:rFonts w:hint="eastAsia" w:ascii="宋体" w:hAnsi="宋体"/>
                <w:color w:val="auto"/>
                <w:szCs w:val="21"/>
              </w:rPr>
              <w:t>舱体保温</w:t>
            </w:r>
          </w:p>
        </w:tc>
        <w:tc>
          <w:tcPr>
            <w:tcW w:w="6151" w:type="dxa"/>
            <w:noWrap/>
          </w:tcPr>
          <w:p w14:paraId="496A960A">
            <w:pPr>
              <w:rPr>
                <w:rFonts w:ascii="宋体" w:hAnsi="宋体"/>
                <w:color w:val="auto"/>
                <w:szCs w:val="21"/>
              </w:rPr>
            </w:pPr>
            <w:r>
              <w:rPr>
                <w:rFonts w:hint="eastAsia" w:ascii="宋体" w:hAnsi="宋体"/>
                <w:color w:val="auto"/>
                <w:szCs w:val="21"/>
              </w:rPr>
              <w:t>≥10mm橡塑阻燃海绵</w:t>
            </w:r>
          </w:p>
        </w:tc>
      </w:tr>
      <w:tr w14:paraId="4052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285" w:type="dxa"/>
            <w:noWrap/>
          </w:tcPr>
          <w:p w14:paraId="3D683BCD">
            <w:pPr>
              <w:rPr>
                <w:rFonts w:ascii="宋体" w:hAnsi="宋体"/>
                <w:color w:val="auto"/>
                <w:szCs w:val="21"/>
              </w:rPr>
            </w:pPr>
            <w:r>
              <w:rPr>
                <w:rFonts w:hint="eastAsia" w:ascii="宋体" w:hAnsi="宋体"/>
                <w:color w:val="auto"/>
                <w:szCs w:val="21"/>
              </w:rPr>
              <w:t>1.3</w:t>
            </w:r>
          </w:p>
        </w:tc>
        <w:tc>
          <w:tcPr>
            <w:tcW w:w="2302" w:type="dxa"/>
            <w:noWrap/>
          </w:tcPr>
          <w:p w14:paraId="0C6452B1">
            <w:pPr>
              <w:rPr>
                <w:rFonts w:ascii="宋体" w:hAnsi="宋体"/>
                <w:color w:val="auto"/>
                <w:szCs w:val="21"/>
              </w:rPr>
            </w:pPr>
            <w:r>
              <w:rPr>
                <w:rFonts w:hint="eastAsia" w:ascii="宋体" w:hAnsi="宋体"/>
                <w:color w:val="auto"/>
                <w:szCs w:val="21"/>
              </w:rPr>
              <w:t>舱体材质</w:t>
            </w:r>
          </w:p>
        </w:tc>
        <w:tc>
          <w:tcPr>
            <w:tcW w:w="6151" w:type="dxa"/>
            <w:noWrap/>
          </w:tcPr>
          <w:p w14:paraId="43D1A536">
            <w:pPr>
              <w:pStyle w:val="7"/>
              <w:rPr>
                <w:rFonts w:ascii="宋体" w:hAnsi="宋体"/>
                <w:color w:val="auto"/>
                <w:szCs w:val="21"/>
              </w:rPr>
            </w:pPr>
            <w:r>
              <w:rPr>
                <w:rFonts w:hint="eastAsia" w:ascii="宋体" w:hAnsi="宋体"/>
                <w:color w:val="auto"/>
                <w:szCs w:val="21"/>
              </w:rPr>
              <w:t>≥6mm</w:t>
            </w:r>
            <w:r>
              <w:rPr>
                <w:rFonts w:hint="eastAsia" w:ascii="宋体" w:hAnsi="宋体"/>
                <w:color w:val="auto"/>
                <w:szCs w:val="21"/>
                <w:lang w:val="en-US" w:eastAsia="zh-CN"/>
              </w:rPr>
              <w:t xml:space="preserve"> </w:t>
            </w:r>
            <w:r>
              <w:rPr>
                <w:rFonts w:hint="eastAsia" w:ascii="宋体" w:hAnsi="宋体"/>
                <w:color w:val="auto"/>
                <w:szCs w:val="21"/>
              </w:rPr>
              <w:t>304</w:t>
            </w:r>
            <w:r>
              <w:rPr>
                <w:rFonts w:hint="eastAsia" w:ascii="宋体" w:hAnsi="宋体"/>
                <w:color w:val="auto"/>
                <w:szCs w:val="21"/>
                <w:lang w:eastAsia="zh-CN"/>
              </w:rPr>
              <w:t>不锈钢材质</w:t>
            </w:r>
            <w:r>
              <w:rPr>
                <w:rFonts w:hint="eastAsia" w:ascii="宋体" w:hAnsi="宋体"/>
                <w:color w:val="auto"/>
                <w:szCs w:val="21"/>
              </w:rPr>
              <w:t xml:space="preserve"> 2B板精磨加工</w:t>
            </w:r>
          </w:p>
        </w:tc>
      </w:tr>
      <w:tr w14:paraId="11CA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5E2B4F88">
            <w:pPr>
              <w:tabs>
                <w:tab w:val="left" w:pos="446"/>
              </w:tabs>
              <w:rPr>
                <w:rFonts w:hint="default" w:ascii="宋体" w:hAnsi="宋体" w:eastAsia="宋体"/>
                <w:b/>
                <w:bCs/>
                <w:color w:val="auto"/>
                <w:szCs w:val="21"/>
                <w:lang w:val="en-US" w:eastAsia="zh-CN"/>
              </w:rPr>
            </w:pPr>
            <w:r>
              <w:rPr>
                <w:rFonts w:hint="eastAsia" w:ascii="宋体" w:hAnsi="宋体"/>
                <w:b/>
                <w:bCs/>
                <w:color w:val="auto"/>
                <w:szCs w:val="21"/>
                <w:lang w:val="en-US" w:eastAsia="zh-CN"/>
              </w:rPr>
              <w:t>2.</w:t>
            </w:r>
          </w:p>
        </w:tc>
        <w:tc>
          <w:tcPr>
            <w:tcW w:w="2302" w:type="dxa"/>
            <w:noWrap/>
          </w:tcPr>
          <w:p w14:paraId="12A8178B">
            <w:pPr>
              <w:rPr>
                <w:rFonts w:ascii="宋体" w:hAnsi="宋体"/>
                <w:b/>
                <w:bCs/>
                <w:color w:val="auto"/>
                <w:szCs w:val="21"/>
              </w:rPr>
            </w:pPr>
            <w:r>
              <w:rPr>
                <w:rFonts w:hint="eastAsia" w:ascii="宋体" w:hAnsi="宋体"/>
                <w:b/>
                <w:bCs/>
                <w:color w:val="auto"/>
                <w:szCs w:val="21"/>
              </w:rPr>
              <w:t>密封门</w:t>
            </w:r>
          </w:p>
        </w:tc>
        <w:tc>
          <w:tcPr>
            <w:tcW w:w="6151" w:type="dxa"/>
            <w:noWrap/>
          </w:tcPr>
          <w:p w14:paraId="55789792">
            <w:pPr>
              <w:rPr>
                <w:rFonts w:ascii="宋体" w:hAnsi="宋体"/>
                <w:b/>
                <w:bCs/>
                <w:color w:val="auto"/>
                <w:szCs w:val="21"/>
              </w:rPr>
            </w:pPr>
          </w:p>
        </w:tc>
      </w:tr>
      <w:tr w14:paraId="74378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679CCB8E">
            <w:pPr>
              <w:rPr>
                <w:rFonts w:ascii="宋体" w:hAnsi="宋体"/>
                <w:color w:val="auto"/>
                <w:szCs w:val="21"/>
              </w:rPr>
            </w:pPr>
            <w:r>
              <w:rPr>
                <w:rFonts w:hint="eastAsia" w:ascii="宋体" w:hAnsi="宋体"/>
                <w:color w:val="auto"/>
                <w:szCs w:val="21"/>
              </w:rPr>
              <w:t>2.1</w:t>
            </w:r>
          </w:p>
        </w:tc>
        <w:tc>
          <w:tcPr>
            <w:tcW w:w="2302" w:type="dxa"/>
            <w:noWrap/>
          </w:tcPr>
          <w:p w14:paraId="2B51CD08">
            <w:pPr>
              <w:rPr>
                <w:rFonts w:ascii="宋体" w:hAnsi="宋体"/>
                <w:color w:val="auto"/>
                <w:szCs w:val="21"/>
              </w:rPr>
            </w:pPr>
            <w:r>
              <w:rPr>
                <w:rFonts w:hint="eastAsia" w:ascii="宋体" w:hAnsi="宋体"/>
                <w:color w:val="auto"/>
                <w:szCs w:val="21"/>
              </w:rPr>
              <w:t>开门方式</w:t>
            </w:r>
          </w:p>
        </w:tc>
        <w:tc>
          <w:tcPr>
            <w:tcW w:w="6151" w:type="dxa"/>
            <w:noWrap/>
          </w:tcPr>
          <w:p w14:paraId="05DC042A">
            <w:pPr>
              <w:rPr>
                <w:rFonts w:ascii="宋体" w:hAnsi="宋体"/>
                <w:color w:val="auto"/>
                <w:szCs w:val="21"/>
              </w:rPr>
            </w:pPr>
            <w:r>
              <w:rPr>
                <w:rFonts w:hint="eastAsia" w:ascii="宋体" w:hAnsi="宋体"/>
                <w:color w:val="auto"/>
                <w:szCs w:val="21"/>
              </w:rPr>
              <w:t>手动双开门</w:t>
            </w:r>
          </w:p>
        </w:tc>
      </w:tr>
      <w:tr w14:paraId="2C17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541880D0">
            <w:pPr>
              <w:rPr>
                <w:rFonts w:ascii="宋体" w:hAnsi="宋体"/>
                <w:b/>
                <w:bCs/>
                <w:color w:val="auto"/>
                <w:szCs w:val="21"/>
              </w:rPr>
            </w:pPr>
            <w:r>
              <w:rPr>
                <w:rFonts w:hint="eastAsia" w:ascii="宋体" w:hAnsi="宋体"/>
                <w:b/>
                <w:bCs/>
                <w:color w:val="auto"/>
                <w:szCs w:val="21"/>
              </w:rPr>
              <w:t>3</w:t>
            </w:r>
          </w:p>
        </w:tc>
        <w:tc>
          <w:tcPr>
            <w:tcW w:w="2302" w:type="dxa"/>
            <w:noWrap/>
          </w:tcPr>
          <w:p w14:paraId="0467C431">
            <w:pPr>
              <w:rPr>
                <w:rFonts w:ascii="宋体" w:hAnsi="宋体"/>
                <w:b/>
                <w:bCs/>
                <w:color w:val="auto"/>
                <w:szCs w:val="21"/>
              </w:rPr>
            </w:pPr>
            <w:r>
              <w:rPr>
                <w:rFonts w:hint="eastAsia" w:ascii="宋体" w:hAnsi="宋体"/>
                <w:b/>
                <w:bCs/>
                <w:color w:val="auto"/>
                <w:szCs w:val="21"/>
              </w:rPr>
              <w:t>硬件系统</w:t>
            </w:r>
          </w:p>
        </w:tc>
        <w:tc>
          <w:tcPr>
            <w:tcW w:w="6151" w:type="dxa"/>
            <w:noWrap/>
          </w:tcPr>
          <w:p w14:paraId="516F733E">
            <w:pPr>
              <w:rPr>
                <w:rFonts w:ascii="宋体" w:hAnsi="宋体"/>
                <w:color w:val="auto"/>
                <w:szCs w:val="21"/>
              </w:rPr>
            </w:pPr>
          </w:p>
        </w:tc>
      </w:tr>
      <w:tr w14:paraId="527D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27ABBB3D">
            <w:pPr>
              <w:rPr>
                <w:rFonts w:ascii="宋体" w:hAnsi="宋体"/>
                <w:color w:val="auto"/>
                <w:szCs w:val="21"/>
              </w:rPr>
            </w:pPr>
            <w:r>
              <w:rPr>
                <w:rFonts w:hint="eastAsia" w:ascii="仿宋" w:hAnsi="仿宋" w:eastAsia="仿宋" w:cs="仿宋"/>
                <w:b/>
                <w:bCs/>
                <w:color w:val="000000"/>
                <w:sz w:val="24"/>
                <w:highlight w:val="none"/>
              </w:rPr>
              <w:t>★</w:t>
            </w:r>
            <w:r>
              <w:rPr>
                <w:rFonts w:hint="eastAsia" w:ascii="宋体" w:hAnsi="宋体"/>
                <w:color w:val="auto"/>
                <w:szCs w:val="21"/>
              </w:rPr>
              <w:t>3.1</w:t>
            </w:r>
          </w:p>
        </w:tc>
        <w:tc>
          <w:tcPr>
            <w:tcW w:w="2302" w:type="dxa"/>
            <w:noWrap/>
          </w:tcPr>
          <w:p w14:paraId="4A908514">
            <w:pPr>
              <w:rPr>
                <w:rFonts w:ascii="宋体" w:hAnsi="宋体"/>
                <w:color w:val="auto"/>
                <w:szCs w:val="21"/>
              </w:rPr>
            </w:pPr>
            <w:r>
              <w:rPr>
                <w:rFonts w:hint="eastAsia" w:ascii="宋体" w:hAnsi="宋体"/>
                <w:color w:val="auto"/>
                <w:szCs w:val="21"/>
              </w:rPr>
              <w:t>快速管路设计</w:t>
            </w:r>
          </w:p>
        </w:tc>
        <w:tc>
          <w:tcPr>
            <w:tcW w:w="6151" w:type="dxa"/>
            <w:noWrap/>
          </w:tcPr>
          <w:p w14:paraId="283089DE">
            <w:pPr>
              <w:rPr>
                <w:rFonts w:ascii="宋体" w:hAnsi="宋体"/>
                <w:color w:val="auto"/>
                <w:szCs w:val="21"/>
              </w:rPr>
            </w:pPr>
            <w:r>
              <w:rPr>
                <w:rFonts w:hint="eastAsia" w:ascii="宋体" w:hAnsi="宋体"/>
                <w:color w:val="auto"/>
                <w:szCs w:val="21"/>
              </w:rPr>
              <w:t>内部管路全部采用304不锈钢制作</w:t>
            </w:r>
            <w:r>
              <w:rPr>
                <w:rFonts w:hint="eastAsia" w:ascii="宋体" w:hAnsi="宋体"/>
                <w:color w:val="auto"/>
                <w:szCs w:val="21"/>
                <w:lang w:eastAsia="zh-CN"/>
              </w:rPr>
              <w:t>；</w:t>
            </w:r>
            <w:r>
              <w:rPr>
                <w:rFonts w:hint="eastAsia" w:ascii="宋体" w:hAnsi="宋体"/>
                <w:color w:val="auto"/>
                <w:szCs w:val="21"/>
              </w:rPr>
              <w:t>管路之间采用304不锈钢卡箍式连接</w:t>
            </w:r>
            <w:r>
              <w:rPr>
                <w:rFonts w:hint="default" w:ascii="宋体" w:hAnsi="宋体"/>
                <w:color w:val="auto"/>
                <w:szCs w:val="21"/>
                <w:lang w:val="en-US"/>
              </w:rPr>
              <w:t>（卡箍式连接需提供实物图片证明）</w:t>
            </w:r>
          </w:p>
        </w:tc>
      </w:tr>
      <w:tr w14:paraId="4773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0AF54395">
            <w:pPr>
              <w:rPr>
                <w:rFonts w:ascii="宋体" w:hAnsi="宋体"/>
                <w:color w:val="auto"/>
                <w:szCs w:val="21"/>
              </w:rPr>
            </w:pPr>
            <w:r>
              <w:rPr>
                <w:rFonts w:hint="eastAsia" w:ascii="宋体" w:hAnsi="宋体"/>
                <w:color w:val="auto"/>
                <w:szCs w:val="21"/>
              </w:rPr>
              <w:t>3.2</w:t>
            </w:r>
          </w:p>
        </w:tc>
        <w:tc>
          <w:tcPr>
            <w:tcW w:w="2302" w:type="dxa"/>
            <w:noWrap/>
          </w:tcPr>
          <w:p w14:paraId="49A08E79">
            <w:pPr>
              <w:rPr>
                <w:rFonts w:ascii="宋体" w:hAnsi="宋体"/>
                <w:color w:val="auto"/>
                <w:szCs w:val="21"/>
              </w:rPr>
            </w:pPr>
            <w:r>
              <w:rPr>
                <w:rFonts w:hint="eastAsia" w:ascii="宋体" w:hAnsi="宋体"/>
                <w:color w:val="auto"/>
                <w:szCs w:val="21"/>
              </w:rPr>
              <w:t>管路控制</w:t>
            </w:r>
          </w:p>
        </w:tc>
        <w:tc>
          <w:tcPr>
            <w:tcW w:w="6151" w:type="dxa"/>
            <w:noWrap/>
          </w:tcPr>
          <w:p w14:paraId="72C137DE">
            <w:pPr>
              <w:rPr>
                <w:rFonts w:ascii="宋体" w:hAnsi="宋体"/>
                <w:color w:val="auto"/>
                <w:szCs w:val="21"/>
              </w:rPr>
            </w:pPr>
            <w:r>
              <w:rPr>
                <w:rFonts w:hint="eastAsia" w:ascii="宋体" w:hAnsi="宋体"/>
                <w:color w:val="auto"/>
                <w:szCs w:val="21"/>
              </w:rPr>
              <w:t>管路系统执行元件釆用气动阀控制</w:t>
            </w:r>
          </w:p>
        </w:tc>
      </w:tr>
      <w:tr w14:paraId="7BE40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4694654D">
            <w:pPr>
              <w:rPr>
                <w:rFonts w:ascii="宋体" w:hAnsi="宋体"/>
                <w:color w:val="auto"/>
                <w:szCs w:val="21"/>
              </w:rPr>
            </w:pPr>
            <w:r>
              <w:rPr>
                <w:rFonts w:hint="eastAsia" w:ascii="仿宋" w:hAnsi="仿宋" w:eastAsia="仿宋" w:cs="仿宋"/>
                <w:b/>
                <w:bCs/>
                <w:color w:val="000000"/>
                <w:sz w:val="24"/>
                <w:highlight w:val="none"/>
              </w:rPr>
              <w:t>★</w:t>
            </w:r>
            <w:r>
              <w:rPr>
                <w:rFonts w:hint="eastAsia" w:ascii="宋体" w:hAnsi="宋体"/>
                <w:color w:val="auto"/>
                <w:szCs w:val="21"/>
              </w:rPr>
              <w:t>3.3</w:t>
            </w:r>
          </w:p>
        </w:tc>
        <w:tc>
          <w:tcPr>
            <w:tcW w:w="2302" w:type="dxa"/>
            <w:noWrap/>
          </w:tcPr>
          <w:p w14:paraId="1B2F682C">
            <w:pPr>
              <w:rPr>
                <w:rFonts w:ascii="宋体" w:hAnsi="宋体"/>
                <w:color w:val="auto"/>
                <w:szCs w:val="21"/>
              </w:rPr>
            </w:pPr>
            <w:r>
              <w:rPr>
                <w:rFonts w:hint="eastAsia" w:ascii="宋体" w:hAnsi="宋体"/>
                <w:color w:val="auto"/>
                <w:szCs w:val="21"/>
              </w:rPr>
              <w:t>干燥系统</w:t>
            </w:r>
            <w:r>
              <w:rPr>
                <w:rFonts w:hint="eastAsia" w:ascii="宋体" w:hAnsi="宋体"/>
                <w:color w:val="auto"/>
                <w:szCs w:val="21"/>
                <w:lang w:val="en-US" w:eastAsia="zh-CN"/>
              </w:rPr>
              <w:t>1</w:t>
            </w:r>
          </w:p>
        </w:tc>
        <w:tc>
          <w:tcPr>
            <w:tcW w:w="6151" w:type="dxa"/>
            <w:noWrap/>
          </w:tcPr>
          <w:p w14:paraId="6B9C8E93">
            <w:pPr>
              <w:numPr>
                <w:ilvl w:val="0"/>
                <w:numId w:val="0"/>
              </w:numPr>
              <w:ind w:left="0" w:leftChars="0" w:firstLine="0" w:firstLineChars="0"/>
              <w:rPr>
                <w:rFonts w:ascii="宋体" w:hAnsi="宋体"/>
                <w:color w:val="auto"/>
                <w:szCs w:val="21"/>
              </w:rPr>
            </w:pPr>
            <w:r>
              <w:rPr>
                <w:rFonts w:hint="default" w:ascii="宋体" w:hAnsi="宋体"/>
                <w:color w:val="auto"/>
                <w:szCs w:val="21"/>
                <w:highlight w:val="none"/>
                <w:lang w:val="en-US"/>
              </w:rPr>
              <w:t>具备真空干澡技术，</w:t>
            </w:r>
            <w:r>
              <w:rPr>
                <w:rFonts w:hint="default" w:ascii="宋体" w:hAnsi="宋体"/>
                <w:strike w:val="0"/>
                <w:dstrike w:val="0"/>
                <w:color w:val="auto"/>
                <w:szCs w:val="21"/>
                <w:highlight w:val="none"/>
                <w:lang w:val="en-US"/>
              </w:rPr>
              <w:t>采用</w:t>
            </w:r>
            <w:r>
              <w:rPr>
                <w:rFonts w:hint="eastAsia" w:ascii="宋体" w:hAnsi="宋体"/>
                <w:strike w:val="0"/>
                <w:dstrike w:val="0"/>
                <w:color w:val="auto"/>
                <w:szCs w:val="21"/>
                <w:highlight w:val="none"/>
              </w:rPr>
              <w:t>抽真空的方式，从而达到在低温状态下器械能够快速彻底的干燥</w:t>
            </w:r>
          </w:p>
        </w:tc>
      </w:tr>
      <w:tr w14:paraId="0097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285" w:type="dxa"/>
            <w:noWrap/>
          </w:tcPr>
          <w:p w14:paraId="6561A7E0">
            <w:pPr>
              <w:rPr>
                <w:rFonts w:ascii="宋体" w:hAnsi="宋体"/>
                <w:color w:val="auto"/>
                <w:szCs w:val="21"/>
              </w:rPr>
            </w:pPr>
            <w:r>
              <w:rPr>
                <w:rFonts w:hint="eastAsia" w:ascii="仿宋" w:hAnsi="仿宋" w:eastAsia="仿宋" w:cs="仿宋"/>
                <w:b/>
                <w:bCs/>
                <w:color w:val="000000"/>
                <w:sz w:val="24"/>
                <w:highlight w:val="none"/>
              </w:rPr>
              <w:t>★</w:t>
            </w:r>
            <w:r>
              <w:rPr>
                <w:rFonts w:hint="eastAsia" w:ascii="宋体" w:hAnsi="宋体"/>
                <w:color w:val="auto"/>
                <w:szCs w:val="21"/>
              </w:rPr>
              <w:t>3.4</w:t>
            </w:r>
          </w:p>
        </w:tc>
        <w:tc>
          <w:tcPr>
            <w:tcW w:w="2302" w:type="dxa"/>
            <w:noWrap/>
          </w:tcPr>
          <w:p w14:paraId="7B1F0A9B">
            <w:pPr>
              <w:rPr>
                <w:rFonts w:ascii="宋体" w:hAnsi="宋体"/>
                <w:color w:val="auto"/>
                <w:szCs w:val="21"/>
              </w:rPr>
            </w:pPr>
            <w:r>
              <w:rPr>
                <w:rFonts w:hint="eastAsia" w:ascii="宋体" w:hAnsi="宋体"/>
                <w:color w:val="auto"/>
                <w:szCs w:val="21"/>
              </w:rPr>
              <w:t>干燥系统</w:t>
            </w:r>
            <w:r>
              <w:rPr>
                <w:rFonts w:hint="eastAsia" w:ascii="宋体" w:hAnsi="宋体"/>
                <w:color w:val="auto"/>
                <w:szCs w:val="21"/>
                <w:lang w:val="en-US" w:eastAsia="zh-CN"/>
              </w:rPr>
              <w:t>2</w:t>
            </w:r>
          </w:p>
        </w:tc>
        <w:tc>
          <w:tcPr>
            <w:tcW w:w="6151" w:type="dxa"/>
            <w:noWrap/>
          </w:tcPr>
          <w:p w14:paraId="012EDF7E">
            <w:pPr>
              <w:numPr>
                <w:ilvl w:val="0"/>
                <w:numId w:val="0"/>
              </w:numPr>
              <w:ind w:left="0" w:leftChars="0" w:firstLine="0" w:firstLineChars="0"/>
              <w:rPr>
                <w:rFonts w:ascii="宋体" w:hAnsi="宋体"/>
                <w:color w:val="auto"/>
                <w:szCs w:val="21"/>
              </w:rPr>
            </w:pPr>
            <w:r>
              <w:rPr>
                <w:rFonts w:hint="eastAsia" w:ascii="宋体" w:hAnsi="宋体"/>
                <w:color w:val="auto"/>
                <w:szCs w:val="21"/>
              </w:rPr>
              <w:t>采用</w:t>
            </w:r>
            <w:r>
              <w:rPr>
                <w:rFonts w:hint="default" w:ascii="宋体" w:hAnsi="宋体"/>
                <w:color w:val="auto"/>
                <w:szCs w:val="21"/>
                <w:lang w:val="en-US"/>
              </w:rPr>
              <w:t>红外</w:t>
            </w:r>
            <w:r>
              <w:rPr>
                <w:rFonts w:hint="eastAsia" w:ascii="宋体" w:hAnsi="宋体"/>
                <w:color w:val="auto"/>
                <w:szCs w:val="21"/>
              </w:rPr>
              <w:t>热弥漫</w:t>
            </w:r>
            <w:r>
              <w:rPr>
                <w:rFonts w:hint="default" w:ascii="宋体" w:hAnsi="宋体"/>
                <w:color w:val="auto"/>
                <w:szCs w:val="21"/>
                <w:lang w:val="en-US"/>
              </w:rPr>
              <w:t>加热方式</w:t>
            </w:r>
          </w:p>
        </w:tc>
      </w:tr>
      <w:tr w14:paraId="3E4C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68FE904F">
            <w:pPr>
              <w:rPr>
                <w:rFonts w:ascii="宋体" w:hAnsi="宋体"/>
                <w:color w:val="auto"/>
                <w:szCs w:val="21"/>
              </w:rPr>
            </w:pPr>
            <w:r>
              <w:rPr>
                <w:rFonts w:hint="eastAsia" w:ascii="仿宋" w:hAnsi="仿宋" w:eastAsia="仿宋" w:cs="仿宋"/>
                <w:b/>
                <w:bCs/>
                <w:color w:val="000000"/>
                <w:sz w:val="24"/>
                <w:highlight w:val="none"/>
              </w:rPr>
              <w:t>★</w:t>
            </w:r>
            <w:r>
              <w:rPr>
                <w:rFonts w:hint="eastAsia" w:ascii="宋体" w:hAnsi="宋体"/>
                <w:color w:val="auto"/>
                <w:szCs w:val="21"/>
              </w:rPr>
              <w:t>3.5</w:t>
            </w:r>
          </w:p>
        </w:tc>
        <w:tc>
          <w:tcPr>
            <w:tcW w:w="2302" w:type="dxa"/>
            <w:noWrap/>
          </w:tcPr>
          <w:p w14:paraId="0D8837C2">
            <w:pPr>
              <w:rPr>
                <w:rFonts w:ascii="宋体" w:hAnsi="宋体"/>
                <w:color w:val="auto"/>
                <w:szCs w:val="21"/>
              </w:rPr>
            </w:pPr>
            <w:r>
              <w:rPr>
                <w:rFonts w:hint="eastAsia" w:ascii="宋体" w:hAnsi="宋体"/>
                <w:color w:val="auto"/>
                <w:szCs w:val="21"/>
              </w:rPr>
              <w:t>干燥系统</w:t>
            </w:r>
            <w:r>
              <w:rPr>
                <w:rFonts w:hint="eastAsia" w:ascii="宋体" w:hAnsi="宋体"/>
                <w:color w:val="auto"/>
                <w:szCs w:val="21"/>
                <w:lang w:val="en-US" w:eastAsia="zh-CN"/>
              </w:rPr>
              <w:t>3</w:t>
            </w:r>
          </w:p>
        </w:tc>
        <w:tc>
          <w:tcPr>
            <w:tcW w:w="6151" w:type="dxa"/>
            <w:noWrap/>
          </w:tcPr>
          <w:p w14:paraId="5D78580E">
            <w:pPr>
              <w:numPr>
                <w:ilvl w:val="0"/>
                <w:numId w:val="0"/>
              </w:numPr>
              <w:ind w:left="0" w:leftChars="0" w:firstLine="0" w:firstLineChars="0"/>
              <w:rPr>
                <w:rFonts w:ascii="宋体" w:hAnsi="宋体"/>
                <w:color w:val="auto"/>
                <w:szCs w:val="21"/>
              </w:rPr>
            </w:pPr>
            <w:r>
              <w:rPr>
                <w:rFonts w:hint="default" w:ascii="宋体" w:hAnsi="宋体"/>
                <w:color w:val="auto"/>
                <w:szCs w:val="21"/>
                <w:lang w:val="en-US"/>
              </w:rPr>
              <w:t>具备温风干燥功能</w:t>
            </w:r>
            <w:r>
              <w:rPr>
                <w:rFonts w:hint="default" w:ascii="宋体" w:hAnsi="宋体"/>
                <w:color w:val="auto"/>
                <w:szCs w:val="21"/>
                <w:highlight w:val="none"/>
                <w:lang w:val="en-US"/>
              </w:rPr>
              <w:t>，</w:t>
            </w:r>
            <w:r>
              <w:rPr>
                <w:rFonts w:hint="eastAsia" w:ascii="宋体" w:hAnsi="宋体"/>
                <w:strike w:val="0"/>
                <w:dstrike w:val="0"/>
                <w:color w:val="auto"/>
                <w:szCs w:val="21"/>
                <w:highlight w:val="none"/>
              </w:rPr>
              <w:t>无需人工气枪预干燥，</w:t>
            </w:r>
          </w:p>
        </w:tc>
      </w:tr>
      <w:tr w14:paraId="1080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1E940395">
            <w:pPr>
              <w:rPr>
                <w:rFonts w:hint="eastAsia" w:ascii="宋体" w:hAnsi="宋体"/>
                <w:color w:val="auto"/>
                <w:szCs w:val="21"/>
              </w:rPr>
            </w:pPr>
            <w:r>
              <w:rPr>
                <w:rFonts w:hint="eastAsia" w:ascii="宋体" w:hAnsi="宋体"/>
                <w:color w:val="auto"/>
                <w:szCs w:val="21"/>
              </w:rPr>
              <w:t>3.</w:t>
            </w:r>
            <w:r>
              <w:rPr>
                <w:rFonts w:hint="eastAsia" w:ascii="宋体" w:hAnsi="宋体"/>
                <w:color w:val="auto"/>
                <w:szCs w:val="21"/>
                <w:lang w:val="en-US" w:eastAsia="zh-CN"/>
              </w:rPr>
              <w:t>6</w:t>
            </w:r>
          </w:p>
        </w:tc>
        <w:tc>
          <w:tcPr>
            <w:tcW w:w="2302" w:type="dxa"/>
            <w:noWrap/>
          </w:tcPr>
          <w:p w14:paraId="0EF75562">
            <w:pPr>
              <w:rPr>
                <w:rFonts w:hint="eastAsia" w:ascii="宋体" w:hAnsi="宋体"/>
                <w:color w:val="auto"/>
                <w:szCs w:val="21"/>
              </w:rPr>
            </w:pPr>
            <w:r>
              <w:rPr>
                <w:rFonts w:hint="eastAsia" w:ascii="宋体" w:hAnsi="宋体"/>
                <w:color w:val="auto"/>
                <w:szCs w:val="21"/>
              </w:rPr>
              <w:t>真空泵</w:t>
            </w:r>
          </w:p>
        </w:tc>
        <w:tc>
          <w:tcPr>
            <w:tcW w:w="6151" w:type="dxa"/>
            <w:noWrap/>
          </w:tcPr>
          <w:p w14:paraId="42749888">
            <w:pPr>
              <w:pStyle w:val="7"/>
              <w:rPr>
                <w:rFonts w:hint="eastAsia" w:ascii="宋体" w:hAnsi="宋体"/>
                <w:color w:val="auto"/>
                <w:szCs w:val="21"/>
              </w:rPr>
            </w:pPr>
            <w:r>
              <w:rPr>
                <w:rFonts w:hint="eastAsia" w:ascii="宋体" w:hAnsi="宋体"/>
                <w:color w:val="auto"/>
                <w:szCs w:val="21"/>
              </w:rPr>
              <w:t>真空泵最大抽气量</w:t>
            </w:r>
            <w:r>
              <w:rPr>
                <w:rFonts w:hint="eastAsia" w:ascii="宋体" w:hAnsi="宋体"/>
                <w:color w:val="auto"/>
                <w:szCs w:val="21"/>
                <w:lang w:eastAsia="zh-CN"/>
              </w:rPr>
              <w:t>≥</w:t>
            </w:r>
            <w:r>
              <w:rPr>
                <w:rFonts w:hint="eastAsia" w:ascii="宋体" w:hAnsi="宋体"/>
                <w:color w:val="auto"/>
                <w:szCs w:val="21"/>
              </w:rPr>
              <w:t>4</w:t>
            </w:r>
            <w:r>
              <w:rPr>
                <w:rFonts w:hint="eastAsia" w:ascii="宋体" w:hAnsi="宋体"/>
                <w:color w:val="auto"/>
                <w:szCs w:val="21"/>
                <w:lang w:val="en-US" w:eastAsia="zh-CN"/>
              </w:rPr>
              <w:t>0</w:t>
            </w:r>
            <w:r>
              <w:rPr>
                <w:rFonts w:hint="eastAsia" w:ascii="宋体" w:hAnsi="宋体"/>
                <w:color w:val="auto"/>
                <w:szCs w:val="21"/>
              </w:rPr>
              <w:t>m³/h</w:t>
            </w:r>
          </w:p>
        </w:tc>
      </w:tr>
      <w:tr w14:paraId="574F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3C0BA719">
            <w:pPr>
              <w:rPr>
                <w:rFonts w:ascii="宋体" w:hAnsi="宋体"/>
                <w:b/>
                <w:bCs/>
                <w:color w:val="auto"/>
                <w:szCs w:val="21"/>
              </w:rPr>
            </w:pPr>
            <w:r>
              <w:rPr>
                <w:rFonts w:hint="eastAsia" w:ascii="宋体" w:hAnsi="宋体"/>
                <w:b/>
                <w:bCs/>
                <w:color w:val="auto"/>
                <w:szCs w:val="21"/>
              </w:rPr>
              <w:t>4</w:t>
            </w:r>
          </w:p>
        </w:tc>
        <w:tc>
          <w:tcPr>
            <w:tcW w:w="2302" w:type="dxa"/>
            <w:noWrap/>
          </w:tcPr>
          <w:p w14:paraId="79E489D1">
            <w:pPr>
              <w:rPr>
                <w:rFonts w:ascii="宋体" w:hAnsi="宋体"/>
                <w:b/>
                <w:bCs/>
                <w:color w:val="auto"/>
                <w:szCs w:val="21"/>
              </w:rPr>
            </w:pPr>
            <w:r>
              <w:rPr>
                <w:rFonts w:hint="eastAsia" w:ascii="宋体" w:hAnsi="宋体"/>
                <w:b/>
                <w:bCs/>
                <w:color w:val="auto"/>
                <w:szCs w:val="21"/>
              </w:rPr>
              <w:t>控制系统</w:t>
            </w:r>
          </w:p>
        </w:tc>
        <w:tc>
          <w:tcPr>
            <w:tcW w:w="6151" w:type="dxa"/>
            <w:noWrap/>
          </w:tcPr>
          <w:p w14:paraId="22C18CDB">
            <w:pPr>
              <w:rPr>
                <w:rFonts w:ascii="宋体" w:hAnsi="宋体"/>
                <w:color w:val="auto"/>
                <w:szCs w:val="21"/>
              </w:rPr>
            </w:pPr>
          </w:p>
        </w:tc>
      </w:tr>
      <w:tr w14:paraId="0D7DE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285" w:type="dxa"/>
            <w:noWrap/>
          </w:tcPr>
          <w:p w14:paraId="3826E874">
            <w:pPr>
              <w:rPr>
                <w:rFonts w:ascii="宋体" w:hAnsi="宋体"/>
                <w:color w:val="auto"/>
                <w:szCs w:val="21"/>
              </w:rPr>
            </w:pPr>
            <w:r>
              <w:rPr>
                <w:rFonts w:hint="eastAsia" w:ascii="宋体" w:hAnsi="宋体"/>
                <w:color w:val="auto"/>
                <w:szCs w:val="21"/>
              </w:rPr>
              <w:t>4.1</w:t>
            </w:r>
          </w:p>
        </w:tc>
        <w:tc>
          <w:tcPr>
            <w:tcW w:w="2302" w:type="dxa"/>
            <w:noWrap/>
          </w:tcPr>
          <w:p w14:paraId="14268F9C">
            <w:pPr>
              <w:rPr>
                <w:rFonts w:ascii="宋体" w:hAnsi="宋体"/>
                <w:color w:val="auto"/>
                <w:szCs w:val="21"/>
              </w:rPr>
            </w:pPr>
            <w:r>
              <w:rPr>
                <w:rFonts w:hint="eastAsia" w:ascii="宋体" w:hAnsi="宋体"/>
                <w:color w:val="auto"/>
                <w:szCs w:val="21"/>
              </w:rPr>
              <w:t>控制方式</w:t>
            </w:r>
          </w:p>
        </w:tc>
        <w:tc>
          <w:tcPr>
            <w:tcW w:w="6151" w:type="dxa"/>
            <w:noWrap/>
          </w:tcPr>
          <w:p w14:paraId="43FE6DE8">
            <w:pPr>
              <w:rPr>
                <w:rFonts w:ascii="宋体" w:hAnsi="宋体"/>
                <w:color w:val="auto"/>
                <w:szCs w:val="21"/>
              </w:rPr>
            </w:pPr>
            <w:r>
              <w:rPr>
                <w:rFonts w:hint="eastAsia" w:ascii="宋体" w:hAnsi="宋体"/>
                <w:color w:val="auto"/>
                <w:szCs w:val="21"/>
              </w:rPr>
              <w:t>采用PLC控制</w:t>
            </w:r>
            <w:r>
              <w:rPr>
                <w:rFonts w:hint="eastAsia" w:ascii="宋体" w:hAnsi="宋体"/>
                <w:color w:val="auto"/>
                <w:szCs w:val="21"/>
                <w:lang w:eastAsia="zh-CN"/>
              </w:rPr>
              <w:t>：</w:t>
            </w:r>
            <w:r>
              <w:rPr>
                <w:rFonts w:hint="eastAsia" w:ascii="宋体" w:hAnsi="宋体"/>
                <w:color w:val="auto"/>
                <w:szCs w:val="21"/>
              </w:rPr>
              <w:t>通过数字量和模拟量扩展模块进行扩展</w:t>
            </w:r>
            <w:r>
              <w:rPr>
                <w:rFonts w:hint="eastAsia" w:ascii="宋体" w:hAnsi="宋体"/>
                <w:color w:val="auto"/>
                <w:szCs w:val="21"/>
                <w:lang w:eastAsia="zh-CN"/>
              </w:rPr>
              <w:t>，</w:t>
            </w:r>
            <w:r>
              <w:rPr>
                <w:rFonts w:hint="eastAsia" w:ascii="宋体" w:hAnsi="宋体"/>
                <w:color w:val="auto"/>
                <w:szCs w:val="21"/>
              </w:rPr>
              <w:t>具有故障自动检测功能，故障声音报警功能</w:t>
            </w:r>
            <w:r>
              <w:rPr>
                <w:rFonts w:hint="eastAsia" w:ascii="宋体" w:hAnsi="宋体"/>
                <w:color w:val="auto"/>
                <w:szCs w:val="21"/>
                <w:lang w:eastAsia="zh-CN"/>
              </w:rPr>
              <w:t>等。</w:t>
            </w:r>
          </w:p>
        </w:tc>
      </w:tr>
      <w:tr w14:paraId="59E32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6A3DDC85">
            <w:pPr>
              <w:rPr>
                <w:rFonts w:ascii="宋体" w:hAnsi="宋体"/>
                <w:color w:val="auto"/>
                <w:szCs w:val="21"/>
              </w:rPr>
            </w:pPr>
            <w:r>
              <w:rPr>
                <w:rFonts w:hint="eastAsia" w:ascii="宋体" w:hAnsi="宋体"/>
                <w:color w:val="auto"/>
                <w:szCs w:val="21"/>
              </w:rPr>
              <w:t>4.2</w:t>
            </w:r>
          </w:p>
        </w:tc>
        <w:tc>
          <w:tcPr>
            <w:tcW w:w="2302" w:type="dxa"/>
            <w:noWrap/>
          </w:tcPr>
          <w:p w14:paraId="08D3CEFF">
            <w:pPr>
              <w:rPr>
                <w:rFonts w:ascii="宋体" w:hAnsi="宋体"/>
                <w:color w:val="auto"/>
                <w:szCs w:val="21"/>
              </w:rPr>
            </w:pPr>
            <w:r>
              <w:rPr>
                <w:rFonts w:hint="eastAsia" w:ascii="宋体" w:hAnsi="宋体"/>
                <w:color w:val="auto"/>
                <w:szCs w:val="21"/>
              </w:rPr>
              <w:t>界面显示</w:t>
            </w:r>
          </w:p>
        </w:tc>
        <w:tc>
          <w:tcPr>
            <w:tcW w:w="6151" w:type="dxa"/>
            <w:noWrap/>
          </w:tcPr>
          <w:p w14:paraId="746A4E11">
            <w:pPr>
              <w:rPr>
                <w:rFonts w:ascii="宋体" w:hAnsi="宋体"/>
                <w:color w:val="auto"/>
                <w:szCs w:val="21"/>
              </w:rPr>
            </w:pPr>
            <w:r>
              <w:rPr>
                <w:rFonts w:hint="eastAsia" w:ascii="宋体" w:hAnsi="宋体"/>
                <w:color w:val="auto"/>
                <w:szCs w:val="21"/>
              </w:rPr>
              <w:t>≥7</w:t>
            </w:r>
            <w:r>
              <w:rPr>
                <w:rFonts w:hint="eastAsia" w:ascii="宋体" w:hAnsi="宋体"/>
                <w:color w:val="auto"/>
                <w:szCs w:val="21"/>
                <w:lang w:eastAsia="zh-CN"/>
              </w:rPr>
              <w:t>英</w:t>
            </w:r>
            <w:r>
              <w:rPr>
                <w:rFonts w:hint="eastAsia" w:ascii="宋体" w:hAnsi="宋体"/>
                <w:color w:val="auto"/>
                <w:szCs w:val="21"/>
              </w:rPr>
              <w:t>寸高清彩色液晶触摸屏，能动态的显示设备各个功能部件的运行状态</w:t>
            </w:r>
            <w:r>
              <w:rPr>
                <w:rFonts w:hint="eastAsia" w:ascii="宋体" w:hAnsi="宋体"/>
                <w:color w:val="auto"/>
                <w:szCs w:val="21"/>
                <w:lang w:eastAsia="zh-CN"/>
              </w:rPr>
              <w:t>、</w:t>
            </w:r>
            <w:r>
              <w:rPr>
                <w:rFonts w:hint="eastAsia" w:ascii="宋体" w:hAnsi="宋体"/>
                <w:color w:val="auto"/>
                <w:szCs w:val="21"/>
              </w:rPr>
              <w:t>设备运行的各个状态参数</w:t>
            </w:r>
            <w:r>
              <w:rPr>
                <w:rFonts w:hint="eastAsia" w:ascii="宋体" w:hAnsi="宋体"/>
                <w:color w:val="auto"/>
                <w:szCs w:val="21"/>
                <w:lang w:eastAsia="zh-CN"/>
              </w:rPr>
              <w:t>、</w:t>
            </w:r>
            <w:r>
              <w:rPr>
                <w:rFonts w:hint="eastAsia" w:ascii="宋体" w:hAnsi="宋体"/>
                <w:color w:val="auto"/>
                <w:szCs w:val="21"/>
              </w:rPr>
              <w:t>报警信息显示功能；</w:t>
            </w:r>
          </w:p>
        </w:tc>
      </w:tr>
      <w:tr w14:paraId="7C569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5" w:type="dxa"/>
            <w:noWrap/>
          </w:tcPr>
          <w:p w14:paraId="0F752E77">
            <w:pPr>
              <w:rPr>
                <w:rFonts w:ascii="宋体" w:hAnsi="宋体"/>
                <w:color w:val="auto"/>
                <w:szCs w:val="21"/>
              </w:rPr>
            </w:pPr>
            <w:r>
              <w:rPr>
                <w:rFonts w:hint="eastAsia" w:ascii="宋体" w:hAnsi="宋体"/>
                <w:color w:val="auto"/>
                <w:szCs w:val="21"/>
              </w:rPr>
              <w:t>4.3</w:t>
            </w:r>
          </w:p>
        </w:tc>
        <w:tc>
          <w:tcPr>
            <w:tcW w:w="2302" w:type="dxa"/>
            <w:noWrap/>
          </w:tcPr>
          <w:p w14:paraId="7F9203F8">
            <w:pPr>
              <w:rPr>
                <w:rFonts w:ascii="宋体" w:hAnsi="宋体"/>
                <w:color w:val="auto"/>
                <w:szCs w:val="21"/>
              </w:rPr>
            </w:pPr>
            <w:r>
              <w:rPr>
                <w:rFonts w:hint="eastAsia" w:ascii="宋体" w:hAnsi="宋体"/>
                <w:color w:val="auto"/>
                <w:szCs w:val="21"/>
              </w:rPr>
              <w:t>安全保护</w:t>
            </w:r>
          </w:p>
        </w:tc>
        <w:tc>
          <w:tcPr>
            <w:tcW w:w="6151" w:type="dxa"/>
            <w:noWrap/>
          </w:tcPr>
          <w:p w14:paraId="6BCB8690">
            <w:pPr>
              <w:rPr>
                <w:rFonts w:ascii="宋体" w:hAnsi="宋体"/>
                <w:strike w:val="0"/>
                <w:dstrike w:val="0"/>
                <w:color w:val="auto"/>
                <w:szCs w:val="21"/>
                <w:highlight w:val="none"/>
              </w:rPr>
            </w:pPr>
            <w:r>
              <w:rPr>
                <w:rFonts w:hint="eastAsia" w:ascii="宋体" w:hAnsi="宋体"/>
                <w:strike w:val="0"/>
                <w:dstrike w:val="0"/>
                <w:color w:val="auto"/>
                <w:szCs w:val="21"/>
                <w:highlight w:val="none"/>
              </w:rPr>
              <w:t>超温自动保护装置：超过设定温度，系统自动切断加热电源；</w:t>
            </w:r>
          </w:p>
          <w:p w14:paraId="6D1A9112">
            <w:pPr>
              <w:rPr>
                <w:rFonts w:ascii="宋体" w:hAnsi="宋体"/>
                <w:color w:val="auto"/>
                <w:szCs w:val="21"/>
              </w:rPr>
            </w:pPr>
            <w:r>
              <w:rPr>
                <w:rFonts w:hint="eastAsia" w:ascii="宋体" w:hAnsi="宋体"/>
                <w:strike w:val="0"/>
                <w:dstrike w:val="0"/>
                <w:color w:val="auto"/>
                <w:szCs w:val="21"/>
                <w:highlight w:val="none"/>
              </w:rPr>
              <w:t>电机过流保护装置：设备电机过载时，过流保护开关动作，电机停止工作。</w:t>
            </w:r>
          </w:p>
        </w:tc>
      </w:tr>
      <w:tr w14:paraId="1E24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26F6A80B">
            <w:pPr>
              <w:rPr>
                <w:rFonts w:ascii="宋体" w:hAnsi="宋体"/>
                <w:b/>
                <w:bCs/>
                <w:color w:val="auto"/>
                <w:szCs w:val="21"/>
              </w:rPr>
            </w:pPr>
            <w:r>
              <w:rPr>
                <w:rFonts w:hint="eastAsia" w:ascii="宋体" w:hAnsi="宋体"/>
                <w:b/>
                <w:bCs/>
                <w:color w:val="auto"/>
                <w:szCs w:val="21"/>
              </w:rPr>
              <w:t>5</w:t>
            </w:r>
          </w:p>
        </w:tc>
        <w:tc>
          <w:tcPr>
            <w:tcW w:w="2302" w:type="dxa"/>
            <w:noWrap/>
          </w:tcPr>
          <w:p w14:paraId="3127BB0A">
            <w:pPr>
              <w:rPr>
                <w:rFonts w:ascii="宋体" w:hAnsi="宋体"/>
                <w:b/>
                <w:bCs/>
                <w:color w:val="auto"/>
                <w:szCs w:val="21"/>
              </w:rPr>
            </w:pPr>
            <w:r>
              <w:rPr>
                <w:rFonts w:hint="eastAsia" w:ascii="宋体" w:hAnsi="宋体"/>
                <w:b/>
                <w:bCs/>
                <w:color w:val="auto"/>
                <w:szCs w:val="21"/>
              </w:rPr>
              <w:t>程序系统</w:t>
            </w:r>
          </w:p>
        </w:tc>
        <w:tc>
          <w:tcPr>
            <w:tcW w:w="6151" w:type="dxa"/>
            <w:noWrap/>
          </w:tcPr>
          <w:p w14:paraId="7F31E44B">
            <w:pPr>
              <w:rPr>
                <w:rFonts w:ascii="宋体" w:hAnsi="宋体"/>
                <w:color w:val="auto"/>
                <w:szCs w:val="21"/>
              </w:rPr>
            </w:pPr>
          </w:p>
        </w:tc>
      </w:tr>
      <w:tr w14:paraId="4611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0168AF67">
            <w:pPr>
              <w:rPr>
                <w:rFonts w:hint="eastAsia" w:ascii="宋体" w:hAnsi="宋体" w:eastAsia="宋体"/>
                <w:color w:val="auto"/>
                <w:szCs w:val="21"/>
                <w:lang w:eastAsia="zh-CN"/>
              </w:rPr>
            </w:pPr>
            <w:r>
              <w:rPr>
                <w:rFonts w:hint="eastAsia" w:ascii="仿宋" w:hAnsi="仿宋" w:eastAsia="仿宋" w:cs="仿宋"/>
                <w:b/>
                <w:bCs/>
                <w:color w:val="000000"/>
                <w:sz w:val="24"/>
                <w:highlight w:val="none"/>
              </w:rPr>
              <w:t>★</w:t>
            </w:r>
            <w:r>
              <w:rPr>
                <w:rFonts w:hint="eastAsia" w:ascii="宋体" w:hAnsi="宋体"/>
                <w:color w:val="auto"/>
                <w:szCs w:val="21"/>
              </w:rPr>
              <w:t>5.</w:t>
            </w:r>
            <w:r>
              <w:rPr>
                <w:rFonts w:hint="eastAsia" w:ascii="宋体" w:hAnsi="宋体"/>
                <w:color w:val="auto"/>
                <w:szCs w:val="21"/>
                <w:lang w:val="en-US" w:eastAsia="zh-CN"/>
              </w:rPr>
              <w:t>1</w:t>
            </w:r>
          </w:p>
        </w:tc>
        <w:tc>
          <w:tcPr>
            <w:tcW w:w="2302" w:type="dxa"/>
            <w:noWrap/>
          </w:tcPr>
          <w:p w14:paraId="67130F99">
            <w:pPr>
              <w:rPr>
                <w:rFonts w:ascii="宋体" w:hAnsi="宋体"/>
                <w:color w:val="auto"/>
                <w:szCs w:val="21"/>
              </w:rPr>
            </w:pPr>
            <w:r>
              <w:rPr>
                <w:rFonts w:hint="eastAsia" w:ascii="宋体" w:hAnsi="宋体"/>
                <w:color w:val="auto"/>
                <w:szCs w:val="21"/>
              </w:rPr>
              <w:t>程序名称</w:t>
            </w:r>
          </w:p>
        </w:tc>
        <w:tc>
          <w:tcPr>
            <w:tcW w:w="6151" w:type="dxa"/>
            <w:noWrap/>
          </w:tcPr>
          <w:p w14:paraId="19AB43AE">
            <w:pPr>
              <w:rPr>
                <w:rFonts w:ascii="宋体" w:hAnsi="宋体"/>
                <w:color w:val="auto"/>
                <w:szCs w:val="21"/>
              </w:rPr>
            </w:pPr>
            <w:r>
              <w:rPr>
                <w:rFonts w:hint="eastAsia" w:ascii="宋体" w:hAnsi="宋体"/>
                <w:color w:val="auto"/>
                <w:szCs w:val="21"/>
              </w:rPr>
              <w:t>≥4套预置程序，≥1套自定义程序，用户可根据需要进行程序编辑。</w:t>
            </w:r>
          </w:p>
        </w:tc>
      </w:tr>
      <w:tr w14:paraId="72A31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026F047B">
            <w:pPr>
              <w:rPr>
                <w:rFonts w:hint="eastAsia" w:ascii="宋体" w:hAnsi="宋体" w:eastAsia="宋体"/>
                <w:color w:val="auto"/>
                <w:szCs w:val="21"/>
                <w:lang w:eastAsia="zh-CN"/>
              </w:rPr>
            </w:pPr>
            <w:r>
              <w:rPr>
                <w:rFonts w:hint="eastAsia" w:ascii="宋体" w:hAnsi="宋体"/>
                <w:color w:val="auto"/>
                <w:szCs w:val="21"/>
              </w:rPr>
              <w:t>5.</w:t>
            </w:r>
            <w:r>
              <w:rPr>
                <w:rFonts w:hint="eastAsia" w:ascii="宋体" w:hAnsi="宋体"/>
                <w:color w:val="auto"/>
                <w:szCs w:val="21"/>
                <w:lang w:val="en-US" w:eastAsia="zh-CN"/>
              </w:rPr>
              <w:t>2</w:t>
            </w:r>
          </w:p>
        </w:tc>
        <w:tc>
          <w:tcPr>
            <w:tcW w:w="2302" w:type="dxa"/>
            <w:noWrap/>
          </w:tcPr>
          <w:p w14:paraId="75D9C4C6">
            <w:pPr>
              <w:rPr>
                <w:rFonts w:ascii="宋体" w:hAnsi="宋体"/>
                <w:color w:val="auto"/>
                <w:szCs w:val="21"/>
              </w:rPr>
            </w:pPr>
            <w:r>
              <w:rPr>
                <w:rFonts w:hint="eastAsia" w:ascii="宋体" w:hAnsi="宋体"/>
                <w:color w:val="auto"/>
                <w:szCs w:val="21"/>
              </w:rPr>
              <w:t>流程控制</w:t>
            </w:r>
          </w:p>
        </w:tc>
        <w:tc>
          <w:tcPr>
            <w:tcW w:w="6151" w:type="dxa"/>
            <w:noWrap/>
          </w:tcPr>
          <w:p w14:paraId="47FA18E0">
            <w:pPr>
              <w:rPr>
                <w:rFonts w:ascii="宋体" w:hAnsi="宋体"/>
                <w:color w:val="auto"/>
                <w:szCs w:val="21"/>
              </w:rPr>
            </w:pPr>
            <w:r>
              <w:rPr>
                <w:rFonts w:hint="eastAsia" w:ascii="宋体" w:hAnsi="宋体"/>
                <w:color w:val="auto"/>
                <w:szCs w:val="21"/>
              </w:rPr>
              <w:t>具有湿度探测功能，干燥全过程由控制器自动控制</w:t>
            </w:r>
          </w:p>
        </w:tc>
      </w:tr>
      <w:tr w14:paraId="6837D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2A6395D8">
            <w:pPr>
              <w:rPr>
                <w:rFonts w:ascii="宋体" w:hAnsi="宋体"/>
                <w:b/>
                <w:bCs/>
                <w:color w:val="auto"/>
                <w:szCs w:val="21"/>
              </w:rPr>
            </w:pPr>
            <w:r>
              <w:rPr>
                <w:rFonts w:hint="eastAsia" w:ascii="宋体" w:hAnsi="宋体"/>
                <w:b/>
                <w:bCs/>
                <w:color w:val="auto"/>
                <w:szCs w:val="21"/>
              </w:rPr>
              <w:t>6</w:t>
            </w:r>
          </w:p>
        </w:tc>
        <w:tc>
          <w:tcPr>
            <w:tcW w:w="2302" w:type="dxa"/>
            <w:noWrap/>
          </w:tcPr>
          <w:p w14:paraId="29A5A732">
            <w:pPr>
              <w:rPr>
                <w:rFonts w:ascii="宋体" w:hAnsi="宋体"/>
                <w:b/>
                <w:bCs/>
                <w:color w:val="auto"/>
                <w:szCs w:val="21"/>
              </w:rPr>
            </w:pPr>
            <w:r>
              <w:rPr>
                <w:rFonts w:hint="eastAsia" w:ascii="宋体" w:hAnsi="宋体"/>
                <w:b/>
                <w:bCs/>
                <w:color w:val="auto"/>
                <w:szCs w:val="21"/>
              </w:rPr>
              <w:t>整体参数</w:t>
            </w:r>
          </w:p>
        </w:tc>
        <w:tc>
          <w:tcPr>
            <w:tcW w:w="6151" w:type="dxa"/>
            <w:noWrap/>
          </w:tcPr>
          <w:p w14:paraId="532F34C6">
            <w:pPr>
              <w:rPr>
                <w:rFonts w:ascii="宋体" w:hAnsi="宋体"/>
                <w:color w:val="auto"/>
                <w:szCs w:val="21"/>
              </w:rPr>
            </w:pPr>
          </w:p>
        </w:tc>
      </w:tr>
      <w:tr w14:paraId="53CD0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439CD3F1">
            <w:pPr>
              <w:rPr>
                <w:rFonts w:ascii="宋体" w:hAnsi="宋体"/>
                <w:color w:val="auto"/>
                <w:szCs w:val="21"/>
              </w:rPr>
            </w:pPr>
            <w:r>
              <w:rPr>
                <w:rFonts w:hint="eastAsia" w:ascii="宋体" w:hAnsi="宋体"/>
                <w:color w:val="auto"/>
                <w:szCs w:val="21"/>
              </w:rPr>
              <w:t>6.1</w:t>
            </w:r>
          </w:p>
        </w:tc>
        <w:tc>
          <w:tcPr>
            <w:tcW w:w="2302" w:type="dxa"/>
            <w:noWrap/>
          </w:tcPr>
          <w:p w14:paraId="6E96C549">
            <w:pPr>
              <w:rPr>
                <w:rFonts w:ascii="宋体" w:hAnsi="宋体"/>
                <w:color w:val="auto"/>
                <w:szCs w:val="21"/>
              </w:rPr>
            </w:pPr>
            <w:r>
              <w:rPr>
                <w:rFonts w:hint="eastAsia" w:ascii="宋体" w:hAnsi="宋体"/>
                <w:color w:val="auto"/>
                <w:szCs w:val="21"/>
              </w:rPr>
              <w:t>运行时间</w:t>
            </w:r>
          </w:p>
        </w:tc>
        <w:tc>
          <w:tcPr>
            <w:tcW w:w="6151" w:type="dxa"/>
            <w:noWrap/>
          </w:tcPr>
          <w:p w14:paraId="616E64E6">
            <w:pPr>
              <w:rPr>
                <w:rFonts w:ascii="宋体" w:hAnsi="宋体"/>
                <w:color w:val="auto"/>
                <w:szCs w:val="21"/>
              </w:rPr>
            </w:pPr>
            <w:r>
              <w:rPr>
                <w:rFonts w:hint="eastAsia" w:ascii="宋体" w:hAnsi="宋体"/>
                <w:color w:val="auto"/>
                <w:szCs w:val="21"/>
              </w:rPr>
              <w:t>常规器械一个流程≤1</w:t>
            </w:r>
            <w:r>
              <w:rPr>
                <w:rFonts w:hint="eastAsia" w:ascii="宋体" w:hAnsi="宋体"/>
                <w:color w:val="auto"/>
                <w:szCs w:val="21"/>
                <w:lang w:val="en-US" w:eastAsia="zh-CN"/>
              </w:rPr>
              <w:t>5</w:t>
            </w:r>
            <w:r>
              <w:rPr>
                <w:rFonts w:hint="eastAsia" w:ascii="宋体" w:hAnsi="宋体"/>
                <w:color w:val="auto"/>
                <w:szCs w:val="21"/>
              </w:rPr>
              <w:t>min，腔镜器械一个流程≤2</w:t>
            </w:r>
            <w:r>
              <w:rPr>
                <w:rFonts w:hint="eastAsia" w:ascii="宋体" w:hAnsi="宋体"/>
                <w:color w:val="auto"/>
                <w:szCs w:val="21"/>
                <w:lang w:val="en-US" w:eastAsia="zh-CN"/>
              </w:rPr>
              <w:t>5</w:t>
            </w:r>
            <w:r>
              <w:rPr>
                <w:rFonts w:hint="eastAsia" w:ascii="宋体" w:hAnsi="宋体"/>
                <w:color w:val="auto"/>
                <w:szCs w:val="21"/>
              </w:rPr>
              <w:t>min，时间1-99min（可调）</w:t>
            </w:r>
          </w:p>
        </w:tc>
      </w:tr>
      <w:tr w14:paraId="5B726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5B068B6D">
            <w:pPr>
              <w:rPr>
                <w:rFonts w:ascii="宋体" w:hAnsi="宋体"/>
                <w:color w:val="auto"/>
                <w:szCs w:val="21"/>
              </w:rPr>
            </w:pPr>
            <w:r>
              <w:rPr>
                <w:rFonts w:hint="eastAsia" w:ascii="宋体" w:hAnsi="宋体"/>
                <w:color w:val="auto"/>
                <w:szCs w:val="21"/>
              </w:rPr>
              <w:t>6.2</w:t>
            </w:r>
          </w:p>
        </w:tc>
        <w:tc>
          <w:tcPr>
            <w:tcW w:w="2302" w:type="dxa"/>
            <w:noWrap/>
          </w:tcPr>
          <w:p w14:paraId="20B8ED01">
            <w:pPr>
              <w:rPr>
                <w:rFonts w:ascii="宋体" w:hAnsi="宋体" w:eastAsia="宋体" w:cs="宋体"/>
                <w:color w:val="auto"/>
                <w:kern w:val="2"/>
                <w:sz w:val="21"/>
                <w:szCs w:val="21"/>
                <w:lang w:val="en-US" w:eastAsia="zh-CN" w:bidi="ar-SA"/>
              </w:rPr>
            </w:pPr>
            <w:r>
              <w:rPr>
                <w:rFonts w:hint="eastAsia" w:ascii="宋体" w:hAnsi="宋体"/>
                <w:color w:val="auto"/>
                <w:szCs w:val="21"/>
              </w:rPr>
              <w:t>外形尺寸</w:t>
            </w:r>
          </w:p>
        </w:tc>
        <w:tc>
          <w:tcPr>
            <w:tcW w:w="6151" w:type="dxa"/>
            <w:noWrap/>
          </w:tcPr>
          <w:p w14:paraId="6C9600A2">
            <w:pPr>
              <w:rPr>
                <w:rFonts w:ascii="宋体" w:hAnsi="宋体" w:eastAsia="宋体" w:cs="宋体"/>
                <w:color w:val="auto"/>
                <w:kern w:val="2"/>
                <w:sz w:val="21"/>
                <w:szCs w:val="21"/>
                <w:lang w:val="en-US" w:eastAsia="zh-CN" w:bidi="ar-SA"/>
              </w:rPr>
            </w:pPr>
            <w:r>
              <w:rPr>
                <w:rFonts w:hint="eastAsia" w:ascii="宋体" w:hAnsi="宋体"/>
                <w:color w:val="auto"/>
                <w:szCs w:val="21"/>
              </w:rPr>
              <w:t>≤7</w:t>
            </w:r>
            <w:r>
              <w:rPr>
                <w:rFonts w:hint="eastAsia" w:ascii="宋体" w:hAnsi="宋体"/>
                <w:color w:val="auto"/>
                <w:szCs w:val="21"/>
                <w:lang w:val="en-US" w:eastAsia="zh-CN"/>
              </w:rPr>
              <w:t>50</w:t>
            </w:r>
            <w:r>
              <w:rPr>
                <w:rFonts w:hint="eastAsia" w:ascii="宋体" w:hAnsi="宋体"/>
                <w:color w:val="auto"/>
                <w:szCs w:val="21"/>
              </w:rPr>
              <w:t>*8</w:t>
            </w:r>
            <w:r>
              <w:rPr>
                <w:rFonts w:hint="eastAsia" w:ascii="宋体" w:hAnsi="宋体"/>
                <w:color w:val="auto"/>
                <w:szCs w:val="21"/>
                <w:lang w:val="en-US" w:eastAsia="zh-CN"/>
              </w:rPr>
              <w:t>50</w:t>
            </w:r>
            <w:r>
              <w:rPr>
                <w:rFonts w:hint="eastAsia" w:ascii="宋体" w:hAnsi="宋体"/>
                <w:color w:val="auto"/>
                <w:szCs w:val="21"/>
              </w:rPr>
              <w:t>*1</w:t>
            </w:r>
            <w:r>
              <w:rPr>
                <w:rFonts w:hint="eastAsia" w:ascii="宋体" w:hAnsi="宋体"/>
                <w:color w:val="auto"/>
                <w:szCs w:val="21"/>
                <w:lang w:val="en-US" w:eastAsia="zh-CN"/>
              </w:rPr>
              <w:t>800</w:t>
            </w:r>
            <w:r>
              <w:rPr>
                <w:rFonts w:hint="eastAsia" w:ascii="宋体" w:hAnsi="宋体"/>
                <w:color w:val="auto"/>
                <w:szCs w:val="21"/>
              </w:rPr>
              <w:t>mm （长宽高）</w:t>
            </w:r>
          </w:p>
        </w:tc>
      </w:tr>
      <w:tr w14:paraId="56ACC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24452701">
            <w:pPr>
              <w:rPr>
                <w:rFonts w:ascii="宋体" w:hAnsi="宋体"/>
                <w:color w:val="auto"/>
                <w:szCs w:val="21"/>
              </w:rPr>
            </w:pPr>
            <w:r>
              <w:rPr>
                <w:rFonts w:hint="eastAsia" w:ascii="宋体" w:hAnsi="宋体"/>
                <w:color w:val="auto"/>
                <w:szCs w:val="21"/>
              </w:rPr>
              <w:t>6.3</w:t>
            </w:r>
          </w:p>
        </w:tc>
        <w:tc>
          <w:tcPr>
            <w:tcW w:w="2302" w:type="dxa"/>
            <w:noWrap/>
          </w:tcPr>
          <w:p w14:paraId="760A208B">
            <w:pPr>
              <w:rPr>
                <w:rFonts w:ascii="宋体" w:hAnsi="宋体" w:eastAsia="宋体" w:cs="宋体"/>
                <w:color w:val="auto"/>
                <w:kern w:val="2"/>
                <w:sz w:val="21"/>
                <w:szCs w:val="21"/>
                <w:lang w:val="en-US" w:eastAsia="zh-CN" w:bidi="ar-SA"/>
              </w:rPr>
            </w:pPr>
            <w:r>
              <w:rPr>
                <w:rFonts w:hint="eastAsia" w:ascii="宋体" w:hAnsi="宋体"/>
                <w:color w:val="auto"/>
                <w:szCs w:val="21"/>
              </w:rPr>
              <w:t>舱体尺寸</w:t>
            </w:r>
          </w:p>
        </w:tc>
        <w:tc>
          <w:tcPr>
            <w:tcW w:w="6151" w:type="dxa"/>
            <w:noWrap/>
          </w:tcPr>
          <w:p w14:paraId="60C6AB3F">
            <w:pPr>
              <w:rPr>
                <w:rFonts w:ascii="宋体" w:hAnsi="宋体" w:eastAsia="宋体" w:cs="宋体"/>
                <w:color w:val="auto"/>
                <w:kern w:val="2"/>
                <w:sz w:val="21"/>
                <w:szCs w:val="21"/>
                <w:lang w:val="en-US" w:eastAsia="zh-CN" w:bidi="ar-SA"/>
              </w:rPr>
            </w:pPr>
            <w:r>
              <w:rPr>
                <w:rFonts w:hint="eastAsia" w:ascii="宋体" w:hAnsi="宋体"/>
                <w:color w:val="auto"/>
                <w:szCs w:val="21"/>
              </w:rPr>
              <w:t>≥5</w:t>
            </w:r>
            <w:r>
              <w:rPr>
                <w:rFonts w:hint="eastAsia" w:ascii="宋体" w:hAnsi="宋体"/>
                <w:color w:val="auto"/>
                <w:szCs w:val="21"/>
                <w:lang w:val="en-US" w:eastAsia="zh-CN"/>
              </w:rPr>
              <w:t>0</w:t>
            </w:r>
            <w:r>
              <w:rPr>
                <w:rFonts w:hint="eastAsia" w:ascii="宋体" w:hAnsi="宋体"/>
                <w:color w:val="auto"/>
                <w:szCs w:val="21"/>
              </w:rPr>
              <w:t>0*7</w:t>
            </w:r>
            <w:r>
              <w:rPr>
                <w:rFonts w:hint="eastAsia" w:ascii="宋体" w:hAnsi="宋体"/>
                <w:color w:val="auto"/>
                <w:szCs w:val="21"/>
                <w:lang w:val="en-US" w:eastAsia="zh-CN"/>
              </w:rPr>
              <w:t>00</w:t>
            </w:r>
            <w:r>
              <w:rPr>
                <w:rFonts w:hint="eastAsia" w:ascii="宋体" w:hAnsi="宋体"/>
                <w:color w:val="auto"/>
                <w:szCs w:val="21"/>
              </w:rPr>
              <w:t>*6</w:t>
            </w:r>
            <w:r>
              <w:rPr>
                <w:rFonts w:hint="eastAsia" w:ascii="宋体" w:hAnsi="宋体"/>
                <w:color w:val="auto"/>
                <w:szCs w:val="21"/>
                <w:lang w:val="en-US" w:eastAsia="zh-CN"/>
              </w:rPr>
              <w:t>50</w:t>
            </w:r>
            <w:r>
              <w:rPr>
                <w:rFonts w:hint="eastAsia" w:ascii="宋体" w:hAnsi="宋体"/>
                <w:color w:val="auto"/>
                <w:szCs w:val="21"/>
              </w:rPr>
              <w:t>mm（长宽高）</w:t>
            </w:r>
          </w:p>
        </w:tc>
      </w:tr>
      <w:tr w14:paraId="0B07B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48B26469">
            <w:pPr>
              <w:rPr>
                <w:rFonts w:ascii="宋体" w:hAnsi="宋体"/>
                <w:color w:val="auto"/>
                <w:szCs w:val="21"/>
              </w:rPr>
            </w:pPr>
            <w:r>
              <w:rPr>
                <w:rFonts w:hint="eastAsia" w:ascii="宋体" w:hAnsi="宋体"/>
                <w:color w:val="auto"/>
                <w:szCs w:val="21"/>
              </w:rPr>
              <w:t>6.4</w:t>
            </w:r>
          </w:p>
        </w:tc>
        <w:tc>
          <w:tcPr>
            <w:tcW w:w="2302" w:type="dxa"/>
            <w:noWrap/>
          </w:tcPr>
          <w:p w14:paraId="10EFDEAE">
            <w:pPr>
              <w:rPr>
                <w:rFonts w:ascii="宋体" w:hAnsi="宋体" w:eastAsia="宋体" w:cs="宋体"/>
                <w:color w:val="auto"/>
                <w:kern w:val="2"/>
                <w:sz w:val="21"/>
                <w:szCs w:val="21"/>
                <w:lang w:val="en-US" w:eastAsia="zh-CN" w:bidi="ar-SA"/>
              </w:rPr>
            </w:pPr>
            <w:r>
              <w:rPr>
                <w:rFonts w:hint="eastAsia" w:ascii="宋体" w:hAnsi="宋体"/>
                <w:color w:val="auto"/>
                <w:szCs w:val="21"/>
              </w:rPr>
              <w:t>干燥层</w:t>
            </w:r>
          </w:p>
        </w:tc>
        <w:tc>
          <w:tcPr>
            <w:tcW w:w="6151" w:type="dxa"/>
            <w:noWrap/>
          </w:tcPr>
          <w:p w14:paraId="31AE26ED">
            <w:pPr>
              <w:rPr>
                <w:rFonts w:ascii="宋体" w:hAnsi="宋体" w:eastAsia="宋体" w:cs="宋体"/>
                <w:color w:val="auto"/>
                <w:kern w:val="2"/>
                <w:sz w:val="21"/>
                <w:szCs w:val="21"/>
                <w:lang w:val="en-US" w:eastAsia="zh-CN" w:bidi="ar-SA"/>
              </w:rPr>
            </w:pPr>
            <w:r>
              <w:rPr>
                <w:rFonts w:hint="eastAsia" w:ascii="宋体" w:hAnsi="宋体"/>
                <w:color w:val="auto"/>
                <w:szCs w:val="21"/>
              </w:rPr>
              <w:t>≥6层/舱</w:t>
            </w:r>
          </w:p>
        </w:tc>
      </w:tr>
      <w:tr w14:paraId="53EF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4EE8BC11">
            <w:pPr>
              <w:rPr>
                <w:rFonts w:ascii="宋体" w:hAnsi="宋体"/>
                <w:color w:val="auto"/>
                <w:szCs w:val="21"/>
              </w:rPr>
            </w:pPr>
            <w:r>
              <w:rPr>
                <w:rFonts w:hint="eastAsia" w:ascii="宋体" w:hAnsi="宋体"/>
                <w:color w:val="auto"/>
                <w:szCs w:val="21"/>
              </w:rPr>
              <w:t>6.5</w:t>
            </w:r>
          </w:p>
        </w:tc>
        <w:tc>
          <w:tcPr>
            <w:tcW w:w="2302" w:type="dxa"/>
            <w:noWrap/>
          </w:tcPr>
          <w:p w14:paraId="3445209A">
            <w:pPr>
              <w:rPr>
                <w:rFonts w:ascii="宋体" w:hAnsi="宋体" w:eastAsia="宋体" w:cs="宋体"/>
                <w:color w:val="auto"/>
                <w:kern w:val="2"/>
                <w:sz w:val="21"/>
                <w:szCs w:val="21"/>
                <w:lang w:val="en-US" w:eastAsia="zh-CN" w:bidi="ar-SA"/>
              </w:rPr>
            </w:pPr>
            <w:r>
              <w:rPr>
                <w:rFonts w:hint="eastAsia" w:ascii="宋体" w:hAnsi="宋体"/>
                <w:color w:val="auto"/>
                <w:szCs w:val="21"/>
              </w:rPr>
              <w:t>干燥温度</w:t>
            </w:r>
          </w:p>
        </w:tc>
        <w:tc>
          <w:tcPr>
            <w:tcW w:w="6151" w:type="dxa"/>
            <w:noWrap/>
          </w:tcPr>
          <w:p w14:paraId="01CD606A">
            <w:pPr>
              <w:rPr>
                <w:rFonts w:ascii="宋体" w:hAnsi="宋体" w:eastAsia="宋体" w:cs="宋体"/>
                <w:color w:val="auto"/>
                <w:kern w:val="2"/>
                <w:sz w:val="21"/>
                <w:szCs w:val="21"/>
                <w:lang w:val="en-US" w:eastAsia="zh-CN" w:bidi="ar-SA"/>
              </w:rPr>
            </w:pPr>
            <w:r>
              <w:rPr>
                <w:rFonts w:hint="eastAsia"/>
                <w:lang w:val="en-US" w:eastAsia="zh-CN"/>
              </w:rPr>
              <w:t>温度可调，最高干燥温度可达120</w:t>
            </w:r>
            <w:r>
              <w:rPr>
                <w:rFonts w:hint="eastAsia" w:ascii="宋体" w:hAnsi="宋体"/>
                <w:color w:val="auto"/>
                <w:szCs w:val="21"/>
              </w:rPr>
              <w:t>℃</w:t>
            </w:r>
          </w:p>
        </w:tc>
      </w:tr>
      <w:tr w14:paraId="6F96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766686B1">
            <w:pPr>
              <w:rPr>
                <w:rFonts w:ascii="宋体" w:hAnsi="宋体"/>
                <w:color w:val="auto"/>
                <w:szCs w:val="21"/>
              </w:rPr>
            </w:pPr>
            <w:r>
              <w:rPr>
                <w:rFonts w:hint="eastAsia" w:ascii="仿宋" w:hAnsi="仿宋" w:eastAsia="仿宋" w:cs="仿宋"/>
                <w:b/>
                <w:bCs/>
                <w:color w:val="000000"/>
                <w:sz w:val="24"/>
                <w:highlight w:val="none"/>
              </w:rPr>
              <w:t>★</w:t>
            </w:r>
            <w:r>
              <w:rPr>
                <w:rFonts w:hint="eastAsia" w:ascii="宋体" w:hAnsi="宋体"/>
                <w:color w:val="auto"/>
                <w:szCs w:val="21"/>
              </w:rPr>
              <w:t>6.6</w:t>
            </w:r>
          </w:p>
        </w:tc>
        <w:tc>
          <w:tcPr>
            <w:tcW w:w="2302" w:type="dxa"/>
            <w:noWrap/>
          </w:tcPr>
          <w:p w14:paraId="20B0D245">
            <w:pPr>
              <w:rPr>
                <w:rFonts w:hint="eastAsia" w:ascii="宋体" w:hAnsi="宋体" w:eastAsia="宋体" w:cs="宋体"/>
                <w:color w:val="auto"/>
                <w:kern w:val="2"/>
                <w:sz w:val="21"/>
                <w:szCs w:val="21"/>
                <w:lang w:val="en-US" w:eastAsia="zh-CN" w:bidi="ar-SA"/>
              </w:rPr>
            </w:pPr>
            <w:r>
              <w:rPr>
                <w:rFonts w:hint="eastAsia" w:ascii="宋体" w:hAnsi="宋体"/>
                <w:color w:val="auto"/>
                <w:szCs w:val="21"/>
                <w:lang w:eastAsia="zh-CN"/>
              </w:rPr>
              <w:t>干燥方式</w:t>
            </w:r>
          </w:p>
        </w:tc>
        <w:tc>
          <w:tcPr>
            <w:tcW w:w="6151" w:type="dxa"/>
            <w:noWrap/>
          </w:tcPr>
          <w:p w14:paraId="59A06773">
            <w:pPr>
              <w:rPr>
                <w:rFonts w:hint="eastAsia" w:ascii="宋体" w:hAnsi="宋体" w:eastAsia="宋体" w:cs="宋体"/>
                <w:color w:val="auto"/>
                <w:kern w:val="2"/>
                <w:sz w:val="21"/>
                <w:szCs w:val="21"/>
                <w:lang w:val="en-US" w:eastAsia="zh-CN" w:bidi="ar-SA"/>
              </w:rPr>
            </w:pPr>
            <w:r>
              <w:rPr>
                <w:rFonts w:hint="eastAsia" w:ascii="宋体" w:hAnsi="宋体"/>
                <w:color w:val="auto"/>
                <w:szCs w:val="21"/>
                <w:lang w:eastAsia="zh-CN"/>
              </w:rPr>
              <w:t>低温干燥和高温干燥两种干燥方式</w:t>
            </w:r>
          </w:p>
        </w:tc>
      </w:tr>
      <w:tr w14:paraId="6669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77541CFD">
            <w:pPr>
              <w:rPr>
                <w:rFonts w:ascii="宋体" w:hAnsi="宋体"/>
                <w:color w:val="auto"/>
                <w:szCs w:val="21"/>
              </w:rPr>
            </w:pPr>
            <w:r>
              <w:rPr>
                <w:rFonts w:hint="eastAsia" w:ascii="宋体" w:hAnsi="宋体"/>
                <w:color w:val="auto"/>
                <w:szCs w:val="21"/>
              </w:rPr>
              <w:t>6.7</w:t>
            </w:r>
          </w:p>
        </w:tc>
        <w:tc>
          <w:tcPr>
            <w:tcW w:w="2302" w:type="dxa"/>
            <w:noWrap/>
          </w:tcPr>
          <w:p w14:paraId="358270C3">
            <w:pPr>
              <w:rPr>
                <w:rFonts w:ascii="宋体" w:hAnsi="宋体" w:eastAsia="宋体" w:cs="宋体"/>
                <w:color w:val="auto"/>
                <w:kern w:val="2"/>
                <w:sz w:val="21"/>
                <w:szCs w:val="21"/>
                <w:lang w:val="en-US" w:eastAsia="zh-CN" w:bidi="ar-SA"/>
              </w:rPr>
            </w:pPr>
            <w:r>
              <w:rPr>
                <w:rFonts w:hint="eastAsia" w:ascii="宋体" w:hAnsi="宋体"/>
                <w:color w:val="auto"/>
                <w:szCs w:val="21"/>
              </w:rPr>
              <w:t>加热方式</w:t>
            </w:r>
          </w:p>
        </w:tc>
        <w:tc>
          <w:tcPr>
            <w:tcW w:w="6151" w:type="dxa"/>
            <w:noWrap/>
          </w:tcPr>
          <w:p w14:paraId="445D926D">
            <w:pPr>
              <w:rPr>
                <w:rFonts w:ascii="宋体" w:hAnsi="宋体" w:eastAsia="宋体" w:cs="宋体"/>
                <w:color w:val="auto"/>
                <w:kern w:val="2"/>
                <w:sz w:val="21"/>
                <w:szCs w:val="21"/>
                <w:lang w:val="en-US" w:eastAsia="zh-CN" w:bidi="ar-SA"/>
              </w:rPr>
            </w:pPr>
            <w:r>
              <w:rPr>
                <w:rFonts w:hint="eastAsia" w:ascii="宋体" w:hAnsi="宋体"/>
                <w:color w:val="auto"/>
                <w:szCs w:val="21"/>
              </w:rPr>
              <w:t>电加热</w:t>
            </w:r>
          </w:p>
        </w:tc>
      </w:tr>
      <w:tr w14:paraId="7B4C9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285" w:type="dxa"/>
            <w:noWrap/>
          </w:tcPr>
          <w:p w14:paraId="586F4951">
            <w:pPr>
              <w:rPr>
                <w:rFonts w:hint="eastAsia" w:ascii="宋体" w:hAnsi="宋体" w:eastAsia="宋体" w:cs="宋体"/>
                <w:color w:val="auto"/>
                <w:kern w:val="2"/>
                <w:sz w:val="21"/>
                <w:szCs w:val="21"/>
                <w:lang w:val="en-US" w:eastAsia="zh-CN" w:bidi="ar-SA"/>
              </w:rPr>
            </w:pPr>
            <w:r>
              <w:rPr>
                <w:rFonts w:hint="eastAsia" w:ascii="宋体" w:hAnsi="宋体"/>
                <w:color w:val="auto"/>
                <w:szCs w:val="21"/>
              </w:rPr>
              <w:t>6.8</w:t>
            </w:r>
          </w:p>
        </w:tc>
        <w:tc>
          <w:tcPr>
            <w:tcW w:w="2302" w:type="dxa"/>
            <w:noWrap/>
          </w:tcPr>
          <w:p w14:paraId="34671537">
            <w:pPr>
              <w:rPr>
                <w:rFonts w:hint="eastAsia" w:ascii="宋体" w:hAnsi="宋体" w:eastAsia="宋体" w:cs="宋体"/>
                <w:color w:val="auto"/>
                <w:kern w:val="2"/>
                <w:sz w:val="21"/>
                <w:szCs w:val="21"/>
                <w:lang w:val="en-US" w:eastAsia="zh-CN" w:bidi="ar-SA"/>
              </w:rPr>
            </w:pPr>
            <w:r>
              <w:rPr>
                <w:rFonts w:hint="eastAsia" w:ascii="宋体" w:hAnsi="宋体"/>
                <w:color w:val="auto"/>
                <w:szCs w:val="21"/>
              </w:rPr>
              <w:t>加热功率</w:t>
            </w:r>
          </w:p>
        </w:tc>
        <w:tc>
          <w:tcPr>
            <w:tcW w:w="6151" w:type="dxa"/>
            <w:noWrap/>
          </w:tcPr>
          <w:p w14:paraId="6E5F6396">
            <w:pPr>
              <w:rPr>
                <w:rFonts w:hint="eastAsia" w:ascii="宋体" w:hAnsi="宋体" w:eastAsia="宋体" w:cs="宋体"/>
                <w:color w:val="auto"/>
                <w:kern w:val="2"/>
                <w:sz w:val="21"/>
                <w:szCs w:val="21"/>
                <w:lang w:val="en-US" w:eastAsia="zh-CN" w:bidi="ar-SA"/>
              </w:rPr>
            </w:pPr>
            <w:r>
              <w:rPr>
                <w:rFonts w:hint="eastAsia" w:ascii="宋体" w:hAnsi="宋体"/>
                <w:color w:val="auto"/>
                <w:szCs w:val="21"/>
              </w:rPr>
              <w:t>≥</w:t>
            </w:r>
            <w:r>
              <w:rPr>
                <w:rFonts w:hint="eastAsia" w:ascii="宋体" w:hAnsi="宋体"/>
                <w:color w:val="auto"/>
                <w:szCs w:val="21"/>
                <w:lang w:val="en-US" w:eastAsia="zh-CN"/>
              </w:rPr>
              <w:t>9</w:t>
            </w:r>
            <w:r>
              <w:rPr>
                <w:rFonts w:hint="eastAsia" w:ascii="宋体" w:hAnsi="宋体"/>
                <w:color w:val="auto"/>
                <w:szCs w:val="21"/>
              </w:rPr>
              <w:t>KW</w:t>
            </w:r>
          </w:p>
        </w:tc>
      </w:tr>
      <w:tr w14:paraId="4585D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1D528620">
            <w:pPr>
              <w:rPr>
                <w:rFonts w:ascii="宋体" w:hAnsi="宋体" w:eastAsia="宋体" w:cs="宋体"/>
                <w:color w:val="auto"/>
                <w:kern w:val="2"/>
                <w:sz w:val="21"/>
                <w:szCs w:val="21"/>
                <w:lang w:val="en-US" w:eastAsia="zh-CN" w:bidi="ar-SA"/>
              </w:rPr>
            </w:pPr>
            <w:r>
              <w:rPr>
                <w:rFonts w:hint="eastAsia" w:ascii="宋体" w:hAnsi="宋体"/>
                <w:color w:val="auto"/>
                <w:szCs w:val="21"/>
              </w:rPr>
              <w:t>6.9</w:t>
            </w:r>
          </w:p>
        </w:tc>
        <w:tc>
          <w:tcPr>
            <w:tcW w:w="2302" w:type="dxa"/>
            <w:noWrap/>
          </w:tcPr>
          <w:p w14:paraId="07BB46BD">
            <w:pPr>
              <w:rPr>
                <w:rFonts w:ascii="宋体" w:hAnsi="宋体" w:eastAsia="宋体" w:cs="宋体"/>
                <w:color w:val="auto"/>
                <w:kern w:val="2"/>
                <w:sz w:val="21"/>
                <w:szCs w:val="21"/>
                <w:lang w:val="en-US" w:eastAsia="zh-CN" w:bidi="ar-SA"/>
              </w:rPr>
            </w:pPr>
            <w:r>
              <w:rPr>
                <w:rFonts w:hint="eastAsia" w:ascii="宋体" w:hAnsi="宋体"/>
                <w:color w:val="auto"/>
                <w:szCs w:val="21"/>
              </w:rPr>
              <w:t>总功率</w:t>
            </w:r>
          </w:p>
        </w:tc>
        <w:tc>
          <w:tcPr>
            <w:tcW w:w="6151" w:type="dxa"/>
            <w:noWrap/>
          </w:tcPr>
          <w:p w14:paraId="0C858D1D">
            <w:pPr>
              <w:rPr>
                <w:rFonts w:ascii="宋体" w:hAnsi="宋体" w:eastAsia="宋体" w:cs="宋体"/>
                <w:color w:val="auto"/>
                <w:kern w:val="2"/>
                <w:sz w:val="21"/>
                <w:szCs w:val="21"/>
                <w:lang w:val="en-US" w:eastAsia="zh-CN" w:bidi="ar-SA"/>
              </w:rPr>
            </w:pPr>
            <w:r>
              <w:rPr>
                <w:rFonts w:hint="eastAsia" w:ascii="宋体" w:hAnsi="宋体"/>
                <w:color w:val="auto"/>
                <w:szCs w:val="21"/>
              </w:rPr>
              <w:t>≤</w:t>
            </w:r>
            <w:r>
              <w:rPr>
                <w:rFonts w:hint="eastAsia" w:ascii="宋体" w:hAnsi="宋体"/>
                <w:color w:val="auto"/>
                <w:szCs w:val="21"/>
                <w:lang w:val="en-US" w:eastAsia="zh-CN"/>
              </w:rPr>
              <w:t>13</w:t>
            </w:r>
            <w:r>
              <w:rPr>
                <w:rFonts w:hint="eastAsia" w:ascii="宋体" w:hAnsi="宋体"/>
                <w:color w:val="auto"/>
                <w:szCs w:val="21"/>
              </w:rPr>
              <w:t>KW</w:t>
            </w:r>
          </w:p>
        </w:tc>
      </w:tr>
      <w:tr w14:paraId="779FC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85" w:type="dxa"/>
            <w:noWrap/>
          </w:tcPr>
          <w:p w14:paraId="23B1F6E7">
            <w:pPr>
              <w:rPr>
                <w:rFonts w:ascii="宋体" w:hAnsi="宋体" w:eastAsia="宋体" w:cs="宋体"/>
                <w:color w:val="auto"/>
                <w:kern w:val="2"/>
                <w:sz w:val="21"/>
                <w:szCs w:val="21"/>
                <w:lang w:val="en-US" w:eastAsia="zh-CN" w:bidi="ar-SA"/>
              </w:rPr>
            </w:pPr>
            <w:r>
              <w:rPr>
                <w:rFonts w:hint="eastAsia" w:ascii="宋体" w:hAnsi="宋体"/>
                <w:color w:val="auto"/>
                <w:szCs w:val="21"/>
              </w:rPr>
              <w:t>6.10</w:t>
            </w:r>
          </w:p>
        </w:tc>
        <w:tc>
          <w:tcPr>
            <w:tcW w:w="2302" w:type="dxa"/>
            <w:noWrap/>
          </w:tcPr>
          <w:p w14:paraId="754F4974">
            <w:pPr>
              <w:rPr>
                <w:rFonts w:ascii="宋体" w:hAnsi="宋体" w:eastAsia="宋体" w:cs="宋体"/>
                <w:color w:val="auto"/>
                <w:kern w:val="2"/>
                <w:sz w:val="21"/>
                <w:szCs w:val="21"/>
                <w:lang w:val="en-US" w:eastAsia="zh-CN" w:bidi="ar-SA"/>
              </w:rPr>
            </w:pPr>
            <w:r>
              <w:rPr>
                <w:rFonts w:hint="eastAsia" w:ascii="宋体" w:hAnsi="宋体"/>
                <w:color w:val="auto"/>
                <w:szCs w:val="21"/>
              </w:rPr>
              <w:t>使用寿命</w:t>
            </w:r>
          </w:p>
        </w:tc>
        <w:tc>
          <w:tcPr>
            <w:tcW w:w="6151" w:type="dxa"/>
            <w:noWrap/>
          </w:tcPr>
          <w:p w14:paraId="0DE7150F">
            <w:pPr>
              <w:rPr>
                <w:rFonts w:ascii="宋体" w:hAnsi="宋体" w:eastAsia="宋体" w:cs="宋体"/>
                <w:color w:val="auto"/>
                <w:kern w:val="2"/>
                <w:sz w:val="21"/>
                <w:szCs w:val="21"/>
                <w:lang w:val="en-US" w:eastAsia="zh-CN" w:bidi="ar-SA"/>
              </w:rPr>
            </w:pPr>
            <w:r>
              <w:rPr>
                <w:rFonts w:hint="eastAsia" w:ascii="宋体" w:hAnsi="宋体"/>
                <w:color w:val="auto"/>
                <w:szCs w:val="21"/>
              </w:rPr>
              <w:t>10年</w:t>
            </w:r>
          </w:p>
        </w:tc>
      </w:tr>
    </w:tbl>
    <w:p w14:paraId="09F69D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cs="宋体"/>
          <w:b/>
          <w:sz w:val="24"/>
          <w:szCs w:val="24"/>
          <w:highlight w:val="none"/>
          <w:lang w:val="en-US" w:eastAsia="zh-CN"/>
        </w:rPr>
      </w:pPr>
    </w:p>
    <w:p w14:paraId="32AA75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宋体" w:hAnsi="宋体" w:cs="宋体"/>
          <w:b/>
          <w:sz w:val="24"/>
          <w:szCs w:val="24"/>
          <w:highlight w:val="none"/>
          <w:lang w:val="en-US" w:eastAsia="zh-CN"/>
        </w:rPr>
      </w:pPr>
      <w:r>
        <w:rPr>
          <w:rFonts w:hint="eastAsia" w:ascii="宋体" w:hAnsi="宋体" w:cs="宋体"/>
          <w:b/>
          <w:sz w:val="24"/>
          <w:szCs w:val="24"/>
          <w:highlight w:val="none"/>
          <w:lang w:val="en-US" w:eastAsia="zh-CN"/>
        </w:rPr>
        <w:t>四、配置清单：主机 1台、托架12个</w:t>
      </w:r>
    </w:p>
    <w:p w14:paraId="424283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b/>
          <w:bCs/>
          <w:sz w:val="24"/>
          <w:szCs w:val="18"/>
          <w:highlight w:val="none"/>
        </w:rPr>
      </w:pPr>
      <w:r>
        <w:rPr>
          <w:rFonts w:hint="eastAsia" w:ascii="宋体" w:hAnsi="宋体"/>
          <w:b/>
          <w:bCs/>
          <w:sz w:val="24"/>
          <w:szCs w:val="18"/>
          <w:highlight w:val="none"/>
          <w:lang w:val="en-US" w:eastAsia="zh-CN"/>
        </w:rPr>
        <w:t>五</w:t>
      </w:r>
      <w:r>
        <w:rPr>
          <w:rFonts w:hint="eastAsia" w:ascii="宋体" w:hAnsi="宋体"/>
          <w:b/>
          <w:bCs/>
          <w:sz w:val="24"/>
          <w:szCs w:val="18"/>
          <w:highlight w:val="none"/>
        </w:rPr>
        <w:t>、其他要求</w:t>
      </w:r>
    </w:p>
    <w:p w14:paraId="5D9D2C86">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b/>
          <w:bCs/>
          <w:color w:val="000000"/>
          <w:sz w:val="24"/>
          <w:szCs w:val="24"/>
          <w:highlight w:val="none"/>
        </w:rPr>
      </w:pPr>
      <w:r>
        <w:rPr>
          <w:rFonts w:hint="eastAsia" w:ascii="宋体" w:hAnsi="宋体" w:cs="宋体"/>
          <w:b w:val="0"/>
          <w:bCs w:val="0"/>
          <w:color w:val="000000"/>
          <w:sz w:val="24"/>
          <w:szCs w:val="24"/>
          <w:highlight w:val="none"/>
          <w:lang w:val="en-US" w:eastAsia="zh-CN"/>
        </w:rPr>
        <w:t>1.</w:t>
      </w:r>
      <w:r>
        <w:rPr>
          <w:rFonts w:ascii="宋体" w:hAnsi="宋体" w:eastAsia="宋体" w:cs="宋体"/>
          <w:b w:val="0"/>
          <w:bCs w:val="0"/>
          <w:color w:val="000000"/>
          <w:sz w:val="24"/>
          <w:szCs w:val="24"/>
          <w:highlight w:val="none"/>
        </w:rPr>
        <w:t>整机原厂</w:t>
      </w:r>
      <w:r>
        <w:rPr>
          <w:rFonts w:hint="eastAsia" w:ascii="宋体" w:hAnsi="宋体" w:cs="宋体"/>
          <w:b w:val="0"/>
          <w:bCs w:val="0"/>
          <w:color w:val="000000"/>
          <w:sz w:val="24"/>
          <w:szCs w:val="24"/>
          <w:highlight w:val="none"/>
          <w:lang w:val="en-US" w:eastAsia="zh-CN"/>
        </w:rPr>
        <w:t>质保5年</w:t>
      </w:r>
      <w:r>
        <w:rPr>
          <w:rFonts w:ascii="宋体" w:hAnsi="宋体" w:eastAsia="宋体" w:cs="宋体"/>
          <w:b w:val="0"/>
          <w:bCs w:val="0"/>
          <w:color w:val="000000"/>
          <w:sz w:val="24"/>
          <w:szCs w:val="24"/>
          <w:highlight w:val="none"/>
        </w:rPr>
        <w:t>，保修期自设备安装完毕，双方签署本次集中采购统一格式的验收报告后开始计算。保修期间要确保系统的正常运行，提供周期维护保养（PM）≥4 次，保修期内保证在接到设备故障报修通知后，维修工程师</w:t>
      </w:r>
      <w:r>
        <w:rPr>
          <w:rFonts w:hint="eastAsia" w:ascii="宋体" w:hAnsi="宋体" w:cs="宋体"/>
          <w:b w:val="0"/>
          <w:bCs w:val="0"/>
          <w:color w:val="000000"/>
          <w:sz w:val="24"/>
          <w:szCs w:val="24"/>
          <w:highlight w:val="none"/>
          <w:lang w:val="en-US" w:eastAsia="zh-CN"/>
        </w:rPr>
        <w:t>1</w:t>
      </w:r>
      <w:r>
        <w:rPr>
          <w:rFonts w:ascii="宋体" w:hAnsi="宋体" w:eastAsia="宋体" w:cs="宋体"/>
          <w:b w:val="0"/>
          <w:bCs w:val="0"/>
          <w:color w:val="000000"/>
          <w:sz w:val="24"/>
          <w:szCs w:val="24"/>
          <w:highlight w:val="none"/>
        </w:rPr>
        <w:t>小时内响应，24小时内到达现场检修，保修期内外（包括休息日和节假日） 均能派出维修工程师到达现场维修</w:t>
      </w:r>
      <w:r>
        <w:rPr>
          <w:rFonts w:hint="eastAsia" w:ascii="宋体" w:hAnsi="宋体" w:cs="宋体"/>
          <w:b w:val="0"/>
          <w:bCs w:val="0"/>
          <w:color w:val="000000"/>
          <w:sz w:val="24"/>
          <w:szCs w:val="24"/>
          <w:highlight w:val="none"/>
          <w:lang w:eastAsia="zh-CN"/>
        </w:rPr>
        <w:t>，如在3天内无法修复</w:t>
      </w:r>
      <w:r>
        <w:rPr>
          <w:rFonts w:hint="eastAsia" w:ascii="宋体" w:hAnsi="宋体" w:cs="宋体"/>
          <w:b w:val="0"/>
          <w:bCs w:val="0"/>
          <w:color w:val="000000"/>
          <w:sz w:val="24"/>
          <w:szCs w:val="24"/>
          <w:highlight w:val="none"/>
          <w:lang w:val="en-US" w:eastAsia="zh-CN"/>
        </w:rPr>
        <w:t>机器</w:t>
      </w:r>
      <w:r>
        <w:rPr>
          <w:rFonts w:hint="eastAsia" w:ascii="宋体" w:hAnsi="宋体" w:cs="宋体"/>
          <w:b w:val="0"/>
          <w:bCs w:val="0"/>
          <w:color w:val="000000"/>
          <w:sz w:val="24"/>
          <w:szCs w:val="24"/>
          <w:highlight w:val="none"/>
          <w:lang w:eastAsia="zh-CN"/>
        </w:rPr>
        <w:t>提供与该设备相同的备用机</w:t>
      </w:r>
      <w:r>
        <w:rPr>
          <w:rFonts w:ascii="宋体" w:hAnsi="宋体" w:eastAsia="宋体" w:cs="宋体"/>
          <w:b w:val="0"/>
          <w:bCs w:val="0"/>
          <w:color w:val="000000"/>
          <w:sz w:val="24"/>
          <w:szCs w:val="24"/>
          <w:highlight w:val="none"/>
        </w:rPr>
        <w:t>。</w:t>
      </w:r>
      <w:r>
        <w:rPr>
          <w:rFonts w:ascii="宋体" w:hAnsi="宋体" w:eastAsia="宋体" w:cs="宋体"/>
          <w:b/>
          <w:bCs/>
          <w:color w:val="000000"/>
          <w:sz w:val="24"/>
          <w:szCs w:val="24"/>
          <w:highlight w:val="none"/>
        </w:rPr>
        <w:t>投标人在投标文件中承诺中标后提供由制造商针对设备整机加盖制造商公章的售后服务承诺书，承诺书涵盖以上内容。如未能提供，则采购人有权解除合同，并上报监管部门，且中标人须承担由此产生的一切责任。</w:t>
      </w:r>
    </w:p>
    <w:p w14:paraId="145F892A">
      <w:pPr>
        <w:pStyle w:val="7"/>
        <w:keepNext w:val="0"/>
        <w:keepLines w:val="0"/>
        <w:pageBreakBefore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2.备品备件供货与价格：备件保证为原厂备件，备件价格不高于市场价。</w:t>
      </w:r>
    </w:p>
    <w:p w14:paraId="58767E8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18"/>
          <w:highlight w:val="none"/>
        </w:rPr>
      </w:pPr>
      <w:r>
        <w:rPr>
          <w:rFonts w:hint="eastAsia" w:ascii="宋体" w:hAnsi="宋体"/>
          <w:sz w:val="24"/>
          <w:szCs w:val="18"/>
          <w:highlight w:val="none"/>
          <w:lang w:val="en-US" w:eastAsia="zh-CN"/>
        </w:rPr>
        <w:t>3.</w:t>
      </w:r>
      <w:r>
        <w:rPr>
          <w:rFonts w:hint="eastAsia" w:ascii="宋体" w:hAnsi="宋体"/>
          <w:sz w:val="24"/>
          <w:szCs w:val="18"/>
          <w:highlight w:val="none"/>
        </w:rPr>
        <w:t>对采购人的技术操作人员、设备科管理人员进行分期分批（不少于3 次）的正规的整套设备操作、维修、检测等内容的技术培训。提供操作说明书（含中英文）及维修说明书，并提供专用维修工具1套。（费用包含在投标总价中）</w:t>
      </w:r>
    </w:p>
    <w:p w14:paraId="3FDE7E8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18"/>
          <w:highlight w:val="none"/>
        </w:rPr>
      </w:pPr>
      <w:r>
        <w:rPr>
          <w:rFonts w:hint="eastAsia" w:ascii="宋体" w:hAnsi="宋体"/>
          <w:sz w:val="24"/>
          <w:szCs w:val="18"/>
          <w:highlight w:val="none"/>
          <w:lang w:val="en-US" w:eastAsia="zh-CN"/>
        </w:rPr>
        <w:t>4.</w:t>
      </w:r>
      <w:r>
        <w:rPr>
          <w:rFonts w:hint="eastAsia" w:ascii="宋体" w:hAnsi="宋体"/>
          <w:sz w:val="24"/>
          <w:szCs w:val="18"/>
          <w:highlight w:val="none"/>
        </w:rPr>
        <w:t>与医院在用信息系统实现互联互通（如产生第三方对接开发费用，由中标人负责），包含在总价内。</w:t>
      </w:r>
    </w:p>
    <w:p w14:paraId="4917CFC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18"/>
          <w:highlight w:val="none"/>
        </w:rPr>
      </w:pPr>
      <w:r>
        <w:rPr>
          <w:rFonts w:hint="eastAsia" w:ascii="宋体" w:hAnsi="宋体"/>
          <w:sz w:val="24"/>
          <w:szCs w:val="18"/>
          <w:highlight w:val="none"/>
          <w:lang w:val="en-US" w:eastAsia="zh-CN"/>
        </w:rPr>
        <w:t>5.</w:t>
      </w:r>
      <w:r>
        <w:rPr>
          <w:rFonts w:hint="eastAsia" w:ascii="宋体" w:hAnsi="宋体" w:eastAsia="宋体"/>
          <w:sz w:val="24"/>
          <w:szCs w:val="18"/>
          <w:highlight w:val="none"/>
        </w:rPr>
        <w:t>投标人须承诺具备并提供</w:t>
      </w:r>
      <w:r>
        <w:rPr>
          <w:rFonts w:hint="eastAsia" w:ascii="宋体" w:hAnsi="宋体"/>
          <w:sz w:val="24"/>
          <w:szCs w:val="18"/>
          <w:highlight w:val="none"/>
          <w:lang w:val="en-US" w:eastAsia="zh-CN"/>
        </w:rPr>
        <w:t>上述</w:t>
      </w:r>
      <w:r>
        <w:rPr>
          <w:rFonts w:hint="eastAsia" w:ascii="宋体" w:hAnsi="宋体" w:eastAsia="宋体"/>
          <w:sz w:val="24"/>
          <w:szCs w:val="18"/>
          <w:highlight w:val="none"/>
          <w:lang w:val="en-US" w:eastAsia="zh-CN"/>
        </w:rPr>
        <w:t>采购需求</w:t>
      </w:r>
      <w:r>
        <w:rPr>
          <w:rFonts w:hint="eastAsia" w:ascii="宋体" w:hAnsi="宋体"/>
          <w:sz w:val="24"/>
          <w:szCs w:val="18"/>
          <w:highlight w:val="none"/>
          <w:lang w:val="en-US" w:eastAsia="zh-CN"/>
        </w:rPr>
        <w:t>中</w:t>
      </w:r>
      <w:r>
        <w:rPr>
          <w:rFonts w:hint="eastAsia" w:ascii="宋体" w:hAnsi="宋体" w:eastAsia="宋体"/>
          <w:sz w:val="24"/>
          <w:szCs w:val="18"/>
          <w:highlight w:val="none"/>
          <w:lang w:val="en-US" w:eastAsia="zh-CN"/>
        </w:rPr>
        <w:t>《四、配置清单》中的全部</w:t>
      </w:r>
      <w:r>
        <w:rPr>
          <w:rFonts w:hint="eastAsia" w:ascii="宋体" w:hAnsi="宋体" w:eastAsia="宋体"/>
          <w:sz w:val="24"/>
          <w:szCs w:val="18"/>
          <w:highlight w:val="none"/>
        </w:rPr>
        <w:t>内容。</w:t>
      </w:r>
    </w:p>
    <w:p w14:paraId="53F29754">
      <w:pPr>
        <w:pStyle w:val="6"/>
        <w:keepNext w:val="0"/>
        <w:keepLines w:val="0"/>
        <w:pageBreakBefore w:val="0"/>
        <w:widowControl w:val="0"/>
        <w:kinsoku/>
        <w:wordWrap/>
        <w:overflowPunct/>
        <w:topLinePunct w:val="0"/>
        <w:autoSpaceDE/>
        <w:autoSpaceDN/>
        <w:bidi w:val="0"/>
        <w:adjustRightInd/>
        <w:snapToGrid w:val="0"/>
        <w:ind w:left="-23" w:firstLine="480" w:firstLineChars="200"/>
        <w:textAlignment w:val="auto"/>
        <w:rPr>
          <w:rFonts w:hint="eastAsia" w:ascii="宋体" w:hAnsi="宋体" w:eastAsia="宋体" w:cs="Times New Roman"/>
          <w:color w:val="auto"/>
          <w:kern w:val="2"/>
          <w:sz w:val="24"/>
          <w:szCs w:val="22"/>
          <w:highlight w:val="none"/>
          <w:lang w:val="en-US" w:eastAsia="zh-CN" w:bidi="ar-SA"/>
        </w:rPr>
      </w:pPr>
      <w:r>
        <w:rPr>
          <w:rFonts w:hint="eastAsia" w:ascii="宋体" w:hAnsi="宋体" w:eastAsia="宋体" w:cs="Times New Roman"/>
          <w:color w:val="auto"/>
          <w:kern w:val="2"/>
          <w:sz w:val="24"/>
          <w:szCs w:val="22"/>
          <w:highlight w:val="none"/>
          <w:lang w:val="en-US" w:eastAsia="zh-CN" w:bidi="ar-SA"/>
        </w:rPr>
        <w:t>6.本项目范围内所有旧设备拆除作业、配套辅材、人工、清运等全部工作内容与相关费用，均计入投标总价</w:t>
      </w:r>
      <w:r>
        <w:rPr>
          <w:rFonts w:hint="eastAsia" w:hAnsi="宋体" w:cs="Times New Roman"/>
          <w:color w:val="auto"/>
          <w:kern w:val="2"/>
          <w:sz w:val="24"/>
          <w:szCs w:val="22"/>
          <w:highlight w:val="none"/>
          <w:lang w:val="en-US" w:eastAsia="zh-CN" w:bidi="ar-SA"/>
        </w:rPr>
        <w:t>。</w:t>
      </w:r>
    </w:p>
    <w:p w14:paraId="13DFBC5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18"/>
          <w:highlight w:val="none"/>
        </w:rPr>
      </w:pPr>
      <w:r>
        <w:rPr>
          <w:rFonts w:hint="eastAsia" w:ascii="宋体" w:hAnsi="宋体"/>
          <w:sz w:val="24"/>
          <w:highlight w:val="none"/>
          <w:lang w:val="en-US" w:eastAsia="zh-CN"/>
        </w:rPr>
        <w:t>7.</w:t>
      </w:r>
      <w:r>
        <w:rPr>
          <w:rFonts w:hint="eastAsia" w:ascii="宋体" w:hAnsi="宋体"/>
          <w:sz w:val="24"/>
          <w:highlight w:val="none"/>
        </w:rPr>
        <w:t>中标后，按照投标人所投技术参数验收，如有虚假应标，无偿退货，</w:t>
      </w:r>
      <w:r>
        <w:rPr>
          <w:rFonts w:ascii="宋体" w:hAnsi="宋体"/>
          <w:sz w:val="24"/>
          <w:highlight w:val="none"/>
        </w:rPr>
        <w:t>采购人有权解除合同，并上报监管部门，且中标人须承担由此产生的一切责任。</w:t>
      </w:r>
    </w:p>
    <w:p w14:paraId="6E4F4476">
      <w:pPr>
        <w:pStyle w:val="41"/>
        <w:numPr>
          <w:ilvl w:val="0"/>
          <w:numId w:val="0"/>
        </w:numPr>
        <w:ind w:leftChars="0"/>
        <w:rPr>
          <w:rFonts w:hint="eastAsia" w:ascii="宋体" w:hAnsi="宋体" w:eastAsia="宋体" w:cs="宋体"/>
          <w:color w:val="000000" w:themeColor="text1"/>
          <w:sz w:val="24"/>
          <w:szCs w:val="24"/>
          <w14:textFill>
            <w14:solidFill>
              <w14:schemeClr w14:val="tx1"/>
            </w14:solidFill>
          </w14:textFill>
        </w:rPr>
      </w:pPr>
    </w:p>
    <w:p w14:paraId="7BD7A38D">
      <w:pPr>
        <w:pStyle w:val="6"/>
        <w:rPr>
          <w:rFonts w:hint="eastAsia" w:ascii="宋体" w:hAnsi="宋体" w:cs="宋体"/>
          <w:b/>
          <w:strike w:val="0"/>
          <w:dstrike w:val="0"/>
          <w:sz w:val="32"/>
          <w:szCs w:val="32"/>
          <w:u w:val="double"/>
          <w:lang w:val="en-US" w:eastAsia="zh-CN"/>
        </w:rPr>
        <w:sectPr>
          <w:footerReference r:id="rId10" w:type="default"/>
          <w:footnotePr>
            <w:numFmt w:val="decimalEnclosedCircleChinese"/>
            <w:numRestart w:val="eachPage"/>
          </w:footnotePr>
          <w:pgSz w:w="11906" w:h="16838"/>
          <w:pgMar w:top="1134" w:right="1134" w:bottom="1134" w:left="1134" w:header="851" w:footer="851" w:gutter="0"/>
          <w:pgNumType w:fmt="decimal"/>
          <w:cols w:space="720" w:num="1"/>
          <w:docGrid w:linePitch="286" w:charSpace="0"/>
        </w:sectPr>
      </w:pPr>
      <w:r>
        <w:rPr>
          <w:rFonts w:hint="default" w:ascii="宋体" w:hAnsi="宋体" w:eastAsia="宋体" w:cs="宋体"/>
          <w:b/>
          <w:strike w:val="0"/>
          <w:dstrike w:val="0"/>
          <w:sz w:val="32"/>
          <w:szCs w:val="32"/>
          <w:u w:val="double"/>
          <w:lang w:val="en-US" w:eastAsia="zh-CN"/>
        </w:rPr>
        <w:t>注：上述其他要求条款必须全部满足并按要求承诺，否则作无效标处理</w:t>
      </w:r>
      <w:r>
        <w:rPr>
          <w:rFonts w:hint="eastAsia" w:ascii="宋体" w:hAnsi="宋体" w:cs="宋体"/>
          <w:b/>
          <w:strike w:val="0"/>
          <w:dstrike w:val="0"/>
          <w:sz w:val="32"/>
          <w:szCs w:val="32"/>
          <w:u w:val="double"/>
          <w:lang w:val="en-US" w:eastAsia="zh-CN"/>
        </w:rPr>
        <w:t>。</w:t>
      </w:r>
    </w:p>
    <w:p w14:paraId="0C4F6315">
      <w:pPr>
        <w:numPr>
          <w:ilvl w:val="0"/>
          <w:numId w:val="0"/>
        </w:numPr>
        <w:spacing w:line="360" w:lineRule="auto"/>
        <w:outlineLvl w:val="1"/>
        <w:rPr>
          <w:rFonts w:hint="eastAsia" w:ascii="宋体" w:hAnsi="宋体" w:cs="宋体"/>
          <w:b/>
          <w:bCs/>
          <w:szCs w:val="21"/>
          <w:highlight w:val="none"/>
        </w:rPr>
      </w:pPr>
      <w:r>
        <w:rPr>
          <w:rFonts w:hint="eastAsia" w:ascii="宋体" w:hAnsi="宋体" w:eastAsia="宋体" w:cs="宋体"/>
          <w:b/>
          <w:bCs/>
          <w:color w:val="auto"/>
          <w:kern w:val="2"/>
          <w:sz w:val="28"/>
          <w:szCs w:val="28"/>
          <w:lang w:val="en-US" w:eastAsia="zh-CN" w:bidi="ar-SA"/>
        </w:rPr>
        <w:t>第四包：磁场刺激仪、盆底生物刺激反馈仪、生物反馈神经肌肉刺激治疗工作站</w:t>
      </w:r>
      <w:r>
        <w:rPr>
          <w:rFonts w:hint="eastAsia" w:ascii="宋体" w:hAnsi="宋体" w:eastAsia="宋体" w:cs="宋体"/>
          <w:b/>
          <w:bCs/>
          <w:color w:val="auto"/>
          <w:kern w:val="2"/>
          <w:sz w:val="28"/>
          <w:szCs w:val="28"/>
          <w:lang w:val="en-US" w:eastAsia="zh-CN" w:bidi="ar-SA"/>
        </w:rPr>
        <w:br w:type="textWrapping"/>
      </w:r>
      <w:r>
        <w:rPr>
          <w:rFonts w:hint="eastAsia" w:ascii="宋体" w:hAnsi="宋体" w:eastAsia="宋体" w:cs="宋体"/>
          <w:b/>
          <w:bCs/>
          <w:kern w:val="2"/>
          <w:sz w:val="24"/>
          <w:szCs w:val="24"/>
          <w:highlight w:val="none"/>
          <w:lang w:val="en-US" w:eastAsia="zh-CN" w:bidi="ar-SA"/>
        </w:rPr>
        <w:t>一、采购需求前附表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2319"/>
        <w:gridCol w:w="6617"/>
      </w:tblGrid>
      <w:tr w14:paraId="0687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noWrap w:val="0"/>
            <w:vAlign w:val="center"/>
          </w:tcPr>
          <w:p w14:paraId="1A286998">
            <w:pPr>
              <w:spacing w:line="360" w:lineRule="auto"/>
              <w:jc w:val="center"/>
              <w:rPr>
                <w:rFonts w:hint="eastAsia" w:ascii="宋体" w:hAnsi="宋体"/>
                <w:b/>
                <w:szCs w:val="21"/>
                <w:highlight w:val="none"/>
              </w:rPr>
            </w:pPr>
            <w:r>
              <w:rPr>
                <w:rFonts w:hint="eastAsia" w:ascii="宋体" w:hAnsi="宋体"/>
                <w:b/>
                <w:szCs w:val="21"/>
                <w:highlight w:val="none"/>
              </w:rPr>
              <w:t>序号</w:t>
            </w:r>
          </w:p>
        </w:tc>
        <w:tc>
          <w:tcPr>
            <w:tcW w:w="1176" w:type="pct"/>
            <w:noWrap w:val="0"/>
            <w:vAlign w:val="center"/>
          </w:tcPr>
          <w:p w14:paraId="4BFF9C5B">
            <w:pPr>
              <w:spacing w:line="360" w:lineRule="auto"/>
              <w:jc w:val="center"/>
              <w:rPr>
                <w:rFonts w:hint="eastAsia"/>
                <w:b/>
                <w:szCs w:val="21"/>
                <w:highlight w:val="none"/>
              </w:rPr>
            </w:pPr>
            <w:r>
              <w:rPr>
                <w:rFonts w:hint="eastAsia" w:ascii="宋体" w:hAnsi="宋体"/>
                <w:b/>
                <w:szCs w:val="21"/>
                <w:highlight w:val="none"/>
              </w:rPr>
              <w:t>条款名称</w:t>
            </w:r>
          </w:p>
        </w:tc>
        <w:tc>
          <w:tcPr>
            <w:tcW w:w="3356" w:type="pct"/>
            <w:noWrap w:val="0"/>
            <w:vAlign w:val="center"/>
          </w:tcPr>
          <w:p w14:paraId="680EE183">
            <w:pPr>
              <w:spacing w:line="360" w:lineRule="auto"/>
              <w:jc w:val="center"/>
              <w:rPr>
                <w:rFonts w:hint="eastAsia"/>
                <w:b/>
                <w:szCs w:val="21"/>
                <w:highlight w:val="none"/>
              </w:rPr>
            </w:pPr>
            <w:r>
              <w:rPr>
                <w:rFonts w:hint="eastAsia"/>
                <w:b/>
                <w:szCs w:val="21"/>
                <w:highlight w:val="none"/>
              </w:rPr>
              <w:t>内容、说明与要求</w:t>
            </w:r>
          </w:p>
        </w:tc>
      </w:tr>
      <w:tr w14:paraId="1918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62F9F88A">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rPr>
              <w:t>1</w:t>
            </w:r>
          </w:p>
        </w:tc>
        <w:tc>
          <w:tcPr>
            <w:tcW w:w="0" w:type="auto"/>
            <w:shd w:val="clear" w:color="auto" w:fill="auto"/>
            <w:vAlign w:val="center"/>
          </w:tcPr>
          <w:p w14:paraId="21757EE7">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sz w:val="24"/>
                <w:highlight w:val="none"/>
              </w:rPr>
              <w:t>付款方式</w:t>
            </w:r>
          </w:p>
        </w:tc>
        <w:tc>
          <w:tcPr>
            <w:tcW w:w="0" w:type="auto"/>
            <w:shd w:val="clear" w:color="auto" w:fill="auto"/>
            <w:vAlign w:val="center"/>
          </w:tcPr>
          <w:p w14:paraId="555CCC37">
            <w:pPr>
              <w:pStyle w:val="39"/>
              <w:widowControl w:val="0"/>
              <w:spacing w:before="0" w:beforeAutospacing="0" w:after="0" w:afterAutospacing="0" w:line="360" w:lineRule="auto"/>
              <w:jc w:val="both"/>
              <w:rPr>
                <w:rFonts w:hint="eastAsia" w:ascii="宋体" w:hAnsi="宋体" w:eastAsia="宋体" w:cs="Times New Roman"/>
                <w:b w:val="0"/>
                <w:bCs/>
                <w:color w:val="auto"/>
                <w:kern w:val="0"/>
                <w:sz w:val="24"/>
                <w:szCs w:val="28"/>
                <w:highlight w:val="none"/>
                <w:u w:val="single"/>
                <w:lang w:val="en-US" w:eastAsia="zh-CN" w:bidi="ar-SA"/>
              </w:rPr>
            </w:pPr>
            <w:r>
              <w:rPr>
                <w:rFonts w:hint="eastAsia" w:ascii="宋体" w:hAnsi="宋体" w:eastAsia="宋体"/>
                <w:b w:val="0"/>
                <w:sz w:val="24"/>
                <w:highlight w:val="none"/>
                <w:lang w:val="en-US" w:eastAsia="zh-CN"/>
              </w:rPr>
              <w:t>本项目</w:t>
            </w:r>
            <w:r>
              <w:rPr>
                <w:rFonts w:hint="eastAsia" w:ascii="宋体" w:hAnsi="宋体" w:eastAsia="宋体"/>
                <w:b w:val="0"/>
                <w:sz w:val="24"/>
                <w:highlight w:val="none"/>
              </w:rPr>
              <w:t>货到安装验收合格，提供产品的使用、操作及维修人员的培训，并能独立操作且使用部门签字确认后，采购人支付全部货款</w:t>
            </w:r>
            <w:r>
              <w:rPr>
                <w:rFonts w:hint="eastAsia" w:ascii="宋体" w:hAnsi="宋体" w:eastAsia="宋体"/>
                <w:b w:val="0"/>
                <w:sz w:val="24"/>
                <w:highlight w:val="none"/>
                <w:lang w:eastAsia="zh-CN"/>
              </w:rPr>
              <w:t>。</w:t>
            </w:r>
          </w:p>
        </w:tc>
      </w:tr>
      <w:tr w14:paraId="1547D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18A7792D">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rPr>
              <w:t>2</w:t>
            </w:r>
          </w:p>
        </w:tc>
        <w:tc>
          <w:tcPr>
            <w:tcW w:w="0" w:type="auto"/>
            <w:shd w:val="clear" w:color="auto" w:fill="auto"/>
            <w:vAlign w:val="center"/>
          </w:tcPr>
          <w:p w14:paraId="4A4B47D1">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sz w:val="24"/>
                <w:highlight w:val="none"/>
              </w:rPr>
              <w:t>供货及安装地点</w:t>
            </w:r>
          </w:p>
        </w:tc>
        <w:tc>
          <w:tcPr>
            <w:tcW w:w="0" w:type="auto"/>
            <w:shd w:val="clear" w:color="auto" w:fill="auto"/>
            <w:vAlign w:val="center"/>
          </w:tcPr>
          <w:p w14:paraId="16128431">
            <w:pPr>
              <w:pStyle w:val="39"/>
              <w:widowControl w:val="0"/>
              <w:spacing w:before="0" w:beforeAutospacing="0" w:after="0" w:afterAutospacing="0" w:line="360" w:lineRule="auto"/>
              <w:jc w:val="both"/>
              <w:rPr>
                <w:rFonts w:hint="default" w:ascii="宋体" w:hAnsi="宋体" w:eastAsia="宋体" w:cs="Times New Roman"/>
                <w:b w:val="0"/>
                <w:bCs/>
                <w:color w:val="auto"/>
                <w:kern w:val="0"/>
                <w:sz w:val="24"/>
                <w:szCs w:val="28"/>
                <w:highlight w:val="none"/>
                <w:lang w:val="en-US" w:eastAsia="zh-CN" w:bidi="ar-SA"/>
              </w:rPr>
            </w:pPr>
            <w:r>
              <w:rPr>
                <w:rFonts w:hint="eastAsia" w:cs="Times New Roman"/>
                <w:b w:val="0"/>
                <w:bCs/>
                <w:color w:val="auto"/>
                <w:kern w:val="0"/>
                <w:sz w:val="24"/>
                <w:szCs w:val="28"/>
                <w:highlight w:val="none"/>
                <w:lang w:val="en-US" w:eastAsia="zh-CN" w:bidi="ar-SA"/>
              </w:rPr>
              <w:t>安徽省第二人民医院嘉山路、胜利路社区卫生服务中心1楼</w:t>
            </w:r>
          </w:p>
        </w:tc>
      </w:tr>
      <w:tr w14:paraId="2D2D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5815BA51">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rPr>
              <w:t>3</w:t>
            </w:r>
          </w:p>
        </w:tc>
        <w:tc>
          <w:tcPr>
            <w:tcW w:w="0" w:type="auto"/>
            <w:shd w:val="clear" w:color="auto" w:fill="auto"/>
            <w:vAlign w:val="center"/>
          </w:tcPr>
          <w:p w14:paraId="3280F6A2">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sz w:val="24"/>
                <w:highlight w:val="none"/>
              </w:rPr>
              <w:t>供货及安装期限</w:t>
            </w:r>
          </w:p>
        </w:tc>
        <w:tc>
          <w:tcPr>
            <w:tcW w:w="0" w:type="auto"/>
            <w:shd w:val="clear" w:color="auto" w:fill="auto"/>
            <w:vAlign w:val="center"/>
          </w:tcPr>
          <w:p w14:paraId="69CC96FE">
            <w:pPr>
              <w:pStyle w:val="39"/>
              <w:widowControl w:val="0"/>
              <w:spacing w:before="0" w:beforeAutospacing="0" w:after="0" w:afterAutospacing="0" w:line="360" w:lineRule="auto"/>
              <w:jc w:val="both"/>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cs="Times New Roman"/>
                <w:b w:val="0"/>
                <w:bCs/>
                <w:color w:val="auto"/>
                <w:kern w:val="0"/>
                <w:sz w:val="24"/>
                <w:szCs w:val="28"/>
                <w:highlight w:val="none"/>
                <w:lang w:val="en-US" w:eastAsia="zh-CN" w:bidi="ar-SA"/>
              </w:rPr>
              <w:t>合同签订后，接采购人书面通知后30个日历天内完成交货、安装、调试等工作。</w:t>
            </w:r>
          </w:p>
        </w:tc>
      </w:tr>
      <w:tr w14:paraId="24BD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411DCD44">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rPr>
              <w:t>4</w:t>
            </w:r>
          </w:p>
        </w:tc>
        <w:tc>
          <w:tcPr>
            <w:tcW w:w="0" w:type="auto"/>
            <w:shd w:val="clear" w:color="auto" w:fill="auto"/>
            <w:vAlign w:val="center"/>
          </w:tcPr>
          <w:p w14:paraId="1C077C05">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sz w:val="24"/>
                <w:highlight w:val="none"/>
              </w:rPr>
              <w:t>免费质保期</w:t>
            </w:r>
          </w:p>
        </w:tc>
        <w:tc>
          <w:tcPr>
            <w:tcW w:w="0" w:type="auto"/>
            <w:shd w:val="clear" w:color="auto" w:fill="auto"/>
            <w:vAlign w:val="center"/>
          </w:tcPr>
          <w:p w14:paraId="08BBB4E8">
            <w:pPr>
              <w:keepNext w:val="0"/>
              <w:keepLines w:val="0"/>
              <w:widowControl/>
              <w:suppressLineNumbers w:val="0"/>
              <w:jc w:val="left"/>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cs="Times New Roman"/>
                <w:b w:val="0"/>
                <w:bCs/>
                <w:color w:val="auto"/>
                <w:kern w:val="0"/>
                <w:sz w:val="24"/>
                <w:szCs w:val="28"/>
                <w:highlight w:val="none"/>
                <w:lang w:val="en-US" w:eastAsia="zh-CN" w:bidi="ar-SA"/>
              </w:rPr>
              <w:t>自验收合格之日起整</w:t>
            </w:r>
            <w:r>
              <w:rPr>
                <w:rFonts w:hint="eastAsia" w:cs="Times New Roman"/>
                <w:b w:val="0"/>
                <w:bCs/>
                <w:color w:val="auto"/>
                <w:kern w:val="0"/>
                <w:sz w:val="24"/>
                <w:szCs w:val="28"/>
                <w:highlight w:val="none"/>
                <w:lang w:val="en-US" w:eastAsia="zh-CN" w:bidi="ar-SA"/>
              </w:rPr>
              <w:t>机</w:t>
            </w:r>
            <w:r>
              <w:rPr>
                <w:rFonts w:hint="eastAsia" w:ascii="宋体" w:hAnsi="宋体" w:eastAsia="宋体" w:cs="Times New Roman"/>
                <w:b w:val="0"/>
                <w:bCs/>
                <w:color w:val="auto"/>
                <w:kern w:val="0"/>
                <w:sz w:val="24"/>
                <w:szCs w:val="28"/>
                <w:highlight w:val="none"/>
                <w:lang w:val="en-US" w:eastAsia="zh-CN" w:bidi="ar-SA"/>
              </w:rPr>
              <w:t>（含所有投标提供的配套附件</w:t>
            </w:r>
            <w:r>
              <w:rPr>
                <w:rFonts w:hint="eastAsia" w:ascii="宋体" w:hAnsi="宋体" w:cs="Times New Roman"/>
                <w:b w:val="0"/>
                <w:bCs/>
                <w:color w:val="auto"/>
                <w:kern w:val="0"/>
                <w:sz w:val="24"/>
                <w:szCs w:val="28"/>
                <w:highlight w:val="none"/>
                <w:lang w:val="en-US" w:eastAsia="zh-CN" w:bidi="ar-SA"/>
              </w:rPr>
              <w:t>，</w:t>
            </w:r>
            <w:r>
              <w:rPr>
                <w:rFonts w:hint="eastAsia" w:ascii="宋体" w:hAnsi="宋体" w:eastAsia="宋体" w:cs="Times New Roman"/>
                <w:b w:val="0"/>
                <w:bCs/>
                <w:color w:val="auto"/>
                <w:kern w:val="0"/>
                <w:sz w:val="24"/>
                <w:szCs w:val="28"/>
                <w:highlight w:val="none"/>
                <w:lang w:val="en-US" w:eastAsia="zh-CN" w:bidi="ar-SA"/>
              </w:rPr>
              <w:t>原厂辅助设备和其他品牌辅助设备）原厂质保</w:t>
            </w:r>
            <w:r>
              <w:rPr>
                <w:rFonts w:hint="eastAsia" w:cs="Times New Roman"/>
                <w:b w:val="0"/>
                <w:bCs/>
                <w:color w:val="auto"/>
                <w:kern w:val="0"/>
                <w:sz w:val="24"/>
                <w:szCs w:val="28"/>
                <w:highlight w:val="none"/>
                <w:lang w:val="en-US" w:eastAsia="zh-CN" w:bidi="ar-SA"/>
              </w:rPr>
              <w:t>5</w:t>
            </w:r>
            <w:r>
              <w:rPr>
                <w:rFonts w:hint="eastAsia" w:ascii="宋体" w:hAnsi="宋体" w:eastAsia="宋体" w:cs="Times New Roman"/>
                <w:b w:val="0"/>
                <w:bCs/>
                <w:color w:val="auto"/>
                <w:kern w:val="0"/>
                <w:sz w:val="24"/>
                <w:szCs w:val="28"/>
                <w:highlight w:val="none"/>
                <w:lang w:val="en-US" w:eastAsia="zh-CN" w:bidi="ar-SA"/>
              </w:rPr>
              <w:t>年。</w:t>
            </w:r>
          </w:p>
        </w:tc>
      </w:tr>
      <w:tr w14:paraId="29BB7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0" w:type="auto"/>
            <w:shd w:val="clear" w:color="auto" w:fill="auto"/>
            <w:vAlign w:val="center"/>
          </w:tcPr>
          <w:p w14:paraId="5144EE9A">
            <w:pPr>
              <w:pStyle w:val="34"/>
              <w:pBdr>
                <w:bottom w:val="none" w:color="auto" w:sz="0" w:space="0"/>
              </w:pBdr>
              <w:tabs>
                <w:tab w:val="clear" w:pos="4153"/>
                <w:tab w:val="clear" w:pos="8306"/>
              </w:tabs>
              <w:adjustRightInd/>
              <w:spacing w:line="240" w:lineRule="auto"/>
              <w:textAlignment w:val="auto"/>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bCs/>
                <w:color w:val="auto"/>
                <w:kern w:val="2"/>
                <w:highlight w:val="none"/>
                <w:lang w:val="en-US" w:eastAsia="zh-CN"/>
              </w:rPr>
              <w:t>5</w:t>
            </w:r>
          </w:p>
        </w:tc>
        <w:tc>
          <w:tcPr>
            <w:tcW w:w="0" w:type="auto"/>
            <w:shd w:val="clear" w:color="auto" w:fill="auto"/>
            <w:vAlign w:val="center"/>
          </w:tcPr>
          <w:p w14:paraId="678EF49B">
            <w:pPr>
              <w:pStyle w:val="39"/>
              <w:widowControl w:val="0"/>
              <w:spacing w:before="0" w:beforeAutospacing="0" w:after="0" w:afterAutospacing="0" w:line="360" w:lineRule="auto"/>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color w:val="auto"/>
                <w:sz w:val="24"/>
                <w:highlight w:val="none"/>
                <w:lang w:val="en-US" w:eastAsia="zh-CN"/>
              </w:rPr>
              <w:t>医疗器械注册证（或医疗器械备案材料）</w:t>
            </w:r>
          </w:p>
        </w:tc>
        <w:tc>
          <w:tcPr>
            <w:tcW w:w="0" w:type="auto"/>
            <w:shd w:val="clear" w:color="auto" w:fill="auto"/>
            <w:vAlign w:val="center"/>
          </w:tcPr>
          <w:p w14:paraId="687BDFAA">
            <w:pPr>
              <w:pStyle w:val="39"/>
              <w:widowControl w:val="0"/>
              <w:spacing w:before="0" w:beforeAutospacing="0" w:after="0" w:afterAutospacing="0" w:line="360" w:lineRule="auto"/>
              <w:jc w:val="both"/>
              <w:rPr>
                <w:rFonts w:hint="eastAsia" w:ascii="宋体" w:hAnsi="宋体" w:eastAsia="宋体" w:cs="Times New Roman"/>
                <w:b w:val="0"/>
                <w:bCs/>
                <w:color w:val="auto"/>
                <w:kern w:val="0"/>
                <w:sz w:val="24"/>
                <w:szCs w:val="28"/>
                <w:highlight w:val="none"/>
                <w:lang w:val="en-US" w:eastAsia="zh-CN" w:bidi="ar-SA"/>
              </w:rPr>
            </w:pPr>
            <w:r>
              <w:rPr>
                <w:rFonts w:hint="eastAsia" w:ascii="宋体" w:hAnsi="宋体" w:eastAsia="宋体"/>
                <w:b w:val="0"/>
                <w:color w:val="auto"/>
                <w:sz w:val="24"/>
                <w:highlight w:val="none"/>
              </w:rPr>
              <w:t>投标产品须具有有效的医疗器械注册证（属于二类、三类时）；投标产品纳入备案管理时（属于一类时），须在投标文件中提供备案材料或承诺函（承诺在合同签订前提供所投产品的备案证明材料，若未按规定提供视为自动放弃中标资格）。</w:t>
            </w:r>
          </w:p>
        </w:tc>
      </w:tr>
    </w:tbl>
    <w:p w14:paraId="23E23EC2">
      <w:pPr>
        <w:pStyle w:val="18"/>
        <w:rPr>
          <w:rFonts w:hint="eastAsia" w:ascii="宋体" w:hAnsi="宋体" w:eastAsia="宋体" w:cs="Times New Roman"/>
          <w:b w:val="0"/>
          <w:bCs/>
          <w:smallCaps w:val="0"/>
          <w:color w:val="auto"/>
          <w:kern w:val="0"/>
          <w:sz w:val="24"/>
          <w:szCs w:val="28"/>
          <w:highlight w:val="none"/>
          <w:lang w:val="en-US" w:eastAsia="zh-CN" w:bidi="ar-SA"/>
        </w:rPr>
      </w:pPr>
    </w:p>
    <w:p w14:paraId="410CA382">
      <w:pPr>
        <w:spacing w:line="360" w:lineRule="auto"/>
        <w:rPr>
          <w:rFonts w:hint="eastAsia" w:ascii="宋体" w:hAnsi="宋体" w:eastAsia="宋体" w:cs="宋体"/>
          <w:b/>
          <w:bCs/>
          <w:kern w:val="2"/>
          <w:sz w:val="21"/>
          <w:szCs w:val="21"/>
          <w:highlight w:val="none"/>
          <w:lang w:val="en-US" w:eastAsia="zh-CN" w:bidi="ar-SA"/>
        </w:rPr>
      </w:pPr>
      <w:r>
        <w:rPr>
          <w:rFonts w:hint="eastAsia" w:ascii="宋体" w:hAnsi="宋体" w:eastAsia="宋体" w:cs="Times New Roman"/>
          <w:b w:val="0"/>
          <w:bCs/>
          <w:smallCaps w:val="0"/>
          <w:color w:val="auto"/>
          <w:kern w:val="0"/>
          <w:sz w:val="24"/>
          <w:szCs w:val="28"/>
          <w:highlight w:val="none"/>
          <w:lang w:val="en-US" w:eastAsia="zh-CN" w:bidi="ar-SA"/>
        </w:rPr>
        <w:t>注：上述商务条款必须全部满足，否则作无效标处理。</w:t>
      </w:r>
    </w:p>
    <w:p w14:paraId="393FCD7B">
      <w:pPr>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二、</w:t>
      </w:r>
      <w:r>
        <w:rPr>
          <w:rFonts w:hint="eastAsia" w:ascii="宋体" w:hAnsi="宋体" w:eastAsia="宋体" w:cs="宋体"/>
          <w:b/>
          <w:sz w:val="24"/>
          <w:szCs w:val="24"/>
          <w:highlight w:val="none"/>
        </w:rPr>
        <w:t>货物</w:t>
      </w:r>
      <w:r>
        <w:rPr>
          <w:rFonts w:hint="eastAsia" w:ascii="宋体" w:hAnsi="宋体" w:eastAsia="宋体" w:cs="宋体"/>
          <w:b/>
          <w:bCs/>
          <w:sz w:val="24"/>
          <w:szCs w:val="24"/>
          <w:highlight w:val="none"/>
        </w:rPr>
        <w:t>需求</w:t>
      </w:r>
      <w:r>
        <w:rPr>
          <w:rFonts w:hint="eastAsia" w:ascii="宋体" w:hAnsi="宋体" w:eastAsia="宋体" w:cs="宋体"/>
          <w:b/>
          <w:bCs/>
          <w:sz w:val="24"/>
          <w:szCs w:val="24"/>
          <w:highlight w:val="none"/>
          <w:lang w:val="en-US" w:eastAsia="zh-CN"/>
        </w:rPr>
        <w:t>一览表</w:t>
      </w:r>
    </w:p>
    <w:tbl>
      <w:tblPr>
        <w:tblStyle w:val="23"/>
        <w:tblW w:w="42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7"/>
        <w:gridCol w:w="1715"/>
        <w:gridCol w:w="2209"/>
        <w:gridCol w:w="1264"/>
        <w:gridCol w:w="1081"/>
      </w:tblGrid>
      <w:tr w14:paraId="7E81E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266" w:type="pct"/>
            <w:noWrap w:val="0"/>
            <w:vAlign w:val="center"/>
          </w:tcPr>
          <w:p w14:paraId="178C4BA1">
            <w:pPr>
              <w:widowControl/>
              <w:jc w:val="center"/>
              <w:rPr>
                <w:rFonts w:hint="default" w:ascii="宋体" w:hAnsi="宋体" w:eastAsia="宋体" w:cs="宋体"/>
                <w:b/>
                <w:bCs/>
                <w:snapToGrid w:val="0"/>
                <w:color w:val="000000"/>
                <w:kern w:val="0"/>
                <w:szCs w:val="21"/>
                <w:highlight w:val="none"/>
                <w:lang w:val="en-US" w:eastAsia="zh-CN" w:bidi="ar"/>
              </w:rPr>
            </w:pPr>
            <w:r>
              <w:rPr>
                <w:rFonts w:hint="eastAsia" w:ascii="宋体" w:hAnsi="宋体" w:cs="宋体"/>
                <w:b/>
                <w:bCs/>
                <w:snapToGrid w:val="0"/>
                <w:color w:val="000000"/>
                <w:kern w:val="0"/>
                <w:szCs w:val="21"/>
                <w:highlight w:val="none"/>
                <w:lang w:val="en-US" w:eastAsia="zh-CN" w:bidi="ar"/>
              </w:rPr>
              <w:t>货物名称</w:t>
            </w:r>
          </w:p>
        </w:tc>
        <w:tc>
          <w:tcPr>
            <w:tcW w:w="1021" w:type="pct"/>
            <w:noWrap w:val="0"/>
            <w:vAlign w:val="center"/>
          </w:tcPr>
          <w:p w14:paraId="31415118">
            <w:pPr>
              <w:widowControl/>
              <w:jc w:val="center"/>
              <w:rPr>
                <w:rFonts w:hint="eastAsia" w:ascii="宋体" w:hAnsi="宋体" w:cs="宋体"/>
                <w:b/>
                <w:bCs/>
                <w:snapToGrid w:val="0"/>
                <w:color w:val="000000"/>
                <w:kern w:val="0"/>
                <w:szCs w:val="21"/>
                <w:highlight w:val="none"/>
                <w:lang w:bidi="ar"/>
              </w:rPr>
            </w:pPr>
            <w:r>
              <w:rPr>
                <w:rFonts w:hint="eastAsia" w:ascii="宋体" w:hAnsi="宋体" w:cs="宋体"/>
                <w:b/>
                <w:bCs/>
                <w:snapToGrid w:val="0"/>
                <w:color w:val="000000"/>
                <w:kern w:val="0"/>
                <w:szCs w:val="21"/>
                <w:highlight w:val="none"/>
                <w:lang w:val="en-US" w:eastAsia="zh-CN" w:bidi="ar"/>
              </w:rPr>
              <w:t>数量（单位）</w:t>
            </w:r>
          </w:p>
        </w:tc>
        <w:tc>
          <w:tcPr>
            <w:tcW w:w="1315" w:type="pct"/>
            <w:noWrap w:val="0"/>
            <w:vAlign w:val="center"/>
          </w:tcPr>
          <w:p w14:paraId="59F8DC8F">
            <w:pPr>
              <w:widowControl/>
              <w:jc w:val="center"/>
              <w:rPr>
                <w:rFonts w:hint="default" w:ascii="宋体" w:hAnsi="宋体" w:cs="宋体"/>
                <w:b/>
                <w:bCs/>
                <w:snapToGrid w:val="0"/>
                <w:color w:val="000000"/>
                <w:kern w:val="0"/>
                <w:szCs w:val="21"/>
                <w:highlight w:val="none"/>
                <w:lang w:val="en-US" w:eastAsia="zh-CN" w:bidi="ar"/>
              </w:rPr>
            </w:pPr>
            <w:r>
              <w:rPr>
                <w:rFonts w:hint="eastAsia" w:ascii="宋体" w:hAnsi="宋体" w:eastAsia="宋体" w:cs="宋体"/>
                <w:b/>
                <w:bCs/>
                <w:snapToGrid w:val="0"/>
                <w:color w:val="000000"/>
                <w:kern w:val="0"/>
                <w:szCs w:val="21"/>
                <w:highlight w:val="none"/>
                <w:lang w:val="en-US" w:eastAsia="zh-CN" w:bidi="ar"/>
              </w:rPr>
              <w:t>最高限价（万元</w:t>
            </w:r>
            <w:r>
              <w:rPr>
                <w:rFonts w:hint="eastAsia" w:ascii="宋体" w:hAnsi="宋体" w:cs="宋体"/>
                <w:b/>
                <w:bCs/>
                <w:snapToGrid w:val="0"/>
                <w:color w:val="000000"/>
                <w:kern w:val="0"/>
                <w:szCs w:val="21"/>
                <w:highlight w:val="none"/>
                <w:lang w:val="en-US" w:eastAsia="zh-CN" w:bidi="ar"/>
              </w:rPr>
              <w:t>/套</w:t>
            </w:r>
            <w:r>
              <w:rPr>
                <w:rFonts w:hint="eastAsia" w:ascii="宋体" w:hAnsi="宋体" w:eastAsia="宋体" w:cs="宋体"/>
                <w:b/>
                <w:bCs/>
                <w:snapToGrid w:val="0"/>
                <w:color w:val="000000"/>
                <w:kern w:val="0"/>
                <w:szCs w:val="21"/>
                <w:highlight w:val="none"/>
                <w:lang w:val="en-US" w:eastAsia="zh-CN" w:bidi="ar"/>
              </w:rPr>
              <w:t>）</w:t>
            </w:r>
          </w:p>
        </w:tc>
        <w:tc>
          <w:tcPr>
            <w:tcW w:w="752" w:type="pct"/>
            <w:noWrap w:val="0"/>
            <w:vAlign w:val="center"/>
          </w:tcPr>
          <w:p w14:paraId="1F09EB80">
            <w:pPr>
              <w:widowControl/>
              <w:jc w:val="center"/>
              <w:rPr>
                <w:rFonts w:hint="eastAsia" w:ascii="宋体" w:hAnsi="宋体" w:cs="宋体"/>
                <w:b/>
                <w:bCs/>
                <w:snapToGrid w:val="0"/>
                <w:color w:val="000000"/>
                <w:kern w:val="0"/>
                <w:szCs w:val="21"/>
                <w:highlight w:val="none"/>
                <w:lang w:bidi="ar"/>
              </w:rPr>
            </w:pPr>
            <w:r>
              <w:rPr>
                <w:rFonts w:hint="eastAsia" w:ascii="宋体" w:hAnsi="宋体" w:cs="宋体"/>
                <w:b/>
                <w:bCs/>
                <w:snapToGrid w:val="0"/>
                <w:color w:val="000000"/>
                <w:kern w:val="0"/>
                <w:szCs w:val="21"/>
                <w:highlight w:val="none"/>
                <w:lang w:val="en-US" w:eastAsia="zh-CN" w:bidi="ar"/>
              </w:rPr>
              <w:t>所属行业</w:t>
            </w:r>
          </w:p>
        </w:tc>
        <w:tc>
          <w:tcPr>
            <w:tcW w:w="643" w:type="pct"/>
            <w:noWrap w:val="0"/>
            <w:vAlign w:val="center"/>
          </w:tcPr>
          <w:p w14:paraId="202006F9">
            <w:pPr>
              <w:widowControl/>
              <w:jc w:val="center"/>
              <w:rPr>
                <w:rFonts w:hint="eastAsia" w:ascii="宋体" w:hAnsi="宋体" w:cs="宋体"/>
                <w:b/>
                <w:bCs/>
                <w:snapToGrid w:val="0"/>
                <w:color w:val="000000"/>
                <w:kern w:val="0"/>
                <w:szCs w:val="21"/>
                <w:highlight w:val="none"/>
                <w:lang w:bidi="ar"/>
              </w:rPr>
            </w:pPr>
            <w:r>
              <w:rPr>
                <w:rFonts w:hint="eastAsia" w:ascii="宋体" w:hAnsi="宋体" w:cs="宋体"/>
                <w:b/>
                <w:bCs/>
                <w:snapToGrid w:val="0"/>
                <w:color w:val="000000"/>
                <w:kern w:val="0"/>
                <w:szCs w:val="21"/>
                <w:highlight w:val="none"/>
                <w:lang w:val="en-US" w:eastAsia="zh-CN" w:bidi="ar"/>
              </w:rPr>
              <w:t>备注</w:t>
            </w:r>
          </w:p>
        </w:tc>
      </w:tr>
      <w:tr w14:paraId="1470A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266" w:type="pct"/>
            <w:noWrap w:val="0"/>
            <w:vAlign w:val="center"/>
          </w:tcPr>
          <w:p w14:paraId="45CBF688">
            <w:pPr>
              <w:spacing w:line="360"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▲磁场刺激仪</w:t>
            </w:r>
          </w:p>
        </w:tc>
        <w:tc>
          <w:tcPr>
            <w:tcW w:w="1021" w:type="pct"/>
            <w:noWrap w:val="0"/>
            <w:vAlign w:val="center"/>
          </w:tcPr>
          <w:p w14:paraId="396AF5C8">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1（套）</w:t>
            </w:r>
          </w:p>
        </w:tc>
        <w:tc>
          <w:tcPr>
            <w:tcW w:w="1315" w:type="pct"/>
            <w:noWrap w:val="0"/>
            <w:vAlign w:val="center"/>
          </w:tcPr>
          <w:p w14:paraId="14E47EDD">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18.5</w:t>
            </w:r>
            <w:r>
              <w:rPr>
                <w:rFonts w:hint="eastAsia" w:ascii="宋体" w:hAnsi="宋体" w:eastAsia="宋体" w:cs="宋体"/>
                <w:szCs w:val="21"/>
                <w:highlight w:val="none"/>
                <w:lang w:val="en-US" w:eastAsia="zh-CN"/>
              </w:rPr>
              <w:t>万元/</w:t>
            </w:r>
            <w:r>
              <w:rPr>
                <w:rFonts w:hint="eastAsia" w:ascii="宋体" w:hAnsi="宋体" w:cs="宋体"/>
                <w:szCs w:val="21"/>
                <w:highlight w:val="none"/>
                <w:lang w:val="en-US" w:eastAsia="zh-CN"/>
              </w:rPr>
              <w:t>套</w:t>
            </w:r>
          </w:p>
        </w:tc>
        <w:tc>
          <w:tcPr>
            <w:tcW w:w="752" w:type="pct"/>
            <w:noWrap w:val="0"/>
            <w:vAlign w:val="center"/>
          </w:tcPr>
          <w:p w14:paraId="5ABD09D5">
            <w:pPr>
              <w:spacing w:line="360"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工业</w:t>
            </w:r>
          </w:p>
        </w:tc>
        <w:tc>
          <w:tcPr>
            <w:tcW w:w="643" w:type="pct"/>
            <w:noWrap w:val="0"/>
            <w:vAlign w:val="center"/>
          </w:tcPr>
          <w:p w14:paraId="4B0D1F91">
            <w:pPr>
              <w:spacing w:line="360" w:lineRule="auto"/>
              <w:jc w:val="center"/>
              <w:rPr>
                <w:rFonts w:hint="eastAsia" w:ascii="宋体" w:hAnsi="宋体" w:eastAsia="宋体" w:cs="宋体"/>
                <w:szCs w:val="21"/>
                <w:highlight w:val="none"/>
                <w:lang w:val="en-US" w:eastAsia="zh-CN"/>
              </w:rPr>
            </w:pPr>
          </w:p>
        </w:tc>
      </w:tr>
      <w:tr w14:paraId="32EA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266" w:type="pct"/>
            <w:noWrap w:val="0"/>
            <w:vAlign w:val="center"/>
          </w:tcPr>
          <w:p w14:paraId="32A6F829">
            <w:pPr>
              <w:spacing w:line="360" w:lineRule="auto"/>
              <w:jc w:val="center"/>
              <w:rPr>
                <w:rFonts w:hint="eastAsia" w:eastAsia="方正仿宋_GBK" w:cs="Times New Roman"/>
                <w:kern w:val="2"/>
                <w:sz w:val="28"/>
                <w:szCs w:val="28"/>
                <w:highlight w:val="none"/>
                <w:lang w:val="en-US" w:eastAsia="zh-CN" w:bidi="ar-SA"/>
              </w:rPr>
            </w:pPr>
            <w:r>
              <w:rPr>
                <w:rFonts w:hint="eastAsia" w:ascii="宋体" w:hAnsi="宋体" w:eastAsia="宋体" w:cs="宋体"/>
                <w:szCs w:val="21"/>
                <w:highlight w:val="none"/>
                <w:lang w:val="en-US" w:eastAsia="zh-CN"/>
              </w:rPr>
              <w:t>盆底生物刺激反馈仪</w:t>
            </w:r>
          </w:p>
        </w:tc>
        <w:tc>
          <w:tcPr>
            <w:tcW w:w="1021" w:type="pct"/>
            <w:noWrap w:val="0"/>
            <w:vAlign w:val="center"/>
          </w:tcPr>
          <w:p w14:paraId="05545F19">
            <w:pPr>
              <w:spacing w:line="360" w:lineRule="auto"/>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1（套）</w:t>
            </w:r>
          </w:p>
        </w:tc>
        <w:tc>
          <w:tcPr>
            <w:tcW w:w="1315" w:type="pct"/>
            <w:noWrap w:val="0"/>
            <w:vAlign w:val="center"/>
          </w:tcPr>
          <w:p w14:paraId="757C2FB4">
            <w:pPr>
              <w:spacing w:line="360" w:lineRule="auto"/>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8</w:t>
            </w:r>
            <w:r>
              <w:rPr>
                <w:rFonts w:hint="eastAsia" w:ascii="宋体" w:hAnsi="宋体" w:eastAsia="宋体" w:cs="宋体"/>
                <w:szCs w:val="21"/>
                <w:highlight w:val="none"/>
                <w:lang w:val="en-US" w:eastAsia="zh-CN"/>
              </w:rPr>
              <w:t>万元/</w:t>
            </w:r>
            <w:r>
              <w:rPr>
                <w:rFonts w:hint="eastAsia" w:ascii="宋体" w:hAnsi="宋体" w:cs="宋体"/>
                <w:szCs w:val="21"/>
                <w:highlight w:val="none"/>
                <w:lang w:val="en-US" w:eastAsia="zh-CN"/>
              </w:rPr>
              <w:t>套</w:t>
            </w:r>
          </w:p>
        </w:tc>
        <w:tc>
          <w:tcPr>
            <w:tcW w:w="752" w:type="pct"/>
            <w:noWrap w:val="0"/>
            <w:vAlign w:val="center"/>
          </w:tcPr>
          <w:p w14:paraId="4C31176D">
            <w:pPr>
              <w:spacing w:line="360" w:lineRule="auto"/>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工业</w:t>
            </w:r>
          </w:p>
        </w:tc>
        <w:tc>
          <w:tcPr>
            <w:tcW w:w="643" w:type="pct"/>
            <w:noWrap w:val="0"/>
            <w:vAlign w:val="center"/>
          </w:tcPr>
          <w:p w14:paraId="4E890648">
            <w:pPr>
              <w:spacing w:line="360" w:lineRule="auto"/>
              <w:jc w:val="center"/>
              <w:rPr>
                <w:rFonts w:hint="eastAsia" w:ascii="宋体" w:hAnsi="宋体" w:eastAsia="宋体" w:cs="宋体"/>
                <w:szCs w:val="21"/>
                <w:highlight w:val="none"/>
                <w:lang w:val="en-US" w:eastAsia="zh-CN"/>
              </w:rPr>
            </w:pPr>
          </w:p>
        </w:tc>
      </w:tr>
      <w:tr w14:paraId="7364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266" w:type="pct"/>
            <w:noWrap w:val="0"/>
            <w:vAlign w:val="center"/>
          </w:tcPr>
          <w:p w14:paraId="0844BF25">
            <w:pPr>
              <w:spacing w:line="360" w:lineRule="auto"/>
              <w:jc w:val="center"/>
              <w:rPr>
                <w:rFonts w:hint="default" w:eastAsia="方正仿宋_GBK" w:cs="Times New Roman"/>
                <w:kern w:val="2"/>
                <w:sz w:val="28"/>
                <w:szCs w:val="28"/>
                <w:highlight w:val="none"/>
                <w:lang w:val="en-US" w:eastAsia="zh-CN" w:bidi="ar-SA"/>
              </w:rPr>
            </w:pPr>
            <w:r>
              <w:rPr>
                <w:rFonts w:hint="eastAsia" w:ascii="宋体" w:hAnsi="宋体" w:eastAsia="宋体" w:cs="宋体"/>
                <w:szCs w:val="21"/>
                <w:highlight w:val="none"/>
                <w:lang w:val="en-US" w:eastAsia="zh-CN"/>
              </w:rPr>
              <w:t>生物反馈神经肌肉刺激治疗工作站</w:t>
            </w:r>
          </w:p>
        </w:tc>
        <w:tc>
          <w:tcPr>
            <w:tcW w:w="1021" w:type="pct"/>
            <w:noWrap w:val="0"/>
            <w:vAlign w:val="center"/>
          </w:tcPr>
          <w:p w14:paraId="3117BBA4">
            <w:pPr>
              <w:spacing w:line="360" w:lineRule="auto"/>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1（套）</w:t>
            </w:r>
          </w:p>
        </w:tc>
        <w:tc>
          <w:tcPr>
            <w:tcW w:w="1315" w:type="pct"/>
            <w:noWrap w:val="0"/>
            <w:vAlign w:val="center"/>
          </w:tcPr>
          <w:p w14:paraId="7BBFA167">
            <w:pPr>
              <w:spacing w:line="360" w:lineRule="auto"/>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12.35</w:t>
            </w:r>
            <w:r>
              <w:rPr>
                <w:rFonts w:hint="eastAsia" w:ascii="宋体" w:hAnsi="宋体" w:eastAsia="宋体" w:cs="宋体"/>
                <w:szCs w:val="21"/>
                <w:highlight w:val="none"/>
                <w:lang w:val="en-US" w:eastAsia="zh-CN"/>
              </w:rPr>
              <w:t>万元/</w:t>
            </w:r>
            <w:r>
              <w:rPr>
                <w:rFonts w:hint="eastAsia" w:ascii="宋体" w:hAnsi="宋体" w:cs="宋体"/>
                <w:szCs w:val="21"/>
                <w:highlight w:val="none"/>
                <w:lang w:val="en-US" w:eastAsia="zh-CN"/>
              </w:rPr>
              <w:t>套</w:t>
            </w:r>
          </w:p>
        </w:tc>
        <w:tc>
          <w:tcPr>
            <w:tcW w:w="752" w:type="pct"/>
            <w:noWrap w:val="0"/>
            <w:vAlign w:val="center"/>
          </w:tcPr>
          <w:p w14:paraId="14AE76DB">
            <w:pPr>
              <w:spacing w:line="360" w:lineRule="auto"/>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工业</w:t>
            </w:r>
          </w:p>
        </w:tc>
        <w:tc>
          <w:tcPr>
            <w:tcW w:w="643" w:type="pct"/>
            <w:noWrap w:val="0"/>
            <w:vAlign w:val="center"/>
          </w:tcPr>
          <w:p w14:paraId="3F88EF88">
            <w:pPr>
              <w:spacing w:line="360" w:lineRule="auto"/>
              <w:jc w:val="center"/>
              <w:rPr>
                <w:rFonts w:hint="eastAsia" w:ascii="宋体" w:hAnsi="宋体" w:eastAsia="宋体" w:cs="宋体"/>
                <w:szCs w:val="21"/>
                <w:highlight w:val="none"/>
                <w:lang w:val="en-US" w:eastAsia="zh-CN"/>
              </w:rPr>
            </w:pPr>
          </w:p>
        </w:tc>
      </w:tr>
    </w:tbl>
    <w:p w14:paraId="62CA9D43">
      <w:pPr>
        <w:numPr>
          <w:ilvl w:val="0"/>
          <w:numId w:val="0"/>
        </w:numPr>
        <w:spacing w:line="360" w:lineRule="auto"/>
        <w:outlineLvl w:val="9"/>
        <w:rPr>
          <w:rFonts w:hint="eastAsia" w:ascii="宋体" w:hAnsi="宋体" w:eastAsia="宋体" w:cs="宋体"/>
          <w:b/>
          <w:bCs/>
          <w:sz w:val="24"/>
          <w:szCs w:val="24"/>
          <w:lang w:val="en-US" w:eastAsia="zh-CN"/>
        </w:rPr>
      </w:pPr>
      <w:r>
        <w:rPr>
          <w:rFonts w:hint="eastAsia" w:ascii="宋体" w:hAnsi="宋体" w:eastAsia="宋体" w:cs="宋体"/>
          <w:b/>
          <w:bCs/>
          <w:kern w:val="2"/>
          <w:sz w:val="24"/>
          <w:szCs w:val="24"/>
          <w:lang w:val="en-US" w:eastAsia="zh-CN" w:bidi="ar-SA"/>
        </w:rPr>
        <w:t>三、</w:t>
      </w:r>
      <w:r>
        <w:rPr>
          <w:rFonts w:hint="eastAsia" w:ascii="宋体" w:hAnsi="宋体" w:eastAsia="宋体" w:cs="宋体"/>
          <w:b/>
          <w:bCs/>
          <w:sz w:val="24"/>
          <w:szCs w:val="24"/>
          <w:lang w:val="en-US" w:eastAsia="zh-CN"/>
        </w:rPr>
        <w:t>技术参数及要求</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3"/>
        <w:gridCol w:w="2354"/>
        <w:gridCol w:w="5847"/>
      </w:tblGrid>
      <w:tr w14:paraId="54003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39" w:type="pct"/>
            <w:noWrap w:val="0"/>
            <w:vAlign w:val="center"/>
          </w:tcPr>
          <w:p w14:paraId="086BF410">
            <w:pPr>
              <w:widowControl/>
              <w:jc w:val="center"/>
              <w:rPr>
                <w:rFonts w:hint="eastAsia" w:ascii="宋体" w:hAnsi="宋体" w:cs="宋体"/>
                <w:b/>
                <w:bCs/>
                <w:szCs w:val="21"/>
              </w:rPr>
            </w:pPr>
            <w:r>
              <w:rPr>
                <w:rFonts w:hint="eastAsia" w:ascii="宋体" w:hAnsi="宋体" w:cs="宋体"/>
                <w:b/>
                <w:bCs/>
                <w:snapToGrid w:val="0"/>
                <w:color w:val="000000"/>
                <w:kern w:val="0"/>
                <w:szCs w:val="21"/>
                <w:lang w:bidi="ar"/>
              </w:rPr>
              <w:t>标识符号</w:t>
            </w:r>
          </w:p>
        </w:tc>
        <w:tc>
          <w:tcPr>
            <w:tcW w:w="1194" w:type="pct"/>
            <w:noWrap w:val="0"/>
            <w:vAlign w:val="center"/>
          </w:tcPr>
          <w:p w14:paraId="48B3295A">
            <w:pPr>
              <w:widowControl/>
              <w:jc w:val="center"/>
              <w:rPr>
                <w:rFonts w:hint="eastAsia" w:ascii="宋体" w:hAnsi="宋体" w:cs="宋体"/>
                <w:b/>
                <w:bCs/>
                <w:snapToGrid w:val="0"/>
                <w:color w:val="000000"/>
                <w:kern w:val="0"/>
                <w:szCs w:val="21"/>
                <w:lang w:bidi="ar"/>
              </w:rPr>
            </w:pPr>
            <w:r>
              <w:rPr>
                <w:rFonts w:hint="eastAsia" w:ascii="宋体" w:hAnsi="宋体" w:cs="宋体"/>
                <w:b/>
                <w:bCs/>
                <w:snapToGrid w:val="0"/>
                <w:color w:val="000000"/>
                <w:kern w:val="0"/>
                <w:szCs w:val="21"/>
                <w:lang w:bidi="ar"/>
              </w:rPr>
              <w:t>标识含义</w:t>
            </w:r>
          </w:p>
        </w:tc>
        <w:tc>
          <w:tcPr>
            <w:tcW w:w="2966" w:type="pct"/>
            <w:noWrap w:val="0"/>
            <w:vAlign w:val="center"/>
          </w:tcPr>
          <w:p w14:paraId="3BCB648A">
            <w:pPr>
              <w:widowControl/>
              <w:jc w:val="center"/>
              <w:rPr>
                <w:rFonts w:hint="eastAsia" w:ascii="宋体" w:hAnsi="宋体" w:cs="宋体"/>
                <w:b/>
                <w:bCs/>
                <w:snapToGrid w:val="0"/>
                <w:color w:val="000000"/>
                <w:kern w:val="0"/>
                <w:szCs w:val="21"/>
                <w:lang w:bidi="ar"/>
              </w:rPr>
            </w:pPr>
            <w:r>
              <w:rPr>
                <w:rFonts w:hint="eastAsia" w:ascii="宋体" w:hAnsi="宋体" w:cs="宋体"/>
                <w:b/>
                <w:bCs/>
                <w:snapToGrid w:val="0"/>
                <w:color w:val="000000"/>
                <w:kern w:val="0"/>
                <w:szCs w:val="21"/>
                <w:lang w:bidi="ar"/>
              </w:rPr>
              <w:t>相关要求</w:t>
            </w:r>
          </w:p>
        </w:tc>
      </w:tr>
      <w:tr w14:paraId="1913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616" w:type="dxa"/>
            <w:noWrap w:val="0"/>
            <w:vAlign w:val="center"/>
          </w:tcPr>
          <w:p w14:paraId="583DE63C">
            <w:pPr>
              <w:spacing w:line="360" w:lineRule="auto"/>
              <w:jc w:val="center"/>
              <w:rPr>
                <w:rFonts w:hint="eastAsia" w:ascii="宋体" w:hAnsi="宋体" w:cs="宋体"/>
                <w:szCs w:val="21"/>
              </w:rPr>
            </w:pPr>
            <w:r>
              <w:rPr>
                <w:rFonts w:hint="eastAsia" w:ascii="宋体" w:hAnsi="宋体" w:cs="宋体"/>
                <w:szCs w:val="21"/>
                <w:lang w:val="en-US" w:eastAsia="zh-CN"/>
              </w:rPr>
              <w:t>■</w:t>
            </w:r>
          </w:p>
        </w:tc>
        <w:tc>
          <w:tcPr>
            <w:tcW w:w="2300" w:type="dxa"/>
            <w:noWrap w:val="0"/>
            <w:vAlign w:val="center"/>
          </w:tcPr>
          <w:p w14:paraId="61C5082B">
            <w:pPr>
              <w:spacing w:line="360" w:lineRule="auto"/>
              <w:jc w:val="center"/>
              <w:rPr>
                <w:rFonts w:hint="eastAsia" w:ascii="宋体" w:hAnsi="宋体" w:cs="宋体"/>
                <w:szCs w:val="21"/>
              </w:rPr>
            </w:pPr>
            <w:r>
              <w:rPr>
                <w:rFonts w:hint="eastAsia" w:ascii="宋体" w:hAnsi="宋体" w:cs="宋体"/>
                <w:szCs w:val="21"/>
              </w:rPr>
              <w:t>实质性参数或条款要求</w:t>
            </w:r>
          </w:p>
        </w:tc>
        <w:tc>
          <w:tcPr>
            <w:tcW w:w="5713" w:type="dxa"/>
            <w:noWrap w:val="0"/>
            <w:vAlign w:val="center"/>
          </w:tcPr>
          <w:p w14:paraId="6C8CEEAC">
            <w:pPr>
              <w:spacing w:line="360" w:lineRule="auto"/>
              <w:jc w:val="center"/>
              <w:rPr>
                <w:rFonts w:hint="eastAsia" w:ascii="宋体" w:hAnsi="宋体" w:cs="宋体"/>
                <w:szCs w:val="21"/>
              </w:rPr>
            </w:pPr>
            <w:r>
              <w:rPr>
                <w:rFonts w:hint="eastAsia" w:ascii="宋体" w:hAnsi="宋体" w:cs="宋体"/>
                <w:b/>
                <w:bCs/>
                <w:szCs w:val="21"/>
              </w:rPr>
              <w:t>负偏离或未响应视为实质性不响应招标文件要求</w:t>
            </w:r>
          </w:p>
        </w:tc>
      </w:tr>
      <w:tr w14:paraId="13CDC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39" w:type="pct"/>
            <w:noWrap w:val="0"/>
            <w:vAlign w:val="center"/>
          </w:tcPr>
          <w:p w14:paraId="013D3193">
            <w:pPr>
              <w:spacing w:line="360" w:lineRule="auto"/>
              <w:jc w:val="center"/>
              <w:rPr>
                <w:rFonts w:hint="eastAsia" w:ascii="宋体" w:hAnsi="宋体" w:cs="宋体"/>
                <w:szCs w:val="21"/>
              </w:rPr>
            </w:pPr>
            <w:r>
              <w:rPr>
                <w:rFonts w:hint="eastAsia" w:ascii="宋体" w:hAnsi="宋体" w:cs="宋体"/>
                <w:szCs w:val="21"/>
              </w:rPr>
              <w:t>★</w:t>
            </w:r>
          </w:p>
        </w:tc>
        <w:tc>
          <w:tcPr>
            <w:tcW w:w="1194" w:type="pct"/>
            <w:noWrap w:val="0"/>
            <w:vAlign w:val="center"/>
          </w:tcPr>
          <w:p w14:paraId="2EEB3686">
            <w:pPr>
              <w:spacing w:line="360" w:lineRule="auto"/>
              <w:jc w:val="center"/>
              <w:rPr>
                <w:rFonts w:hint="eastAsia" w:ascii="宋体" w:hAnsi="宋体" w:cs="宋体"/>
                <w:szCs w:val="21"/>
              </w:rPr>
            </w:pPr>
            <w:r>
              <w:rPr>
                <w:rFonts w:hint="eastAsia" w:ascii="宋体" w:hAnsi="宋体" w:cs="宋体"/>
                <w:szCs w:val="21"/>
              </w:rPr>
              <w:t>重要技术参数</w:t>
            </w:r>
          </w:p>
        </w:tc>
        <w:tc>
          <w:tcPr>
            <w:tcW w:w="2966" w:type="pct"/>
            <w:noWrap w:val="0"/>
            <w:vAlign w:val="center"/>
          </w:tcPr>
          <w:p w14:paraId="3C781C0A">
            <w:pPr>
              <w:spacing w:line="360" w:lineRule="auto"/>
              <w:jc w:val="center"/>
              <w:rPr>
                <w:rFonts w:hint="eastAsia" w:ascii="宋体" w:hAnsi="宋体" w:cs="宋体"/>
                <w:szCs w:val="21"/>
              </w:rPr>
            </w:pPr>
            <w:r>
              <w:rPr>
                <w:rFonts w:hint="eastAsia" w:ascii="宋体" w:hAnsi="宋体" w:cs="宋体"/>
                <w:szCs w:val="21"/>
              </w:rPr>
              <w:t>评审项</w:t>
            </w:r>
          </w:p>
        </w:tc>
      </w:tr>
      <w:tr w14:paraId="3C82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39" w:type="pct"/>
            <w:noWrap w:val="0"/>
            <w:vAlign w:val="center"/>
          </w:tcPr>
          <w:p w14:paraId="1186561F">
            <w:pPr>
              <w:spacing w:line="360" w:lineRule="auto"/>
              <w:jc w:val="center"/>
              <w:rPr>
                <w:rFonts w:hint="eastAsia" w:ascii="宋体" w:hAnsi="宋体" w:cs="宋体"/>
                <w:szCs w:val="21"/>
              </w:rPr>
            </w:pPr>
          </w:p>
        </w:tc>
        <w:tc>
          <w:tcPr>
            <w:tcW w:w="1194" w:type="pct"/>
            <w:noWrap w:val="0"/>
            <w:vAlign w:val="center"/>
          </w:tcPr>
          <w:p w14:paraId="66B0B56A">
            <w:pPr>
              <w:spacing w:line="360" w:lineRule="auto"/>
              <w:jc w:val="center"/>
              <w:rPr>
                <w:rFonts w:hint="eastAsia" w:ascii="宋体" w:hAnsi="宋体" w:cs="宋体"/>
                <w:szCs w:val="21"/>
              </w:rPr>
            </w:pPr>
            <w:r>
              <w:rPr>
                <w:rFonts w:hint="eastAsia" w:ascii="宋体" w:hAnsi="宋体" w:cs="宋体"/>
                <w:szCs w:val="21"/>
              </w:rPr>
              <w:t>无标识项</w:t>
            </w:r>
          </w:p>
        </w:tc>
        <w:tc>
          <w:tcPr>
            <w:tcW w:w="2966" w:type="pct"/>
            <w:noWrap w:val="0"/>
            <w:vAlign w:val="center"/>
          </w:tcPr>
          <w:p w14:paraId="29B29A13">
            <w:pPr>
              <w:spacing w:line="360" w:lineRule="auto"/>
              <w:jc w:val="left"/>
              <w:rPr>
                <w:rFonts w:hint="eastAsia" w:ascii="宋体" w:hAnsi="宋体" w:eastAsia="宋体" w:cs="宋体"/>
                <w:szCs w:val="21"/>
                <w:lang w:eastAsia="zh-CN"/>
              </w:rPr>
            </w:pPr>
            <w:r>
              <w:rPr>
                <w:rFonts w:hint="eastAsia" w:ascii="宋体" w:hAnsi="宋体" w:cs="宋体"/>
                <w:szCs w:val="21"/>
              </w:rPr>
              <w:t>评审项</w:t>
            </w:r>
            <w:r>
              <w:rPr>
                <w:rFonts w:hint="eastAsia" w:ascii="宋体" w:hAnsi="宋体" w:cs="宋体"/>
                <w:szCs w:val="21"/>
                <w:lang w:eastAsia="zh-CN"/>
              </w:rPr>
              <w:t>（针对无标识</w:t>
            </w:r>
            <w:r>
              <w:rPr>
                <w:rFonts w:hint="eastAsia" w:ascii="宋体" w:hAnsi="宋体" w:cs="宋体"/>
                <w:szCs w:val="21"/>
                <w:lang w:val="en-US" w:eastAsia="zh-CN"/>
              </w:rPr>
              <w:t>项</w:t>
            </w:r>
            <w:r>
              <w:rPr>
                <w:rFonts w:hint="eastAsia" w:ascii="宋体" w:hAnsi="宋体" w:cs="宋体"/>
                <w:szCs w:val="21"/>
                <w:lang w:eastAsia="zh-CN"/>
              </w:rPr>
              <w:t>评审时：如某项参数仅存在一级序号时，则以一级序号为最小单位计算条目数量（即为一项）；如某项参数同时存在一级序号和二级序号时，则以二级序号为最小单位计算条目数量（即为一项）；如某项参数存在多级序号时，则以最后一级序号为最小单位计算条目数量（即为一项）。）</w:t>
            </w:r>
          </w:p>
        </w:tc>
      </w:tr>
    </w:tbl>
    <w:p w14:paraId="04139416">
      <w:pPr>
        <w:jc w:val="center"/>
        <w:rPr>
          <w:rFonts w:hint="default" w:ascii="微软雅黑" w:eastAsia="微软雅黑"/>
          <w:sz w:val="32"/>
          <w:szCs w:val="32"/>
          <w:highlight w:val="none"/>
          <w:lang w:val="en-US"/>
        </w:rPr>
      </w:pPr>
      <w:r>
        <w:rPr>
          <w:rFonts w:hint="eastAsia"/>
        </w:rPr>
        <w:br w:type="textWrapping"/>
      </w:r>
      <w:r>
        <w:rPr>
          <w:rFonts w:hint="eastAsia" w:ascii="宋体" w:hAnsi="宋体" w:eastAsia="宋体" w:cs="宋体"/>
          <w:b/>
          <w:bCs/>
          <w:sz w:val="32"/>
          <w:szCs w:val="32"/>
          <w:highlight w:val="none"/>
          <w:lang w:val="en-US" w:eastAsia="zh-CN"/>
        </w:rPr>
        <w:t>磁场刺激仪参数</w:t>
      </w:r>
    </w:p>
    <w:p w14:paraId="270E0868">
      <w:pPr>
        <w:numPr>
          <w:ilvl w:val="0"/>
          <w:numId w:val="2"/>
        </w:numPr>
        <w:spacing w:line="360" w:lineRule="auto"/>
        <w:ind w:left="425" w:leftChars="0" w:hanging="425" w:firstLineChars="0"/>
        <w:jc w:val="left"/>
        <w:rPr>
          <w:rFonts w:hint="default" w:ascii="宋体" w:hAnsi="宋体" w:eastAsia="宋体" w:cs="仿宋"/>
          <w:kern w:val="0"/>
          <w:sz w:val="24"/>
          <w:highlight w:val="none"/>
          <w:lang w:val="en-US" w:eastAsia="zh-CN"/>
        </w:rPr>
      </w:pPr>
      <w:r>
        <w:rPr>
          <w:rFonts w:hint="eastAsia" w:ascii="宋体" w:hAnsi="宋体" w:eastAsia="宋体" w:cs="仿宋"/>
          <w:kern w:val="0"/>
          <w:sz w:val="24"/>
          <w:highlight w:val="none"/>
          <w:lang w:val="en-US" w:eastAsia="zh-CN"/>
        </w:rPr>
        <w:t>★磁刺激脉冲源、液冷系统集成在同一机箱内，冷却系统内置，座椅独立外置，座椅靠背可电动调节放平至180°</w:t>
      </w:r>
      <w:r>
        <w:rPr>
          <w:rFonts w:hint="eastAsia" w:ascii="宋体" w:hAnsi="宋体" w:cs="仿宋"/>
          <w:kern w:val="0"/>
          <w:sz w:val="24"/>
          <w:highlight w:val="none"/>
          <w:lang w:val="en-US" w:eastAsia="zh-CN"/>
        </w:rPr>
        <w:t>。</w:t>
      </w:r>
    </w:p>
    <w:p w14:paraId="02555EA4">
      <w:pPr>
        <w:numPr>
          <w:ilvl w:val="0"/>
          <w:numId w:val="2"/>
        </w:numPr>
        <w:spacing w:line="360" w:lineRule="auto"/>
        <w:ind w:left="425" w:leftChars="0" w:hanging="425" w:firstLineChars="0"/>
        <w:jc w:val="left"/>
        <w:rPr>
          <w:rFonts w:hint="eastAsia" w:ascii="宋体" w:hAnsi="宋体" w:eastAsia="宋体" w:cs="仿宋"/>
          <w:strike w:val="0"/>
          <w:kern w:val="0"/>
          <w:sz w:val="24"/>
          <w:highlight w:val="none"/>
          <w:lang w:val="en-US" w:eastAsia="zh-CN"/>
        </w:rPr>
      </w:pPr>
      <w:r>
        <w:rPr>
          <w:rFonts w:hint="eastAsia" w:ascii="宋体" w:hAnsi="宋体" w:eastAsia="宋体" w:cs="仿宋"/>
          <w:kern w:val="0"/>
          <w:sz w:val="24"/>
          <w:highlight w:val="none"/>
          <w:lang w:val="en-US" w:eastAsia="zh-CN"/>
        </w:rPr>
        <w:t>采用液态内循环冷却系统，具有高温预警功能，</w:t>
      </w:r>
      <w:r>
        <w:rPr>
          <w:rFonts w:hint="eastAsia" w:ascii="宋体" w:hAnsi="宋体" w:eastAsia="宋体" w:cs="仿宋"/>
          <w:strike w:val="0"/>
          <w:dstrike w:val="0"/>
          <w:kern w:val="0"/>
          <w:sz w:val="24"/>
          <w:highlight w:val="none"/>
          <w:lang w:val="en-US" w:eastAsia="zh-CN"/>
        </w:rPr>
        <w:t>防护系统实时监测线圈温度，安全预警暂停工作</w:t>
      </w:r>
      <w:r>
        <w:rPr>
          <w:rFonts w:hint="eastAsia" w:ascii="宋体" w:hAnsi="宋体" w:cs="仿宋"/>
          <w:strike w:val="0"/>
          <w:dstrike w:val="0"/>
          <w:kern w:val="0"/>
          <w:sz w:val="24"/>
          <w:highlight w:val="none"/>
          <w:lang w:val="en-US" w:eastAsia="zh-CN"/>
        </w:rPr>
        <w:t>。</w:t>
      </w:r>
    </w:p>
    <w:p w14:paraId="67C0C447">
      <w:pPr>
        <w:numPr>
          <w:ilvl w:val="0"/>
          <w:numId w:val="2"/>
        </w:numPr>
        <w:spacing w:line="360" w:lineRule="auto"/>
        <w:ind w:left="425" w:leftChars="0" w:hanging="425" w:firstLineChars="0"/>
        <w:jc w:val="left"/>
        <w:rPr>
          <w:rFonts w:hint="eastAsia" w:ascii="宋体" w:hAnsi="宋体" w:eastAsia="宋体" w:cs="仿宋"/>
          <w:kern w:val="0"/>
          <w:sz w:val="24"/>
          <w:highlight w:val="none"/>
          <w:lang w:val="en-US" w:eastAsia="zh-CN"/>
        </w:rPr>
      </w:pPr>
      <w:r>
        <w:rPr>
          <w:rFonts w:hint="eastAsia" w:ascii="宋体" w:hAnsi="宋体" w:eastAsia="宋体" w:cs="仿宋"/>
          <w:kern w:val="0"/>
          <w:sz w:val="24"/>
          <w:highlight w:val="none"/>
          <w:lang w:val="en-US" w:eastAsia="zh-CN"/>
        </w:rPr>
        <w:t>脉冲磁场最大磁感应强度≥7Tesla。</w:t>
      </w:r>
      <w:r>
        <w:rPr>
          <w:rFonts w:hint="eastAsia" w:ascii="宋体" w:hAnsi="宋体" w:eastAsia="宋体" w:cs="仿宋"/>
          <w:b/>
          <w:bCs/>
          <w:kern w:val="0"/>
          <w:sz w:val="24"/>
          <w:highlight w:val="none"/>
          <w:lang w:val="en-US" w:eastAsia="zh-CN"/>
        </w:rPr>
        <w:t>(提供用户手册或</w:t>
      </w:r>
      <w:r>
        <w:rPr>
          <w:rFonts w:hint="eastAsia" w:ascii="宋体" w:hAnsi="宋体" w:cs="仿宋"/>
          <w:b/>
          <w:bCs/>
          <w:kern w:val="0"/>
          <w:sz w:val="24"/>
          <w:highlight w:val="none"/>
          <w:lang w:val="en-US" w:eastAsia="zh-CN"/>
        </w:rPr>
        <w:t>提供第三方检测报告证明</w:t>
      </w:r>
      <w:r>
        <w:rPr>
          <w:rFonts w:hint="eastAsia" w:ascii="宋体" w:hAnsi="宋体" w:eastAsia="宋体" w:cs="仿宋"/>
          <w:b/>
          <w:bCs/>
          <w:kern w:val="0"/>
          <w:sz w:val="24"/>
          <w:highlight w:val="none"/>
          <w:lang w:val="en-US" w:eastAsia="zh-CN"/>
        </w:rPr>
        <w:t>)</w:t>
      </w:r>
    </w:p>
    <w:p w14:paraId="26F87A68">
      <w:pPr>
        <w:numPr>
          <w:ilvl w:val="0"/>
          <w:numId w:val="2"/>
        </w:numPr>
        <w:spacing w:line="360" w:lineRule="auto"/>
        <w:ind w:left="425" w:leftChars="0" w:hanging="425" w:firstLineChars="0"/>
        <w:jc w:val="left"/>
        <w:rPr>
          <w:rFonts w:hint="eastAsia" w:ascii="宋体" w:hAnsi="宋体" w:eastAsia="宋体" w:cs="仿宋"/>
          <w:kern w:val="0"/>
          <w:sz w:val="24"/>
          <w:highlight w:val="none"/>
          <w:lang w:val="en-US" w:eastAsia="zh-CN"/>
        </w:rPr>
      </w:pPr>
      <w:r>
        <w:rPr>
          <w:rFonts w:hint="eastAsia" w:ascii="宋体" w:hAnsi="宋体" w:eastAsia="宋体" w:cs="仿宋"/>
          <w:kern w:val="0"/>
          <w:sz w:val="24"/>
          <w:highlight w:val="none"/>
          <w:lang w:val="en-US" w:eastAsia="zh-CN"/>
        </w:rPr>
        <w:t>★脉冲磁场最大刺激频率≥100Hz。</w:t>
      </w:r>
      <w:r>
        <w:rPr>
          <w:rFonts w:hint="eastAsia" w:ascii="宋体" w:hAnsi="宋体" w:eastAsia="宋体" w:cs="仿宋"/>
          <w:b/>
          <w:bCs/>
          <w:kern w:val="0"/>
          <w:sz w:val="24"/>
          <w:highlight w:val="none"/>
          <w:lang w:val="en-US" w:eastAsia="zh-CN"/>
        </w:rPr>
        <w:t>(提供用户手册或</w:t>
      </w:r>
      <w:r>
        <w:rPr>
          <w:rFonts w:hint="eastAsia" w:ascii="宋体" w:hAnsi="宋体" w:cs="仿宋"/>
          <w:b/>
          <w:bCs/>
          <w:kern w:val="0"/>
          <w:sz w:val="24"/>
          <w:highlight w:val="none"/>
          <w:lang w:val="en-US" w:eastAsia="zh-CN"/>
        </w:rPr>
        <w:t>提供第三方检测报告证明</w:t>
      </w:r>
      <w:r>
        <w:rPr>
          <w:rFonts w:hint="eastAsia" w:ascii="宋体" w:hAnsi="宋体" w:eastAsia="宋体" w:cs="仿宋"/>
          <w:b/>
          <w:bCs/>
          <w:kern w:val="0"/>
          <w:sz w:val="24"/>
          <w:highlight w:val="none"/>
          <w:lang w:val="en-US" w:eastAsia="zh-CN"/>
        </w:rPr>
        <w:t>)</w:t>
      </w:r>
    </w:p>
    <w:p w14:paraId="5D3A01D8">
      <w:pPr>
        <w:numPr>
          <w:ilvl w:val="0"/>
          <w:numId w:val="2"/>
        </w:numPr>
        <w:spacing w:line="360" w:lineRule="auto"/>
        <w:ind w:left="425" w:leftChars="0" w:hanging="425" w:firstLineChars="0"/>
        <w:jc w:val="left"/>
        <w:rPr>
          <w:rFonts w:hint="eastAsia" w:ascii="宋体" w:hAnsi="宋体" w:eastAsia="宋体" w:cs="仿宋"/>
          <w:kern w:val="0"/>
          <w:sz w:val="24"/>
          <w:highlight w:val="none"/>
          <w:lang w:val="en-US" w:eastAsia="zh-CN"/>
        </w:rPr>
      </w:pPr>
      <w:r>
        <w:rPr>
          <w:rFonts w:hint="eastAsia" w:ascii="宋体" w:hAnsi="宋体" w:eastAsia="宋体" w:cs="仿宋"/>
          <w:kern w:val="0"/>
          <w:sz w:val="24"/>
          <w:highlight w:val="none"/>
          <w:lang w:val="en-US" w:eastAsia="zh-CN"/>
        </w:rPr>
        <w:t>单个脉冲持续时间：340μs±20μs。</w:t>
      </w:r>
    </w:p>
    <w:p w14:paraId="7943D88C">
      <w:pPr>
        <w:numPr>
          <w:ilvl w:val="0"/>
          <w:numId w:val="2"/>
        </w:numPr>
        <w:spacing w:line="360" w:lineRule="auto"/>
        <w:ind w:left="425" w:leftChars="0" w:hanging="425" w:firstLineChars="0"/>
        <w:jc w:val="left"/>
        <w:rPr>
          <w:rFonts w:hint="eastAsia" w:ascii="宋体" w:hAnsi="宋体" w:eastAsia="宋体" w:cs="仿宋"/>
          <w:kern w:val="0"/>
          <w:sz w:val="24"/>
          <w:highlight w:val="none"/>
          <w:lang w:val="en-US" w:eastAsia="zh-CN"/>
        </w:rPr>
      </w:pPr>
      <w:r>
        <w:rPr>
          <w:rFonts w:hint="eastAsia" w:ascii="宋体" w:hAnsi="宋体" w:eastAsia="宋体" w:cs="仿宋"/>
          <w:kern w:val="0"/>
          <w:sz w:val="24"/>
          <w:highlight w:val="none"/>
          <w:lang w:val="en-US" w:eastAsia="zh-CN"/>
        </w:rPr>
        <w:t>★配置原厂双通道运动诱发电位检测模块，采集模块集成于主机内部，直接由主机供电，</w:t>
      </w:r>
      <w:r>
        <w:rPr>
          <w:rFonts w:hint="eastAsia" w:ascii="宋体" w:hAnsi="宋体" w:eastAsia="宋体" w:cs="仿宋"/>
          <w:strike w:val="0"/>
          <w:dstrike w:val="0"/>
          <w:kern w:val="0"/>
          <w:sz w:val="24"/>
          <w:highlight w:val="none"/>
          <w:u w:val="none"/>
          <w:lang w:val="en-US" w:eastAsia="zh-CN"/>
        </w:rPr>
        <w:t>无需由电池供电</w:t>
      </w:r>
      <w:r>
        <w:rPr>
          <w:rFonts w:hint="eastAsia" w:ascii="宋体" w:hAnsi="宋体" w:eastAsia="宋体" w:cs="仿宋"/>
          <w:kern w:val="0"/>
          <w:sz w:val="24"/>
          <w:highlight w:val="none"/>
          <w:lang w:val="en-US" w:eastAsia="zh-CN"/>
        </w:rPr>
        <w:t>；与主机通讯无需USB有线或蓝牙、WIFI无线连接</w:t>
      </w:r>
      <w:r>
        <w:rPr>
          <w:rFonts w:hint="eastAsia" w:ascii="宋体" w:hAnsi="宋体" w:cs="仿宋"/>
          <w:kern w:val="0"/>
          <w:sz w:val="24"/>
          <w:highlight w:val="none"/>
          <w:lang w:val="en-US" w:eastAsia="zh-CN"/>
        </w:rPr>
        <w:t>。</w:t>
      </w:r>
    </w:p>
    <w:p w14:paraId="4342B3A7">
      <w:pPr>
        <w:numPr>
          <w:ilvl w:val="0"/>
          <w:numId w:val="2"/>
        </w:numPr>
        <w:spacing w:line="360" w:lineRule="auto"/>
        <w:ind w:left="425" w:leftChars="0" w:hanging="425" w:firstLineChars="0"/>
        <w:jc w:val="left"/>
        <w:rPr>
          <w:rFonts w:hint="eastAsia" w:ascii="宋体" w:hAnsi="宋体" w:eastAsia="宋体" w:cs="仿宋"/>
          <w:kern w:val="0"/>
          <w:sz w:val="24"/>
          <w:highlight w:val="none"/>
          <w:lang w:val="en-US" w:eastAsia="zh-CN"/>
        </w:rPr>
      </w:pPr>
      <w:r>
        <w:rPr>
          <w:rFonts w:hint="eastAsia" w:ascii="宋体" w:hAnsi="宋体" w:eastAsia="宋体" w:cs="仿宋"/>
          <w:kern w:val="0"/>
          <w:sz w:val="24"/>
          <w:highlight w:val="none"/>
          <w:lang w:val="en-US" w:eastAsia="zh-CN"/>
        </w:rPr>
        <w:t>运动诱发电位测量灵敏度示值准确度范围：1～2700μV，检查最小分辨率≤1μV。</w:t>
      </w:r>
    </w:p>
    <w:p w14:paraId="5F370B4D">
      <w:pPr>
        <w:numPr>
          <w:ilvl w:val="0"/>
          <w:numId w:val="2"/>
        </w:numPr>
        <w:spacing w:line="360" w:lineRule="auto"/>
        <w:ind w:left="425" w:leftChars="0" w:hanging="425" w:firstLineChars="0"/>
        <w:jc w:val="left"/>
        <w:rPr>
          <w:rFonts w:hint="eastAsia" w:ascii="宋体" w:hAnsi="宋体" w:eastAsia="宋体" w:cs="仿宋"/>
          <w:kern w:val="0"/>
          <w:sz w:val="24"/>
          <w:highlight w:val="none"/>
          <w:lang w:val="en-US" w:eastAsia="zh-CN"/>
        </w:rPr>
      </w:pPr>
      <w:r>
        <w:rPr>
          <w:rFonts w:ascii="宋体" w:hAnsi="宋体" w:eastAsia="宋体" w:cs="宋体"/>
          <w:sz w:val="24"/>
          <w:szCs w:val="24"/>
        </w:rPr>
        <w:t>内置≥6种治疗方案，包括压力性尿失禁、急迫性尿失禁、尿潴留、便秘、大便失禁、慢性盆腔疼痛等</w:t>
      </w:r>
      <w:r>
        <w:rPr>
          <w:rFonts w:hint="eastAsia" w:ascii="宋体" w:hAnsi="宋体" w:eastAsia="宋体" w:cs="仿宋"/>
          <w:kern w:val="0"/>
          <w:sz w:val="24"/>
          <w:highlight w:val="none"/>
          <w:lang w:val="en-US" w:eastAsia="zh-CN"/>
        </w:rPr>
        <w:t>。</w:t>
      </w:r>
    </w:p>
    <w:p w14:paraId="4E2AFCDA">
      <w:pPr>
        <w:numPr>
          <w:ilvl w:val="0"/>
          <w:numId w:val="2"/>
        </w:numPr>
        <w:spacing w:line="360" w:lineRule="auto"/>
        <w:ind w:left="425" w:leftChars="0" w:hanging="425" w:firstLineChars="0"/>
        <w:jc w:val="left"/>
        <w:rPr>
          <w:rFonts w:hint="eastAsia" w:ascii="宋体" w:hAnsi="宋体" w:eastAsia="宋体" w:cs="仿宋"/>
          <w:kern w:val="0"/>
          <w:sz w:val="24"/>
          <w:highlight w:val="none"/>
          <w:lang w:val="en-US" w:eastAsia="zh-CN"/>
        </w:rPr>
      </w:pPr>
      <w:r>
        <w:rPr>
          <w:rFonts w:hint="eastAsia" w:ascii="宋体" w:hAnsi="宋体" w:eastAsia="宋体" w:cs="仿宋"/>
          <w:kern w:val="0"/>
          <w:sz w:val="24"/>
          <w:highlight w:val="none"/>
          <w:lang w:val="en-US" w:eastAsia="zh-CN"/>
        </w:rPr>
        <w:t>支持评估盆底肌运动水平评估</w:t>
      </w:r>
      <w:r>
        <w:rPr>
          <w:rFonts w:hint="eastAsia" w:ascii="宋体" w:hAnsi="宋体" w:eastAsia="宋体" w:cs="仿宋"/>
          <w:strike w:val="0"/>
          <w:dstrike w:val="0"/>
          <w:kern w:val="0"/>
          <w:sz w:val="24"/>
          <w:highlight w:val="none"/>
          <w:lang w:val="en-US" w:eastAsia="zh-CN"/>
        </w:rPr>
        <w:t>。</w:t>
      </w:r>
    </w:p>
    <w:p w14:paraId="50F92260">
      <w:pPr>
        <w:numPr>
          <w:ilvl w:val="0"/>
          <w:numId w:val="2"/>
        </w:numPr>
        <w:spacing w:line="360" w:lineRule="auto"/>
        <w:ind w:left="425" w:leftChars="0" w:hanging="425" w:firstLineChars="0"/>
        <w:jc w:val="left"/>
        <w:rPr>
          <w:rFonts w:hint="eastAsia" w:ascii="宋体" w:hAnsi="宋体" w:eastAsia="宋体" w:cs="仿宋"/>
          <w:kern w:val="0"/>
          <w:sz w:val="24"/>
          <w:lang w:val="en-US" w:eastAsia="zh-CN"/>
        </w:rPr>
      </w:pPr>
      <w:r>
        <w:rPr>
          <w:rFonts w:hint="eastAsia" w:ascii="宋体" w:hAnsi="宋体" w:eastAsia="宋体" w:cs="仿宋"/>
          <w:kern w:val="0"/>
          <w:sz w:val="24"/>
          <w:lang w:val="en-US" w:eastAsia="zh-CN"/>
        </w:rPr>
        <w:t>支持方案自定义，频率、刺激时间、间歇时间等参数可调，</w:t>
      </w:r>
      <w:r>
        <w:rPr>
          <w:rFonts w:ascii="宋体" w:hAnsi="宋体" w:eastAsia="宋体" w:cs="宋体"/>
          <w:sz w:val="24"/>
          <w:szCs w:val="24"/>
        </w:rPr>
        <w:t>刺激方案≥2种，包括数字展示方式、图形展示方式等。</w:t>
      </w:r>
    </w:p>
    <w:p w14:paraId="0343BF89">
      <w:pPr>
        <w:numPr>
          <w:ilvl w:val="0"/>
          <w:numId w:val="2"/>
        </w:numPr>
        <w:spacing w:line="360" w:lineRule="auto"/>
        <w:ind w:left="425" w:leftChars="0" w:hanging="425" w:firstLineChars="0"/>
        <w:jc w:val="left"/>
        <w:rPr>
          <w:rFonts w:hint="eastAsia" w:ascii="宋体" w:hAnsi="宋体" w:eastAsia="宋体" w:cs="仿宋"/>
          <w:kern w:val="0"/>
          <w:sz w:val="24"/>
          <w:lang w:val="en-US" w:eastAsia="zh-CN"/>
        </w:rPr>
      </w:pPr>
      <w:r>
        <w:rPr>
          <w:rFonts w:hint="eastAsia" w:ascii="宋体" w:hAnsi="宋体" w:eastAsia="宋体" w:cs="仿宋"/>
          <w:kern w:val="0"/>
          <w:sz w:val="24"/>
          <w:lang w:val="en-US" w:eastAsia="zh-CN"/>
        </w:rPr>
        <w:t>刺激方案具有患者体位示意图，提示患者磁刺激刺激部位或摆放姿势体位，</w:t>
      </w:r>
    </w:p>
    <w:p w14:paraId="5D578E49">
      <w:pPr>
        <w:numPr>
          <w:ilvl w:val="0"/>
          <w:numId w:val="2"/>
        </w:numPr>
        <w:spacing w:line="360" w:lineRule="auto"/>
        <w:ind w:left="425" w:leftChars="0" w:hanging="425" w:firstLineChars="0"/>
        <w:jc w:val="left"/>
        <w:rPr>
          <w:rFonts w:hint="eastAsia" w:ascii="微软雅黑" w:eastAsia="微软雅黑"/>
          <w:sz w:val="24"/>
          <w:szCs w:val="24"/>
        </w:rPr>
      </w:pPr>
      <w:r>
        <w:rPr>
          <w:rFonts w:ascii="宋体" w:hAnsi="宋体" w:eastAsia="宋体" w:cs="宋体"/>
          <w:sz w:val="24"/>
          <w:szCs w:val="24"/>
        </w:rPr>
        <w:t>具有数据管理功能、工作量等治疗数据统计分析功能、回顾数据结果、波形功能等；支持病历管理或病历导出</w:t>
      </w:r>
      <w:r>
        <w:rPr>
          <w:rFonts w:hint="eastAsia" w:ascii="宋体" w:hAnsi="宋体" w:eastAsia="宋体" w:cs="仿宋"/>
          <w:kern w:val="0"/>
          <w:sz w:val="24"/>
          <w:lang w:val="en-US" w:eastAsia="zh-CN"/>
        </w:rPr>
        <w:t>。</w:t>
      </w:r>
    </w:p>
    <w:p w14:paraId="2AEF6363">
      <w:pPr>
        <w:numPr>
          <w:ilvl w:val="0"/>
          <w:numId w:val="2"/>
        </w:numPr>
        <w:spacing w:line="360" w:lineRule="auto"/>
        <w:ind w:left="425" w:leftChars="0" w:hanging="425" w:firstLineChars="0"/>
        <w:jc w:val="left"/>
        <w:rPr>
          <w:rFonts w:hint="eastAsia" w:ascii="微软雅黑" w:eastAsia="微软雅黑"/>
          <w:sz w:val="24"/>
          <w:szCs w:val="24"/>
        </w:rPr>
      </w:pPr>
      <w:r>
        <w:rPr>
          <w:rFonts w:hint="eastAsia" w:ascii="宋体" w:hAnsi="宋体" w:eastAsia="宋体" w:cs="仿宋"/>
          <w:kern w:val="0"/>
          <w:sz w:val="24"/>
          <w:lang w:val="en-US" w:eastAsia="zh-CN"/>
        </w:rPr>
        <w:t>提供智慧产康管理工作站，对接设备实现以下功能模块：用户登录、数据总览、人员管理、工作台账、待办管理、记录管理、项目管理、设备管理</w:t>
      </w:r>
      <w:r>
        <w:rPr>
          <w:rFonts w:hint="eastAsia" w:ascii="宋体" w:hAnsi="宋体" w:cs="仿宋"/>
          <w:kern w:val="0"/>
          <w:sz w:val="24"/>
          <w:lang w:val="en-US" w:eastAsia="zh-CN"/>
        </w:rPr>
        <w:t>等</w:t>
      </w:r>
      <w:r>
        <w:rPr>
          <w:rFonts w:hint="eastAsia" w:ascii="宋体" w:hAnsi="宋体" w:eastAsia="宋体" w:cs="仿宋"/>
          <w:kern w:val="0"/>
          <w:sz w:val="24"/>
          <w:lang w:val="en-US" w:eastAsia="zh-CN"/>
        </w:rPr>
        <w:t>。</w:t>
      </w:r>
    </w:p>
    <w:p w14:paraId="64C071ED">
      <w:pPr>
        <w:widowControl w:val="0"/>
        <w:numPr>
          <w:ilvl w:val="0"/>
          <w:numId w:val="0"/>
        </w:numPr>
        <w:spacing w:before="273" w:after="0" w:line="240" w:lineRule="auto"/>
        <w:ind w:right="0" w:rightChars="0"/>
        <w:jc w:val="center"/>
        <w:rPr>
          <w:rFonts w:hint="default" w:ascii="宋体" w:hAnsi="宋体" w:cs="宋体"/>
          <w:b/>
          <w:bCs w:val="0"/>
          <w:sz w:val="40"/>
          <w:szCs w:val="40"/>
          <w:lang w:val="en-US" w:eastAsia="zh-CN"/>
        </w:rPr>
      </w:pPr>
      <w:r>
        <w:rPr>
          <w:rFonts w:hint="eastAsia"/>
        </w:rPr>
        <w:br w:type="textWrapping"/>
      </w:r>
      <w:r>
        <w:rPr>
          <w:rFonts w:hint="eastAsia"/>
          <w:b/>
          <w:bCs/>
          <w:sz w:val="32"/>
          <w:szCs w:val="32"/>
          <w:lang w:val="en-US" w:eastAsia="zh-CN"/>
        </w:rPr>
        <w:t>盆底生物刺激反馈仪参数</w:t>
      </w:r>
    </w:p>
    <w:p w14:paraId="3A86308B">
      <w:pPr>
        <w:widowControl w:val="0"/>
        <w:numPr>
          <w:ilvl w:val="0"/>
          <w:numId w:val="0"/>
        </w:numPr>
        <w:spacing w:before="273" w:after="0" w:line="240" w:lineRule="auto"/>
        <w:ind w:right="0" w:rightChars="0"/>
        <w:jc w:val="left"/>
        <w:rPr>
          <w:rFonts w:hint="default" w:ascii="宋体" w:hAnsi="宋体" w:cs="宋体"/>
          <w:bCs/>
          <w:sz w:val="24"/>
          <w:highlight w:val="none"/>
          <w:lang w:val="en-US" w:eastAsia="zh-CN"/>
        </w:rPr>
      </w:pPr>
      <w:r>
        <w:rPr>
          <w:rFonts w:hint="default" w:ascii="宋体" w:hAnsi="宋体" w:cs="宋体"/>
          <w:bCs/>
          <w:sz w:val="24"/>
          <w:highlight w:val="none"/>
          <w:lang w:val="en-US" w:eastAsia="zh-CN"/>
        </w:rPr>
        <w:t>1. 设备具有</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3组治疗和评估通道，其中肌电采集和刺激通道为</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2组，压力电极通道</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1组</w:t>
      </w:r>
      <w:r>
        <w:rPr>
          <w:rFonts w:hint="eastAsia" w:ascii="宋体" w:hAnsi="宋体" w:cs="宋体"/>
          <w:bCs/>
          <w:sz w:val="24"/>
          <w:highlight w:val="none"/>
          <w:lang w:val="en-US" w:eastAsia="zh-CN"/>
        </w:rPr>
        <w:t>。</w:t>
      </w:r>
    </w:p>
    <w:p w14:paraId="05577366">
      <w:pPr>
        <w:widowControl w:val="0"/>
        <w:numPr>
          <w:ilvl w:val="0"/>
          <w:numId w:val="0"/>
        </w:numPr>
        <w:spacing w:before="273" w:after="0" w:line="240" w:lineRule="auto"/>
        <w:ind w:right="0" w:rightChars="0"/>
        <w:jc w:val="left"/>
        <w:rPr>
          <w:rFonts w:hint="default" w:ascii="宋体" w:hAnsi="宋体" w:cs="宋体"/>
          <w:bCs/>
          <w:sz w:val="24"/>
          <w:highlight w:val="none"/>
          <w:lang w:val="en-US" w:eastAsia="zh-CN"/>
        </w:rPr>
      </w:pPr>
      <w:r>
        <w:rPr>
          <w:rFonts w:hint="default" w:ascii="宋体" w:hAnsi="宋体" w:cs="宋体"/>
          <w:bCs/>
          <w:sz w:val="24"/>
          <w:highlight w:val="none"/>
          <w:lang w:val="en-US" w:eastAsia="zh-CN"/>
        </w:rPr>
        <w:t xml:space="preserve">2. </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2组独立的治疗通道，可独立或同步调节刺激强度，互不干扰，可同时多部位或多患者同时治疗。</w:t>
      </w:r>
    </w:p>
    <w:p w14:paraId="408814C3">
      <w:pPr>
        <w:widowControl w:val="0"/>
        <w:numPr>
          <w:ilvl w:val="0"/>
          <w:numId w:val="0"/>
        </w:numPr>
        <w:spacing w:before="273" w:after="0" w:line="240" w:lineRule="auto"/>
        <w:ind w:right="0" w:rightChars="0"/>
        <w:jc w:val="left"/>
        <w:rPr>
          <w:rFonts w:hint="default" w:ascii="宋体" w:hAnsi="宋体" w:cs="宋体"/>
          <w:bCs/>
          <w:sz w:val="24"/>
          <w:highlight w:val="none"/>
          <w:lang w:val="en-US" w:eastAsia="zh-CN"/>
        </w:rPr>
      </w:pPr>
      <w:r>
        <w:rPr>
          <w:rFonts w:hint="default" w:ascii="宋体" w:hAnsi="宋体" w:cs="宋体"/>
          <w:bCs/>
          <w:sz w:val="24"/>
          <w:highlight w:val="none"/>
          <w:lang w:val="en-US" w:eastAsia="zh-CN"/>
        </w:rPr>
        <w:t>3. 输入功率：≥560VA</w:t>
      </w:r>
      <w:r>
        <w:rPr>
          <w:rFonts w:hint="eastAsia" w:ascii="宋体" w:hAnsi="宋体" w:cs="宋体"/>
          <w:bCs/>
          <w:sz w:val="24"/>
          <w:highlight w:val="none"/>
          <w:lang w:val="en-US" w:eastAsia="zh-CN"/>
        </w:rPr>
        <w:t>。</w:t>
      </w:r>
    </w:p>
    <w:p w14:paraId="48033849">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eastAsia" w:ascii="宋体" w:hAnsi="宋体" w:cs="宋体"/>
          <w:bCs/>
          <w:sz w:val="24"/>
          <w:lang w:val="en-US" w:eastAsia="zh-CN"/>
        </w:rPr>
        <w:t>4</w:t>
      </w:r>
      <w:r>
        <w:rPr>
          <w:rFonts w:hint="default" w:ascii="宋体" w:hAnsi="宋体" w:cs="宋体"/>
          <w:bCs/>
          <w:sz w:val="24"/>
          <w:highlight w:val="none"/>
          <w:lang w:val="en-US" w:eastAsia="zh-CN"/>
        </w:rPr>
        <w:t>. 内置锂电池：容量≥3Ah</w:t>
      </w:r>
      <w:r>
        <w:rPr>
          <w:rFonts w:hint="eastAsia" w:ascii="宋体" w:hAnsi="宋体" w:cs="宋体"/>
          <w:bCs/>
          <w:sz w:val="24"/>
          <w:highlight w:val="none"/>
          <w:lang w:val="en-US" w:eastAsia="zh-CN"/>
        </w:rPr>
        <w:t>。</w:t>
      </w:r>
    </w:p>
    <w:p w14:paraId="5D9D3227">
      <w:pPr>
        <w:widowControl w:val="0"/>
        <w:numPr>
          <w:ilvl w:val="0"/>
          <w:numId w:val="0"/>
        </w:numPr>
        <w:spacing w:before="273" w:after="0" w:line="240" w:lineRule="auto"/>
        <w:ind w:right="0" w:rightChars="0"/>
        <w:jc w:val="left"/>
        <w:rPr>
          <w:rFonts w:hint="default" w:ascii="宋体" w:hAnsi="宋体" w:cs="宋体"/>
          <w:bCs/>
          <w:strike/>
          <w:dstrike w:val="0"/>
          <w:sz w:val="24"/>
          <w:highlight w:val="cyan"/>
          <w:lang w:val="en-US" w:eastAsia="zh-CN"/>
        </w:rPr>
      </w:pPr>
      <w:r>
        <w:rPr>
          <w:rFonts w:hint="eastAsia" w:ascii="宋体" w:hAnsi="宋体" w:cs="宋体"/>
          <w:bCs/>
          <w:sz w:val="24"/>
          <w:lang w:val="en-US" w:eastAsia="zh-CN"/>
        </w:rPr>
        <w:t>5</w:t>
      </w:r>
      <w:r>
        <w:rPr>
          <w:rFonts w:hint="default" w:ascii="宋体" w:hAnsi="宋体" w:cs="宋体"/>
          <w:bCs/>
          <w:sz w:val="24"/>
          <w:lang w:val="en-US" w:eastAsia="zh-CN"/>
        </w:rPr>
        <w:t>. 具有电刺激指示灯</w:t>
      </w:r>
      <w:r>
        <w:rPr>
          <w:rFonts w:hint="eastAsia" w:ascii="宋体" w:hAnsi="宋体" w:cs="宋体"/>
          <w:bCs/>
          <w:sz w:val="24"/>
          <w:lang w:val="en-US" w:eastAsia="zh-CN"/>
        </w:rPr>
        <w:t>。</w:t>
      </w:r>
    </w:p>
    <w:p w14:paraId="5843B05A">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eastAsia" w:ascii="宋体" w:hAnsi="宋体" w:cs="宋体"/>
          <w:bCs/>
          <w:sz w:val="24"/>
          <w:lang w:val="en-US" w:eastAsia="zh-CN"/>
        </w:rPr>
        <w:t>6</w:t>
      </w:r>
      <w:r>
        <w:rPr>
          <w:rFonts w:hint="default" w:ascii="宋体" w:hAnsi="宋体" w:cs="宋体"/>
          <w:bCs/>
          <w:sz w:val="24"/>
          <w:lang w:val="en-US" w:eastAsia="zh-CN"/>
        </w:rPr>
        <w:t>. ★</w:t>
      </w:r>
      <w:r>
        <w:rPr>
          <w:rFonts w:ascii="宋体" w:hAnsi="宋体" w:eastAsia="宋体" w:cs="宋体"/>
          <w:sz w:val="24"/>
          <w:szCs w:val="24"/>
        </w:rPr>
        <w:t>具有≥5种治疗模式，包括肢体电刺激、盆底电刺激、产后电刺激、反馈刺激、镜像刺激等</w:t>
      </w:r>
      <w:r>
        <w:rPr>
          <w:rFonts w:hint="default" w:ascii="宋体" w:hAnsi="宋体" w:cs="宋体"/>
          <w:bCs/>
          <w:sz w:val="24"/>
          <w:lang w:val="en-US" w:eastAsia="zh-CN"/>
        </w:rPr>
        <w:t>。</w:t>
      </w:r>
    </w:p>
    <w:p w14:paraId="36C54188">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eastAsia" w:ascii="宋体" w:hAnsi="宋体" w:cs="宋体"/>
          <w:bCs/>
          <w:sz w:val="24"/>
          <w:lang w:val="en-US" w:eastAsia="zh-CN"/>
        </w:rPr>
        <w:t>7</w:t>
      </w:r>
      <w:r>
        <w:rPr>
          <w:rFonts w:hint="default" w:ascii="宋体" w:hAnsi="宋体" w:cs="宋体"/>
          <w:bCs/>
          <w:sz w:val="24"/>
          <w:lang w:val="en-US" w:eastAsia="zh-CN"/>
        </w:rPr>
        <w:t>. ≥2种训练模块，包括模板训练、多媒体训练等。</w:t>
      </w:r>
    </w:p>
    <w:p w14:paraId="1BE5EBC5">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eastAsia" w:ascii="宋体" w:hAnsi="宋体" w:cs="宋体"/>
          <w:bCs/>
          <w:sz w:val="24"/>
          <w:lang w:val="en-US" w:eastAsia="zh-CN"/>
        </w:rPr>
        <w:t>8</w:t>
      </w:r>
      <w:r>
        <w:rPr>
          <w:rFonts w:hint="default" w:ascii="宋体" w:hAnsi="宋体" w:cs="宋体"/>
          <w:bCs/>
          <w:sz w:val="24"/>
          <w:lang w:val="en-US" w:eastAsia="zh-CN"/>
        </w:rPr>
        <w:t>. ★设备具有</w:t>
      </w:r>
      <w:r>
        <w:rPr>
          <w:rFonts w:hint="eastAsia" w:ascii="宋体" w:hAnsi="宋体" w:cs="宋体"/>
          <w:bCs/>
          <w:sz w:val="24"/>
          <w:lang w:val="en-US" w:eastAsia="zh-CN"/>
        </w:rPr>
        <w:t>≥</w:t>
      </w:r>
      <w:r>
        <w:rPr>
          <w:rFonts w:hint="default" w:ascii="宋体" w:hAnsi="宋体" w:cs="宋体"/>
          <w:bCs/>
          <w:sz w:val="24"/>
          <w:lang w:val="en-US" w:eastAsia="zh-CN"/>
        </w:rPr>
        <w:t>7</w:t>
      </w:r>
      <w:r>
        <w:rPr>
          <w:rFonts w:hint="eastAsia" w:ascii="宋体" w:hAnsi="宋体" w:cs="宋体"/>
          <w:bCs/>
          <w:sz w:val="24"/>
          <w:lang w:val="en-US" w:eastAsia="zh-CN"/>
        </w:rPr>
        <w:t>0</w:t>
      </w:r>
      <w:r>
        <w:rPr>
          <w:rFonts w:hint="default" w:ascii="宋体" w:hAnsi="宋体" w:cs="宋体"/>
          <w:bCs/>
          <w:sz w:val="24"/>
          <w:lang w:val="en-US" w:eastAsia="zh-CN"/>
        </w:rPr>
        <w:t>个肢体治疗方案， 包含增加活动范围，肌肉萎缩治疗，增加肌力治疗等。</w:t>
      </w:r>
    </w:p>
    <w:p w14:paraId="1D39DDC5">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eastAsia" w:ascii="宋体" w:hAnsi="宋体" w:cs="宋体"/>
          <w:bCs/>
          <w:sz w:val="24"/>
          <w:lang w:val="en-US" w:eastAsia="zh-CN"/>
        </w:rPr>
        <w:t>9</w:t>
      </w:r>
      <w:r>
        <w:rPr>
          <w:rFonts w:hint="default" w:ascii="宋体" w:hAnsi="宋体" w:cs="宋体"/>
          <w:bCs/>
          <w:sz w:val="24"/>
          <w:lang w:val="en-US" w:eastAsia="zh-CN"/>
        </w:rPr>
        <w:t>. ★系统内置</w:t>
      </w:r>
      <w:r>
        <w:rPr>
          <w:rFonts w:hint="eastAsia" w:ascii="宋体" w:hAnsi="宋体" w:cs="宋体"/>
          <w:bCs/>
          <w:sz w:val="24"/>
          <w:lang w:val="en-US" w:eastAsia="zh-CN"/>
        </w:rPr>
        <w:t>≥10种</w:t>
      </w:r>
      <w:r>
        <w:rPr>
          <w:rFonts w:hint="default" w:ascii="宋体" w:hAnsi="宋体" w:cs="宋体"/>
          <w:bCs/>
          <w:sz w:val="24"/>
          <w:lang w:val="en-US" w:eastAsia="zh-CN"/>
        </w:rPr>
        <w:t>临床常用盆底康复治疗方案</w:t>
      </w:r>
      <w:r>
        <w:rPr>
          <w:rFonts w:hint="eastAsia" w:ascii="宋体" w:hAnsi="宋体" w:cs="宋体"/>
          <w:bCs/>
          <w:sz w:val="24"/>
          <w:lang w:val="en-US" w:eastAsia="zh-CN"/>
        </w:rPr>
        <w:t>。</w:t>
      </w:r>
    </w:p>
    <w:p w14:paraId="15945BA1">
      <w:pPr>
        <w:widowControl w:val="0"/>
        <w:numPr>
          <w:ilvl w:val="0"/>
          <w:numId w:val="0"/>
        </w:numPr>
        <w:spacing w:before="273" w:after="0" w:line="240" w:lineRule="auto"/>
        <w:ind w:right="0" w:rightChars="0"/>
        <w:jc w:val="left"/>
        <w:rPr>
          <w:rFonts w:hint="default" w:ascii="宋体" w:hAnsi="宋体" w:cs="宋体"/>
          <w:bCs/>
          <w:strike w:val="0"/>
          <w:dstrike w:val="0"/>
          <w:sz w:val="24"/>
          <w:highlight w:val="none"/>
          <w:lang w:val="en-US" w:eastAsia="zh-CN"/>
        </w:rPr>
      </w:pPr>
      <w:r>
        <w:rPr>
          <w:rFonts w:hint="default" w:ascii="宋体" w:hAnsi="宋体" w:cs="宋体"/>
          <w:bCs/>
          <w:strike w:val="0"/>
          <w:dstrike w:val="0"/>
          <w:sz w:val="24"/>
          <w:highlight w:val="none"/>
          <w:lang w:val="en-US" w:eastAsia="zh-CN"/>
        </w:rPr>
        <w:t>1</w:t>
      </w:r>
      <w:r>
        <w:rPr>
          <w:rFonts w:hint="eastAsia" w:ascii="宋体" w:hAnsi="宋体" w:cs="宋体"/>
          <w:bCs/>
          <w:strike w:val="0"/>
          <w:dstrike w:val="0"/>
          <w:sz w:val="24"/>
          <w:highlight w:val="none"/>
          <w:lang w:val="en-US" w:eastAsia="zh-CN"/>
        </w:rPr>
        <w:t>0</w:t>
      </w:r>
      <w:r>
        <w:rPr>
          <w:rFonts w:hint="default" w:ascii="宋体" w:hAnsi="宋体" w:cs="宋体"/>
          <w:bCs/>
          <w:strike w:val="0"/>
          <w:dstrike w:val="0"/>
          <w:sz w:val="24"/>
          <w:highlight w:val="none"/>
          <w:lang w:val="en-US" w:eastAsia="zh-CN"/>
        </w:rPr>
        <w:t>. ★≥4种评估方式，包括快速评估、标准评估、压力评估、肌电评估等。</w:t>
      </w:r>
    </w:p>
    <w:p w14:paraId="39D410E9">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1</w:t>
      </w:r>
      <w:r>
        <w:rPr>
          <w:rFonts w:hint="eastAsia" w:ascii="宋体" w:hAnsi="宋体" w:cs="宋体"/>
          <w:bCs/>
          <w:sz w:val="24"/>
          <w:lang w:val="en-US" w:eastAsia="zh-CN"/>
        </w:rPr>
        <w:t>1</w:t>
      </w:r>
      <w:r>
        <w:rPr>
          <w:rFonts w:hint="default" w:ascii="宋体" w:hAnsi="宋体" w:cs="宋体"/>
          <w:bCs/>
          <w:sz w:val="24"/>
          <w:lang w:val="en-US" w:eastAsia="zh-CN"/>
        </w:rPr>
        <w:t>. 盆底评估过程中，波形采集界面灵敏度和扫描速度可根据需要进行调节，滤除工频和通频带外的信号干扰，对盆腔Ⅰ类肌Ⅱ类肌的肌张力、肌耐力、肌肉协调性进行快速筛查检测，并自动计算检测项单项和总评估得分。</w:t>
      </w:r>
    </w:p>
    <w:p w14:paraId="3BFF8520">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1</w:t>
      </w:r>
      <w:r>
        <w:rPr>
          <w:rFonts w:hint="eastAsia" w:ascii="宋体" w:hAnsi="宋体" w:cs="宋体"/>
          <w:bCs/>
          <w:sz w:val="24"/>
          <w:lang w:val="en-US" w:eastAsia="zh-CN"/>
        </w:rPr>
        <w:t>2</w:t>
      </w:r>
      <w:r>
        <w:rPr>
          <w:rFonts w:hint="default" w:ascii="宋体" w:hAnsi="宋体" w:cs="宋体"/>
          <w:bCs/>
          <w:sz w:val="24"/>
          <w:lang w:val="en-US" w:eastAsia="zh-CN"/>
        </w:rPr>
        <w:t>. ★肌电评估位置≥50个，设备软件明确提示肌肉名称及相应贴图位置。</w:t>
      </w:r>
    </w:p>
    <w:p w14:paraId="7436A8E2">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1</w:t>
      </w:r>
      <w:r>
        <w:rPr>
          <w:rFonts w:hint="eastAsia" w:ascii="宋体" w:hAnsi="宋体" w:cs="宋体"/>
          <w:bCs/>
          <w:sz w:val="24"/>
          <w:lang w:val="en-US" w:eastAsia="zh-CN"/>
        </w:rPr>
        <w:t>3</w:t>
      </w:r>
      <w:r>
        <w:rPr>
          <w:rFonts w:hint="default" w:ascii="宋体" w:hAnsi="宋体" w:cs="宋体"/>
          <w:bCs/>
          <w:sz w:val="24"/>
          <w:lang w:val="en-US" w:eastAsia="zh-CN"/>
        </w:rPr>
        <w:t>. 评估结果输出标准评估报告，包括多种评估指标数值、参考范围、盆底肌电图以及腹肌参与度、报告解读。</w:t>
      </w:r>
    </w:p>
    <w:p w14:paraId="5BA7B822">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1</w:t>
      </w:r>
      <w:r>
        <w:rPr>
          <w:rFonts w:hint="eastAsia" w:ascii="宋体" w:hAnsi="宋体" w:cs="宋体"/>
          <w:bCs/>
          <w:sz w:val="24"/>
          <w:lang w:val="en-US" w:eastAsia="zh-CN"/>
        </w:rPr>
        <w:t>4</w:t>
      </w:r>
      <w:r>
        <w:rPr>
          <w:rFonts w:hint="default" w:ascii="宋体" w:hAnsi="宋体" w:cs="宋体"/>
          <w:bCs/>
          <w:sz w:val="24"/>
          <w:lang w:val="en-US" w:eastAsia="zh-CN"/>
        </w:rPr>
        <w:t>. 反馈阈值的准确度：在中心频率80Hz测量时误差应不大于标称值的±10%</w:t>
      </w:r>
    </w:p>
    <w:p w14:paraId="7D4A7669">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1</w:t>
      </w:r>
      <w:r>
        <w:rPr>
          <w:rFonts w:hint="eastAsia" w:ascii="宋体" w:hAnsi="宋体" w:cs="宋体"/>
          <w:bCs/>
          <w:sz w:val="24"/>
          <w:lang w:val="en-US" w:eastAsia="zh-CN"/>
        </w:rPr>
        <w:t>5</w:t>
      </w:r>
      <w:r>
        <w:rPr>
          <w:rFonts w:hint="default" w:ascii="宋体" w:hAnsi="宋体" w:cs="宋体"/>
          <w:bCs/>
          <w:sz w:val="24"/>
          <w:lang w:val="en-US" w:eastAsia="zh-CN"/>
        </w:rPr>
        <w:t>. 幅值测量范围：5µV＜U≤100000µV（rms）</w:t>
      </w:r>
    </w:p>
    <w:p w14:paraId="6E03D140">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1</w:t>
      </w:r>
      <w:r>
        <w:rPr>
          <w:rFonts w:hint="eastAsia" w:ascii="宋体" w:hAnsi="宋体" w:cs="宋体"/>
          <w:bCs/>
          <w:sz w:val="24"/>
          <w:lang w:val="en-US" w:eastAsia="zh-CN"/>
        </w:rPr>
        <w:t>6</w:t>
      </w:r>
      <w:r>
        <w:rPr>
          <w:rFonts w:hint="default" w:ascii="宋体" w:hAnsi="宋体" w:cs="宋体"/>
          <w:bCs/>
          <w:sz w:val="24"/>
          <w:lang w:val="en-US" w:eastAsia="zh-CN"/>
        </w:rPr>
        <w:t>. 最高分辨率：≤2µV（rms）</w:t>
      </w:r>
    </w:p>
    <w:p w14:paraId="1F1854A6">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1</w:t>
      </w:r>
      <w:r>
        <w:rPr>
          <w:rFonts w:hint="eastAsia" w:ascii="宋体" w:hAnsi="宋体" w:cs="宋体"/>
          <w:bCs/>
          <w:sz w:val="24"/>
          <w:lang w:val="en-US" w:eastAsia="zh-CN"/>
        </w:rPr>
        <w:t>7</w:t>
      </w:r>
      <w:r>
        <w:rPr>
          <w:rFonts w:hint="default" w:ascii="宋体" w:hAnsi="宋体" w:cs="宋体"/>
          <w:bCs/>
          <w:sz w:val="24"/>
          <w:lang w:val="en-US" w:eastAsia="zh-CN"/>
        </w:rPr>
        <w:t>. 系统噪声：≤1µV（rms）</w:t>
      </w:r>
    </w:p>
    <w:p w14:paraId="19F2C541">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1</w:t>
      </w:r>
      <w:r>
        <w:rPr>
          <w:rFonts w:hint="eastAsia" w:ascii="宋体" w:hAnsi="宋体" w:cs="宋体"/>
          <w:bCs/>
          <w:sz w:val="24"/>
          <w:lang w:val="en-US" w:eastAsia="zh-CN"/>
        </w:rPr>
        <w:t>8</w:t>
      </w:r>
      <w:r>
        <w:rPr>
          <w:rFonts w:hint="default" w:ascii="宋体" w:hAnsi="宋体" w:cs="宋体"/>
          <w:bCs/>
          <w:sz w:val="24"/>
          <w:lang w:val="en-US" w:eastAsia="zh-CN"/>
        </w:rPr>
        <w:t>. 通频带：不窄于20Hz～500Hz</w:t>
      </w:r>
    </w:p>
    <w:p w14:paraId="7F581025">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eastAsia" w:ascii="宋体" w:hAnsi="宋体" w:cs="宋体"/>
          <w:bCs/>
          <w:sz w:val="24"/>
          <w:lang w:val="en-US" w:eastAsia="zh-CN"/>
        </w:rPr>
        <w:t>19</w:t>
      </w:r>
      <w:r>
        <w:rPr>
          <w:rFonts w:hint="default" w:ascii="宋体" w:hAnsi="宋体" w:cs="宋体"/>
          <w:bCs/>
          <w:sz w:val="24"/>
          <w:lang w:val="en-US" w:eastAsia="zh-CN"/>
        </w:rPr>
        <w:t>. 差模输入阻抗：</w:t>
      </w:r>
      <w:r>
        <w:rPr>
          <w:rFonts w:hint="eastAsia" w:ascii="宋体" w:hAnsi="宋体" w:cs="宋体"/>
          <w:bCs/>
          <w:sz w:val="24"/>
          <w:lang w:val="en-US" w:eastAsia="zh-CN"/>
        </w:rPr>
        <w:t>≥</w:t>
      </w:r>
      <w:r>
        <w:rPr>
          <w:rFonts w:hint="default" w:ascii="宋体" w:hAnsi="宋体" w:cs="宋体"/>
          <w:bCs/>
          <w:sz w:val="24"/>
          <w:lang w:val="en-US" w:eastAsia="zh-CN"/>
        </w:rPr>
        <w:t>10MΩ</w:t>
      </w:r>
    </w:p>
    <w:p w14:paraId="1015B24D">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2</w:t>
      </w:r>
      <w:r>
        <w:rPr>
          <w:rFonts w:hint="eastAsia" w:ascii="宋体" w:hAnsi="宋体" w:cs="宋体"/>
          <w:bCs/>
          <w:sz w:val="24"/>
          <w:lang w:val="en-US" w:eastAsia="zh-CN"/>
        </w:rPr>
        <w:t>0</w:t>
      </w:r>
      <w:r>
        <w:rPr>
          <w:rFonts w:hint="default" w:ascii="宋体" w:hAnsi="宋体" w:cs="宋体"/>
          <w:bCs/>
          <w:sz w:val="24"/>
          <w:lang w:val="en-US" w:eastAsia="zh-CN"/>
        </w:rPr>
        <w:t>. 共模抑制比：</w:t>
      </w:r>
      <w:r>
        <w:rPr>
          <w:rFonts w:hint="eastAsia" w:ascii="宋体" w:hAnsi="宋体" w:cs="宋体"/>
          <w:bCs/>
          <w:sz w:val="24"/>
          <w:lang w:val="en-US" w:eastAsia="zh-CN"/>
        </w:rPr>
        <w:t>≥</w:t>
      </w:r>
      <w:r>
        <w:rPr>
          <w:rFonts w:hint="default" w:ascii="宋体" w:hAnsi="宋体" w:cs="宋体"/>
          <w:bCs/>
          <w:sz w:val="24"/>
          <w:lang w:val="en-US" w:eastAsia="zh-CN"/>
        </w:rPr>
        <w:t>120dB</w:t>
      </w:r>
    </w:p>
    <w:p w14:paraId="682925AB">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2</w:t>
      </w:r>
      <w:r>
        <w:rPr>
          <w:rFonts w:hint="eastAsia" w:ascii="宋体" w:hAnsi="宋体" w:cs="宋体"/>
          <w:bCs/>
          <w:sz w:val="24"/>
          <w:lang w:val="en-US" w:eastAsia="zh-CN"/>
        </w:rPr>
        <w:t>1</w:t>
      </w:r>
      <w:r>
        <w:rPr>
          <w:rFonts w:ascii="宋体" w:hAnsi="宋体" w:eastAsia="宋体" w:cs="宋体"/>
          <w:sz w:val="24"/>
          <w:szCs w:val="24"/>
        </w:rPr>
        <w:t>≥3种电刺激输出波形：包括单向方波、双向方波及交替波等</w:t>
      </w:r>
      <w:r>
        <w:rPr>
          <w:rFonts w:hint="default" w:ascii="宋体" w:hAnsi="宋体" w:cs="宋体"/>
          <w:bCs/>
          <w:sz w:val="24"/>
          <w:lang w:val="en-US" w:eastAsia="zh-CN"/>
        </w:rPr>
        <w:t>。</w:t>
      </w:r>
    </w:p>
    <w:p w14:paraId="712AD6F5">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2</w:t>
      </w:r>
      <w:r>
        <w:rPr>
          <w:rFonts w:hint="eastAsia" w:ascii="宋体" w:hAnsi="宋体" w:cs="宋体"/>
          <w:bCs/>
          <w:sz w:val="24"/>
          <w:lang w:val="en-US" w:eastAsia="zh-CN"/>
        </w:rPr>
        <w:t>2</w:t>
      </w:r>
      <w:r>
        <w:rPr>
          <w:rFonts w:hint="default" w:ascii="宋体" w:hAnsi="宋体" w:cs="宋体"/>
          <w:bCs/>
          <w:sz w:val="24"/>
          <w:lang w:val="en-US" w:eastAsia="zh-CN"/>
        </w:rPr>
        <w:t>. 电流刺激强度：0～100mA(Ip-p)，步长为1mA，误差：±10%或±0.5mA，两者取大值</w:t>
      </w:r>
      <w:r>
        <w:rPr>
          <w:rFonts w:hint="eastAsia" w:ascii="宋体" w:hAnsi="宋体" w:cs="宋体"/>
          <w:bCs/>
          <w:sz w:val="24"/>
          <w:lang w:val="en-US" w:eastAsia="zh-CN"/>
        </w:rPr>
        <w:t>。</w:t>
      </w:r>
    </w:p>
    <w:p w14:paraId="7061E6F4">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2</w:t>
      </w:r>
      <w:r>
        <w:rPr>
          <w:rFonts w:hint="eastAsia" w:ascii="宋体" w:hAnsi="宋体" w:cs="宋体"/>
          <w:bCs/>
          <w:sz w:val="24"/>
          <w:lang w:val="en-US" w:eastAsia="zh-CN"/>
        </w:rPr>
        <w:t>3</w:t>
      </w:r>
      <w:r>
        <w:rPr>
          <w:rFonts w:hint="default" w:ascii="宋体" w:hAnsi="宋体" w:cs="宋体"/>
          <w:bCs/>
          <w:sz w:val="24"/>
          <w:lang w:val="en-US" w:eastAsia="zh-CN"/>
        </w:rPr>
        <w:t>. 直流分量：无直流分量</w:t>
      </w:r>
      <w:r>
        <w:rPr>
          <w:rFonts w:hint="eastAsia" w:ascii="宋体" w:hAnsi="宋体" w:cs="宋体"/>
          <w:bCs/>
          <w:sz w:val="24"/>
          <w:lang w:val="en-US" w:eastAsia="zh-CN"/>
        </w:rPr>
        <w:t>。</w:t>
      </w:r>
    </w:p>
    <w:p w14:paraId="584701CF">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2</w:t>
      </w:r>
      <w:r>
        <w:rPr>
          <w:rFonts w:hint="eastAsia" w:ascii="宋体" w:hAnsi="宋体" w:cs="宋体"/>
          <w:bCs/>
          <w:sz w:val="24"/>
          <w:lang w:val="en-US" w:eastAsia="zh-CN"/>
        </w:rPr>
        <w:t>4</w:t>
      </w:r>
      <w:r>
        <w:rPr>
          <w:rFonts w:hint="default" w:ascii="宋体" w:hAnsi="宋体" w:cs="宋体"/>
          <w:bCs/>
          <w:sz w:val="24"/>
          <w:lang w:val="en-US" w:eastAsia="zh-CN"/>
        </w:rPr>
        <w:t>. 电流刺激脉宽：50µs～1000µs可调，误差：±10%。步长：50µs～500µs时，步长50µs；500µs～1000µs时，步长为100µs。</w:t>
      </w:r>
    </w:p>
    <w:p w14:paraId="6DEA50F4">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2</w:t>
      </w:r>
      <w:r>
        <w:rPr>
          <w:rFonts w:hint="eastAsia" w:ascii="宋体" w:hAnsi="宋体" w:cs="宋体"/>
          <w:bCs/>
          <w:sz w:val="24"/>
          <w:lang w:val="en-US" w:eastAsia="zh-CN"/>
        </w:rPr>
        <w:t>5</w:t>
      </w:r>
      <w:r>
        <w:rPr>
          <w:rFonts w:hint="default" w:ascii="宋体" w:hAnsi="宋体" w:cs="宋体"/>
          <w:bCs/>
          <w:sz w:val="24"/>
          <w:lang w:val="en-US" w:eastAsia="zh-CN"/>
        </w:rPr>
        <w:t>. 频率：1Hz～250Hz可调，误差：±5%。频率小于10Hz时，步长为1Hz；频率小于50Hz时，步长为5Hz；频率为50Hz～250Hz时，步长为10Hz。</w:t>
      </w:r>
    </w:p>
    <w:p w14:paraId="0ED2450F">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2</w:t>
      </w:r>
      <w:r>
        <w:rPr>
          <w:rFonts w:hint="eastAsia" w:ascii="宋体" w:hAnsi="宋体" w:cs="宋体"/>
          <w:bCs/>
          <w:sz w:val="24"/>
          <w:lang w:val="en-US" w:eastAsia="zh-CN"/>
        </w:rPr>
        <w:t>6</w:t>
      </w:r>
      <w:r>
        <w:rPr>
          <w:rFonts w:hint="default" w:ascii="宋体" w:hAnsi="宋体" w:cs="宋体"/>
          <w:bCs/>
          <w:sz w:val="24"/>
          <w:lang w:val="en-US" w:eastAsia="zh-CN"/>
        </w:rPr>
        <w:t>. 治疗时间：5～60min可调，步长：5min。</w:t>
      </w:r>
    </w:p>
    <w:p w14:paraId="34B7418D">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2</w:t>
      </w:r>
      <w:r>
        <w:rPr>
          <w:rFonts w:hint="eastAsia" w:ascii="宋体" w:hAnsi="宋体" w:cs="宋体"/>
          <w:bCs/>
          <w:sz w:val="24"/>
          <w:lang w:val="en-US" w:eastAsia="zh-CN"/>
        </w:rPr>
        <w:t>7</w:t>
      </w:r>
      <w:r>
        <w:rPr>
          <w:rFonts w:hint="default" w:ascii="宋体" w:hAnsi="宋体" w:cs="宋体"/>
          <w:bCs/>
          <w:sz w:val="24"/>
          <w:lang w:val="en-US" w:eastAsia="zh-CN"/>
        </w:rPr>
        <w:t>. 可自定义编辑电刺激治疗参数和方案，包括频率、脉宽、休息时间、刺激时间、输出波形的上升/下降时间</w:t>
      </w:r>
      <w:r>
        <w:rPr>
          <w:rFonts w:hint="eastAsia" w:ascii="宋体" w:hAnsi="宋体" w:cs="宋体"/>
          <w:bCs/>
          <w:sz w:val="24"/>
          <w:lang w:val="en-US" w:eastAsia="zh-CN"/>
        </w:rPr>
        <w:t>等。</w:t>
      </w:r>
    </w:p>
    <w:p w14:paraId="754C6B9F">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2</w:t>
      </w:r>
      <w:r>
        <w:rPr>
          <w:rFonts w:hint="eastAsia" w:ascii="宋体" w:hAnsi="宋体" w:cs="宋体"/>
          <w:bCs/>
          <w:sz w:val="24"/>
          <w:lang w:val="en-US" w:eastAsia="zh-CN"/>
        </w:rPr>
        <w:t>8</w:t>
      </w:r>
      <w:r>
        <w:rPr>
          <w:rFonts w:hint="default" w:ascii="宋体" w:hAnsi="宋体" w:cs="宋体"/>
          <w:bCs/>
          <w:sz w:val="24"/>
          <w:lang w:val="en-US" w:eastAsia="zh-CN"/>
        </w:rPr>
        <w:t>. 预置多媒体场景动画治疗方案；患者可直观看到实时的肌电值和训练得分，可对康复治疗进行自主评估。</w:t>
      </w:r>
    </w:p>
    <w:p w14:paraId="7D281F3F">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eastAsia" w:ascii="宋体" w:hAnsi="宋体" w:cs="宋体"/>
          <w:bCs/>
          <w:sz w:val="24"/>
          <w:lang w:val="en-US" w:eastAsia="zh-CN"/>
        </w:rPr>
        <w:t>29</w:t>
      </w:r>
      <w:r>
        <w:rPr>
          <w:rFonts w:hint="default" w:ascii="宋体" w:hAnsi="宋体" w:cs="宋体"/>
          <w:bCs/>
          <w:sz w:val="24"/>
          <w:lang w:val="en-US" w:eastAsia="zh-CN"/>
        </w:rPr>
        <w:t>. 治疗方案提供治疗部位示意图。</w:t>
      </w:r>
    </w:p>
    <w:p w14:paraId="7A1D9301">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3</w:t>
      </w:r>
      <w:r>
        <w:rPr>
          <w:rFonts w:hint="eastAsia" w:ascii="宋体" w:hAnsi="宋体" w:cs="宋体"/>
          <w:bCs/>
          <w:sz w:val="24"/>
          <w:lang w:val="en-US" w:eastAsia="zh-CN"/>
        </w:rPr>
        <w:t>0</w:t>
      </w:r>
      <w:r>
        <w:rPr>
          <w:rFonts w:hint="default" w:ascii="宋体" w:hAnsi="宋体" w:cs="宋体"/>
          <w:bCs/>
          <w:sz w:val="24"/>
          <w:lang w:val="en-US" w:eastAsia="zh-CN"/>
        </w:rPr>
        <w:t>. 训练过程中有语音提示功能，指导患者执行正确的肌肉收缩放松动作。</w:t>
      </w:r>
    </w:p>
    <w:p w14:paraId="4BA415EB">
      <w:pPr>
        <w:widowControl w:val="0"/>
        <w:numPr>
          <w:ilvl w:val="0"/>
          <w:numId w:val="0"/>
        </w:numPr>
        <w:spacing w:before="273" w:after="0" w:line="240" w:lineRule="auto"/>
        <w:ind w:right="0" w:rightChars="0"/>
        <w:jc w:val="left"/>
        <w:rPr>
          <w:rFonts w:hint="default" w:ascii="宋体" w:hAnsi="宋体" w:cs="宋体"/>
          <w:bCs/>
          <w:sz w:val="24"/>
          <w:lang w:val="en-US" w:eastAsia="zh-CN"/>
        </w:rPr>
      </w:pPr>
      <w:r>
        <w:rPr>
          <w:rFonts w:hint="default" w:ascii="宋体" w:hAnsi="宋体" w:cs="宋体"/>
          <w:bCs/>
          <w:sz w:val="24"/>
          <w:lang w:val="en-US" w:eastAsia="zh-CN"/>
        </w:rPr>
        <w:t>3</w:t>
      </w:r>
      <w:r>
        <w:rPr>
          <w:rFonts w:hint="eastAsia" w:ascii="宋体" w:hAnsi="宋体" w:cs="宋体"/>
          <w:bCs/>
          <w:sz w:val="24"/>
          <w:lang w:val="en-US" w:eastAsia="zh-CN"/>
        </w:rPr>
        <w:t>1</w:t>
      </w:r>
      <w:r>
        <w:rPr>
          <w:rFonts w:hint="default" w:ascii="宋体" w:hAnsi="宋体" w:cs="宋体"/>
          <w:bCs/>
          <w:sz w:val="24"/>
          <w:lang w:val="en-US" w:eastAsia="zh-CN"/>
        </w:rPr>
        <w:t>. 连续工作时间： 网电源供电状态下</w:t>
      </w:r>
      <w:r>
        <w:rPr>
          <w:rFonts w:hint="eastAsia" w:ascii="宋体" w:hAnsi="宋体" w:cs="宋体"/>
          <w:bCs/>
          <w:sz w:val="24"/>
          <w:lang w:val="en-US" w:eastAsia="zh-CN"/>
        </w:rPr>
        <w:t>≥</w:t>
      </w:r>
      <w:r>
        <w:rPr>
          <w:rFonts w:hint="default" w:ascii="宋体" w:hAnsi="宋体" w:cs="宋体"/>
          <w:bCs/>
          <w:sz w:val="24"/>
          <w:lang w:val="en-US" w:eastAsia="zh-CN"/>
        </w:rPr>
        <w:t>4小时</w:t>
      </w:r>
      <w:r>
        <w:rPr>
          <w:rFonts w:hint="eastAsia" w:ascii="宋体" w:hAnsi="宋体" w:cs="宋体"/>
          <w:bCs/>
          <w:sz w:val="24"/>
          <w:lang w:val="en-US" w:eastAsia="zh-CN"/>
        </w:rPr>
        <w:t>；</w:t>
      </w:r>
      <w:r>
        <w:rPr>
          <w:rFonts w:hint="default" w:ascii="宋体" w:hAnsi="宋体" w:cs="宋体"/>
          <w:bCs/>
          <w:sz w:val="24"/>
          <w:lang w:val="en-US" w:eastAsia="zh-CN"/>
        </w:rPr>
        <w:t>电池供电状态下</w:t>
      </w:r>
      <w:r>
        <w:rPr>
          <w:rFonts w:hint="eastAsia" w:ascii="宋体" w:hAnsi="宋体" w:cs="宋体"/>
          <w:bCs/>
          <w:sz w:val="24"/>
          <w:lang w:val="en-US" w:eastAsia="zh-CN"/>
        </w:rPr>
        <w:t>≥</w:t>
      </w:r>
      <w:r>
        <w:rPr>
          <w:rFonts w:hint="default" w:ascii="宋体" w:hAnsi="宋体" w:cs="宋体"/>
          <w:bCs/>
          <w:sz w:val="24"/>
          <w:lang w:val="en-US" w:eastAsia="zh-CN"/>
        </w:rPr>
        <w:t>30分钟。</w:t>
      </w:r>
    </w:p>
    <w:p w14:paraId="33B597BB">
      <w:pPr>
        <w:rPr>
          <w:rFonts w:hint="default" w:ascii="宋体" w:hAnsi="宋体" w:cs="宋体"/>
          <w:bCs/>
          <w:sz w:val="24"/>
          <w:lang w:val="en-US" w:eastAsia="zh-CN"/>
        </w:rPr>
      </w:pPr>
      <w:r>
        <w:rPr>
          <w:rFonts w:hint="default" w:ascii="宋体" w:hAnsi="宋体" w:cs="宋体"/>
          <w:bCs/>
          <w:sz w:val="24"/>
          <w:lang w:val="en-US" w:eastAsia="zh-CN"/>
        </w:rPr>
        <w:t>3</w:t>
      </w:r>
      <w:r>
        <w:rPr>
          <w:rFonts w:hint="eastAsia" w:ascii="宋体" w:hAnsi="宋体" w:cs="宋体"/>
          <w:bCs/>
          <w:sz w:val="24"/>
          <w:lang w:val="en-US" w:eastAsia="zh-CN"/>
        </w:rPr>
        <w:t>2</w:t>
      </w:r>
      <w:r>
        <w:rPr>
          <w:rFonts w:hint="default" w:ascii="宋体" w:hAnsi="宋体" w:cs="宋体"/>
          <w:bCs/>
          <w:sz w:val="24"/>
          <w:lang w:val="en-US" w:eastAsia="zh-CN"/>
        </w:rPr>
        <w:t>. 数据传输接口为：USB；存储格式为：文本文件+access数据库。</w:t>
      </w:r>
      <w:r>
        <w:rPr>
          <w:rFonts w:hint="default" w:ascii="宋体" w:hAnsi="宋体" w:cs="宋体"/>
          <w:bCs/>
          <w:sz w:val="24"/>
          <w:lang w:val="en-US" w:eastAsia="zh-CN"/>
        </w:rPr>
        <w:br w:type="textWrapping"/>
      </w:r>
    </w:p>
    <w:p w14:paraId="11DDC7E7">
      <w:pPr>
        <w:jc w:val="center"/>
        <w:rPr>
          <w:rFonts w:hint="default"/>
          <w:b/>
          <w:bCs/>
          <w:sz w:val="32"/>
          <w:szCs w:val="32"/>
          <w:lang w:val="en-US" w:eastAsia="zh-CN"/>
        </w:rPr>
      </w:pPr>
      <w:r>
        <w:rPr>
          <w:rFonts w:hint="eastAsia"/>
          <w:b/>
          <w:bCs/>
          <w:sz w:val="32"/>
          <w:szCs w:val="32"/>
          <w:lang w:val="en-US" w:eastAsia="zh-CN"/>
        </w:rPr>
        <w:t>生物反馈神经肌肉刺激治疗工作站参数</w:t>
      </w:r>
    </w:p>
    <w:p w14:paraId="5779C82F">
      <w:pPr>
        <w:pStyle w:val="6"/>
      </w:pPr>
    </w:p>
    <w:p w14:paraId="0495169B">
      <w:pPr>
        <w:numPr>
          <w:ilvl w:val="0"/>
          <w:numId w:val="0"/>
        </w:numPr>
        <w:spacing w:line="360" w:lineRule="auto"/>
        <w:jc w:val="left"/>
        <w:rPr>
          <w:rFonts w:hint="eastAsia" w:ascii="宋体" w:hAnsi="宋体" w:eastAsia="宋体" w:cs="仿宋"/>
          <w:kern w:val="0"/>
          <w:sz w:val="24"/>
        </w:rPr>
      </w:pPr>
      <w:r>
        <w:rPr>
          <w:rFonts w:hint="eastAsia" w:ascii="宋体" w:hAnsi="宋体" w:eastAsia="宋体" w:cs="仿宋"/>
          <w:kern w:val="0"/>
          <w:sz w:val="24"/>
        </w:rPr>
        <w:t>1</w:t>
      </w:r>
      <w:r>
        <w:rPr>
          <w:rFonts w:hint="eastAsia" w:ascii="宋体" w:hAnsi="宋体" w:eastAsia="宋体" w:cs="仿宋"/>
          <w:kern w:val="0"/>
          <w:sz w:val="24"/>
          <w:lang w:val="en-US" w:eastAsia="zh-CN"/>
        </w:rPr>
        <w:t>.</w:t>
      </w:r>
      <w:r>
        <w:rPr>
          <w:rFonts w:ascii="宋体" w:hAnsi="宋体" w:eastAsia="宋体" w:cs="宋体"/>
          <w:sz w:val="24"/>
          <w:szCs w:val="24"/>
        </w:rPr>
        <w:t>≥3组通道，包括电刺激通道、肌电采集通道、压力反馈通道等</w:t>
      </w:r>
      <w:r>
        <w:rPr>
          <w:rFonts w:hint="eastAsia" w:ascii="宋体" w:hAnsi="宋体" w:eastAsia="宋体" w:cs="仿宋"/>
          <w:kern w:val="0"/>
          <w:sz w:val="24"/>
        </w:rPr>
        <w:t>。</w:t>
      </w:r>
    </w:p>
    <w:p w14:paraId="0D09C257">
      <w:pPr>
        <w:numPr>
          <w:ilvl w:val="0"/>
          <w:numId w:val="0"/>
        </w:numPr>
        <w:spacing w:line="360" w:lineRule="auto"/>
        <w:jc w:val="left"/>
        <w:rPr>
          <w:rFonts w:hint="eastAsia" w:ascii="宋体" w:hAnsi="宋体" w:eastAsia="宋体" w:cs="仿宋"/>
          <w:kern w:val="0"/>
          <w:sz w:val="24"/>
          <w:lang w:val="en-US" w:eastAsia="zh-CN"/>
        </w:rPr>
      </w:pPr>
      <w:r>
        <w:rPr>
          <w:rFonts w:hint="eastAsia" w:ascii="仿宋" w:hAnsi="仿宋" w:eastAsia="仿宋" w:cs="仿宋"/>
          <w:b/>
          <w:bCs/>
          <w:color w:val="000000"/>
          <w:sz w:val="24"/>
          <w:highlight w:val="none"/>
        </w:rPr>
        <w:t>★</w:t>
      </w:r>
      <w:r>
        <w:rPr>
          <w:rFonts w:hint="eastAsia" w:ascii="宋体" w:hAnsi="宋体" w:eastAsia="宋体" w:cs="仿宋"/>
          <w:kern w:val="0"/>
          <w:sz w:val="24"/>
          <w:lang w:val="en-US" w:eastAsia="zh-CN"/>
        </w:rPr>
        <w:t>2.</w:t>
      </w:r>
      <w:r>
        <w:rPr>
          <w:rFonts w:hint="eastAsia" w:ascii="宋体" w:hAnsi="宋体" w:eastAsia="宋体" w:cs="仿宋"/>
          <w:kern w:val="0"/>
          <w:sz w:val="24"/>
        </w:rPr>
        <w:t>每个通道均设置各自的独立旋钮控制，</w:t>
      </w:r>
      <w:r>
        <w:rPr>
          <w:rFonts w:hint="eastAsia" w:ascii="宋体" w:hAnsi="宋体" w:cs="仿宋"/>
          <w:kern w:val="0"/>
          <w:sz w:val="24"/>
          <w:lang w:eastAsia="zh-CN"/>
        </w:rPr>
        <w:t>支持</w:t>
      </w:r>
      <w:r>
        <w:rPr>
          <w:rFonts w:hint="eastAsia" w:ascii="宋体" w:hAnsi="宋体" w:eastAsia="宋体" w:cs="仿宋"/>
          <w:kern w:val="0"/>
          <w:sz w:val="24"/>
        </w:rPr>
        <w:t>多通道不同强度刺激。</w:t>
      </w:r>
    </w:p>
    <w:p w14:paraId="1A72AF07">
      <w:pPr>
        <w:numPr>
          <w:ilvl w:val="0"/>
          <w:numId w:val="0"/>
        </w:numPr>
        <w:ind w:leftChars="0"/>
        <w:jc w:val="left"/>
        <w:rPr>
          <w:rFonts w:hint="eastAsia" w:ascii="宋体" w:hAnsi="宋体" w:eastAsia="宋体" w:cs="仿宋"/>
          <w:kern w:val="0"/>
          <w:sz w:val="24"/>
          <w:lang w:eastAsia="zh-CN"/>
        </w:rPr>
      </w:pPr>
      <w:r>
        <w:rPr>
          <w:rFonts w:hint="eastAsia" w:ascii="仿宋" w:hAnsi="仿宋" w:eastAsia="仿宋" w:cs="仿宋"/>
          <w:b/>
          <w:bCs/>
          <w:color w:val="000000"/>
          <w:sz w:val="24"/>
          <w:highlight w:val="none"/>
        </w:rPr>
        <w:t>★</w:t>
      </w:r>
      <w:r>
        <w:rPr>
          <w:rFonts w:hint="eastAsia" w:ascii="宋体" w:hAnsi="宋体" w:eastAsia="宋体" w:cs="仿宋"/>
          <w:kern w:val="0"/>
          <w:sz w:val="24"/>
          <w:lang w:val="en-US" w:eastAsia="zh-CN"/>
        </w:rPr>
        <w:t>3.</w:t>
      </w:r>
      <w:r>
        <w:rPr>
          <w:rFonts w:hint="eastAsia" w:ascii="宋体" w:hAnsi="宋体" w:eastAsia="宋体" w:cs="仿宋"/>
          <w:kern w:val="0"/>
          <w:sz w:val="24"/>
        </w:rPr>
        <w:t>肌电采集测量范围不低于：5μV～</w:t>
      </w:r>
      <w:r>
        <w:rPr>
          <w:rFonts w:hint="eastAsia" w:ascii="宋体" w:hAnsi="宋体" w:eastAsia="宋体" w:cs="仿宋"/>
          <w:kern w:val="0"/>
          <w:sz w:val="24"/>
          <w:lang w:val="en-US" w:eastAsia="zh-CN"/>
        </w:rPr>
        <w:t>2500</w:t>
      </w:r>
      <w:r>
        <w:rPr>
          <w:rFonts w:hint="eastAsia" w:ascii="宋体" w:hAnsi="宋体" w:eastAsia="宋体" w:cs="仿宋"/>
          <w:kern w:val="0"/>
          <w:sz w:val="24"/>
        </w:rPr>
        <w:t>μV</w:t>
      </w:r>
      <w:r>
        <w:rPr>
          <w:rFonts w:hint="eastAsia" w:ascii="宋体" w:hAnsi="宋体" w:eastAsia="宋体" w:cs="仿宋"/>
          <w:kern w:val="0"/>
          <w:sz w:val="24"/>
          <w:lang w:eastAsia="zh-CN"/>
        </w:rPr>
        <w:t>。</w:t>
      </w:r>
    </w:p>
    <w:p w14:paraId="334FC829">
      <w:pPr>
        <w:numPr>
          <w:ilvl w:val="0"/>
          <w:numId w:val="0"/>
        </w:numPr>
        <w:jc w:val="left"/>
        <w:rPr>
          <w:rFonts w:hint="eastAsia" w:ascii="宋体" w:hAnsi="宋体" w:eastAsia="宋体" w:cs="仿宋"/>
          <w:kern w:val="0"/>
          <w:sz w:val="24"/>
          <w:lang w:eastAsia="zh-CN"/>
        </w:rPr>
      </w:pPr>
      <w:r>
        <w:rPr>
          <w:rFonts w:hint="eastAsia" w:ascii="仿宋" w:hAnsi="仿宋" w:eastAsia="仿宋" w:cs="仿宋"/>
          <w:b/>
          <w:bCs/>
          <w:color w:val="000000"/>
          <w:sz w:val="24"/>
          <w:highlight w:val="none"/>
        </w:rPr>
        <w:t>★</w:t>
      </w:r>
      <w:r>
        <w:rPr>
          <w:rFonts w:hint="eastAsia" w:ascii="宋体" w:hAnsi="宋体" w:eastAsia="宋体" w:cs="仿宋"/>
          <w:kern w:val="0"/>
          <w:sz w:val="24"/>
          <w:lang w:val="en-US" w:eastAsia="zh-CN"/>
        </w:rPr>
        <w:t>4.</w:t>
      </w:r>
      <w:r>
        <w:rPr>
          <w:rFonts w:hint="eastAsia" w:ascii="宋体" w:hAnsi="宋体" w:eastAsia="宋体" w:cs="仿宋"/>
          <w:kern w:val="0"/>
          <w:sz w:val="24"/>
        </w:rPr>
        <w:t>分辨率：≤1μV</w:t>
      </w:r>
      <w:r>
        <w:rPr>
          <w:rFonts w:hint="eastAsia" w:ascii="宋体" w:hAnsi="宋体" w:eastAsia="宋体" w:cs="仿宋"/>
          <w:kern w:val="0"/>
          <w:sz w:val="24"/>
          <w:lang w:eastAsia="zh-CN"/>
        </w:rPr>
        <w:t>。</w:t>
      </w:r>
      <w:r>
        <w:rPr>
          <w:rFonts w:hint="eastAsia" w:ascii="宋体" w:hAnsi="宋体" w:eastAsia="宋体" w:cs="仿宋"/>
          <w:b/>
          <w:bCs/>
          <w:kern w:val="0"/>
          <w:sz w:val="24"/>
          <w:lang w:val="en-US" w:eastAsia="zh-CN"/>
        </w:rPr>
        <w:t>(提供用户手册或</w:t>
      </w:r>
      <w:r>
        <w:rPr>
          <w:rFonts w:hint="eastAsia" w:ascii="宋体" w:hAnsi="宋体" w:cs="仿宋"/>
          <w:b/>
          <w:bCs/>
          <w:kern w:val="0"/>
          <w:sz w:val="24"/>
          <w:lang w:eastAsia="zh-CN"/>
        </w:rPr>
        <w:t>提供第三方检测报告证明</w:t>
      </w:r>
      <w:r>
        <w:rPr>
          <w:rFonts w:hint="eastAsia" w:ascii="宋体" w:hAnsi="宋体" w:eastAsia="宋体" w:cs="仿宋"/>
          <w:b/>
          <w:bCs/>
          <w:kern w:val="0"/>
          <w:sz w:val="24"/>
          <w:lang w:val="en-US" w:eastAsia="zh-CN"/>
        </w:rPr>
        <w:t>)</w:t>
      </w:r>
    </w:p>
    <w:p w14:paraId="4224AD25">
      <w:pPr>
        <w:numPr>
          <w:ilvl w:val="0"/>
          <w:numId w:val="0"/>
        </w:numPr>
        <w:ind w:leftChars="0"/>
        <w:jc w:val="left"/>
        <w:rPr>
          <w:rFonts w:hint="eastAsia" w:ascii="宋体" w:hAnsi="宋体" w:eastAsia="宋体" w:cs="仿宋"/>
          <w:kern w:val="0"/>
          <w:sz w:val="24"/>
          <w:lang w:eastAsia="zh-CN"/>
        </w:rPr>
      </w:pPr>
      <w:r>
        <w:rPr>
          <w:rFonts w:hint="eastAsia" w:ascii="仿宋" w:hAnsi="仿宋" w:eastAsia="仿宋" w:cs="仿宋"/>
          <w:b/>
          <w:bCs/>
          <w:color w:val="000000"/>
          <w:sz w:val="24"/>
          <w:highlight w:val="none"/>
        </w:rPr>
        <w:t>★</w:t>
      </w:r>
      <w:r>
        <w:rPr>
          <w:rFonts w:hint="eastAsia" w:ascii="宋体" w:hAnsi="宋体" w:eastAsia="宋体" w:cs="仿宋"/>
          <w:kern w:val="0"/>
          <w:sz w:val="24"/>
          <w:lang w:val="en-US" w:eastAsia="zh-CN"/>
        </w:rPr>
        <w:t>5.</w:t>
      </w:r>
      <w:r>
        <w:rPr>
          <w:rFonts w:hint="eastAsia" w:ascii="宋体" w:hAnsi="宋体" w:eastAsia="宋体" w:cs="仿宋"/>
          <w:kern w:val="0"/>
          <w:sz w:val="24"/>
        </w:rPr>
        <w:t>通频带：不窄于20Hz～5</w:t>
      </w:r>
      <w:r>
        <w:rPr>
          <w:rFonts w:hint="eastAsia" w:ascii="宋体" w:hAnsi="宋体" w:cs="仿宋"/>
          <w:kern w:val="0"/>
          <w:sz w:val="24"/>
          <w:lang w:val="en-US" w:eastAsia="zh-CN"/>
        </w:rPr>
        <w:t>0</w:t>
      </w:r>
      <w:r>
        <w:rPr>
          <w:rFonts w:hint="eastAsia" w:ascii="宋体" w:hAnsi="宋体" w:eastAsia="宋体" w:cs="仿宋"/>
          <w:kern w:val="0"/>
          <w:sz w:val="24"/>
          <w:lang w:val="en-US" w:eastAsia="zh-CN"/>
        </w:rPr>
        <w:t>0</w:t>
      </w:r>
      <w:r>
        <w:rPr>
          <w:rFonts w:hint="eastAsia" w:ascii="宋体" w:hAnsi="宋体" w:eastAsia="宋体" w:cs="仿宋"/>
          <w:kern w:val="0"/>
          <w:sz w:val="24"/>
        </w:rPr>
        <w:t>Hz</w:t>
      </w:r>
      <w:r>
        <w:rPr>
          <w:rFonts w:hint="eastAsia" w:ascii="宋体" w:hAnsi="宋体" w:eastAsia="宋体" w:cs="仿宋"/>
          <w:kern w:val="0"/>
          <w:sz w:val="24"/>
          <w:lang w:eastAsia="zh-CN"/>
        </w:rPr>
        <w:t>。</w:t>
      </w:r>
    </w:p>
    <w:p w14:paraId="7B88F70E">
      <w:pPr>
        <w:numPr>
          <w:ilvl w:val="0"/>
          <w:numId w:val="0"/>
        </w:numPr>
        <w:jc w:val="left"/>
        <w:rPr>
          <w:rFonts w:hint="default" w:ascii="宋体" w:hAnsi="宋体" w:eastAsia="宋体" w:cs="仿宋"/>
          <w:b/>
          <w:bCs/>
          <w:kern w:val="0"/>
          <w:sz w:val="24"/>
          <w:lang w:val="en-US" w:eastAsia="zh-CN"/>
        </w:rPr>
      </w:pPr>
      <w:r>
        <w:rPr>
          <w:rFonts w:hint="eastAsia" w:ascii="仿宋" w:hAnsi="仿宋" w:eastAsia="仿宋" w:cs="仿宋"/>
          <w:b/>
          <w:bCs/>
          <w:color w:val="000000"/>
          <w:sz w:val="24"/>
          <w:highlight w:val="none"/>
        </w:rPr>
        <w:t>★</w:t>
      </w:r>
      <w:r>
        <w:rPr>
          <w:rFonts w:hint="eastAsia" w:ascii="宋体" w:hAnsi="宋体" w:eastAsia="宋体" w:cs="仿宋"/>
          <w:kern w:val="0"/>
          <w:sz w:val="24"/>
          <w:lang w:val="en-US" w:eastAsia="zh-CN"/>
        </w:rPr>
        <w:t>6.输出脉冲宽度：10</w:t>
      </w:r>
      <w:r>
        <w:rPr>
          <w:rFonts w:hint="default" w:ascii="宋体" w:hAnsi="宋体" w:eastAsia="宋体" w:cs="仿宋"/>
          <w:kern w:val="0"/>
          <w:sz w:val="24"/>
          <w:lang w:val="en-US" w:eastAsia="zh-CN"/>
        </w:rPr>
        <w:t>0μs-</w:t>
      </w:r>
      <w:r>
        <w:rPr>
          <w:rFonts w:hint="eastAsia" w:ascii="宋体" w:hAnsi="宋体" w:eastAsia="宋体" w:cs="仿宋"/>
          <w:kern w:val="0"/>
          <w:sz w:val="24"/>
          <w:lang w:val="en-US" w:eastAsia="zh-CN"/>
        </w:rPr>
        <w:t>2000</w:t>
      </w:r>
      <w:r>
        <w:rPr>
          <w:rFonts w:hint="default" w:ascii="宋体" w:hAnsi="宋体" w:eastAsia="宋体" w:cs="仿宋"/>
          <w:kern w:val="0"/>
          <w:sz w:val="24"/>
          <w:lang w:val="en-US" w:eastAsia="zh-CN"/>
        </w:rPr>
        <w:t>μs</w:t>
      </w:r>
      <w:r>
        <w:rPr>
          <w:rFonts w:hint="eastAsia" w:ascii="宋体" w:hAnsi="宋体" w:eastAsia="宋体" w:cs="仿宋"/>
          <w:kern w:val="0"/>
          <w:sz w:val="24"/>
          <w:lang w:val="en-US" w:eastAsia="zh-CN"/>
        </w:rPr>
        <w:t>范围内均</w:t>
      </w:r>
      <w:r>
        <w:rPr>
          <w:rFonts w:hint="default" w:ascii="宋体" w:hAnsi="宋体" w:eastAsia="宋体" w:cs="仿宋"/>
          <w:kern w:val="0"/>
          <w:sz w:val="24"/>
          <w:lang w:val="en-US" w:eastAsia="zh-CN"/>
        </w:rPr>
        <w:t>可调。</w:t>
      </w:r>
      <w:r>
        <w:rPr>
          <w:rFonts w:hint="eastAsia" w:ascii="宋体" w:hAnsi="宋体" w:eastAsia="宋体" w:cs="仿宋"/>
          <w:b/>
          <w:bCs/>
          <w:kern w:val="0"/>
          <w:sz w:val="24"/>
          <w:lang w:val="en-US" w:eastAsia="zh-CN"/>
        </w:rPr>
        <w:t>(提供用户手册或</w:t>
      </w:r>
      <w:r>
        <w:rPr>
          <w:rFonts w:hint="eastAsia" w:ascii="宋体" w:hAnsi="宋体" w:cs="仿宋"/>
          <w:b/>
          <w:bCs/>
          <w:kern w:val="0"/>
          <w:sz w:val="24"/>
          <w:lang w:eastAsia="zh-CN"/>
        </w:rPr>
        <w:t>提供第三方检测报告证明</w:t>
      </w:r>
      <w:r>
        <w:rPr>
          <w:rFonts w:hint="eastAsia" w:ascii="宋体" w:hAnsi="宋体" w:eastAsia="宋体" w:cs="仿宋"/>
          <w:b/>
          <w:bCs/>
          <w:kern w:val="0"/>
          <w:sz w:val="24"/>
          <w:lang w:val="en-US" w:eastAsia="zh-CN"/>
        </w:rPr>
        <w:t>)</w:t>
      </w:r>
    </w:p>
    <w:p w14:paraId="2DE0A1E8">
      <w:pPr>
        <w:numPr>
          <w:ilvl w:val="0"/>
          <w:numId w:val="0"/>
        </w:numPr>
        <w:spacing w:line="360" w:lineRule="auto"/>
        <w:jc w:val="left"/>
        <w:rPr>
          <w:rFonts w:hint="default" w:ascii="宋体" w:hAnsi="宋体" w:eastAsia="宋体" w:cs="仿宋"/>
          <w:kern w:val="0"/>
          <w:sz w:val="24"/>
          <w:lang w:val="en-US" w:eastAsia="zh-CN"/>
        </w:rPr>
      </w:pPr>
      <w:r>
        <w:rPr>
          <w:rFonts w:hint="eastAsia" w:ascii="宋体" w:hAnsi="宋体" w:eastAsia="宋体" w:cs="仿宋"/>
          <w:kern w:val="0"/>
          <w:sz w:val="24"/>
          <w:lang w:val="en-US" w:eastAsia="zh-CN"/>
        </w:rPr>
        <w:t>7.</w:t>
      </w:r>
      <w:r>
        <w:rPr>
          <w:rFonts w:hint="default" w:ascii="宋体" w:hAnsi="宋体" w:eastAsia="宋体" w:cs="仿宋"/>
          <w:kern w:val="0"/>
          <w:sz w:val="24"/>
          <w:lang w:val="en-US" w:eastAsia="zh-CN"/>
        </w:rPr>
        <w:t>低频刺激强度：0-100mA</w:t>
      </w:r>
      <w:r>
        <w:rPr>
          <w:rFonts w:hint="eastAsia" w:ascii="宋体" w:hAnsi="宋体" w:eastAsia="宋体" w:cs="仿宋"/>
          <w:kern w:val="0"/>
          <w:sz w:val="24"/>
          <w:lang w:val="en-US" w:eastAsia="zh-CN"/>
        </w:rPr>
        <w:t>。</w:t>
      </w:r>
    </w:p>
    <w:p w14:paraId="259A4FA4">
      <w:pPr>
        <w:numPr>
          <w:ilvl w:val="0"/>
          <w:numId w:val="0"/>
        </w:numPr>
        <w:spacing w:line="360" w:lineRule="auto"/>
        <w:jc w:val="left"/>
        <w:rPr>
          <w:rFonts w:hint="eastAsia" w:ascii="宋体" w:hAnsi="宋体" w:eastAsia="宋体" w:cs="仿宋"/>
          <w:kern w:val="0"/>
          <w:sz w:val="24"/>
          <w:lang w:val="en-US" w:eastAsia="zh-CN"/>
        </w:rPr>
      </w:pPr>
      <w:r>
        <w:rPr>
          <w:rFonts w:hint="eastAsia" w:ascii="宋体" w:hAnsi="宋体" w:eastAsia="宋体" w:cs="仿宋"/>
          <w:kern w:val="0"/>
          <w:sz w:val="24"/>
          <w:lang w:val="en-US" w:eastAsia="zh-CN"/>
        </w:rPr>
        <w:t>8.</w:t>
      </w:r>
      <w:r>
        <w:rPr>
          <w:rFonts w:hint="default" w:ascii="宋体" w:hAnsi="宋体" w:eastAsia="宋体" w:cs="仿宋"/>
          <w:kern w:val="0"/>
          <w:sz w:val="24"/>
          <w:lang w:val="en-US" w:eastAsia="zh-CN"/>
        </w:rPr>
        <w:t>低频刺激频率：1-1000Hz范围内均可调</w:t>
      </w:r>
      <w:r>
        <w:rPr>
          <w:rFonts w:hint="eastAsia" w:ascii="宋体" w:hAnsi="宋体" w:eastAsia="宋体" w:cs="仿宋"/>
          <w:kern w:val="0"/>
          <w:sz w:val="24"/>
          <w:lang w:val="en-US" w:eastAsia="zh-CN"/>
        </w:rPr>
        <w:t>。</w:t>
      </w:r>
    </w:p>
    <w:p w14:paraId="05DD4818">
      <w:pPr>
        <w:numPr>
          <w:ilvl w:val="0"/>
          <w:numId w:val="0"/>
        </w:numPr>
        <w:jc w:val="left"/>
        <w:rPr>
          <w:rFonts w:hint="eastAsia" w:ascii="宋体" w:hAnsi="宋体" w:eastAsia="宋体" w:cs="仿宋"/>
          <w:b/>
          <w:bCs/>
          <w:kern w:val="0"/>
          <w:sz w:val="24"/>
        </w:rPr>
      </w:pPr>
      <w:r>
        <w:rPr>
          <w:rFonts w:hint="eastAsia" w:ascii="仿宋" w:hAnsi="仿宋" w:eastAsia="仿宋" w:cs="仿宋"/>
          <w:b/>
          <w:bCs/>
          <w:color w:val="000000"/>
          <w:sz w:val="24"/>
          <w:highlight w:val="none"/>
        </w:rPr>
        <w:t>★</w:t>
      </w:r>
      <w:r>
        <w:rPr>
          <w:rFonts w:hint="eastAsia" w:ascii="宋体" w:hAnsi="宋体" w:eastAsia="宋体" w:cs="仿宋"/>
          <w:kern w:val="0"/>
          <w:sz w:val="24"/>
          <w:lang w:val="en-US" w:eastAsia="zh-CN"/>
        </w:rPr>
        <w:t>9.</w:t>
      </w:r>
      <w:r>
        <w:rPr>
          <w:rFonts w:hint="eastAsia" w:ascii="宋体" w:hAnsi="宋体" w:eastAsia="宋体" w:cs="仿宋"/>
          <w:kern w:val="0"/>
          <w:sz w:val="24"/>
        </w:rPr>
        <w:t>压力模块测量范围不低于0-220mmHg，测量分辨率≤0.1mmHg。</w:t>
      </w:r>
      <w:r>
        <w:rPr>
          <w:rFonts w:hint="eastAsia" w:ascii="宋体" w:hAnsi="宋体" w:eastAsia="宋体" w:cs="仿宋"/>
          <w:b/>
          <w:bCs/>
          <w:kern w:val="0"/>
          <w:sz w:val="24"/>
          <w:lang w:val="en-US" w:eastAsia="zh-CN"/>
        </w:rPr>
        <w:t>(提供用户手册或</w:t>
      </w:r>
      <w:r>
        <w:rPr>
          <w:rFonts w:hint="eastAsia" w:ascii="宋体" w:hAnsi="宋体" w:cs="仿宋"/>
          <w:b/>
          <w:bCs/>
          <w:kern w:val="0"/>
          <w:sz w:val="24"/>
          <w:lang w:eastAsia="zh-CN"/>
        </w:rPr>
        <w:t>提供第三方检测报告证明</w:t>
      </w:r>
      <w:r>
        <w:rPr>
          <w:rFonts w:hint="eastAsia" w:ascii="宋体" w:hAnsi="宋体" w:eastAsia="宋体" w:cs="仿宋"/>
          <w:b/>
          <w:bCs/>
          <w:kern w:val="0"/>
          <w:sz w:val="24"/>
          <w:lang w:val="en-US" w:eastAsia="zh-CN"/>
        </w:rPr>
        <w:t>)</w:t>
      </w:r>
    </w:p>
    <w:p w14:paraId="0E721626">
      <w:pPr>
        <w:numPr>
          <w:ilvl w:val="0"/>
          <w:numId w:val="0"/>
        </w:numPr>
        <w:spacing w:line="360" w:lineRule="auto"/>
        <w:jc w:val="left"/>
        <w:rPr>
          <w:rFonts w:hint="default" w:ascii="宋体" w:hAnsi="宋体" w:eastAsia="宋体" w:cs="仿宋"/>
          <w:kern w:val="0"/>
          <w:sz w:val="24"/>
          <w:lang w:val="en-US" w:eastAsia="zh-CN"/>
        </w:rPr>
      </w:pPr>
      <w:r>
        <w:rPr>
          <w:rFonts w:hint="eastAsia" w:ascii="宋体" w:hAnsi="宋体" w:eastAsia="宋体" w:cs="仿宋"/>
          <w:kern w:val="0"/>
          <w:sz w:val="24"/>
          <w:lang w:val="en-US" w:eastAsia="zh-CN"/>
        </w:rPr>
        <w:t>10.</w:t>
      </w:r>
      <w:r>
        <w:rPr>
          <w:rFonts w:hint="eastAsia" w:ascii="宋体" w:hAnsi="宋体" w:eastAsia="宋体" w:cs="仿宋"/>
          <w:kern w:val="0"/>
          <w:sz w:val="24"/>
        </w:rPr>
        <w:t>盆底康复治疗时，可同时实现对于盆底腔内肌肉牵张热身、电刺激治疗、kegel生物反馈训练和牵张拉伸的全过程自动治疗。</w:t>
      </w:r>
    </w:p>
    <w:p w14:paraId="73932A6D">
      <w:pPr>
        <w:numPr>
          <w:ilvl w:val="0"/>
          <w:numId w:val="0"/>
        </w:numPr>
        <w:spacing w:line="360" w:lineRule="auto"/>
        <w:jc w:val="left"/>
        <w:rPr>
          <w:rFonts w:hint="eastAsia" w:ascii="宋体" w:hAnsi="宋体" w:eastAsia="宋体" w:cs="仿宋"/>
          <w:kern w:val="0"/>
          <w:sz w:val="24"/>
          <w:lang w:val="en-US" w:eastAsia="zh-CN"/>
        </w:rPr>
      </w:pPr>
      <w:r>
        <w:rPr>
          <w:rFonts w:hint="eastAsia" w:ascii="宋体" w:hAnsi="宋体" w:eastAsia="宋体" w:cs="仿宋"/>
          <w:kern w:val="0"/>
          <w:sz w:val="24"/>
          <w:lang w:val="en-US" w:eastAsia="zh-CN"/>
        </w:rPr>
        <w:t>11.</w:t>
      </w:r>
      <w:r>
        <w:rPr>
          <w:rFonts w:hint="eastAsia" w:ascii="宋体" w:hAnsi="宋体" w:eastAsia="宋体" w:cs="仿宋"/>
          <w:kern w:val="0"/>
          <w:sz w:val="24"/>
        </w:rPr>
        <w:t>具备盆底表面肌电标准评估功能（Glazer评估），评估报告测量值指标≥13项。系统自动对筛查、评估的每个阶段进行打分，并计算出整个过程的最终得分。</w:t>
      </w:r>
      <w:r>
        <w:rPr>
          <w:rFonts w:hint="default" w:ascii="宋体" w:hAnsi="宋体" w:eastAsia="宋体" w:cs="仿宋"/>
          <w:kern w:val="0"/>
          <w:sz w:val="24"/>
          <w:lang w:val="en-US" w:eastAsia="zh-CN"/>
        </w:rPr>
        <w:t>Glazer评估自动解读报告，以评估结果和患者症状为依据，智能推荐个性化的处方治疗方案</w:t>
      </w:r>
      <w:r>
        <w:rPr>
          <w:rFonts w:hint="eastAsia" w:ascii="宋体" w:hAnsi="宋体" w:eastAsia="宋体" w:cs="仿宋"/>
          <w:kern w:val="0"/>
          <w:sz w:val="24"/>
          <w:lang w:val="en-US" w:eastAsia="zh-CN"/>
        </w:rPr>
        <w:t>。</w:t>
      </w:r>
    </w:p>
    <w:p w14:paraId="3513E866">
      <w:pPr>
        <w:numPr>
          <w:ilvl w:val="0"/>
          <w:numId w:val="0"/>
        </w:numPr>
        <w:spacing w:line="360" w:lineRule="auto"/>
        <w:jc w:val="left"/>
        <w:rPr>
          <w:rFonts w:hint="eastAsia" w:ascii="宋体" w:hAnsi="宋体" w:eastAsia="宋体" w:cs="仿宋"/>
          <w:kern w:val="0"/>
          <w:sz w:val="24"/>
          <w:lang w:val="en-US" w:eastAsia="zh-CN"/>
        </w:rPr>
      </w:pPr>
      <w:r>
        <w:rPr>
          <w:rFonts w:hint="eastAsia" w:ascii="仿宋" w:hAnsi="仿宋" w:eastAsia="仿宋" w:cs="仿宋"/>
          <w:b/>
          <w:bCs/>
          <w:color w:val="000000"/>
          <w:sz w:val="24"/>
          <w:highlight w:val="none"/>
        </w:rPr>
        <w:t>★</w:t>
      </w:r>
      <w:r>
        <w:rPr>
          <w:rFonts w:hint="eastAsia" w:ascii="宋体" w:hAnsi="宋体" w:eastAsia="宋体" w:cs="仿宋"/>
          <w:kern w:val="0"/>
          <w:sz w:val="24"/>
          <w:lang w:val="en-US" w:eastAsia="zh-CN"/>
        </w:rPr>
        <w:t>12.</w:t>
      </w:r>
      <w:r>
        <w:rPr>
          <w:rFonts w:hint="default" w:ascii="宋体" w:hAnsi="宋体" w:eastAsia="宋体" w:cs="仿宋"/>
          <w:kern w:val="0"/>
          <w:sz w:val="24"/>
        </w:rPr>
        <w:t>具有盆底多通道评估功能，可以在盆底肌功能评估过程中，同时检测腹部肌肉、臀部肌肉和大腿内侧肌肉的参与情况，并给出评估报告</w:t>
      </w:r>
      <w:r>
        <w:rPr>
          <w:rFonts w:hint="eastAsia" w:ascii="宋体" w:hAnsi="宋体" w:eastAsia="宋体" w:cs="仿宋"/>
          <w:kern w:val="0"/>
          <w:sz w:val="24"/>
          <w:lang w:eastAsia="zh-CN"/>
        </w:rPr>
        <w:t>。</w:t>
      </w:r>
    </w:p>
    <w:p w14:paraId="33FF950B">
      <w:pPr>
        <w:numPr>
          <w:ilvl w:val="0"/>
          <w:numId w:val="0"/>
        </w:numPr>
        <w:spacing w:line="360" w:lineRule="auto"/>
        <w:jc w:val="left"/>
        <w:rPr>
          <w:rFonts w:hint="eastAsia" w:ascii="宋体" w:hAnsi="宋体" w:eastAsia="宋体" w:cs="仿宋"/>
          <w:kern w:val="0"/>
          <w:sz w:val="24"/>
        </w:rPr>
      </w:pPr>
      <w:r>
        <w:rPr>
          <w:rFonts w:hint="eastAsia" w:ascii="宋体" w:hAnsi="宋体" w:eastAsia="宋体" w:cs="仿宋"/>
          <w:kern w:val="0"/>
          <w:sz w:val="24"/>
          <w:lang w:val="en-US" w:eastAsia="zh-CN"/>
        </w:rPr>
        <w:t>13.</w:t>
      </w:r>
      <w:r>
        <w:rPr>
          <w:rFonts w:ascii="宋体" w:hAnsi="宋体" w:eastAsia="宋体" w:cs="宋体"/>
          <w:sz w:val="24"/>
          <w:szCs w:val="24"/>
        </w:rPr>
        <w:t>具备≥4种治疗模式，包括电刺激、触发电刺激、kegel训练、多媒体游戏训练等</w:t>
      </w:r>
      <w:r>
        <w:rPr>
          <w:rFonts w:hint="eastAsia" w:ascii="宋体" w:hAnsi="宋体" w:eastAsia="宋体" w:cs="仿宋"/>
          <w:kern w:val="0"/>
          <w:sz w:val="24"/>
        </w:rPr>
        <w:t>。</w:t>
      </w:r>
    </w:p>
    <w:p w14:paraId="4590B19F">
      <w:pPr>
        <w:numPr>
          <w:ilvl w:val="0"/>
          <w:numId w:val="0"/>
        </w:numPr>
        <w:spacing w:line="360" w:lineRule="auto"/>
        <w:jc w:val="left"/>
        <w:rPr>
          <w:rFonts w:hint="eastAsia" w:ascii="宋体" w:hAnsi="宋体" w:eastAsia="宋体" w:cs="仿宋"/>
          <w:kern w:val="0"/>
          <w:sz w:val="24"/>
        </w:rPr>
      </w:pPr>
      <w:r>
        <w:rPr>
          <w:rFonts w:hint="eastAsia" w:ascii="宋体" w:hAnsi="宋体" w:eastAsia="宋体" w:cs="仿宋"/>
          <w:kern w:val="0"/>
          <w:sz w:val="24"/>
          <w:lang w:val="en-US" w:eastAsia="zh-CN"/>
        </w:rPr>
        <w:t>14.</w:t>
      </w:r>
      <w:r>
        <w:rPr>
          <w:rFonts w:hint="eastAsia" w:ascii="宋体" w:hAnsi="宋体" w:eastAsia="宋体" w:cs="仿宋"/>
          <w:kern w:val="0"/>
          <w:sz w:val="24"/>
        </w:rPr>
        <w:t>具备数据统计功能。</w:t>
      </w:r>
    </w:p>
    <w:p w14:paraId="76E7490F">
      <w:pPr>
        <w:numPr>
          <w:ilvl w:val="0"/>
          <w:numId w:val="0"/>
        </w:numPr>
        <w:spacing w:line="360" w:lineRule="auto"/>
        <w:jc w:val="left"/>
        <w:rPr>
          <w:rFonts w:hint="eastAsia" w:ascii="宋体" w:hAnsi="宋体" w:eastAsia="宋体" w:cs="仿宋"/>
          <w:kern w:val="0"/>
          <w:sz w:val="24"/>
        </w:rPr>
      </w:pPr>
      <w:r>
        <w:rPr>
          <w:rFonts w:hint="eastAsia" w:ascii="宋体" w:hAnsi="宋体" w:eastAsia="宋体" w:cs="仿宋"/>
          <w:kern w:val="0"/>
          <w:sz w:val="24"/>
          <w:lang w:val="en-US" w:eastAsia="zh-CN"/>
        </w:rPr>
        <w:t>15.</w:t>
      </w:r>
      <w:r>
        <w:rPr>
          <w:rFonts w:ascii="宋体" w:hAnsi="宋体" w:eastAsia="宋体" w:cs="宋体"/>
          <w:sz w:val="24"/>
          <w:szCs w:val="24"/>
        </w:rPr>
        <w:t>具备≥3种康复方案，包括尿潴留、子宫复旧、腹直肌分离等，并具备方案贴片示意图</w:t>
      </w:r>
      <w:r>
        <w:rPr>
          <w:rFonts w:hint="eastAsia" w:ascii="宋体" w:hAnsi="宋体" w:eastAsia="宋体" w:cs="仿宋"/>
          <w:kern w:val="0"/>
          <w:sz w:val="24"/>
        </w:rPr>
        <w:t>。</w:t>
      </w:r>
    </w:p>
    <w:p w14:paraId="072C3AF2">
      <w:pPr>
        <w:numPr>
          <w:ilvl w:val="0"/>
          <w:numId w:val="0"/>
        </w:numPr>
        <w:spacing w:line="360" w:lineRule="auto"/>
        <w:jc w:val="left"/>
        <w:rPr>
          <w:rFonts w:hint="eastAsia" w:ascii="宋体" w:hAnsi="宋体" w:eastAsia="宋体" w:cs="仿宋"/>
          <w:kern w:val="0"/>
          <w:sz w:val="24"/>
        </w:rPr>
      </w:pPr>
      <w:r>
        <w:rPr>
          <w:rFonts w:hint="eastAsia" w:ascii="宋体" w:hAnsi="宋体" w:eastAsia="宋体" w:cs="仿宋"/>
          <w:kern w:val="0"/>
          <w:sz w:val="24"/>
          <w:lang w:val="en-US" w:eastAsia="zh-CN"/>
        </w:rPr>
        <w:t>16.</w:t>
      </w:r>
      <w:r>
        <w:rPr>
          <w:rFonts w:ascii="宋体" w:hAnsi="宋体" w:eastAsia="宋体" w:cs="宋体"/>
          <w:sz w:val="24"/>
          <w:szCs w:val="24"/>
        </w:rPr>
        <w:t>具备≥2种肌肉功能评估方案，包括腰背部肌肉评估方案等</w:t>
      </w:r>
      <w:r>
        <w:rPr>
          <w:rFonts w:hint="eastAsia" w:ascii="宋体" w:hAnsi="宋体" w:eastAsia="宋体" w:cs="仿宋"/>
          <w:kern w:val="0"/>
          <w:sz w:val="24"/>
        </w:rPr>
        <w:t>。</w:t>
      </w:r>
    </w:p>
    <w:p w14:paraId="3EB817CE">
      <w:pPr>
        <w:numPr>
          <w:ilvl w:val="0"/>
          <w:numId w:val="0"/>
        </w:numPr>
        <w:spacing w:line="360" w:lineRule="auto"/>
        <w:jc w:val="left"/>
        <w:rPr>
          <w:rFonts w:hint="default" w:ascii="宋体" w:hAnsi="宋体" w:eastAsia="宋体" w:cs="仿宋"/>
          <w:kern w:val="0"/>
          <w:sz w:val="24"/>
          <w:lang w:val="en-US" w:eastAsia="zh-CN"/>
        </w:rPr>
      </w:pPr>
      <w:r>
        <w:rPr>
          <w:rFonts w:hint="eastAsia" w:ascii="宋体" w:hAnsi="宋体" w:eastAsia="宋体" w:cs="仿宋"/>
          <w:kern w:val="0"/>
          <w:sz w:val="24"/>
          <w:lang w:val="en-US" w:eastAsia="zh-CN"/>
        </w:rPr>
        <w:t>■17.提供智慧产康管理工作站，对接设备实现≥7种功能模块：</w:t>
      </w:r>
      <w:r>
        <w:rPr>
          <w:rFonts w:hint="eastAsia" w:ascii="宋体" w:hAnsi="宋体" w:cs="仿宋"/>
          <w:kern w:val="0"/>
          <w:sz w:val="24"/>
          <w:lang w:val="en-US" w:eastAsia="zh-CN"/>
        </w:rPr>
        <w:t>包括</w:t>
      </w:r>
      <w:r>
        <w:rPr>
          <w:rFonts w:hint="eastAsia" w:ascii="宋体" w:hAnsi="宋体" w:eastAsia="宋体" w:cs="仿宋"/>
          <w:kern w:val="0"/>
          <w:sz w:val="24"/>
          <w:lang w:val="en-US" w:eastAsia="zh-CN"/>
        </w:rPr>
        <w:t>用户登录、数据总览、人员管理、工作台账、待办管理、记录管理、项目管理等。</w:t>
      </w:r>
    </w:p>
    <w:p w14:paraId="0838F9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b/>
          <w:bCs/>
          <w:sz w:val="24"/>
          <w:szCs w:val="18"/>
          <w:highlight w:val="none"/>
        </w:rPr>
      </w:pPr>
      <w:r>
        <w:rPr>
          <w:rFonts w:hint="eastAsia"/>
        </w:rPr>
        <w:br w:type="textWrapping"/>
      </w:r>
      <w:r>
        <w:rPr>
          <w:rFonts w:hint="eastAsia" w:ascii="宋体" w:hAnsi="宋体" w:cs="宋体"/>
          <w:b/>
          <w:sz w:val="24"/>
          <w:szCs w:val="24"/>
          <w:highlight w:val="none"/>
          <w:lang w:val="en-US" w:eastAsia="zh-CN"/>
        </w:rPr>
        <w:t>四</w:t>
      </w:r>
      <w:r>
        <w:rPr>
          <w:rFonts w:hint="eastAsia" w:ascii="宋体" w:hAnsi="宋体"/>
          <w:b/>
          <w:bCs/>
          <w:sz w:val="24"/>
          <w:szCs w:val="18"/>
          <w:highlight w:val="none"/>
        </w:rPr>
        <w:t>、其他要求</w:t>
      </w:r>
    </w:p>
    <w:p w14:paraId="6063CFE4">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b/>
          <w:bCs/>
          <w:color w:val="000000"/>
          <w:sz w:val="24"/>
          <w:szCs w:val="24"/>
          <w:highlight w:val="none"/>
        </w:rPr>
      </w:pPr>
      <w:r>
        <w:rPr>
          <w:rFonts w:hint="eastAsia" w:ascii="宋体" w:hAnsi="宋体" w:cs="宋体"/>
          <w:b w:val="0"/>
          <w:bCs w:val="0"/>
          <w:color w:val="000000"/>
          <w:sz w:val="24"/>
          <w:szCs w:val="24"/>
          <w:highlight w:val="none"/>
          <w:lang w:val="en-US" w:eastAsia="zh-CN"/>
        </w:rPr>
        <w:t>1.</w:t>
      </w:r>
      <w:r>
        <w:rPr>
          <w:rFonts w:ascii="宋体" w:hAnsi="宋体" w:eastAsia="宋体" w:cs="宋体"/>
          <w:b w:val="0"/>
          <w:bCs w:val="0"/>
          <w:color w:val="000000"/>
          <w:sz w:val="24"/>
          <w:szCs w:val="24"/>
          <w:highlight w:val="none"/>
        </w:rPr>
        <w:t>整机原厂</w:t>
      </w:r>
      <w:r>
        <w:rPr>
          <w:rFonts w:hint="eastAsia" w:ascii="宋体" w:hAnsi="宋体" w:cs="宋体"/>
          <w:b w:val="0"/>
          <w:bCs w:val="0"/>
          <w:color w:val="000000"/>
          <w:sz w:val="24"/>
          <w:szCs w:val="24"/>
          <w:highlight w:val="none"/>
          <w:lang w:val="en-US" w:eastAsia="zh-CN"/>
        </w:rPr>
        <w:t>质保5年</w:t>
      </w:r>
      <w:r>
        <w:rPr>
          <w:rFonts w:ascii="宋体" w:hAnsi="宋体" w:eastAsia="宋体" w:cs="宋体"/>
          <w:b w:val="0"/>
          <w:bCs w:val="0"/>
          <w:color w:val="000000"/>
          <w:sz w:val="24"/>
          <w:szCs w:val="24"/>
          <w:highlight w:val="none"/>
        </w:rPr>
        <w:t>，保修期自设备安装完毕，双方签署本次集中采购统一格式的验收报告后开始计算。保修期间要确保系统的正常运行，提供周期维护保养（PM）≥4 次，保修期内保证在接到设备故障报修通知后，维修工程师</w:t>
      </w:r>
      <w:r>
        <w:rPr>
          <w:rFonts w:hint="eastAsia" w:ascii="宋体" w:hAnsi="宋体" w:cs="宋体"/>
          <w:b w:val="0"/>
          <w:bCs w:val="0"/>
          <w:color w:val="000000"/>
          <w:sz w:val="24"/>
          <w:szCs w:val="24"/>
          <w:highlight w:val="none"/>
          <w:lang w:val="en-US" w:eastAsia="zh-CN"/>
        </w:rPr>
        <w:t>1</w:t>
      </w:r>
      <w:r>
        <w:rPr>
          <w:rFonts w:ascii="宋体" w:hAnsi="宋体" w:eastAsia="宋体" w:cs="宋体"/>
          <w:b w:val="0"/>
          <w:bCs w:val="0"/>
          <w:color w:val="000000"/>
          <w:sz w:val="24"/>
          <w:szCs w:val="24"/>
          <w:highlight w:val="none"/>
        </w:rPr>
        <w:t>小时内响应，24小时内到达现场检修，保修期内外（包括休息日和节假日） 均能派出维修工程师到达现场维修</w:t>
      </w:r>
      <w:r>
        <w:rPr>
          <w:rFonts w:hint="eastAsia" w:ascii="宋体" w:hAnsi="宋体" w:cs="宋体"/>
          <w:b w:val="0"/>
          <w:bCs w:val="0"/>
          <w:color w:val="000000"/>
          <w:sz w:val="24"/>
          <w:szCs w:val="24"/>
          <w:highlight w:val="none"/>
          <w:lang w:eastAsia="zh-CN"/>
        </w:rPr>
        <w:t>，如在3天内无法修复</w:t>
      </w:r>
      <w:r>
        <w:rPr>
          <w:rFonts w:hint="eastAsia" w:ascii="宋体" w:hAnsi="宋体" w:cs="宋体"/>
          <w:b w:val="0"/>
          <w:bCs w:val="0"/>
          <w:color w:val="000000"/>
          <w:sz w:val="24"/>
          <w:szCs w:val="24"/>
          <w:highlight w:val="none"/>
          <w:lang w:val="en-US" w:eastAsia="zh-CN"/>
        </w:rPr>
        <w:t>机器</w:t>
      </w:r>
      <w:r>
        <w:rPr>
          <w:rFonts w:hint="eastAsia" w:ascii="宋体" w:hAnsi="宋体" w:cs="宋体"/>
          <w:b w:val="0"/>
          <w:bCs w:val="0"/>
          <w:color w:val="000000"/>
          <w:sz w:val="24"/>
          <w:szCs w:val="24"/>
          <w:highlight w:val="none"/>
          <w:lang w:eastAsia="zh-CN"/>
        </w:rPr>
        <w:t>提供与该设备相同的备用机</w:t>
      </w:r>
      <w:r>
        <w:rPr>
          <w:rFonts w:ascii="宋体" w:hAnsi="宋体" w:eastAsia="宋体" w:cs="宋体"/>
          <w:b w:val="0"/>
          <w:bCs w:val="0"/>
          <w:color w:val="000000"/>
          <w:sz w:val="24"/>
          <w:szCs w:val="24"/>
          <w:highlight w:val="none"/>
        </w:rPr>
        <w:t>。</w:t>
      </w:r>
      <w:r>
        <w:rPr>
          <w:rFonts w:ascii="宋体" w:hAnsi="宋体" w:eastAsia="宋体" w:cs="宋体"/>
          <w:b/>
          <w:bCs/>
          <w:color w:val="000000"/>
          <w:sz w:val="24"/>
          <w:szCs w:val="24"/>
          <w:highlight w:val="none"/>
        </w:rPr>
        <w:t>投标人在投标文件中承诺中标后提供由制造商针对设备整机加盖制造商公章的售后服务承诺书，承诺书涵盖以上内容。如未能提供，则采购人有权解除合同，并上报监管部门，且中标人须承担由此产生的一切责任。</w:t>
      </w:r>
    </w:p>
    <w:p w14:paraId="792309DA">
      <w:pPr>
        <w:pStyle w:val="7"/>
        <w:keepNext w:val="0"/>
        <w:keepLines w:val="0"/>
        <w:pageBreakBefore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2.备品备件供货与价格：备件保证为原厂备件，备件价格不高于市场价。</w:t>
      </w:r>
    </w:p>
    <w:p w14:paraId="4C4B19D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18"/>
          <w:highlight w:val="none"/>
        </w:rPr>
      </w:pPr>
      <w:r>
        <w:rPr>
          <w:rFonts w:hint="eastAsia" w:ascii="宋体" w:hAnsi="宋体"/>
          <w:sz w:val="24"/>
          <w:szCs w:val="18"/>
          <w:highlight w:val="none"/>
          <w:lang w:val="en-US" w:eastAsia="zh-CN"/>
        </w:rPr>
        <w:t>3.</w:t>
      </w:r>
      <w:r>
        <w:rPr>
          <w:rFonts w:hint="eastAsia" w:ascii="宋体" w:hAnsi="宋体"/>
          <w:sz w:val="24"/>
          <w:szCs w:val="18"/>
          <w:highlight w:val="none"/>
        </w:rPr>
        <w:t>对采购人的技术操作人员、设备科管理人员进行分期分批（不少于3 次）的正规的整套设备操作、维修、检测等内容的技术培训。提供操作说明书（含中英文）及维修说明书，并提供专用维修工具1套。（费用包含在投标总价中）</w:t>
      </w:r>
    </w:p>
    <w:p w14:paraId="3BE46F3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18"/>
          <w:highlight w:val="none"/>
        </w:rPr>
      </w:pPr>
      <w:r>
        <w:rPr>
          <w:rFonts w:hint="eastAsia" w:ascii="宋体" w:hAnsi="宋体"/>
          <w:sz w:val="24"/>
          <w:szCs w:val="18"/>
          <w:highlight w:val="none"/>
          <w:lang w:val="en-US" w:eastAsia="zh-CN"/>
        </w:rPr>
        <w:t>4.</w:t>
      </w:r>
      <w:r>
        <w:rPr>
          <w:rFonts w:hint="eastAsia" w:ascii="宋体" w:hAnsi="宋体"/>
          <w:sz w:val="24"/>
          <w:szCs w:val="18"/>
          <w:highlight w:val="none"/>
        </w:rPr>
        <w:t>与医院在用信息系统实现互联互通（如产生第三方对接开发费用，由中标人负责），包含在总价内。</w:t>
      </w:r>
    </w:p>
    <w:p w14:paraId="5ADB2CE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sz w:val="24"/>
          <w:highlight w:val="none"/>
          <w:lang w:val="en-US" w:eastAsia="zh-CN"/>
        </w:rPr>
        <w:t>5.</w:t>
      </w:r>
      <w:r>
        <w:rPr>
          <w:rFonts w:hint="eastAsia" w:ascii="宋体" w:hAnsi="宋体"/>
          <w:sz w:val="24"/>
          <w:highlight w:val="none"/>
        </w:rPr>
        <w:t>中标后，按照投标人所投技术参数验收，如有虚假应标，无偿退货，</w:t>
      </w:r>
      <w:r>
        <w:rPr>
          <w:rFonts w:ascii="宋体" w:hAnsi="宋体"/>
          <w:sz w:val="24"/>
          <w:highlight w:val="none"/>
        </w:rPr>
        <w:t>采购人有权解除合同，并上报监管部门，且中标人须承担由此产生的一切责任。</w:t>
      </w:r>
    </w:p>
    <w:p w14:paraId="0819B5AB">
      <w:pPr>
        <w:rPr>
          <w:rFonts w:hint="eastAsia" w:ascii="仿宋_GB2312" w:hAnsi="仿宋_GB2312" w:eastAsia="仿宋_GB2312" w:cs="仿宋_GB2312"/>
          <w:b/>
          <w:color w:val="000000"/>
          <w:sz w:val="24"/>
          <w:highlight w:val="none"/>
        </w:rPr>
      </w:pPr>
      <w:r>
        <w:rPr>
          <w:rFonts w:hint="default" w:ascii="宋体" w:hAnsi="宋体" w:eastAsia="宋体" w:cs="宋体"/>
          <w:b/>
          <w:strike w:val="0"/>
          <w:dstrike w:val="0"/>
          <w:sz w:val="32"/>
          <w:szCs w:val="32"/>
          <w:u w:val="double"/>
          <w:lang w:val="en-US" w:eastAsia="zh-CN"/>
        </w:rPr>
        <w:t>注：上述其他要求条款必须全部满足并按要求承诺，否则作无效标处理</w:t>
      </w:r>
      <w:r>
        <w:rPr>
          <w:rFonts w:hint="eastAsia" w:ascii="宋体" w:hAnsi="宋体" w:cs="宋体"/>
          <w:b/>
          <w:strike w:val="0"/>
          <w:dstrike w:val="0"/>
          <w:sz w:val="32"/>
          <w:szCs w:val="32"/>
          <w:u w:val="double"/>
          <w:lang w:val="en-US" w:eastAsia="zh-CN"/>
        </w:rPr>
        <w:t>。</w:t>
      </w:r>
    </w:p>
    <w:p w14:paraId="05AC6DCA">
      <w:pPr>
        <w:pStyle w:val="6"/>
        <w:rPr>
          <w:rFonts w:hint="eastAsia"/>
        </w:rPr>
        <w:sectPr>
          <w:footnotePr>
            <w:numFmt w:val="decimalEnclosedCircleChinese"/>
            <w:numRestart w:val="eachPage"/>
          </w:footnotePr>
          <w:pgSz w:w="11906" w:h="16838"/>
          <w:pgMar w:top="1134" w:right="1134" w:bottom="1134" w:left="1134" w:header="851" w:footer="851" w:gutter="0"/>
          <w:pgNumType w:fmt="decimal"/>
          <w:cols w:space="720" w:num="1"/>
          <w:docGrid w:linePitch="286" w:charSpace="0"/>
        </w:sectPr>
      </w:pPr>
    </w:p>
    <w:p w14:paraId="04329876">
      <w:pPr>
        <w:pStyle w:val="6"/>
        <w:rPr>
          <w:rFonts w:hint="eastAsia"/>
        </w:rPr>
      </w:pPr>
    </w:p>
    <w:p w14:paraId="10D23304">
      <w:pPr>
        <w:pStyle w:val="2"/>
        <w:jc w:val="center"/>
        <w:rPr>
          <w:rFonts w:hint="eastAsia" w:ascii="宋体" w:hAnsi="宋体" w:eastAsia="宋体" w:cs="Times New Roman"/>
          <w:szCs w:val="36"/>
        </w:rPr>
      </w:pPr>
      <w:bookmarkStart w:id="1107" w:name="_Toc18735"/>
      <w:r>
        <w:rPr>
          <w:rFonts w:hint="eastAsia" w:ascii="宋体" w:hAnsi="宋体" w:eastAsia="宋体" w:cs="Times New Roman"/>
          <w:szCs w:val="36"/>
        </w:rPr>
        <w:t>第四章  资格审查和评标办法</w:t>
      </w:r>
      <w:bookmarkEnd w:id="1107"/>
    </w:p>
    <w:p w14:paraId="0B6B7353">
      <w:pPr>
        <w:pStyle w:val="2"/>
        <w:jc w:val="center"/>
        <w:rPr>
          <w:rFonts w:hint="eastAsia"/>
        </w:rPr>
      </w:pPr>
      <w:bookmarkStart w:id="1108" w:name="_Toc28686"/>
      <w:bookmarkStart w:id="1109" w:name="_Toc4586"/>
      <w:bookmarkStart w:id="1110" w:name="_Toc10996"/>
      <w:bookmarkStart w:id="1111" w:name="_Toc4672"/>
      <w:r>
        <w:rPr>
          <w:rFonts w:hint="eastAsia"/>
        </w:rPr>
        <w:t>（综合评分法）</w:t>
      </w:r>
      <w:bookmarkEnd w:id="1106"/>
      <w:bookmarkEnd w:id="1108"/>
      <w:bookmarkEnd w:id="1109"/>
      <w:bookmarkEnd w:id="1110"/>
      <w:bookmarkEnd w:id="1111"/>
    </w:p>
    <w:bookmarkEnd w:id="1091"/>
    <w:bookmarkEnd w:id="1094"/>
    <w:bookmarkEnd w:id="1095"/>
    <w:bookmarkEnd w:id="1096"/>
    <w:bookmarkEnd w:id="1097"/>
    <w:bookmarkEnd w:id="1098"/>
    <w:bookmarkEnd w:id="1099"/>
    <w:bookmarkEnd w:id="1100"/>
    <w:bookmarkEnd w:id="1101"/>
    <w:p w14:paraId="57BF9AAB">
      <w:pPr>
        <w:tabs>
          <w:tab w:val="left" w:pos="360"/>
          <w:tab w:val="left" w:pos="540"/>
          <w:tab w:val="left" w:pos="3600"/>
          <w:tab w:val="left" w:pos="3780"/>
          <w:tab w:val="left" w:pos="8460"/>
          <w:tab w:val="left" w:pos="9180"/>
        </w:tabs>
        <w:adjustRightInd w:val="0"/>
        <w:snapToGrid w:val="0"/>
        <w:spacing w:line="408" w:lineRule="auto"/>
        <w:ind w:firstLine="482" w:firstLineChars="150"/>
        <w:jc w:val="center"/>
        <w:outlineLvl w:val="1"/>
        <w:rPr>
          <w:rFonts w:hint="eastAsia" w:ascii="黑体" w:hAnsi="黑体" w:eastAsia="黑体"/>
          <w:b/>
          <w:sz w:val="32"/>
          <w:szCs w:val="32"/>
          <w:highlight w:val="none"/>
        </w:rPr>
      </w:pPr>
      <w:r>
        <w:rPr>
          <w:rFonts w:hint="eastAsia" w:ascii="黑体" w:hAnsi="黑体" w:eastAsia="黑体"/>
          <w:b/>
          <w:sz w:val="32"/>
          <w:szCs w:val="32"/>
          <w:highlight w:val="none"/>
        </w:rPr>
        <w:t>一．资格审查</w:t>
      </w:r>
    </w:p>
    <w:p w14:paraId="3A19E0DE">
      <w:pPr>
        <w:pStyle w:val="3"/>
        <w:spacing w:before="0" w:after="0" w:line="408" w:lineRule="auto"/>
        <w:jc w:val="left"/>
        <w:rPr>
          <w:rFonts w:hint="eastAsia" w:ascii="黑体" w:hAnsi="黑体" w:eastAsia="黑体"/>
          <w:highlight w:val="none"/>
        </w:rPr>
      </w:pPr>
      <w:bookmarkStart w:id="1112" w:name="_Toc20031"/>
      <w:bookmarkStart w:id="1113" w:name="_Toc13545"/>
      <w:bookmarkStart w:id="1114" w:name="_Toc3215859"/>
      <w:bookmarkStart w:id="1115" w:name="_Toc3295909"/>
      <w:bookmarkStart w:id="1116" w:name="_Toc3219839"/>
      <w:bookmarkStart w:id="1117" w:name="_Toc324404867"/>
      <w:bookmarkStart w:id="1118" w:name="_Toc14074"/>
      <w:bookmarkStart w:id="1119" w:name="_Toc417623587"/>
      <w:r>
        <w:rPr>
          <w:rFonts w:hint="eastAsia" w:ascii="黑体" w:hAnsi="黑体" w:eastAsia="黑体"/>
          <w:highlight w:val="none"/>
        </w:rPr>
        <w:t>1. 资格审查办法</w:t>
      </w:r>
      <w:bookmarkEnd w:id="1112"/>
      <w:bookmarkEnd w:id="1113"/>
      <w:bookmarkEnd w:id="1114"/>
      <w:bookmarkEnd w:id="1115"/>
      <w:bookmarkEnd w:id="1116"/>
      <w:bookmarkEnd w:id="1117"/>
      <w:bookmarkEnd w:id="1118"/>
      <w:bookmarkEnd w:id="1119"/>
    </w:p>
    <w:p w14:paraId="31EBD8AC">
      <w:pPr>
        <w:widowControl/>
        <w:adjustRightInd w:val="0"/>
        <w:snapToGrid w:val="0"/>
        <w:spacing w:before="156" w:beforeLines="50" w:line="408" w:lineRule="auto"/>
        <w:ind w:firstLine="420" w:firstLineChars="200"/>
        <w:jc w:val="left"/>
        <w:rPr>
          <w:rFonts w:hint="eastAsia" w:ascii="宋体" w:hAnsi="宋体"/>
          <w:szCs w:val="21"/>
          <w:highlight w:val="none"/>
        </w:rPr>
      </w:pPr>
      <w:r>
        <w:rPr>
          <w:rFonts w:hint="eastAsia" w:ascii="宋体" w:hAnsi="宋体"/>
          <w:szCs w:val="21"/>
          <w:highlight w:val="none"/>
        </w:rPr>
        <w:t>由采购人或代理机构按资格审查表中审查标准对投标供应商资格进行审查。</w:t>
      </w:r>
    </w:p>
    <w:p w14:paraId="780F1BF5">
      <w:pPr>
        <w:pStyle w:val="3"/>
        <w:spacing w:before="0" w:after="0" w:line="408" w:lineRule="auto"/>
        <w:jc w:val="left"/>
        <w:rPr>
          <w:rFonts w:hint="eastAsia" w:ascii="黑体" w:hAnsi="黑体" w:eastAsia="黑体"/>
          <w:highlight w:val="none"/>
        </w:rPr>
      </w:pPr>
      <w:bookmarkStart w:id="1120" w:name="_Toc3295910"/>
      <w:bookmarkStart w:id="1121" w:name="_Toc28743"/>
      <w:bookmarkStart w:id="1122" w:name="_Toc25703"/>
      <w:bookmarkStart w:id="1123" w:name="_Toc3670"/>
      <w:bookmarkStart w:id="1124" w:name="_Toc3215860"/>
      <w:bookmarkStart w:id="1125" w:name="_Toc3219840"/>
      <w:r>
        <w:rPr>
          <w:rFonts w:hint="eastAsia" w:ascii="黑体" w:hAnsi="黑体" w:eastAsia="黑体"/>
          <w:highlight w:val="none"/>
        </w:rPr>
        <w:t>2. 资格审查标准</w:t>
      </w:r>
      <w:bookmarkEnd w:id="1120"/>
      <w:bookmarkEnd w:id="1121"/>
      <w:bookmarkEnd w:id="1122"/>
      <w:bookmarkEnd w:id="1123"/>
      <w:bookmarkEnd w:id="1124"/>
      <w:bookmarkEnd w:id="1125"/>
    </w:p>
    <w:p w14:paraId="58F65279">
      <w:pPr>
        <w:widowControl/>
        <w:adjustRightInd w:val="0"/>
        <w:snapToGrid w:val="0"/>
        <w:spacing w:before="171" w:beforeLines="55" w:line="408" w:lineRule="auto"/>
        <w:ind w:firstLine="420" w:firstLineChars="200"/>
        <w:jc w:val="left"/>
        <w:rPr>
          <w:rFonts w:hint="eastAsia" w:ascii="宋体" w:hAnsi="宋体"/>
          <w:szCs w:val="21"/>
          <w:highlight w:val="none"/>
        </w:rPr>
      </w:pPr>
      <w:r>
        <w:rPr>
          <w:rFonts w:hint="eastAsia" w:ascii="宋体" w:hAnsi="宋体"/>
          <w:szCs w:val="21"/>
          <w:highlight w:val="none"/>
        </w:rPr>
        <w:t>审查标准：见资格审查表。</w:t>
      </w:r>
    </w:p>
    <w:p w14:paraId="397DE8C0">
      <w:pPr>
        <w:pStyle w:val="3"/>
        <w:spacing w:before="0" w:after="0" w:line="408" w:lineRule="auto"/>
        <w:jc w:val="left"/>
        <w:rPr>
          <w:rFonts w:hint="eastAsia" w:ascii="黑体" w:hAnsi="黑体" w:eastAsia="黑体"/>
          <w:highlight w:val="none"/>
        </w:rPr>
      </w:pPr>
      <w:bookmarkStart w:id="1126" w:name="_Toc3219841"/>
      <w:bookmarkStart w:id="1127" w:name="_Toc6976"/>
      <w:bookmarkStart w:id="1128" w:name="_Toc12752"/>
      <w:bookmarkStart w:id="1129" w:name="_Toc10934"/>
      <w:bookmarkStart w:id="1130" w:name="_Toc3295911"/>
      <w:bookmarkStart w:id="1131" w:name="_Toc3215861"/>
      <w:r>
        <w:rPr>
          <w:rFonts w:hint="eastAsia" w:ascii="黑体" w:hAnsi="黑体" w:eastAsia="黑体"/>
          <w:highlight w:val="none"/>
        </w:rPr>
        <w:t>3. 资格审查程序</w:t>
      </w:r>
      <w:bookmarkEnd w:id="1126"/>
      <w:bookmarkEnd w:id="1127"/>
      <w:bookmarkEnd w:id="1128"/>
      <w:bookmarkEnd w:id="1129"/>
      <w:bookmarkEnd w:id="1130"/>
      <w:bookmarkEnd w:id="1131"/>
    </w:p>
    <w:p w14:paraId="3A9BC4B0">
      <w:pPr>
        <w:pStyle w:val="4"/>
        <w:adjustRightInd w:val="0"/>
        <w:spacing w:before="0" w:after="0" w:line="408" w:lineRule="auto"/>
        <w:ind w:firstLine="280" w:firstLineChars="100"/>
        <w:jc w:val="left"/>
        <w:rPr>
          <w:rFonts w:hint="eastAsia" w:ascii="黑体" w:hAnsi="黑体" w:eastAsia="黑体"/>
          <w:b w:val="0"/>
          <w:sz w:val="28"/>
          <w:szCs w:val="28"/>
          <w:highlight w:val="none"/>
        </w:rPr>
      </w:pPr>
      <w:bookmarkStart w:id="1132" w:name="_Toc3295912"/>
      <w:bookmarkStart w:id="1133" w:name="_Toc3215862"/>
      <w:bookmarkStart w:id="1134" w:name="_Toc3219842"/>
      <w:r>
        <w:rPr>
          <w:rFonts w:hint="eastAsia" w:ascii="黑体" w:hAnsi="黑体" w:eastAsia="黑体"/>
          <w:b w:val="0"/>
          <w:sz w:val="28"/>
          <w:szCs w:val="28"/>
          <w:highlight w:val="none"/>
        </w:rPr>
        <w:t>3.1 资格审查</w:t>
      </w:r>
      <w:bookmarkEnd w:id="1132"/>
      <w:bookmarkEnd w:id="1133"/>
      <w:bookmarkEnd w:id="1134"/>
    </w:p>
    <w:p w14:paraId="4D54F554">
      <w:pPr>
        <w:widowControl/>
        <w:adjustRightInd w:val="0"/>
        <w:snapToGrid w:val="0"/>
        <w:spacing w:before="156" w:beforeLines="50" w:line="408" w:lineRule="auto"/>
        <w:ind w:firstLine="420" w:firstLineChars="200"/>
        <w:jc w:val="left"/>
        <w:rPr>
          <w:rFonts w:hint="eastAsia" w:ascii="宋体" w:hAnsi="宋体"/>
          <w:szCs w:val="21"/>
          <w:highlight w:val="none"/>
        </w:rPr>
      </w:pPr>
      <w:r>
        <w:rPr>
          <w:rFonts w:hint="eastAsia" w:ascii="宋体" w:hAnsi="宋体"/>
          <w:szCs w:val="21"/>
          <w:highlight w:val="none"/>
        </w:rPr>
        <w:t>3.1.1 审查过程按照规定的资格审查标准，对各投标供应商依次进行审查。有一项不符合审查标准的，资格审查不合格，其投标无效。</w:t>
      </w:r>
    </w:p>
    <w:p w14:paraId="341D8496">
      <w:pPr>
        <w:widowControl/>
        <w:adjustRightInd w:val="0"/>
        <w:snapToGrid w:val="0"/>
        <w:spacing w:line="408" w:lineRule="auto"/>
        <w:ind w:firstLine="420" w:firstLineChars="200"/>
        <w:jc w:val="left"/>
        <w:rPr>
          <w:rFonts w:hint="eastAsia" w:ascii="宋体" w:hAnsi="宋体"/>
          <w:szCs w:val="21"/>
          <w:highlight w:val="none"/>
        </w:rPr>
      </w:pPr>
      <w:r>
        <w:rPr>
          <w:rFonts w:hint="eastAsia" w:ascii="宋体" w:hAnsi="宋体"/>
          <w:szCs w:val="21"/>
          <w:highlight w:val="none"/>
        </w:rPr>
        <w:t>3.1.2 投标供应商有以下情形之一的，资格审查不合格，其投标无效：</w:t>
      </w:r>
    </w:p>
    <w:p w14:paraId="19151B70">
      <w:pPr>
        <w:widowControl/>
        <w:adjustRightInd w:val="0"/>
        <w:snapToGrid w:val="0"/>
        <w:spacing w:line="408" w:lineRule="auto"/>
        <w:ind w:firstLine="420" w:firstLineChars="200"/>
        <w:jc w:val="left"/>
        <w:rPr>
          <w:rFonts w:hint="eastAsia" w:ascii="宋体" w:hAnsi="宋体"/>
          <w:szCs w:val="21"/>
          <w:highlight w:val="none"/>
        </w:rPr>
      </w:pPr>
      <w:r>
        <w:rPr>
          <w:rFonts w:hint="eastAsia" w:ascii="宋体" w:hAnsi="宋体"/>
          <w:szCs w:val="21"/>
          <w:highlight w:val="none"/>
        </w:rPr>
        <w:t>（1）有弄虚作假、向采购人或代理机构行贿等违法行为；</w:t>
      </w:r>
    </w:p>
    <w:p w14:paraId="5A0BE2FC">
      <w:pPr>
        <w:widowControl/>
        <w:adjustRightInd w:val="0"/>
        <w:snapToGrid w:val="0"/>
        <w:spacing w:line="408" w:lineRule="auto"/>
        <w:ind w:firstLine="420" w:firstLineChars="200"/>
        <w:jc w:val="left"/>
        <w:rPr>
          <w:rFonts w:hint="eastAsia" w:ascii="宋体" w:hAnsi="宋体"/>
          <w:szCs w:val="21"/>
          <w:highlight w:val="none"/>
        </w:rPr>
      </w:pPr>
      <w:r>
        <w:rPr>
          <w:rFonts w:hint="eastAsia" w:ascii="宋体" w:hAnsi="宋体"/>
          <w:szCs w:val="21"/>
          <w:highlight w:val="none"/>
        </w:rPr>
        <w:t>（2）不按照采购人或代理机构要求澄清或说明的。</w:t>
      </w:r>
    </w:p>
    <w:p w14:paraId="64880991">
      <w:pPr>
        <w:pStyle w:val="4"/>
        <w:adjustRightInd w:val="0"/>
        <w:spacing w:before="0" w:after="0" w:line="408" w:lineRule="auto"/>
        <w:ind w:firstLine="280" w:firstLineChars="100"/>
        <w:jc w:val="left"/>
        <w:rPr>
          <w:rFonts w:hint="eastAsia" w:ascii="黑体" w:hAnsi="黑体" w:eastAsia="黑体"/>
          <w:b w:val="0"/>
          <w:sz w:val="28"/>
          <w:szCs w:val="28"/>
          <w:highlight w:val="none"/>
        </w:rPr>
      </w:pPr>
      <w:bookmarkStart w:id="1135" w:name="_Toc3295913"/>
      <w:bookmarkStart w:id="1136" w:name="_Toc3219843"/>
      <w:bookmarkStart w:id="1137" w:name="_Toc3215863"/>
      <w:r>
        <w:rPr>
          <w:rFonts w:hint="eastAsia" w:ascii="黑体" w:hAnsi="黑体" w:eastAsia="黑体"/>
          <w:b w:val="0"/>
          <w:sz w:val="28"/>
          <w:szCs w:val="28"/>
          <w:highlight w:val="none"/>
        </w:rPr>
        <w:t>3.2 投标文件澄清</w:t>
      </w:r>
      <w:bookmarkEnd w:id="1135"/>
      <w:bookmarkEnd w:id="1136"/>
      <w:bookmarkEnd w:id="1137"/>
    </w:p>
    <w:p w14:paraId="7BACDB0F">
      <w:pPr>
        <w:widowControl/>
        <w:adjustRightInd w:val="0"/>
        <w:snapToGrid w:val="0"/>
        <w:spacing w:before="156" w:beforeLines="50" w:line="408" w:lineRule="auto"/>
        <w:ind w:firstLine="420" w:firstLineChars="200"/>
        <w:jc w:val="left"/>
        <w:rPr>
          <w:rFonts w:hint="eastAsia" w:ascii="宋体" w:hAnsi="宋体"/>
          <w:szCs w:val="21"/>
          <w:highlight w:val="none"/>
        </w:rPr>
      </w:pPr>
      <w:r>
        <w:rPr>
          <w:rFonts w:hint="eastAsia" w:ascii="宋体" w:hAnsi="宋体"/>
          <w:szCs w:val="21"/>
          <w:highlight w:val="none"/>
        </w:rPr>
        <w:t>3.2.1 在资格审查过程中，采购人或代理机构可以书面形式要求投标供应商对投标文件中含义不明确、对同类问题表述不一致或者有明显文字错误的内容</w:t>
      </w:r>
      <w:r>
        <w:rPr>
          <w:rFonts w:hint="eastAsia" w:ascii="宋体" w:hAnsi="宋体"/>
          <w:szCs w:val="21"/>
          <w:highlight w:val="none"/>
          <w:lang w:val="en-US" w:eastAsia="zh-CN"/>
        </w:rPr>
        <w:t>等</w:t>
      </w:r>
      <w:r>
        <w:rPr>
          <w:rFonts w:hint="eastAsia" w:ascii="宋体" w:hAnsi="宋体"/>
          <w:szCs w:val="21"/>
          <w:highlight w:val="none"/>
          <w:lang w:eastAsia="zh-CN"/>
        </w:rPr>
        <w:t>做必要</w:t>
      </w:r>
      <w:r>
        <w:rPr>
          <w:rFonts w:hint="eastAsia" w:ascii="宋体" w:hAnsi="宋体"/>
          <w:szCs w:val="21"/>
          <w:highlight w:val="none"/>
        </w:rPr>
        <w:t>的澄清或说明。澄清或说明应以书面方式进行，且不接受投标供应商主动提出的澄清或说明。</w:t>
      </w:r>
    </w:p>
    <w:p w14:paraId="624B6BDB">
      <w:pPr>
        <w:widowControl/>
        <w:adjustRightInd w:val="0"/>
        <w:snapToGrid w:val="0"/>
        <w:spacing w:line="408" w:lineRule="auto"/>
        <w:ind w:firstLine="420" w:firstLineChars="200"/>
        <w:jc w:val="left"/>
        <w:rPr>
          <w:rFonts w:hint="eastAsia" w:ascii="宋体" w:hAnsi="宋体"/>
          <w:szCs w:val="21"/>
          <w:highlight w:val="none"/>
        </w:rPr>
      </w:pPr>
      <w:r>
        <w:rPr>
          <w:rFonts w:hint="eastAsia" w:ascii="宋体" w:hAnsi="宋体"/>
          <w:szCs w:val="21"/>
          <w:highlight w:val="none"/>
        </w:rPr>
        <w:t>3.2.2 澄清或说明不得超出投标文件的范围且不得改变投标文件的实质性内容，并构成投标文件的组成部分。</w:t>
      </w:r>
    </w:p>
    <w:p w14:paraId="72AFCF7F">
      <w:pPr>
        <w:widowControl/>
        <w:adjustRightInd w:val="0"/>
        <w:snapToGrid w:val="0"/>
        <w:spacing w:line="408" w:lineRule="auto"/>
        <w:ind w:firstLine="420" w:firstLineChars="200"/>
        <w:jc w:val="left"/>
        <w:rPr>
          <w:rFonts w:hint="eastAsia" w:ascii="宋体" w:hAnsi="宋体"/>
          <w:szCs w:val="21"/>
          <w:highlight w:val="none"/>
        </w:rPr>
      </w:pPr>
      <w:r>
        <w:rPr>
          <w:rFonts w:hint="eastAsia" w:ascii="宋体" w:hAnsi="宋体"/>
          <w:szCs w:val="21"/>
          <w:highlight w:val="none"/>
        </w:rPr>
        <w:t>3.2.3 采购人或代理机构对投标供应商提交的澄清或说明有疑问的，可以要求投标供应商进一步澄清或说明。</w:t>
      </w:r>
    </w:p>
    <w:p w14:paraId="5227333D">
      <w:pPr>
        <w:widowControl/>
        <w:adjustRightInd w:val="0"/>
        <w:snapToGrid w:val="0"/>
        <w:spacing w:line="408" w:lineRule="auto"/>
        <w:ind w:firstLine="420" w:firstLineChars="200"/>
        <w:jc w:val="left"/>
        <w:rPr>
          <w:rFonts w:hint="eastAsia" w:ascii="宋体" w:hAnsi="宋体"/>
          <w:szCs w:val="21"/>
          <w:highlight w:val="none"/>
        </w:rPr>
      </w:pPr>
      <w:r>
        <w:rPr>
          <w:rFonts w:hint="eastAsia" w:ascii="宋体" w:hAnsi="宋体"/>
          <w:szCs w:val="21"/>
          <w:highlight w:val="none"/>
        </w:rPr>
        <w:t>3.2.4 投标文件的澄清与说明由采购人或代理机构以询标的方式告知并要求其以书面方式进行答复。投标供应商应及时登录</w:t>
      </w:r>
      <w:r>
        <w:rPr>
          <w:rFonts w:hint="eastAsia" w:ascii="宋体" w:hAnsi="宋体"/>
          <w:szCs w:val="21"/>
          <w:highlight w:val="none"/>
          <w:lang w:eastAsia="zh-CN"/>
        </w:rPr>
        <w:t>安天e采</w:t>
      </w:r>
      <w:r>
        <w:rPr>
          <w:rFonts w:hint="eastAsia" w:ascii="宋体" w:hAnsi="宋体"/>
          <w:szCs w:val="21"/>
          <w:highlight w:val="none"/>
        </w:rPr>
        <w:t>在线开标系统并在规定时间内予以回复确认。对于询标后判定为不符合招标文件设定的资格条件要求的，采购人或代理机构要提出充足的否定理由，并予以书面记录。最终对投标供应商的资格审查结论分为通过和未通过。</w:t>
      </w:r>
    </w:p>
    <w:p w14:paraId="0867ED90">
      <w:pPr>
        <w:pStyle w:val="4"/>
        <w:adjustRightInd w:val="0"/>
        <w:spacing w:before="0" w:after="0" w:line="408" w:lineRule="auto"/>
        <w:ind w:firstLine="280" w:firstLineChars="100"/>
        <w:jc w:val="left"/>
        <w:rPr>
          <w:rFonts w:hint="eastAsia" w:ascii="黑体" w:hAnsi="黑体" w:eastAsia="黑体"/>
          <w:b w:val="0"/>
          <w:sz w:val="28"/>
          <w:szCs w:val="28"/>
          <w:highlight w:val="none"/>
        </w:rPr>
      </w:pPr>
      <w:bookmarkStart w:id="1138" w:name="_Toc3219844"/>
      <w:bookmarkStart w:id="1139" w:name="_Toc3295914"/>
      <w:bookmarkStart w:id="1140" w:name="_Toc3215864"/>
      <w:r>
        <w:rPr>
          <w:rFonts w:hint="eastAsia" w:ascii="黑体" w:hAnsi="黑体" w:eastAsia="黑体"/>
          <w:b w:val="0"/>
          <w:sz w:val="28"/>
          <w:szCs w:val="28"/>
          <w:highlight w:val="none"/>
        </w:rPr>
        <w:t>3.3 资格审查结果</w:t>
      </w:r>
      <w:bookmarkEnd w:id="1138"/>
      <w:bookmarkEnd w:id="1139"/>
      <w:bookmarkEnd w:id="1140"/>
    </w:p>
    <w:p w14:paraId="22C11353">
      <w:pPr>
        <w:widowControl/>
        <w:adjustRightInd w:val="0"/>
        <w:snapToGrid w:val="0"/>
        <w:spacing w:before="156" w:beforeLines="50" w:line="408" w:lineRule="auto"/>
        <w:ind w:firstLine="420" w:firstLineChars="200"/>
        <w:jc w:val="left"/>
        <w:rPr>
          <w:rFonts w:hint="eastAsia" w:ascii="宋体" w:hAnsi="宋体"/>
          <w:szCs w:val="21"/>
          <w:highlight w:val="none"/>
        </w:rPr>
      </w:pPr>
      <w:r>
        <w:rPr>
          <w:rFonts w:hint="eastAsia" w:ascii="宋体" w:hAnsi="宋体"/>
          <w:szCs w:val="21"/>
          <w:highlight w:val="none"/>
        </w:rPr>
        <w:t>3.3.1 只有通过资格审查的投标供应商才能进入下一步的评标程序。</w:t>
      </w:r>
    </w:p>
    <w:p w14:paraId="5CA01CA4">
      <w:pPr>
        <w:widowControl/>
        <w:adjustRightInd w:val="0"/>
        <w:snapToGrid w:val="0"/>
        <w:spacing w:line="408" w:lineRule="auto"/>
        <w:ind w:firstLine="420" w:firstLineChars="200"/>
        <w:jc w:val="left"/>
        <w:rPr>
          <w:rFonts w:hint="eastAsia" w:ascii="宋体" w:hAnsi="宋体"/>
          <w:szCs w:val="21"/>
          <w:highlight w:val="none"/>
        </w:rPr>
      </w:pPr>
      <w:r>
        <w:rPr>
          <w:rFonts w:hint="eastAsia" w:ascii="宋体" w:hAnsi="宋体"/>
          <w:szCs w:val="21"/>
          <w:highlight w:val="none"/>
        </w:rPr>
        <w:t>3.3.2 合格投标供应商不足3家的，不得评标。</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1855"/>
        <w:gridCol w:w="5130"/>
        <w:gridCol w:w="2123"/>
      </w:tblGrid>
      <w:tr w14:paraId="14C1A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4"/>
            <w:tcBorders>
              <w:bottom w:val="single" w:color="auto" w:sz="4" w:space="0"/>
            </w:tcBorders>
            <w:noWrap w:val="0"/>
            <w:vAlign w:val="center"/>
          </w:tcPr>
          <w:p w14:paraId="3E9D9B7C">
            <w:pPr>
              <w:adjustRightInd w:val="0"/>
              <w:snapToGrid w:val="0"/>
              <w:spacing w:line="360" w:lineRule="auto"/>
              <w:jc w:val="center"/>
              <w:rPr>
                <w:rFonts w:hint="eastAsia" w:ascii="宋体" w:hAnsi="宋体" w:cs="宋体"/>
                <w:szCs w:val="21"/>
              </w:rPr>
            </w:pPr>
            <w:r>
              <w:rPr>
                <w:rFonts w:hint="eastAsia" w:ascii="宋体" w:hAnsi="宋体" w:cs="宋体"/>
                <w:b/>
                <w:szCs w:val="21"/>
              </w:rPr>
              <w:t>资格审查表</w:t>
            </w:r>
          </w:p>
        </w:tc>
      </w:tr>
      <w:tr w14:paraId="56C75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bottom w:val="single" w:color="auto" w:sz="4" w:space="0"/>
            </w:tcBorders>
            <w:noWrap w:val="0"/>
            <w:vAlign w:val="center"/>
          </w:tcPr>
          <w:p w14:paraId="5C24E81B">
            <w:pPr>
              <w:adjustRightInd w:val="0"/>
              <w:snapToGrid w:val="0"/>
              <w:spacing w:line="360" w:lineRule="auto"/>
              <w:jc w:val="center"/>
              <w:rPr>
                <w:rFonts w:hint="eastAsia" w:ascii="宋体" w:hAnsi="宋体" w:cs="宋体"/>
                <w:szCs w:val="21"/>
              </w:rPr>
            </w:pPr>
            <w:r>
              <w:rPr>
                <w:rFonts w:hint="eastAsia" w:ascii="宋体" w:hAnsi="宋体" w:cs="宋体"/>
                <w:szCs w:val="21"/>
              </w:rPr>
              <w:t>序号</w:t>
            </w:r>
          </w:p>
        </w:tc>
        <w:tc>
          <w:tcPr>
            <w:tcW w:w="941" w:type="pct"/>
            <w:tcBorders>
              <w:bottom w:val="single" w:color="auto" w:sz="4" w:space="0"/>
            </w:tcBorders>
            <w:noWrap w:val="0"/>
            <w:vAlign w:val="center"/>
          </w:tcPr>
          <w:p w14:paraId="0892AE88">
            <w:pPr>
              <w:pStyle w:val="34"/>
              <w:pBdr>
                <w:bottom w:val="none" w:color="auto" w:sz="0" w:space="0"/>
              </w:pBdr>
              <w:tabs>
                <w:tab w:val="clear" w:pos="4153"/>
                <w:tab w:val="clear" w:pos="8306"/>
              </w:tabs>
              <w:snapToGrid w:val="0"/>
              <w:spacing w:line="360" w:lineRule="auto"/>
              <w:textAlignment w:val="auto"/>
              <w:rPr>
                <w:rFonts w:hint="eastAsia" w:ascii="宋体" w:hAnsi="宋体" w:cs="宋体"/>
                <w:kern w:val="2"/>
                <w:sz w:val="21"/>
                <w:szCs w:val="21"/>
              </w:rPr>
            </w:pPr>
            <w:r>
              <w:rPr>
                <w:rFonts w:hint="eastAsia" w:ascii="宋体" w:hAnsi="宋体" w:cs="宋体"/>
                <w:kern w:val="2"/>
                <w:sz w:val="21"/>
                <w:szCs w:val="21"/>
              </w:rPr>
              <w:t>审查指标</w:t>
            </w:r>
          </w:p>
        </w:tc>
        <w:tc>
          <w:tcPr>
            <w:tcW w:w="2603" w:type="pct"/>
            <w:tcBorders>
              <w:bottom w:val="single" w:color="auto" w:sz="4" w:space="0"/>
            </w:tcBorders>
            <w:noWrap w:val="0"/>
            <w:vAlign w:val="center"/>
          </w:tcPr>
          <w:p w14:paraId="1C0783F9">
            <w:pPr>
              <w:adjustRightInd w:val="0"/>
              <w:snapToGrid w:val="0"/>
              <w:spacing w:line="360" w:lineRule="auto"/>
              <w:jc w:val="center"/>
              <w:rPr>
                <w:rFonts w:hint="eastAsia" w:ascii="宋体" w:hAnsi="宋体" w:cs="宋体"/>
                <w:szCs w:val="21"/>
              </w:rPr>
            </w:pPr>
            <w:r>
              <w:rPr>
                <w:rFonts w:hint="eastAsia" w:ascii="宋体" w:hAnsi="宋体" w:cs="宋体"/>
                <w:szCs w:val="21"/>
              </w:rPr>
              <w:t>审查标准</w:t>
            </w:r>
          </w:p>
        </w:tc>
        <w:tc>
          <w:tcPr>
            <w:tcW w:w="1075" w:type="pct"/>
            <w:tcBorders>
              <w:bottom w:val="single" w:color="auto" w:sz="4" w:space="0"/>
            </w:tcBorders>
            <w:noWrap w:val="0"/>
            <w:vAlign w:val="center"/>
          </w:tcPr>
          <w:p w14:paraId="7D4CE358">
            <w:pPr>
              <w:adjustRightInd w:val="0"/>
              <w:snapToGrid w:val="0"/>
              <w:spacing w:line="360" w:lineRule="auto"/>
              <w:jc w:val="center"/>
              <w:rPr>
                <w:rFonts w:hint="eastAsia" w:ascii="宋体" w:hAnsi="宋体" w:cs="宋体"/>
                <w:szCs w:val="21"/>
              </w:rPr>
            </w:pPr>
            <w:r>
              <w:rPr>
                <w:rFonts w:hint="eastAsia" w:ascii="宋体" w:hAnsi="宋体" w:cs="宋体"/>
                <w:szCs w:val="21"/>
              </w:rPr>
              <w:t>格式要求</w:t>
            </w:r>
          </w:p>
        </w:tc>
      </w:tr>
      <w:tr w14:paraId="7217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79" w:type="pct"/>
            <w:tcBorders>
              <w:bottom w:val="single" w:color="auto" w:sz="4" w:space="0"/>
            </w:tcBorders>
            <w:noWrap w:val="0"/>
            <w:vAlign w:val="center"/>
          </w:tcPr>
          <w:p w14:paraId="0E7B8341">
            <w:pPr>
              <w:adjustRightInd w:val="0"/>
              <w:snapToGrid w:val="0"/>
              <w:spacing w:line="360" w:lineRule="auto"/>
              <w:jc w:val="center"/>
              <w:rPr>
                <w:rFonts w:hint="eastAsia" w:ascii="宋体" w:hAnsi="宋体" w:cs="宋体"/>
                <w:szCs w:val="21"/>
              </w:rPr>
            </w:pPr>
            <w:r>
              <w:rPr>
                <w:rFonts w:hint="eastAsia" w:ascii="宋体" w:hAnsi="宋体" w:cs="宋体"/>
                <w:szCs w:val="21"/>
              </w:rPr>
              <w:t>1</w:t>
            </w:r>
          </w:p>
        </w:tc>
        <w:tc>
          <w:tcPr>
            <w:tcW w:w="941" w:type="pct"/>
            <w:tcBorders>
              <w:bottom w:val="single" w:color="auto" w:sz="4" w:space="0"/>
            </w:tcBorders>
            <w:noWrap w:val="0"/>
            <w:vAlign w:val="center"/>
          </w:tcPr>
          <w:p w14:paraId="5BF2309E">
            <w:pPr>
              <w:spacing w:line="360" w:lineRule="auto"/>
              <w:jc w:val="center"/>
              <w:rPr>
                <w:rFonts w:hint="eastAsia" w:ascii="宋体" w:hAnsi="宋体" w:cs="宋体"/>
                <w:szCs w:val="21"/>
              </w:rPr>
            </w:pPr>
            <w:r>
              <w:rPr>
                <w:rFonts w:hint="eastAsia" w:ascii="宋体" w:hAnsi="宋体" w:cs="宋体"/>
                <w:spacing w:val="9"/>
                <w:szCs w:val="21"/>
              </w:rPr>
              <w:t>营业执照等证明</w:t>
            </w:r>
            <w:r>
              <w:rPr>
                <w:rFonts w:hint="eastAsia" w:ascii="宋体" w:hAnsi="宋体" w:cs="宋体"/>
                <w:spacing w:val="-3"/>
                <w:szCs w:val="21"/>
              </w:rPr>
              <w:t>文件</w:t>
            </w:r>
          </w:p>
        </w:tc>
        <w:tc>
          <w:tcPr>
            <w:tcW w:w="2603" w:type="pct"/>
            <w:tcBorders>
              <w:bottom w:val="single" w:color="auto" w:sz="4" w:space="0"/>
            </w:tcBorders>
            <w:noWrap w:val="0"/>
            <w:vAlign w:val="center"/>
          </w:tcPr>
          <w:p w14:paraId="3DB2840C">
            <w:pPr>
              <w:spacing w:line="360" w:lineRule="auto"/>
              <w:jc w:val="left"/>
              <w:rPr>
                <w:rFonts w:hint="eastAsia" w:ascii="宋体" w:hAnsi="宋体" w:cs="宋体"/>
                <w:szCs w:val="21"/>
              </w:rPr>
            </w:pPr>
            <w:r>
              <w:rPr>
                <w:rFonts w:hint="eastAsia" w:ascii="宋体" w:hAnsi="宋体" w:cs="宋体"/>
                <w:szCs w:val="21"/>
              </w:rPr>
              <w:t>（1）投标人为企业（包括合伙企业）的，应提供有效的营业执照；</w:t>
            </w:r>
          </w:p>
          <w:p w14:paraId="27885A9C">
            <w:pPr>
              <w:spacing w:line="360" w:lineRule="auto"/>
              <w:jc w:val="left"/>
              <w:rPr>
                <w:rFonts w:hint="eastAsia" w:ascii="宋体" w:hAnsi="宋体" w:cs="宋体"/>
                <w:szCs w:val="21"/>
              </w:rPr>
            </w:pPr>
            <w:r>
              <w:rPr>
                <w:rFonts w:hint="eastAsia" w:ascii="宋体" w:hAnsi="宋体" w:cs="宋体"/>
                <w:szCs w:val="21"/>
              </w:rPr>
              <w:t>（2）投标人为事业单位的，应提供有效的事业单位法人证书；</w:t>
            </w:r>
          </w:p>
          <w:p w14:paraId="320EE512">
            <w:pPr>
              <w:spacing w:line="360" w:lineRule="auto"/>
              <w:jc w:val="left"/>
              <w:rPr>
                <w:rFonts w:hint="eastAsia" w:ascii="宋体" w:hAnsi="宋体" w:cs="宋体"/>
                <w:szCs w:val="21"/>
              </w:rPr>
            </w:pPr>
            <w:r>
              <w:rPr>
                <w:rFonts w:hint="eastAsia" w:ascii="宋体" w:hAnsi="宋体" w:cs="宋体"/>
                <w:szCs w:val="21"/>
              </w:rPr>
              <w:t>（3）投标人是非企业机构的，应提供有效的执业许可证或登记证书等证明文件；</w:t>
            </w:r>
          </w:p>
          <w:p w14:paraId="09C5EA1E">
            <w:pPr>
              <w:spacing w:line="360" w:lineRule="auto"/>
              <w:jc w:val="left"/>
              <w:rPr>
                <w:rFonts w:hint="eastAsia" w:ascii="宋体" w:hAnsi="宋体" w:cs="宋体"/>
                <w:szCs w:val="21"/>
              </w:rPr>
            </w:pPr>
            <w:r>
              <w:rPr>
                <w:rFonts w:hint="eastAsia" w:ascii="宋体" w:hAnsi="宋体" w:cs="宋体"/>
                <w:szCs w:val="21"/>
              </w:rPr>
              <w:t>（4）投标人是个体工商户的，应提供有效的个体工商户营业执照；</w:t>
            </w:r>
          </w:p>
          <w:p w14:paraId="047A5C86">
            <w:pPr>
              <w:spacing w:line="360" w:lineRule="auto"/>
              <w:jc w:val="left"/>
              <w:rPr>
                <w:rFonts w:hint="eastAsia" w:ascii="宋体" w:hAnsi="宋体" w:cs="宋体"/>
                <w:szCs w:val="21"/>
              </w:rPr>
            </w:pPr>
            <w:r>
              <w:rPr>
                <w:rFonts w:hint="eastAsia" w:ascii="宋体" w:hAnsi="宋体" w:cs="宋体"/>
                <w:szCs w:val="21"/>
              </w:rPr>
              <w:t>（5）投标人是自然人的，应提供有效的自然人身份证明；</w:t>
            </w:r>
          </w:p>
          <w:p w14:paraId="7C584D78">
            <w:pPr>
              <w:spacing w:line="360" w:lineRule="auto"/>
              <w:jc w:val="left"/>
              <w:rPr>
                <w:rFonts w:hint="eastAsia" w:ascii="宋体" w:hAnsi="宋体" w:cs="宋体"/>
                <w:szCs w:val="21"/>
              </w:rPr>
            </w:pPr>
            <w:r>
              <w:rPr>
                <w:rFonts w:hint="eastAsia" w:ascii="宋体" w:hAnsi="宋体" w:cs="宋体"/>
                <w:szCs w:val="21"/>
              </w:rPr>
              <w:t xml:space="preserve">（6）对于银行、保险、石油石化、电力、电信等行业的分公司参加投标的，应提供该分公司的相应证明文件（如营业执照）；同时还应提供其总公司或上级主管部门出具的授权其参与本项目的书面唯一授权书（格式自拟，须加盖其总公司或上级主管部门的公章），也可以提供其总公司或上级主管部门的有关文件或制度等能够证明授权其独立开展业务的证明材料。 </w:t>
            </w:r>
          </w:p>
        </w:tc>
        <w:tc>
          <w:tcPr>
            <w:tcW w:w="1075" w:type="pct"/>
            <w:noWrap w:val="0"/>
            <w:vAlign w:val="center"/>
          </w:tcPr>
          <w:p w14:paraId="1A3471F7">
            <w:pPr>
              <w:spacing w:line="360" w:lineRule="auto"/>
              <w:jc w:val="left"/>
              <w:rPr>
                <w:rFonts w:hint="eastAsia" w:ascii="宋体" w:hAnsi="宋体" w:cs="宋体"/>
                <w:szCs w:val="21"/>
              </w:rPr>
            </w:pPr>
            <w:r>
              <w:rPr>
                <w:rFonts w:hint="eastAsia" w:ascii="宋体" w:hAnsi="宋体" w:cs="宋体"/>
                <w:szCs w:val="21"/>
              </w:rPr>
              <w:t>提供材料扫描件或电子证照，应完整的体现出材料或电子证照全部内容。联合体投标的联合体各方均须提供。</w:t>
            </w:r>
          </w:p>
        </w:tc>
      </w:tr>
      <w:tr w14:paraId="6E44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379" w:type="pct"/>
            <w:tcBorders>
              <w:bottom w:val="single" w:color="auto" w:sz="4" w:space="0"/>
            </w:tcBorders>
            <w:noWrap w:val="0"/>
            <w:vAlign w:val="center"/>
          </w:tcPr>
          <w:p w14:paraId="78904D45">
            <w:pPr>
              <w:adjustRightInd w:val="0"/>
              <w:snapToGrid w:val="0"/>
              <w:spacing w:line="360" w:lineRule="auto"/>
              <w:jc w:val="center"/>
              <w:rPr>
                <w:rFonts w:hint="eastAsia" w:ascii="宋体" w:hAnsi="宋体" w:cs="宋体"/>
                <w:szCs w:val="21"/>
              </w:rPr>
            </w:pPr>
            <w:r>
              <w:rPr>
                <w:rFonts w:hint="eastAsia" w:ascii="宋体" w:hAnsi="宋体" w:cs="宋体"/>
                <w:szCs w:val="21"/>
              </w:rPr>
              <w:t>2</w:t>
            </w:r>
          </w:p>
        </w:tc>
        <w:tc>
          <w:tcPr>
            <w:tcW w:w="941" w:type="pct"/>
            <w:tcBorders>
              <w:bottom w:val="single" w:color="auto" w:sz="4" w:space="0"/>
            </w:tcBorders>
            <w:noWrap w:val="0"/>
            <w:vAlign w:val="center"/>
          </w:tcPr>
          <w:p w14:paraId="40FF9635">
            <w:pPr>
              <w:adjustRightInd w:val="0"/>
              <w:snapToGrid w:val="0"/>
              <w:spacing w:line="360" w:lineRule="auto"/>
              <w:jc w:val="center"/>
              <w:rPr>
                <w:rFonts w:hint="eastAsia" w:ascii="宋体" w:hAnsi="宋体" w:cs="宋体"/>
                <w:szCs w:val="21"/>
              </w:rPr>
            </w:pPr>
            <w:r>
              <w:rPr>
                <w:rFonts w:hint="eastAsia" w:ascii="宋体" w:hAnsi="宋体"/>
                <w:kern w:val="0"/>
                <w:szCs w:val="21"/>
              </w:rPr>
              <w:t>无重大违法记录声明函、无不良信用记录声明函</w:t>
            </w:r>
          </w:p>
        </w:tc>
        <w:tc>
          <w:tcPr>
            <w:tcW w:w="2603" w:type="pct"/>
            <w:tcBorders>
              <w:bottom w:val="single" w:color="auto" w:sz="4" w:space="0"/>
            </w:tcBorders>
            <w:noWrap w:val="0"/>
            <w:vAlign w:val="center"/>
          </w:tcPr>
          <w:p w14:paraId="5E70A460">
            <w:pPr>
              <w:spacing w:line="360" w:lineRule="auto"/>
              <w:jc w:val="center"/>
              <w:rPr>
                <w:rFonts w:hint="eastAsia" w:ascii="宋体" w:hAnsi="宋体" w:cs="宋体"/>
                <w:szCs w:val="21"/>
              </w:rPr>
            </w:pPr>
            <w:r>
              <w:rPr>
                <w:rFonts w:hint="eastAsia" w:ascii="宋体" w:hAnsi="宋体"/>
                <w:szCs w:val="21"/>
              </w:rPr>
              <w:t>格式、填写要求符合招标文件规定并加盖投标供应商公章</w:t>
            </w:r>
          </w:p>
        </w:tc>
        <w:tc>
          <w:tcPr>
            <w:tcW w:w="1075" w:type="pct"/>
            <w:noWrap w:val="0"/>
            <w:vAlign w:val="center"/>
          </w:tcPr>
          <w:p w14:paraId="71B9085B">
            <w:pPr>
              <w:spacing w:line="360" w:lineRule="auto"/>
              <w:jc w:val="left"/>
              <w:rPr>
                <w:rFonts w:hint="eastAsia" w:ascii="宋体" w:hAnsi="宋体" w:cs="宋体"/>
                <w:szCs w:val="21"/>
              </w:rPr>
            </w:pPr>
            <w:r>
              <w:rPr>
                <w:rFonts w:hint="eastAsia" w:ascii="宋体" w:hAnsi="宋体" w:cs="宋体"/>
                <w:szCs w:val="21"/>
              </w:rPr>
              <w:t>详见第六章投标文件格式。</w:t>
            </w:r>
          </w:p>
        </w:tc>
      </w:tr>
      <w:tr w14:paraId="01C9E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bottom w:val="single" w:color="auto" w:sz="4" w:space="0"/>
            </w:tcBorders>
            <w:noWrap w:val="0"/>
            <w:vAlign w:val="center"/>
          </w:tcPr>
          <w:p w14:paraId="055B4D4F">
            <w:pPr>
              <w:adjustRightInd w:val="0"/>
              <w:snapToGrid w:val="0"/>
              <w:spacing w:line="360" w:lineRule="auto"/>
              <w:jc w:val="center"/>
              <w:rPr>
                <w:rFonts w:hint="eastAsia" w:ascii="宋体" w:hAnsi="宋体" w:cs="宋体"/>
                <w:szCs w:val="21"/>
              </w:rPr>
            </w:pPr>
            <w:r>
              <w:rPr>
                <w:rFonts w:hint="eastAsia" w:ascii="宋体" w:hAnsi="宋体" w:cs="宋体"/>
                <w:szCs w:val="21"/>
              </w:rPr>
              <w:t>3</w:t>
            </w:r>
          </w:p>
        </w:tc>
        <w:tc>
          <w:tcPr>
            <w:tcW w:w="941" w:type="pct"/>
            <w:tcBorders>
              <w:bottom w:val="single" w:color="auto" w:sz="4" w:space="0"/>
            </w:tcBorders>
            <w:noWrap w:val="0"/>
            <w:vAlign w:val="center"/>
          </w:tcPr>
          <w:p w14:paraId="421C51A5">
            <w:pPr>
              <w:spacing w:line="360" w:lineRule="auto"/>
              <w:jc w:val="center"/>
              <w:rPr>
                <w:rFonts w:hint="eastAsia" w:ascii="宋体" w:hAnsi="宋体" w:cs="宋体"/>
                <w:szCs w:val="21"/>
              </w:rPr>
            </w:pPr>
            <w:r>
              <w:rPr>
                <w:rFonts w:hint="eastAsia" w:ascii="宋体" w:hAnsi="宋体" w:cs="宋体"/>
                <w:szCs w:val="21"/>
              </w:rPr>
              <w:t>投标人信用记录</w:t>
            </w:r>
          </w:p>
        </w:tc>
        <w:tc>
          <w:tcPr>
            <w:tcW w:w="2603" w:type="pct"/>
            <w:tcBorders>
              <w:bottom w:val="single" w:color="auto" w:sz="4" w:space="0"/>
            </w:tcBorders>
            <w:noWrap w:val="0"/>
            <w:vAlign w:val="center"/>
          </w:tcPr>
          <w:p w14:paraId="79238EB8">
            <w:pPr>
              <w:spacing w:line="360" w:lineRule="auto"/>
              <w:jc w:val="left"/>
              <w:rPr>
                <w:rFonts w:hint="eastAsia" w:ascii="宋体" w:hAnsi="宋体" w:cs="宋体"/>
                <w:szCs w:val="21"/>
              </w:rPr>
            </w:pPr>
            <w:r>
              <w:rPr>
                <w:rFonts w:hint="eastAsia" w:ascii="宋体" w:hAnsi="宋体" w:cs="宋体"/>
                <w:szCs w:val="21"/>
                <w:lang w:val="zh-CN"/>
              </w:rPr>
              <w:t>投标人不得存在投标人须知正文第1</w:t>
            </w:r>
            <w:r>
              <w:rPr>
                <w:rFonts w:hint="eastAsia" w:ascii="宋体" w:hAnsi="宋体" w:cs="宋体"/>
                <w:szCs w:val="21"/>
              </w:rPr>
              <w:t>.4</w:t>
            </w:r>
            <w:r>
              <w:rPr>
                <w:rFonts w:hint="eastAsia" w:ascii="宋体" w:hAnsi="宋体" w:cs="宋体"/>
                <w:szCs w:val="21"/>
                <w:lang w:val="zh-CN"/>
              </w:rPr>
              <w:t>.</w:t>
            </w:r>
            <w:r>
              <w:rPr>
                <w:rFonts w:hint="eastAsia" w:ascii="宋体" w:hAnsi="宋体" w:cs="宋体"/>
                <w:szCs w:val="21"/>
              </w:rPr>
              <w:t>3条中的不良信用记录情形。</w:t>
            </w:r>
          </w:p>
          <w:p w14:paraId="20770039">
            <w:pPr>
              <w:spacing w:line="360" w:lineRule="auto"/>
              <w:jc w:val="left"/>
              <w:rPr>
                <w:rFonts w:hint="eastAsia" w:ascii="宋体" w:hAnsi="宋体" w:cs="宋体"/>
                <w:szCs w:val="21"/>
              </w:rPr>
            </w:pPr>
            <w:r>
              <w:rPr>
                <w:rFonts w:hint="eastAsia" w:ascii="宋体" w:hAnsi="宋体" w:cs="宋体"/>
                <w:szCs w:val="21"/>
              </w:rPr>
              <w:t>（1）被人民法院列入失信被执行人名单的（以www.creditchina.gov.cn查询为准）；</w:t>
            </w:r>
          </w:p>
          <w:p w14:paraId="11C222F8">
            <w:pPr>
              <w:spacing w:line="360" w:lineRule="auto"/>
              <w:jc w:val="left"/>
              <w:rPr>
                <w:rFonts w:hint="eastAsia" w:ascii="宋体" w:hAnsi="宋体" w:cs="宋体"/>
                <w:szCs w:val="21"/>
              </w:rPr>
            </w:pPr>
            <w:r>
              <w:rPr>
                <w:rFonts w:hint="eastAsia" w:ascii="宋体" w:hAnsi="宋体" w:cs="宋体"/>
                <w:szCs w:val="21"/>
              </w:rPr>
              <w:t>（2）</w:t>
            </w:r>
            <w:r>
              <w:rPr>
                <w:rFonts w:hint="eastAsia" w:ascii="宋体" w:hAnsi="宋体" w:cs="宋体"/>
                <w:szCs w:val="21"/>
                <w:lang w:val="zh-CN"/>
              </w:rPr>
              <w:t>被财政部门列入政府采购严重违法失信行为记录名单的</w:t>
            </w:r>
            <w:r>
              <w:rPr>
                <w:rFonts w:hint="eastAsia" w:ascii="宋体" w:hAnsi="宋体" w:cs="宋体"/>
                <w:szCs w:val="21"/>
              </w:rPr>
              <w:t>（</w:t>
            </w:r>
            <w:r>
              <w:rPr>
                <w:rFonts w:hint="eastAsia" w:ascii="宋体" w:hAnsi="宋体" w:cs="宋体"/>
                <w:szCs w:val="21"/>
                <w:lang w:val="zh-CN"/>
              </w:rPr>
              <w:t>以</w:t>
            </w:r>
            <w:r>
              <w:rPr>
                <w:rFonts w:hint="eastAsia" w:ascii="宋体" w:hAnsi="宋体" w:cs="宋体"/>
                <w:szCs w:val="21"/>
              </w:rPr>
              <w:t>www.ccgp.gov.cn/</w:t>
            </w:r>
            <w:r>
              <w:rPr>
                <w:rFonts w:hint="eastAsia" w:ascii="宋体" w:hAnsi="宋体" w:cs="宋体"/>
                <w:szCs w:val="21"/>
                <w:lang w:val="zh-CN"/>
              </w:rPr>
              <w:t>查询为准</w:t>
            </w:r>
            <w:r>
              <w:rPr>
                <w:rFonts w:hint="eastAsia" w:ascii="宋体" w:hAnsi="宋体" w:cs="宋体"/>
                <w:szCs w:val="21"/>
              </w:rPr>
              <w:t>）；</w:t>
            </w:r>
          </w:p>
          <w:p w14:paraId="0FD00EC0">
            <w:pPr>
              <w:spacing w:line="360" w:lineRule="auto"/>
              <w:jc w:val="left"/>
              <w:rPr>
                <w:rFonts w:hint="eastAsia" w:ascii="宋体" w:hAnsi="宋体" w:cs="宋体"/>
                <w:szCs w:val="21"/>
              </w:rPr>
            </w:pPr>
            <w:r>
              <w:rPr>
                <w:rFonts w:hint="eastAsia" w:ascii="宋体" w:hAnsi="宋体" w:cs="宋体"/>
                <w:szCs w:val="21"/>
              </w:rPr>
              <w:t>（3）被税务机关</w:t>
            </w:r>
            <w:r>
              <w:rPr>
                <w:rFonts w:hint="eastAsia" w:ascii="宋体" w:hAnsi="宋体" w:cs="宋体"/>
                <w:szCs w:val="21"/>
                <w:lang w:val="zh-CN"/>
              </w:rPr>
              <w:t>列入重大税收违法失信主体名单的</w:t>
            </w:r>
            <w:r>
              <w:rPr>
                <w:rFonts w:hint="eastAsia" w:ascii="宋体" w:hAnsi="宋体" w:cs="宋体"/>
                <w:szCs w:val="21"/>
              </w:rPr>
              <w:t>（</w:t>
            </w:r>
            <w:r>
              <w:rPr>
                <w:rFonts w:hint="eastAsia" w:ascii="宋体" w:hAnsi="宋体" w:cs="宋体"/>
                <w:szCs w:val="21"/>
                <w:lang w:val="zh-CN"/>
              </w:rPr>
              <w:t>以</w:t>
            </w:r>
            <w:r>
              <w:rPr>
                <w:rFonts w:hint="eastAsia" w:ascii="宋体" w:hAnsi="宋体" w:cs="宋体"/>
                <w:szCs w:val="21"/>
              </w:rPr>
              <w:t>www.creditchina.gov.cn</w:t>
            </w:r>
            <w:r>
              <w:rPr>
                <w:rFonts w:hint="eastAsia" w:ascii="宋体" w:hAnsi="宋体" w:cs="宋体"/>
                <w:szCs w:val="21"/>
                <w:lang w:val="zh-CN"/>
              </w:rPr>
              <w:t>查询为准</w:t>
            </w:r>
            <w:r>
              <w:rPr>
                <w:rFonts w:hint="eastAsia" w:ascii="宋体" w:hAnsi="宋体" w:cs="宋体"/>
                <w:szCs w:val="21"/>
              </w:rPr>
              <w:t>）；</w:t>
            </w:r>
          </w:p>
          <w:p w14:paraId="013AED7A">
            <w:pPr>
              <w:pStyle w:val="9"/>
              <w:spacing w:line="360" w:lineRule="auto"/>
              <w:rPr>
                <w:rFonts w:hint="eastAsia"/>
              </w:rPr>
            </w:pPr>
            <w:r>
              <w:rPr>
                <w:rFonts w:hint="eastAsia" w:hAnsi="宋体" w:cs="宋体"/>
                <w:sz w:val="21"/>
                <w:szCs w:val="21"/>
              </w:rPr>
              <w:t>（4）</w:t>
            </w:r>
            <w:r>
              <w:rPr>
                <w:rFonts w:hint="eastAsia" w:hAnsi="宋体" w:cs="宋体"/>
                <w:sz w:val="21"/>
                <w:szCs w:val="21"/>
                <w:lang w:val="zh-CN"/>
              </w:rPr>
              <w:t>被市场监督管理部门列入严重违法失信名单</w:t>
            </w:r>
            <w:r>
              <w:rPr>
                <w:rFonts w:hint="eastAsia" w:hAnsi="宋体" w:cs="宋体"/>
                <w:sz w:val="21"/>
                <w:szCs w:val="21"/>
              </w:rPr>
              <w:t>（</w:t>
            </w:r>
            <w:r>
              <w:rPr>
                <w:rFonts w:hint="eastAsia" w:hAnsi="宋体" w:cs="宋体"/>
                <w:sz w:val="21"/>
                <w:szCs w:val="21"/>
                <w:lang w:val="zh-CN"/>
              </w:rPr>
              <w:t>以</w:t>
            </w:r>
            <w:r>
              <w:rPr>
                <w:rFonts w:hint="eastAsia" w:hAnsi="宋体" w:cs="宋体"/>
                <w:sz w:val="21"/>
                <w:szCs w:val="21"/>
              </w:rPr>
              <w:t>www.gsxt.gov.cn</w:t>
            </w:r>
            <w:r>
              <w:rPr>
                <w:rFonts w:hint="eastAsia" w:hAnsi="宋体" w:cs="宋体"/>
                <w:sz w:val="21"/>
                <w:szCs w:val="21"/>
                <w:lang w:val="zh-CN"/>
              </w:rPr>
              <w:t>查询为准</w:t>
            </w:r>
            <w:r>
              <w:rPr>
                <w:rFonts w:hint="eastAsia" w:hAnsi="宋体" w:cs="宋体"/>
                <w:sz w:val="21"/>
                <w:szCs w:val="21"/>
              </w:rPr>
              <w:t>）；</w:t>
            </w:r>
          </w:p>
        </w:tc>
        <w:tc>
          <w:tcPr>
            <w:tcW w:w="1075" w:type="pct"/>
            <w:tcBorders>
              <w:bottom w:val="single" w:color="auto" w:sz="4" w:space="0"/>
            </w:tcBorders>
            <w:noWrap w:val="0"/>
            <w:vAlign w:val="center"/>
          </w:tcPr>
          <w:p w14:paraId="4E883FD1">
            <w:pPr>
              <w:spacing w:line="360" w:lineRule="auto"/>
              <w:jc w:val="left"/>
              <w:rPr>
                <w:rFonts w:hint="eastAsia"/>
              </w:rPr>
            </w:pPr>
            <w:r>
              <w:rPr>
                <w:rFonts w:hint="eastAsia" w:ascii="宋体" w:hAnsi="宋体" w:cs="宋体"/>
                <w:b/>
                <w:bCs/>
                <w:szCs w:val="21"/>
              </w:rPr>
              <w:t>无须投标人提供，由采购人或采购代理机构在投标截止时间后至评标结束前进行查询并随评标报告一并留存。</w:t>
            </w:r>
          </w:p>
        </w:tc>
      </w:tr>
      <w:tr w14:paraId="69A4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noWrap w:val="0"/>
            <w:vAlign w:val="center"/>
          </w:tcPr>
          <w:p w14:paraId="6EC5CD0B">
            <w:pPr>
              <w:adjustRightInd w:val="0"/>
              <w:snapToGrid w:val="0"/>
              <w:spacing w:line="360" w:lineRule="auto"/>
              <w:jc w:val="center"/>
              <w:rPr>
                <w:rFonts w:hint="eastAsia" w:ascii="宋体" w:hAnsi="宋体" w:cs="宋体"/>
                <w:szCs w:val="21"/>
              </w:rPr>
            </w:pPr>
            <w:r>
              <w:rPr>
                <w:rFonts w:hint="eastAsia" w:ascii="宋体" w:hAnsi="宋体" w:cs="宋体"/>
                <w:szCs w:val="21"/>
              </w:rPr>
              <w:t>4</w:t>
            </w:r>
          </w:p>
        </w:tc>
        <w:tc>
          <w:tcPr>
            <w:tcW w:w="941" w:type="pct"/>
            <w:noWrap w:val="0"/>
            <w:vAlign w:val="center"/>
          </w:tcPr>
          <w:p w14:paraId="2D443B0E">
            <w:pPr>
              <w:spacing w:line="360" w:lineRule="auto"/>
              <w:rPr>
                <w:rFonts w:hint="eastAsia" w:ascii="宋体" w:hAnsi="宋体" w:cs="宋体"/>
                <w:szCs w:val="21"/>
              </w:rPr>
            </w:pPr>
            <w:r>
              <w:rPr>
                <w:rFonts w:hint="eastAsia" w:ascii="宋体" w:hAnsi="宋体" w:cs="宋体"/>
                <w:spacing w:val="10"/>
                <w:szCs w:val="21"/>
              </w:rPr>
              <w:t>其他特定资格要求</w:t>
            </w:r>
          </w:p>
        </w:tc>
        <w:tc>
          <w:tcPr>
            <w:tcW w:w="2603" w:type="pct"/>
            <w:noWrap w:val="0"/>
            <w:vAlign w:val="center"/>
          </w:tcPr>
          <w:p w14:paraId="09C4832B">
            <w:pPr>
              <w:spacing w:line="360" w:lineRule="auto"/>
              <w:rPr>
                <w:rFonts w:hint="eastAsia" w:ascii="宋体" w:hAnsi="宋体" w:cs="宋体"/>
                <w:szCs w:val="21"/>
              </w:rPr>
            </w:pPr>
            <w:r>
              <w:rPr>
                <w:rFonts w:hint="eastAsia" w:ascii="宋体" w:hAnsi="宋体" w:cs="宋体"/>
                <w:spacing w:val="10"/>
                <w:szCs w:val="21"/>
              </w:rPr>
              <w:t>如有，见第一章《招标公告》</w:t>
            </w:r>
          </w:p>
        </w:tc>
        <w:tc>
          <w:tcPr>
            <w:tcW w:w="1075" w:type="pct"/>
            <w:noWrap w:val="0"/>
            <w:vAlign w:val="center"/>
          </w:tcPr>
          <w:p w14:paraId="415B5F6C">
            <w:pPr>
              <w:spacing w:line="360" w:lineRule="auto"/>
              <w:rPr>
                <w:rFonts w:hint="eastAsia" w:ascii="宋体" w:hAnsi="宋体" w:cs="宋体"/>
                <w:szCs w:val="21"/>
              </w:rPr>
            </w:pPr>
            <w:r>
              <w:rPr>
                <w:rFonts w:hint="eastAsia" w:ascii="宋体" w:hAnsi="宋体" w:cs="宋体"/>
                <w:szCs w:val="21"/>
              </w:rPr>
              <w:t>提供材料扫描件或电子证照，应完整的体现出材料或电子证照全部内容。</w:t>
            </w:r>
          </w:p>
        </w:tc>
      </w:tr>
    </w:tbl>
    <w:p w14:paraId="22BD487E">
      <w:pPr>
        <w:tabs>
          <w:tab w:val="left" w:pos="360"/>
          <w:tab w:val="left" w:pos="540"/>
          <w:tab w:val="left" w:pos="3600"/>
          <w:tab w:val="left" w:pos="3780"/>
          <w:tab w:val="left" w:pos="8460"/>
          <w:tab w:val="left" w:pos="9180"/>
        </w:tabs>
        <w:adjustRightInd w:val="0"/>
        <w:snapToGrid w:val="0"/>
        <w:spacing w:line="360" w:lineRule="auto"/>
        <w:ind w:firstLine="360" w:firstLineChars="150"/>
        <w:jc w:val="center"/>
        <w:outlineLvl w:val="0"/>
        <w:rPr>
          <w:rFonts w:hint="eastAsia" w:ascii="宋体" w:hAnsi="宋体"/>
          <w:b/>
          <w:sz w:val="24"/>
          <w:highlight w:val="none"/>
        </w:rPr>
      </w:pPr>
      <w:r>
        <w:rPr>
          <w:rFonts w:ascii="宋体" w:hAnsi="宋体"/>
          <w:sz w:val="24"/>
        </w:rPr>
        <w:br w:type="page"/>
      </w:r>
      <w:bookmarkStart w:id="1141" w:name="_Toc25158"/>
      <w:bookmarkStart w:id="1142" w:name="_Toc22112"/>
      <w:bookmarkStart w:id="1143" w:name="_Toc24940"/>
      <w:bookmarkStart w:id="1144" w:name="_Toc4160"/>
      <w:bookmarkStart w:id="1145" w:name="_Toc2889"/>
      <w:bookmarkStart w:id="1146" w:name="_Toc11591"/>
      <w:bookmarkStart w:id="1147" w:name="_Toc141"/>
      <w:bookmarkStart w:id="1148" w:name="_Toc18887"/>
      <w:bookmarkStart w:id="1149" w:name="_Toc20370"/>
      <w:bookmarkStart w:id="1150" w:name="_Toc28621"/>
      <w:bookmarkStart w:id="1151" w:name="_Toc2198"/>
      <w:bookmarkStart w:id="1152" w:name="_Toc4738"/>
      <w:bookmarkStart w:id="1153" w:name="_Toc30169"/>
      <w:bookmarkStart w:id="1154" w:name="_Toc15840"/>
      <w:bookmarkStart w:id="1155" w:name="_Toc15987"/>
      <w:bookmarkStart w:id="1156" w:name="_Toc4935"/>
      <w:bookmarkStart w:id="1157" w:name="_Toc24142"/>
      <w:r>
        <w:rPr>
          <w:rFonts w:hint="eastAsia" w:ascii="黑体" w:hAnsi="黑体" w:eastAsia="黑体"/>
          <w:b/>
          <w:sz w:val="32"/>
          <w:szCs w:val="32"/>
          <w:highlight w:val="none"/>
        </w:rPr>
        <w:t>二．评标办法</w:t>
      </w:r>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p>
    <w:p w14:paraId="15B494F6">
      <w:pPr>
        <w:tabs>
          <w:tab w:val="left" w:pos="360"/>
          <w:tab w:val="left" w:pos="540"/>
          <w:tab w:val="left" w:pos="3600"/>
          <w:tab w:val="left" w:pos="3780"/>
          <w:tab w:val="left" w:pos="8460"/>
          <w:tab w:val="left" w:pos="9180"/>
        </w:tabs>
        <w:adjustRightInd w:val="0"/>
        <w:snapToGrid w:val="0"/>
        <w:spacing w:line="408" w:lineRule="auto"/>
        <w:jc w:val="left"/>
        <w:outlineLvl w:val="1"/>
        <w:rPr>
          <w:rFonts w:ascii="黑体" w:hAnsi="黑体" w:eastAsia="黑体"/>
          <w:b/>
          <w:sz w:val="32"/>
          <w:szCs w:val="32"/>
          <w:highlight w:val="none"/>
        </w:rPr>
      </w:pPr>
      <w:bookmarkStart w:id="1158" w:name="_Toc13811"/>
      <w:bookmarkStart w:id="1159" w:name="_Toc23587"/>
      <w:bookmarkStart w:id="1160" w:name="_Toc15957"/>
      <w:r>
        <w:rPr>
          <w:rFonts w:hint="eastAsia" w:ascii="黑体" w:hAnsi="黑体" w:eastAsia="黑体"/>
          <w:b/>
          <w:sz w:val="32"/>
          <w:szCs w:val="32"/>
          <w:highlight w:val="none"/>
        </w:rPr>
        <w:t>1.总  则</w:t>
      </w:r>
      <w:bookmarkEnd w:id="1158"/>
      <w:bookmarkEnd w:id="1159"/>
      <w:bookmarkEnd w:id="1160"/>
    </w:p>
    <w:p w14:paraId="3C675F34">
      <w:pPr>
        <w:widowControl/>
        <w:adjustRightInd w:val="0"/>
        <w:snapToGrid w:val="0"/>
        <w:spacing w:line="408" w:lineRule="auto"/>
        <w:ind w:firstLine="422" w:firstLineChars="200"/>
        <w:jc w:val="left"/>
        <w:rPr>
          <w:rFonts w:ascii="宋体" w:hAnsi="宋体"/>
          <w:szCs w:val="21"/>
          <w:highlight w:val="none"/>
        </w:rPr>
      </w:pPr>
      <w:r>
        <w:rPr>
          <w:rFonts w:hint="eastAsia" w:ascii="宋体" w:hAnsi="宋体"/>
          <w:b/>
          <w:szCs w:val="21"/>
          <w:highlight w:val="none"/>
        </w:rPr>
        <w:t>第一条</w:t>
      </w:r>
      <w:r>
        <w:rPr>
          <w:rFonts w:hint="eastAsia" w:ascii="宋体" w:hAnsi="宋体"/>
          <w:szCs w:val="21"/>
          <w:highlight w:val="none"/>
        </w:rPr>
        <w:t xml:space="preserve"> 为了做好本项目的招标评标工作，保证项目评审工作的正常有序进行，维护采购人、投标供应商的合法权益，依据政府采购法律法规，本着公开、公平、公正的原则，制定本评标办法。</w:t>
      </w:r>
    </w:p>
    <w:p w14:paraId="163D75F8">
      <w:pPr>
        <w:widowControl/>
        <w:adjustRightInd w:val="0"/>
        <w:snapToGrid w:val="0"/>
        <w:spacing w:line="408" w:lineRule="auto"/>
        <w:ind w:firstLine="422" w:firstLineChars="200"/>
        <w:jc w:val="left"/>
        <w:rPr>
          <w:rFonts w:ascii="宋体" w:hAnsi="宋体"/>
          <w:szCs w:val="21"/>
          <w:highlight w:val="none"/>
        </w:rPr>
      </w:pPr>
      <w:r>
        <w:rPr>
          <w:rFonts w:hint="eastAsia" w:ascii="宋体" w:hAnsi="宋体"/>
          <w:b/>
          <w:szCs w:val="21"/>
          <w:highlight w:val="none"/>
        </w:rPr>
        <w:t>第二条</w:t>
      </w:r>
      <w:r>
        <w:rPr>
          <w:rFonts w:hint="eastAsia" w:ascii="宋体" w:hAnsi="宋体"/>
          <w:szCs w:val="21"/>
          <w:highlight w:val="none"/>
        </w:rPr>
        <w:t xml:space="preserve"> 本次项目评标办法采用综合评分法。</w:t>
      </w:r>
    </w:p>
    <w:p w14:paraId="494C821B">
      <w:pPr>
        <w:widowControl/>
        <w:adjustRightInd w:val="0"/>
        <w:snapToGrid w:val="0"/>
        <w:spacing w:line="408" w:lineRule="auto"/>
        <w:ind w:firstLine="422" w:firstLineChars="200"/>
        <w:jc w:val="left"/>
        <w:rPr>
          <w:rFonts w:ascii="宋体" w:hAnsi="宋体"/>
          <w:szCs w:val="21"/>
          <w:highlight w:val="none"/>
        </w:rPr>
      </w:pPr>
      <w:r>
        <w:rPr>
          <w:rFonts w:hint="eastAsia" w:ascii="宋体" w:hAnsi="宋体"/>
          <w:b/>
          <w:szCs w:val="21"/>
          <w:highlight w:val="none"/>
        </w:rPr>
        <w:t>第三条</w:t>
      </w:r>
      <w:r>
        <w:rPr>
          <w:rFonts w:hint="eastAsia" w:ascii="宋体" w:hAnsi="宋体"/>
          <w:szCs w:val="21"/>
          <w:highlight w:val="none"/>
        </w:rPr>
        <w:t xml:space="preserve"> 本项目将按照投标供应商须知前附表的要求组建评标委员会，负责本项目的评标工作。</w:t>
      </w:r>
    </w:p>
    <w:p w14:paraId="7AB101B8">
      <w:pPr>
        <w:widowControl/>
        <w:adjustRightInd w:val="0"/>
        <w:snapToGrid w:val="0"/>
        <w:spacing w:line="408" w:lineRule="auto"/>
        <w:ind w:firstLine="422" w:firstLineChars="200"/>
        <w:jc w:val="left"/>
        <w:rPr>
          <w:rFonts w:hint="eastAsia" w:ascii="宋体" w:hAnsi="宋体"/>
          <w:szCs w:val="21"/>
          <w:highlight w:val="none"/>
        </w:rPr>
      </w:pPr>
      <w:r>
        <w:rPr>
          <w:rFonts w:hint="eastAsia" w:ascii="宋体" w:hAnsi="宋体"/>
          <w:b/>
          <w:szCs w:val="21"/>
          <w:highlight w:val="none"/>
        </w:rPr>
        <w:t>第四条</w:t>
      </w:r>
      <w:r>
        <w:rPr>
          <w:rFonts w:hint="eastAsia" w:ascii="宋体" w:hAnsi="宋体"/>
          <w:szCs w:val="21"/>
          <w:highlight w:val="none"/>
        </w:rPr>
        <w:t xml:space="preserve"> 评标委员会按照“公平、公正、科学、择优”的原则，评价参加本次招标的投标供应商所提供的产品价格、性能、质量、服务及对招标文件的符合性及响应性。</w:t>
      </w:r>
    </w:p>
    <w:p w14:paraId="55AABF1E">
      <w:pPr>
        <w:tabs>
          <w:tab w:val="left" w:pos="360"/>
          <w:tab w:val="left" w:pos="540"/>
          <w:tab w:val="left" w:pos="3600"/>
          <w:tab w:val="left" w:pos="3780"/>
          <w:tab w:val="left" w:pos="8460"/>
          <w:tab w:val="left" w:pos="9180"/>
        </w:tabs>
        <w:adjustRightInd w:val="0"/>
        <w:snapToGrid w:val="0"/>
        <w:spacing w:before="124" w:beforeLines="40" w:line="408" w:lineRule="auto"/>
        <w:jc w:val="left"/>
        <w:outlineLvl w:val="1"/>
        <w:rPr>
          <w:rFonts w:ascii="黑体" w:hAnsi="黑体" w:eastAsia="黑体"/>
          <w:b/>
          <w:sz w:val="32"/>
          <w:szCs w:val="32"/>
          <w:highlight w:val="none"/>
        </w:rPr>
      </w:pPr>
      <w:bookmarkStart w:id="1161" w:name="_Toc13583"/>
      <w:bookmarkStart w:id="1162" w:name="_Toc9845"/>
      <w:bookmarkStart w:id="1163" w:name="_Toc30669"/>
      <w:r>
        <w:rPr>
          <w:rFonts w:hint="eastAsia" w:ascii="黑体" w:hAnsi="黑体" w:eastAsia="黑体"/>
          <w:b/>
          <w:sz w:val="32"/>
          <w:szCs w:val="32"/>
          <w:highlight w:val="none"/>
        </w:rPr>
        <w:t>2.评标程序及评审细则</w:t>
      </w:r>
      <w:bookmarkEnd w:id="1161"/>
      <w:bookmarkEnd w:id="1162"/>
      <w:bookmarkEnd w:id="1163"/>
    </w:p>
    <w:p w14:paraId="387447E7">
      <w:pPr>
        <w:adjustRightInd w:val="0"/>
        <w:snapToGrid w:val="0"/>
        <w:spacing w:line="408" w:lineRule="auto"/>
        <w:ind w:firstLine="422" w:firstLineChars="200"/>
        <w:rPr>
          <w:rFonts w:ascii="宋体" w:hAnsi="宋体"/>
          <w:szCs w:val="21"/>
          <w:highlight w:val="none"/>
        </w:rPr>
      </w:pPr>
      <w:r>
        <w:rPr>
          <w:rFonts w:hint="eastAsia" w:ascii="宋体" w:hAnsi="宋体"/>
          <w:b/>
          <w:szCs w:val="21"/>
          <w:highlight w:val="none"/>
        </w:rPr>
        <w:t>第五条</w:t>
      </w:r>
      <w:r>
        <w:rPr>
          <w:rFonts w:hint="eastAsia" w:ascii="宋体" w:hAnsi="宋体"/>
          <w:szCs w:val="21"/>
          <w:highlight w:val="none"/>
        </w:rPr>
        <w:t xml:space="preserve"> 评标工作于开标后进行。评标委员会应认真研究招标文件，至少应了解和熟悉以下内容：</w:t>
      </w:r>
    </w:p>
    <w:p w14:paraId="5E3BC4FF">
      <w:pPr>
        <w:spacing w:line="408" w:lineRule="auto"/>
        <w:ind w:firstLine="420" w:firstLineChars="200"/>
        <w:rPr>
          <w:rFonts w:ascii="宋体" w:hAnsi="宋体"/>
          <w:szCs w:val="21"/>
          <w:highlight w:val="none"/>
        </w:rPr>
      </w:pPr>
      <w:r>
        <w:rPr>
          <w:rFonts w:hint="eastAsia" w:ascii="宋体" w:hAnsi="宋体"/>
          <w:szCs w:val="21"/>
          <w:highlight w:val="none"/>
        </w:rPr>
        <w:t>（一）招标的目标；</w:t>
      </w:r>
    </w:p>
    <w:p w14:paraId="2BF93BAE">
      <w:pPr>
        <w:spacing w:line="408" w:lineRule="auto"/>
        <w:ind w:firstLine="420" w:firstLineChars="200"/>
        <w:rPr>
          <w:rFonts w:ascii="宋体" w:hAnsi="宋体"/>
          <w:szCs w:val="21"/>
          <w:highlight w:val="none"/>
        </w:rPr>
      </w:pPr>
      <w:r>
        <w:rPr>
          <w:rFonts w:hint="eastAsia" w:ascii="宋体" w:hAnsi="宋体"/>
          <w:szCs w:val="21"/>
          <w:highlight w:val="none"/>
        </w:rPr>
        <w:t>（二）招标项目的范围和性质；</w:t>
      </w:r>
    </w:p>
    <w:p w14:paraId="6DE758A3">
      <w:pPr>
        <w:spacing w:line="408" w:lineRule="auto"/>
        <w:ind w:firstLine="420" w:firstLineChars="200"/>
        <w:rPr>
          <w:rFonts w:ascii="宋体" w:hAnsi="宋体"/>
          <w:szCs w:val="21"/>
          <w:highlight w:val="none"/>
        </w:rPr>
      </w:pPr>
      <w:r>
        <w:rPr>
          <w:rFonts w:hint="eastAsia" w:ascii="宋体" w:hAnsi="宋体"/>
          <w:szCs w:val="21"/>
          <w:highlight w:val="none"/>
        </w:rPr>
        <w:t>（三）招标文件中规定的主要技术要求、标准和商务条款；</w:t>
      </w:r>
    </w:p>
    <w:p w14:paraId="06A8D3C0">
      <w:pPr>
        <w:spacing w:line="408" w:lineRule="auto"/>
        <w:ind w:firstLine="420" w:firstLineChars="200"/>
        <w:rPr>
          <w:rFonts w:ascii="宋体" w:hAnsi="宋体"/>
          <w:szCs w:val="21"/>
          <w:highlight w:val="none"/>
        </w:rPr>
      </w:pPr>
      <w:r>
        <w:rPr>
          <w:rFonts w:hint="eastAsia" w:ascii="宋体" w:hAnsi="宋体"/>
          <w:szCs w:val="21"/>
          <w:highlight w:val="none"/>
        </w:rPr>
        <w:t>（四）招标文件规定的评标标准、评标方法和在评标过程中考虑的相关因素。</w:t>
      </w:r>
    </w:p>
    <w:p w14:paraId="695F2FC9">
      <w:pPr>
        <w:adjustRightInd w:val="0"/>
        <w:snapToGrid w:val="0"/>
        <w:spacing w:before="124" w:beforeLines="40" w:line="408" w:lineRule="auto"/>
        <w:ind w:firstLine="422" w:firstLineChars="200"/>
        <w:rPr>
          <w:rFonts w:ascii="宋体" w:hAnsi="宋体"/>
          <w:szCs w:val="21"/>
          <w:highlight w:val="none"/>
        </w:rPr>
      </w:pPr>
      <w:r>
        <w:rPr>
          <w:rFonts w:hint="eastAsia" w:ascii="宋体" w:hAnsi="宋体"/>
          <w:b/>
          <w:szCs w:val="21"/>
          <w:highlight w:val="none"/>
        </w:rPr>
        <w:t>第六条</w:t>
      </w:r>
      <w:r>
        <w:rPr>
          <w:rFonts w:hint="eastAsia" w:ascii="宋体" w:hAnsi="宋体"/>
          <w:szCs w:val="21"/>
          <w:highlight w:val="none"/>
        </w:rPr>
        <w:t xml:space="preserve"> 有效投标应符合以下原则：</w:t>
      </w:r>
    </w:p>
    <w:p w14:paraId="4BA21BAA">
      <w:pPr>
        <w:spacing w:line="408" w:lineRule="auto"/>
        <w:ind w:firstLine="420" w:firstLineChars="200"/>
        <w:rPr>
          <w:rFonts w:ascii="宋体" w:hAnsi="宋体"/>
          <w:szCs w:val="21"/>
          <w:highlight w:val="none"/>
        </w:rPr>
      </w:pPr>
      <w:r>
        <w:rPr>
          <w:rFonts w:hint="eastAsia" w:ascii="宋体" w:hAnsi="宋体"/>
          <w:szCs w:val="21"/>
          <w:highlight w:val="none"/>
        </w:rPr>
        <w:t>（一）满足招标文件的实质性要求；</w:t>
      </w:r>
    </w:p>
    <w:p w14:paraId="62D81904">
      <w:pPr>
        <w:spacing w:line="408" w:lineRule="auto"/>
        <w:ind w:firstLine="420" w:firstLineChars="200"/>
        <w:rPr>
          <w:rFonts w:ascii="宋体" w:hAnsi="宋体"/>
          <w:szCs w:val="21"/>
          <w:highlight w:val="none"/>
        </w:rPr>
      </w:pPr>
      <w:r>
        <w:rPr>
          <w:rFonts w:hint="eastAsia" w:ascii="宋体" w:hAnsi="宋体"/>
          <w:szCs w:val="21"/>
          <w:highlight w:val="none"/>
        </w:rPr>
        <w:t>（二）无重大偏离、保留或采购人不能接受的附加条件；</w:t>
      </w:r>
    </w:p>
    <w:p w14:paraId="4560EB5A">
      <w:pPr>
        <w:spacing w:line="408" w:lineRule="auto"/>
        <w:ind w:firstLine="420" w:firstLineChars="200"/>
        <w:rPr>
          <w:rFonts w:ascii="宋体" w:hAnsi="宋体"/>
          <w:szCs w:val="21"/>
          <w:highlight w:val="none"/>
        </w:rPr>
      </w:pPr>
      <w:r>
        <w:rPr>
          <w:rFonts w:hint="eastAsia" w:ascii="宋体" w:hAnsi="宋体"/>
          <w:szCs w:val="21"/>
          <w:highlight w:val="none"/>
        </w:rPr>
        <w:t>（三）通过投标有效性评审；</w:t>
      </w:r>
    </w:p>
    <w:p w14:paraId="443BECF2">
      <w:pPr>
        <w:spacing w:line="408" w:lineRule="auto"/>
        <w:ind w:firstLine="420" w:firstLineChars="200"/>
        <w:rPr>
          <w:rFonts w:ascii="宋体" w:hAnsi="宋体"/>
          <w:szCs w:val="21"/>
          <w:highlight w:val="none"/>
        </w:rPr>
      </w:pPr>
      <w:r>
        <w:rPr>
          <w:rFonts w:hint="eastAsia" w:ascii="宋体" w:hAnsi="宋体"/>
          <w:szCs w:val="21"/>
          <w:highlight w:val="none"/>
        </w:rPr>
        <w:t>（四）评标委员会依据招标文件认定的其他原则。</w:t>
      </w:r>
    </w:p>
    <w:p w14:paraId="7EC2DC13">
      <w:pPr>
        <w:adjustRightInd w:val="0"/>
        <w:snapToGrid w:val="0"/>
        <w:spacing w:before="124" w:beforeLines="40" w:line="408" w:lineRule="auto"/>
        <w:ind w:firstLine="422" w:firstLineChars="200"/>
        <w:rPr>
          <w:rFonts w:hint="eastAsia" w:ascii="宋体" w:hAnsi="宋体"/>
          <w:szCs w:val="21"/>
          <w:highlight w:val="none"/>
        </w:rPr>
      </w:pPr>
      <w:r>
        <w:rPr>
          <w:rFonts w:hint="eastAsia" w:ascii="宋体" w:hAnsi="宋体"/>
          <w:b/>
          <w:szCs w:val="21"/>
          <w:highlight w:val="none"/>
        </w:rPr>
        <w:t xml:space="preserve">第七条 </w:t>
      </w:r>
      <w:r>
        <w:rPr>
          <w:rFonts w:hint="eastAsia" w:ascii="宋体" w:hAnsi="宋体"/>
          <w:szCs w:val="21"/>
          <w:highlight w:val="none"/>
        </w:rPr>
        <w:t>评审中，评标委员会发现投标供应商的投标文件中对同类问题表述不一致、前后矛盾、有明显文字和计算错误的内容、有可能不符合招标文件规定等情况需要澄清时，评标委员会将以询标的方式告知并要求投标供应商以书面方式进行必要的澄清或说明。对于询标后判定为不符合招标文件的投标文件，评标委员会要提出充足的否定理由，并予以书面记录。最终对投标供应商的评审结论分为通过和未通过。</w:t>
      </w:r>
    </w:p>
    <w:p w14:paraId="1562980C">
      <w:pPr>
        <w:adjustRightInd w:val="0"/>
        <w:snapToGrid w:val="0"/>
        <w:spacing w:line="408" w:lineRule="auto"/>
        <w:ind w:firstLine="420" w:firstLineChars="200"/>
        <w:rPr>
          <w:rFonts w:hint="eastAsia" w:ascii="宋体" w:hAnsi="宋体"/>
          <w:szCs w:val="21"/>
          <w:highlight w:val="none"/>
        </w:rPr>
      </w:pPr>
      <w:r>
        <w:rPr>
          <w:rFonts w:hint="eastAsia" w:ascii="宋体" w:hAnsi="宋体"/>
          <w:szCs w:val="21"/>
          <w:highlight w:val="none"/>
        </w:rPr>
        <w:t>当投标文件出现</w:t>
      </w:r>
      <w:r>
        <w:rPr>
          <w:rFonts w:ascii="宋体" w:hAnsi="宋体"/>
          <w:szCs w:val="21"/>
          <w:highlight w:val="none"/>
        </w:rPr>
        <w:t>大写金额和小写金额不一致的，以大写金额为准；总价金额与单价金额不一致的，以单价金额为准，但单价金额小数点有明显错误的除外；对不同文字文本投标文件的解释发生异议的，以中文文本为准，其他未尽事宜可以参照</w:t>
      </w:r>
      <w:r>
        <w:rPr>
          <w:rFonts w:hint="eastAsia" w:ascii="宋体" w:hAnsi="宋体"/>
          <w:szCs w:val="21"/>
          <w:highlight w:val="none"/>
          <w:lang w:eastAsia="zh-CN"/>
        </w:rPr>
        <w:t>民法典</w:t>
      </w:r>
      <w:r>
        <w:rPr>
          <w:rFonts w:ascii="宋体" w:hAnsi="宋体"/>
          <w:szCs w:val="21"/>
          <w:highlight w:val="none"/>
        </w:rPr>
        <w:t>有关合同条款的解释规定。</w:t>
      </w:r>
    </w:p>
    <w:p w14:paraId="36BB620F">
      <w:pPr>
        <w:adjustRightInd w:val="0"/>
        <w:snapToGrid w:val="0"/>
        <w:spacing w:line="408" w:lineRule="auto"/>
        <w:ind w:firstLine="422" w:firstLineChars="200"/>
        <w:rPr>
          <w:rFonts w:hint="eastAsia" w:ascii="宋体" w:hAnsi="宋体"/>
          <w:szCs w:val="21"/>
          <w:highlight w:val="none"/>
        </w:rPr>
      </w:pPr>
      <w:r>
        <w:rPr>
          <w:rFonts w:hint="eastAsia" w:ascii="宋体" w:hAnsi="宋体"/>
          <w:b/>
          <w:szCs w:val="21"/>
          <w:highlight w:val="none"/>
        </w:rPr>
        <w:t xml:space="preserve">第八条  </w:t>
      </w:r>
      <w:r>
        <w:rPr>
          <w:rFonts w:hint="eastAsia" w:ascii="宋体" w:hAnsi="宋体"/>
          <w:szCs w:val="21"/>
          <w:highlight w:val="none"/>
        </w:rPr>
        <w:t>综合评分方法是在最大限度地满足招标文件实质性要求前提下，按照招标文件中规定的各项因素进行综合评审后，以评审总得分最高的投标供应商作为中标候选人。综合评分法的主要因素为技术资信及价格部分。满分为100分。</w:t>
      </w:r>
    </w:p>
    <w:p w14:paraId="2432555A">
      <w:pPr>
        <w:adjustRightInd w:val="0"/>
        <w:snapToGrid w:val="0"/>
        <w:spacing w:line="408" w:lineRule="auto"/>
        <w:ind w:firstLine="422" w:firstLineChars="200"/>
        <w:rPr>
          <w:rFonts w:ascii="宋体" w:hAnsi="宋体"/>
          <w:b/>
          <w:szCs w:val="21"/>
          <w:highlight w:val="none"/>
        </w:rPr>
      </w:pPr>
      <w:r>
        <w:rPr>
          <w:rFonts w:hint="eastAsia" w:ascii="宋体" w:hAnsi="宋体"/>
          <w:b/>
          <w:szCs w:val="21"/>
          <w:highlight w:val="none"/>
        </w:rPr>
        <w:t xml:space="preserve">第九条 </w:t>
      </w:r>
      <w:r>
        <w:rPr>
          <w:rFonts w:hint="eastAsia" w:ascii="宋体" w:hAnsi="宋体"/>
          <w:szCs w:val="21"/>
          <w:highlight w:val="none"/>
        </w:rPr>
        <w:t>各投标供应商的得分分值一经得出，并核对无误后，任何人不得更改。</w:t>
      </w:r>
    </w:p>
    <w:p w14:paraId="14B6F73F">
      <w:pPr>
        <w:adjustRightInd w:val="0"/>
        <w:snapToGrid w:val="0"/>
        <w:spacing w:line="408" w:lineRule="auto"/>
        <w:ind w:firstLine="422" w:firstLineChars="200"/>
        <w:rPr>
          <w:rFonts w:hint="eastAsia" w:ascii="宋体" w:hAnsi="宋体"/>
          <w:szCs w:val="21"/>
          <w:highlight w:val="none"/>
        </w:rPr>
      </w:pPr>
      <w:r>
        <w:rPr>
          <w:rFonts w:hint="eastAsia" w:ascii="宋体" w:hAnsi="宋体"/>
          <w:b/>
          <w:szCs w:val="21"/>
          <w:highlight w:val="none"/>
        </w:rPr>
        <w:t xml:space="preserve">第十条 </w:t>
      </w:r>
      <w:r>
        <w:rPr>
          <w:rFonts w:ascii="宋体" w:hAnsi="宋体"/>
          <w:szCs w:val="21"/>
          <w:highlight w:val="none"/>
        </w:rPr>
        <w:t>按照投标供应商总得分从高到低排出中标候选人。若出现不同投标供应商总得分相同的情况，依次按照以下顺序，直至确定1～3名中标候选人：</w:t>
      </w:r>
    </w:p>
    <w:p w14:paraId="06C8E720">
      <w:pPr>
        <w:adjustRightInd w:val="0"/>
        <w:snapToGrid w:val="0"/>
        <w:spacing w:line="408" w:lineRule="auto"/>
        <w:ind w:firstLine="420" w:firstLineChars="200"/>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按照下述原则依次排序：</w:t>
      </w:r>
    </w:p>
    <w:p w14:paraId="6939D3D9">
      <w:pPr>
        <w:adjustRightInd w:val="0"/>
        <w:snapToGrid w:val="0"/>
        <w:spacing w:line="408" w:lineRule="auto"/>
        <w:ind w:firstLine="420" w:firstLineChars="200"/>
        <w:rPr>
          <w:rFonts w:hint="eastAsia" w:ascii="宋体" w:hAnsi="宋体"/>
          <w:szCs w:val="21"/>
          <w:highlight w:val="none"/>
        </w:rPr>
      </w:pPr>
      <w:r>
        <w:rPr>
          <w:rFonts w:ascii="宋体" w:hAnsi="宋体"/>
          <w:szCs w:val="21"/>
          <w:highlight w:val="none"/>
        </w:rPr>
        <w:t>①所投产品为节能或环保产品者排序优先于非节能或环保产品者；</w:t>
      </w:r>
    </w:p>
    <w:p w14:paraId="5FE1EEA6">
      <w:pPr>
        <w:adjustRightInd w:val="0"/>
        <w:snapToGrid w:val="0"/>
        <w:spacing w:line="408" w:lineRule="auto"/>
        <w:ind w:firstLine="420" w:firstLineChars="200"/>
        <w:rPr>
          <w:rFonts w:ascii="宋体" w:hAnsi="宋体"/>
          <w:szCs w:val="21"/>
          <w:highlight w:val="none"/>
        </w:rPr>
      </w:pPr>
      <w:r>
        <w:rPr>
          <w:rFonts w:ascii="宋体" w:hAnsi="宋体"/>
          <w:szCs w:val="21"/>
          <w:highlight w:val="none"/>
        </w:rPr>
        <w:t>②</w:t>
      </w:r>
      <w:r>
        <w:rPr>
          <w:rFonts w:hint="eastAsia" w:ascii="宋体" w:hAnsi="宋体"/>
          <w:szCs w:val="21"/>
          <w:highlight w:val="none"/>
        </w:rPr>
        <w:t>所投产品均为节能或环保品目产品的，节能及环保产品证书多者优先</w:t>
      </w:r>
      <w:r>
        <w:rPr>
          <w:rFonts w:ascii="宋体" w:hAnsi="宋体"/>
          <w:szCs w:val="21"/>
          <w:highlight w:val="none"/>
        </w:rPr>
        <w:t>；</w:t>
      </w:r>
    </w:p>
    <w:p w14:paraId="19F03134">
      <w:pPr>
        <w:adjustRightInd w:val="0"/>
        <w:snapToGrid w:val="0"/>
        <w:spacing w:line="408" w:lineRule="auto"/>
        <w:ind w:firstLine="420" w:firstLineChars="200"/>
        <w:rPr>
          <w:rFonts w:hint="eastAsia" w:ascii="宋体" w:hAnsi="宋体"/>
          <w:szCs w:val="21"/>
          <w:highlight w:val="none"/>
        </w:rPr>
      </w:pPr>
      <w:r>
        <w:rPr>
          <w:rFonts w:hint="eastAsia" w:ascii="宋体" w:hAnsi="宋体"/>
          <w:szCs w:val="21"/>
          <w:highlight w:val="none"/>
        </w:rPr>
        <w:t>③</w:t>
      </w:r>
      <w:r>
        <w:rPr>
          <w:rFonts w:ascii="宋体" w:hAnsi="宋体"/>
          <w:szCs w:val="21"/>
          <w:highlight w:val="none"/>
        </w:rPr>
        <w:t>所投产品同时为节能和环保产品者排序优先于只具有节能或环保产品之一者</w:t>
      </w:r>
      <w:r>
        <w:rPr>
          <w:rFonts w:hint="eastAsia" w:ascii="宋体" w:hAnsi="宋体"/>
          <w:szCs w:val="21"/>
          <w:highlight w:val="none"/>
        </w:rPr>
        <w:t>。</w:t>
      </w:r>
    </w:p>
    <w:p w14:paraId="73681B66">
      <w:pPr>
        <w:adjustRightInd w:val="0"/>
        <w:snapToGrid w:val="0"/>
        <w:spacing w:line="408" w:lineRule="auto"/>
        <w:ind w:firstLine="420" w:firstLineChars="200"/>
        <w:rPr>
          <w:rFonts w:hint="eastAsia" w:ascii="宋体" w:hAnsi="宋体"/>
          <w:szCs w:val="21"/>
          <w:highlight w:val="none"/>
        </w:rPr>
      </w:pPr>
      <w:r>
        <w:rPr>
          <w:rFonts w:ascii="宋体" w:hAnsi="宋体"/>
          <w:szCs w:val="21"/>
          <w:highlight w:val="none"/>
        </w:rPr>
        <w:t>2</w:t>
      </w:r>
      <w:r>
        <w:rPr>
          <w:rFonts w:hint="eastAsia" w:ascii="宋体" w:hAnsi="宋体"/>
          <w:szCs w:val="21"/>
          <w:highlight w:val="none"/>
        </w:rPr>
        <w:t>、</w:t>
      </w:r>
      <w:r>
        <w:rPr>
          <w:rFonts w:ascii="宋体" w:hAnsi="宋体"/>
          <w:szCs w:val="21"/>
          <w:highlight w:val="none"/>
        </w:rPr>
        <w:t>若按照上述1排序原则仍然出现名次并列情况，</w:t>
      </w:r>
      <w:r>
        <w:rPr>
          <w:rFonts w:hint="eastAsia" w:ascii="宋体" w:hAnsi="宋体"/>
          <w:szCs w:val="24"/>
          <w:highlight w:val="none"/>
        </w:rPr>
        <w:t>按投标报价由低到高排序；总得分且投标报价均相</w:t>
      </w:r>
      <w:r>
        <w:rPr>
          <w:rFonts w:hint="eastAsia" w:ascii="宋体" w:hAnsi="宋体"/>
          <w:szCs w:val="21"/>
          <w:highlight w:val="none"/>
        </w:rPr>
        <w:t>同的，按技术指标优劣顺序排列；技术指标相同的，</w:t>
      </w:r>
      <w:r>
        <w:rPr>
          <w:rFonts w:ascii="宋体" w:hAnsi="宋体"/>
          <w:szCs w:val="21"/>
          <w:highlight w:val="none"/>
        </w:rPr>
        <w:t>则由评标委员会采取抽签方式确定中标候选人。</w:t>
      </w:r>
    </w:p>
    <w:p w14:paraId="76EDFB65">
      <w:pPr>
        <w:adjustRightInd w:val="0"/>
        <w:snapToGrid w:val="0"/>
        <w:spacing w:line="408" w:lineRule="auto"/>
        <w:ind w:firstLine="422" w:firstLineChars="200"/>
        <w:rPr>
          <w:rFonts w:ascii="宋体" w:hAnsi="宋体"/>
          <w:szCs w:val="21"/>
          <w:highlight w:val="none"/>
        </w:rPr>
      </w:pPr>
      <w:r>
        <w:rPr>
          <w:rFonts w:hint="eastAsia" w:ascii="宋体" w:hAnsi="宋体"/>
          <w:b/>
          <w:bCs/>
          <w:szCs w:val="21"/>
          <w:highlight w:val="none"/>
        </w:rPr>
        <w:t>第十一条</w:t>
      </w:r>
      <w:r>
        <w:rPr>
          <w:rFonts w:hint="eastAsia" w:ascii="宋体" w:hAnsi="宋体"/>
          <w:szCs w:val="21"/>
          <w:highlight w:val="none"/>
        </w:rPr>
        <w:t xml:space="preserve"> 评标委员会在评标过程中发现的问题，应当区别情形及时作出处理或者向采购人提出处理建议，并作书面记录。</w:t>
      </w:r>
    </w:p>
    <w:p w14:paraId="5A090145">
      <w:pPr>
        <w:adjustRightInd w:val="0"/>
        <w:snapToGrid w:val="0"/>
        <w:spacing w:line="408" w:lineRule="auto"/>
        <w:ind w:firstLine="422" w:firstLineChars="200"/>
        <w:rPr>
          <w:rFonts w:hint="eastAsia" w:ascii="宋体" w:hAnsi="宋体"/>
          <w:bCs/>
          <w:kern w:val="2"/>
          <w:highlight w:val="none"/>
        </w:rPr>
      </w:pPr>
      <w:r>
        <w:rPr>
          <w:rFonts w:hint="eastAsia" w:ascii="宋体" w:hAnsi="宋体"/>
          <w:b/>
          <w:bCs/>
          <w:szCs w:val="21"/>
          <w:highlight w:val="none"/>
        </w:rPr>
        <w:t>第十二条</w:t>
      </w:r>
      <w:r>
        <w:rPr>
          <w:rFonts w:hint="eastAsia" w:ascii="宋体" w:hAnsi="宋体"/>
          <w:color w:val="auto"/>
          <w:szCs w:val="21"/>
          <w:highlight w:val="none"/>
        </w:rPr>
        <w:t xml:space="preserve"> </w:t>
      </w:r>
      <w:r>
        <w:rPr>
          <w:rFonts w:hint="eastAsia" w:ascii="宋体" w:hAnsi="宋体"/>
          <w:bCs/>
          <w:kern w:val="2"/>
          <w:highlight w:val="none"/>
        </w:rPr>
        <w:t>其他按照无效投标处理的情形：</w:t>
      </w:r>
    </w:p>
    <w:p w14:paraId="62BB7EFB">
      <w:pPr>
        <w:pStyle w:val="35"/>
        <w:adjustRightInd w:val="0"/>
        <w:snapToGrid w:val="0"/>
        <w:spacing w:line="408" w:lineRule="auto"/>
        <w:ind w:firstLine="420" w:firstLineChars="200"/>
        <w:rPr>
          <w:rFonts w:hint="eastAsia" w:ascii="宋体" w:hAnsi="宋体"/>
          <w:bCs/>
          <w:kern w:val="2"/>
          <w:highlight w:val="none"/>
        </w:rPr>
      </w:pPr>
      <w:r>
        <w:rPr>
          <w:rFonts w:hint="eastAsia" w:ascii="宋体" w:hAnsi="宋体"/>
          <w:bCs/>
          <w:kern w:val="2"/>
          <w:highlight w:val="none"/>
        </w:rPr>
        <w:t>（1）不按评标委员会要求澄清或说明的；</w:t>
      </w:r>
    </w:p>
    <w:p w14:paraId="2AC54C5C">
      <w:pPr>
        <w:pStyle w:val="35"/>
        <w:adjustRightInd w:val="0"/>
        <w:snapToGrid w:val="0"/>
        <w:spacing w:line="408" w:lineRule="auto"/>
        <w:ind w:firstLine="420" w:firstLineChars="200"/>
        <w:rPr>
          <w:rFonts w:hint="eastAsia" w:ascii="宋体" w:hAnsi="宋体"/>
          <w:bCs/>
          <w:kern w:val="2"/>
          <w:highlight w:val="none"/>
        </w:rPr>
      </w:pPr>
      <w:r>
        <w:rPr>
          <w:rFonts w:hint="eastAsia" w:ascii="宋体" w:hAnsi="宋体"/>
          <w:bCs/>
          <w:kern w:val="2"/>
          <w:highlight w:val="none"/>
        </w:rPr>
        <w:t>（2）未实质性响应招标文件的；</w:t>
      </w:r>
    </w:p>
    <w:p w14:paraId="7567C924">
      <w:pPr>
        <w:pStyle w:val="35"/>
        <w:adjustRightInd w:val="0"/>
        <w:snapToGrid w:val="0"/>
        <w:spacing w:line="408" w:lineRule="auto"/>
        <w:ind w:firstLine="420" w:firstLineChars="200"/>
        <w:rPr>
          <w:rFonts w:hint="eastAsia" w:ascii="宋体" w:hAnsi="宋体"/>
          <w:bCs/>
          <w:kern w:val="2"/>
          <w:highlight w:val="none"/>
        </w:rPr>
      </w:pPr>
      <w:r>
        <w:rPr>
          <w:rFonts w:hint="eastAsia" w:ascii="宋体" w:hAnsi="宋体"/>
          <w:bCs/>
          <w:kern w:val="2"/>
          <w:highlight w:val="none"/>
        </w:rPr>
        <w:t>（3）投标文件中存在采购人不能接受的其它附加实质性条件的；</w:t>
      </w:r>
    </w:p>
    <w:p w14:paraId="7EF209CA">
      <w:pPr>
        <w:pStyle w:val="35"/>
        <w:adjustRightInd w:val="0"/>
        <w:snapToGrid w:val="0"/>
        <w:spacing w:line="408" w:lineRule="auto"/>
        <w:ind w:firstLine="420" w:firstLineChars="200"/>
        <w:rPr>
          <w:rFonts w:hint="eastAsia" w:ascii="宋体" w:hAnsi="宋体"/>
          <w:bCs/>
          <w:kern w:val="2"/>
          <w:highlight w:val="none"/>
        </w:rPr>
      </w:pPr>
      <w:r>
        <w:rPr>
          <w:rFonts w:hint="eastAsia" w:ascii="宋体" w:hAnsi="宋体"/>
          <w:bCs/>
          <w:kern w:val="2"/>
          <w:highlight w:val="none"/>
        </w:rPr>
        <w:t>（4）参数、规格偏离超过招标文件规定的</w:t>
      </w:r>
    </w:p>
    <w:p w14:paraId="6FDB1763">
      <w:pPr>
        <w:pStyle w:val="35"/>
        <w:adjustRightInd w:val="0"/>
        <w:snapToGrid w:val="0"/>
        <w:spacing w:line="408" w:lineRule="auto"/>
        <w:ind w:firstLine="420" w:firstLineChars="200"/>
        <w:rPr>
          <w:rFonts w:hint="eastAsia" w:ascii="宋体" w:hAnsi="宋体"/>
          <w:bCs/>
          <w:kern w:val="2"/>
          <w:highlight w:val="none"/>
        </w:rPr>
      </w:pPr>
      <w:r>
        <w:rPr>
          <w:rFonts w:hint="eastAsia" w:ascii="宋体" w:hAnsi="宋体"/>
          <w:bCs/>
          <w:kern w:val="2"/>
          <w:highlight w:val="none"/>
        </w:rPr>
        <w:t>（5）串通投标或弄虚作假或有其他违法行为的；</w:t>
      </w:r>
    </w:p>
    <w:p w14:paraId="7AC0384F">
      <w:pPr>
        <w:adjustRightInd w:val="0"/>
        <w:snapToGrid w:val="0"/>
        <w:spacing w:line="408" w:lineRule="auto"/>
        <w:ind w:firstLine="420" w:firstLineChars="200"/>
        <w:rPr>
          <w:rFonts w:hint="eastAsia" w:ascii="宋体" w:hAnsi="宋体"/>
          <w:bCs/>
          <w:szCs w:val="21"/>
          <w:highlight w:val="none"/>
        </w:rPr>
      </w:pPr>
      <w:r>
        <w:rPr>
          <w:rFonts w:hint="eastAsia" w:ascii="宋体" w:hAnsi="宋体"/>
          <w:bCs/>
          <w:szCs w:val="21"/>
          <w:highlight w:val="none"/>
        </w:rPr>
        <w:t>（6）法律、法规和规章规定的其他情形的。</w:t>
      </w:r>
    </w:p>
    <w:p w14:paraId="2C6DFA1C">
      <w:pPr>
        <w:adjustRightInd w:val="0"/>
        <w:snapToGrid w:val="0"/>
        <w:spacing w:line="408" w:lineRule="auto"/>
        <w:ind w:firstLine="420" w:firstLineChars="200"/>
        <w:rPr>
          <w:rFonts w:ascii="宋体" w:hAnsi="宋体"/>
          <w:b/>
          <w:szCs w:val="21"/>
          <w:highlight w:val="none"/>
        </w:rPr>
      </w:pPr>
      <w:r>
        <w:rPr>
          <w:rFonts w:hint="eastAsia" w:ascii="宋体" w:hAnsi="宋体"/>
          <w:bCs/>
          <w:szCs w:val="21"/>
          <w:highlight w:val="none"/>
        </w:rPr>
        <w:t>评标委员会成员对需要共同认定的事项存在争议的，应当按照少数服从多数的原则作出结论。持不同意见的评标委员会成员应当在评标报告</w:t>
      </w:r>
      <w:r>
        <w:rPr>
          <w:rFonts w:hint="eastAsia" w:ascii="宋体" w:hAnsi="宋体"/>
          <w:szCs w:val="21"/>
          <w:highlight w:val="none"/>
        </w:rPr>
        <w:t>上签署不同意见及理由，否则视为同意评标报告。</w:t>
      </w:r>
    </w:p>
    <w:p w14:paraId="77E115DE">
      <w:pPr>
        <w:adjustRightInd w:val="0"/>
        <w:snapToGrid w:val="0"/>
        <w:spacing w:line="408" w:lineRule="auto"/>
        <w:ind w:firstLine="422" w:firstLineChars="200"/>
        <w:rPr>
          <w:rFonts w:hint="eastAsia" w:ascii="宋体" w:hAnsi="宋体"/>
          <w:szCs w:val="21"/>
          <w:highlight w:val="none"/>
        </w:rPr>
      </w:pPr>
      <w:r>
        <w:rPr>
          <w:rFonts w:hint="eastAsia" w:ascii="宋体" w:hAnsi="宋体"/>
          <w:b/>
          <w:bCs/>
          <w:szCs w:val="21"/>
          <w:highlight w:val="none"/>
        </w:rPr>
        <w:t xml:space="preserve">第十三条 </w:t>
      </w:r>
      <w:r>
        <w:rPr>
          <w:rFonts w:hint="eastAsia" w:ascii="宋体" w:hAnsi="宋体"/>
          <w:szCs w:val="21"/>
          <w:highlight w:val="none"/>
        </w:rPr>
        <w:t>投标供应商有串通投标、弄虚作假、行贿等违法行为，评委会有权否决其投标。</w:t>
      </w:r>
    </w:p>
    <w:p w14:paraId="6826217B">
      <w:pPr>
        <w:adjustRightInd w:val="0"/>
        <w:snapToGrid w:val="0"/>
        <w:spacing w:line="408" w:lineRule="auto"/>
        <w:ind w:firstLine="422" w:firstLineChars="200"/>
        <w:rPr>
          <w:rFonts w:hint="eastAsia" w:ascii="宋体" w:hAnsi="宋体"/>
          <w:szCs w:val="21"/>
          <w:highlight w:val="none"/>
        </w:rPr>
      </w:pPr>
      <w:r>
        <w:rPr>
          <w:rFonts w:hint="eastAsia" w:ascii="宋体" w:hAnsi="宋体"/>
          <w:b/>
          <w:bCs/>
          <w:szCs w:val="21"/>
          <w:highlight w:val="none"/>
        </w:rPr>
        <w:t xml:space="preserve">第十四条 </w:t>
      </w:r>
      <w:r>
        <w:rPr>
          <w:rFonts w:hint="eastAsia" w:ascii="宋体" w:hAnsi="宋体"/>
          <w:szCs w:val="21"/>
          <w:highlight w:val="none"/>
        </w:rPr>
        <w:t>评标后，评标委员会应编写评标报告并签字。评标报告是评标委员会根据全体评标成员签字的原始评标记录和评标结果编写的报告，评标委员会全体成员及监督员均须在评标报告上签字。评标报告应如实记录本次评标的主要过程，全面反映评标过程中的各种不同的意见，以及其他澄清或说明事项。</w:t>
      </w:r>
    </w:p>
    <w:p w14:paraId="3092F50A">
      <w:pPr>
        <w:adjustRightInd w:val="0"/>
        <w:snapToGrid w:val="0"/>
        <w:spacing w:line="408" w:lineRule="auto"/>
        <w:ind w:firstLine="422" w:firstLineChars="200"/>
        <w:rPr>
          <w:rFonts w:ascii="宋体" w:hAnsi="宋体"/>
          <w:szCs w:val="21"/>
          <w:highlight w:val="none"/>
        </w:rPr>
      </w:pPr>
      <w:r>
        <w:rPr>
          <w:rFonts w:hint="eastAsia" w:ascii="宋体" w:hAnsi="宋体"/>
          <w:b/>
          <w:szCs w:val="21"/>
          <w:highlight w:val="none"/>
        </w:rPr>
        <w:t>第十五条</w:t>
      </w:r>
      <w:r>
        <w:rPr>
          <w:rFonts w:hint="eastAsia" w:ascii="宋体" w:hAnsi="宋体"/>
          <w:szCs w:val="21"/>
          <w:highlight w:val="none"/>
        </w:rPr>
        <w:t xml:space="preserve"> 评标委员会成员应当在评标报告上签字，对自己的评审意见承担法律责任。对评标报告有异议的，应当在评标报告上签署不同意见，并说明理由，否则视为同意评标报告。</w:t>
      </w:r>
    </w:p>
    <w:p w14:paraId="71D43A14">
      <w:pPr>
        <w:tabs>
          <w:tab w:val="left" w:pos="360"/>
          <w:tab w:val="left" w:pos="540"/>
          <w:tab w:val="left" w:pos="3600"/>
          <w:tab w:val="left" w:pos="3780"/>
          <w:tab w:val="left" w:pos="8460"/>
          <w:tab w:val="left" w:pos="9180"/>
        </w:tabs>
        <w:adjustRightInd w:val="0"/>
        <w:snapToGrid w:val="0"/>
        <w:spacing w:before="156" w:beforeLines="50" w:line="408" w:lineRule="auto"/>
        <w:jc w:val="left"/>
        <w:outlineLvl w:val="1"/>
        <w:rPr>
          <w:rFonts w:ascii="黑体" w:hAnsi="黑体" w:eastAsia="黑体"/>
          <w:b/>
          <w:sz w:val="32"/>
          <w:szCs w:val="32"/>
          <w:highlight w:val="none"/>
        </w:rPr>
      </w:pPr>
      <w:bookmarkStart w:id="1164" w:name="_Toc28701"/>
      <w:bookmarkStart w:id="1165" w:name="_Toc14624"/>
      <w:bookmarkStart w:id="1166" w:name="_Toc9070"/>
      <w:r>
        <w:rPr>
          <w:rFonts w:hint="eastAsia" w:ascii="黑体" w:hAnsi="黑体" w:eastAsia="黑体"/>
          <w:b/>
          <w:sz w:val="32"/>
          <w:szCs w:val="32"/>
          <w:highlight w:val="none"/>
        </w:rPr>
        <w:t>3.评标纪律</w:t>
      </w:r>
      <w:bookmarkEnd w:id="1164"/>
      <w:bookmarkEnd w:id="1165"/>
      <w:bookmarkEnd w:id="1166"/>
    </w:p>
    <w:p w14:paraId="3C84FD65">
      <w:pPr>
        <w:adjustRightInd w:val="0"/>
        <w:snapToGrid w:val="0"/>
        <w:spacing w:line="408" w:lineRule="auto"/>
        <w:ind w:firstLine="422" w:firstLineChars="200"/>
        <w:rPr>
          <w:rFonts w:ascii="宋体" w:hAnsi="宋体"/>
          <w:szCs w:val="21"/>
          <w:highlight w:val="none"/>
        </w:rPr>
      </w:pPr>
      <w:r>
        <w:rPr>
          <w:rFonts w:hint="eastAsia" w:ascii="宋体" w:hAnsi="宋体"/>
          <w:b/>
          <w:szCs w:val="21"/>
          <w:highlight w:val="none"/>
        </w:rPr>
        <w:t xml:space="preserve">第十六条 </w:t>
      </w:r>
      <w:r>
        <w:rPr>
          <w:rFonts w:hint="eastAsia" w:ascii="宋体" w:hAnsi="宋体"/>
          <w:szCs w:val="21"/>
          <w:highlight w:val="none"/>
        </w:rPr>
        <w:t>评标委员会和评标工作人员应严格遵守国家的法律、法规和规章制度；严格按照本次招标文件进行评标；公正廉洁、不徇私情，不得损害国家利益；保护采购人、投标供应商的合法权益。</w:t>
      </w:r>
    </w:p>
    <w:p w14:paraId="38DC75BD">
      <w:pPr>
        <w:adjustRightInd w:val="0"/>
        <w:snapToGrid w:val="0"/>
        <w:spacing w:line="408" w:lineRule="auto"/>
        <w:ind w:firstLine="422" w:firstLineChars="200"/>
        <w:rPr>
          <w:rFonts w:hint="eastAsia" w:ascii="宋体" w:hAnsi="宋体"/>
          <w:szCs w:val="21"/>
        </w:rPr>
      </w:pPr>
      <w:r>
        <w:rPr>
          <w:rFonts w:hint="eastAsia" w:ascii="宋体" w:hAnsi="宋体"/>
          <w:b/>
          <w:szCs w:val="21"/>
          <w:highlight w:val="none"/>
        </w:rPr>
        <w:t>第十</w:t>
      </w:r>
      <w:r>
        <w:rPr>
          <w:rFonts w:hint="eastAsia" w:ascii="宋体" w:hAnsi="宋体"/>
          <w:b/>
          <w:bCs/>
          <w:szCs w:val="21"/>
          <w:highlight w:val="none"/>
        </w:rPr>
        <w:t>七</w:t>
      </w:r>
      <w:r>
        <w:rPr>
          <w:rFonts w:hint="eastAsia" w:ascii="宋体" w:hAnsi="宋体"/>
          <w:b/>
          <w:szCs w:val="21"/>
          <w:highlight w:val="none"/>
        </w:rPr>
        <w:t xml:space="preserve">条 </w:t>
      </w:r>
      <w:r>
        <w:rPr>
          <w:rFonts w:hint="eastAsia" w:ascii="宋体" w:hAnsi="宋体"/>
          <w:szCs w:val="21"/>
          <w:highlight w:val="none"/>
        </w:rPr>
        <w:t>在评标过程中，评委及其他评标工作人员必须对评标情况严格保密，任何人不得将评标情况透露给与投标供应商有关的单位和个人。如有违反评标纪律的情况发生，将依据政府采购法律法规的规定，追究有关当事人的责任。</w:t>
      </w:r>
    </w:p>
    <w:p w14:paraId="2A808210">
      <w:pPr>
        <w:tabs>
          <w:tab w:val="left" w:pos="360"/>
          <w:tab w:val="left" w:pos="540"/>
          <w:tab w:val="left" w:pos="3600"/>
          <w:tab w:val="left" w:pos="3780"/>
          <w:tab w:val="left" w:pos="8460"/>
          <w:tab w:val="left" w:pos="9180"/>
        </w:tabs>
        <w:adjustRightInd w:val="0"/>
        <w:snapToGrid w:val="0"/>
        <w:spacing w:before="156" w:beforeLines="50" w:line="408" w:lineRule="auto"/>
        <w:jc w:val="left"/>
        <w:outlineLvl w:val="1"/>
        <w:rPr>
          <w:rFonts w:hint="eastAsia" w:ascii="黑体" w:hAnsi="黑体" w:eastAsia="黑体"/>
          <w:b/>
          <w:sz w:val="32"/>
          <w:szCs w:val="32"/>
          <w:lang w:eastAsia="zh-CN"/>
        </w:rPr>
      </w:pPr>
      <w:r>
        <w:rPr>
          <w:rFonts w:hint="eastAsia" w:ascii="黑体" w:hAnsi="黑体" w:eastAsia="黑体"/>
          <w:b/>
          <w:sz w:val="32"/>
          <w:szCs w:val="32"/>
        </w:rPr>
        <w:t>4.具体评标办法</w:t>
      </w:r>
    </w:p>
    <w:p w14:paraId="7687D1AB">
      <w:pPr>
        <w:adjustRightInd w:val="0"/>
        <w:snapToGrid w:val="0"/>
        <w:spacing w:line="408" w:lineRule="auto"/>
        <w:ind w:firstLine="422" w:firstLineChars="200"/>
        <w:rPr>
          <w:rFonts w:hint="eastAsia" w:ascii="宋体" w:hAnsi="宋体"/>
          <w:b/>
          <w:bCs/>
          <w:szCs w:val="21"/>
        </w:rPr>
      </w:pPr>
      <w:r>
        <w:rPr>
          <w:rFonts w:hint="eastAsia" w:ascii="宋体" w:hAnsi="宋体"/>
          <w:b/>
          <w:bCs/>
          <w:szCs w:val="21"/>
        </w:rPr>
        <w:t>1.资格审查合格后，评标委员会对投标文件进行符合性审查。</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2128"/>
        <w:gridCol w:w="3143"/>
        <w:gridCol w:w="1456"/>
        <w:gridCol w:w="2366"/>
      </w:tblGrid>
      <w:tr w14:paraId="2DAF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trPr>
        <w:tc>
          <w:tcPr>
            <w:tcW w:w="5000" w:type="pct"/>
            <w:gridSpan w:val="5"/>
            <w:noWrap w:val="0"/>
            <w:vAlign w:val="center"/>
          </w:tcPr>
          <w:p w14:paraId="65A736E8">
            <w:pPr>
              <w:pStyle w:val="34"/>
              <w:pBdr>
                <w:bottom w:val="none" w:color="auto" w:sz="0" w:space="0"/>
              </w:pBdr>
              <w:tabs>
                <w:tab w:val="clear" w:pos="4153"/>
                <w:tab w:val="clear" w:pos="8306"/>
              </w:tabs>
              <w:snapToGrid w:val="0"/>
              <w:spacing w:line="360" w:lineRule="auto"/>
              <w:textAlignment w:val="auto"/>
              <w:rPr>
                <w:rFonts w:hint="eastAsia" w:ascii="宋体" w:hAnsi="宋体"/>
                <w:kern w:val="2"/>
                <w:sz w:val="21"/>
                <w:szCs w:val="21"/>
              </w:rPr>
            </w:pPr>
            <w:r>
              <w:rPr>
                <w:rFonts w:hint="eastAsia" w:ascii="宋体" w:hAnsi="宋体"/>
                <w:b/>
                <w:sz w:val="21"/>
                <w:szCs w:val="21"/>
              </w:rPr>
              <w:t>符合性审查表</w:t>
            </w:r>
          </w:p>
        </w:tc>
      </w:tr>
      <w:tr w14:paraId="527A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trPr>
        <w:tc>
          <w:tcPr>
            <w:tcW w:w="386" w:type="pct"/>
            <w:tcBorders>
              <w:bottom w:val="single" w:color="auto" w:sz="4" w:space="0"/>
            </w:tcBorders>
            <w:noWrap w:val="0"/>
            <w:vAlign w:val="center"/>
          </w:tcPr>
          <w:p w14:paraId="70392825">
            <w:pPr>
              <w:adjustRightInd w:val="0"/>
              <w:snapToGrid w:val="0"/>
              <w:spacing w:line="360" w:lineRule="auto"/>
              <w:jc w:val="left"/>
              <w:rPr>
                <w:rFonts w:hint="eastAsia" w:ascii="宋体" w:hAnsi="宋体"/>
                <w:b/>
                <w:szCs w:val="21"/>
              </w:rPr>
            </w:pPr>
            <w:r>
              <w:rPr>
                <w:rFonts w:hint="eastAsia" w:ascii="宋体" w:hAnsi="宋体"/>
                <w:b/>
                <w:szCs w:val="21"/>
              </w:rPr>
              <w:t>序号</w:t>
            </w:r>
          </w:p>
        </w:tc>
        <w:tc>
          <w:tcPr>
            <w:tcW w:w="1080" w:type="pct"/>
            <w:tcBorders>
              <w:bottom w:val="single" w:color="auto" w:sz="4" w:space="0"/>
            </w:tcBorders>
            <w:noWrap w:val="0"/>
            <w:vAlign w:val="center"/>
          </w:tcPr>
          <w:p w14:paraId="3E962E5C">
            <w:pPr>
              <w:pStyle w:val="34"/>
              <w:pBdr>
                <w:bottom w:val="none" w:color="auto" w:sz="0" w:space="0"/>
              </w:pBdr>
              <w:tabs>
                <w:tab w:val="clear" w:pos="4153"/>
                <w:tab w:val="clear" w:pos="8306"/>
              </w:tabs>
              <w:snapToGrid w:val="0"/>
              <w:spacing w:line="360" w:lineRule="auto"/>
              <w:textAlignment w:val="auto"/>
              <w:rPr>
                <w:rFonts w:hint="eastAsia" w:ascii="宋体" w:hAnsi="宋体"/>
                <w:b/>
                <w:kern w:val="2"/>
                <w:sz w:val="21"/>
                <w:szCs w:val="21"/>
              </w:rPr>
            </w:pPr>
            <w:r>
              <w:rPr>
                <w:rFonts w:hint="eastAsia" w:ascii="宋体" w:hAnsi="宋体"/>
                <w:b/>
                <w:kern w:val="2"/>
                <w:sz w:val="21"/>
                <w:szCs w:val="21"/>
              </w:rPr>
              <w:t>指标名称</w:t>
            </w:r>
          </w:p>
        </w:tc>
        <w:tc>
          <w:tcPr>
            <w:tcW w:w="1595" w:type="pct"/>
            <w:tcBorders>
              <w:bottom w:val="single" w:color="auto" w:sz="4" w:space="0"/>
            </w:tcBorders>
            <w:noWrap w:val="0"/>
            <w:vAlign w:val="center"/>
          </w:tcPr>
          <w:p w14:paraId="7C43B735">
            <w:pPr>
              <w:adjustRightInd w:val="0"/>
              <w:snapToGrid w:val="0"/>
              <w:spacing w:line="360" w:lineRule="auto"/>
              <w:jc w:val="center"/>
              <w:rPr>
                <w:rFonts w:hint="eastAsia" w:ascii="宋体" w:hAnsi="宋体"/>
                <w:b/>
                <w:szCs w:val="21"/>
              </w:rPr>
            </w:pPr>
            <w:r>
              <w:rPr>
                <w:rFonts w:hint="eastAsia" w:ascii="宋体" w:hAnsi="宋体"/>
                <w:b/>
                <w:szCs w:val="21"/>
              </w:rPr>
              <w:t>指标要求</w:t>
            </w:r>
          </w:p>
        </w:tc>
        <w:tc>
          <w:tcPr>
            <w:tcW w:w="739" w:type="pct"/>
            <w:tcBorders>
              <w:bottom w:val="single" w:color="auto" w:sz="4" w:space="0"/>
            </w:tcBorders>
            <w:noWrap w:val="0"/>
            <w:vAlign w:val="center"/>
          </w:tcPr>
          <w:p w14:paraId="0D298829">
            <w:pPr>
              <w:adjustRightInd w:val="0"/>
              <w:snapToGrid w:val="0"/>
              <w:spacing w:line="360" w:lineRule="auto"/>
              <w:jc w:val="center"/>
              <w:rPr>
                <w:rFonts w:hint="eastAsia" w:ascii="宋体" w:hAnsi="宋体"/>
                <w:b/>
                <w:szCs w:val="21"/>
              </w:rPr>
            </w:pPr>
            <w:r>
              <w:rPr>
                <w:rFonts w:hint="eastAsia" w:ascii="宋体" w:hAnsi="宋体"/>
                <w:b/>
                <w:szCs w:val="21"/>
              </w:rPr>
              <w:t>是否通过</w:t>
            </w:r>
          </w:p>
        </w:tc>
        <w:tc>
          <w:tcPr>
            <w:tcW w:w="1197" w:type="pct"/>
            <w:tcBorders>
              <w:bottom w:val="single" w:color="auto" w:sz="4" w:space="0"/>
            </w:tcBorders>
            <w:noWrap w:val="0"/>
            <w:vAlign w:val="center"/>
          </w:tcPr>
          <w:p w14:paraId="05FAF001">
            <w:pPr>
              <w:adjustRightInd w:val="0"/>
              <w:snapToGrid w:val="0"/>
              <w:spacing w:line="360" w:lineRule="auto"/>
              <w:jc w:val="center"/>
              <w:rPr>
                <w:rFonts w:hint="eastAsia" w:ascii="宋体" w:hAnsi="宋体"/>
                <w:b/>
                <w:szCs w:val="21"/>
              </w:rPr>
            </w:pPr>
            <w:r>
              <w:rPr>
                <w:rFonts w:hint="eastAsia" w:ascii="宋体" w:hAnsi="宋体"/>
                <w:b/>
                <w:szCs w:val="21"/>
              </w:rPr>
              <w:t>投标文件格式及提交资料要求</w:t>
            </w:r>
          </w:p>
        </w:tc>
      </w:tr>
      <w:tr w14:paraId="17F22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44" w:hRule="atLeast"/>
        </w:trPr>
        <w:tc>
          <w:tcPr>
            <w:tcW w:w="386" w:type="pct"/>
            <w:noWrap w:val="0"/>
            <w:vAlign w:val="center"/>
          </w:tcPr>
          <w:p w14:paraId="311790A8">
            <w:pPr>
              <w:adjustRightInd w:val="0"/>
              <w:snapToGrid w:val="0"/>
              <w:spacing w:line="360" w:lineRule="auto"/>
              <w:jc w:val="center"/>
              <w:rPr>
                <w:rFonts w:hint="eastAsia" w:ascii="宋体" w:hAnsi="宋体"/>
                <w:szCs w:val="21"/>
              </w:rPr>
            </w:pPr>
            <w:r>
              <w:rPr>
                <w:rFonts w:hint="eastAsia" w:ascii="宋体" w:hAnsi="宋体"/>
                <w:szCs w:val="21"/>
              </w:rPr>
              <w:t>1</w:t>
            </w:r>
          </w:p>
        </w:tc>
        <w:tc>
          <w:tcPr>
            <w:tcW w:w="1080" w:type="pct"/>
            <w:noWrap w:val="0"/>
            <w:vAlign w:val="center"/>
          </w:tcPr>
          <w:p w14:paraId="0BEBDA86">
            <w:pPr>
              <w:spacing w:line="360" w:lineRule="auto"/>
              <w:jc w:val="center"/>
              <w:rPr>
                <w:rFonts w:hint="eastAsia" w:ascii="宋体" w:hAnsi="宋体"/>
                <w:szCs w:val="21"/>
              </w:rPr>
            </w:pPr>
            <w:r>
              <w:rPr>
                <w:rFonts w:hint="eastAsia" w:ascii="宋体" w:hAnsi="宋体"/>
                <w:szCs w:val="21"/>
              </w:rPr>
              <w:t>投标函</w:t>
            </w:r>
          </w:p>
        </w:tc>
        <w:tc>
          <w:tcPr>
            <w:tcW w:w="1595" w:type="pct"/>
            <w:noWrap w:val="0"/>
            <w:vAlign w:val="center"/>
          </w:tcPr>
          <w:p w14:paraId="6B1A6793">
            <w:pPr>
              <w:spacing w:line="360" w:lineRule="auto"/>
              <w:rPr>
                <w:rFonts w:hint="eastAsia"/>
              </w:rPr>
            </w:pPr>
            <w:r>
              <w:rPr>
                <w:rFonts w:hint="eastAsia"/>
              </w:rPr>
              <w:t>格式、填写要求符合招标文件规定并加盖投标供应商公章</w:t>
            </w:r>
          </w:p>
        </w:tc>
        <w:tc>
          <w:tcPr>
            <w:tcW w:w="739" w:type="pct"/>
            <w:noWrap w:val="0"/>
            <w:vAlign w:val="center"/>
          </w:tcPr>
          <w:p w14:paraId="1D83C10B">
            <w:pPr>
              <w:spacing w:line="360" w:lineRule="auto"/>
              <w:rPr>
                <w:rFonts w:hint="eastAsia"/>
              </w:rPr>
            </w:pPr>
          </w:p>
        </w:tc>
        <w:tc>
          <w:tcPr>
            <w:tcW w:w="1197" w:type="pct"/>
            <w:noWrap w:val="0"/>
            <w:vAlign w:val="center"/>
          </w:tcPr>
          <w:p w14:paraId="5D486005">
            <w:pPr>
              <w:spacing w:line="360" w:lineRule="auto"/>
              <w:rPr>
                <w:rFonts w:hint="eastAsia"/>
              </w:rPr>
            </w:pPr>
            <w:r>
              <w:rPr>
                <w:rFonts w:hint="eastAsia"/>
              </w:rPr>
              <w:t>第六章投标文件格式</w:t>
            </w:r>
          </w:p>
        </w:tc>
      </w:tr>
      <w:tr w14:paraId="7C0EB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7" w:hRule="atLeast"/>
        </w:trPr>
        <w:tc>
          <w:tcPr>
            <w:tcW w:w="386" w:type="pct"/>
            <w:noWrap w:val="0"/>
            <w:vAlign w:val="center"/>
          </w:tcPr>
          <w:p w14:paraId="311AEFEC">
            <w:pPr>
              <w:adjustRightInd w:val="0"/>
              <w:snapToGrid w:val="0"/>
              <w:spacing w:line="360" w:lineRule="auto"/>
              <w:jc w:val="center"/>
              <w:rPr>
                <w:rFonts w:hint="eastAsia" w:ascii="宋体" w:hAnsi="宋体"/>
                <w:szCs w:val="21"/>
              </w:rPr>
            </w:pPr>
            <w:r>
              <w:rPr>
                <w:rFonts w:hint="eastAsia" w:ascii="宋体" w:hAnsi="宋体"/>
                <w:szCs w:val="21"/>
              </w:rPr>
              <w:t>2</w:t>
            </w:r>
          </w:p>
        </w:tc>
        <w:tc>
          <w:tcPr>
            <w:tcW w:w="1080" w:type="pct"/>
            <w:noWrap w:val="0"/>
            <w:vAlign w:val="center"/>
          </w:tcPr>
          <w:p w14:paraId="446C996B">
            <w:pPr>
              <w:spacing w:line="360" w:lineRule="auto"/>
              <w:jc w:val="center"/>
              <w:rPr>
                <w:rFonts w:hint="eastAsia" w:ascii="宋体" w:hAnsi="宋体"/>
                <w:szCs w:val="21"/>
              </w:rPr>
            </w:pPr>
            <w:r>
              <w:rPr>
                <w:rFonts w:hint="eastAsia" w:ascii="宋体" w:hAnsi="宋体"/>
                <w:szCs w:val="21"/>
              </w:rPr>
              <w:t>投标授权书</w:t>
            </w:r>
          </w:p>
        </w:tc>
        <w:tc>
          <w:tcPr>
            <w:tcW w:w="1595" w:type="pct"/>
            <w:noWrap w:val="0"/>
            <w:vAlign w:val="center"/>
          </w:tcPr>
          <w:p w14:paraId="36E98BBD">
            <w:pPr>
              <w:spacing w:line="360" w:lineRule="auto"/>
              <w:jc w:val="center"/>
              <w:rPr>
                <w:rFonts w:hint="eastAsia"/>
              </w:rPr>
            </w:pPr>
            <w:r>
              <w:rPr>
                <w:rFonts w:hint="eastAsia"/>
              </w:rPr>
              <w:t>格式、填写要求符合</w:t>
            </w:r>
            <w:r>
              <w:rPr>
                <w:rFonts w:hint="eastAsia"/>
                <w:lang w:val="en-US" w:eastAsia="zh-CN"/>
              </w:rPr>
              <w:t>招标文件“</w:t>
            </w:r>
            <w:r>
              <w:rPr>
                <w:rFonts w:hint="eastAsia" w:ascii="宋体" w:hAnsi="宋体"/>
                <w:szCs w:val="21"/>
              </w:rPr>
              <w:t>第六章投标文件格式</w:t>
            </w:r>
            <w:r>
              <w:rPr>
                <w:rFonts w:hint="eastAsia"/>
                <w:lang w:val="en-US" w:eastAsia="zh-CN"/>
              </w:rPr>
              <w:t>”</w:t>
            </w:r>
            <w:r>
              <w:rPr>
                <w:rFonts w:hint="eastAsia" w:ascii="宋体" w:hAnsi="宋体"/>
                <w:szCs w:val="21"/>
                <w:lang w:val="en-US" w:eastAsia="zh-CN"/>
              </w:rPr>
              <w:t>要求</w:t>
            </w:r>
            <w:r>
              <w:rPr>
                <w:rFonts w:hint="eastAsia"/>
              </w:rPr>
              <w:t>并加盖投标供应商公章</w:t>
            </w:r>
          </w:p>
        </w:tc>
        <w:tc>
          <w:tcPr>
            <w:tcW w:w="739" w:type="pct"/>
            <w:noWrap w:val="0"/>
            <w:vAlign w:val="center"/>
          </w:tcPr>
          <w:p w14:paraId="55B59499">
            <w:pPr>
              <w:spacing w:line="360" w:lineRule="auto"/>
              <w:jc w:val="center"/>
              <w:rPr>
                <w:rFonts w:hint="eastAsia"/>
              </w:rPr>
            </w:pPr>
          </w:p>
        </w:tc>
        <w:tc>
          <w:tcPr>
            <w:tcW w:w="1197" w:type="pct"/>
            <w:noWrap w:val="0"/>
            <w:vAlign w:val="center"/>
          </w:tcPr>
          <w:p w14:paraId="0ECA0B5B">
            <w:pPr>
              <w:spacing w:line="360" w:lineRule="auto"/>
              <w:jc w:val="center"/>
              <w:rPr>
                <w:rFonts w:hint="eastAsia"/>
              </w:rPr>
            </w:pPr>
            <w:r>
              <w:rPr>
                <w:rFonts w:hint="eastAsia"/>
              </w:rPr>
              <w:t>法定代表人参加投标的无需此件，提供身份证明复制件即可。第六章投标文件格式</w:t>
            </w:r>
          </w:p>
        </w:tc>
      </w:tr>
      <w:tr w14:paraId="22CB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86" w:type="pct"/>
            <w:noWrap w:val="0"/>
            <w:vAlign w:val="center"/>
          </w:tcPr>
          <w:p w14:paraId="2536FDBA">
            <w:pPr>
              <w:adjustRightInd w:val="0"/>
              <w:snapToGrid w:val="0"/>
              <w:spacing w:line="360" w:lineRule="auto"/>
              <w:jc w:val="center"/>
              <w:rPr>
                <w:rFonts w:hint="eastAsia" w:ascii="宋体" w:hAnsi="宋体"/>
                <w:szCs w:val="21"/>
              </w:rPr>
            </w:pPr>
            <w:r>
              <w:rPr>
                <w:rFonts w:hint="eastAsia" w:ascii="宋体" w:hAnsi="宋体"/>
                <w:szCs w:val="21"/>
              </w:rPr>
              <w:t>3</w:t>
            </w:r>
          </w:p>
        </w:tc>
        <w:tc>
          <w:tcPr>
            <w:tcW w:w="1080" w:type="pct"/>
            <w:noWrap w:val="0"/>
            <w:vAlign w:val="center"/>
          </w:tcPr>
          <w:p w14:paraId="39388915">
            <w:pPr>
              <w:spacing w:line="360" w:lineRule="auto"/>
              <w:jc w:val="center"/>
              <w:rPr>
                <w:rFonts w:hint="eastAsia" w:ascii="宋体" w:hAnsi="宋体"/>
                <w:szCs w:val="21"/>
              </w:rPr>
            </w:pPr>
            <w:r>
              <w:rPr>
                <w:rFonts w:hint="eastAsia" w:ascii="宋体" w:hAnsi="宋体"/>
                <w:szCs w:val="21"/>
              </w:rPr>
              <w:t>获取招标文件情况</w:t>
            </w:r>
          </w:p>
        </w:tc>
        <w:tc>
          <w:tcPr>
            <w:tcW w:w="1595" w:type="pct"/>
            <w:noWrap w:val="0"/>
            <w:vAlign w:val="center"/>
          </w:tcPr>
          <w:p w14:paraId="513186EF">
            <w:pPr>
              <w:spacing w:line="360" w:lineRule="auto"/>
              <w:jc w:val="center"/>
              <w:rPr>
                <w:rFonts w:hint="eastAsia"/>
              </w:rPr>
            </w:pPr>
            <w:r>
              <w:rPr>
                <w:rFonts w:hint="eastAsia" w:ascii="宋体" w:hAnsi="宋体"/>
                <w:szCs w:val="21"/>
              </w:rPr>
              <w:t>未在获取招标文件截止时间前获取招标文件的，投标无效</w:t>
            </w:r>
          </w:p>
        </w:tc>
        <w:tc>
          <w:tcPr>
            <w:tcW w:w="739" w:type="pct"/>
            <w:noWrap w:val="0"/>
            <w:vAlign w:val="center"/>
          </w:tcPr>
          <w:p w14:paraId="52331328">
            <w:pPr>
              <w:spacing w:line="360" w:lineRule="auto"/>
              <w:jc w:val="center"/>
              <w:rPr>
                <w:rFonts w:hint="eastAsia"/>
              </w:rPr>
            </w:pPr>
          </w:p>
        </w:tc>
        <w:tc>
          <w:tcPr>
            <w:tcW w:w="1197" w:type="pct"/>
            <w:noWrap w:val="0"/>
            <w:vAlign w:val="center"/>
          </w:tcPr>
          <w:p w14:paraId="51F88DDA">
            <w:pPr>
              <w:spacing w:line="360" w:lineRule="auto"/>
              <w:jc w:val="center"/>
              <w:rPr>
                <w:rFonts w:hint="eastAsia"/>
              </w:rPr>
            </w:pPr>
          </w:p>
        </w:tc>
      </w:tr>
      <w:tr w14:paraId="46AE9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86" w:type="pct"/>
            <w:noWrap w:val="0"/>
            <w:vAlign w:val="center"/>
          </w:tcPr>
          <w:p w14:paraId="3B61B919">
            <w:pPr>
              <w:adjustRightInd w:val="0"/>
              <w:snapToGrid w:val="0"/>
              <w:spacing w:line="360" w:lineRule="auto"/>
              <w:jc w:val="center"/>
              <w:rPr>
                <w:rFonts w:hint="eastAsia" w:ascii="宋体" w:hAnsi="宋体" w:eastAsia="宋体"/>
                <w:szCs w:val="21"/>
                <w:lang w:eastAsia="zh-CN"/>
              </w:rPr>
            </w:pPr>
            <w:r>
              <w:rPr>
                <w:rFonts w:hint="eastAsia" w:ascii="宋体" w:hAnsi="宋体"/>
                <w:szCs w:val="21"/>
                <w:lang w:val="en-US" w:eastAsia="zh-CN"/>
              </w:rPr>
              <w:t>4</w:t>
            </w:r>
          </w:p>
        </w:tc>
        <w:tc>
          <w:tcPr>
            <w:tcW w:w="1080" w:type="pct"/>
            <w:noWrap w:val="0"/>
            <w:vAlign w:val="center"/>
          </w:tcPr>
          <w:p w14:paraId="5A01467B">
            <w:pPr>
              <w:spacing w:line="360" w:lineRule="auto"/>
              <w:jc w:val="center"/>
              <w:rPr>
                <w:rFonts w:hint="eastAsia" w:ascii="宋体" w:hAnsi="宋体"/>
                <w:szCs w:val="21"/>
              </w:rPr>
            </w:pPr>
            <w:r>
              <w:rPr>
                <w:rFonts w:hint="eastAsia" w:ascii="宋体" w:hAnsi="宋体"/>
                <w:szCs w:val="21"/>
              </w:rPr>
              <w:t>开标一览表</w:t>
            </w:r>
          </w:p>
        </w:tc>
        <w:tc>
          <w:tcPr>
            <w:tcW w:w="1595" w:type="pct"/>
            <w:noWrap w:val="0"/>
            <w:vAlign w:val="center"/>
          </w:tcPr>
          <w:p w14:paraId="7865C6B8">
            <w:pPr>
              <w:spacing w:line="360" w:lineRule="auto"/>
              <w:jc w:val="center"/>
              <w:rPr>
                <w:rFonts w:hint="eastAsia"/>
              </w:rPr>
            </w:pPr>
            <w:r>
              <w:rPr>
                <w:rFonts w:hint="eastAsia"/>
              </w:rPr>
              <w:t>格式、填写要求符合招标文件规定并加盖投标供应商公章</w:t>
            </w:r>
          </w:p>
        </w:tc>
        <w:tc>
          <w:tcPr>
            <w:tcW w:w="739" w:type="pct"/>
            <w:noWrap w:val="0"/>
            <w:vAlign w:val="center"/>
          </w:tcPr>
          <w:p w14:paraId="118173F2">
            <w:pPr>
              <w:spacing w:line="360" w:lineRule="auto"/>
              <w:jc w:val="center"/>
              <w:rPr>
                <w:rFonts w:hint="eastAsia"/>
              </w:rPr>
            </w:pPr>
          </w:p>
        </w:tc>
        <w:tc>
          <w:tcPr>
            <w:tcW w:w="1197" w:type="pct"/>
            <w:noWrap w:val="0"/>
            <w:vAlign w:val="center"/>
          </w:tcPr>
          <w:p w14:paraId="5DE4BD29">
            <w:pPr>
              <w:spacing w:line="360" w:lineRule="auto"/>
              <w:jc w:val="center"/>
              <w:rPr>
                <w:rFonts w:hint="eastAsia"/>
              </w:rPr>
            </w:pPr>
            <w:r>
              <w:rPr>
                <w:rFonts w:hint="eastAsia"/>
              </w:rPr>
              <w:t>第六章投标文件格式</w:t>
            </w:r>
          </w:p>
        </w:tc>
      </w:tr>
      <w:tr w14:paraId="44B08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86" w:type="pct"/>
            <w:noWrap w:val="0"/>
            <w:vAlign w:val="center"/>
          </w:tcPr>
          <w:p w14:paraId="5BB8554D">
            <w:pPr>
              <w:adjustRightInd w:val="0"/>
              <w:snapToGrid w:val="0"/>
              <w:spacing w:line="360" w:lineRule="auto"/>
              <w:jc w:val="center"/>
              <w:rPr>
                <w:rFonts w:hint="eastAsia" w:ascii="宋体" w:hAnsi="宋体" w:eastAsia="宋体"/>
                <w:szCs w:val="21"/>
                <w:lang w:eastAsia="zh-CN"/>
              </w:rPr>
            </w:pPr>
            <w:r>
              <w:rPr>
                <w:rFonts w:hint="eastAsia" w:ascii="宋体" w:hAnsi="宋体"/>
                <w:szCs w:val="21"/>
                <w:lang w:val="en-US" w:eastAsia="zh-CN"/>
              </w:rPr>
              <w:t>5</w:t>
            </w:r>
          </w:p>
        </w:tc>
        <w:tc>
          <w:tcPr>
            <w:tcW w:w="1080" w:type="pct"/>
            <w:noWrap w:val="0"/>
            <w:vAlign w:val="center"/>
          </w:tcPr>
          <w:p w14:paraId="1A609216">
            <w:pPr>
              <w:spacing w:line="360" w:lineRule="auto"/>
              <w:jc w:val="center"/>
              <w:rPr>
                <w:rFonts w:hint="eastAsia" w:ascii="宋体" w:hAnsi="宋体"/>
                <w:szCs w:val="21"/>
              </w:rPr>
            </w:pPr>
            <w:r>
              <w:rPr>
                <w:rFonts w:hint="eastAsia" w:ascii="宋体" w:hAnsi="宋体"/>
                <w:szCs w:val="21"/>
              </w:rPr>
              <w:t>相关授权或</w:t>
            </w:r>
            <w:r>
              <w:rPr>
                <w:rFonts w:ascii="宋体" w:hAnsi="宋体"/>
                <w:szCs w:val="21"/>
              </w:rPr>
              <w:t>承诺书</w:t>
            </w:r>
          </w:p>
        </w:tc>
        <w:tc>
          <w:tcPr>
            <w:tcW w:w="1595" w:type="pct"/>
            <w:noWrap w:val="0"/>
            <w:vAlign w:val="center"/>
          </w:tcPr>
          <w:p w14:paraId="117F98DE">
            <w:pPr>
              <w:spacing w:line="360" w:lineRule="auto"/>
              <w:jc w:val="center"/>
              <w:rPr>
                <w:rFonts w:hint="eastAsia"/>
              </w:rPr>
            </w:pPr>
            <w:r>
              <w:rPr>
                <w:rFonts w:hint="eastAsia"/>
              </w:rPr>
              <w:t>符合招标文件要求</w:t>
            </w:r>
          </w:p>
        </w:tc>
        <w:tc>
          <w:tcPr>
            <w:tcW w:w="739" w:type="pct"/>
            <w:noWrap w:val="0"/>
            <w:vAlign w:val="center"/>
          </w:tcPr>
          <w:p w14:paraId="5E74D249">
            <w:pPr>
              <w:spacing w:line="360" w:lineRule="auto"/>
              <w:jc w:val="center"/>
              <w:rPr>
                <w:rFonts w:hint="eastAsia"/>
              </w:rPr>
            </w:pPr>
          </w:p>
        </w:tc>
        <w:tc>
          <w:tcPr>
            <w:tcW w:w="1197" w:type="pct"/>
            <w:noWrap w:val="0"/>
            <w:vAlign w:val="center"/>
          </w:tcPr>
          <w:p w14:paraId="3DA6E344">
            <w:pPr>
              <w:spacing w:line="360" w:lineRule="auto"/>
              <w:jc w:val="center"/>
              <w:rPr>
                <w:rFonts w:hint="eastAsia"/>
              </w:rPr>
            </w:pPr>
            <w:r>
              <w:rPr>
                <w:rFonts w:hint="eastAsia"/>
              </w:rPr>
              <w:t>第六章投标文件格式</w:t>
            </w:r>
          </w:p>
        </w:tc>
      </w:tr>
      <w:tr w14:paraId="13EC1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86" w:type="pct"/>
            <w:noWrap w:val="0"/>
            <w:vAlign w:val="center"/>
          </w:tcPr>
          <w:p w14:paraId="16D75B0B">
            <w:pPr>
              <w:adjustRightInd w:val="0"/>
              <w:snapToGrid w:val="0"/>
              <w:spacing w:line="360" w:lineRule="auto"/>
              <w:jc w:val="center"/>
              <w:rPr>
                <w:rFonts w:hint="eastAsia" w:ascii="宋体" w:hAnsi="宋体" w:eastAsia="宋体"/>
                <w:szCs w:val="21"/>
                <w:lang w:eastAsia="zh-CN"/>
              </w:rPr>
            </w:pPr>
            <w:r>
              <w:rPr>
                <w:rFonts w:hint="eastAsia" w:ascii="宋体" w:hAnsi="宋体"/>
                <w:szCs w:val="21"/>
                <w:lang w:val="en-US" w:eastAsia="zh-CN"/>
              </w:rPr>
              <w:t>6</w:t>
            </w:r>
          </w:p>
        </w:tc>
        <w:tc>
          <w:tcPr>
            <w:tcW w:w="1080" w:type="pct"/>
            <w:noWrap w:val="0"/>
            <w:vAlign w:val="center"/>
          </w:tcPr>
          <w:p w14:paraId="07B95268">
            <w:pPr>
              <w:spacing w:line="360" w:lineRule="auto"/>
              <w:jc w:val="center"/>
              <w:rPr>
                <w:rFonts w:hint="default" w:ascii="宋体" w:hAnsi="宋体" w:eastAsia="宋体"/>
                <w:szCs w:val="21"/>
                <w:lang w:val="en-US" w:eastAsia="zh-CN"/>
              </w:rPr>
            </w:pPr>
            <w:r>
              <w:rPr>
                <w:rFonts w:hint="eastAsia" w:ascii="宋体" w:hAnsi="宋体"/>
                <w:szCs w:val="21"/>
              </w:rPr>
              <w:t>技术参数</w:t>
            </w:r>
            <w:r>
              <w:rPr>
                <w:rFonts w:hint="eastAsia" w:ascii="宋体" w:hAnsi="宋体"/>
                <w:szCs w:val="21"/>
                <w:lang w:val="en-US" w:eastAsia="zh-CN"/>
              </w:rPr>
              <w:t>及要求</w:t>
            </w:r>
          </w:p>
        </w:tc>
        <w:tc>
          <w:tcPr>
            <w:tcW w:w="1595" w:type="pct"/>
            <w:noWrap w:val="0"/>
            <w:vAlign w:val="center"/>
          </w:tcPr>
          <w:p w14:paraId="14A22E78">
            <w:pPr>
              <w:spacing w:line="360" w:lineRule="auto"/>
              <w:jc w:val="center"/>
              <w:rPr>
                <w:rFonts w:hint="eastAsia"/>
              </w:rPr>
            </w:pPr>
            <w:r>
              <w:rPr>
                <w:rFonts w:hint="eastAsia"/>
              </w:rPr>
              <w:t>符合招标文件要求</w:t>
            </w:r>
          </w:p>
        </w:tc>
        <w:tc>
          <w:tcPr>
            <w:tcW w:w="739" w:type="pct"/>
            <w:noWrap w:val="0"/>
            <w:vAlign w:val="center"/>
          </w:tcPr>
          <w:p w14:paraId="754A4FAA">
            <w:pPr>
              <w:spacing w:line="360" w:lineRule="auto"/>
              <w:jc w:val="center"/>
              <w:rPr>
                <w:rFonts w:hint="eastAsia"/>
              </w:rPr>
            </w:pPr>
          </w:p>
        </w:tc>
        <w:tc>
          <w:tcPr>
            <w:tcW w:w="1197" w:type="pct"/>
            <w:noWrap w:val="0"/>
            <w:vAlign w:val="center"/>
          </w:tcPr>
          <w:p w14:paraId="4B0520CE">
            <w:pPr>
              <w:spacing w:line="360" w:lineRule="auto"/>
              <w:jc w:val="center"/>
              <w:rPr>
                <w:rFonts w:hint="eastAsia"/>
              </w:rPr>
            </w:pPr>
          </w:p>
        </w:tc>
      </w:tr>
      <w:tr w14:paraId="0976F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86" w:type="pct"/>
            <w:noWrap w:val="0"/>
            <w:vAlign w:val="center"/>
          </w:tcPr>
          <w:p w14:paraId="1D3DD021">
            <w:pPr>
              <w:adjustRightInd w:val="0"/>
              <w:snapToGrid w:val="0"/>
              <w:spacing w:line="360" w:lineRule="auto"/>
              <w:jc w:val="center"/>
              <w:rPr>
                <w:rFonts w:hint="eastAsia" w:ascii="宋体" w:hAnsi="宋体" w:eastAsia="宋体"/>
                <w:szCs w:val="21"/>
                <w:lang w:eastAsia="zh-CN"/>
              </w:rPr>
            </w:pPr>
            <w:r>
              <w:rPr>
                <w:rFonts w:hint="eastAsia" w:ascii="宋体" w:hAnsi="宋体"/>
                <w:szCs w:val="21"/>
                <w:lang w:val="en-US" w:eastAsia="zh-CN"/>
              </w:rPr>
              <w:t>7</w:t>
            </w:r>
          </w:p>
        </w:tc>
        <w:tc>
          <w:tcPr>
            <w:tcW w:w="1080" w:type="pct"/>
            <w:noWrap w:val="0"/>
            <w:vAlign w:val="center"/>
          </w:tcPr>
          <w:p w14:paraId="56151D62">
            <w:pPr>
              <w:spacing w:line="360" w:lineRule="auto"/>
              <w:jc w:val="center"/>
              <w:rPr>
                <w:rFonts w:hint="eastAsia" w:ascii="宋体" w:hAnsi="宋体"/>
                <w:szCs w:val="21"/>
              </w:rPr>
            </w:pPr>
            <w:r>
              <w:rPr>
                <w:rFonts w:hint="eastAsia" w:ascii="宋体" w:hAnsi="宋体"/>
                <w:szCs w:val="21"/>
              </w:rPr>
              <w:t>进口产品</w:t>
            </w:r>
          </w:p>
        </w:tc>
        <w:tc>
          <w:tcPr>
            <w:tcW w:w="1595" w:type="pct"/>
            <w:noWrap w:val="0"/>
            <w:vAlign w:val="center"/>
          </w:tcPr>
          <w:p w14:paraId="1BFD236B">
            <w:pPr>
              <w:spacing w:line="360" w:lineRule="auto"/>
              <w:jc w:val="left"/>
              <w:rPr>
                <w:rFonts w:hint="eastAsia"/>
              </w:rPr>
            </w:pPr>
            <w:r>
              <w:rPr>
                <w:rFonts w:hint="eastAsia" w:ascii="宋体" w:hAnsi="宋体"/>
                <w:szCs w:val="21"/>
              </w:rPr>
              <w:t>允许进口产品投标的，</w:t>
            </w:r>
            <w:r>
              <w:rPr>
                <w:rFonts w:hint="eastAsia"/>
                <w:kern w:val="52"/>
              </w:rPr>
              <w:t>进口产品按照财政部文件《关于政府采购进口产品管理有关问题的通知》（财办</w:t>
            </w:r>
            <w:r>
              <w:rPr>
                <w:rFonts w:hint="eastAsia" w:ascii="宋体" w:hAnsi="宋体"/>
                <w:kern w:val="52"/>
              </w:rPr>
              <w:t>库[2008]248号）</w:t>
            </w:r>
            <w:r>
              <w:rPr>
                <w:rFonts w:hint="eastAsia"/>
                <w:kern w:val="52"/>
              </w:rPr>
              <w:t>认定，整机设备内的元器件不做限制。</w:t>
            </w:r>
          </w:p>
        </w:tc>
        <w:tc>
          <w:tcPr>
            <w:tcW w:w="739" w:type="pct"/>
            <w:noWrap w:val="0"/>
            <w:vAlign w:val="center"/>
          </w:tcPr>
          <w:p w14:paraId="0B4BA9EB">
            <w:pPr>
              <w:adjustRightInd w:val="0"/>
              <w:snapToGrid w:val="0"/>
              <w:spacing w:line="360" w:lineRule="auto"/>
              <w:jc w:val="center"/>
              <w:rPr>
                <w:rFonts w:hint="eastAsia"/>
              </w:rPr>
            </w:pPr>
          </w:p>
        </w:tc>
        <w:tc>
          <w:tcPr>
            <w:tcW w:w="1197" w:type="pct"/>
            <w:noWrap w:val="0"/>
            <w:vAlign w:val="center"/>
          </w:tcPr>
          <w:p w14:paraId="0752B9B7">
            <w:pPr>
              <w:adjustRightInd w:val="0"/>
              <w:snapToGrid w:val="0"/>
              <w:spacing w:line="360" w:lineRule="auto"/>
              <w:jc w:val="center"/>
              <w:rPr>
                <w:rFonts w:hint="eastAsia"/>
              </w:rPr>
            </w:pPr>
          </w:p>
        </w:tc>
      </w:tr>
      <w:tr w14:paraId="1873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86" w:type="pct"/>
            <w:noWrap w:val="0"/>
            <w:vAlign w:val="center"/>
          </w:tcPr>
          <w:p w14:paraId="431EC982">
            <w:pPr>
              <w:adjustRightInd w:val="0"/>
              <w:snapToGrid w:val="0"/>
              <w:spacing w:line="360" w:lineRule="auto"/>
              <w:jc w:val="center"/>
              <w:rPr>
                <w:rFonts w:hint="eastAsia" w:ascii="宋体" w:hAnsi="宋体" w:eastAsia="宋体"/>
                <w:szCs w:val="21"/>
                <w:lang w:eastAsia="zh-CN"/>
              </w:rPr>
            </w:pPr>
            <w:r>
              <w:rPr>
                <w:rFonts w:hint="eastAsia" w:ascii="宋体" w:hAnsi="宋体"/>
                <w:szCs w:val="21"/>
                <w:lang w:val="en-US" w:eastAsia="zh-CN"/>
              </w:rPr>
              <w:t>8</w:t>
            </w:r>
          </w:p>
        </w:tc>
        <w:tc>
          <w:tcPr>
            <w:tcW w:w="1080" w:type="pct"/>
            <w:noWrap w:val="0"/>
            <w:vAlign w:val="center"/>
          </w:tcPr>
          <w:p w14:paraId="528866D1">
            <w:pPr>
              <w:spacing w:line="360" w:lineRule="auto"/>
              <w:jc w:val="center"/>
              <w:rPr>
                <w:rFonts w:hint="eastAsia" w:ascii="宋体" w:hAnsi="宋体"/>
                <w:szCs w:val="21"/>
              </w:rPr>
            </w:pPr>
            <w:r>
              <w:rPr>
                <w:rFonts w:hint="eastAsia" w:ascii="宋体" w:hAnsi="宋体"/>
                <w:szCs w:val="21"/>
              </w:rPr>
              <w:t>标书响应情况</w:t>
            </w:r>
          </w:p>
        </w:tc>
        <w:tc>
          <w:tcPr>
            <w:tcW w:w="1595" w:type="pct"/>
            <w:noWrap w:val="0"/>
            <w:vAlign w:val="center"/>
          </w:tcPr>
          <w:p w14:paraId="1002A8B0">
            <w:pPr>
              <w:spacing w:line="360" w:lineRule="auto"/>
              <w:jc w:val="center"/>
              <w:rPr>
                <w:rFonts w:hint="eastAsia"/>
              </w:rPr>
            </w:pPr>
            <w:r>
              <w:rPr>
                <w:rFonts w:hint="eastAsia"/>
              </w:rPr>
              <w:t>付款响应、供货及安装期限、质保期响应等符合招标文件要求。</w:t>
            </w:r>
          </w:p>
        </w:tc>
        <w:tc>
          <w:tcPr>
            <w:tcW w:w="739" w:type="pct"/>
            <w:noWrap w:val="0"/>
            <w:vAlign w:val="center"/>
          </w:tcPr>
          <w:p w14:paraId="502F01CD">
            <w:pPr>
              <w:spacing w:line="360" w:lineRule="auto"/>
              <w:jc w:val="center"/>
              <w:rPr>
                <w:rFonts w:hint="eastAsia"/>
              </w:rPr>
            </w:pPr>
          </w:p>
        </w:tc>
        <w:tc>
          <w:tcPr>
            <w:tcW w:w="1197" w:type="pct"/>
            <w:noWrap w:val="0"/>
            <w:vAlign w:val="center"/>
          </w:tcPr>
          <w:p w14:paraId="4D06E274">
            <w:pPr>
              <w:spacing w:line="360" w:lineRule="auto"/>
              <w:jc w:val="center"/>
              <w:rPr>
                <w:rFonts w:hint="eastAsia"/>
              </w:rPr>
            </w:pPr>
          </w:p>
        </w:tc>
      </w:tr>
      <w:tr w14:paraId="6822A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86" w:type="pct"/>
            <w:noWrap w:val="0"/>
            <w:vAlign w:val="center"/>
          </w:tcPr>
          <w:p w14:paraId="1804249D">
            <w:pPr>
              <w:adjustRightInd w:val="0"/>
              <w:snapToGrid w:val="0"/>
              <w:spacing w:line="360" w:lineRule="auto"/>
              <w:jc w:val="center"/>
              <w:rPr>
                <w:rFonts w:hint="eastAsia" w:ascii="宋体" w:hAnsi="宋体" w:eastAsia="宋体"/>
                <w:szCs w:val="21"/>
                <w:lang w:eastAsia="zh-CN"/>
              </w:rPr>
            </w:pPr>
            <w:r>
              <w:rPr>
                <w:rFonts w:hint="eastAsia" w:ascii="宋体" w:hAnsi="宋体"/>
                <w:szCs w:val="21"/>
                <w:lang w:val="en-US" w:eastAsia="zh-CN"/>
              </w:rPr>
              <w:t>9</w:t>
            </w:r>
          </w:p>
        </w:tc>
        <w:tc>
          <w:tcPr>
            <w:tcW w:w="1080" w:type="pct"/>
            <w:noWrap w:val="0"/>
            <w:vAlign w:val="center"/>
          </w:tcPr>
          <w:p w14:paraId="73FCDABA">
            <w:pPr>
              <w:spacing w:line="360" w:lineRule="auto"/>
              <w:jc w:val="center"/>
              <w:rPr>
                <w:rFonts w:ascii="宋体" w:hAnsi="宋体"/>
                <w:szCs w:val="21"/>
              </w:rPr>
            </w:pPr>
            <w:r>
              <w:rPr>
                <w:rFonts w:hint="eastAsia" w:ascii="宋体" w:hAnsi="宋体"/>
                <w:szCs w:val="21"/>
              </w:rPr>
              <w:t>硬件信息</w:t>
            </w:r>
          </w:p>
        </w:tc>
        <w:tc>
          <w:tcPr>
            <w:tcW w:w="1595" w:type="pct"/>
            <w:noWrap w:val="0"/>
            <w:vAlign w:val="center"/>
          </w:tcPr>
          <w:p w14:paraId="1DA27AC5">
            <w:pPr>
              <w:spacing w:line="360" w:lineRule="auto"/>
              <w:jc w:val="center"/>
            </w:pPr>
            <w:r>
              <w:rPr>
                <w:rFonts w:hint="eastAsia"/>
              </w:rPr>
              <w:t>符合投标供应商须知前附表第12.4条要求</w:t>
            </w:r>
          </w:p>
        </w:tc>
        <w:tc>
          <w:tcPr>
            <w:tcW w:w="739" w:type="pct"/>
            <w:noWrap w:val="0"/>
            <w:vAlign w:val="center"/>
          </w:tcPr>
          <w:p w14:paraId="04C313C8">
            <w:pPr>
              <w:spacing w:line="360" w:lineRule="auto"/>
              <w:jc w:val="center"/>
              <w:rPr>
                <w:rFonts w:hint="eastAsia"/>
              </w:rPr>
            </w:pPr>
          </w:p>
        </w:tc>
        <w:tc>
          <w:tcPr>
            <w:tcW w:w="1197" w:type="pct"/>
            <w:noWrap w:val="0"/>
            <w:vAlign w:val="center"/>
          </w:tcPr>
          <w:p w14:paraId="7B8A947E">
            <w:pPr>
              <w:spacing w:line="360" w:lineRule="auto"/>
              <w:jc w:val="center"/>
              <w:rPr>
                <w:rFonts w:hint="eastAsia"/>
              </w:rPr>
            </w:pPr>
          </w:p>
        </w:tc>
      </w:tr>
      <w:tr w14:paraId="4976B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86" w:type="pct"/>
            <w:noWrap w:val="0"/>
            <w:vAlign w:val="center"/>
          </w:tcPr>
          <w:p w14:paraId="3AA1CC84">
            <w:pPr>
              <w:adjustRightInd w:val="0"/>
              <w:snapToGrid w:val="0"/>
              <w:spacing w:line="360" w:lineRule="auto"/>
              <w:jc w:val="center"/>
              <w:rPr>
                <w:rFonts w:hint="eastAsia" w:ascii="宋体" w:hAnsi="宋体" w:eastAsia="宋体"/>
                <w:szCs w:val="21"/>
                <w:lang w:val="en-US" w:eastAsia="zh-CN"/>
              </w:rPr>
            </w:pPr>
            <w:r>
              <w:rPr>
                <w:rFonts w:hint="eastAsia" w:ascii="宋体" w:hAnsi="宋体"/>
                <w:szCs w:val="21"/>
              </w:rPr>
              <w:t>1</w:t>
            </w:r>
            <w:r>
              <w:rPr>
                <w:rFonts w:hint="eastAsia" w:ascii="宋体" w:hAnsi="宋体"/>
                <w:szCs w:val="21"/>
                <w:lang w:val="en-US" w:eastAsia="zh-CN"/>
              </w:rPr>
              <w:t>0</w:t>
            </w:r>
          </w:p>
        </w:tc>
        <w:tc>
          <w:tcPr>
            <w:tcW w:w="1080" w:type="pct"/>
            <w:noWrap w:val="0"/>
            <w:vAlign w:val="center"/>
          </w:tcPr>
          <w:p w14:paraId="0AC1ED79">
            <w:pPr>
              <w:spacing w:line="360" w:lineRule="auto"/>
              <w:jc w:val="center"/>
              <w:rPr>
                <w:rFonts w:hint="eastAsia" w:ascii="宋体" w:hAnsi="宋体"/>
                <w:szCs w:val="21"/>
              </w:rPr>
            </w:pPr>
            <w:r>
              <w:rPr>
                <w:rFonts w:hint="eastAsia" w:ascii="宋体" w:hAnsi="宋体"/>
                <w:szCs w:val="21"/>
              </w:rPr>
              <w:t>其他要求</w:t>
            </w:r>
          </w:p>
        </w:tc>
        <w:tc>
          <w:tcPr>
            <w:tcW w:w="1595" w:type="pct"/>
            <w:noWrap w:val="0"/>
            <w:vAlign w:val="center"/>
          </w:tcPr>
          <w:p w14:paraId="09379175">
            <w:pPr>
              <w:spacing w:line="360" w:lineRule="auto"/>
              <w:jc w:val="center"/>
              <w:rPr>
                <w:rFonts w:hint="eastAsia"/>
              </w:rPr>
            </w:pPr>
            <w:r>
              <w:rPr>
                <w:rFonts w:hint="eastAsia"/>
              </w:rPr>
              <w:t>法律、行政法规规定的其他条件或招标公告、招标文件列明的其他要求。</w:t>
            </w:r>
          </w:p>
        </w:tc>
        <w:tc>
          <w:tcPr>
            <w:tcW w:w="739" w:type="pct"/>
            <w:noWrap w:val="0"/>
            <w:vAlign w:val="center"/>
          </w:tcPr>
          <w:p w14:paraId="16218ED7">
            <w:pPr>
              <w:spacing w:line="360" w:lineRule="auto"/>
              <w:jc w:val="center"/>
              <w:rPr>
                <w:rFonts w:hint="eastAsia"/>
              </w:rPr>
            </w:pPr>
          </w:p>
        </w:tc>
        <w:tc>
          <w:tcPr>
            <w:tcW w:w="1197" w:type="pct"/>
            <w:noWrap w:val="0"/>
            <w:vAlign w:val="center"/>
          </w:tcPr>
          <w:p w14:paraId="04D0C9CD">
            <w:pPr>
              <w:spacing w:line="360" w:lineRule="auto"/>
              <w:jc w:val="center"/>
              <w:rPr>
                <w:rFonts w:hint="eastAsia"/>
              </w:rPr>
            </w:pPr>
            <w:r>
              <w:rPr>
                <w:rFonts w:hint="eastAsia"/>
              </w:rPr>
              <w:t>同一投标供应商不得提交两个以上不同的投标文件，但招标文件要求提交备选投标的除外</w:t>
            </w:r>
          </w:p>
        </w:tc>
      </w:tr>
      <w:tr w14:paraId="327F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000" w:type="pct"/>
            <w:gridSpan w:val="5"/>
            <w:noWrap w:val="0"/>
            <w:vAlign w:val="center"/>
          </w:tcPr>
          <w:p w14:paraId="11D2D557">
            <w:pPr>
              <w:adjustRightInd w:val="0"/>
              <w:snapToGrid w:val="0"/>
              <w:spacing w:line="360" w:lineRule="auto"/>
              <w:rPr>
                <w:rFonts w:hint="eastAsia" w:ascii="宋体" w:hAnsi="宋体"/>
                <w:szCs w:val="21"/>
              </w:rPr>
            </w:pPr>
            <w:r>
              <w:rPr>
                <w:rFonts w:hint="eastAsia" w:ascii="宋体" w:hAnsi="宋体"/>
                <w:szCs w:val="21"/>
              </w:rPr>
              <w:t>符合性审查指标通过标准：投标供应商必须通过上述全部指标。</w:t>
            </w:r>
          </w:p>
        </w:tc>
      </w:tr>
      <w:tr w14:paraId="06B4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000" w:type="pct"/>
            <w:gridSpan w:val="5"/>
            <w:noWrap w:val="0"/>
            <w:vAlign w:val="center"/>
          </w:tcPr>
          <w:p w14:paraId="0ED40677">
            <w:pPr>
              <w:adjustRightInd w:val="0"/>
              <w:snapToGrid w:val="0"/>
              <w:spacing w:line="360" w:lineRule="auto"/>
              <w:rPr>
                <w:rFonts w:hint="eastAsia" w:ascii="宋体" w:hAnsi="宋体"/>
                <w:szCs w:val="21"/>
              </w:rPr>
            </w:pPr>
            <w:r>
              <w:rPr>
                <w:rFonts w:hint="eastAsia" w:ascii="宋体" w:hAnsi="宋体"/>
                <w:szCs w:val="21"/>
              </w:rPr>
              <w:t>评委签字：</w:t>
            </w:r>
          </w:p>
          <w:p w14:paraId="7BC7FA19">
            <w:pPr>
              <w:adjustRightInd w:val="0"/>
              <w:snapToGrid w:val="0"/>
              <w:spacing w:line="360" w:lineRule="auto"/>
              <w:rPr>
                <w:rFonts w:hint="eastAsia" w:ascii="宋体" w:hAnsi="宋体"/>
                <w:szCs w:val="21"/>
              </w:rPr>
            </w:pPr>
            <w:r>
              <w:rPr>
                <w:rFonts w:hint="eastAsia" w:ascii="宋体" w:hAnsi="宋体"/>
                <w:szCs w:val="21"/>
              </w:rPr>
              <w:t>评审时间：</w:t>
            </w:r>
          </w:p>
        </w:tc>
      </w:tr>
      <w:tr w14:paraId="0BD5B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000" w:type="pct"/>
            <w:gridSpan w:val="5"/>
            <w:noWrap w:val="0"/>
            <w:vAlign w:val="center"/>
          </w:tcPr>
          <w:p w14:paraId="0CD29FFA">
            <w:pPr>
              <w:adjustRightInd w:val="0"/>
              <w:snapToGrid w:val="0"/>
              <w:spacing w:line="360" w:lineRule="auto"/>
              <w:rPr>
                <w:rFonts w:hint="eastAsia" w:ascii="宋体" w:hAnsi="宋体"/>
                <w:szCs w:val="21"/>
              </w:rPr>
            </w:pPr>
            <w:r>
              <w:rPr>
                <w:rFonts w:hint="eastAsia" w:ascii="宋体" w:hAnsi="宋体"/>
                <w:b/>
                <w:bCs/>
                <w:szCs w:val="21"/>
              </w:rPr>
              <w:t>注：无论何种原因，即使投标供应商开标时携带了证书材料的原件，但在投标文件中未提供与之内容完全一致的复制件的，评标委员会可以视同其未提供。</w:t>
            </w:r>
          </w:p>
        </w:tc>
      </w:tr>
    </w:tbl>
    <w:p w14:paraId="06ED2629">
      <w:pPr>
        <w:spacing w:line="408" w:lineRule="auto"/>
        <w:ind w:firstLine="420" w:firstLineChars="200"/>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2.异常低价投标审查</w:t>
      </w:r>
    </w:p>
    <w:tbl>
      <w:tblPr>
        <w:tblStyle w:val="23"/>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677"/>
        <w:gridCol w:w="5133"/>
        <w:gridCol w:w="2613"/>
      </w:tblGrid>
      <w:tr w14:paraId="55F50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954" w:type="dxa"/>
            <w:gridSpan w:val="4"/>
            <w:tcBorders>
              <w:bottom w:val="single" w:color="auto" w:sz="4" w:space="0"/>
            </w:tcBorders>
            <w:noWrap w:val="0"/>
            <w:vAlign w:val="center"/>
          </w:tcPr>
          <w:p w14:paraId="62B40011">
            <w:pPr>
              <w:keepNext w:val="0"/>
              <w:keepLines w:val="0"/>
              <w:pageBreakBefore w:val="0"/>
              <w:widowControl w:val="0"/>
              <w:kinsoku/>
              <w:wordWrap/>
              <w:overflowPunct/>
              <w:topLinePunct w:val="0"/>
              <w:autoSpaceDE/>
              <w:autoSpaceDN/>
              <w:bidi w:val="0"/>
              <w:adjustRightInd w:val="0"/>
              <w:snapToGrid w:val="0"/>
              <w:spacing w:line="240" w:lineRule="auto"/>
              <w:ind w:right="-11" w:rightChars="0"/>
              <w:jc w:val="center"/>
              <w:textAlignment w:val="auto"/>
              <w:rPr>
                <w:rFonts w:ascii="宋体" w:hAnsi="宋体" w:eastAsia="宋体"/>
                <w:sz w:val="21"/>
                <w:szCs w:val="21"/>
                <w:highlight w:val="none"/>
              </w:rPr>
            </w:pPr>
            <w:r>
              <w:rPr>
                <w:rFonts w:hint="eastAsia" w:ascii="宋体" w:hAnsi="宋体" w:eastAsia="宋体" w:cs="Times New Roman"/>
                <w:b/>
                <w:bCs/>
                <w:sz w:val="21"/>
                <w:szCs w:val="21"/>
                <w:highlight w:val="none"/>
                <w:lang w:val="en-US" w:eastAsia="zh-CN"/>
              </w:rPr>
              <w:t>异常低价投标审查表</w:t>
            </w:r>
          </w:p>
        </w:tc>
      </w:tr>
      <w:tr w14:paraId="1726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Borders>
              <w:bottom w:val="single" w:color="auto" w:sz="4" w:space="0"/>
            </w:tcBorders>
            <w:noWrap w:val="0"/>
            <w:vAlign w:val="center"/>
          </w:tcPr>
          <w:p w14:paraId="755F12B7">
            <w:pPr>
              <w:spacing w:line="360" w:lineRule="auto"/>
              <w:jc w:val="center"/>
              <w:rPr>
                <w:rFonts w:ascii="宋体" w:hAnsi="宋体" w:eastAsia="宋体"/>
                <w:sz w:val="21"/>
                <w:szCs w:val="21"/>
                <w:highlight w:val="none"/>
              </w:rPr>
            </w:pPr>
            <w:r>
              <w:rPr>
                <w:rFonts w:hint="eastAsia" w:ascii="宋体" w:hAnsi="宋体" w:eastAsia="宋体" w:cs="Times New Roman"/>
                <w:sz w:val="21"/>
                <w:szCs w:val="21"/>
                <w:highlight w:val="none"/>
                <w:lang w:val="en-US" w:eastAsia="zh-CN"/>
              </w:rPr>
              <w:t>序号</w:t>
            </w:r>
          </w:p>
        </w:tc>
        <w:tc>
          <w:tcPr>
            <w:tcW w:w="1450" w:type="dxa"/>
            <w:tcBorders>
              <w:bottom w:val="single" w:color="auto" w:sz="4" w:space="0"/>
            </w:tcBorders>
            <w:noWrap w:val="0"/>
            <w:vAlign w:val="center"/>
          </w:tcPr>
          <w:p w14:paraId="36FE2627">
            <w:pPr>
              <w:spacing w:line="360" w:lineRule="auto"/>
              <w:ind w:firstLine="210" w:firstLineChars="100"/>
              <w:jc w:val="center"/>
              <w:rPr>
                <w:rFonts w:ascii="宋体" w:hAnsi="宋体" w:eastAsia="宋体"/>
                <w:kern w:val="2"/>
                <w:sz w:val="21"/>
                <w:szCs w:val="21"/>
                <w:highlight w:val="none"/>
              </w:rPr>
            </w:pPr>
            <w:r>
              <w:rPr>
                <w:rFonts w:hint="eastAsia" w:ascii="宋体" w:hAnsi="宋体" w:eastAsia="宋体" w:cs="Times New Roman"/>
                <w:sz w:val="21"/>
                <w:szCs w:val="21"/>
                <w:highlight w:val="none"/>
                <w:lang w:val="en-US" w:eastAsia="zh-CN"/>
              </w:rPr>
              <w:t>评审指标</w:t>
            </w:r>
          </w:p>
        </w:tc>
        <w:tc>
          <w:tcPr>
            <w:tcW w:w="4439" w:type="dxa"/>
            <w:tcBorders>
              <w:bottom w:val="single" w:color="auto" w:sz="4" w:space="0"/>
            </w:tcBorders>
            <w:noWrap w:val="0"/>
            <w:vAlign w:val="center"/>
          </w:tcPr>
          <w:p w14:paraId="4D55B905">
            <w:pPr>
              <w:spacing w:line="360" w:lineRule="auto"/>
              <w:ind w:firstLine="210" w:firstLineChars="100"/>
              <w:jc w:val="center"/>
              <w:rPr>
                <w:rFonts w:ascii="宋体" w:hAnsi="宋体" w:eastAsia="宋体"/>
                <w:color w:val="auto"/>
                <w:sz w:val="21"/>
                <w:szCs w:val="21"/>
                <w:highlight w:val="none"/>
              </w:rPr>
            </w:pPr>
            <w:r>
              <w:rPr>
                <w:rFonts w:hint="eastAsia" w:ascii="宋体" w:hAnsi="宋体" w:eastAsia="宋体" w:cs="Times New Roman"/>
                <w:color w:val="auto"/>
                <w:sz w:val="21"/>
                <w:szCs w:val="21"/>
                <w:highlight w:val="none"/>
                <w:lang w:val="en-US" w:eastAsia="zh-CN"/>
              </w:rPr>
              <w:t>评审标准</w:t>
            </w:r>
          </w:p>
        </w:tc>
        <w:tc>
          <w:tcPr>
            <w:tcW w:w="2260" w:type="dxa"/>
            <w:tcBorders>
              <w:bottom w:val="single" w:color="auto" w:sz="4" w:space="0"/>
            </w:tcBorders>
            <w:noWrap w:val="0"/>
            <w:vAlign w:val="center"/>
          </w:tcPr>
          <w:p w14:paraId="7E1F9D0C">
            <w:pPr>
              <w:spacing w:line="360" w:lineRule="auto"/>
              <w:jc w:val="center"/>
              <w:rPr>
                <w:rFonts w:ascii="宋体" w:hAnsi="宋体" w:eastAsia="宋体"/>
                <w:sz w:val="21"/>
                <w:szCs w:val="21"/>
                <w:highlight w:val="none"/>
              </w:rPr>
            </w:pPr>
            <w:r>
              <w:rPr>
                <w:rFonts w:hint="eastAsia" w:ascii="宋体" w:hAnsi="宋体" w:eastAsia="宋体" w:cs="Times New Roman"/>
                <w:sz w:val="21"/>
                <w:szCs w:val="21"/>
                <w:highlight w:val="none"/>
                <w:lang w:val="en-US" w:eastAsia="zh-CN"/>
              </w:rPr>
              <w:t>格式及材料要求</w:t>
            </w:r>
          </w:p>
        </w:tc>
      </w:tr>
      <w:tr w14:paraId="4EF2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805" w:type="dxa"/>
            <w:tcBorders>
              <w:bottom w:val="single" w:color="auto" w:sz="4" w:space="0"/>
            </w:tcBorders>
            <w:noWrap w:val="0"/>
            <w:vAlign w:val="center"/>
          </w:tcPr>
          <w:p w14:paraId="4774BA52">
            <w:pPr>
              <w:spacing w:line="360" w:lineRule="auto"/>
              <w:ind w:firstLine="210" w:firstLineChars="1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p>
        </w:tc>
        <w:tc>
          <w:tcPr>
            <w:tcW w:w="1450" w:type="dxa"/>
            <w:tcBorders>
              <w:bottom w:val="single" w:color="auto" w:sz="4" w:space="0"/>
            </w:tcBorders>
            <w:noWrap w:val="0"/>
            <w:vAlign w:val="center"/>
          </w:tcPr>
          <w:p w14:paraId="5764C62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异常低价投标审查</w:t>
            </w:r>
          </w:p>
        </w:tc>
        <w:tc>
          <w:tcPr>
            <w:tcW w:w="4439" w:type="dxa"/>
            <w:tcBorders>
              <w:bottom w:val="single" w:color="auto" w:sz="4" w:space="0"/>
            </w:tcBorders>
            <w:noWrap w:val="0"/>
            <w:vAlign w:val="center"/>
          </w:tcPr>
          <w:p w14:paraId="198BF8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（1）投标报价＜全部通过符合性审查投标人投标报价平均值×</w:t>
            </w:r>
            <w:r>
              <w:rPr>
                <w:rFonts w:hint="eastAsia" w:ascii="宋体" w:hAnsi="宋体" w:cs="宋体"/>
                <w:b w:val="0"/>
                <w:bCs w:val="0"/>
                <w:i w:val="0"/>
                <w:iCs w:val="0"/>
                <w:color w:val="auto"/>
                <w:sz w:val="21"/>
                <w:szCs w:val="21"/>
                <w:highlight w:val="none"/>
                <w:u w:val="single"/>
                <w:lang w:val="en-US" w:eastAsia="zh-CN"/>
              </w:rPr>
              <w:t>65</w:t>
            </w:r>
            <w:r>
              <w:rPr>
                <w:rFonts w:hint="eastAsia" w:ascii="宋体" w:hAnsi="宋体" w:eastAsia="宋体" w:cs="宋体"/>
                <w:b w:val="0"/>
                <w:bCs w:val="0"/>
                <w:i w:val="0"/>
                <w:iCs w:val="0"/>
                <w:color w:val="auto"/>
                <w:sz w:val="21"/>
                <w:szCs w:val="21"/>
                <w:highlight w:val="none"/>
                <w:u w:val="single"/>
                <w:lang w:val="en-US" w:eastAsia="zh-CN"/>
              </w:rPr>
              <w:t>%</w:t>
            </w:r>
            <w:r>
              <w:rPr>
                <w:rFonts w:hint="eastAsia" w:ascii="宋体" w:hAnsi="宋体" w:eastAsia="宋体" w:cs="宋体"/>
                <w:b w:val="0"/>
                <w:bCs w:val="0"/>
                <w:i w:val="0"/>
                <w:iCs w:val="0"/>
                <w:color w:val="auto"/>
                <w:sz w:val="21"/>
                <w:szCs w:val="21"/>
                <w:highlight w:val="none"/>
                <w:u w:val="none"/>
                <w:lang w:val="en-US" w:eastAsia="zh-CN"/>
              </w:rPr>
              <w:t>；</w:t>
            </w:r>
          </w:p>
          <w:p w14:paraId="2EA03A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（2）投标报价＜通过符合性审查的次低报价投标人投标报价×</w:t>
            </w:r>
            <w:r>
              <w:rPr>
                <w:rFonts w:hint="eastAsia" w:ascii="宋体" w:hAnsi="宋体" w:cs="宋体"/>
                <w:b w:val="0"/>
                <w:bCs w:val="0"/>
                <w:i w:val="0"/>
                <w:iCs w:val="0"/>
                <w:color w:val="auto"/>
                <w:sz w:val="21"/>
                <w:szCs w:val="21"/>
                <w:highlight w:val="none"/>
                <w:u w:val="single"/>
                <w:lang w:val="en-US" w:eastAsia="zh-CN"/>
              </w:rPr>
              <w:t>65</w:t>
            </w:r>
            <w:r>
              <w:rPr>
                <w:rFonts w:hint="eastAsia" w:ascii="宋体" w:hAnsi="宋体" w:eastAsia="宋体" w:cs="宋体"/>
                <w:b w:val="0"/>
                <w:bCs w:val="0"/>
                <w:i w:val="0"/>
                <w:iCs w:val="0"/>
                <w:color w:val="auto"/>
                <w:sz w:val="21"/>
                <w:szCs w:val="21"/>
                <w:highlight w:val="none"/>
                <w:u w:val="single"/>
                <w:lang w:val="en-US" w:eastAsia="zh-CN"/>
              </w:rPr>
              <w:t>%</w:t>
            </w:r>
            <w:r>
              <w:rPr>
                <w:rFonts w:hint="eastAsia" w:ascii="宋体" w:hAnsi="宋体" w:eastAsia="宋体" w:cs="宋体"/>
                <w:b w:val="0"/>
                <w:bCs w:val="0"/>
                <w:i w:val="0"/>
                <w:iCs w:val="0"/>
                <w:color w:val="auto"/>
                <w:sz w:val="21"/>
                <w:szCs w:val="21"/>
                <w:highlight w:val="none"/>
                <w:u w:val="none"/>
                <w:lang w:val="en-US" w:eastAsia="zh-CN"/>
              </w:rPr>
              <w:t>；</w:t>
            </w:r>
          </w:p>
          <w:p w14:paraId="623DB7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（3）投标报价＜采购项目最高限价（</w:t>
            </w:r>
            <w:r>
              <w:rPr>
                <w:rFonts w:hint="eastAsia" w:ascii="宋体" w:hAnsi="宋体" w:eastAsia="宋体" w:cs="宋体"/>
                <w:b w:val="0"/>
                <w:bCs w:val="0"/>
                <w:color w:val="auto"/>
                <w:sz w:val="21"/>
                <w:szCs w:val="21"/>
                <w:highlight w:val="none"/>
                <w:lang w:val="en-US" w:eastAsia="zh-CN"/>
              </w:rPr>
              <w:t>如采购项目未设定最高限价的，以采购项目预算金额作为最高限价</w:t>
            </w:r>
            <w:r>
              <w:rPr>
                <w:rFonts w:hint="eastAsia" w:ascii="宋体" w:hAnsi="宋体" w:eastAsia="宋体" w:cs="宋体"/>
                <w:b w:val="0"/>
                <w:bCs w:val="0"/>
                <w:i w:val="0"/>
                <w:iCs w:val="0"/>
                <w:color w:val="auto"/>
                <w:sz w:val="21"/>
                <w:szCs w:val="21"/>
                <w:highlight w:val="none"/>
                <w:u w:val="none"/>
                <w:lang w:val="en-US" w:eastAsia="zh-CN"/>
              </w:rPr>
              <w:t>）×</w:t>
            </w:r>
            <w:r>
              <w:rPr>
                <w:rFonts w:hint="eastAsia" w:ascii="宋体" w:hAnsi="宋体" w:cs="宋体"/>
                <w:b w:val="0"/>
                <w:bCs w:val="0"/>
                <w:i w:val="0"/>
                <w:iCs w:val="0"/>
                <w:color w:val="auto"/>
                <w:sz w:val="21"/>
                <w:szCs w:val="21"/>
                <w:highlight w:val="none"/>
                <w:u w:val="single"/>
                <w:lang w:val="en-US" w:eastAsia="zh-CN"/>
              </w:rPr>
              <w:t>65</w:t>
            </w:r>
            <w:r>
              <w:rPr>
                <w:rFonts w:hint="eastAsia" w:ascii="宋体" w:hAnsi="宋体" w:eastAsia="宋体" w:cs="宋体"/>
                <w:b w:val="0"/>
                <w:bCs w:val="0"/>
                <w:i w:val="0"/>
                <w:iCs w:val="0"/>
                <w:color w:val="auto"/>
                <w:sz w:val="21"/>
                <w:szCs w:val="21"/>
                <w:highlight w:val="none"/>
                <w:u w:val="single"/>
                <w:lang w:val="en-US" w:eastAsia="zh-CN"/>
              </w:rPr>
              <w:t>%</w:t>
            </w:r>
            <w:r>
              <w:rPr>
                <w:rFonts w:hint="eastAsia" w:ascii="宋体" w:hAnsi="宋体" w:eastAsia="宋体" w:cs="宋体"/>
                <w:b w:val="0"/>
                <w:bCs w:val="0"/>
                <w:i w:val="0"/>
                <w:iCs w:val="0"/>
                <w:color w:val="auto"/>
                <w:sz w:val="21"/>
                <w:szCs w:val="21"/>
                <w:highlight w:val="none"/>
                <w:u w:val="none"/>
                <w:lang w:val="en-US" w:eastAsia="zh-CN"/>
              </w:rPr>
              <w:t>；</w:t>
            </w:r>
          </w:p>
          <w:p w14:paraId="35AAD5FD">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（4）评标委员会基于专业判断，认为投标人报价过低，有可能影响产品质量或者不能诚信履约的其他情形。</w:t>
            </w:r>
          </w:p>
          <w:p w14:paraId="3D081C73">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提醒：</w:t>
            </w:r>
          </w:p>
          <w:p w14:paraId="2D0752A6">
            <w:pPr>
              <w:pStyle w:val="7"/>
              <w:keepNext w:val="0"/>
              <w:keepLines w:val="0"/>
              <w:pageBreakBefore w:val="0"/>
              <w:widowControl w:val="0"/>
              <w:kinsoku/>
              <w:wordWrap/>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w:t>
            </w:r>
            <w:r>
              <w:rPr>
                <w:rFonts w:hint="eastAsia" w:ascii="宋体" w:hAnsi="宋体" w:eastAsia="宋体" w:cs="Arial"/>
                <w:color w:val="auto"/>
                <w:sz w:val="21"/>
                <w:szCs w:val="21"/>
                <w:highlight w:val="none"/>
                <w:lang w:val="en-US" w:eastAsia="zh-CN"/>
              </w:rPr>
              <w:t>第（1）项数值计算：涉及总价、单价的</w:t>
            </w:r>
            <w:r>
              <w:rPr>
                <w:rFonts w:hint="eastAsia" w:ascii="宋体" w:hAnsi="宋体" w:eastAsia="宋体"/>
                <w:color w:val="auto"/>
                <w:sz w:val="21"/>
                <w:szCs w:val="21"/>
                <w:highlight w:val="none"/>
                <w:lang w:val="en-US" w:eastAsia="zh-CN"/>
              </w:rPr>
              <w:t>精确到“分”并四舍五入，涉及费率的精确到小数点后两位，第三位四舍五入（例：如平均值为123.456元，即为123.46元；如平均值为80.126%，即为80.13%）。</w:t>
            </w:r>
          </w:p>
        </w:tc>
        <w:tc>
          <w:tcPr>
            <w:tcW w:w="2260" w:type="dxa"/>
            <w:noWrap w:val="0"/>
            <w:vAlign w:val="center"/>
          </w:tcPr>
          <w:p w14:paraId="199C4F10">
            <w:pPr>
              <w:spacing w:line="360" w:lineRule="auto"/>
              <w:ind w:firstLine="210" w:firstLineChars="1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投标人在评审现场合理的时间内对投标价格作出解释，提供项目具体成本测算等与报价合理性相关的书面说明及必要的证明材料，包括但不限于原材料成本、人工成本、制造费用等。</w:t>
            </w:r>
          </w:p>
        </w:tc>
      </w:tr>
    </w:tbl>
    <w:p w14:paraId="2B36E04F">
      <w:pPr>
        <w:spacing w:line="408"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注：</w:t>
      </w:r>
    </w:p>
    <w:p w14:paraId="50142830">
      <w:pPr>
        <w:spacing w:line="408"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根据《</w:t>
      </w:r>
      <w:r>
        <w:rPr>
          <w:rFonts w:hint="eastAsia" w:ascii="宋体" w:hAnsi="宋体" w:eastAsia="宋体" w:cs="Times New Roman"/>
          <w:szCs w:val="21"/>
          <w:highlight w:val="none"/>
          <w:lang w:val="en-US" w:eastAsia="zh-CN"/>
        </w:rPr>
        <w:t>关于推进解决政府采购异常低价问题的通知</w:t>
      </w:r>
      <w:r>
        <w:rPr>
          <w:rFonts w:hint="eastAsia" w:ascii="宋体" w:hAnsi="宋体" w:eastAsia="宋体" w:cs="Times New Roman"/>
          <w:szCs w:val="21"/>
          <w:highlight w:val="none"/>
        </w:rPr>
        <w:t>》（财库〔202</w:t>
      </w:r>
      <w:r>
        <w:rPr>
          <w:rFonts w:hint="eastAsia" w:ascii="宋体" w:hAnsi="宋体" w:eastAsia="宋体" w:cs="Times New Roman"/>
          <w:szCs w:val="21"/>
          <w:highlight w:val="none"/>
          <w:lang w:val="en-US" w:eastAsia="zh-CN"/>
        </w:rPr>
        <w:t>6</w:t>
      </w:r>
      <w:r>
        <w:rPr>
          <w:rFonts w:hint="eastAsia" w:ascii="宋体" w:hAnsi="宋体" w:eastAsia="宋体" w:cs="Times New Roman"/>
          <w:szCs w:val="21"/>
          <w:highlight w:val="none"/>
        </w:rPr>
        <w:t>〕</w:t>
      </w:r>
      <w:r>
        <w:rPr>
          <w:rFonts w:hint="eastAsia" w:ascii="宋体" w:hAnsi="宋体" w:eastAsia="宋体" w:cs="Times New Roman"/>
          <w:szCs w:val="21"/>
          <w:highlight w:val="none"/>
          <w:lang w:val="en-US" w:eastAsia="zh-CN"/>
        </w:rPr>
        <w:t>2</w:t>
      </w:r>
      <w:r>
        <w:rPr>
          <w:rFonts w:hint="eastAsia" w:ascii="宋体" w:hAnsi="宋体" w:eastAsia="宋体" w:cs="Times New Roman"/>
          <w:szCs w:val="21"/>
          <w:highlight w:val="none"/>
        </w:rPr>
        <w:t>号）</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采购人可以结合具体项目实际情况，提高上述评审标准第（1）项至第（3）项中的数值标准，但是最高不得超过65%。</w:t>
      </w:r>
    </w:p>
    <w:p w14:paraId="0D6A798B">
      <w:pPr>
        <w:spacing w:line="408" w:lineRule="auto"/>
        <w:ind w:firstLine="420" w:firstLineChars="20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评标委员会启动异常低价投标审查后，属于评审标准中第（1）项至第（4）项情形的，应当要求相关投标人在评审现场合理的时间内（不少于30分钟）对投标价格作出解释，提供项目具体成本测算等与报价合理性相关的书面说明及必要的证明材料，包括但不限于原材料成本、人工成本、制造费用等。其中，属于第（3）项情形，投标人已随投标文件一并提交相关书面说明及必要的证明材料的，在评审现场可不再重复提交。</w:t>
      </w:r>
    </w:p>
    <w:p w14:paraId="3CEFD665">
      <w:pPr>
        <w:spacing w:line="408" w:lineRule="auto"/>
        <w:ind w:firstLine="420" w:firstLineChars="20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7FCFA0B4">
      <w:pPr>
        <w:spacing w:line="408" w:lineRule="auto"/>
        <w:ind w:firstLine="420" w:firstLineChars="200"/>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评标委员会</w:t>
      </w:r>
      <w:r>
        <w:rPr>
          <w:rFonts w:hint="eastAsia" w:ascii="宋体" w:hAnsi="宋体" w:eastAsia="宋体" w:cs="Times New Roman"/>
          <w:szCs w:val="21"/>
          <w:highlight w:val="none"/>
        </w:rPr>
        <w:t>借助互联网等渠道查询相关信息的，应当严格遵守评审工作纪律，不得实施影响评审公正的行为</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异常低价响应审查的启动原因、审查意见和审查结果应当在评审报告中记录，并随</w:t>
      </w:r>
      <w:r>
        <w:rPr>
          <w:rFonts w:hint="eastAsia" w:ascii="宋体" w:hAnsi="宋体" w:eastAsia="宋体" w:cs="Times New Roman"/>
          <w:szCs w:val="21"/>
          <w:highlight w:val="none"/>
          <w:lang w:val="en-US" w:eastAsia="zh-CN"/>
        </w:rPr>
        <w:t>投标人</w:t>
      </w:r>
      <w:r>
        <w:rPr>
          <w:rFonts w:hint="eastAsia" w:ascii="宋体" w:hAnsi="宋体" w:eastAsia="宋体" w:cs="Times New Roman"/>
          <w:szCs w:val="21"/>
          <w:highlight w:val="none"/>
        </w:rPr>
        <w:t>提供的相关书面说明及证明材料，以及</w:t>
      </w:r>
      <w:r>
        <w:rPr>
          <w:rFonts w:hint="eastAsia" w:ascii="宋体" w:hAnsi="宋体" w:eastAsia="宋体" w:cs="Times New Roman"/>
          <w:szCs w:val="21"/>
          <w:highlight w:val="none"/>
          <w:lang w:val="en-US" w:eastAsia="zh-CN"/>
        </w:rPr>
        <w:t>评标委员会</w:t>
      </w:r>
      <w:r>
        <w:rPr>
          <w:rFonts w:hint="eastAsia" w:ascii="宋体" w:hAnsi="宋体" w:eastAsia="宋体" w:cs="Times New Roman"/>
          <w:szCs w:val="21"/>
          <w:highlight w:val="none"/>
        </w:rPr>
        <w:t>有关互联网浏览、查询历史一并归档。</w:t>
      </w:r>
    </w:p>
    <w:p w14:paraId="1E09D6D2">
      <w:pPr>
        <w:spacing w:line="408" w:lineRule="auto"/>
        <w:ind w:firstLine="422" w:firstLineChars="200"/>
        <w:rPr>
          <w:rFonts w:hint="eastAsia" w:ascii="宋体" w:hAnsi="宋体"/>
          <w:color w:val="auto"/>
          <w:szCs w:val="21"/>
          <w:highlight w:val="none"/>
        </w:rPr>
      </w:pPr>
      <w:r>
        <w:rPr>
          <w:rFonts w:hint="eastAsia" w:ascii="宋体" w:hAnsi="宋体"/>
          <w:b/>
          <w:bCs/>
          <w:color w:val="auto"/>
          <w:szCs w:val="21"/>
          <w:highlight w:val="none"/>
          <w:lang w:val="en-US" w:eastAsia="zh-CN"/>
        </w:rPr>
        <w:t>3</w:t>
      </w:r>
      <w:r>
        <w:rPr>
          <w:rFonts w:hint="eastAsia" w:ascii="宋体" w:hAnsi="宋体"/>
          <w:b/>
          <w:bCs/>
          <w:color w:val="auto"/>
          <w:szCs w:val="21"/>
          <w:highlight w:val="none"/>
        </w:rPr>
        <w:t>.对投标文件进行详细评审。</w:t>
      </w:r>
      <w:r>
        <w:rPr>
          <w:rFonts w:hint="eastAsia" w:ascii="宋体" w:hAnsi="宋体"/>
          <w:color w:val="auto"/>
          <w:szCs w:val="21"/>
          <w:highlight w:val="none"/>
        </w:rPr>
        <w:t>评标委员会只对通过符合性审查</w:t>
      </w:r>
      <w:r>
        <w:rPr>
          <w:rFonts w:hint="eastAsia" w:ascii="宋体" w:hAnsi="宋体"/>
          <w:color w:val="auto"/>
          <w:szCs w:val="21"/>
          <w:highlight w:val="none"/>
          <w:lang w:val="en-US" w:eastAsia="zh-CN"/>
        </w:rPr>
        <w:t>和异常低价投标审查</w:t>
      </w:r>
      <w:r>
        <w:rPr>
          <w:rFonts w:hint="eastAsia" w:ascii="宋体" w:hAnsi="宋体"/>
          <w:color w:val="auto"/>
          <w:szCs w:val="21"/>
          <w:highlight w:val="none"/>
        </w:rPr>
        <w:t>，实质上响应招标文件要求的投标文件按照下述指标表进行详审。</w:t>
      </w:r>
      <w:r>
        <w:rPr>
          <w:rFonts w:hint="eastAsia" w:ascii="宋体" w:hAnsi="宋体"/>
          <w:bCs/>
          <w:color w:val="auto"/>
          <w:szCs w:val="21"/>
          <w:highlight w:val="none"/>
        </w:rPr>
        <w:t>评委会对投标供应商某项</w:t>
      </w:r>
      <w:r>
        <w:rPr>
          <w:rFonts w:hint="eastAsia" w:ascii="宋体" w:hAnsi="宋体"/>
          <w:color w:val="auto"/>
          <w:szCs w:val="21"/>
          <w:highlight w:val="none"/>
        </w:rPr>
        <w:t>符合性审查</w:t>
      </w:r>
      <w:r>
        <w:rPr>
          <w:rFonts w:hint="eastAsia" w:ascii="宋体" w:hAnsi="宋体"/>
          <w:bCs/>
          <w:color w:val="auto"/>
          <w:szCs w:val="21"/>
          <w:highlight w:val="none"/>
        </w:rPr>
        <w:t>指标</w:t>
      </w:r>
      <w:r>
        <w:rPr>
          <w:rFonts w:hint="eastAsia" w:ascii="宋体" w:hAnsi="宋体"/>
          <w:color w:val="auto"/>
          <w:szCs w:val="21"/>
          <w:highlight w:val="none"/>
          <w:lang w:val="en-US" w:eastAsia="zh-CN"/>
        </w:rPr>
        <w:t>或异常低价投标审查</w:t>
      </w:r>
      <w:r>
        <w:rPr>
          <w:rFonts w:hint="eastAsia" w:ascii="宋体" w:hAnsi="宋体"/>
          <w:bCs/>
          <w:color w:val="auto"/>
          <w:szCs w:val="21"/>
          <w:highlight w:val="none"/>
        </w:rPr>
        <w:t>如有不</w:t>
      </w:r>
      <w:r>
        <w:rPr>
          <w:rFonts w:hint="eastAsia" w:ascii="宋体" w:hAnsi="宋体"/>
          <w:color w:val="auto"/>
          <w:szCs w:val="21"/>
          <w:highlight w:val="none"/>
        </w:rPr>
        <w:t>同意见，按照少数服从多数的原则，确定该项指标是否通过。</w:t>
      </w:r>
    </w:p>
    <w:p w14:paraId="1B0EA685">
      <w:pPr>
        <w:spacing w:line="408" w:lineRule="auto"/>
        <w:ind w:firstLine="420" w:firstLineChars="200"/>
        <w:rPr>
          <w:rFonts w:hint="eastAsia" w:ascii="宋体" w:hAnsi="宋体"/>
          <w:szCs w:val="21"/>
          <w:highlight w:val="none"/>
        </w:rPr>
      </w:pPr>
      <w:r>
        <w:rPr>
          <w:rFonts w:hint="eastAsia" w:ascii="宋体" w:hAnsi="宋体"/>
          <w:szCs w:val="21"/>
          <w:highlight w:val="none"/>
        </w:rPr>
        <w:t>本项目综合评分满分为100分，其中：</w:t>
      </w:r>
      <w:r>
        <w:rPr>
          <w:rFonts w:hint="eastAsia" w:ascii="宋体" w:hAnsi="宋体"/>
          <w:b/>
          <w:bCs/>
          <w:szCs w:val="21"/>
          <w:highlight w:val="none"/>
        </w:rPr>
        <w:t>技术资信分值占总分值的权重为</w:t>
      </w:r>
      <w:r>
        <w:rPr>
          <w:rFonts w:hint="eastAsia" w:ascii="宋体" w:hAnsi="宋体"/>
          <w:b/>
          <w:bCs/>
          <w:szCs w:val="21"/>
          <w:highlight w:val="none"/>
          <w:u w:val="single"/>
          <w:lang w:val="en-US" w:eastAsia="zh-CN"/>
        </w:rPr>
        <w:t>60</w:t>
      </w:r>
      <w:r>
        <w:rPr>
          <w:rFonts w:hint="eastAsia" w:ascii="宋体" w:hAnsi="宋体"/>
          <w:b/>
          <w:bCs/>
          <w:szCs w:val="21"/>
          <w:highlight w:val="none"/>
        </w:rPr>
        <w:t>%，价格分值占总分值的权重为</w:t>
      </w:r>
      <w:r>
        <w:rPr>
          <w:rFonts w:hint="eastAsia" w:ascii="宋体" w:hAnsi="宋体"/>
          <w:b/>
          <w:bCs/>
          <w:szCs w:val="21"/>
          <w:highlight w:val="none"/>
          <w:u w:val="single"/>
          <w:lang w:val="en-US" w:eastAsia="zh-CN"/>
        </w:rPr>
        <w:t>40</w:t>
      </w:r>
      <w:r>
        <w:rPr>
          <w:rFonts w:hint="eastAsia" w:ascii="宋体" w:hAnsi="宋体"/>
          <w:b/>
          <w:bCs/>
          <w:szCs w:val="21"/>
          <w:highlight w:val="none"/>
        </w:rPr>
        <w:t>%</w:t>
      </w:r>
      <w:r>
        <w:rPr>
          <w:rFonts w:hint="eastAsia" w:ascii="宋体" w:hAnsi="宋体"/>
          <w:szCs w:val="21"/>
          <w:highlight w:val="none"/>
        </w:rPr>
        <w:t>。具体评分细则如下：</w:t>
      </w:r>
    </w:p>
    <w:tbl>
      <w:tblPr>
        <w:tblStyle w:val="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38"/>
        <w:gridCol w:w="1760"/>
        <w:gridCol w:w="4370"/>
        <w:gridCol w:w="2086"/>
      </w:tblGrid>
      <w:tr w14:paraId="6ADB4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noWrap w:val="0"/>
            <w:vAlign w:val="center"/>
          </w:tcPr>
          <w:p w14:paraId="793C8154">
            <w:pPr>
              <w:snapToGrid w:val="0"/>
              <w:spacing w:line="360" w:lineRule="auto"/>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条款号</w:t>
            </w:r>
          </w:p>
        </w:tc>
        <w:tc>
          <w:tcPr>
            <w:tcW w:w="893" w:type="pct"/>
            <w:noWrap w:val="0"/>
            <w:vAlign w:val="center"/>
          </w:tcPr>
          <w:p w14:paraId="2B3197C4">
            <w:pPr>
              <w:snapToGrid w:val="0"/>
              <w:spacing w:line="360" w:lineRule="auto"/>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条款内容</w:t>
            </w:r>
          </w:p>
        </w:tc>
        <w:tc>
          <w:tcPr>
            <w:tcW w:w="3275" w:type="pct"/>
            <w:gridSpan w:val="2"/>
            <w:noWrap w:val="0"/>
            <w:vAlign w:val="center"/>
          </w:tcPr>
          <w:p w14:paraId="2F3F31C5">
            <w:pPr>
              <w:widowControl/>
              <w:snapToGrid w:val="0"/>
              <w:spacing w:line="360" w:lineRule="auto"/>
              <w:jc w:val="center"/>
              <w:rPr>
                <w:rFonts w:hint="eastAsia" w:ascii="宋体" w:hAnsi="宋体" w:eastAsia="宋体" w:cs="宋体"/>
                <w:b/>
                <w:kern w:val="0"/>
                <w:sz w:val="21"/>
                <w:szCs w:val="21"/>
                <w:highlight w:val="none"/>
              </w:rPr>
            </w:pPr>
            <w:r>
              <w:rPr>
                <w:rFonts w:hint="eastAsia" w:ascii="宋体" w:hAnsi="宋体" w:eastAsia="宋体" w:cs="宋体"/>
                <w:b/>
                <w:color w:val="000000"/>
                <w:sz w:val="21"/>
                <w:szCs w:val="21"/>
                <w:highlight w:val="none"/>
              </w:rPr>
              <w:t>编列内容</w:t>
            </w:r>
          </w:p>
        </w:tc>
      </w:tr>
      <w:tr w14:paraId="4AA92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noWrap w:val="0"/>
            <w:vAlign w:val="center"/>
          </w:tcPr>
          <w:p w14:paraId="471783AF">
            <w:pPr>
              <w:widowControl/>
              <w:snapToGrid w:val="0"/>
              <w:spacing w:line="360" w:lineRule="auto"/>
              <w:jc w:val="center"/>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3.2.1</w:t>
            </w:r>
          </w:p>
        </w:tc>
        <w:tc>
          <w:tcPr>
            <w:tcW w:w="893" w:type="pct"/>
            <w:noWrap w:val="0"/>
            <w:vAlign w:val="center"/>
          </w:tcPr>
          <w:p w14:paraId="2B326EDE">
            <w:pPr>
              <w:snapToGrid w:val="0"/>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分值构成</w:t>
            </w:r>
          </w:p>
          <w:p w14:paraId="1AAD339F">
            <w:pPr>
              <w:snapToGrid w:val="0"/>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（总分100分）</w:t>
            </w:r>
          </w:p>
        </w:tc>
        <w:tc>
          <w:tcPr>
            <w:tcW w:w="3275" w:type="pct"/>
            <w:gridSpan w:val="2"/>
            <w:noWrap w:val="0"/>
            <w:vAlign w:val="center"/>
          </w:tcPr>
          <w:p w14:paraId="17370519">
            <w:pPr>
              <w:snapToGrid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技术资信部分：</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6</w:t>
            </w:r>
            <w:r>
              <w:rPr>
                <w:rFonts w:hint="eastAsia" w:ascii="宋体" w:hAnsi="宋体" w:eastAsia="宋体" w:cs="宋体"/>
                <w:color w:val="000000"/>
                <w:sz w:val="21"/>
                <w:szCs w:val="21"/>
                <w:highlight w:val="none"/>
                <w:u w:val="single"/>
                <w:lang w:val="en-US" w:eastAsia="zh-CN"/>
              </w:rPr>
              <w:t>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分</w:t>
            </w:r>
          </w:p>
          <w:p w14:paraId="5E008F8E">
            <w:pPr>
              <w:snapToGrid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投标报价</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u w:val="single"/>
                <w:lang w:val="en-US" w:eastAsia="zh-CN"/>
              </w:rPr>
              <w:t>4</w:t>
            </w:r>
            <w:r>
              <w:rPr>
                <w:rFonts w:hint="eastAsia" w:ascii="宋体" w:hAnsi="宋体" w:eastAsia="宋体" w:cs="宋体"/>
                <w:color w:val="000000"/>
                <w:sz w:val="21"/>
                <w:szCs w:val="21"/>
                <w:highlight w:val="none"/>
                <w:u w:val="single"/>
                <w:lang w:val="en-US" w:eastAsia="zh-CN"/>
              </w:rPr>
              <w:t>0</w:t>
            </w:r>
            <w:r>
              <w:rPr>
                <w:rFonts w:hint="eastAsia" w:ascii="宋体" w:hAnsi="宋体" w:eastAsia="宋体" w:cs="宋体"/>
                <w:color w:val="000000"/>
                <w:sz w:val="21"/>
                <w:szCs w:val="21"/>
                <w:highlight w:val="none"/>
              </w:rPr>
              <w:t>分</w:t>
            </w:r>
          </w:p>
        </w:tc>
      </w:tr>
      <w:tr w14:paraId="05CBB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2" w:hRule="atLeast"/>
        </w:trPr>
        <w:tc>
          <w:tcPr>
            <w:tcW w:w="831" w:type="pct"/>
            <w:noWrap w:val="0"/>
            <w:vAlign w:val="center"/>
          </w:tcPr>
          <w:p w14:paraId="4D651D5A">
            <w:pPr>
              <w:widowControl/>
              <w:snapToGrid w:val="0"/>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3.2.2</w:t>
            </w:r>
          </w:p>
        </w:tc>
        <w:tc>
          <w:tcPr>
            <w:tcW w:w="893" w:type="pct"/>
            <w:noWrap w:val="0"/>
            <w:vAlign w:val="center"/>
          </w:tcPr>
          <w:p w14:paraId="4E2C93F9">
            <w:pPr>
              <w:snapToGrid w:val="0"/>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评标基准价计算方法</w:t>
            </w:r>
          </w:p>
        </w:tc>
        <w:tc>
          <w:tcPr>
            <w:tcW w:w="3275" w:type="pct"/>
            <w:gridSpan w:val="2"/>
            <w:noWrap w:val="0"/>
            <w:vAlign w:val="center"/>
          </w:tcPr>
          <w:p w14:paraId="5F99A2BC">
            <w:pPr>
              <w:snapToGrid w:val="0"/>
              <w:spacing w:line="360" w:lineRule="auto"/>
              <w:rPr>
                <w:rFonts w:hint="eastAsia" w:ascii="宋体" w:hAnsi="宋体" w:eastAsia="宋体" w:cs="宋体"/>
                <w:color w:val="000000"/>
                <w:sz w:val="21"/>
                <w:szCs w:val="21"/>
              </w:rPr>
            </w:pPr>
            <w:r>
              <w:rPr>
                <w:rFonts w:hint="eastAsia" w:ascii="宋体" w:hAnsi="宋体" w:eastAsia="宋体" w:cs="宋体"/>
                <w:sz w:val="21"/>
                <w:szCs w:val="21"/>
                <w:lang w:val="zh-CN"/>
              </w:rPr>
              <w:t>1）投标报价不得超过采购预算（最高限价），</w:t>
            </w:r>
            <w:r>
              <w:rPr>
                <w:rFonts w:hint="eastAsia" w:ascii="宋体" w:hAnsi="宋体" w:eastAsia="宋体" w:cs="宋体"/>
                <w:sz w:val="21"/>
                <w:szCs w:val="21"/>
              </w:rPr>
              <w:t>只能有一个有效报价，不得提交选择性报价（按招标文件规定提交备选投标方案的除外）；</w:t>
            </w:r>
          </w:p>
          <w:p w14:paraId="2BF70CFD">
            <w:pPr>
              <w:snapToGrid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2）有效的投标报价中的最低价作为评标基准价</w:t>
            </w:r>
          </w:p>
        </w:tc>
      </w:tr>
      <w:tr w14:paraId="684B0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noWrap w:val="0"/>
            <w:vAlign w:val="center"/>
          </w:tcPr>
          <w:p w14:paraId="5CA8C98B">
            <w:pPr>
              <w:snapToGrid w:val="0"/>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类别</w:t>
            </w:r>
          </w:p>
        </w:tc>
        <w:tc>
          <w:tcPr>
            <w:tcW w:w="893" w:type="pct"/>
            <w:noWrap w:val="0"/>
            <w:vAlign w:val="center"/>
          </w:tcPr>
          <w:p w14:paraId="44BC4D4A">
            <w:pPr>
              <w:snapToGrid w:val="0"/>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评分因素</w:t>
            </w:r>
          </w:p>
        </w:tc>
        <w:tc>
          <w:tcPr>
            <w:tcW w:w="3275" w:type="pct"/>
            <w:gridSpan w:val="2"/>
            <w:noWrap w:val="0"/>
            <w:vAlign w:val="center"/>
          </w:tcPr>
          <w:p w14:paraId="6BEA7701">
            <w:pPr>
              <w:widowControl/>
              <w:snapToGrid w:val="0"/>
              <w:spacing w:line="360" w:lineRule="auto"/>
              <w:jc w:val="center"/>
              <w:rPr>
                <w:rFonts w:hint="eastAsia" w:ascii="宋体" w:hAnsi="宋体" w:eastAsia="宋体" w:cs="宋体"/>
                <w:b/>
                <w:kern w:val="0"/>
                <w:sz w:val="21"/>
                <w:szCs w:val="21"/>
              </w:rPr>
            </w:pPr>
            <w:r>
              <w:rPr>
                <w:rFonts w:hint="eastAsia" w:ascii="宋体" w:hAnsi="宋体" w:eastAsia="宋体" w:cs="宋体"/>
                <w:b/>
                <w:color w:val="000000"/>
                <w:sz w:val="21"/>
                <w:szCs w:val="21"/>
              </w:rPr>
              <w:t>评分标准</w:t>
            </w:r>
          </w:p>
        </w:tc>
      </w:tr>
      <w:tr w14:paraId="2D6EF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vMerge w:val="restart"/>
            <w:noWrap w:val="0"/>
            <w:vAlign w:val="center"/>
          </w:tcPr>
          <w:p w14:paraId="64FC5B9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技术资信分</w:t>
            </w:r>
          </w:p>
          <w:p w14:paraId="438FF388">
            <w:pPr>
              <w:widowControl/>
              <w:snapToGrid w:val="0"/>
              <w:spacing w:line="360" w:lineRule="auto"/>
              <w:jc w:val="center"/>
              <w:rPr>
                <w:rFonts w:hint="eastAsia" w:ascii="宋体" w:hAnsi="宋体" w:eastAsia="宋体" w:cs="宋体"/>
                <w:kern w:val="0"/>
                <w:sz w:val="21"/>
                <w:szCs w:val="21"/>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xml:space="preserve">0 </w:t>
            </w:r>
            <w:r>
              <w:rPr>
                <w:rFonts w:hint="eastAsia" w:ascii="宋体" w:hAnsi="宋体" w:eastAsia="宋体" w:cs="宋体"/>
                <w:color w:val="auto"/>
                <w:sz w:val="21"/>
                <w:szCs w:val="21"/>
                <w:highlight w:val="none"/>
              </w:rPr>
              <w:t>分</w:t>
            </w:r>
            <w:r>
              <w:rPr>
                <w:rFonts w:hint="eastAsia" w:ascii="宋体" w:hAnsi="宋体" w:eastAsia="宋体" w:cs="宋体"/>
                <w:sz w:val="21"/>
                <w:szCs w:val="21"/>
              </w:rPr>
              <w:t>）</w:t>
            </w:r>
          </w:p>
        </w:tc>
        <w:tc>
          <w:tcPr>
            <w:tcW w:w="893" w:type="pct"/>
            <w:vMerge w:val="restart"/>
            <w:noWrap w:val="0"/>
            <w:vAlign w:val="center"/>
          </w:tcPr>
          <w:p w14:paraId="45CE2123">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产品的技术参数（</w:t>
            </w:r>
            <w:r>
              <w:rPr>
                <w:rFonts w:hint="eastAsia" w:ascii="宋体" w:hAnsi="宋体" w:cs="宋体"/>
                <w:b w:val="0"/>
                <w:bCs w:val="0"/>
                <w:color w:val="auto"/>
                <w:sz w:val="21"/>
                <w:szCs w:val="21"/>
                <w:highlight w:val="none"/>
                <w:lang w:val="en-US" w:eastAsia="zh-CN"/>
              </w:rPr>
              <w:t>35</w:t>
            </w:r>
            <w:r>
              <w:rPr>
                <w:rFonts w:hint="eastAsia" w:ascii="宋体" w:hAnsi="宋体" w:eastAsia="宋体" w:cs="宋体"/>
                <w:b w:val="0"/>
                <w:bCs w:val="0"/>
                <w:color w:val="auto"/>
                <w:sz w:val="21"/>
                <w:szCs w:val="21"/>
                <w:highlight w:val="none"/>
              </w:rPr>
              <w:t>分）</w:t>
            </w:r>
          </w:p>
        </w:tc>
        <w:tc>
          <w:tcPr>
            <w:tcW w:w="3275" w:type="pct"/>
            <w:gridSpan w:val="2"/>
            <w:noWrap w:val="0"/>
            <w:vAlign w:val="center"/>
          </w:tcPr>
          <w:p w14:paraId="11D36048">
            <w:pPr>
              <w:spacing w:line="360" w:lineRule="auto"/>
              <w:outlineLvl w:val="2"/>
              <w:rPr>
                <w:rFonts w:hint="eastAsia" w:ascii="Times New Roman" w:hAnsi="Times New Roman" w:cs="Times New Roman"/>
                <w:b w:val="0"/>
                <w:bCs w:val="0"/>
                <w:highlight w:val="none"/>
              </w:rPr>
            </w:pPr>
            <w:r>
              <w:rPr>
                <w:rFonts w:hint="eastAsia" w:ascii="宋体" w:hAnsi="宋体" w:eastAsia="宋体" w:cs="宋体"/>
                <w:b/>
                <w:bCs/>
                <w:kern w:val="2"/>
                <w:sz w:val="28"/>
                <w:szCs w:val="28"/>
                <w:lang w:val="en-US" w:eastAsia="zh-CN" w:bidi="ar-SA"/>
              </w:rPr>
              <w:t>第三包：负压真空干燥柜</w:t>
            </w:r>
            <w:r>
              <w:rPr>
                <w:rFonts w:hint="eastAsia" w:ascii="宋体" w:hAnsi="宋体" w:cs="宋体"/>
                <w:b/>
                <w:bCs/>
                <w:kern w:val="2"/>
                <w:sz w:val="28"/>
                <w:szCs w:val="28"/>
                <w:lang w:val="en-US" w:eastAsia="zh-CN" w:bidi="ar-SA"/>
              </w:rPr>
              <w:t>：</w:t>
            </w:r>
          </w:p>
          <w:p w14:paraId="3CFC6B73">
            <w:pPr>
              <w:rPr>
                <w:rFonts w:hint="eastAsia" w:ascii="Times New Roman" w:hAnsi="Times New Roman" w:cs="Times New Roman"/>
                <w:b w:val="0"/>
                <w:bCs w:val="0"/>
                <w:highlight w:val="none"/>
              </w:rPr>
            </w:pPr>
            <w:r>
              <w:rPr>
                <w:rFonts w:hint="eastAsia" w:ascii="Times New Roman" w:hAnsi="Times New Roman" w:cs="Times New Roman"/>
                <w:b w:val="0"/>
                <w:bCs w:val="0"/>
                <w:highlight w:val="none"/>
              </w:rPr>
              <w:t>《第三章采购需求》中</w:t>
            </w:r>
            <w:r>
              <w:rPr>
                <w:rFonts w:hint="eastAsia" w:ascii="Times New Roman" w:hAnsi="Times New Roman" w:cs="Times New Roman"/>
                <w:b/>
                <w:bCs/>
                <w:highlight w:val="none"/>
                <w:u w:val="single"/>
                <w:lang w:val="en-US" w:eastAsia="zh-CN"/>
              </w:rPr>
              <w:t>三、技术参数及要求</w:t>
            </w:r>
            <w:r>
              <w:rPr>
                <w:rFonts w:hint="eastAsia" w:ascii="Times New Roman" w:hAnsi="Times New Roman" w:cs="Times New Roman"/>
                <w:b w:val="0"/>
                <w:bCs w:val="0"/>
                <w:highlight w:val="none"/>
              </w:rPr>
              <w:t>评审明细如下：</w:t>
            </w:r>
          </w:p>
          <w:p w14:paraId="6BB326C4">
            <w:pPr>
              <w:rPr>
                <w:rFonts w:hint="eastAsia"/>
                <w:b w:val="0"/>
                <w:bCs w:val="0"/>
                <w:highlight w:val="none"/>
              </w:rPr>
            </w:pPr>
            <w:r>
              <w:rPr>
                <w:rFonts w:hint="eastAsia"/>
                <w:b w:val="0"/>
                <w:bCs w:val="0"/>
                <w:highlight w:val="none"/>
              </w:rPr>
              <w:t>（1）标注“★”条款的技术指标为重要技术参数，每满足（或优于）一项，</w:t>
            </w:r>
            <w:r>
              <w:rPr>
                <w:rFonts w:hint="eastAsia"/>
                <w:b w:val="0"/>
                <w:bCs w:val="0"/>
                <w:color w:val="auto"/>
                <w:highlight w:val="none"/>
              </w:rPr>
              <w:t>得</w:t>
            </w:r>
            <w:r>
              <w:rPr>
                <w:rFonts w:hint="eastAsia"/>
                <w:b w:val="0"/>
                <w:bCs w:val="0"/>
                <w:color w:val="auto"/>
                <w:highlight w:val="none"/>
                <w:lang w:val="en-US" w:eastAsia="zh-CN"/>
              </w:rPr>
              <w:t>4</w:t>
            </w:r>
            <w:r>
              <w:rPr>
                <w:rFonts w:hint="eastAsia"/>
                <w:b w:val="0"/>
                <w:bCs w:val="0"/>
                <w:color w:val="auto"/>
                <w:highlight w:val="none"/>
              </w:rPr>
              <w:t xml:space="preserve">分，共 </w:t>
            </w:r>
            <w:r>
              <w:rPr>
                <w:rFonts w:hint="eastAsia"/>
                <w:b w:val="0"/>
                <w:bCs w:val="0"/>
                <w:color w:val="auto"/>
                <w:highlight w:val="none"/>
                <w:lang w:val="en-US" w:eastAsia="zh-CN"/>
              </w:rPr>
              <w:t>7</w:t>
            </w:r>
            <w:r>
              <w:rPr>
                <w:rFonts w:hint="eastAsia"/>
                <w:b w:val="0"/>
                <w:bCs w:val="0"/>
                <w:color w:val="auto"/>
                <w:highlight w:val="none"/>
              </w:rPr>
              <w:t>项</w:t>
            </w:r>
            <w:r>
              <w:rPr>
                <w:rFonts w:hint="eastAsia"/>
                <w:b w:val="0"/>
                <w:bCs w:val="0"/>
                <w:color w:val="auto"/>
                <w:highlight w:val="none"/>
                <w:lang w:eastAsia="zh-CN"/>
              </w:rPr>
              <w:t>，</w:t>
            </w:r>
            <w:r>
              <w:rPr>
                <w:rFonts w:hint="eastAsia"/>
                <w:b w:val="0"/>
                <w:bCs w:val="0"/>
                <w:color w:val="auto"/>
                <w:highlight w:val="none"/>
              </w:rPr>
              <w:t>本小项满分</w:t>
            </w:r>
            <w:r>
              <w:rPr>
                <w:rFonts w:hint="eastAsia"/>
                <w:b w:val="0"/>
                <w:bCs w:val="0"/>
                <w:color w:val="auto"/>
                <w:highlight w:val="none"/>
                <w:lang w:val="en-US" w:eastAsia="zh-CN"/>
              </w:rPr>
              <w:t>28</w:t>
            </w:r>
            <w:r>
              <w:rPr>
                <w:rFonts w:hint="eastAsia"/>
                <w:b w:val="0"/>
                <w:bCs w:val="0"/>
                <w:color w:val="auto"/>
                <w:highlight w:val="none"/>
              </w:rPr>
              <w:t>分；</w:t>
            </w:r>
          </w:p>
          <w:p w14:paraId="572D5319">
            <w:pPr>
              <w:rPr>
                <w:rFonts w:hint="eastAsia"/>
                <w:b w:val="0"/>
                <w:bCs w:val="0"/>
                <w:highlight w:val="none"/>
              </w:rPr>
            </w:pPr>
            <w:r>
              <w:rPr>
                <w:rFonts w:hint="eastAsia"/>
                <w:b w:val="0"/>
                <w:bCs w:val="0"/>
                <w:highlight w:val="none"/>
              </w:rPr>
              <w:t>（2）无标识项的为</w:t>
            </w:r>
            <w:r>
              <w:rPr>
                <w:rFonts w:hint="eastAsia"/>
                <w:b w:val="0"/>
                <w:bCs w:val="0"/>
                <w:highlight w:val="none"/>
                <w:lang w:val="en-US" w:eastAsia="zh-CN"/>
              </w:rPr>
              <w:t>一般技术参数</w:t>
            </w:r>
            <w:r>
              <w:rPr>
                <w:rFonts w:hint="eastAsia"/>
                <w:b w:val="0"/>
                <w:bCs w:val="0"/>
                <w:highlight w:val="none"/>
              </w:rPr>
              <w:t>，</w:t>
            </w:r>
            <w:r>
              <w:rPr>
                <w:rFonts w:hint="eastAsia"/>
                <w:b w:val="0"/>
                <w:bCs w:val="0"/>
                <w:highlight w:val="none"/>
                <w:lang w:val="en-US" w:eastAsia="zh-CN"/>
              </w:rPr>
              <w:t>一般技术参数</w:t>
            </w:r>
            <w:r>
              <w:rPr>
                <w:rFonts w:hint="eastAsia"/>
                <w:b w:val="0"/>
                <w:bCs w:val="0"/>
                <w:highlight w:val="none"/>
              </w:rPr>
              <w:t>评审得分=(投标人满足（或优于）</w:t>
            </w:r>
            <w:r>
              <w:rPr>
                <w:rFonts w:hint="eastAsia"/>
                <w:b w:val="0"/>
                <w:bCs w:val="0"/>
                <w:highlight w:val="none"/>
                <w:lang w:val="en-US" w:eastAsia="zh-CN"/>
              </w:rPr>
              <w:t>一般技术参数</w:t>
            </w:r>
            <w:r>
              <w:rPr>
                <w:rFonts w:hint="eastAsia"/>
                <w:b w:val="0"/>
                <w:bCs w:val="0"/>
                <w:highlight w:val="none"/>
              </w:rPr>
              <w:t>的数量÷</w:t>
            </w:r>
            <w:r>
              <w:rPr>
                <w:rFonts w:hint="eastAsia"/>
                <w:b w:val="0"/>
                <w:bCs w:val="0"/>
                <w:highlight w:val="none"/>
                <w:lang w:val="en-US" w:eastAsia="zh-CN"/>
              </w:rPr>
              <w:t>一般技术参数</w:t>
            </w:r>
            <w:r>
              <w:rPr>
                <w:rFonts w:hint="eastAsia"/>
                <w:b w:val="0"/>
                <w:bCs w:val="0"/>
                <w:highlight w:val="none"/>
              </w:rPr>
              <w:t>的总数量)×</w:t>
            </w:r>
            <w:r>
              <w:rPr>
                <w:rFonts w:hint="eastAsia"/>
                <w:b w:val="0"/>
                <w:bCs w:val="0"/>
                <w:highlight w:val="none"/>
                <w:lang w:val="en-US" w:eastAsia="zh-CN"/>
              </w:rPr>
              <w:t>一般技术参数</w:t>
            </w:r>
            <w:r>
              <w:rPr>
                <w:rFonts w:hint="eastAsia"/>
                <w:b w:val="0"/>
                <w:bCs w:val="0"/>
                <w:highlight w:val="none"/>
              </w:rPr>
              <w:t>设定总分值，保留小数点后两位。</w:t>
            </w:r>
            <w:r>
              <w:rPr>
                <w:rFonts w:hint="eastAsia"/>
                <w:b w:val="0"/>
                <w:bCs w:val="0"/>
                <w:highlight w:val="none"/>
                <w:lang w:val="en-US" w:eastAsia="zh-CN"/>
              </w:rPr>
              <w:t>一般技术参数</w:t>
            </w:r>
            <w:r>
              <w:rPr>
                <w:rFonts w:hint="eastAsia"/>
                <w:b w:val="0"/>
                <w:bCs w:val="0"/>
                <w:highlight w:val="none"/>
              </w:rPr>
              <w:t>条款的总数量为</w:t>
            </w:r>
            <w:r>
              <w:rPr>
                <w:rFonts w:hint="eastAsia"/>
                <w:b w:val="0"/>
                <w:bCs w:val="0"/>
                <w:highlight w:val="none"/>
                <w:lang w:val="en-US" w:eastAsia="zh-CN"/>
              </w:rPr>
              <w:t>18</w:t>
            </w:r>
            <w:r>
              <w:rPr>
                <w:rFonts w:hint="eastAsia"/>
                <w:b w:val="0"/>
                <w:bCs w:val="0"/>
                <w:highlight w:val="none"/>
              </w:rPr>
              <w:t>项，满分</w:t>
            </w:r>
            <w:r>
              <w:rPr>
                <w:rFonts w:hint="eastAsia"/>
                <w:b w:val="0"/>
                <w:bCs w:val="0"/>
                <w:highlight w:val="none"/>
                <w:lang w:val="en-US" w:eastAsia="zh-CN"/>
              </w:rPr>
              <w:t>7</w:t>
            </w:r>
            <w:r>
              <w:rPr>
                <w:rFonts w:hint="eastAsia"/>
                <w:b w:val="0"/>
                <w:bCs w:val="0"/>
                <w:highlight w:val="none"/>
              </w:rPr>
              <w:t>分。</w:t>
            </w:r>
          </w:p>
          <w:p w14:paraId="26E4F1FA">
            <w:pPr>
              <w:rPr>
                <w:rFonts w:hint="eastAsia"/>
                <w:b/>
                <w:bCs/>
                <w:highlight w:val="none"/>
              </w:rPr>
            </w:pPr>
            <w:r>
              <w:rPr>
                <w:rFonts w:hint="eastAsia"/>
                <w:b/>
                <w:bCs/>
                <w:highlight w:val="none"/>
              </w:rPr>
              <w:t>注：</w:t>
            </w:r>
          </w:p>
          <w:p w14:paraId="60E10FD2">
            <w:pPr>
              <w:rPr>
                <w:rFonts w:hint="eastAsia" w:ascii="宋体" w:hAnsi="宋体" w:eastAsia="宋体" w:cs="宋体"/>
                <w:b/>
                <w:bCs/>
                <w:color w:val="auto"/>
                <w:kern w:val="0"/>
                <w:sz w:val="21"/>
                <w:szCs w:val="21"/>
                <w:highlight w:val="none"/>
              </w:rPr>
            </w:pPr>
            <w:r>
              <w:rPr>
                <w:rFonts w:hint="eastAsia"/>
                <w:b/>
                <w:bCs/>
                <w:highlight w:val="none"/>
                <w:lang w:val="en-US" w:eastAsia="zh-CN"/>
              </w:rPr>
              <w:t>1）</w:t>
            </w:r>
            <w:r>
              <w:rPr>
                <w:rFonts w:hint="eastAsia"/>
                <w:b/>
                <w:bCs/>
                <w:highlight w:val="none"/>
              </w:rPr>
              <w:t>无标识项由投标人自行</w:t>
            </w:r>
            <w:r>
              <w:rPr>
                <w:rFonts w:hint="eastAsia"/>
                <w:b/>
                <w:bCs/>
                <w:highlight w:val="none"/>
                <w:lang w:val="en-US" w:eastAsia="zh-CN"/>
              </w:rPr>
              <w:t>在招标文件第六章投标文件格式《</w:t>
            </w:r>
            <w:r>
              <w:rPr>
                <w:rFonts w:hint="eastAsia"/>
                <w:b/>
                <w:bCs/>
                <w:highlight w:val="none"/>
              </w:rPr>
              <w:t>六．投标响应表</w:t>
            </w:r>
            <w:r>
              <w:rPr>
                <w:rFonts w:hint="eastAsia"/>
                <w:b/>
                <w:bCs/>
                <w:highlight w:val="none"/>
                <w:lang w:val="en-US" w:eastAsia="zh-CN"/>
              </w:rPr>
              <w:t>》响应，</w:t>
            </w:r>
            <w:r>
              <w:rPr>
                <w:rFonts w:hint="eastAsia"/>
                <w:b/>
                <w:bCs/>
                <w:highlight w:val="none"/>
              </w:rPr>
              <w:t>并明确是否存在偏离。</w:t>
            </w:r>
            <w:r>
              <w:rPr>
                <w:rFonts w:hint="eastAsia" w:ascii="宋体" w:hAnsi="宋体"/>
                <w:b/>
                <w:bCs/>
                <w:szCs w:val="21"/>
                <w:highlight w:val="none"/>
              </w:rPr>
              <w:t>标“</w:t>
            </w:r>
            <w:r>
              <w:rPr>
                <w:rFonts w:hint="eastAsia" w:ascii="宋体" w:hAnsi="宋体"/>
                <w:b/>
                <w:bCs/>
                <w:szCs w:val="21"/>
                <w:highlight w:val="none"/>
                <w:lang w:val="en-US" w:eastAsia="zh-CN"/>
              </w:rPr>
              <w:t>■</w:t>
            </w:r>
            <w:r>
              <w:rPr>
                <w:rFonts w:hint="eastAsia" w:ascii="宋体" w:hAnsi="宋体"/>
                <w:b/>
                <w:bCs/>
                <w:szCs w:val="21"/>
                <w:highlight w:val="none"/>
              </w:rPr>
              <w:t>”的参数为实质性参数</w:t>
            </w:r>
            <w:r>
              <w:rPr>
                <w:rFonts w:hint="eastAsia" w:ascii="宋体" w:hAnsi="宋体"/>
                <w:b/>
                <w:bCs/>
                <w:szCs w:val="21"/>
                <w:highlight w:val="none"/>
                <w:lang w:eastAsia="zh-CN"/>
              </w:rPr>
              <w:t>，不允许负偏离，否则作无效标处理，</w:t>
            </w:r>
            <w:r>
              <w:rPr>
                <w:rFonts w:hint="eastAsia" w:ascii="宋体" w:hAnsi="宋体"/>
                <w:b/>
                <w:bCs/>
                <w:szCs w:val="21"/>
                <w:highlight w:val="none"/>
                <w:lang w:val="en-US" w:eastAsia="zh-CN"/>
              </w:rPr>
              <w:t>不参与本项计分。</w:t>
            </w:r>
          </w:p>
          <w:p w14:paraId="3227A916">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2)《第三章采购需求》中三、技术参数及要求中标注“★”的技术参数，为采购产品的重要技术参数，招标文件采购需求中要求了提供具体证明材料类型的须按照要求提供，未明确要求提供具体证明材料类型的，投标人须在投标文件中自行提供相关证明材料（包括不限于产品彩页或操作界面截图或产品技术白皮书或产品检测报告等，但提供的证明材料须经评标委员会评审并认可），未提供或提供的不符要求的可视为负偏离，不予以加分。</w:t>
            </w:r>
          </w:p>
        </w:tc>
      </w:tr>
      <w:tr w14:paraId="427FE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vMerge w:val="continue"/>
            <w:noWrap w:val="0"/>
            <w:vAlign w:val="center"/>
          </w:tcPr>
          <w:p w14:paraId="1671402A">
            <w:pPr>
              <w:widowControl/>
              <w:snapToGrid w:val="0"/>
              <w:spacing w:line="360" w:lineRule="auto"/>
              <w:jc w:val="center"/>
              <w:rPr>
                <w:rFonts w:hint="eastAsia" w:ascii="宋体" w:hAnsi="宋体" w:eastAsia="宋体" w:cs="宋体"/>
                <w:color w:val="auto"/>
                <w:sz w:val="21"/>
                <w:szCs w:val="21"/>
                <w:highlight w:val="none"/>
              </w:rPr>
            </w:pPr>
          </w:p>
        </w:tc>
        <w:tc>
          <w:tcPr>
            <w:tcW w:w="893" w:type="pct"/>
            <w:vMerge w:val="continue"/>
            <w:noWrap w:val="0"/>
            <w:vAlign w:val="center"/>
          </w:tcPr>
          <w:p w14:paraId="39C4410A">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c>
          <w:tcPr>
            <w:tcW w:w="3275" w:type="pct"/>
            <w:gridSpan w:val="2"/>
            <w:noWrap w:val="0"/>
            <w:vAlign w:val="center"/>
          </w:tcPr>
          <w:p w14:paraId="6CE55BFE">
            <w:pPr>
              <w:spacing w:line="360" w:lineRule="auto"/>
              <w:outlineLvl w:val="2"/>
              <w:rPr>
                <w:rFonts w:hint="eastAsia" w:ascii="Times New Roman" w:hAnsi="Times New Roman" w:cs="Times New Roman"/>
                <w:b w:val="0"/>
                <w:bCs w:val="0"/>
                <w:highlight w:val="none"/>
              </w:rPr>
            </w:pPr>
            <w:r>
              <w:rPr>
                <w:rFonts w:hint="eastAsia" w:ascii="宋体" w:hAnsi="宋体" w:eastAsia="宋体" w:cs="宋体"/>
                <w:b/>
                <w:bCs/>
                <w:color w:val="auto"/>
                <w:kern w:val="2"/>
                <w:sz w:val="28"/>
                <w:szCs w:val="28"/>
                <w:lang w:val="en-US" w:eastAsia="zh-CN" w:bidi="ar-SA"/>
              </w:rPr>
              <w:t>第四包：磁场刺激仪、盆底生物刺激反馈仪、生物反馈神经肌肉刺激治疗工作站</w:t>
            </w:r>
            <w:r>
              <w:rPr>
                <w:rFonts w:hint="eastAsia" w:ascii="宋体" w:hAnsi="宋体" w:cs="宋体"/>
                <w:b/>
                <w:bCs/>
                <w:color w:val="auto"/>
                <w:kern w:val="2"/>
                <w:sz w:val="28"/>
                <w:szCs w:val="28"/>
                <w:lang w:val="en-US" w:eastAsia="zh-CN" w:bidi="ar-SA"/>
              </w:rPr>
              <w:t>：</w:t>
            </w:r>
          </w:p>
          <w:p w14:paraId="37059F08">
            <w:pPr>
              <w:rPr>
                <w:rFonts w:hint="eastAsia" w:ascii="Times New Roman" w:hAnsi="Times New Roman" w:cs="Times New Roman"/>
                <w:b w:val="0"/>
                <w:bCs w:val="0"/>
                <w:highlight w:val="none"/>
              </w:rPr>
            </w:pPr>
            <w:r>
              <w:rPr>
                <w:rFonts w:hint="eastAsia" w:ascii="Times New Roman" w:hAnsi="Times New Roman" w:cs="Times New Roman"/>
                <w:b w:val="0"/>
                <w:bCs w:val="0"/>
                <w:highlight w:val="none"/>
              </w:rPr>
              <w:t>《第三章采购需求》中</w:t>
            </w:r>
            <w:r>
              <w:rPr>
                <w:rFonts w:hint="eastAsia" w:ascii="Times New Roman" w:hAnsi="Times New Roman" w:cs="Times New Roman"/>
                <w:b/>
                <w:bCs/>
                <w:highlight w:val="none"/>
                <w:u w:val="single"/>
                <w:lang w:val="en-US" w:eastAsia="zh-CN"/>
              </w:rPr>
              <w:t>三、技术参数及要求</w:t>
            </w:r>
            <w:r>
              <w:rPr>
                <w:rFonts w:hint="eastAsia" w:ascii="Times New Roman" w:hAnsi="Times New Roman" w:cs="Times New Roman"/>
                <w:b w:val="0"/>
                <w:bCs w:val="0"/>
                <w:highlight w:val="none"/>
              </w:rPr>
              <w:t>评审明细如下：</w:t>
            </w:r>
          </w:p>
          <w:p w14:paraId="370E9570">
            <w:pPr>
              <w:rPr>
                <w:rFonts w:hint="eastAsia"/>
                <w:b w:val="0"/>
                <w:bCs w:val="0"/>
                <w:highlight w:val="none"/>
              </w:rPr>
            </w:pPr>
            <w:r>
              <w:rPr>
                <w:rFonts w:hint="eastAsia"/>
                <w:b w:val="0"/>
                <w:bCs w:val="0"/>
                <w:highlight w:val="none"/>
              </w:rPr>
              <w:t>（1）标注“★”条款的技术指标为重要技术参数，每满足（或优于）一项，</w:t>
            </w:r>
            <w:r>
              <w:rPr>
                <w:rFonts w:hint="eastAsia"/>
                <w:b w:val="0"/>
                <w:bCs w:val="0"/>
                <w:color w:val="auto"/>
                <w:highlight w:val="none"/>
              </w:rPr>
              <w:t>得</w:t>
            </w:r>
            <w:r>
              <w:rPr>
                <w:rFonts w:hint="eastAsia"/>
                <w:b w:val="0"/>
                <w:bCs w:val="0"/>
                <w:color w:val="auto"/>
                <w:highlight w:val="none"/>
                <w:lang w:val="en-US" w:eastAsia="zh-CN"/>
              </w:rPr>
              <w:t>2</w:t>
            </w:r>
            <w:r>
              <w:rPr>
                <w:rFonts w:hint="eastAsia"/>
                <w:b w:val="0"/>
                <w:bCs w:val="0"/>
                <w:color w:val="auto"/>
                <w:highlight w:val="none"/>
              </w:rPr>
              <w:t xml:space="preserve">分，共 </w:t>
            </w:r>
            <w:r>
              <w:rPr>
                <w:rFonts w:hint="eastAsia"/>
                <w:b w:val="0"/>
                <w:bCs w:val="0"/>
                <w:color w:val="auto"/>
                <w:highlight w:val="none"/>
                <w:lang w:val="en-US" w:eastAsia="zh-CN"/>
              </w:rPr>
              <w:t>15</w:t>
            </w:r>
            <w:r>
              <w:rPr>
                <w:rFonts w:hint="eastAsia"/>
                <w:b w:val="0"/>
                <w:bCs w:val="0"/>
                <w:color w:val="auto"/>
                <w:highlight w:val="none"/>
              </w:rPr>
              <w:t>项</w:t>
            </w:r>
            <w:r>
              <w:rPr>
                <w:rFonts w:hint="eastAsia"/>
                <w:b w:val="0"/>
                <w:bCs w:val="0"/>
                <w:color w:val="auto"/>
                <w:highlight w:val="none"/>
                <w:lang w:eastAsia="zh-CN"/>
              </w:rPr>
              <w:t>，</w:t>
            </w:r>
            <w:r>
              <w:rPr>
                <w:rFonts w:hint="eastAsia"/>
                <w:b w:val="0"/>
                <w:bCs w:val="0"/>
                <w:color w:val="auto"/>
                <w:highlight w:val="none"/>
              </w:rPr>
              <w:t>本小项满分</w:t>
            </w:r>
            <w:r>
              <w:rPr>
                <w:rFonts w:hint="eastAsia"/>
                <w:b w:val="0"/>
                <w:bCs w:val="0"/>
                <w:color w:val="auto"/>
                <w:highlight w:val="none"/>
                <w:lang w:val="en-US" w:eastAsia="zh-CN"/>
              </w:rPr>
              <w:t>30</w:t>
            </w:r>
            <w:r>
              <w:rPr>
                <w:rFonts w:hint="eastAsia"/>
                <w:b w:val="0"/>
                <w:bCs w:val="0"/>
                <w:color w:val="auto"/>
                <w:highlight w:val="none"/>
              </w:rPr>
              <w:t>分；</w:t>
            </w:r>
          </w:p>
          <w:p w14:paraId="0229777F">
            <w:pPr>
              <w:rPr>
                <w:rFonts w:hint="eastAsia"/>
                <w:b w:val="0"/>
                <w:bCs w:val="0"/>
                <w:highlight w:val="none"/>
              </w:rPr>
            </w:pPr>
            <w:r>
              <w:rPr>
                <w:rFonts w:hint="eastAsia"/>
                <w:b w:val="0"/>
                <w:bCs w:val="0"/>
                <w:highlight w:val="none"/>
              </w:rPr>
              <w:t>（2）无标识项的为</w:t>
            </w:r>
            <w:r>
              <w:rPr>
                <w:rFonts w:hint="eastAsia"/>
                <w:b w:val="0"/>
                <w:bCs w:val="0"/>
                <w:highlight w:val="none"/>
                <w:lang w:val="en-US" w:eastAsia="zh-CN"/>
              </w:rPr>
              <w:t>一般技术参数</w:t>
            </w:r>
            <w:r>
              <w:rPr>
                <w:rFonts w:hint="eastAsia"/>
                <w:b w:val="0"/>
                <w:bCs w:val="0"/>
                <w:highlight w:val="none"/>
              </w:rPr>
              <w:t>，</w:t>
            </w:r>
            <w:r>
              <w:rPr>
                <w:rFonts w:hint="eastAsia"/>
                <w:b w:val="0"/>
                <w:bCs w:val="0"/>
                <w:highlight w:val="none"/>
                <w:lang w:val="en-US" w:eastAsia="zh-CN"/>
              </w:rPr>
              <w:t>一般技术参数</w:t>
            </w:r>
            <w:r>
              <w:rPr>
                <w:rFonts w:hint="eastAsia"/>
                <w:b w:val="0"/>
                <w:bCs w:val="0"/>
                <w:highlight w:val="none"/>
              </w:rPr>
              <w:t>评审得分=(投标人满足（或优于）</w:t>
            </w:r>
            <w:r>
              <w:rPr>
                <w:rFonts w:hint="eastAsia"/>
                <w:b w:val="0"/>
                <w:bCs w:val="0"/>
                <w:highlight w:val="none"/>
                <w:lang w:val="en-US" w:eastAsia="zh-CN"/>
              </w:rPr>
              <w:t>一般技术参数</w:t>
            </w:r>
            <w:r>
              <w:rPr>
                <w:rFonts w:hint="eastAsia"/>
                <w:b w:val="0"/>
                <w:bCs w:val="0"/>
                <w:highlight w:val="none"/>
              </w:rPr>
              <w:t>的数量÷</w:t>
            </w:r>
            <w:r>
              <w:rPr>
                <w:rFonts w:hint="eastAsia"/>
                <w:b w:val="0"/>
                <w:bCs w:val="0"/>
                <w:highlight w:val="none"/>
                <w:lang w:val="en-US" w:eastAsia="zh-CN"/>
              </w:rPr>
              <w:t>一般技术参数</w:t>
            </w:r>
            <w:r>
              <w:rPr>
                <w:rFonts w:hint="eastAsia"/>
                <w:b w:val="0"/>
                <w:bCs w:val="0"/>
                <w:highlight w:val="none"/>
              </w:rPr>
              <w:t>的总数量)×</w:t>
            </w:r>
            <w:r>
              <w:rPr>
                <w:rFonts w:hint="eastAsia"/>
                <w:b w:val="0"/>
                <w:bCs w:val="0"/>
                <w:highlight w:val="none"/>
                <w:lang w:val="en-US" w:eastAsia="zh-CN"/>
              </w:rPr>
              <w:t>一般技术参数</w:t>
            </w:r>
            <w:r>
              <w:rPr>
                <w:rFonts w:hint="eastAsia"/>
                <w:b w:val="0"/>
                <w:bCs w:val="0"/>
                <w:highlight w:val="none"/>
              </w:rPr>
              <w:t>设定总分值，保留小数点后两位。</w:t>
            </w:r>
            <w:r>
              <w:rPr>
                <w:rFonts w:hint="eastAsia"/>
                <w:b w:val="0"/>
                <w:bCs w:val="0"/>
                <w:highlight w:val="none"/>
                <w:lang w:val="en-US" w:eastAsia="zh-CN"/>
              </w:rPr>
              <w:t>一般技术参数</w:t>
            </w:r>
            <w:r>
              <w:rPr>
                <w:rFonts w:hint="eastAsia"/>
                <w:b w:val="0"/>
                <w:bCs w:val="0"/>
                <w:highlight w:val="none"/>
              </w:rPr>
              <w:t>条款的总数量为</w:t>
            </w:r>
            <w:r>
              <w:rPr>
                <w:rFonts w:hint="eastAsia"/>
                <w:b w:val="0"/>
                <w:bCs w:val="0"/>
                <w:highlight w:val="none"/>
                <w:lang w:val="en-US" w:eastAsia="zh-CN"/>
              </w:rPr>
              <w:t>46</w:t>
            </w:r>
            <w:r>
              <w:rPr>
                <w:rFonts w:hint="eastAsia"/>
                <w:b w:val="0"/>
                <w:bCs w:val="0"/>
                <w:highlight w:val="none"/>
              </w:rPr>
              <w:t>项，满分</w:t>
            </w:r>
            <w:r>
              <w:rPr>
                <w:rFonts w:hint="eastAsia"/>
                <w:b w:val="0"/>
                <w:bCs w:val="0"/>
                <w:highlight w:val="none"/>
                <w:lang w:val="en-US" w:eastAsia="zh-CN"/>
              </w:rPr>
              <w:t>5</w:t>
            </w:r>
            <w:r>
              <w:rPr>
                <w:rFonts w:hint="eastAsia"/>
                <w:b w:val="0"/>
                <w:bCs w:val="0"/>
                <w:highlight w:val="none"/>
              </w:rPr>
              <w:t>分。</w:t>
            </w:r>
          </w:p>
          <w:p w14:paraId="607F41C7">
            <w:pPr>
              <w:rPr>
                <w:rFonts w:hint="eastAsia"/>
                <w:b/>
                <w:bCs/>
                <w:highlight w:val="none"/>
              </w:rPr>
            </w:pPr>
            <w:r>
              <w:rPr>
                <w:rFonts w:hint="eastAsia"/>
                <w:b/>
                <w:bCs/>
                <w:highlight w:val="none"/>
              </w:rPr>
              <w:t>注：</w:t>
            </w:r>
          </w:p>
          <w:p w14:paraId="423EC967">
            <w:pPr>
              <w:rPr>
                <w:rFonts w:hint="eastAsia" w:ascii="宋体" w:hAnsi="宋体" w:eastAsia="宋体" w:cs="宋体"/>
                <w:b/>
                <w:bCs/>
                <w:color w:val="auto"/>
                <w:kern w:val="0"/>
                <w:sz w:val="21"/>
                <w:szCs w:val="21"/>
                <w:highlight w:val="none"/>
              </w:rPr>
            </w:pPr>
            <w:r>
              <w:rPr>
                <w:rFonts w:hint="eastAsia"/>
                <w:b/>
                <w:bCs/>
                <w:highlight w:val="none"/>
                <w:lang w:val="en-US" w:eastAsia="zh-CN"/>
              </w:rPr>
              <w:t>1）</w:t>
            </w:r>
            <w:r>
              <w:rPr>
                <w:rFonts w:hint="eastAsia"/>
                <w:b/>
                <w:bCs/>
                <w:highlight w:val="none"/>
              </w:rPr>
              <w:t>无标识项由投标人自行</w:t>
            </w:r>
            <w:r>
              <w:rPr>
                <w:rFonts w:hint="eastAsia"/>
                <w:b/>
                <w:bCs/>
                <w:highlight w:val="none"/>
                <w:lang w:val="en-US" w:eastAsia="zh-CN"/>
              </w:rPr>
              <w:t>在招标文件第六章投标文件格式《</w:t>
            </w:r>
            <w:r>
              <w:rPr>
                <w:rFonts w:hint="eastAsia"/>
                <w:b/>
                <w:bCs/>
                <w:highlight w:val="none"/>
              </w:rPr>
              <w:t>六．投标响应表</w:t>
            </w:r>
            <w:r>
              <w:rPr>
                <w:rFonts w:hint="eastAsia"/>
                <w:b/>
                <w:bCs/>
                <w:highlight w:val="none"/>
                <w:lang w:val="en-US" w:eastAsia="zh-CN"/>
              </w:rPr>
              <w:t>》响应，</w:t>
            </w:r>
            <w:r>
              <w:rPr>
                <w:rFonts w:hint="eastAsia"/>
                <w:b/>
                <w:bCs/>
                <w:highlight w:val="none"/>
              </w:rPr>
              <w:t>并明确是否存在偏离。</w:t>
            </w:r>
            <w:r>
              <w:rPr>
                <w:rFonts w:hint="eastAsia" w:ascii="宋体" w:hAnsi="宋体"/>
                <w:b/>
                <w:bCs/>
                <w:szCs w:val="21"/>
                <w:highlight w:val="none"/>
              </w:rPr>
              <w:t>标“</w:t>
            </w:r>
            <w:r>
              <w:rPr>
                <w:rFonts w:hint="eastAsia" w:ascii="宋体" w:hAnsi="宋体"/>
                <w:b/>
                <w:bCs/>
                <w:szCs w:val="21"/>
                <w:highlight w:val="none"/>
                <w:lang w:val="en-US" w:eastAsia="zh-CN"/>
              </w:rPr>
              <w:t>■</w:t>
            </w:r>
            <w:r>
              <w:rPr>
                <w:rFonts w:hint="eastAsia" w:ascii="宋体" w:hAnsi="宋体"/>
                <w:b/>
                <w:bCs/>
                <w:szCs w:val="21"/>
                <w:highlight w:val="none"/>
              </w:rPr>
              <w:t>”的参数为实质性参数</w:t>
            </w:r>
            <w:r>
              <w:rPr>
                <w:rFonts w:hint="eastAsia" w:ascii="宋体" w:hAnsi="宋体"/>
                <w:b/>
                <w:bCs/>
                <w:szCs w:val="21"/>
                <w:highlight w:val="none"/>
                <w:lang w:eastAsia="zh-CN"/>
              </w:rPr>
              <w:t>，不允许负偏离，否则作无效标处理，</w:t>
            </w:r>
            <w:r>
              <w:rPr>
                <w:rFonts w:hint="eastAsia" w:ascii="宋体" w:hAnsi="宋体"/>
                <w:b/>
                <w:bCs/>
                <w:szCs w:val="21"/>
                <w:highlight w:val="none"/>
                <w:lang w:val="en-US" w:eastAsia="zh-CN"/>
              </w:rPr>
              <w:t>不参与本项计分。</w:t>
            </w:r>
          </w:p>
          <w:p w14:paraId="55CCA042">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2)《第三章采购需求》中三、技术参数及要求中标注“★”的技术参数，为采购产品的重要技术参数，招标文件采购需求中要求了提供具体证明材料类型的须按照要求提供，未明确要求提供具体证明材料类型的，投标人须在投标文件中自行提供相关证明材料（包括不限于产品彩页或操作界面截图或产品技术白皮书或产品检测报告等，但提供的证明材料须经评标委员会评审并认可），未提供或提供的不符要求的可视为负偏离，不予以加分。</w:t>
            </w:r>
          </w:p>
        </w:tc>
      </w:tr>
      <w:tr w14:paraId="1A80A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vMerge w:val="continue"/>
            <w:noWrap w:val="0"/>
            <w:vAlign w:val="center"/>
          </w:tcPr>
          <w:p w14:paraId="6C562244">
            <w:pPr>
              <w:widowControl/>
              <w:snapToGrid w:val="0"/>
              <w:spacing w:line="360" w:lineRule="auto"/>
              <w:jc w:val="center"/>
              <w:rPr>
                <w:rFonts w:hint="eastAsia" w:ascii="宋体" w:hAnsi="宋体" w:eastAsia="宋体" w:cs="宋体"/>
                <w:kern w:val="0"/>
                <w:sz w:val="21"/>
                <w:szCs w:val="21"/>
              </w:rPr>
            </w:pPr>
          </w:p>
        </w:tc>
        <w:tc>
          <w:tcPr>
            <w:tcW w:w="893" w:type="pct"/>
            <w:noWrap w:val="0"/>
            <w:vAlign w:val="center"/>
          </w:tcPr>
          <w:p w14:paraId="67F25937">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所投产品业绩</w:t>
            </w:r>
          </w:p>
          <w:p w14:paraId="00F1BDD1">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（5分）</w:t>
            </w:r>
          </w:p>
        </w:tc>
        <w:tc>
          <w:tcPr>
            <w:tcW w:w="3275" w:type="pct"/>
            <w:gridSpan w:val="2"/>
            <w:noWrap w:val="0"/>
            <w:vAlign w:val="center"/>
          </w:tcPr>
          <w:p w14:paraId="3147A39A">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 xml:space="preserve">自 2023年1月1日以来（以合同签订时间为准），所投同品牌同型号产品具有医疗机构供货业绩的，每提供一个业绩得1分，最高得5分。 </w:t>
            </w:r>
          </w:p>
          <w:p w14:paraId="4ECB7FAC">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 xml:space="preserve">注 ：（1）本项为所投核心产品之一业绩，同一份合同不重复计分； </w:t>
            </w:r>
          </w:p>
          <w:p w14:paraId="356BAC65">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w:t>
            </w:r>
            <w:r>
              <w:rPr>
                <w:rFonts w:hint="eastAsia" w:ascii="宋体" w:hAnsi="宋体" w:eastAsia="宋体" w:cs="宋体"/>
                <w:b/>
                <w:color w:val="000000"/>
                <w:sz w:val="21"/>
                <w:szCs w:val="21"/>
                <w:highlight w:val="none"/>
                <w:lang w:val="en-US" w:eastAsia="zh-CN"/>
              </w:rPr>
              <w:t>2</w:t>
            </w:r>
            <w:r>
              <w:rPr>
                <w:rFonts w:hint="eastAsia" w:ascii="宋体" w:hAnsi="宋体" w:eastAsia="宋体" w:cs="宋体"/>
                <w:b/>
                <w:color w:val="000000"/>
                <w:sz w:val="21"/>
                <w:szCs w:val="21"/>
                <w:highlight w:val="none"/>
              </w:rPr>
              <w:t>）投标文件中提供业绩完整合同影印件（合同内容不得遮掩、涂改，否则为无效业绩，不得分）；如业绩合同无法体现合同签订时间、所供产品品牌及型号等关键评审信息，须另提供业主单位（合同甲方）出具的盖章证明材料。如提供的内容不全或不符要求的不得分；</w:t>
            </w:r>
          </w:p>
          <w:p w14:paraId="77FC1E08">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）同一业主单位只计算一次得分，不重复计分（以合同公章为界定标准，同一公章视为同一单位；不同公章视为不同单位）</w:t>
            </w:r>
            <w:r>
              <w:rPr>
                <w:rFonts w:hint="eastAsia" w:ascii="宋体" w:hAnsi="宋体" w:eastAsia="宋体" w:cs="宋体"/>
                <w:b w:val="0"/>
                <w:bCs w:val="0"/>
                <w:color w:val="auto"/>
                <w:sz w:val="21"/>
                <w:szCs w:val="21"/>
                <w:highlight w:val="none"/>
                <w:lang w:eastAsia="zh-CN"/>
              </w:rPr>
              <w:t>；</w:t>
            </w:r>
          </w:p>
          <w:p w14:paraId="302A209C">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rPr>
              <w:t>）上述要求为产品业绩，不限定为投标人业绩。</w:t>
            </w:r>
          </w:p>
        </w:tc>
      </w:tr>
      <w:tr w14:paraId="000E6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vMerge w:val="continue"/>
            <w:noWrap w:val="0"/>
            <w:vAlign w:val="center"/>
          </w:tcPr>
          <w:p w14:paraId="26A2C8CA">
            <w:pPr>
              <w:widowControl/>
              <w:snapToGrid w:val="0"/>
              <w:spacing w:line="360" w:lineRule="auto"/>
              <w:jc w:val="center"/>
              <w:rPr>
                <w:rFonts w:hint="eastAsia" w:ascii="宋体" w:hAnsi="宋体" w:eastAsia="宋体" w:cs="宋体"/>
                <w:kern w:val="0"/>
                <w:sz w:val="21"/>
                <w:szCs w:val="21"/>
              </w:rPr>
            </w:pPr>
          </w:p>
        </w:tc>
        <w:tc>
          <w:tcPr>
            <w:tcW w:w="893" w:type="pct"/>
            <w:noWrap w:val="0"/>
            <w:vAlign w:val="center"/>
          </w:tcPr>
          <w:p w14:paraId="57C42545">
            <w:pPr>
              <w:spacing w:line="360" w:lineRule="auto"/>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产品性能及维</w:t>
            </w:r>
          </w:p>
          <w:p w14:paraId="0CB8D1B1">
            <w:pPr>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Cs/>
                <w:color w:val="000000"/>
                <w:sz w:val="21"/>
                <w:szCs w:val="21"/>
                <w:highlight w:val="none"/>
              </w:rPr>
              <w:t>修便利性等（0-</w:t>
            </w:r>
            <w:r>
              <w:rPr>
                <w:rFonts w:hint="eastAsia" w:ascii="宋体" w:hAnsi="宋体" w:cs="宋体"/>
                <w:bCs/>
                <w:color w:val="000000"/>
                <w:sz w:val="21"/>
                <w:szCs w:val="21"/>
                <w:highlight w:val="none"/>
                <w:lang w:val="en-US" w:eastAsia="zh-CN"/>
              </w:rPr>
              <w:t>4</w:t>
            </w:r>
            <w:r>
              <w:rPr>
                <w:rFonts w:hint="eastAsia" w:ascii="宋体" w:hAnsi="宋体" w:eastAsia="宋体" w:cs="宋体"/>
                <w:bCs/>
                <w:color w:val="000000"/>
                <w:sz w:val="21"/>
                <w:szCs w:val="21"/>
                <w:highlight w:val="none"/>
              </w:rPr>
              <w:t>分）</w:t>
            </w:r>
          </w:p>
        </w:tc>
        <w:tc>
          <w:tcPr>
            <w:tcW w:w="3275" w:type="pct"/>
            <w:gridSpan w:val="2"/>
            <w:noWrap w:val="0"/>
            <w:vAlign w:val="center"/>
          </w:tcPr>
          <w:p w14:paraId="0C9A3F22">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根据投标人所投产品设备性能、维修便利性、故障率、安</w:t>
            </w:r>
          </w:p>
          <w:p w14:paraId="5F397EEC">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全性等方面进行综合评审：</w:t>
            </w:r>
          </w:p>
          <w:p w14:paraId="236A75BB">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（1）所投产品性能持续稳定，维修流程清晰、响应及时，故障率控制稳定，安全设计与防护措施完备，得</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p w14:paraId="4D2271E1">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（2）所投产品性能稳定，维修便利，故障率控制可靠，安全配置规范，得</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14:paraId="14CAA84D">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（3）所投产品运行基本稳定，维修条件具备，故障率控制有效，安全指标明确，得</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14:paraId="7B00291E">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）所投产品运行流畅，维修可实施，故障率控制可实现，安全配置完整，得</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p>
          <w:p w14:paraId="5ABB158C">
            <w:pPr>
              <w:spacing w:line="360" w:lineRule="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）未提供相关内容的不得分。</w:t>
            </w:r>
          </w:p>
        </w:tc>
      </w:tr>
      <w:tr w14:paraId="0D11F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vMerge w:val="continue"/>
            <w:noWrap w:val="0"/>
            <w:vAlign w:val="center"/>
          </w:tcPr>
          <w:p w14:paraId="0F9F0D4C">
            <w:pPr>
              <w:widowControl/>
              <w:snapToGrid w:val="0"/>
              <w:spacing w:line="360" w:lineRule="auto"/>
              <w:jc w:val="center"/>
              <w:rPr>
                <w:rFonts w:hint="eastAsia" w:ascii="宋体" w:hAnsi="宋体" w:eastAsia="宋体" w:cs="宋体"/>
                <w:kern w:val="0"/>
                <w:sz w:val="21"/>
                <w:szCs w:val="21"/>
              </w:rPr>
            </w:pPr>
          </w:p>
        </w:tc>
        <w:tc>
          <w:tcPr>
            <w:tcW w:w="893" w:type="pct"/>
            <w:vMerge w:val="restart"/>
            <w:noWrap w:val="0"/>
            <w:vAlign w:val="center"/>
          </w:tcPr>
          <w:p w14:paraId="434C23A9">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售后服务能力、措施</w:t>
            </w:r>
            <w:r>
              <w:rPr>
                <w:rFonts w:hint="eastAsia" w:ascii="宋体" w:hAnsi="宋体" w:eastAsia="宋体" w:cs="宋体"/>
                <w:b w:val="0"/>
                <w:bCs w:val="0"/>
                <w:color w:val="auto"/>
                <w:kern w:val="0"/>
                <w:sz w:val="21"/>
                <w:szCs w:val="21"/>
                <w:highlight w:val="none"/>
                <w:lang w:val="en-US" w:eastAsia="zh-CN" w:bidi="ar"/>
              </w:rPr>
              <w:t>（</w:t>
            </w:r>
            <w:r>
              <w:rPr>
                <w:rFonts w:hint="eastAsia" w:ascii="宋体" w:hAnsi="宋体" w:cs="宋体"/>
                <w:b w:val="0"/>
                <w:bCs w:val="0"/>
                <w:color w:val="auto"/>
                <w:kern w:val="0"/>
                <w:sz w:val="21"/>
                <w:szCs w:val="21"/>
                <w:highlight w:val="none"/>
                <w:lang w:val="en-US" w:eastAsia="zh-CN" w:bidi="ar"/>
              </w:rPr>
              <w:t>8</w:t>
            </w:r>
            <w:r>
              <w:rPr>
                <w:rFonts w:hint="eastAsia" w:ascii="宋体" w:hAnsi="宋体" w:eastAsia="宋体" w:cs="宋体"/>
                <w:b w:val="0"/>
                <w:bCs w:val="0"/>
                <w:color w:val="auto"/>
                <w:kern w:val="0"/>
                <w:sz w:val="21"/>
                <w:szCs w:val="21"/>
                <w:highlight w:val="none"/>
                <w:lang w:val="en-US" w:eastAsia="zh-CN" w:bidi="ar"/>
              </w:rPr>
              <w:t>分）</w:t>
            </w:r>
          </w:p>
        </w:tc>
        <w:tc>
          <w:tcPr>
            <w:tcW w:w="3275" w:type="pct"/>
            <w:gridSpan w:val="2"/>
            <w:shd w:val="clear" w:color="auto" w:fill="auto"/>
            <w:noWrap w:val="0"/>
            <w:vAlign w:val="center"/>
          </w:tcPr>
          <w:p w14:paraId="7495A3B2">
            <w:pPr>
              <w:spacing w:line="360" w:lineRule="auto"/>
              <w:jc w:val="left"/>
              <w:rPr>
                <w:rFonts w:hint="eastAsia" w:ascii="宋体" w:hAnsi="宋体" w:eastAsia="宋体" w:cs="宋体"/>
                <w:sz w:val="21"/>
                <w:szCs w:val="21"/>
              </w:rPr>
            </w:pPr>
            <w:r>
              <w:rPr>
                <w:rFonts w:hint="eastAsia" w:ascii="宋体" w:hAnsi="宋体" w:eastAsia="宋体" w:cs="宋体"/>
                <w:sz w:val="21"/>
                <w:szCs w:val="21"/>
              </w:rPr>
              <w:t>1、投标人根据采购需求制定售后服务方案，内容包括但不限于:配送响应时间、承诺保证在招标人要求的供货时间内，售后服务体系、售后技术服务等其他内容，评标委员会对上述要点内容进行逐项评审：</w:t>
            </w:r>
          </w:p>
          <w:p w14:paraId="44FCA150">
            <w:pPr>
              <w:spacing w:line="360" w:lineRule="auto"/>
              <w:jc w:val="left"/>
              <w:rPr>
                <w:rFonts w:hint="eastAsia" w:ascii="宋体" w:hAnsi="宋体" w:eastAsia="宋体" w:cs="宋体"/>
                <w:sz w:val="21"/>
                <w:szCs w:val="21"/>
              </w:rPr>
            </w:pPr>
            <w:r>
              <w:rPr>
                <w:rFonts w:hint="eastAsia" w:ascii="宋体" w:hAnsi="宋体" w:eastAsia="宋体" w:cs="宋体"/>
                <w:sz w:val="21"/>
                <w:szCs w:val="21"/>
              </w:rPr>
              <w:t>（1）售后服务方案内容详细具体，对配送响应时间、供货时间承诺、售后服务体系、售后技术服务等各项要点均有明确且细致的说明，无任何遗漏；配送响应及时迅速，可快速响应招标人配送需求；售后服务体系健全，覆盖全面，具备专业的售后团队、规范的服务流程及完善的服务保障机制；售后技术服务专业到位，得</w:t>
            </w:r>
            <w:r>
              <w:rPr>
                <w:rFonts w:hint="eastAsia" w:ascii="宋体" w:hAnsi="宋体" w:cs="宋体"/>
                <w:sz w:val="21"/>
                <w:szCs w:val="21"/>
                <w:lang w:val="en-US" w:eastAsia="zh-CN"/>
              </w:rPr>
              <w:t>4</w:t>
            </w:r>
            <w:r>
              <w:rPr>
                <w:rFonts w:hint="eastAsia" w:ascii="宋体" w:hAnsi="宋体" w:eastAsia="宋体" w:cs="宋体"/>
                <w:sz w:val="21"/>
                <w:szCs w:val="21"/>
              </w:rPr>
              <w:t>分；</w:t>
            </w:r>
          </w:p>
          <w:p w14:paraId="48281976">
            <w:pPr>
              <w:spacing w:line="360" w:lineRule="auto"/>
              <w:jc w:val="left"/>
              <w:rPr>
                <w:rFonts w:hint="eastAsia" w:ascii="宋体" w:hAnsi="宋体" w:eastAsia="宋体" w:cs="宋体"/>
                <w:sz w:val="21"/>
                <w:szCs w:val="21"/>
              </w:rPr>
            </w:pPr>
            <w:r>
              <w:rPr>
                <w:rFonts w:hint="eastAsia" w:ascii="宋体" w:hAnsi="宋体" w:eastAsia="宋体" w:cs="宋体"/>
                <w:sz w:val="21"/>
                <w:szCs w:val="21"/>
              </w:rPr>
              <w:t>（2）售后服务方案内容详实，对配送响应时间、供货时间承诺、售后服务体系、售后技术服务等各项要点说明清晰，无重要内容遗漏；配送响应及时，可有效响应招标人配送需求；售后服务体系完整，具备专业售后团队、规范服务流程及基本服务保障；售后技术服务规范，可提供及时的技术支持及故障解决方案，方案具备一定可行性，能充分满足采购需求，得</w:t>
            </w:r>
            <w:r>
              <w:rPr>
                <w:rFonts w:hint="eastAsia" w:ascii="宋体" w:hAnsi="宋体" w:cs="宋体"/>
                <w:sz w:val="21"/>
                <w:szCs w:val="21"/>
                <w:lang w:val="en-US" w:eastAsia="zh-CN"/>
              </w:rPr>
              <w:t>3</w:t>
            </w:r>
            <w:r>
              <w:rPr>
                <w:rFonts w:hint="eastAsia" w:ascii="宋体" w:hAnsi="宋体" w:eastAsia="宋体" w:cs="宋体"/>
                <w:sz w:val="21"/>
                <w:szCs w:val="21"/>
              </w:rPr>
              <w:t>分；</w:t>
            </w:r>
          </w:p>
          <w:p w14:paraId="1579228A">
            <w:pPr>
              <w:spacing w:line="360" w:lineRule="auto"/>
              <w:jc w:val="left"/>
              <w:rPr>
                <w:rFonts w:hint="eastAsia" w:ascii="宋体" w:hAnsi="宋体" w:eastAsia="宋体" w:cs="宋体"/>
                <w:sz w:val="21"/>
                <w:szCs w:val="21"/>
              </w:rPr>
            </w:pPr>
            <w:r>
              <w:rPr>
                <w:rFonts w:hint="eastAsia" w:ascii="宋体" w:hAnsi="宋体" w:eastAsia="宋体" w:cs="宋体"/>
                <w:sz w:val="21"/>
                <w:szCs w:val="21"/>
              </w:rPr>
              <w:t>（3）售后服务方案内容完整，涵盖了配送响应时间、供货时间承诺、售后服务体系、售后技术服务等各项核心要点；配送响应符合要求；售后服务体系完整，具备基本的售后团队及服务流程，方案具有可行性，能满足项目基本需求，得</w:t>
            </w:r>
            <w:r>
              <w:rPr>
                <w:rFonts w:hint="eastAsia" w:ascii="宋体" w:hAnsi="宋体" w:cs="宋体"/>
                <w:sz w:val="21"/>
                <w:szCs w:val="21"/>
                <w:lang w:val="en-US" w:eastAsia="zh-CN"/>
              </w:rPr>
              <w:t>2</w:t>
            </w:r>
            <w:r>
              <w:rPr>
                <w:rFonts w:hint="eastAsia" w:ascii="宋体" w:hAnsi="宋体" w:eastAsia="宋体" w:cs="宋体"/>
                <w:sz w:val="21"/>
                <w:szCs w:val="21"/>
              </w:rPr>
              <w:t>分；</w:t>
            </w:r>
          </w:p>
          <w:p w14:paraId="07F449DD">
            <w:pPr>
              <w:spacing w:line="360" w:lineRule="auto"/>
              <w:jc w:val="left"/>
              <w:rPr>
                <w:rFonts w:hint="eastAsia" w:ascii="宋体" w:hAnsi="宋体" w:eastAsia="宋体" w:cs="宋体"/>
                <w:sz w:val="21"/>
                <w:szCs w:val="21"/>
              </w:rPr>
            </w:pPr>
            <w:r>
              <w:rPr>
                <w:rFonts w:hint="eastAsia" w:ascii="宋体" w:hAnsi="宋体" w:eastAsia="宋体" w:cs="宋体"/>
                <w:sz w:val="21"/>
                <w:szCs w:val="21"/>
              </w:rPr>
              <w:t>（4）售后服务方案内容基本完整，涵盖了配送响应时间、供货时间承诺、售后服务体系、售后技术服务等核心要点，但说明不够完整；售后服务体系基本成型，具备基础售后支持及服务流程，方案可行性不足，可勉强满足项目基本需求，得</w:t>
            </w:r>
            <w:r>
              <w:rPr>
                <w:rFonts w:hint="eastAsia" w:ascii="宋体" w:hAnsi="宋体" w:cs="宋体"/>
                <w:sz w:val="21"/>
                <w:szCs w:val="21"/>
                <w:lang w:val="en-US" w:eastAsia="zh-CN"/>
              </w:rPr>
              <w:t>1</w:t>
            </w:r>
            <w:r>
              <w:rPr>
                <w:rFonts w:hint="eastAsia" w:ascii="宋体" w:hAnsi="宋体" w:eastAsia="宋体" w:cs="宋体"/>
                <w:sz w:val="21"/>
                <w:szCs w:val="21"/>
              </w:rPr>
              <w:t>分；</w:t>
            </w:r>
          </w:p>
          <w:p w14:paraId="6710949A">
            <w:pPr>
              <w:spacing w:line="360" w:lineRule="auto"/>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sz w:val="21"/>
                <w:szCs w:val="21"/>
              </w:rPr>
              <w:t>（</w:t>
            </w:r>
            <w:r>
              <w:rPr>
                <w:rFonts w:hint="eastAsia" w:ascii="宋体" w:hAnsi="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color w:val="000000"/>
                <w:sz w:val="21"/>
                <w:szCs w:val="21"/>
                <w:highlight w:val="none"/>
              </w:rPr>
              <w:t>未提供相关内容的不得分</w:t>
            </w:r>
            <w:r>
              <w:rPr>
                <w:rFonts w:hint="eastAsia" w:ascii="宋体" w:hAnsi="宋体" w:eastAsia="宋体" w:cs="宋体"/>
                <w:sz w:val="21"/>
                <w:szCs w:val="21"/>
              </w:rPr>
              <w:t>。</w:t>
            </w:r>
          </w:p>
        </w:tc>
      </w:tr>
      <w:tr w14:paraId="019B9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vMerge w:val="continue"/>
            <w:noWrap w:val="0"/>
            <w:vAlign w:val="center"/>
          </w:tcPr>
          <w:p w14:paraId="0FE802EA">
            <w:pPr>
              <w:widowControl/>
              <w:snapToGrid w:val="0"/>
              <w:spacing w:line="360" w:lineRule="auto"/>
              <w:jc w:val="center"/>
              <w:rPr>
                <w:rFonts w:hint="eastAsia" w:ascii="宋体" w:hAnsi="宋体" w:eastAsia="宋体" w:cs="宋体"/>
                <w:kern w:val="0"/>
                <w:sz w:val="21"/>
                <w:szCs w:val="21"/>
              </w:rPr>
            </w:pPr>
          </w:p>
        </w:tc>
        <w:tc>
          <w:tcPr>
            <w:tcW w:w="893" w:type="pct"/>
            <w:vMerge w:val="continue"/>
            <w:noWrap w:val="0"/>
            <w:vAlign w:val="center"/>
          </w:tcPr>
          <w:p w14:paraId="358F1AED">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p>
        </w:tc>
        <w:tc>
          <w:tcPr>
            <w:tcW w:w="3275" w:type="pct"/>
            <w:gridSpan w:val="2"/>
            <w:shd w:val="clear" w:color="auto" w:fill="auto"/>
            <w:noWrap w:val="0"/>
            <w:vAlign w:val="center"/>
          </w:tcPr>
          <w:p w14:paraId="73DE2F42">
            <w:pPr>
              <w:spacing w:line="360" w:lineRule="auto"/>
              <w:jc w:val="left"/>
              <w:rPr>
                <w:rFonts w:hint="eastAsia" w:ascii="宋体" w:hAnsi="宋体" w:eastAsia="宋体" w:cs="宋体"/>
                <w:sz w:val="21"/>
                <w:szCs w:val="21"/>
              </w:rPr>
            </w:pPr>
            <w:r>
              <w:rPr>
                <w:rFonts w:hint="eastAsia" w:ascii="宋体" w:hAnsi="宋体" w:eastAsia="宋体" w:cs="宋体"/>
                <w:sz w:val="21"/>
                <w:szCs w:val="21"/>
              </w:rPr>
              <w:t>2、投标人根据采购需求制定售后服务方案，内容包括但不限于:针对设备供货及使用过程中出现的问题解决方案（无条件报损退换、近效期退换、供货丢件或错误、产品使用出现质量问题等）其他内容，评标委员会对上述要点内容进行逐项评审：</w:t>
            </w:r>
          </w:p>
          <w:p w14:paraId="64C21F3F">
            <w:pPr>
              <w:spacing w:line="360" w:lineRule="auto"/>
              <w:jc w:val="left"/>
              <w:rPr>
                <w:rFonts w:hint="eastAsia" w:ascii="宋体" w:hAnsi="宋体" w:eastAsia="宋体" w:cs="宋体"/>
                <w:sz w:val="21"/>
                <w:szCs w:val="21"/>
              </w:rPr>
            </w:pPr>
            <w:r>
              <w:rPr>
                <w:rFonts w:hint="eastAsia" w:ascii="宋体" w:hAnsi="宋体" w:eastAsia="宋体" w:cs="宋体"/>
                <w:sz w:val="21"/>
                <w:szCs w:val="21"/>
              </w:rPr>
              <w:t>（1）售后服务方案内容全面详实，对设备供货及使用过程中各类问题的解决方案均有明确、细致的阐述，无遗漏；针对无条件报损退换、近效期退换、供货丢件或错误、产品使用出现质量问题等各类情况，均制定了完善详细的处理流程、责任分工、处理时限及保障措施，逻辑清晰、可操作性强，方案整体完全满足采购需求，得</w:t>
            </w:r>
            <w:r>
              <w:rPr>
                <w:rFonts w:hint="eastAsia" w:ascii="宋体" w:hAnsi="宋体" w:cs="宋体"/>
                <w:sz w:val="21"/>
                <w:szCs w:val="21"/>
                <w:lang w:val="en-US" w:eastAsia="zh-CN"/>
              </w:rPr>
              <w:t>4</w:t>
            </w:r>
            <w:r>
              <w:rPr>
                <w:rFonts w:hint="eastAsia" w:ascii="宋体" w:hAnsi="宋体" w:eastAsia="宋体" w:cs="宋体"/>
                <w:sz w:val="21"/>
                <w:szCs w:val="21"/>
              </w:rPr>
              <w:t>分；</w:t>
            </w:r>
          </w:p>
          <w:p w14:paraId="0BB8EADE">
            <w:pPr>
              <w:spacing w:line="360" w:lineRule="auto"/>
              <w:jc w:val="left"/>
              <w:rPr>
                <w:rFonts w:hint="eastAsia" w:ascii="宋体" w:hAnsi="宋体" w:eastAsia="宋体" w:cs="宋体"/>
                <w:sz w:val="21"/>
                <w:szCs w:val="21"/>
              </w:rPr>
            </w:pPr>
            <w:r>
              <w:rPr>
                <w:rFonts w:hint="eastAsia" w:ascii="宋体" w:hAnsi="宋体" w:eastAsia="宋体" w:cs="宋体"/>
                <w:sz w:val="21"/>
                <w:szCs w:val="21"/>
              </w:rPr>
              <w:t>（2）售后服务方案内容详实完整，全面覆盖设备供货及使用过程中各类常见问题，对无条件报损退换、近效期退换、供货丢件或错误、产品使用出现质量问题等要点均有清晰说明；各类问题的解决方案合理，明确了处理流程、处理时限及基本保障措施，可直接落地执行，方案能充分满足采购需求，得</w:t>
            </w:r>
            <w:r>
              <w:rPr>
                <w:rFonts w:hint="eastAsia" w:ascii="宋体" w:hAnsi="宋体" w:cs="宋体"/>
                <w:sz w:val="21"/>
                <w:szCs w:val="21"/>
                <w:lang w:val="en-US" w:eastAsia="zh-CN"/>
              </w:rPr>
              <w:t>3</w:t>
            </w:r>
            <w:r>
              <w:rPr>
                <w:rFonts w:hint="eastAsia" w:ascii="宋体" w:hAnsi="宋体" w:eastAsia="宋体" w:cs="宋体"/>
                <w:sz w:val="21"/>
                <w:szCs w:val="21"/>
              </w:rPr>
              <w:t>分；</w:t>
            </w:r>
          </w:p>
          <w:p w14:paraId="464D9C12">
            <w:pPr>
              <w:spacing w:line="360" w:lineRule="auto"/>
              <w:jc w:val="left"/>
              <w:rPr>
                <w:rFonts w:hint="eastAsia" w:ascii="宋体" w:hAnsi="宋体" w:eastAsia="宋体" w:cs="宋体"/>
                <w:sz w:val="21"/>
                <w:szCs w:val="21"/>
              </w:rPr>
            </w:pPr>
            <w:r>
              <w:rPr>
                <w:rFonts w:hint="eastAsia" w:ascii="宋体" w:hAnsi="宋体" w:eastAsia="宋体" w:cs="宋体"/>
                <w:sz w:val="21"/>
                <w:szCs w:val="21"/>
              </w:rPr>
              <w:t>（3）售后服务方案内容完整，明确涵盖了设备供货及使用过程中核心问题，包含无条件报损退换、近效期退换、供货丢件或错误、产品使用出现质量问题等相关解决方案；各类问题的解决方案合理可行，明确了基本处理流程及处理要求，无明显漏洞，能满足项目基本需求，得</w:t>
            </w:r>
            <w:r>
              <w:rPr>
                <w:rFonts w:hint="eastAsia" w:ascii="宋体" w:hAnsi="宋体" w:cs="宋体"/>
                <w:sz w:val="21"/>
                <w:szCs w:val="21"/>
                <w:lang w:val="en-US" w:eastAsia="zh-CN"/>
              </w:rPr>
              <w:t>2</w:t>
            </w:r>
            <w:r>
              <w:rPr>
                <w:rFonts w:hint="eastAsia" w:ascii="宋体" w:hAnsi="宋体" w:eastAsia="宋体" w:cs="宋体"/>
                <w:sz w:val="21"/>
                <w:szCs w:val="21"/>
              </w:rPr>
              <w:t>分；</w:t>
            </w:r>
          </w:p>
          <w:p w14:paraId="29E26C0F">
            <w:pPr>
              <w:spacing w:line="360" w:lineRule="auto"/>
              <w:jc w:val="left"/>
              <w:rPr>
                <w:rFonts w:hint="eastAsia" w:ascii="宋体" w:hAnsi="宋体" w:eastAsia="宋体" w:cs="宋体"/>
                <w:sz w:val="21"/>
                <w:szCs w:val="21"/>
              </w:rPr>
            </w:pPr>
            <w:r>
              <w:rPr>
                <w:rFonts w:hint="eastAsia" w:ascii="宋体" w:hAnsi="宋体" w:eastAsia="宋体" w:cs="宋体"/>
                <w:sz w:val="21"/>
                <w:szCs w:val="21"/>
              </w:rPr>
              <w:t>（4）售后服务方案内容基本完整，涵盖设备供货及使用过程中主要问题，对无条件报损退换、近效期退换、供货丢件或错误、产品使用出现质量问题等要点有基本说明；各类问题的解决方案基本合理，明确了处理流程，但部分细节欠缺，可勉强落地执行，能基本满足项目需求，得</w:t>
            </w:r>
            <w:r>
              <w:rPr>
                <w:rFonts w:hint="eastAsia" w:ascii="宋体" w:hAnsi="宋体" w:cs="宋体"/>
                <w:sz w:val="21"/>
                <w:szCs w:val="21"/>
                <w:lang w:val="en-US" w:eastAsia="zh-CN"/>
              </w:rPr>
              <w:t>1</w:t>
            </w:r>
            <w:r>
              <w:rPr>
                <w:rFonts w:hint="eastAsia" w:ascii="宋体" w:hAnsi="宋体" w:eastAsia="宋体" w:cs="宋体"/>
                <w:sz w:val="21"/>
                <w:szCs w:val="21"/>
              </w:rPr>
              <w:t>分；</w:t>
            </w:r>
          </w:p>
          <w:p w14:paraId="46C651F6">
            <w:pPr>
              <w:spacing w:line="360" w:lineRule="auto"/>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sz w:val="21"/>
                <w:szCs w:val="21"/>
              </w:rPr>
              <w:t>（</w:t>
            </w:r>
            <w:r>
              <w:rPr>
                <w:rFonts w:hint="eastAsia" w:ascii="宋体" w:hAnsi="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color w:val="000000"/>
                <w:sz w:val="21"/>
                <w:szCs w:val="21"/>
                <w:highlight w:val="none"/>
              </w:rPr>
              <w:t>未提供相关内容的不得分</w:t>
            </w:r>
            <w:r>
              <w:rPr>
                <w:rFonts w:hint="eastAsia" w:ascii="宋体" w:hAnsi="宋体" w:eastAsia="宋体" w:cs="宋体"/>
                <w:sz w:val="21"/>
                <w:szCs w:val="21"/>
              </w:rPr>
              <w:t>。</w:t>
            </w:r>
          </w:p>
        </w:tc>
      </w:tr>
      <w:tr w14:paraId="30487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vMerge w:val="continue"/>
            <w:noWrap w:val="0"/>
            <w:vAlign w:val="center"/>
          </w:tcPr>
          <w:p w14:paraId="2B70E829">
            <w:pPr>
              <w:widowControl/>
              <w:snapToGrid w:val="0"/>
              <w:spacing w:line="360" w:lineRule="auto"/>
              <w:jc w:val="center"/>
              <w:rPr>
                <w:rFonts w:hint="eastAsia" w:ascii="宋体" w:hAnsi="宋体" w:eastAsia="宋体" w:cs="宋体"/>
                <w:kern w:val="0"/>
                <w:sz w:val="21"/>
                <w:szCs w:val="21"/>
              </w:rPr>
            </w:pPr>
          </w:p>
        </w:tc>
        <w:tc>
          <w:tcPr>
            <w:tcW w:w="893" w:type="pct"/>
            <w:noWrap w:val="0"/>
            <w:vAlign w:val="center"/>
          </w:tcPr>
          <w:p w14:paraId="6353AEB9">
            <w:pPr>
              <w:widowControl/>
              <w:snapToGrid w:val="0"/>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维保方案</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分）</w:t>
            </w:r>
          </w:p>
        </w:tc>
        <w:tc>
          <w:tcPr>
            <w:tcW w:w="3275" w:type="pct"/>
            <w:gridSpan w:val="2"/>
            <w:noWrap w:val="0"/>
            <w:vAlign w:val="center"/>
          </w:tcPr>
          <w:p w14:paraId="4BEE6D5E">
            <w:pPr>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根据投标人投标文件中提供的维保方案进行综合评审，主要考虑维保方式、维保内容、时间保证、人员配备等: </w:t>
            </w:r>
          </w:p>
          <w:p w14:paraId="72EC8158">
            <w:pPr>
              <w:spacing w:line="360" w:lineRule="auto"/>
              <w:jc w:val="left"/>
              <w:rPr>
                <w:rFonts w:hint="eastAsia" w:ascii="宋体" w:hAnsi="宋体" w:eastAsia="宋体" w:cs="宋体"/>
                <w:sz w:val="21"/>
                <w:szCs w:val="21"/>
              </w:rPr>
            </w:pPr>
            <w:r>
              <w:rPr>
                <w:rFonts w:hint="eastAsia" w:ascii="宋体" w:hAnsi="宋体" w:eastAsia="宋体" w:cs="宋体"/>
                <w:sz w:val="21"/>
                <w:szCs w:val="21"/>
              </w:rPr>
              <w:t>（1）维保方案内容全面详实，明确规范维保方式、维保内容、时间保证、人员配备等各项核心要点，无遗漏；维保人员配备充足，均具备专业资质及丰富维保经验，分工明确、责任清晰；故障响应时间短，可实现快速响应、及时处置，保障设备尽快恢复正常运行；维保内容详实具体，流程规范、措施到位；维保政策贴合项目实际，符合项目需求，得</w:t>
            </w:r>
            <w:r>
              <w:rPr>
                <w:rFonts w:hint="eastAsia" w:ascii="宋体" w:hAnsi="宋体" w:cs="宋体"/>
                <w:sz w:val="21"/>
                <w:szCs w:val="21"/>
                <w:lang w:val="en-US" w:eastAsia="zh-CN"/>
              </w:rPr>
              <w:t>4</w:t>
            </w:r>
            <w:r>
              <w:rPr>
                <w:rFonts w:hint="eastAsia" w:ascii="宋体" w:hAnsi="宋体" w:eastAsia="宋体" w:cs="宋体"/>
                <w:sz w:val="21"/>
                <w:szCs w:val="21"/>
              </w:rPr>
              <w:t>分；</w:t>
            </w:r>
          </w:p>
          <w:p w14:paraId="7BD622AC">
            <w:pPr>
              <w:spacing w:line="360" w:lineRule="auto"/>
              <w:jc w:val="left"/>
              <w:rPr>
                <w:rFonts w:hint="eastAsia" w:ascii="宋体" w:hAnsi="宋体" w:eastAsia="宋体" w:cs="宋体"/>
                <w:sz w:val="21"/>
                <w:szCs w:val="21"/>
              </w:rPr>
            </w:pPr>
            <w:r>
              <w:rPr>
                <w:rFonts w:hint="eastAsia" w:ascii="宋体" w:hAnsi="宋体" w:eastAsia="宋体" w:cs="宋体"/>
                <w:sz w:val="21"/>
                <w:szCs w:val="21"/>
              </w:rPr>
              <w:t>（2）维保方案内容完整，清晰明确维保方式、维保内容、时间保证、人员配备等核心要点；维保人员配备齐全，具备相应专业资质及维保能力，可满足日常维保需求；故障响应及时，明确合理的响应时限，能高效处置各类常见故障；维保内容完整，流程清晰、措施可行；维保政策科学合理，与项目实际需要匹配，得</w:t>
            </w:r>
            <w:r>
              <w:rPr>
                <w:rFonts w:hint="eastAsia" w:ascii="宋体" w:hAnsi="宋体" w:cs="宋体"/>
                <w:sz w:val="21"/>
                <w:szCs w:val="21"/>
                <w:lang w:val="en-US" w:eastAsia="zh-CN"/>
              </w:rPr>
              <w:t>3</w:t>
            </w:r>
            <w:r>
              <w:rPr>
                <w:rFonts w:hint="eastAsia" w:ascii="宋体" w:hAnsi="宋体" w:eastAsia="宋体" w:cs="宋体"/>
                <w:sz w:val="21"/>
                <w:szCs w:val="21"/>
              </w:rPr>
              <w:t>分；</w:t>
            </w:r>
          </w:p>
          <w:p w14:paraId="3E0FAE46">
            <w:pPr>
              <w:spacing w:line="360" w:lineRule="auto"/>
              <w:jc w:val="left"/>
              <w:rPr>
                <w:rFonts w:hint="eastAsia" w:ascii="宋体" w:hAnsi="宋体" w:eastAsia="宋体" w:cs="宋体"/>
                <w:sz w:val="21"/>
                <w:szCs w:val="21"/>
              </w:rPr>
            </w:pPr>
            <w:r>
              <w:rPr>
                <w:rFonts w:hint="eastAsia" w:ascii="宋体" w:hAnsi="宋体" w:eastAsia="宋体" w:cs="宋体"/>
                <w:sz w:val="21"/>
                <w:szCs w:val="21"/>
              </w:rPr>
              <w:t>（3）维保方案内容完整，涵盖了维保方式、维保内容、时间保证、人员配备等核心要点；配备专业维保服务人员，具备基础维保资质及能力；故障响应时限明确，可正常处置设备常见故障；维保内容基本完整，流程规范；维保政策基本与项目实际需要相匹配，得</w:t>
            </w:r>
            <w:r>
              <w:rPr>
                <w:rFonts w:hint="eastAsia" w:ascii="宋体" w:hAnsi="宋体" w:cs="宋体"/>
                <w:sz w:val="21"/>
                <w:szCs w:val="21"/>
                <w:lang w:val="en-US" w:eastAsia="zh-CN"/>
              </w:rPr>
              <w:t>2</w:t>
            </w:r>
            <w:r>
              <w:rPr>
                <w:rFonts w:hint="eastAsia" w:ascii="宋体" w:hAnsi="宋体" w:eastAsia="宋体" w:cs="宋体"/>
                <w:sz w:val="21"/>
                <w:szCs w:val="21"/>
              </w:rPr>
              <w:t>分；</w:t>
            </w:r>
          </w:p>
          <w:p w14:paraId="0F629667">
            <w:pPr>
              <w:spacing w:line="360" w:lineRule="auto"/>
              <w:jc w:val="left"/>
              <w:rPr>
                <w:rFonts w:hint="eastAsia" w:ascii="宋体" w:hAnsi="宋体" w:eastAsia="宋体" w:cs="宋体"/>
                <w:sz w:val="21"/>
                <w:szCs w:val="21"/>
              </w:rPr>
            </w:pPr>
            <w:r>
              <w:rPr>
                <w:rFonts w:hint="eastAsia" w:ascii="宋体" w:hAnsi="宋体" w:eastAsia="宋体" w:cs="宋体"/>
                <w:sz w:val="21"/>
                <w:szCs w:val="21"/>
              </w:rPr>
              <w:t>（4）维保方案内容基本完整，包含维保方式、维保内容、时间保证、人员配备等核心要点，说明基本完善；配备维保服务人员，资质及维保能力基本完整，可完成维保工作；维保内容基本具备，可满足项目基本维保需求，得</w:t>
            </w:r>
            <w:r>
              <w:rPr>
                <w:rFonts w:hint="eastAsia" w:ascii="宋体" w:hAnsi="宋体" w:cs="宋体"/>
                <w:sz w:val="21"/>
                <w:szCs w:val="21"/>
                <w:lang w:val="en-US" w:eastAsia="zh-CN"/>
              </w:rPr>
              <w:t>1</w:t>
            </w:r>
            <w:r>
              <w:rPr>
                <w:rFonts w:hint="eastAsia" w:ascii="宋体" w:hAnsi="宋体" w:eastAsia="宋体" w:cs="宋体"/>
                <w:sz w:val="21"/>
                <w:szCs w:val="21"/>
              </w:rPr>
              <w:t>分；</w:t>
            </w:r>
          </w:p>
          <w:p w14:paraId="45D6D5EE">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sz w:val="21"/>
                <w:szCs w:val="21"/>
              </w:rPr>
              <w:t>（</w:t>
            </w:r>
            <w:r>
              <w:rPr>
                <w:rFonts w:hint="eastAsia" w:ascii="宋体" w:hAnsi="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color w:val="000000"/>
                <w:sz w:val="21"/>
                <w:szCs w:val="21"/>
                <w:highlight w:val="none"/>
              </w:rPr>
              <w:t>未提供相关内容的不得分</w:t>
            </w:r>
            <w:r>
              <w:rPr>
                <w:rFonts w:hint="eastAsia" w:ascii="宋体" w:hAnsi="宋体" w:eastAsia="宋体" w:cs="宋体"/>
                <w:sz w:val="21"/>
                <w:szCs w:val="21"/>
              </w:rPr>
              <w:t>。</w:t>
            </w:r>
          </w:p>
        </w:tc>
      </w:tr>
      <w:tr w14:paraId="2C995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vMerge w:val="continue"/>
            <w:noWrap w:val="0"/>
            <w:vAlign w:val="center"/>
          </w:tcPr>
          <w:p w14:paraId="222EE33F">
            <w:pPr>
              <w:widowControl/>
              <w:snapToGrid w:val="0"/>
              <w:spacing w:line="360" w:lineRule="auto"/>
              <w:jc w:val="center"/>
              <w:rPr>
                <w:rFonts w:hint="eastAsia" w:ascii="宋体" w:hAnsi="宋体" w:eastAsia="宋体" w:cs="宋体"/>
                <w:kern w:val="0"/>
                <w:sz w:val="21"/>
                <w:szCs w:val="21"/>
              </w:rPr>
            </w:pPr>
          </w:p>
        </w:tc>
        <w:tc>
          <w:tcPr>
            <w:tcW w:w="893" w:type="pct"/>
            <w:noWrap w:val="0"/>
            <w:vAlign w:val="center"/>
          </w:tcPr>
          <w:p w14:paraId="2A222BCF">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hint="eastAsia" w:ascii="宋体" w:hAnsi="宋体" w:eastAsia="宋体" w:cs="宋体"/>
                <w:b w:val="0"/>
                <w:bCs w:val="0"/>
                <w:color w:val="auto"/>
                <w:kern w:val="0"/>
                <w:sz w:val="21"/>
                <w:szCs w:val="21"/>
                <w:highlight w:val="none"/>
                <w:lang w:val="en-US" w:eastAsia="zh-CN" w:bidi="ar"/>
              </w:rPr>
            </w:pPr>
          </w:p>
          <w:p w14:paraId="3DDCA3F8">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rPr>
              <w:t>培训方案</w:t>
            </w:r>
            <w:r>
              <w:rPr>
                <w:rFonts w:hint="eastAsia" w:ascii="宋体" w:hAnsi="宋体" w:eastAsia="宋体" w:cs="宋体"/>
                <w:b w:val="0"/>
                <w:bCs w:val="0"/>
                <w:color w:val="auto"/>
                <w:kern w:val="0"/>
                <w:sz w:val="21"/>
                <w:szCs w:val="21"/>
                <w:highlight w:val="none"/>
                <w:lang w:val="en-US" w:eastAsia="zh-CN" w:bidi="ar"/>
              </w:rPr>
              <w:t>（</w:t>
            </w:r>
            <w:r>
              <w:rPr>
                <w:rFonts w:hint="eastAsia" w:ascii="宋体" w:hAnsi="宋体" w:cs="宋体"/>
                <w:b w:val="0"/>
                <w:bCs w:val="0"/>
                <w:color w:val="auto"/>
                <w:kern w:val="0"/>
                <w:sz w:val="21"/>
                <w:szCs w:val="21"/>
                <w:highlight w:val="none"/>
                <w:lang w:val="en-US" w:eastAsia="zh-CN" w:bidi="ar"/>
              </w:rPr>
              <w:t>4</w:t>
            </w:r>
            <w:r>
              <w:rPr>
                <w:rFonts w:hint="eastAsia" w:ascii="宋体" w:hAnsi="宋体" w:eastAsia="宋体" w:cs="宋体"/>
                <w:b w:val="0"/>
                <w:bCs w:val="0"/>
                <w:color w:val="auto"/>
                <w:kern w:val="0"/>
                <w:sz w:val="21"/>
                <w:szCs w:val="21"/>
                <w:highlight w:val="none"/>
                <w:lang w:val="en-US" w:eastAsia="zh-CN" w:bidi="ar"/>
              </w:rPr>
              <w:t>分）</w:t>
            </w:r>
          </w:p>
          <w:p w14:paraId="38A5572E">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p>
        </w:tc>
        <w:tc>
          <w:tcPr>
            <w:tcW w:w="3275" w:type="pct"/>
            <w:gridSpan w:val="2"/>
            <w:noWrap w:val="0"/>
            <w:vAlign w:val="center"/>
          </w:tcPr>
          <w:p w14:paraId="3B8E76FF">
            <w:pPr>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投标人提供培训方案，包括但不限于培训内容、安排是否合理，培训人员经验是否丰富，是否提供详细有针对性的培训材料等，由评标委员会进行综合评审：</w:t>
            </w:r>
          </w:p>
          <w:p w14:paraId="708CC95B">
            <w:pPr>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1）培训方案内容详细具体，全面覆盖培训内容、培训安排、培训人员、培训材料等各项核心要点，无遗漏；培训内容清晰全面，贴合项目实际需求；培训安排合理，培训衔接顺畅，完全适配项目培训需求；提供详细且有针对性的培训材料，内容详实、重点突出，方案的针对性和操作性完善，得</w:t>
            </w:r>
            <w:r>
              <w:rPr>
                <w:rFonts w:hint="eastAsia" w:ascii="宋体" w:hAnsi="宋体" w:cs="宋体"/>
                <w:kern w:val="0"/>
                <w:sz w:val="21"/>
                <w:szCs w:val="21"/>
                <w:lang w:val="en-US" w:eastAsia="zh-CN"/>
              </w:rPr>
              <w:t>4</w:t>
            </w:r>
            <w:r>
              <w:rPr>
                <w:rFonts w:hint="eastAsia" w:ascii="宋体" w:hAnsi="宋体" w:eastAsia="宋体" w:cs="宋体"/>
                <w:kern w:val="0"/>
                <w:sz w:val="21"/>
                <w:szCs w:val="21"/>
              </w:rPr>
              <w:t>分；</w:t>
            </w:r>
          </w:p>
          <w:p w14:paraId="22194183">
            <w:pPr>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2）培训方案内容完整，清晰明确培训内容、培训安排、培训人员、培训材料等核心要点；培训内容全面，贴合项目实际；培训安排合理，时长充足、环节清晰，可顺利开展培训工作；培训人员具备相应培训能力；提供有针对性的培训材料，内容完整、逻辑清晰，方案可行且能充分满足采购项目后期要求，得</w:t>
            </w:r>
            <w:r>
              <w:rPr>
                <w:rFonts w:hint="eastAsia" w:ascii="宋体" w:hAnsi="宋体" w:cs="宋体"/>
                <w:kern w:val="0"/>
                <w:sz w:val="21"/>
                <w:szCs w:val="21"/>
                <w:lang w:val="en-US" w:eastAsia="zh-CN"/>
              </w:rPr>
              <w:t>3</w:t>
            </w:r>
            <w:r>
              <w:rPr>
                <w:rFonts w:hint="eastAsia" w:ascii="宋体" w:hAnsi="宋体" w:eastAsia="宋体" w:cs="宋体"/>
                <w:kern w:val="0"/>
                <w:sz w:val="21"/>
                <w:szCs w:val="21"/>
              </w:rPr>
              <w:t>分；</w:t>
            </w:r>
          </w:p>
          <w:p w14:paraId="7D6E1CC7">
            <w:pPr>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3）培训方案内容全面，涵盖培训内容、培训安排、培训人员、培训材料等核心要点；培训内容完整，可满足采购项目后期培训要求；培训安排合理，环节清晰，能正常开展培训工作；培训人员可完成基础培训讲解；提供相应培训材料，内容基本完整，方案具有可行性，能满足采购项目后期基本要求，得</w:t>
            </w:r>
            <w:r>
              <w:rPr>
                <w:rFonts w:hint="eastAsia" w:ascii="宋体" w:hAnsi="宋体" w:cs="宋体"/>
                <w:kern w:val="0"/>
                <w:sz w:val="21"/>
                <w:szCs w:val="21"/>
                <w:lang w:val="en-US" w:eastAsia="zh-CN"/>
              </w:rPr>
              <w:t>2</w:t>
            </w:r>
            <w:r>
              <w:rPr>
                <w:rFonts w:hint="eastAsia" w:ascii="宋体" w:hAnsi="宋体" w:eastAsia="宋体" w:cs="宋体"/>
                <w:kern w:val="0"/>
                <w:sz w:val="21"/>
                <w:szCs w:val="21"/>
              </w:rPr>
              <w:t>分；</w:t>
            </w:r>
          </w:p>
          <w:p w14:paraId="4E9FA344">
            <w:pPr>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4）培训方案内容基本完整，包含培训内容、培训安排、培训人员、培训材料等核心要点，培训内容基本完整，可勉强覆盖项目后期基础培训需求；培训安排基本合理，环节无明显漏洞，可正常开展基础培训；培训人员具备基础培训能力，可完成简单培训讲解；提供基础培训材料，能基本满足采购项目后期培训要求，得</w:t>
            </w:r>
            <w:r>
              <w:rPr>
                <w:rFonts w:hint="eastAsia" w:ascii="宋体" w:hAnsi="宋体" w:cs="宋体"/>
                <w:kern w:val="0"/>
                <w:sz w:val="21"/>
                <w:szCs w:val="21"/>
                <w:lang w:val="en-US" w:eastAsia="zh-CN"/>
              </w:rPr>
              <w:t>1</w:t>
            </w:r>
            <w:r>
              <w:rPr>
                <w:rFonts w:hint="eastAsia" w:ascii="宋体" w:hAnsi="宋体" w:eastAsia="宋体" w:cs="宋体"/>
                <w:kern w:val="0"/>
                <w:sz w:val="21"/>
                <w:szCs w:val="21"/>
              </w:rPr>
              <w:t>分；</w:t>
            </w:r>
          </w:p>
          <w:p w14:paraId="1987BC44">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kern w:val="0"/>
                <w:sz w:val="21"/>
                <w:szCs w:val="21"/>
              </w:rPr>
              <w:t>（</w:t>
            </w:r>
            <w:r>
              <w:rPr>
                <w:rFonts w:hint="eastAsia" w:ascii="宋体" w:hAnsi="宋体" w:cs="宋体"/>
                <w:kern w:val="0"/>
                <w:sz w:val="21"/>
                <w:szCs w:val="21"/>
                <w:lang w:val="en-US" w:eastAsia="zh-CN"/>
              </w:rPr>
              <w:t>5</w:t>
            </w:r>
            <w:r>
              <w:rPr>
                <w:rFonts w:hint="eastAsia" w:ascii="宋体" w:hAnsi="宋体" w:eastAsia="宋体" w:cs="宋体"/>
                <w:kern w:val="0"/>
                <w:sz w:val="21"/>
                <w:szCs w:val="21"/>
              </w:rPr>
              <w:t>）</w:t>
            </w:r>
            <w:r>
              <w:rPr>
                <w:rFonts w:hint="eastAsia" w:ascii="宋体" w:hAnsi="宋体" w:eastAsia="宋体" w:cs="宋体"/>
                <w:color w:val="000000"/>
                <w:sz w:val="21"/>
                <w:szCs w:val="21"/>
                <w:highlight w:val="none"/>
              </w:rPr>
              <w:t>未提供相关内容的不得分</w:t>
            </w:r>
            <w:r>
              <w:rPr>
                <w:rFonts w:hint="eastAsia" w:ascii="宋体" w:hAnsi="宋体" w:eastAsia="宋体" w:cs="宋体"/>
                <w:kern w:val="0"/>
                <w:sz w:val="21"/>
                <w:szCs w:val="21"/>
              </w:rPr>
              <w:t>。</w:t>
            </w:r>
          </w:p>
        </w:tc>
      </w:tr>
      <w:tr w14:paraId="2D706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31" w:type="pct"/>
            <w:noWrap w:val="0"/>
            <w:vAlign w:val="center"/>
          </w:tcPr>
          <w:p w14:paraId="7007D3BB">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价格分</w:t>
            </w:r>
          </w:p>
          <w:p w14:paraId="3D0F2F97">
            <w:pPr>
              <w:widowControl/>
              <w:snapToGrid w:val="0"/>
              <w:spacing w:line="360" w:lineRule="auto"/>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4</w:t>
            </w:r>
            <w:r>
              <w:rPr>
                <w:rFonts w:hint="eastAsia" w:ascii="宋体" w:hAnsi="宋体" w:eastAsia="宋体" w:cs="宋体"/>
                <w:sz w:val="21"/>
                <w:szCs w:val="21"/>
                <w:highlight w:val="none"/>
                <w:u w:val="single"/>
                <w:lang w:val="en-US" w:eastAsia="zh-CN"/>
              </w:rPr>
              <w:t>0</w:t>
            </w:r>
            <w:r>
              <w:rPr>
                <w:rFonts w:hint="eastAsia" w:ascii="宋体" w:hAnsi="宋体" w:eastAsia="宋体" w:cs="宋体"/>
                <w:sz w:val="21"/>
                <w:szCs w:val="21"/>
                <w:highlight w:val="none"/>
              </w:rPr>
              <w:t>分）</w:t>
            </w:r>
          </w:p>
        </w:tc>
        <w:tc>
          <w:tcPr>
            <w:tcW w:w="3110" w:type="pct"/>
            <w:gridSpan w:val="2"/>
            <w:noWrap w:val="0"/>
            <w:vAlign w:val="center"/>
          </w:tcPr>
          <w:p w14:paraId="28A9A10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价格分统一采用低价优先法，即满足招标文件要求且投标价格最低的投标报价为评标基准价，其价格分为满分。其他投标人的价格分统一按照下列公式计算：</w:t>
            </w:r>
          </w:p>
          <w:p w14:paraId="0167A12F">
            <w:pPr>
              <w:widowControl/>
              <w:snapToGrid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投标报价得分＝（评标基准价/投标报价）×</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4</w:t>
            </w:r>
            <w:r>
              <w:rPr>
                <w:rFonts w:hint="eastAsia" w:ascii="宋体" w:hAnsi="宋体" w:eastAsia="宋体" w:cs="宋体"/>
                <w:sz w:val="21"/>
                <w:szCs w:val="21"/>
                <w:highlight w:val="none"/>
                <w:u w:val="single"/>
                <w:lang w:val="en-US" w:eastAsia="zh-CN"/>
              </w:rPr>
              <w:t>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％×100</w:t>
            </w:r>
          </w:p>
        </w:tc>
        <w:tc>
          <w:tcPr>
            <w:tcW w:w="1058" w:type="pct"/>
            <w:noWrap w:val="0"/>
            <w:vAlign w:val="center"/>
          </w:tcPr>
          <w:p w14:paraId="41955937">
            <w:pPr>
              <w:snapToGrid w:val="0"/>
              <w:spacing w:line="360" w:lineRule="auto"/>
              <w:rPr>
                <w:rFonts w:hint="eastAsia" w:ascii="宋体" w:hAnsi="宋体" w:eastAsia="宋体" w:cs="宋体"/>
                <w:i/>
                <w:color w:val="FF0000"/>
                <w:sz w:val="21"/>
                <w:szCs w:val="21"/>
                <w:highlight w:val="none"/>
              </w:rPr>
            </w:pPr>
            <w:r>
              <w:rPr>
                <w:rFonts w:hint="eastAsia" w:ascii="宋体" w:hAnsi="宋体" w:eastAsia="宋体" w:cs="宋体"/>
                <w:sz w:val="21"/>
                <w:szCs w:val="21"/>
                <w:highlight w:val="none"/>
              </w:rPr>
              <w:t>符合价格扣除政策的，用扣除后的价格参与计算、评分。</w:t>
            </w:r>
          </w:p>
        </w:tc>
      </w:tr>
    </w:tbl>
    <w:p w14:paraId="6833A06D">
      <w:pPr>
        <w:spacing w:line="408" w:lineRule="auto"/>
        <w:ind w:firstLine="422" w:firstLineChars="200"/>
        <w:jc w:val="left"/>
        <w:rPr>
          <w:rFonts w:ascii="宋体" w:hAnsi="宋体"/>
          <w:b/>
          <w:bCs/>
          <w:highlight w:val="none"/>
        </w:rPr>
      </w:pPr>
      <w:r>
        <w:rPr>
          <w:rFonts w:hint="eastAsia" w:ascii="宋体" w:hAnsi="宋体"/>
          <w:b/>
          <w:bCs/>
          <w:highlight w:val="none"/>
          <w:lang w:val="en-US" w:eastAsia="zh-CN"/>
        </w:rPr>
        <w:t>4</w:t>
      </w:r>
      <w:r>
        <w:rPr>
          <w:rFonts w:hint="eastAsia" w:ascii="宋体" w:hAnsi="宋体"/>
          <w:b/>
          <w:bCs/>
          <w:highlight w:val="none"/>
        </w:rPr>
        <w:t>.详细评审结束后，将对有效投标供应商得分进行汇总排序。</w:t>
      </w:r>
    </w:p>
    <w:p w14:paraId="203AE4DB">
      <w:pPr>
        <w:spacing w:line="408" w:lineRule="auto"/>
        <w:ind w:firstLine="420" w:firstLineChars="200"/>
        <w:jc w:val="left"/>
        <w:rPr>
          <w:rFonts w:ascii="宋体" w:hAnsi="宋体"/>
          <w:highlight w:val="none"/>
        </w:rPr>
      </w:pPr>
      <w:r>
        <w:rPr>
          <w:rFonts w:hint="eastAsia" w:ascii="宋体" w:hAnsi="宋体"/>
          <w:highlight w:val="none"/>
        </w:rPr>
        <w:t>（1）将每个有效投标供应商的技术资信分之和再加上根据上面步骤计算出的投标报价得分，即为该投标供应商的综合总得分，综合总得分保留两位小数，小数点后第三位四舍五入。</w:t>
      </w:r>
    </w:p>
    <w:p w14:paraId="16C5CFC6">
      <w:pPr>
        <w:spacing w:line="408" w:lineRule="auto"/>
        <w:ind w:firstLine="420" w:firstLineChars="200"/>
        <w:jc w:val="left"/>
        <w:rPr>
          <w:rFonts w:hint="eastAsia" w:ascii="宋体" w:hAnsi="宋体"/>
          <w:highlight w:val="none"/>
        </w:rPr>
      </w:pPr>
      <w:r>
        <w:rPr>
          <w:rFonts w:hint="eastAsia" w:ascii="宋体" w:hAnsi="宋体"/>
          <w:highlight w:val="none"/>
        </w:rPr>
        <w:t>（2）按照有效投标供应商综合总得分由高到低排出中标候选人。</w:t>
      </w:r>
    </w:p>
    <w:p w14:paraId="09449B62">
      <w:pPr>
        <w:widowControl/>
        <w:adjustRightInd w:val="0"/>
        <w:snapToGrid w:val="0"/>
        <w:spacing w:line="408" w:lineRule="auto"/>
        <w:ind w:firstLine="422" w:firstLineChars="200"/>
        <w:jc w:val="left"/>
        <w:rPr>
          <w:rFonts w:ascii="宋体" w:hAnsi="宋体"/>
          <w:szCs w:val="21"/>
          <w:highlight w:val="none"/>
        </w:rPr>
      </w:pPr>
      <w:r>
        <w:rPr>
          <w:rFonts w:hint="eastAsia" w:ascii="宋体" w:hAnsi="宋体"/>
          <w:b/>
          <w:bCs/>
          <w:szCs w:val="21"/>
          <w:highlight w:val="none"/>
          <w:lang w:val="en-US" w:eastAsia="zh-CN"/>
        </w:rPr>
        <w:t>5</w:t>
      </w:r>
      <w:r>
        <w:rPr>
          <w:rFonts w:hint="eastAsia" w:ascii="宋体" w:hAnsi="宋体"/>
          <w:b/>
          <w:bCs/>
          <w:szCs w:val="21"/>
          <w:highlight w:val="none"/>
        </w:rPr>
        <w:t>.关于同品牌多家供应商处理原则：</w:t>
      </w:r>
    </w:p>
    <w:p w14:paraId="608E4F33">
      <w:pPr>
        <w:widowControl/>
        <w:adjustRightInd w:val="0"/>
        <w:snapToGrid w:val="0"/>
        <w:spacing w:line="408" w:lineRule="auto"/>
        <w:ind w:firstLine="420" w:firstLineChars="200"/>
        <w:jc w:val="left"/>
        <w:rPr>
          <w:rFonts w:hint="eastAsia" w:ascii="宋体" w:hAnsi="宋体"/>
          <w:color w:val="auto"/>
          <w:szCs w:val="21"/>
          <w:highlight w:val="none"/>
        </w:rPr>
      </w:pPr>
      <w:r>
        <w:rPr>
          <w:rFonts w:hint="eastAsia" w:ascii="宋体" w:hAnsi="宋体"/>
          <w:szCs w:val="21"/>
          <w:highlight w:val="none"/>
        </w:rPr>
        <w:t>单</w:t>
      </w:r>
      <w:r>
        <w:rPr>
          <w:rFonts w:hint="eastAsia" w:ascii="宋体" w:hAnsi="宋体"/>
          <w:color w:val="auto"/>
          <w:szCs w:val="21"/>
          <w:highlight w:val="none"/>
        </w:rPr>
        <w:t>一产品采购项目，提供相同品牌产品且通过资格审查、符合性审查</w:t>
      </w:r>
      <w:r>
        <w:rPr>
          <w:rFonts w:hint="eastAsia" w:ascii="宋体" w:hAnsi="宋体"/>
          <w:color w:val="auto"/>
          <w:szCs w:val="21"/>
          <w:highlight w:val="none"/>
          <w:lang w:val="en-US" w:eastAsia="zh-CN"/>
        </w:rPr>
        <w:t>和异常低价投标审查</w:t>
      </w:r>
      <w:r>
        <w:rPr>
          <w:rFonts w:hint="eastAsia" w:ascii="宋体" w:hAnsi="宋体"/>
          <w:color w:val="auto"/>
          <w:szCs w:val="21"/>
          <w:highlight w:val="none"/>
        </w:rPr>
        <w:t>的不同投标供应商参加同一合同项下投标的，按一家投标供应商计算，评审后得分最高的同品牌投标供应商获得中标人推荐资格；评审得分相同的，参照文件第四章评分办法第十条规定；其他同品牌投标供应商不作为中标候选人。</w:t>
      </w:r>
    </w:p>
    <w:p w14:paraId="7D638EF9">
      <w:pPr>
        <w:spacing w:line="360" w:lineRule="auto"/>
        <w:rPr>
          <w:rFonts w:hint="eastAsia" w:ascii="宋体" w:hAnsi="宋体"/>
          <w:bCs/>
          <w:color w:val="auto"/>
          <w:sz w:val="24"/>
        </w:rPr>
      </w:pPr>
      <w:r>
        <w:rPr>
          <w:rFonts w:hint="eastAsia" w:ascii="宋体" w:hAnsi="宋体"/>
          <w:color w:val="auto"/>
          <w:szCs w:val="21"/>
          <w:highlight w:val="none"/>
        </w:rPr>
        <w:t>非单一产品采购项目，核心产品提供相同品牌产品且通过资格审查、符合性审查</w:t>
      </w:r>
      <w:r>
        <w:rPr>
          <w:rFonts w:hint="eastAsia" w:ascii="宋体" w:hAnsi="宋体"/>
          <w:color w:val="auto"/>
          <w:szCs w:val="21"/>
          <w:highlight w:val="none"/>
          <w:lang w:val="en-US" w:eastAsia="zh-CN"/>
        </w:rPr>
        <w:t>和异常低价投标审查</w:t>
      </w:r>
      <w:r>
        <w:rPr>
          <w:rFonts w:hint="eastAsia" w:ascii="宋体" w:hAnsi="宋体"/>
          <w:color w:val="auto"/>
          <w:szCs w:val="21"/>
          <w:highlight w:val="none"/>
        </w:rPr>
        <w:t>的不同投标供应商参加同一合同项下投标的，按一家投标供应商计算，评审后得分最高的同品牌投标供应商获得中标人推荐资格；评审得分相同的，参照文件第四章评分办法第十条规定；其他同品牌投标供应商不作为中标候选人。</w:t>
      </w:r>
    </w:p>
    <w:p w14:paraId="13586AE9">
      <w:pPr>
        <w:rPr>
          <w:rFonts w:hint="eastAsia" w:ascii="宋体" w:hAnsi="宋体"/>
          <w:bCs/>
          <w:color w:val="auto"/>
          <w:szCs w:val="21"/>
        </w:rPr>
      </w:pPr>
    </w:p>
    <w:p w14:paraId="71ED6A31">
      <w:pPr>
        <w:pStyle w:val="2"/>
        <w:jc w:val="center"/>
        <w:rPr>
          <w:rFonts w:hint="eastAsia" w:ascii="宋体" w:hAnsi="宋体"/>
        </w:rPr>
        <w:sectPr>
          <w:footnotePr>
            <w:numFmt w:val="decimalEnclosedCircleChinese"/>
            <w:numRestart w:val="eachPage"/>
          </w:footnotePr>
          <w:pgSz w:w="11906" w:h="16838"/>
          <w:pgMar w:top="1134" w:right="1134" w:bottom="1134" w:left="1134" w:header="851" w:footer="851" w:gutter="0"/>
          <w:pgNumType w:fmt="decimal"/>
          <w:cols w:space="720" w:num="1"/>
          <w:docGrid w:linePitch="286" w:charSpace="0"/>
        </w:sectPr>
      </w:pPr>
      <w:bookmarkStart w:id="1167" w:name="_Toc220232391"/>
      <w:bookmarkStart w:id="1168" w:name="_Toc25063"/>
      <w:bookmarkStart w:id="1169" w:name="_Toc3333"/>
      <w:bookmarkStart w:id="1170" w:name="_Toc23224"/>
      <w:bookmarkStart w:id="1171" w:name="_Toc3219852"/>
      <w:bookmarkStart w:id="1172" w:name="_Toc31145"/>
      <w:bookmarkStart w:id="1173" w:name="_Toc1916822"/>
      <w:bookmarkStart w:id="1174" w:name="_Toc12799"/>
      <w:bookmarkStart w:id="1175" w:name="_Toc5662"/>
      <w:bookmarkStart w:id="1176" w:name="_Toc15606"/>
      <w:bookmarkStart w:id="1177" w:name="_Toc3215872"/>
      <w:bookmarkStart w:id="1178" w:name="_Toc3295922"/>
    </w:p>
    <w:p w14:paraId="4A0F1CF2">
      <w:pPr>
        <w:pStyle w:val="2"/>
        <w:jc w:val="center"/>
        <w:rPr>
          <w:rFonts w:ascii="宋体" w:hAnsi="宋体"/>
          <w:szCs w:val="36"/>
        </w:rPr>
      </w:pPr>
      <w:bookmarkStart w:id="1179" w:name="_Toc12499"/>
      <w:r>
        <w:rPr>
          <w:rFonts w:hint="eastAsia" w:ascii="宋体" w:hAnsi="宋体"/>
        </w:rPr>
        <w:t>第五章</w:t>
      </w:r>
      <w:bookmarkEnd w:id="1167"/>
      <w:bookmarkStart w:id="1180" w:name="_Toc220232392"/>
      <w:r>
        <w:rPr>
          <w:rFonts w:hint="eastAsia" w:ascii="宋体" w:hAnsi="宋体"/>
        </w:rPr>
        <w:t xml:space="preserve">  政府采购</w:t>
      </w:r>
      <w:r>
        <w:rPr>
          <w:rFonts w:ascii="宋体" w:hAnsi="宋体"/>
        </w:rPr>
        <w:t>合同</w:t>
      </w:r>
      <w:bookmarkEnd w:id="1168"/>
      <w:bookmarkEnd w:id="1169"/>
      <w:bookmarkEnd w:id="1170"/>
      <w:bookmarkEnd w:id="1171"/>
      <w:bookmarkEnd w:id="1172"/>
      <w:bookmarkEnd w:id="1173"/>
      <w:bookmarkEnd w:id="1174"/>
      <w:bookmarkEnd w:id="1175"/>
      <w:bookmarkEnd w:id="1176"/>
      <w:bookmarkEnd w:id="1177"/>
      <w:bookmarkEnd w:id="1178"/>
      <w:bookmarkEnd w:id="1179"/>
      <w:bookmarkEnd w:id="1180"/>
    </w:p>
    <w:p w14:paraId="72173170">
      <w:pPr>
        <w:pStyle w:val="3"/>
        <w:keepLines w:val="0"/>
        <w:tabs>
          <w:tab w:val="left" w:pos="1830"/>
        </w:tabs>
        <w:spacing w:line="560" w:lineRule="exact"/>
        <w:jc w:val="left"/>
        <w:outlineLvl w:val="1"/>
        <w:rPr>
          <w:rFonts w:hint="eastAsia" w:ascii="宋体" w:hAnsi="宋体" w:eastAsia="宋体" w:cs="宋体"/>
          <w:sz w:val="21"/>
          <w:szCs w:val="21"/>
          <w:highlight w:val="none"/>
        </w:rPr>
      </w:pPr>
      <w:bookmarkStart w:id="1181" w:name="_Toc10013"/>
      <w:bookmarkStart w:id="1182" w:name="_Toc2297"/>
      <w:bookmarkStart w:id="1183" w:name="_Toc15330"/>
      <w:r>
        <w:rPr>
          <w:rFonts w:hint="eastAsia" w:ascii="宋体" w:hAnsi="宋体" w:eastAsia="宋体" w:cs="宋体"/>
          <w:sz w:val="21"/>
          <w:szCs w:val="21"/>
          <w:highlight w:val="none"/>
        </w:rPr>
        <w:t>重要提示:本合同项目属于上海交通大学医学院附属仁济医院安徽医院，因上海交通大学医学院附属仁济医院安徽医院组织架构尚未完善，由安徽省第二人民医院代为管理，上海交通大学医学院附属仁济医院安徽医院物资（服务、工程）采购委托安徽省第二人民医院代为招标并代为签订本合同。以上情况，乙方已全部知悉且无任何异议，并自愿承担相应法律后果，乙方在本合同项目执行中愿意配合甲方和上海交通大学医学院附属仁济医院安徽医院管理和安排。</w:t>
      </w:r>
    </w:p>
    <w:p w14:paraId="743C9F3E">
      <w:pPr>
        <w:rPr>
          <w:rFonts w:eastAsia="仿宋"/>
          <w:sz w:val="36"/>
          <w:szCs w:val="36"/>
        </w:rPr>
      </w:pPr>
    </w:p>
    <w:p w14:paraId="0BD54F33">
      <w:pPr>
        <w:pStyle w:val="3"/>
        <w:keepLines w:val="0"/>
        <w:tabs>
          <w:tab w:val="left" w:pos="1830"/>
        </w:tabs>
        <w:spacing w:line="560" w:lineRule="exact"/>
        <w:jc w:val="center"/>
        <w:outlineLvl w:val="1"/>
        <w:rPr>
          <w:rFonts w:eastAsia="仿宋"/>
          <w:sz w:val="36"/>
          <w:szCs w:val="36"/>
        </w:rPr>
      </w:pPr>
      <w:r>
        <w:rPr>
          <w:rFonts w:eastAsia="仿宋"/>
          <w:sz w:val="36"/>
          <w:szCs w:val="36"/>
        </w:rPr>
        <w:t>医疗设备购销合同</w:t>
      </w:r>
      <w:bookmarkEnd w:id="1181"/>
      <w:bookmarkEnd w:id="1182"/>
    </w:p>
    <w:p w14:paraId="17FB26DD">
      <w:pPr>
        <w:spacing w:line="560" w:lineRule="exact"/>
        <w:rPr>
          <w:rFonts w:hint="eastAsia" w:ascii="宋体" w:hAnsi="宋体" w:eastAsia="宋体" w:cs="宋体"/>
          <w:color w:val="000000"/>
          <w:sz w:val="21"/>
          <w:szCs w:val="21"/>
        </w:rPr>
      </w:pPr>
      <w:r>
        <w:rPr>
          <w:rFonts w:ascii="Times New Roman" w:hAnsi="Times New Roman" w:eastAsia="仿宋"/>
          <w:color w:val="000000"/>
          <w:sz w:val="28"/>
          <w:szCs w:val="28"/>
        </w:rPr>
        <w:t xml:space="preserve">        </w:t>
      </w:r>
      <w:r>
        <w:rPr>
          <w:rFonts w:hint="eastAsia" w:ascii="宋体" w:hAnsi="宋体" w:eastAsia="宋体" w:cs="宋体"/>
          <w:color w:val="000000"/>
          <w:sz w:val="21"/>
          <w:szCs w:val="21"/>
        </w:rPr>
        <w:t xml:space="preserve">                                           合同编号：</w:t>
      </w:r>
    </w:p>
    <w:p w14:paraId="3A88889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采购单位（甲方）：安徽省第二人民医院     </w:t>
      </w:r>
    </w:p>
    <w:p w14:paraId="36A8F01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 应 商（乙方）：                        </w:t>
      </w:r>
    </w:p>
    <w:p w14:paraId="18441604">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p>
    <w:p w14:paraId="3025F948">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甲方通过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组</w:t>
      </w:r>
      <w:r>
        <w:rPr>
          <w:rFonts w:hint="eastAsia" w:ascii="宋体" w:hAnsi="宋体" w:eastAsia="宋体" w:cs="宋体"/>
          <w:color w:val="000000"/>
          <w:sz w:val="21"/>
          <w:szCs w:val="21"/>
        </w:rPr>
        <w:t>织</w:t>
      </w:r>
      <w:r>
        <w:rPr>
          <w:rFonts w:hint="eastAsia" w:ascii="宋体" w:hAnsi="宋体" w:eastAsia="宋体" w:cs="宋体"/>
          <w:color w:val="000000"/>
          <w:sz w:val="21"/>
          <w:szCs w:val="21"/>
          <w:highlight w:val="none"/>
        </w:rPr>
        <w:t>的招标采购活动，经评标</w:t>
      </w:r>
      <w:r>
        <w:rPr>
          <w:rFonts w:hint="eastAsia" w:ascii="宋体" w:hAnsi="宋体" w:eastAsia="宋体" w:cs="宋体"/>
          <w:color w:val="000000"/>
          <w:sz w:val="21"/>
          <w:szCs w:val="21"/>
          <w:highlight w:val="none"/>
          <w:lang w:eastAsia="zh-CN"/>
        </w:rPr>
        <w:t>委员会</w:t>
      </w:r>
      <w:r>
        <w:rPr>
          <w:rFonts w:hint="eastAsia" w:ascii="宋体" w:hAnsi="宋体" w:eastAsia="宋体" w:cs="宋体"/>
          <w:color w:val="000000"/>
          <w:sz w:val="21"/>
          <w:szCs w:val="21"/>
          <w:highlight w:val="none"/>
        </w:rPr>
        <w:t>评审，决定将</w:t>
      </w:r>
      <w:r>
        <w:rPr>
          <w:rFonts w:hint="eastAsia" w:ascii="宋体" w:hAnsi="宋体" w:eastAsia="宋体" w:cs="宋体"/>
          <w:color w:val="000000"/>
          <w:sz w:val="21"/>
          <w:szCs w:val="21"/>
        </w:rPr>
        <w:t>本项目采购合同授予乙方。甲乙双方经过平等协商，根据《中华人民共和国政府采购法》《中华人民共和国民法典》等法律法规规定，按照招投标文件（采购文件）规定条款和中标（成交）供应商承诺，甲乙双方签订本合同。</w:t>
      </w:r>
    </w:p>
    <w:p w14:paraId="66D90151">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第一条　合同标的</w:t>
      </w:r>
    </w:p>
    <w:tbl>
      <w:tblPr>
        <w:tblStyle w:val="23"/>
        <w:tblW w:w="10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519"/>
        <w:gridCol w:w="1361"/>
        <w:gridCol w:w="1459"/>
        <w:gridCol w:w="964"/>
        <w:gridCol w:w="1066"/>
        <w:gridCol w:w="1123"/>
        <w:gridCol w:w="788"/>
        <w:gridCol w:w="1294"/>
      </w:tblGrid>
      <w:tr w14:paraId="28F8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0DBA0F5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编号</w:t>
            </w:r>
          </w:p>
        </w:tc>
        <w:tc>
          <w:tcPr>
            <w:tcW w:w="1519" w:type="dxa"/>
            <w:tcBorders>
              <w:top w:val="single" w:color="auto" w:sz="4" w:space="0"/>
              <w:left w:val="single" w:color="auto" w:sz="4" w:space="0"/>
              <w:bottom w:val="single" w:color="auto" w:sz="4" w:space="0"/>
              <w:right w:val="single" w:color="auto" w:sz="4" w:space="0"/>
            </w:tcBorders>
            <w:noWrap w:val="0"/>
            <w:vAlign w:val="center"/>
          </w:tcPr>
          <w:p w14:paraId="361C165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产品名称</w:t>
            </w:r>
          </w:p>
        </w:tc>
        <w:tc>
          <w:tcPr>
            <w:tcW w:w="1361" w:type="dxa"/>
            <w:tcBorders>
              <w:top w:val="single" w:color="auto" w:sz="4" w:space="0"/>
              <w:left w:val="single" w:color="auto" w:sz="4" w:space="0"/>
              <w:bottom w:val="single" w:color="auto" w:sz="4" w:space="0"/>
              <w:right w:val="single" w:color="auto" w:sz="4" w:space="0"/>
            </w:tcBorders>
            <w:noWrap w:val="0"/>
            <w:vAlign w:val="center"/>
          </w:tcPr>
          <w:p w14:paraId="2957399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型号</w:t>
            </w:r>
          </w:p>
        </w:tc>
        <w:tc>
          <w:tcPr>
            <w:tcW w:w="1459" w:type="dxa"/>
            <w:tcBorders>
              <w:top w:val="single" w:color="auto" w:sz="4" w:space="0"/>
              <w:left w:val="single" w:color="auto" w:sz="4" w:space="0"/>
              <w:bottom w:val="single" w:color="auto" w:sz="4" w:space="0"/>
              <w:right w:val="single" w:color="auto" w:sz="4" w:space="0"/>
            </w:tcBorders>
            <w:noWrap w:val="0"/>
            <w:vAlign w:val="center"/>
          </w:tcPr>
          <w:p w14:paraId="7C06862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生产厂家</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557A060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产地</w:t>
            </w:r>
          </w:p>
        </w:tc>
        <w:tc>
          <w:tcPr>
            <w:tcW w:w="1066" w:type="dxa"/>
            <w:tcBorders>
              <w:top w:val="single" w:color="auto" w:sz="4" w:space="0"/>
              <w:left w:val="single" w:color="auto" w:sz="4" w:space="0"/>
              <w:bottom w:val="single" w:color="auto" w:sz="4" w:space="0"/>
              <w:right w:val="single" w:color="auto" w:sz="4" w:space="0"/>
            </w:tcBorders>
            <w:noWrap w:val="0"/>
            <w:vAlign w:val="center"/>
          </w:tcPr>
          <w:p w14:paraId="3E8A48C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单位</w:t>
            </w:r>
          </w:p>
        </w:tc>
        <w:tc>
          <w:tcPr>
            <w:tcW w:w="1123" w:type="dxa"/>
            <w:tcBorders>
              <w:top w:val="single" w:color="auto" w:sz="4" w:space="0"/>
              <w:left w:val="single" w:color="auto" w:sz="4" w:space="0"/>
              <w:bottom w:val="single" w:color="auto" w:sz="4" w:space="0"/>
              <w:right w:val="single" w:color="auto" w:sz="4" w:space="0"/>
            </w:tcBorders>
            <w:noWrap w:val="0"/>
            <w:vAlign w:val="center"/>
          </w:tcPr>
          <w:p w14:paraId="59E98B5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单价</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0D73C496">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363035E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总金额</w:t>
            </w:r>
          </w:p>
        </w:tc>
      </w:tr>
      <w:tr w14:paraId="7B2B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D9833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51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34625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3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5EDB4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4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781A1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26058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0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302ED6">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1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64FAA6">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7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EB82F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2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FF0AD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r>
      <w:tr w14:paraId="5A7E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60DF26">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51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78EED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3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2D918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4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BBD75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37F3D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0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B1938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1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F157D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7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4C6DC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c>
          <w:tcPr>
            <w:tcW w:w="12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04863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kern w:val="2"/>
                <w:sz w:val="21"/>
                <w:szCs w:val="21"/>
                <w:lang w:val="en-US" w:eastAsia="zh-CN" w:bidi="ar-SA"/>
              </w:rPr>
            </w:pPr>
          </w:p>
        </w:tc>
      </w:tr>
      <w:tr w14:paraId="015D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6172" w:type="dxa"/>
            <w:gridSpan w:val="5"/>
            <w:tcBorders>
              <w:top w:val="single" w:color="auto" w:sz="4" w:space="0"/>
              <w:left w:val="single" w:color="auto" w:sz="4" w:space="0"/>
              <w:bottom w:val="single" w:color="auto" w:sz="4" w:space="0"/>
              <w:right w:val="single" w:color="auto" w:sz="4" w:space="0"/>
            </w:tcBorders>
            <w:noWrap w:val="0"/>
            <w:vAlign w:val="center"/>
          </w:tcPr>
          <w:p w14:paraId="01D7903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总金额（RMB大写）：    </w:t>
            </w:r>
          </w:p>
        </w:tc>
        <w:tc>
          <w:tcPr>
            <w:tcW w:w="4271" w:type="dxa"/>
            <w:gridSpan w:val="4"/>
            <w:tcBorders>
              <w:top w:val="single" w:color="auto" w:sz="4" w:space="0"/>
              <w:left w:val="single" w:color="auto" w:sz="4" w:space="0"/>
              <w:bottom w:val="single" w:color="auto" w:sz="4" w:space="0"/>
              <w:right w:val="single" w:color="auto" w:sz="4" w:space="0"/>
            </w:tcBorders>
            <w:noWrap w:val="0"/>
            <w:vAlign w:val="center"/>
          </w:tcPr>
          <w:p w14:paraId="3875407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元</w:t>
            </w:r>
            <w:r>
              <w:rPr>
                <w:rFonts w:hint="eastAsia" w:ascii="宋体" w:hAnsi="宋体" w:eastAsia="宋体" w:cs="宋体"/>
                <w:sz w:val="21"/>
                <w:szCs w:val="21"/>
              </w:rPr>
              <w:t xml:space="preserve"> </w:t>
            </w:r>
          </w:p>
        </w:tc>
      </w:tr>
      <w:tr w14:paraId="3EB09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10443" w:type="dxa"/>
            <w:gridSpan w:val="9"/>
            <w:tcBorders>
              <w:top w:val="single" w:color="auto" w:sz="4" w:space="0"/>
              <w:left w:val="single" w:color="auto" w:sz="4" w:space="0"/>
              <w:bottom w:val="single" w:color="auto" w:sz="4" w:space="0"/>
              <w:right w:val="single" w:color="auto" w:sz="4" w:space="0"/>
            </w:tcBorders>
            <w:noWrap w:val="0"/>
            <w:vAlign w:val="center"/>
          </w:tcPr>
          <w:p w14:paraId="4517C0F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1"/>
                <w:szCs w:val="21"/>
              </w:rPr>
            </w:pPr>
            <w:r>
              <w:rPr>
                <w:rFonts w:hint="eastAsia" w:ascii="宋体" w:hAnsi="宋体" w:eastAsia="宋体" w:cs="宋体"/>
                <w:sz w:val="21"/>
                <w:szCs w:val="21"/>
              </w:rPr>
              <w:t>备注：</w:t>
            </w:r>
            <w:r>
              <w:rPr>
                <w:rFonts w:hint="eastAsia" w:ascii="宋体" w:hAnsi="宋体" w:eastAsia="宋体" w:cs="宋体"/>
                <w:spacing w:val="-20"/>
                <w:sz w:val="21"/>
                <w:szCs w:val="21"/>
              </w:rPr>
              <w:t>合同合计金额包括招标范围内货物货款、货物标准附件、备品备件、专用工具、包装、运输、装卸、保险、税金、货到就位以及安</w:t>
            </w:r>
            <w:r>
              <w:rPr>
                <w:rFonts w:hint="eastAsia" w:ascii="宋体" w:hAnsi="宋体" w:eastAsia="宋体" w:cs="宋体"/>
                <w:spacing w:val="-20"/>
                <w:sz w:val="21"/>
                <w:szCs w:val="21"/>
                <w:highlight w:val="none"/>
              </w:rPr>
              <w:t>装、调试、培训、保修等一切税金（税率：</w:t>
            </w:r>
            <w:r>
              <w:rPr>
                <w:rFonts w:hint="eastAsia" w:ascii="宋体" w:hAnsi="宋体" w:eastAsia="宋体" w:cs="宋体"/>
                <w:spacing w:val="-20"/>
                <w:sz w:val="21"/>
                <w:szCs w:val="21"/>
                <w:highlight w:val="none"/>
                <w:u w:val="single"/>
              </w:rPr>
              <w:t xml:space="preserve"> </w:t>
            </w:r>
            <w:r>
              <w:rPr>
                <w:rFonts w:hint="eastAsia" w:ascii="宋体" w:hAnsi="宋体" w:eastAsia="宋体" w:cs="宋体"/>
                <w:spacing w:val="-20"/>
                <w:sz w:val="21"/>
                <w:szCs w:val="21"/>
                <w:highlight w:val="none"/>
                <w:u w:val="single"/>
                <w:lang w:val="en-US" w:eastAsia="zh-CN"/>
              </w:rPr>
              <w:t xml:space="preserve">    </w:t>
            </w:r>
            <w:r>
              <w:rPr>
                <w:rFonts w:hint="eastAsia" w:ascii="宋体" w:hAnsi="宋体" w:eastAsia="宋体" w:cs="宋体"/>
                <w:spacing w:val="-20"/>
                <w:sz w:val="21"/>
                <w:szCs w:val="21"/>
                <w:highlight w:val="none"/>
                <w:u w:val="single"/>
              </w:rPr>
              <w:t xml:space="preserve"> </w:t>
            </w:r>
            <w:r>
              <w:rPr>
                <w:rFonts w:hint="eastAsia" w:ascii="宋体" w:hAnsi="宋体" w:eastAsia="宋体" w:cs="宋体"/>
                <w:spacing w:val="-20"/>
                <w:sz w:val="21"/>
                <w:szCs w:val="21"/>
                <w:highlight w:val="none"/>
              </w:rPr>
              <w:t>）和费用，除此之外甲方无需向乙方支付其他任何费用。如招标文件对其另有规定的，从其规定。</w:t>
            </w:r>
          </w:p>
        </w:tc>
      </w:tr>
    </w:tbl>
    <w:p w14:paraId="4943572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ab/>
      </w:r>
      <w:r>
        <w:rPr>
          <w:rFonts w:hint="eastAsia" w:ascii="宋体" w:hAnsi="宋体" w:eastAsia="宋体" w:cs="宋体"/>
          <w:color w:val="000000"/>
          <w:sz w:val="21"/>
          <w:szCs w:val="21"/>
          <w:lang w:val="en-US" w:eastAsia="zh-CN"/>
        </w:rPr>
        <w:t xml:space="preserve"> </w:t>
      </w:r>
    </w:p>
    <w:p w14:paraId="0F5A3324">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第二条　组成合同的文件</w:t>
      </w:r>
    </w:p>
    <w:p w14:paraId="194DC82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组成本合同的文件包括：</w:t>
      </w:r>
    </w:p>
    <w:p w14:paraId="59866B5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 xml:space="preserve"> 采购文件及答疑、更正公告；</w:t>
      </w:r>
    </w:p>
    <w:p w14:paraId="2764CBA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 xml:space="preserve"> 采购文件标准文本中的“合同条款”；</w:t>
      </w:r>
    </w:p>
    <w:p w14:paraId="30F851A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rPr>
        <w:t xml:space="preserve"> 中标或成交公告；</w:t>
      </w:r>
    </w:p>
    <w:p w14:paraId="17743211">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（4）</w:t>
      </w:r>
      <w:r>
        <w:rPr>
          <w:rFonts w:hint="eastAsia" w:ascii="宋体" w:hAnsi="宋体" w:eastAsia="宋体" w:cs="宋体"/>
          <w:color w:val="000000"/>
          <w:sz w:val="21"/>
          <w:szCs w:val="21"/>
        </w:rPr>
        <w:t xml:space="preserve"> 乙方提交的投标（或磋商等）文件及书面承诺函；</w:t>
      </w:r>
    </w:p>
    <w:p w14:paraId="53AC1049">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color w:val="000000"/>
          <w:sz w:val="21"/>
          <w:szCs w:val="21"/>
          <w:lang w:eastAsia="zh-CN"/>
        </w:rPr>
        <w:t>（5）</w:t>
      </w:r>
      <w:r>
        <w:rPr>
          <w:rFonts w:hint="eastAsia" w:ascii="宋体" w:hAnsi="宋体" w:eastAsia="宋体" w:cs="宋体"/>
          <w:color w:val="000000"/>
          <w:sz w:val="21"/>
          <w:szCs w:val="21"/>
        </w:rPr>
        <w:t xml:space="preserve"> 双方另行签订的补充协议。</w:t>
      </w:r>
    </w:p>
    <w:p w14:paraId="11B18E4B">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第三条　质量保证</w:t>
      </w:r>
    </w:p>
    <w:p w14:paraId="0D370569">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乙方所提供的货物型号、技术规格、技术参数等质量满足国家及本行业现行的技术标准，且需与投标文件的承诺相一致。</w:t>
      </w:r>
    </w:p>
    <w:p w14:paraId="243A9FD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乙方所提供的货物必须是全新、未使用的原装产品，且在正常安装、使用和保养条件下，其使用寿命期内各项指标均达到质量要求。</w:t>
      </w:r>
    </w:p>
    <w:p w14:paraId="0922B8CD">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rPr>
        <w:t>在质保期内，乙方应对货物出现的质量及安全问题负责处理解决并承担一切费用。</w:t>
      </w:r>
    </w:p>
    <w:p w14:paraId="1B57CD7B">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第四条　权利保证</w:t>
      </w:r>
    </w:p>
    <w:p w14:paraId="4D961C9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乙方应保证所提供货物在使用时不会侵犯任何第三方的专利权、商标权、工业设计权或</w:t>
      </w:r>
      <w:r>
        <w:rPr>
          <w:rFonts w:hint="eastAsia" w:ascii="宋体" w:hAnsi="宋体" w:eastAsia="宋体" w:cs="宋体"/>
          <w:color w:val="000000"/>
          <w:sz w:val="21"/>
          <w:szCs w:val="21"/>
          <w:highlight w:val="none"/>
        </w:rPr>
        <w:t>其他权利。</w:t>
      </w:r>
    </w:p>
    <w:p w14:paraId="1789B78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2.</w:t>
      </w:r>
      <w:r>
        <w:rPr>
          <w:rFonts w:hint="eastAsia" w:ascii="宋体" w:hAnsi="宋体" w:eastAsia="宋体" w:cs="宋体"/>
          <w:color w:val="000000"/>
          <w:sz w:val="21"/>
          <w:szCs w:val="21"/>
          <w:highlight w:val="none"/>
        </w:rPr>
        <w:t>乙方应按招标文件规定的时间向甲方提供使用货物的有关技术资料。</w:t>
      </w:r>
    </w:p>
    <w:p w14:paraId="25AE1973">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eastAsia="zh-CN"/>
        </w:rPr>
        <w:t>3.</w:t>
      </w:r>
      <w:r>
        <w:rPr>
          <w:rFonts w:hint="eastAsia" w:ascii="宋体" w:hAnsi="宋体" w:eastAsia="宋体" w:cs="宋体"/>
          <w:color w:val="000000"/>
          <w:sz w:val="21"/>
          <w:szCs w:val="21"/>
          <w:highlight w:val="none"/>
        </w:rPr>
        <w:t>没有甲方事先书面同意</w:t>
      </w:r>
      <w:r>
        <w:rPr>
          <w:rFonts w:hint="eastAsia" w:ascii="宋体" w:hAnsi="宋体" w:eastAsia="宋体" w:cs="宋体"/>
          <w:color w:val="000000"/>
          <w:sz w:val="21"/>
          <w:szCs w:val="21"/>
        </w:rPr>
        <w:t>，乙方不得将由甲方提供的有关合同或任何合同条文、规格、计划、图纸、样品或资料提供给与履行本合同无关的任何其他人。即使向履行本合同有关的人员提供，也应注意保密并限于履行合同的必需范围。</w:t>
      </w:r>
    </w:p>
    <w:p w14:paraId="722E631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4.</w:t>
      </w:r>
      <w:r>
        <w:rPr>
          <w:rFonts w:hint="eastAsia" w:ascii="宋体" w:hAnsi="宋体" w:eastAsia="宋体" w:cs="宋体"/>
          <w:color w:val="000000"/>
          <w:sz w:val="21"/>
          <w:szCs w:val="21"/>
        </w:rPr>
        <w:t>乙方保证所交付的货物的所有权完全属于乙方且无任何抵押、质押、查封等产权瑕疵。</w:t>
      </w:r>
    </w:p>
    <w:p w14:paraId="53A03DF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5.</w:t>
      </w:r>
      <w:r>
        <w:rPr>
          <w:rFonts w:hint="eastAsia" w:ascii="宋体" w:hAnsi="宋体" w:eastAsia="宋体" w:cs="宋体"/>
          <w:color w:val="000000"/>
          <w:sz w:val="21"/>
          <w:szCs w:val="21"/>
        </w:rPr>
        <w:t>乙方违反本条规定所产生的一切责任均由乙方自担，若因此给甲方造成损失的，甲方有权向乙方进行追偿，且乙方需向甲方支付合同总价款20%作为违约金。</w:t>
      </w:r>
    </w:p>
    <w:p w14:paraId="56F040AE">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第五条　货物包装、发运及运输</w:t>
      </w:r>
    </w:p>
    <w:p w14:paraId="45213DC1">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乙方应在货物发运前对其进行满足运输距离、防潮、防震、防锈和防破损装卸等要求包装，以保证货物安全运达甲方指定地点。</w:t>
      </w:r>
    </w:p>
    <w:p w14:paraId="2A7F98C8">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使用说明书、质量检验证明书、随配附件和工具以及清单一并附于货物内，进口设备必须提供报关单。</w:t>
      </w:r>
    </w:p>
    <w:p w14:paraId="27D7D8E7">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rPr>
        <w:t>乙方在货物发运手续办理完毕后及时派人到指定地点接货，货到前至少24小时通知甲方，以便共同验收。</w:t>
      </w:r>
    </w:p>
    <w:p w14:paraId="14B59840">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第六条　收货和验货</w:t>
      </w:r>
    </w:p>
    <w:p w14:paraId="5DF31F4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交货时间：签订合同后</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接采购人书面通知后30个日历天</w:t>
      </w:r>
      <w:r>
        <w:rPr>
          <w:rFonts w:hint="eastAsia" w:ascii="宋体" w:hAnsi="宋体" w:eastAsia="宋体" w:cs="宋体"/>
          <w:color w:val="000000"/>
          <w:sz w:val="21"/>
          <w:szCs w:val="21"/>
          <w:highlight w:val="none"/>
          <w:lang w:val="en-US" w:eastAsia="zh-CN"/>
        </w:rPr>
        <w:t>内</w:t>
      </w:r>
      <w:r>
        <w:rPr>
          <w:rFonts w:hint="eastAsia" w:ascii="宋体" w:hAnsi="宋体" w:eastAsia="宋体" w:cs="宋体"/>
          <w:color w:val="000000"/>
          <w:sz w:val="21"/>
          <w:szCs w:val="21"/>
          <w:highlight w:val="none"/>
        </w:rPr>
        <w:t>完成</w:t>
      </w:r>
      <w:r>
        <w:rPr>
          <w:rFonts w:hint="eastAsia" w:ascii="宋体" w:hAnsi="宋体" w:eastAsia="宋体" w:cs="宋体"/>
          <w:color w:val="000000"/>
          <w:sz w:val="21"/>
          <w:szCs w:val="21"/>
          <w:highlight w:val="none"/>
          <w:lang w:val="en-US" w:eastAsia="zh-CN"/>
        </w:rPr>
        <w:t>供货、</w:t>
      </w:r>
      <w:r>
        <w:rPr>
          <w:rFonts w:hint="eastAsia" w:ascii="宋体" w:hAnsi="宋体" w:eastAsia="宋体" w:cs="宋体"/>
          <w:color w:val="000000"/>
          <w:sz w:val="21"/>
          <w:szCs w:val="21"/>
          <w:highlight w:val="none"/>
        </w:rPr>
        <w:t>安装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调试</w:t>
      </w:r>
      <w:r>
        <w:rPr>
          <w:rFonts w:hint="eastAsia" w:ascii="宋体" w:hAnsi="宋体" w:eastAsia="宋体" w:cs="宋体"/>
          <w:color w:val="000000"/>
          <w:sz w:val="21"/>
          <w:szCs w:val="21"/>
          <w:highlight w:val="none"/>
        </w:rPr>
        <w:t>等全部供货工作。</w:t>
      </w:r>
    </w:p>
    <w:p w14:paraId="701CD80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交货地点：</w:t>
      </w:r>
      <w:r>
        <w:rPr>
          <w:rFonts w:hint="eastAsia" w:ascii="宋体" w:hAnsi="宋体" w:eastAsia="宋体" w:cs="宋体"/>
          <w:color w:val="000000"/>
          <w:sz w:val="21"/>
          <w:szCs w:val="21"/>
          <w:u w:val="single"/>
          <w:lang w:val="en-US" w:eastAsia="zh-CN"/>
        </w:rPr>
        <w:t xml:space="preserve">  </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科室，具体以甲方指定地点为准。</w:t>
      </w:r>
    </w:p>
    <w:p w14:paraId="0E775D77">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乙方应在货到后及时通知甲方组织开箱验货，并将所提供货物的装箱清单、用户手册、原厂保修卡、随机资料、工具和备品、备件等交付给甲方，如有缺失应及时补齐，否则视为逾期交货。</w:t>
      </w:r>
    </w:p>
    <w:p w14:paraId="0EA1406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rPr>
        <w:t>甲方委托采购代理机构组织的验收项目，其验收时间以该项目验收方案确定的验收时间为准，验收结果以该项目验收报告结论为准。在验收过程中发现乙方有违约问题，可暂缓资金结算，待违约问题解决后，方可办理资金结算事宜。</w:t>
      </w:r>
    </w:p>
    <w:p w14:paraId="2797ACD9">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第七条  调试、验收和交付</w:t>
      </w:r>
    </w:p>
    <w:p w14:paraId="7CABD2BD">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甲方对乙方提交的货物</w:t>
      </w:r>
      <w:r>
        <w:rPr>
          <w:rFonts w:hint="eastAsia" w:ascii="宋体" w:hAnsi="宋体" w:eastAsia="宋体" w:cs="宋体"/>
          <w:color w:val="000000"/>
          <w:sz w:val="21"/>
          <w:szCs w:val="21"/>
          <w:highlight w:val="none"/>
        </w:rPr>
        <w:t>依据招标文件上的技术规格要求和国家有关质量标准进行现场初步验收，外观、说明书符合招标文件技术</w:t>
      </w:r>
      <w:r>
        <w:rPr>
          <w:rFonts w:hint="eastAsia" w:ascii="宋体" w:hAnsi="宋体" w:eastAsia="宋体" w:cs="宋体"/>
          <w:color w:val="000000"/>
          <w:sz w:val="21"/>
          <w:szCs w:val="21"/>
        </w:rPr>
        <w:t>要求的，给予签收，初步验收不合格的不予签收。</w:t>
      </w:r>
    </w:p>
    <w:p w14:paraId="5EB399D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乙方交货前应对产品作出全面检查和对验收文件进行整理，并列出清单，作为甲方收货验收和使用的技术条件依据，检验的结果应随货物交甲方。</w:t>
      </w:r>
    </w:p>
    <w:p w14:paraId="04655AF2">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rPr>
        <w:t>甲方对乙方提供的货物在使用前进行调试时，乙方需负责安装并培训甲方的使用操作人员，并协助甲方一起调试，直到符合技术要求，甲方才做最终验收。</w:t>
      </w:r>
    </w:p>
    <w:p w14:paraId="6E67F6C0">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4.</w:t>
      </w:r>
      <w:r>
        <w:rPr>
          <w:rFonts w:hint="eastAsia" w:ascii="宋体" w:hAnsi="宋体" w:eastAsia="宋体" w:cs="宋体"/>
          <w:color w:val="000000"/>
          <w:sz w:val="21"/>
          <w:szCs w:val="21"/>
        </w:rPr>
        <w:t xml:space="preserve">对技术复杂的货物，甲方可邀请国家认可的专业检测机构参与初步验收及最终验收，并由其出具质量检测报告。 </w:t>
      </w:r>
    </w:p>
    <w:p w14:paraId="314AFE34">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5.</w:t>
      </w:r>
      <w:r>
        <w:rPr>
          <w:rFonts w:hint="eastAsia" w:ascii="宋体" w:hAnsi="宋体" w:eastAsia="宋体" w:cs="宋体"/>
          <w:color w:val="000000"/>
          <w:sz w:val="21"/>
          <w:szCs w:val="21"/>
        </w:rPr>
        <w:t>验收时乙方必须在现场，验收完毕后作出验收结果报告</w:t>
      </w:r>
      <w:r>
        <w:rPr>
          <w:rFonts w:hint="eastAsia" w:ascii="宋体" w:hAnsi="宋体" w:eastAsia="宋体" w:cs="宋体"/>
          <w:color w:val="000000"/>
          <w:sz w:val="21"/>
          <w:szCs w:val="21"/>
          <w:highlight w:val="none"/>
        </w:rPr>
        <w:t>。</w:t>
      </w:r>
    </w:p>
    <w:p w14:paraId="3E56B064">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highlight w:val="yellow"/>
        </w:rPr>
      </w:pPr>
      <w:r>
        <w:rPr>
          <w:rFonts w:hint="eastAsia" w:ascii="宋体" w:hAnsi="宋体" w:eastAsia="宋体" w:cs="宋体"/>
          <w:color w:val="000000"/>
          <w:sz w:val="21"/>
          <w:szCs w:val="21"/>
          <w:lang w:eastAsia="zh-CN"/>
        </w:rPr>
        <w:t>6.</w:t>
      </w:r>
      <w:r>
        <w:rPr>
          <w:rFonts w:hint="eastAsia" w:ascii="宋体" w:hAnsi="宋体" w:eastAsia="宋体" w:cs="宋体"/>
          <w:color w:val="000000"/>
          <w:sz w:val="21"/>
          <w:szCs w:val="21"/>
        </w:rPr>
        <w:t>货物交付时间为双方验收合格后，之前货物的风险由乙方承担</w:t>
      </w:r>
      <w:r>
        <w:rPr>
          <w:rFonts w:hint="eastAsia" w:ascii="宋体" w:hAnsi="宋体" w:eastAsia="宋体" w:cs="宋体"/>
          <w:color w:val="000000"/>
          <w:sz w:val="21"/>
          <w:szCs w:val="21"/>
          <w:highlight w:val="none"/>
        </w:rPr>
        <w:t>。</w:t>
      </w:r>
    </w:p>
    <w:p w14:paraId="201CF3C2">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第八条　付款方式</w:t>
      </w:r>
    </w:p>
    <w:p w14:paraId="1236F18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本项目货到安装验收合格，提供产品的使用、操作及维修人员的培训，并能独立操作且使用部门签字确认后，乙方配合甲方填写固定资产验收交接记录。</w:t>
      </w:r>
    </w:p>
    <w:p w14:paraId="76FB8B3B">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 xml:space="preserve">本项目符合支付条件后，乙方申请付款（含预付款）时，应向甲方提供合法有效符合甲方要求的税务发票。乙方未依约提供发票的，甲方可拒绝支付对应价款。 </w:t>
      </w:r>
    </w:p>
    <w:p w14:paraId="33C8FB10">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rPr>
        <w:t>结算方式：</w:t>
      </w:r>
      <w:r>
        <w:rPr>
          <w:rFonts w:hint="eastAsia" w:ascii="宋体" w:hAnsi="宋体" w:eastAsia="宋体" w:cs="宋体"/>
          <w:color w:val="000000"/>
          <w:sz w:val="21"/>
          <w:szCs w:val="21"/>
          <w:highlight w:val="none"/>
          <w:lang w:eastAsia="zh-CN"/>
        </w:rPr>
        <w:t>乙方根据甲方提供的固定资产验收交接记录和设备验收合格报告开具符合甲方要求的全额发票，甲方自收到发票之日起7个工作日付款100%。</w:t>
      </w:r>
    </w:p>
    <w:p w14:paraId="4E88B383">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第九条 履约保证金</w:t>
      </w:r>
    </w:p>
    <w:p w14:paraId="47D55430">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本项目履约保证金为</w:t>
      </w:r>
      <w:r>
        <w:rPr>
          <w:rFonts w:hint="eastAsia" w:ascii="宋体" w:hAnsi="宋体" w:eastAsia="宋体" w:cs="宋体"/>
          <w:color w:val="000000"/>
          <w:sz w:val="21"/>
          <w:szCs w:val="21"/>
          <w:lang w:val="en-US" w:eastAsia="zh-CN"/>
        </w:rPr>
        <w:t>合同标的总金额</w:t>
      </w:r>
      <w:r>
        <w:rPr>
          <w:rFonts w:hint="eastAsia" w:ascii="宋体" w:hAnsi="宋体" w:eastAsia="宋体" w:cs="宋体"/>
          <w:color w:val="000000"/>
          <w:sz w:val="21"/>
          <w:szCs w:val="21"/>
        </w:rPr>
        <w:t>的2.5%，即</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元（人民币大写：</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元整 ），收受人为</w:t>
      </w:r>
      <w:r>
        <w:rPr>
          <w:rFonts w:hint="eastAsia" w:ascii="宋体" w:hAnsi="宋体" w:eastAsia="宋体" w:cs="宋体"/>
          <w:color w:val="000000"/>
          <w:sz w:val="21"/>
          <w:szCs w:val="21"/>
          <w:u w:val="single"/>
        </w:rPr>
        <w:t xml:space="preserve"> 安徽省第二人民医院 </w:t>
      </w:r>
      <w:r>
        <w:rPr>
          <w:rFonts w:hint="eastAsia" w:ascii="宋体" w:hAnsi="宋体" w:eastAsia="宋体" w:cs="宋体"/>
          <w:color w:val="000000"/>
          <w:sz w:val="21"/>
          <w:szCs w:val="21"/>
        </w:rPr>
        <w:t>，形式为</w:t>
      </w:r>
      <w:r>
        <w:rPr>
          <w:rFonts w:hint="eastAsia" w:ascii="宋体" w:hAnsi="宋体" w:eastAsia="宋体" w:cs="宋体"/>
          <w:bCs/>
          <w:sz w:val="21"/>
          <w:szCs w:val="21"/>
        </w:rPr>
        <w:sym w:font="Wingdings" w:char="F0FE"/>
      </w:r>
      <w:r>
        <w:rPr>
          <w:rFonts w:hint="eastAsia" w:ascii="宋体" w:hAnsi="宋体" w:eastAsia="宋体" w:cs="宋体"/>
          <w:bCs/>
          <w:sz w:val="21"/>
          <w:szCs w:val="21"/>
        </w:rPr>
        <w:t xml:space="preserve">转账/电汇 </w:t>
      </w:r>
      <w:r>
        <w:rPr>
          <w:rFonts w:hint="eastAsia" w:ascii="宋体" w:hAnsi="宋体" w:eastAsia="宋体" w:cs="宋体"/>
          <w:bCs/>
          <w:sz w:val="21"/>
          <w:szCs w:val="21"/>
        </w:rPr>
        <w:sym w:font="Wingdings" w:char="F0FE"/>
      </w:r>
      <w:r>
        <w:rPr>
          <w:rFonts w:hint="eastAsia" w:ascii="宋体" w:hAnsi="宋体" w:eastAsia="宋体" w:cs="宋体"/>
          <w:bCs/>
          <w:sz w:val="21"/>
          <w:szCs w:val="21"/>
        </w:rPr>
        <w:t xml:space="preserve">支票 </w:t>
      </w:r>
      <w:r>
        <w:rPr>
          <w:rFonts w:hint="eastAsia" w:ascii="宋体" w:hAnsi="宋体" w:eastAsia="宋体" w:cs="宋体"/>
          <w:bCs/>
          <w:sz w:val="21"/>
          <w:szCs w:val="21"/>
        </w:rPr>
        <w:sym w:font="Wingdings" w:char="F0FE"/>
      </w:r>
      <w:r>
        <w:rPr>
          <w:rFonts w:hint="eastAsia" w:ascii="宋体" w:hAnsi="宋体" w:eastAsia="宋体" w:cs="宋体"/>
          <w:bCs/>
          <w:sz w:val="21"/>
          <w:szCs w:val="21"/>
        </w:rPr>
        <w:t xml:space="preserve">汇票 </w:t>
      </w:r>
      <w:r>
        <w:rPr>
          <w:rFonts w:hint="eastAsia" w:ascii="宋体" w:hAnsi="宋体" w:eastAsia="宋体" w:cs="宋体"/>
          <w:bCs/>
          <w:sz w:val="21"/>
          <w:szCs w:val="21"/>
        </w:rPr>
        <w:sym w:font="Wingdings" w:char="F0FE"/>
      </w:r>
      <w:r>
        <w:rPr>
          <w:rFonts w:hint="eastAsia" w:ascii="宋体" w:hAnsi="宋体" w:eastAsia="宋体" w:cs="宋体"/>
          <w:bCs/>
          <w:sz w:val="21"/>
          <w:szCs w:val="21"/>
        </w:rPr>
        <w:t xml:space="preserve">本票 </w:t>
      </w:r>
      <w:r>
        <w:rPr>
          <w:rFonts w:hint="eastAsia" w:ascii="宋体" w:hAnsi="宋体" w:eastAsia="宋体" w:cs="宋体"/>
          <w:bCs/>
          <w:sz w:val="21"/>
          <w:szCs w:val="21"/>
        </w:rPr>
        <w:sym w:font="Wingdings" w:char="F0FE"/>
      </w:r>
      <w:r>
        <w:rPr>
          <w:rFonts w:hint="eastAsia" w:ascii="宋体" w:hAnsi="宋体" w:eastAsia="宋体" w:cs="宋体"/>
          <w:bCs/>
          <w:sz w:val="21"/>
          <w:szCs w:val="21"/>
        </w:rPr>
        <w:t xml:space="preserve">保险 </w:t>
      </w:r>
      <w:r>
        <w:rPr>
          <w:rFonts w:hint="eastAsia" w:ascii="宋体" w:hAnsi="宋体" w:eastAsia="宋体" w:cs="宋体"/>
          <w:bCs/>
          <w:sz w:val="21"/>
          <w:szCs w:val="21"/>
        </w:rPr>
        <w:sym w:font="Wingdings" w:char="F0FE"/>
      </w:r>
      <w:r>
        <w:rPr>
          <w:rFonts w:hint="eastAsia" w:ascii="宋体" w:hAnsi="宋体" w:eastAsia="宋体" w:cs="宋体"/>
          <w:bCs/>
          <w:sz w:val="21"/>
          <w:szCs w:val="21"/>
        </w:rPr>
        <w:t>保函</w:t>
      </w:r>
      <w:r>
        <w:rPr>
          <w:rFonts w:hint="eastAsia" w:ascii="宋体" w:hAnsi="宋体" w:eastAsia="宋体" w:cs="宋体"/>
          <w:color w:val="000000"/>
          <w:sz w:val="21"/>
          <w:szCs w:val="21"/>
          <w:highlight w:val="none"/>
        </w:rPr>
        <w:t>，项目完成并验收合格后一次性退还</w:t>
      </w:r>
      <w:r>
        <w:rPr>
          <w:rFonts w:hint="eastAsia" w:ascii="宋体" w:hAnsi="宋体" w:eastAsia="宋体" w:cs="宋体"/>
          <w:color w:val="000000"/>
          <w:sz w:val="21"/>
          <w:szCs w:val="21"/>
        </w:rPr>
        <w:t>。</w:t>
      </w:r>
    </w:p>
    <w:p w14:paraId="7FC944BD">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如乙方未能按期履行合同，甲方可从履约保证金中获得经济上的赔偿。若履约保证金的形式是保函（需为不可撤销独立保函）或支票的，在其有效期内项目未完成的，乙方应当自行给甲方提供新的履约保证金凭证直至项目完成。</w:t>
      </w:r>
    </w:p>
    <w:p w14:paraId="5B50852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因乙方未及时提供或替换已到期履约保证金凭证而造成甲方的一切损失，由乙方承担。</w:t>
      </w:r>
    </w:p>
    <w:p w14:paraId="1D5A8A2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highlight w:val="none"/>
        </w:rPr>
        <w:t>履约保证金满足退还条件时，</w:t>
      </w:r>
      <w:r>
        <w:rPr>
          <w:rFonts w:hint="eastAsia" w:ascii="宋体" w:hAnsi="宋体" w:eastAsia="宋体" w:cs="宋体"/>
          <w:color w:val="000000"/>
          <w:sz w:val="21"/>
          <w:szCs w:val="21"/>
        </w:rPr>
        <w:t>甲方应满足条件之后将履约保证金凭证退还乙方或将履约保证金退至乙方账户。</w:t>
      </w:r>
    </w:p>
    <w:p w14:paraId="059CED16">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第十条 保函或其他担保措施</w:t>
      </w:r>
    </w:p>
    <w:p w14:paraId="11224E9B">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乙方在本合同中，向甲方提供的保函应当符合以下要求：</w:t>
      </w:r>
    </w:p>
    <w:p w14:paraId="3BC8EF3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乙方提供的保函应当符合甲方规定的保函模板格式</w:t>
      </w:r>
      <w:r>
        <w:rPr>
          <w:rFonts w:hint="eastAsia" w:ascii="宋体" w:hAnsi="宋体" w:eastAsia="宋体" w:cs="宋体"/>
          <w:color w:val="000000"/>
          <w:sz w:val="21"/>
          <w:szCs w:val="21"/>
          <w:highlight w:val="none"/>
        </w:rPr>
        <w:t>（详见本合同附件）。</w:t>
      </w:r>
    </w:p>
    <w:p w14:paraId="229BDD9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保函的担保金额应当与甲方需支付的金额相等。</w:t>
      </w:r>
    </w:p>
    <w:p w14:paraId="2AFEE542">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rPr>
        <w:t>保函应当是不可撤销独立保函或甲方认可的其他凭证，保函需见索即付。</w:t>
      </w:r>
    </w:p>
    <w:p w14:paraId="71CA6A27">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4.</w:t>
      </w:r>
      <w:r>
        <w:rPr>
          <w:rFonts w:hint="eastAsia" w:ascii="宋体" w:hAnsi="宋体" w:eastAsia="宋体" w:cs="宋体"/>
          <w:color w:val="000000"/>
          <w:sz w:val="21"/>
          <w:szCs w:val="21"/>
        </w:rPr>
        <w:t>若乙方提供的保函（或其他担保措施）有效期到期前40日内，仍未安装验收合格或保函（或其他担保措施）担保的义务或责任没有履行，乙方应当及时更新保函（或其他担保措施），并将新的保函（或其他担保措施）送至甲方指定位置。甲方保留在保函（或其他担保措施）有效期到期前30日内向担保方索付的权利（或采取其他有效措施保护自身权利）。</w:t>
      </w:r>
    </w:p>
    <w:p w14:paraId="736BA5A1">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第十一条  售后服务、质保期</w:t>
      </w:r>
    </w:p>
    <w:p w14:paraId="64E38B5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乙方应按照国家有关法律法规和“三包”以及招投标文件规定，为甲方提供售后服务。</w:t>
      </w:r>
    </w:p>
    <w:p w14:paraId="02EC0A54">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货物质保期：乙方对其所提供的货物免费原厂质保</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u w:val="single"/>
          <w:lang w:val="en-US" w:eastAsia="zh-CN"/>
        </w:rPr>
        <w:t xml:space="preserve">   </w:t>
      </w:r>
      <w:r>
        <w:rPr>
          <w:rFonts w:hint="eastAsia" w:ascii="宋体" w:hAnsi="宋体" w:eastAsia="宋体" w:cs="宋体"/>
          <w:b/>
          <w:color w:val="000000"/>
          <w:sz w:val="21"/>
          <w:szCs w:val="21"/>
          <w:u w:val="single"/>
        </w:rPr>
        <w:t xml:space="preserve"> </w:t>
      </w:r>
      <w:r>
        <w:rPr>
          <w:rFonts w:hint="eastAsia" w:ascii="宋体" w:hAnsi="宋体" w:eastAsia="宋体" w:cs="宋体"/>
          <w:color w:val="000000"/>
          <w:sz w:val="21"/>
          <w:szCs w:val="21"/>
        </w:rPr>
        <w:t>年，包含主机+配套产品等所有内容，保修期从产品经甲方验收合格后开始。超过保修期的机器设备，终身维修，维修时只收部件成本费，成本费不能超过市场价格。</w:t>
      </w:r>
    </w:p>
    <w:p w14:paraId="7D0A20C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rPr>
        <w:t>维修技术支持：乙方一次性免费提供维护手册、维修手册、软件备份、故障代码表、备件清单等维护维修必需的材料和信息，否则不予验收。保修期外，无偿提供维修密码及软件在该项目中的使用权，按合同约定价格提供零部件以及快速响应的技术支持。</w:t>
      </w:r>
    </w:p>
    <w:p w14:paraId="781EACB9">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4.</w:t>
      </w:r>
      <w:r>
        <w:rPr>
          <w:rFonts w:hint="eastAsia" w:ascii="宋体" w:hAnsi="宋体" w:eastAsia="宋体" w:cs="宋体"/>
          <w:color w:val="000000"/>
          <w:sz w:val="21"/>
          <w:szCs w:val="21"/>
        </w:rPr>
        <w:t>质保响应时限：乙方应在接到甲方报修通知后24小时内上门维修（无需上门维修的除外），并应在3个工作日内更换或维修有瑕疵的货物、部件保证设备能正常使用。若乙方未按上述约定履行质保义务的，甲方有权保留追责的权利。同时甲方有权安排第三方进行维保，由此产生的费用从设备应付款中直接扣除，若不足扣除的，甲方有权向乙方进行追偿。</w:t>
      </w:r>
    </w:p>
    <w:p w14:paraId="4BD61349">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第十二条　违约责任</w:t>
      </w:r>
    </w:p>
    <w:p w14:paraId="3DF02334">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乙方若逾期交货，需向甲方支付逾期交货部分价款每日万分之五的违约金，迟延交付超过</w:t>
      </w:r>
      <w:r>
        <w:rPr>
          <w:rFonts w:hint="eastAsia" w:ascii="宋体" w:hAnsi="宋体" w:eastAsia="宋体" w:cs="宋体"/>
          <w:color w:val="000000"/>
          <w:sz w:val="21"/>
          <w:szCs w:val="21"/>
          <w:u w:val="single"/>
        </w:rPr>
        <w:t xml:space="preserve">  30  </w:t>
      </w:r>
      <w:r>
        <w:rPr>
          <w:rFonts w:hint="eastAsia" w:ascii="宋体" w:hAnsi="宋体" w:eastAsia="宋体" w:cs="宋体"/>
          <w:color w:val="000000"/>
          <w:sz w:val="21"/>
          <w:szCs w:val="21"/>
        </w:rPr>
        <w:t xml:space="preserve">日的，甲方有权解除合同。甲方解除合同的，乙方须向甲方支付合同总价款20%违约金，并应赔偿甲方由此造成的全部损失。 </w:t>
      </w:r>
    </w:p>
    <w:p w14:paraId="1943023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乙方所交产品品种、型号、规格、质量不符合合同规定的，如果甲方同意使用，应当按质论价。如果甲方不同意使用的，乙方应在10日内履行更换义务，更换不及时的按逾期交货承担违约责任。更换后的货物仍不符合原定质量要求的，甲方有权解除本合同，乙方需按合同总价款20%向甲方支付违约金，并应赔偿甲方由此造成的全部损失。</w:t>
      </w:r>
    </w:p>
    <w:p w14:paraId="3FC2ED12">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3.</w:t>
      </w:r>
      <w:r>
        <w:rPr>
          <w:rFonts w:hint="eastAsia" w:ascii="宋体" w:hAnsi="宋体" w:eastAsia="宋体" w:cs="宋体"/>
          <w:color w:val="000000"/>
          <w:sz w:val="21"/>
          <w:szCs w:val="21"/>
        </w:rPr>
        <w:t xml:space="preserve">乙方未按本合同履行义务致使甲方通过诉讼方式进行维权所产生的诉讼费用、律师费、保全费、保全担保费、公证费、差旅费及其他实现债权的费用均由乙方承担。 </w:t>
      </w:r>
    </w:p>
    <w:p w14:paraId="2877463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4.</w:t>
      </w:r>
      <w:r>
        <w:rPr>
          <w:rFonts w:hint="eastAsia" w:ascii="宋体" w:hAnsi="宋体" w:eastAsia="宋体" w:cs="宋体"/>
          <w:color w:val="000000"/>
          <w:sz w:val="21"/>
          <w:szCs w:val="21"/>
        </w:rPr>
        <w:t>验收合格后，甲方未能按时提请付款，由财政部门责令限期改正，给予警告。</w:t>
      </w:r>
    </w:p>
    <w:p w14:paraId="6FCA9F8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5.</w:t>
      </w:r>
      <w:r>
        <w:rPr>
          <w:rFonts w:hint="eastAsia" w:ascii="宋体" w:hAnsi="宋体" w:eastAsia="宋体" w:cs="宋体"/>
          <w:color w:val="000000"/>
          <w:sz w:val="21"/>
          <w:szCs w:val="21"/>
        </w:rPr>
        <w:t xml:space="preserve">如果出现政府采购监督管理部门在处理投诉事项期间，书面通知甲方暂停采购活动的情形，或者询问或质疑事项可能影响中标结果的，导致甲方中止履行合同的情形，均不视为甲方违约。   </w:t>
      </w:r>
    </w:p>
    <w:p w14:paraId="0D808172">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6.</w:t>
      </w:r>
      <w:r>
        <w:rPr>
          <w:rFonts w:hint="eastAsia" w:ascii="宋体" w:hAnsi="宋体" w:eastAsia="宋体" w:cs="宋体"/>
          <w:color w:val="000000"/>
          <w:sz w:val="21"/>
          <w:szCs w:val="21"/>
        </w:rPr>
        <w:t xml:space="preserve">乙方依据合同约定承担违约金、赔偿金的，甲方有权从应付款项或履约保证金中等额扣除。不足部分由乙方另行支付给甲方。                        </w:t>
      </w:r>
    </w:p>
    <w:p w14:paraId="4317F217">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第十三条  合同争议解决</w:t>
      </w:r>
    </w:p>
    <w:p w14:paraId="3A38FD1B">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因货物质量问题发生争议的，应邀请国家认可的质量检测机构对货物质量进行鉴定。货物符合标准的，鉴定费由甲方承担；货物不符合标准的，鉴定费由乙方承担。</w:t>
      </w:r>
    </w:p>
    <w:p w14:paraId="67976902">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因履行本合同引起的或与本合同有关的争议，甲乙双方应首先通过友好协商解决，如果协商不能解决，向甲方所在地人民法院提起诉讼。</w:t>
      </w:r>
    </w:p>
    <w:p w14:paraId="618C8D30">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第十四条  其他</w:t>
      </w:r>
    </w:p>
    <w:p w14:paraId="73F5073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本合同未尽事宜，由双方另行协商并签订补充协议，补充协议与本合同具有同等效力。 </w:t>
      </w:r>
    </w:p>
    <w:p w14:paraId="3122C62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本合同一式四份，甲方执两份，甲方纪检监察部门（基层医疗卫生机构上报上级卫生健康行政部门）执一份，乙方执一份，并从签订之日起生效。</w:t>
      </w:r>
    </w:p>
    <w:p w14:paraId="7F0AE7E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sz w:val="21"/>
          <w:szCs w:val="21"/>
        </w:rPr>
      </w:pPr>
    </w:p>
    <w:p w14:paraId="20FA3D3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（以下无正文）</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92"/>
      </w:tblGrid>
      <w:tr w14:paraId="13E7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3" w:hRule="atLeast"/>
          <w:jc w:val="center"/>
        </w:trPr>
        <w:tc>
          <w:tcPr>
            <w:tcW w:w="4516" w:type="dxa"/>
            <w:noWrap w:val="0"/>
            <w:vAlign w:val="center"/>
          </w:tcPr>
          <w:p w14:paraId="226A77B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甲方（章）</w:t>
            </w:r>
            <w:r>
              <w:rPr>
                <w:rFonts w:hint="eastAsia" w:ascii="宋体" w:hAnsi="宋体" w:eastAsia="宋体" w:cs="宋体"/>
                <w:b/>
                <w:bCs/>
                <w:color w:val="000000"/>
                <w:sz w:val="21"/>
                <w:szCs w:val="21"/>
                <w:lang w:eastAsia="zh-CN"/>
              </w:rPr>
              <w:t>：安徽省第二人民医院</w:t>
            </w:r>
          </w:p>
        </w:tc>
        <w:tc>
          <w:tcPr>
            <w:tcW w:w="4592" w:type="dxa"/>
            <w:noWrap w:val="0"/>
            <w:vAlign w:val="center"/>
          </w:tcPr>
          <w:p w14:paraId="65E2458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textAlignment w:va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乙方（章）</w:t>
            </w:r>
            <w:r>
              <w:rPr>
                <w:rFonts w:hint="eastAsia" w:ascii="宋体" w:hAnsi="宋体" w:eastAsia="宋体" w:cs="宋体"/>
                <w:b/>
                <w:bCs/>
                <w:color w:val="000000"/>
                <w:sz w:val="21"/>
                <w:szCs w:val="21"/>
                <w:lang w:eastAsia="zh-CN"/>
              </w:rPr>
              <w:t>：</w:t>
            </w:r>
          </w:p>
        </w:tc>
      </w:tr>
      <w:tr w14:paraId="686C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4516" w:type="dxa"/>
            <w:noWrap w:val="0"/>
            <w:vAlign w:val="center"/>
          </w:tcPr>
          <w:p w14:paraId="185D29B8">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单位地址：合肥市砀山路1868号</w:t>
            </w:r>
          </w:p>
        </w:tc>
        <w:tc>
          <w:tcPr>
            <w:tcW w:w="4592" w:type="dxa"/>
            <w:noWrap w:val="0"/>
            <w:vAlign w:val="center"/>
          </w:tcPr>
          <w:p w14:paraId="5C69B6CE">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单位地址：</w:t>
            </w:r>
          </w:p>
        </w:tc>
      </w:tr>
      <w:tr w14:paraId="4464C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4516" w:type="dxa"/>
            <w:noWrap w:val="0"/>
            <w:vAlign w:val="center"/>
          </w:tcPr>
          <w:p w14:paraId="2AD22B39">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p>
        </w:tc>
        <w:tc>
          <w:tcPr>
            <w:tcW w:w="4592" w:type="dxa"/>
            <w:noWrap w:val="0"/>
            <w:vAlign w:val="center"/>
          </w:tcPr>
          <w:p w14:paraId="2A404B17">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p>
        </w:tc>
      </w:tr>
      <w:tr w14:paraId="27CB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4516" w:type="dxa"/>
            <w:noWrap w:val="0"/>
            <w:vAlign w:val="center"/>
          </w:tcPr>
          <w:p w14:paraId="661F3E85">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委托代理人：</w:t>
            </w:r>
          </w:p>
        </w:tc>
        <w:tc>
          <w:tcPr>
            <w:tcW w:w="4592" w:type="dxa"/>
            <w:noWrap w:val="0"/>
            <w:vAlign w:val="center"/>
          </w:tcPr>
          <w:p w14:paraId="2CA70FB4">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委托代理人</w:t>
            </w:r>
            <w:r>
              <w:rPr>
                <w:rFonts w:hint="eastAsia" w:ascii="宋体" w:hAnsi="宋体" w:eastAsia="宋体" w:cs="宋体"/>
                <w:color w:val="000000"/>
                <w:sz w:val="21"/>
                <w:szCs w:val="21"/>
                <w:lang w:eastAsia="zh-CN"/>
              </w:rPr>
              <w:t>：</w:t>
            </w:r>
          </w:p>
        </w:tc>
      </w:tr>
      <w:tr w14:paraId="730C6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4516" w:type="dxa"/>
            <w:noWrap w:val="0"/>
            <w:vAlign w:val="center"/>
          </w:tcPr>
          <w:p w14:paraId="13FF21E6">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电话：0551-64286082</w:t>
            </w:r>
          </w:p>
        </w:tc>
        <w:tc>
          <w:tcPr>
            <w:tcW w:w="4592" w:type="dxa"/>
            <w:noWrap w:val="0"/>
            <w:vAlign w:val="center"/>
          </w:tcPr>
          <w:p w14:paraId="00F2BE46">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电话：</w:t>
            </w:r>
          </w:p>
        </w:tc>
      </w:tr>
      <w:tr w14:paraId="5D161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4516" w:type="dxa"/>
            <w:noWrap w:val="0"/>
            <w:vAlign w:val="center"/>
          </w:tcPr>
          <w:p w14:paraId="06C5013C">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lang w:val="en-US"/>
              </w:rPr>
            </w:pPr>
            <w:r>
              <w:rPr>
                <w:rFonts w:hint="eastAsia" w:ascii="宋体" w:hAnsi="宋体" w:eastAsia="宋体" w:cs="宋体"/>
                <w:color w:val="000000"/>
                <w:sz w:val="21"/>
                <w:szCs w:val="21"/>
              </w:rPr>
              <w:t>开户银行：</w:t>
            </w:r>
            <w:r>
              <w:rPr>
                <w:rFonts w:hint="eastAsia" w:ascii="宋体" w:hAnsi="宋体" w:eastAsia="宋体" w:cs="宋体"/>
                <w:color w:val="000000"/>
                <w:spacing w:val="-20"/>
                <w:sz w:val="21"/>
                <w:szCs w:val="21"/>
                <w:lang w:val="en-US" w:eastAsia="zh-CN"/>
              </w:rPr>
              <w:t>中国建设银行合肥瑶海支行</w:t>
            </w:r>
          </w:p>
        </w:tc>
        <w:tc>
          <w:tcPr>
            <w:tcW w:w="4592" w:type="dxa"/>
            <w:noWrap w:val="0"/>
            <w:vAlign w:val="center"/>
          </w:tcPr>
          <w:p w14:paraId="678F709D">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开户银行：</w:t>
            </w:r>
          </w:p>
        </w:tc>
      </w:tr>
      <w:tr w14:paraId="616D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4516" w:type="dxa"/>
            <w:noWrap w:val="0"/>
            <w:vAlign w:val="center"/>
          </w:tcPr>
          <w:p w14:paraId="138CC467">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账号：</w:t>
            </w:r>
            <w:r>
              <w:rPr>
                <w:rFonts w:hint="eastAsia" w:ascii="宋体" w:hAnsi="宋体" w:eastAsia="宋体" w:cs="宋体"/>
                <w:color w:val="000000"/>
                <w:sz w:val="21"/>
                <w:szCs w:val="21"/>
                <w:lang w:val="en-US" w:eastAsia="zh-CN"/>
              </w:rPr>
              <w:t>34001448608053002706</w:t>
            </w:r>
          </w:p>
        </w:tc>
        <w:tc>
          <w:tcPr>
            <w:tcW w:w="4592" w:type="dxa"/>
            <w:noWrap w:val="0"/>
            <w:vAlign w:val="center"/>
          </w:tcPr>
          <w:p w14:paraId="1BDDD7ED">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账号：</w:t>
            </w:r>
          </w:p>
        </w:tc>
      </w:tr>
      <w:tr w14:paraId="2769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4516" w:type="dxa"/>
            <w:noWrap w:val="0"/>
            <w:vAlign w:val="center"/>
          </w:tcPr>
          <w:p w14:paraId="397E5453">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邮政编码：</w:t>
            </w:r>
            <w:r>
              <w:rPr>
                <w:rFonts w:hint="eastAsia" w:ascii="宋体" w:hAnsi="宋体" w:eastAsia="宋体" w:cs="宋体"/>
                <w:color w:val="000000"/>
                <w:sz w:val="21"/>
                <w:szCs w:val="21"/>
                <w:lang w:val="en-US" w:eastAsia="zh-CN"/>
              </w:rPr>
              <w:t>230000</w:t>
            </w:r>
          </w:p>
        </w:tc>
        <w:tc>
          <w:tcPr>
            <w:tcW w:w="4592" w:type="dxa"/>
            <w:noWrap w:val="0"/>
            <w:vAlign w:val="center"/>
          </w:tcPr>
          <w:p w14:paraId="1AFE259C">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邮政编码：</w:t>
            </w:r>
          </w:p>
        </w:tc>
      </w:tr>
      <w:tr w14:paraId="1B30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4516" w:type="dxa"/>
            <w:noWrap w:val="0"/>
            <w:vAlign w:val="center"/>
          </w:tcPr>
          <w:p w14:paraId="70EC2C02">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签订日期：      年    月    日</w:t>
            </w:r>
          </w:p>
        </w:tc>
        <w:tc>
          <w:tcPr>
            <w:tcW w:w="4592" w:type="dxa"/>
            <w:noWrap w:val="0"/>
            <w:vAlign w:val="center"/>
          </w:tcPr>
          <w:p w14:paraId="25CE4BA0">
            <w:pPr>
              <w:keepNext w:val="0"/>
              <w:keepLines w:val="0"/>
              <w:pageBreakBefore w:val="0"/>
              <w:suppressLineNumbers w:val="0"/>
              <w:kinsoku/>
              <w:wordWrap/>
              <w:overflowPunct/>
              <w:topLinePunct w:val="0"/>
              <w:autoSpaceDE/>
              <w:autoSpaceDN/>
              <w:bidi w:val="0"/>
              <w:adjustRightInd/>
              <w:snapToGrid w:val="0"/>
              <w:spacing w:before="156" w:beforeLines="50" w:beforeAutospacing="0" w:after="156" w:afterLines="50" w:afterAutospacing="0" w:line="240" w:lineRule="auto"/>
              <w:ind w:left="0" w:righ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签订日期：      年    月    日</w:t>
            </w:r>
          </w:p>
        </w:tc>
      </w:tr>
    </w:tbl>
    <w:p w14:paraId="72D2E17C">
      <w:pPr>
        <w:pStyle w:val="22"/>
        <w:rPr>
          <w:rFonts w:hint="eastAsia" w:ascii="宋体" w:hAnsi="宋体" w:eastAsia="宋体" w:cs="宋体"/>
          <w:b/>
          <w:bCs/>
          <w:color w:val="000000"/>
          <w:kern w:val="0"/>
          <w:sz w:val="21"/>
          <w:szCs w:val="21"/>
          <w:lang w:val="en-US" w:eastAsia="zh-CN" w:bidi="ar"/>
        </w:rPr>
      </w:pPr>
    </w:p>
    <w:p w14:paraId="1F20FB73">
      <w:pPr>
        <w:pStyle w:val="17"/>
        <w:rPr>
          <w:rFonts w:hint="eastAsia" w:ascii="宋体" w:hAnsi="宋体" w:eastAsia="宋体" w:cs="宋体"/>
          <w:b/>
          <w:bCs/>
          <w:color w:val="000000"/>
          <w:kern w:val="0"/>
          <w:sz w:val="21"/>
          <w:szCs w:val="21"/>
          <w:lang w:val="en-US" w:eastAsia="zh-CN" w:bidi="ar"/>
        </w:rPr>
      </w:pPr>
    </w:p>
    <w:p w14:paraId="21DB57E4">
      <w:pPr>
        <w:pStyle w:val="17"/>
        <w:rPr>
          <w:rFonts w:hint="eastAsia" w:ascii="宋体" w:hAnsi="宋体" w:eastAsia="宋体" w:cs="宋体"/>
          <w:b/>
          <w:bCs/>
          <w:color w:val="000000"/>
          <w:kern w:val="0"/>
          <w:sz w:val="21"/>
          <w:szCs w:val="21"/>
          <w:lang w:val="en-US" w:eastAsia="zh-CN" w:bidi="ar"/>
        </w:rPr>
      </w:pPr>
    </w:p>
    <w:p w14:paraId="5198F4FF">
      <w:pPr>
        <w:pStyle w:val="17"/>
        <w:rPr>
          <w:rFonts w:hint="eastAsia" w:ascii="宋体" w:hAnsi="宋体" w:eastAsia="宋体" w:cs="宋体"/>
          <w:b/>
          <w:bCs/>
          <w:color w:val="000000"/>
          <w:kern w:val="0"/>
          <w:sz w:val="21"/>
          <w:szCs w:val="21"/>
          <w:lang w:val="en-US" w:eastAsia="zh-CN" w:bidi="ar"/>
        </w:rPr>
      </w:pPr>
    </w:p>
    <w:p w14:paraId="3AC4FB27">
      <w:pPr>
        <w:pStyle w:val="17"/>
        <w:rPr>
          <w:rFonts w:hint="eastAsia" w:ascii="宋体" w:hAnsi="宋体" w:eastAsia="宋体" w:cs="宋体"/>
          <w:b/>
          <w:bCs/>
          <w:color w:val="000000"/>
          <w:kern w:val="0"/>
          <w:sz w:val="21"/>
          <w:szCs w:val="21"/>
          <w:lang w:val="en-US" w:eastAsia="zh-CN" w:bidi="ar"/>
        </w:rPr>
      </w:pPr>
    </w:p>
    <w:p w14:paraId="33362243">
      <w:pPr>
        <w:pStyle w:val="17"/>
        <w:rPr>
          <w:rFonts w:hint="eastAsia" w:ascii="宋体" w:hAnsi="宋体" w:eastAsia="宋体" w:cs="宋体"/>
          <w:sz w:val="21"/>
          <w:szCs w:val="21"/>
          <w:lang w:val="en-US" w:eastAsia="zh-CN"/>
        </w:rPr>
      </w:pPr>
    </w:p>
    <w:p w14:paraId="24A2590A">
      <w:pPr>
        <w:pStyle w:val="22"/>
        <w:ind w:left="0" w:leftChars="0" w:firstLine="0" w:firstLineChars="0"/>
        <w:jc w:val="center"/>
        <w:rPr>
          <w:rFonts w:hint="eastAsia"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配置清单</w:t>
      </w:r>
    </w:p>
    <w:p w14:paraId="51F70D5E">
      <w:pPr>
        <w:pStyle w:val="22"/>
        <w:rPr>
          <w:rFonts w:hint="eastAsia" w:ascii="宋体" w:hAnsi="宋体" w:eastAsia="宋体" w:cs="宋体"/>
          <w:color w:val="000000"/>
          <w:kern w:val="2"/>
          <w:sz w:val="21"/>
          <w:szCs w:val="21"/>
          <w:lang w:val="en-US" w:eastAsia="zh-CN" w:bidi="ar-SA"/>
        </w:rPr>
      </w:pPr>
    </w:p>
    <w:tbl>
      <w:tblPr>
        <w:tblStyle w:val="24"/>
        <w:tblW w:w="9848"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2462"/>
        <w:gridCol w:w="2462"/>
        <w:gridCol w:w="2462"/>
        <w:gridCol w:w="2462"/>
      </w:tblGrid>
      <w:tr w14:paraId="19136FB8">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808" w:hRule="atLeast"/>
          <w:tblHeader/>
          <w:jc w:val="center"/>
        </w:trPr>
        <w:tc>
          <w:tcPr>
            <w:tcW w:w="2462" w:type="dxa"/>
            <w:tcBorders>
              <w:top w:val="single" w:color="auto" w:sz="12" w:space="0"/>
              <w:left w:val="single" w:color="auto" w:sz="12" w:space="0"/>
              <w:bottom w:val="nil"/>
              <w:right w:val="nil"/>
            </w:tcBorders>
            <w:noWrap w:val="0"/>
            <w:tcMar>
              <w:top w:w="-1" w:type="dxa"/>
              <w:left w:w="-1" w:type="dxa"/>
              <w:bottom w:w="-1" w:type="dxa"/>
              <w:right w:w="-1" w:type="dxa"/>
            </w:tcMar>
            <w:vAlign w:val="center"/>
          </w:tcPr>
          <w:p w14:paraId="37FBE089">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序号</w:t>
            </w:r>
          </w:p>
        </w:tc>
        <w:tc>
          <w:tcPr>
            <w:tcW w:w="2462"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5960B83F">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名称</w:t>
            </w:r>
          </w:p>
        </w:tc>
        <w:tc>
          <w:tcPr>
            <w:tcW w:w="2462"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61EF3C34">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数量</w:t>
            </w:r>
          </w:p>
        </w:tc>
        <w:tc>
          <w:tcPr>
            <w:tcW w:w="2462" w:type="dxa"/>
            <w:tcBorders>
              <w:top w:val="single" w:color="auto" w:sz="12" w:space="0"/>
              <w:left w:val="single" w:color="auto" w:sz="4" w:space="0"/>
              <w:bottom w:val="nil"/>
              <w:right w:val="single" w:color="auto" w:sz="12" w:space="0"/>
            </w:tcBorders>
            <w:noWrap w:val="0"/>
            <w:tcMar>
              <w:top w:w="-1" w:type="dxa"/>
              <w:left w:w="-1" w:type="dxa"/>
              <w:bottom w:w="-1" w:type="dxa"/>
              <w:right w:w="-1" w:type="dxa"/>
            </w:tcMar>
            <w:vAlign w:val="center"/>
          </w:tcPr>
          <w:p w14:paraId="5891FEC9">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备注</w:t>
            </w:r>
          </w:p>
        </w:tc>
      </w:tr>
      <w:tr w14:paraId="4F013D3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808" w:hRule="atLeast"/>
          <w:jc w:val="center"/>
        </w:trPr>
        <w:tc>
          <w:tcPr>
            <w:tcW w:w="2462"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5B738A97">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75699356">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18F4504E">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09E7C6C">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r>
      <w:tr w14:paraId="1A27AAFC">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808" w:hRule="atLeast"/>
          <w:jc w:val="center"/>
        </w:trPr>
        <w:tc>
          <w:tcPr>
            <w:tcW w:w="2462"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550904F6">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05FE211B">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7A4832B1">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C07D3C2">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r>
      <w:tr w14:paraId="0DFDD17B">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808" w:hRule="atLeast"/>
          <w:jc w:val="center"/>
        </w:trPr>
        <w:tc>
          <w:tcPr>
            <w:tcW w:w="2462"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6DB93360">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2859C17A">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2961C5BB">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6C2D9AB5">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r>
      <w:tr w14:paraId="29E131CC">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808" w:hRule="atLeast"/>
          <w:jc w:val="center"/>
        </w:trPr>
        <w:tc>
          <w:tcPr>
            <w:tcW w:w="2462" w:type="dxa"/>
            <w:tcBorders>
              <w:top w:val="single" w:color="auto" w:sz="4" w:space="0"/>
              <w:left w:val="single" w:color="auto" w:sz="12" w:space="0"/>
              <w:bottom w:val="single" w:color="auto" w:sz="12" w:space="0"/>
              <w:right w:val="nil"/>
            </w:tcBorders>
            <w:noWrap w:val="0"/>
            <w:tcMar>
              <w:top w:w="-1" w:type="dxa"/>
              <w:left w:w="-1" w:type="dxa"/>
              <w:bottom w:w="-1" w:type="dxa"/>
              <w:right w:w="-1" w:type="dxa"/>
            </w:tcMar>
            <w:vAlign w:val="center"/>
          </w:tcPr>
          <w:p w14:paraId="542532AC">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74607975">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2CEC3D3C">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c>
          <w:tcPr>
            <w:tcW w:w="2462" w:type="dxa"/>
            <w:tcBorders>
              <w:top w:val="single" w:color="auto" w:sz="4" w:space="0"/>
              <w:left w:val="single" w:color="auto" w:sz="4" w:space="0"/>
              <w:bottom w:val="single" w:color="auto" w:sz="12" w:space="0"/>
              <w:right w:val="single" w:color="auto" w:sz="12" w:space="0"/>
            </w:tcBorders>
            <w:noWrap w:val="0"/>
            <w:tcMar>
              <w:top w:w="-1" w:type="dxa"/>
              <w:left w:w="-1" w:type="dxa"/>
              <w:bottom w:w="-1" w:type="dxa"/>
              <w:right w:w="-1" w:type="dxa"/>
            </w:tcMar>
            <w:vAlign w:val="center"/>
          </w:tcPr>
          <w:p w14:paraId="1207A182">
            <w:pPr>
              <w:pStyle w:val="22"/>
              <w:snapToGrid w:val="0"/>
              <w:ind w:left="0" w:leftChars="0" w:right="0" w:rightChars="0" w:firstLine="0" w:firstLineChars="0"/>
              <w:jc w:val="center"/>
              <w:rPr>
                <w:rFonts w:hint="eastAsia" w:ascii="宋体" w:hAnsi="宋体" w:eastAsia="宋体" w:cs="宋体"/>
                <w:color w:val="000000"/>
                <w:kern w:val="2"/>
                <w:sz w:val="21"/>
                <w:szCs w:val="21"/>
                <w:lang w:val="en-US" w:eastAsia="zh-CN" w:bidi="ar-SA"/>
              </w:rPr>
            </w:pPr>
          </w:p>
        </w:tc>
      </w:tr>
    </w:tbl>
    <w:p w14:paraId="5B48CC16">
      <w:pPr>
        <w:pStyle w:val="17"/>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（表格形式根据实际情况补充）</w:t>
      </w:r>
    </w:p>
    <w:p w14:paraId="5FFAAEF3">
      <w:pPr>
        <w:pStyle w:val="17"/>
        <w:ind w:left="0" w:leftChars="0" w:firstLine="0" w:firstLineChars="0"/>
        <w:rPr>
          <w:rFonts w:hint="eastAsia" w:ascii="宋体" w:hAnsi="宋体" w:eastAsia="宋体" w:cs="宋体"/>
          <w:b/>
          <w:bCs/>
          <w:sz w:val="21"/>
          <w:szCs w:val="21"/>
          <w:lang w:val="en-US" w:eastAsia="zh-CN"/>
        </w:rPr>
      </w:pPr>
    </w:p>
    <w:p w14:paraId="297FC75D">
      <w:pPr>
        <w:spacing w:line="560" w:lineRule="exact"/>
        <w:rPr>
          <w:rFonts w:hint="eastAsia" w:ascii="宋体" w:hAnsi="宋体" w:eastAsia="宋体" w:cs="宋体"/>
          <w:sz w:val="21"/>
          <w:szCs w:val="21"/>
        </w:rPr>
        <w:sectPr>
          <w:footnotePr>
            <w:numFmt w:val="decimalEnclosedCircleChinese"/>
            <w:numRestart w:val="eachPage"/>
          </w:footnotePr>
          <w:pgSz w:w="11906" w:h="16838"/>
          <w:pgMar w:top="1134" w:right="1134" w:bottom="1134" w:left="1134" w:header="851" w:footer="851" w:gutter="0"/>
          <w:pgNumType w:fmt="decimal"/>
          <w:cols w:space="720" w:num="1"/>
          <w:docGrid w:linePitch="286" w:charSpace="0"/>
        </w:sectPr>
      </w:pPr>
    </w:p>
    <w:bookmarkEnd w:id="1183"/>
    <w:p w14:paraId="64965C94">
      <w:pPr>
        <w:pStyle w:val="3"/>
        <w:spacing w:line="500" w:lineRule="exact"/>
        <w:jc w:val="center"/>
        <w:rPr>
          <w:rFonts w:hint="eastAsia" w:ascii="宋体" w:hAnsi="宋体" w:eastAsia="宋体" w:cs="宋体"/>
          <w:sz w:val="21"/>
          <w:szCs w:val="21"/>
        </w:rPr>
      </w:pPr>
      <w:r>
        <w:rPr>
          <w:rFonts w:hint="eastAsia" w:ascii="宋体" w:hAnsi="宋体" w:eastAsia="宋体" w:cs="宋体"/>
          <w:sz w:val="21"/>
          <w:szCs w:val="21"/>
        </w:rPr>
        <w:t>医疗卫生机构医药产品廉洁购销合同</w:t>
      </w:r>
    </w:p>
    <w:p w14:paraId="6B0AC074">
      <w:pPr>
        <w:spacing w:line="400" w:lineRule="exact"/>
        <w:ind w:firstLine="422" w:firstLineChars="200"/>
        <w:rPr>
          <w:rFonts w:hint="eastAsia" w:ascii="宋体" w:hAnsi="宋体" w:eastAsia="宋体" w:cs="宋体"/>
          <w:sz w:val="21"/>
          <w:szCs w:val="21"/>
        </w:rPr>
      </w:pPr>
      <w:r>
        <w:rPr>
          <w:rFonts w:hint="eastAsia" w:ascii="宋体" w:hAnsi="宋体" w:eastAsia="宋体" w:cs="宋体"/>
          <w:b/>
          <w:sz w:val="21"/>
          <w:szCs w:val="21"/>
        </w:rPr>
        <w:t>甲方</w:t>
      </w:r>
      <w:r>
        <w:rPr>
          <w:rFonts w:hint="eastAsia" w:ascii="宋体" w:hAnsi="宋体" w:eastAsia="宋体" w:cs="宋体"/>
          <w:sz w:val="21"/>
          <w:szCs w:val="21"/>
        </w:rPr>
        <w:t>：安徽省第二人民医院</w:t>
      </w:r>
    </w:p>
    <w:p w14:paraId="7C4640DF">
      <w:pPr>
        <w:spacing w:line="400" w:lineRule="exact"/>
        <w:ind w:firstLine="422" w:firstLineChars="200"/>
        <w:rPr>
          <w:rFonts w:hint="eastAsia" w:ascii="宋体" w:hAnsi="宋体" w:eastAsia="宋体" w:cs="宋体"/>
          <w:sz w:val="21"/>
          <w:szCs w:val="21"/>
        </w:rPr>
      </w:pPr>
      <w:r>
        <w:rPr>
          <w:rFonts w:hint="eastAsia" w:ascii="宋体" w:hAnsi="宋体" w:eastAsia="宋体" w:cs="宋体"/>
          <w:b/>
          <w:sz w:val="21"/>
          <w:szCs w:val="21"/>
        </w:rPr>
        <w:t>乙方</w:t>
      </w:r>
      <w:r>
        <w:rPr>
          <w:rFonts w:hint="eastAsia" w:ascii="宋体" w:hAnsi="宋体" w:eastAsia="宋体" w:cs="宋体"/>
          <w:sz w:val="21"/>
          <w:szCs w:val="21"/>
        </w:rPr>
        <w:t>：</w:t>
      </w:r>
    </w:p>
    <w:p w14:paraId="73CDE730">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为进一步加强医疗卫生行风建设，规范医疗卫生机构医药购销行为，有效防范商业贿赂行为，营造公平交易、诚实守信的购销环境，经甲、乙双方协商，同意签订本协议，并共同遵守：</w:t>
      </w:r>
    </w:p>
    <w:p w14:paraId="273CC1AB">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一、甲乙双方按照《</w:t>
      </w:r>
      <w:r>
        <w:rPr>
          <w:rFonts w:hint="eastAsia" w:ascii="宋体" w:hAnsi="宋体" w:eastAsia="宋体" w:cs="宋体"/>
          <w:sz w:val="21"/>
          <w:szCs w:val="21"/>
          <w:highlight w:val="none"/>
          <w:lang w:val="en-US" w:eastAsia="zh-CN"/>
        </w:rPr>
        <w:t>中华民族共和国</w:t>
      </w:r>
      <w:r>
        <w:rPr>
          <w:rFonts w:hint="eastAsia" w:ascii="宋体" w:hAnsi="宋体" w:eastAsia="宋体" w:cs="宋体"/>
          <w:sz w:val="21"/>
          <w:szCs w:val="21"/>
        </w:rPr>
        <w:t>民法典》及医药产品购销合同约定购销药品、医用设备、医用耗材等医药产品。</w:t>
      </w:r>
    </w:p>
    <w:p w14:paraId="547253A3">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二、甲方应当严格执行医药产品购销合同验收、入库制度，对采购医药产品及发票进行查验，不得违反有关规定合同外采购、违价采购或从非规定渠道采购。</w:t>
      </w:r>
    </w:p>
    <w:p w14:paraId="793A48A1">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13EDC55C">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四、严禁甲方工作人员利用任何途径和方式，为乙方统计医师个人及临床科室有关医药产品用量信息，或为乙方统计提供便利。</w:t>
      </w:r>
    </w:p>
    <w:p w14:paraId="7001F841">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五、乙方不得以回扣、宴请等方式影响甲方工作人员采购或使用医药产品的选择权，不得在学术活动中提供旅游、超标准支付食宿费用。</w:t>
      </w:r>
    </w:p>
    <w:p w14:paraId="1A10D9B2">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六、乙方指定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 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3836669B">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七、乙方如违反本协议，一经发现，甲方有权终止购销合同，并向有关卫生计生行政部门报告。如乙方被列入商业贿赂不良记录，则严格按照《安徽省医药购销领域商业贿赂不良记录管理办法》相关规定处理。</w:t>
      </w:r>
    </w:p>
    <w:p w14:paraId="1AE46897">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八、本协议作为医药产品购销合同的重要组成部分，与购销合同一并执行，具有同等的法律效力。</w:t>
      </w:r>
    </w:p>
    <w:p w14:paraId="2229D749">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九、 本合同一式四份，甲方执两份，甲方纪检监察部门（基层医疗卫生机构上报上级卫生健康行政部门）执一份，乙方执一份，并从签订之日起生效。</w:t>
      </w:r>
    </w:p>
    <w:p w14:paraId="18FA0DA5">
      <w:pPr>
        <w:spacing w:line="400" w:lineRule="exact"/>
        <w:rPr>
          <w:rFonts w:hint="eastAsia" w:ascii="宋体" w:hAnsi="宋体" w:eastAsia="宋体" w:cs="宋体"/>
          <w:b/>
          <w:sz w:val="21"/>
          <w:szCs w:val="21"/>
        </w:rPr>
      </w:pPr>
      <w:r>
        <w:rPr>
          <w:rFonts w:hint="eastAsia" w:ascii="宋体" w:hAnsi="宋体" w:eastAsia="宋体" w:cs="宋体"/>
          <w:b/>
          <w:sz w:val="21"/>
          <w:szCs w:val="21"/>
        </w:rPr>
        <w:t>甲方（盖章）：                             乙方（盖章）：</w:t>
      </w:r>
    </w:p>
    <w:p w14:paraId="1F8FAB7B">
      <w:pPr>
        <w:spacing w:line="400" w:lineRule="exact"/>
        <w:rPr>
          <w:rFonts w:hint="eastAsia" w:ascii="宋体" w:hAnsi="宋体" w:eastAsia="宋体" w:cs="宋体"/>
          <w:b/>
          <w:sz w:val="21"/>
          <w:szCs w:val="21"/>
        </w:rPr>
      </w:pPr>
      <w:r>
        <w:rPr>
          <w:rFonts w:hint="eastAsia" w:ascii="宋体" w:hAnsi="宋体" w:eastAsia="宋体" w:cs="宋体"/>
          <w:b/>
          <w:sz w:val="21"/>
          <w:szCs w:val="21"/>
        </w:rPr>
        <w:t>法定代表人（负责人）：                     法定代表人（负责人）：</w:t>
      </w:r>
    </w:p>
    <w:p w14:paraId="5BB1645F">
      <w:pPr>
        <w:spacing w:line="400" w:lineRule="exact"/>
        <w:rPr>
          <w:rFonts w:hint="eastAsia" w:ascii="宋体" w:hAnsi="宋体" w:eastAsia="宋体" w:cs="宋体"/>
          <w:b/>
          <w:sz w:val="21"/>
          <w:szCs w:val="21"/>
        </w:rPr>
      </w:pPr>
      <w:r>
        <w:rPr>
          <w:rFonts w:hint="eastAsia" w:ascii="宋体" w:hAnsi="宋体" w:eastAsia="宋体" w:cs="宋体"/>
          <w:b/>
          <w:sz w:val="21"/>
          <w:szCs w:val="21"/>
        </w:rPr>
        <w:t>经办人签名：                              经办人签名：</w:t>
      </w:r>
    </w:p>
    <w:p w14:paraId="050D610C">
      <w:pPr>
        <w:spacing w:line="400" w:lineRule="exact"/>
        <w:rPr>
          <w:rFonts w:hint="eastAsia" w:ascii="宋体" w:hAnsi="宋体" w:eastAsia="宋体" w:cs="宋体"/>
          <w:sz w:val="21"/>
          <w:szCs w:val="21"/>
        </w:rPr>
      </w:pPr>
      <w:r>
        <w:rPr>
          <w:rFonts w:hint="eastAsia" w:ascii="宋体" w:hAnsi="宋体" w:eastAsia="宋体" w:cs="宋体"/>
          <w:sz w:val="21"/>
          <w:szCs w:val="21"/>
        </w:rPr>
        <w:t>年   月   日                              年   月   日</w:t>
      </w:r>
    </w:p>
    <w:p w14:paraId="26D0BB44">
      <w:pP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br w:type="page"/>
      </w:r>
    </w:p>
    <w:p w14:paraId="55507BE4">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b/>
          <w:bCs/>
          <w:color w:val="000000"/>
          <w:kern w:val="0"/>
          <w:sz w:val="21"/>
          <w:szCs w:val="21"/>
          <w:lang w:val="en-US" w:eastAsia="zh-CN" w:bidi="ar"/>
        </w:rPr>
        <w:t xml:space="preserve">履约保证金格式 </w:t>
      </w:r>
    </w:p>
    <w:p w14:paraId="4F408C3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b/>
          <w:bCs/>
          <w:color w:val="000000"/>
          <w:kern w:val="0"/>
          <w:sz w:val="21"/>
          <w:szCs w:val="21"/>
          <w:lang w:val="en-US" w:eastAsia="zh-CN" w:bidi="ar"/>
        </w:rPr>
        <w:t>履约保函示范文本</w:t>
      </w:r>
    </w:p>
    <w:p w14:paraId="6457CD2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b/>
          <w:bCs/>
          <w:color w:val="000000"/>
          <w:kern w:val="0"/>
          <w:sz w:val="21"/>
          <w:szCs w:val="21"/>
          <w:lang w:val="en-US" w:eastAsia="zh-CN" w:bidi="ar"/>
        </w:rPr>
        <w:t>（独立保函）</w:t>
      </w:r>
    </w:p>
    <w:p w14:paraId="0B2DA867">
      <w:pPr>
        <w:keepNext w:val="0"/>
        <w:keepLines w:val="0"/>
        <w:pageBreakBefore w:val="0"/>
        <w:widowControl/>
        <w:suppressLineNumbers w:val="0"/>
        <w:kinsoku/>
        <w:wordWrap/>
        <w:overflowPunct/>
        <w:topLinePunct w:val="0"/>
        <w:autoSpaceDE/>
        <w:autoSpaceDN/>
        <w:bidi w:val="0"/>
        <w:adjustRightInd/>
        <w:snapToGrid/>
        <w:spacing w:line="440" w:lineRule="exact"/>
        <w:ind w:firstLine="5250" w:firstLineChars="25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编号： </w:t>
      </w:r>
    </w:p>
    <w:p w14:paraId="7E1F2132">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（受益人名称）： </w:t>
      </w:r>
    </w:p>
    <w:p w14:paraId="684D3C7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kern w:val="0"/>
          <w:sz w:val="21"/>
          <w:szCs w:val="21"/>
          <w:lang w:val="en-US" w:eastAsia="zh-CN" w:bidi="ar"/>
        </w:rPr>
      </w:pPr>
    </w:p>
    <w:p w14:paraId="1B6C3D8A">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鉴于</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（以下简称“受益人”）与</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（以下简称“申请人”）于</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年</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月</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日就（以下简称“本项目”）和货物有关事项协商一致共同签订《</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以下简称“基础合同”），我方（即“开立人”）根据基础合同了解到申请人为基础合同项下之出卖人，受益人为基础合同项下之买受人，基于申请人的请求，我方同意就申请人履行与贵方签订的基础合同项下的义务，向贵方提供不可撤销、不可转让的见索即付独立保函（以下简称“本保函”）。 </w:t>
      </w:r>
    </w:p>
    <w:p w14:paraId="31CB0E42">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一、本保函担保范围：承包人未按照基础合同的约定履行义务，应当向贵方承担的违约责任和赔偿因此造成的损失、律师费、诉讼费用等实现债权的费用。 </w:t>
      </w:r>
    </w:p>
    <w:p w14:paraId="7D34F1F4">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二、本保函担保金额最高不超过人民币（大写）</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元（¥</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 </w:t>
      </w:r>
    </w:p>
    <w:p w14:paraId="6D93E3D0">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三、本保函有效期自开立之日起至基础合同约定的缺陷责任期后</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日止，最迟不超过</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年</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月</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日。 </w:t>
      </w:r>
    </w:p>
    <w:p w14:paraId="5218F6F5">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四、我方承诺，在收到受益人发来的书面付款通知后的</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日内无条件支付，前述书面付款通知即为付款要求之单据，且应满足以下要求： </w:t>
      </w:r>
    </w:p>
    <w:p w14:paraId="66F11E56">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（1）付款通知到达的日期在本保函的有效期内； </w:t>
      </w:r>
    </w:p>
    <w:p w14:paraId="15AD4897">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（2）载明要求支付的金额； </w:t>
      </w:r>
    </w:p>
    <w:p w14:paraId="5B6413E2">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（3）载明申请人违反合同义务的条款和内容； </w:t>
      </w:r>
    </w:p>
    <w:p w14:paraId="3A41103C">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（4）声明不存在合同文件约定或我国法律规定免除申请人或开立人支付责任的情形； </w:t>
      </w:r>
    </w:p>
    <w:p w14:paraId="4C25B6DA">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（5）付款通知应在本保函有效期内到达的地址是：</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 </w:t>
      </w:r>
    </w:p>
    <w:p w14:paraId="687E7A34">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受益人发出的书面付款通知应由其为鉴明受益人法定代表人（负责人）或授权代理人签字并加盖公章。 </w:t>
      </w:r>
    </w:p>
    <w:p w14:paraId="5DA6B2B0">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五、本保函项下的权利不得转让，不得设定担保。贵方未经我方书面同意转 让本保函或 其项下任何权利，对我方不发生法律效力。 </w:t>
      </w:r>
    </w:p>
    <w:p w14:paraId="573E9225">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六、与本保函有关的基础合同不成立、不生效、无效、被撤销、被解除，不影响本保函的独立有效。</w:t>
      </w:r>
    </w:p>
    <w:p w14:paraId="4704582D">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七、贵方应在本保函到期后的七日内将本保函正本退回我方注销，但是不论贵方是否按此要求将本保函正本退回我方，我方在本保函项下的义务和责任均在保函有效期到期后自动消灭。 </w:t>
      </w:r>
    </w:p>
    <w:p w14:paraId="15DACBD3">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八、本保函适用的法律为中华人民共和国法律，争议裁判管辖地为中华人民共和国合肥市人民法院。 </w:t>
      </w:r>
    </w:p>
    <w:p w14:paraId="3A3B1ACD">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九、本保函自我方法定代表人或授权代表签字并加盖公章之日起生效。 </w:t>
      </w:r>
    </w:p>
    <w:p w14:paraId="47C1F95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kern w:val="0"/>
          <w:sz w:val="21"/>
          <w:szCs w:val="21"/>
          <w:lang w:val="en-US" w:eastAsia="zh-CN" w:bidi="ar"/>
        </w:rPr>
      </w:pPr>
    </w:p>
    <w:p w14:paraId="66E574D8">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开 立 人：                       （公章） </w:t>
      </w:r>
    </w:p>
    <w:p w14:paraId="1390422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法定代表人（或授权代表）：       （签字） </w:t>
      </w:r>
    </w:p>
    <w:p w14:paraId="574EB83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地址： </w:t>
      </w:r>
    </w:p>
    <w:p w14:paraId="10BB552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邮政编码： </w:t>
      </w:r>
    </w:p>
    <w:p w14:paraId="1737D3D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电话： </w:t>
      </w:r>
    </w:p>
    <w:p w14:paraId="321DAF5F">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传真： </w:t>
      </w:r>
    </w:p>
    <w:p w14:paraId="6553B18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Times New Roman" w:hAnsi="Times New Roman" w:eastAsia="宋体" w:cs="Times New Roman"/>
          <w:b/>
          <w:bCs/>
          <w:kern w:val="44"/>
          <w:sz w:val="44"/>
          <w:szCs w:val="44"/>
        </w:rPr>
      </w:pPr>
      <w:r>
        <w:rPr>
          <w:rFonts w:hint="eastAsia" w:ascii="宋体" w:hAnsi="宋体" w:eastAsia="宋体" w:cs="宋体"/>
          <w:color w:val="000000"/>
          <w:kern w:val="0"/>
          <w:sz w:val="21"/>
          <w:szCs w:val="21"/>
          <w:lang w:val="en-US" w:eastAsia="zh-CN" w:bidi="ar"/>
        </w:rPr>
        <w:t xml:space="preserve">开立时间：   年   月  </w:t>
      </w:r>
      <w:r>
        <w:rPr>
          <w:rFonts w:hint="eastAsia" w:ascii="仿宋" w:hAnsi="仿宋" w:eastAsia="仿宋" w:cs="仿宋"/>
          <w:color w:val="000000"/>
          <w:kern w:val="0"/>
          <w:sz w:val="24"/>
          <w:szCs w:val="24"/>
          <w:lang w:val="en-US" w:eastAsia="zh-CN" w:bidi="ar"/>
        </w:rPr>
        <w:t xml:space="preserve"> </w:t>
      </w:r>
    </w:p>
    <w:p w14:paraId="340A57C7">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Times New Roman" w:hAnsi="Times New Roman" w:eastAsia="宋体" w:cs="Times New Roman"/>
          <w:b/>
          <w:bCs/>
          <w:kern w:val="44"/>
          <w:sz w:val="44"/>
          <w:szCs w:val="44"/>
        </w:rPr>
      </w:pPr>
      <w:r>
        <w:rPr>
          <w:rFonts w:hint="eastAsia" w:ascii="仿宋" w:hAnsi="仿宋" w:eastAsia="仿宋" w:cs="仿宋"/>
          <w:color w:val="000000"/>
          <w:kern w:val="0"/>
          <w:sz w:val="24"/>
          <w:szCs w:val="24"/>
          <w:lang w:val="en-US" w:eastAsia="zh-CN" w:bidi="ar"/>
        </w:rPr>
        <w:t xml:space="preserve">   </w:t>
      </w:r>
    </w:p>
    <w:p w14:paraId="6325BB42">
      <w:pPr>
        <w:keepLines w:val="0"/>
        <w:pageBreakBefore w:val="0"/>
        <w:kinsoku/>
        <w:wordWrap/>
        <w:overflowPunct/>
        <w:topLinePunct w:val="0"/>
        <w:autoSpaceDE/>
        <w:autoSpaceDN/>
        <w:bidi w:val="0"/>
        <w:adjustRightInd/>
        <w:spacing w:line="288" w:lineRule="auto"/>
        <w:textAlignment w:val="auto"/>
        <w:rPr>
          <w:rFonts w:hint="eastAsia" w:ascii="Times New Roman" w:hAnsi="Times New Roman" w:eastAsia="宋体" w:cs="Times New Roman"/>
          <w:b/>
          <w:bCs/>
          <w:kern w:val="44"/>
          <w:sz w:val="44"/>
          <w:szCs w:val="44"/>
        </w:rPr>
      </w:pPr>
      <w:r>
        <w:rPr>
          <w:rFonts w:hint="eastAsia" w:ascii="Times New Roman" w:hAnsi="Times New Roman" w:eastAsia="宋体" w:cs="Times New Roman"/>
          <w:b/>
          <w:bCs/>
          <w:kern w:val="44"/>
          <w:sz w:val="44"/>
          <w:szCs w:val="44"/>
        </w:rPr>
        <w:br w:type="page"/>
      </w:r>
    </w:p>
    <w:p w14:paraId="7538FC02">
      <w:pPr>
        <w:pStyle w:val="2"/>
        <w:jc w:val="center"/>
        <w:rPr>
          <w:rFonts w:hint="eastAsia" w:ascii="宋体" w:hAnsi="宋体"/>
        </w:rPr>
      </w:pPr>
      <w:bookmarkStart w:id="1184" w:name="_Toc791"/>
      <w:bookmarkStart w:id="1185" w:name="_Toc3215877"/>
      <w:bookmarkStart w:id="1186" w:name="_Toc18362"/>
      <w:bookmarkStart w:id="1187" w:name="_Toc17301"/>
      <w:bookmarkStart w:id="1188" w:name="_Toc29699"/>
      <w:bookmarkStart w:id="1189" w:name="_Toc3295927"/>
      <w:bookmarkStart w:id="1190" w:name="_Toc30356"/>
      <w:bookmarkStart w:id="1191" w:name="_Toc9182"/>
      <w:bookmarkStart w:id="1192" w:name="_Toc1215"/>
      <w:bookmarkStart w:id="1193" w:name="_Toc1916824"/>
      <w:bookmarkStart w:id="1194" w:name="_Toc20456"/>
      <w:r>
        <w:rPr>
          <w:rFonts w:hint="eastAsia" w:ascii="宋体" w:hAnsi="宋体"/>
        </w:rPr>
        <w:t>第六章</w:t>
      </w:r>
      <w:r>
        <w:rPr>
          <w:rFonts w:hint="eastAsia" w:ascii="宋体" w:hAnsi="宋体"/>
          <w:lang w:val="en-US" w:eastAsia="zh-CN"/>
        </w:rPr>
        <w:t xml:space="preserve"> </w:t>
      </w:r>
      <w:r>
        <w:rPr>
          <w:rFonts w:hint="eastAsia" w:ascii="宋体" w:hAnsi="宋体"/>
        </w:rPr>
        <w:t xml:space="preserve"> 投标文件格式</w:t>
      </w:r>
      <w:bookmarkEnd w:id="1184"/>
      <w:bookmarkEnd w:id="1185"/>
      <w:bookmarkEnd w:id="1186"/>
      <w:bookmarkEnd w:id="1187"/>
      <w:bookmarkEnd w:id="1188"/>
      <w:bookmarkEnd w:id="1189"/>
      <w:bookmarkEnd w:id="1190"/>
      <w:bookmarkEnd w:id="1191"/>
      <w:bookmarkEnd w:id="1192"/>
      <w:bookmarkEnd w:id="1193"/>
      <w:bookmarkEnd w:id="1194"/>
    </w:p>
    <w:p w14:paraId="6E56028D">
      <w:pPr>
        <w:rPr>
          <w:rFonts w:hint="eastAsia"/>
        </w:rPr>
      </w:pPr>
    </w:p>
    <w:p w14:paraId="256BE530">
      <w:pPr>
        <w:jc w:val="center"/>
        <w:rPr>
          <w:b/>
          <w:bCs/>
          <w:sz w:val="40"/>
          <w:szCs w:val="36"/>
        </w:rPr>
      </w:pPr>
      <w:r>
        <w:rPr>
          <w:rFonts w:hint="eastAsia"/>
          <w:b/>
          <w:bCs/>
          <w:sz w:val="40"/>
          <w:szCs w:val="36"/>
          <w:u w:val="single"/>
        </w:rPr>
        <w:t xml:space="preserve">        </w:t>
      </w:r>
      <w:bookmarkStart w:id="1195" w:name="_Toc9979"/>
      <w:bookmarkStart w:id="1196" w:name="_Toc5405"/>
      <w:bookmarkStart w:id="1197" w:name="_Toc7255"/>
      <w:r>
        <w:rPr>
          <w:b/>
          <w:bCs/>
          <w:sz w:val="40"/>
          <w:szCs w:val="36"/>
        </w:rPr>
        <w:t>（项目名称）设备采购招标项目</w:t>
      </w:r>
      <w:bookmarkEnd w:id="1195"/>
      <w:bookmarkEnd w:id="1196"/>
      <w:bookmarkEnd w:id="1197"/>
    </w:p>
    <w:p w14:paraId="67829E48">
      <w:pPr>
        <w:rPr>
          <w:b/>
          <w:bCs/>
          <w:sz w:val="44"/>
        </w:rPr>
      </w:pPr>
    </w:p>
    <w:p w14:paraId="6F927323">
      <w:pPr>
        <w:spacing w:line="240" w:lineRule="auto"/>
        <w:jc w:val="center"/>
        <w:rPr>
          <w:b/>
          <w:bCs/>
          <w:sz w:val="56"/>
          <w:szCs w:val="36"/>
        </w:rPr>
      </w:pPr>
      <w:bookmarkStart w:id="1198" w:name="_Toc23591"/>
      <w:bookmarkStart w:id="1199" w:name="_Toc16380"/>
      <w:bookmarkStart w:id="1200" w:name="_Toc3652"/>
      <w:r>
        <w:rPr>
          <w:b/>
          <w:bCs/>
          <w:sz w:val="56"/>
          <w:szCs w:val="36"/>
        </w:rPr>
        <w:t>投标文件</w:t>
      </w:r>
      <w:bookmarkEnd w:id="1198"/>
      <w:bookmarkEnd w:id="1199"/>
      <w:bookmarkEnd w:id="1200"/>
    </w:p>
    <w:p w14:paraId="65C37F1F">
      <w:pPr>
        <w:jc w:val="center"/>
        <w:rPr>
          <w:b/>
          <w:bCs/>
          <w:sz w:val="44"/>
        </w:rPr>
      </w:pPr>
    </w:p>
    <w:p w14:paraId="2D1935C7">
      <w:pPr>
        <w:jc w:val="both"/>
        <w:rPr>
          <w:rFonts w:hint="eastAsia"/>
          <w:b/>
          <w:bCs/>
          <w:sz w:val="44"/>
        </w:rPr>
      </w:pPr>
    </w:p>
    <w:p w14:paraId="012662BF">
      <w:pPr>
        <w:jc w:val="center"/>
        <w:rPr>
          <w:rFonts w:hint="eastAsia"/>
          <w:b/>
          <w:bCs/>
          <w:sz w:val="44"/>
        </w:rPr>
      </w:pPr>
    </w:p>
    <w:p w14:paraId="4FB28965">
      <w:pPr>
        <w:jc w:val="center"/>
        <w:rPr>
          <w:rFonts w:hint="eastAsia"/>
          <w:b/>
          <w:bCs/>
          <w:sz w:val="44"/>
        </w:rPr>
      </w:pPr>
    </w:p>
    <w:p w14:paraId="68E55E58">
      <w:pPr>
        <w:jc w:val="center"/>
        <w:rPr>
          <w:rFonts w:hint="eastAsia"/>
          <w:b/>
          <w:bCs/>
          <w:sz w:val="44"/>
        </w:rPr>
      </w:pPr>
    </w:p>
    <w:p w14:paraId="06AC5F4B">
      <w:pPr>
        <w:jc w:val="center"/>
        <w:rPr>
          <w:rFonts w:hint="eastAsia"/>
          <w:b/>
          <w:bCs/>
          <w:sz w:val="44"/>
        </w:rPr>
      </w:pPr>
    </w:p>
    <w:p w14:paraId="56947306">
      <w:pPr>
        <w:jc w:val="center"/>
        <w:rPr>
          <w:rFonts w:hint="eastAsia"/>
          <w:b/>
          <w:bCs/>
          <w:sz w:val="44"/>
        </w:rPr>
      </w:pPr>
    </w:p>
    <w:p w14:paraId="75A78B90">
      <w:pPr>
        <w:jc w:val="center"/>
        <w:rPr>
          <w:rFonts w:hint="eastAsia"/>
          <w:b/>
          <w:bCs/>
          <w:sz w:val="44"/>
        </w:rPr>
      </w:pPr>
    </w:p>
    <w:p w14:paraId="51C74FD4">
      <w:pPr>
        <w:jc w:val="center"/>
        <w:rPr>
          <w:rFonts w:hint="eastAsia"/>
          <w:b/>
          <w:bCs/>
          <w:sz w:val="44"/>
        </w:rPr>
      </w:pPr>
    </w:p>
    <w:p w14:paraId="67D0FE72">
      <w:pPr>
        <w:jc w:val="center"/>
        <w:rPr>
          <w:rFonts w:hint="eastAsia"/>
          <w:b/>
          <w:bCs/>
          <w:sz w:val="44"/>
        </w:rPr>
      </w:pPr>
    </w:p>
    <w:p w14:paraId="635E3B49">
      <w:pPr>
        <w:jc w:val="center"/>
        <w:rPr>
          <w:b/>
          <w:bCs/>
          <w:sz w:val="44"/>
        </w:rPr>
      </w:pPr>
    </w:p>
    <w:p w14:paraId="3A23BA6A">
      <w:pPr>
        <w:jc w:val="center"/>
        <w:rPr>
          <w:b/>
          <w:bCs/>
          <w:sz w:val="44"/>
        </w:rPr>
      </w:pPr>
    </w:p>
    <w:p w14:paraId="62852C1A">
      <w:pPr>
        <w:jc w:val="center"/>
        <w:rPr>
          <w:b/>
          <w:bCs/>
          <w:sz w:val="28"/>
        </w:rPr>
      </w:pPr>
      <w:bookmarkStart w:id="1201" w:name="_Toc8022"/>
      <w:bookmarkStart w:id="1202" w:name="_Toc29466"/>
      <w:bookmarkStart w:id="1203" w:name="_Toc28008"/>
      <w:r>
        <w:rPr>
          <w:b/>
          <w:bCs/>
          <w:sz w:val="28"/>
        </w:rPr>
        <w:t>投标人：</w:t>
      </w:r>
      <w:r>
        <w:rPr>
          <w:rFonts w:hint="eastAsia"/>
          <w:b/>
          <w:bCs/>
          <w:sz w:val="28"/>
          <w:u w:val="single"/>
        </w:rPr>
        <w:t xml:space="preserve">                                       </w:t>
      </w:r>
      <w:r>
        <w:rPr>
          <w:b/>
          <w:bCs/>
          <w:sz w:val="28"/>
        </w:rPr>
        <w:t>（</w:t>
      </w:r>
      <w:r>
        <w:rPr>
          <w:rFonts w:hint="eastAsia"/>
          <w:b/>
          <w:bCs/>
          <w:sz w:val="28"/>
        </w:rPr>
        <w:t>电子签章</w:t>
      </w:r>
      <w:r>
        <w:rPr>
          <w:b/>
          <w:bCs/>
          <w:sz w:val="28"/>
        </w:rPr>
        <w:t>）</w:t>
      </w:r>
      <w:bookmarkEnd w:id="1201"/>
      <w:bookmarkEnd w:id="1202"/>
      <w:bookmarkEnd w:id="1203"/>
    </w:p>
    <w:p w14:paraId="37EF32A4">
      <w:pPr>
        <w:spacing w:before="120" w:beforeLines="50" w:after="120" w:afterLines="50"/>
        <w:jc w:val="center"/>
        <w:rPr>
          <w:rFonts w:hint="eastAsia" w:ascii="宋体" w:hAnsi="宋体"/>
          <w:b/>
          <w:i/>
          <w:color w:val="FF0000"/>
          <w:sz w:val="32"/>
          <w:szCs w:val="32"/>
        </w:rPr>
      </w:pPr>
    </w:p>
    <w:p w14:paraId="008980FF">
      <w:pPr>
        <w:jc w:val="center"/>
        <w:rPr>
          <w:b/>
          <w:bCs/>
          <w:sz w:val="28"/>
          <w:szCs w:val="28"/>
        </w:rPr>
      </w:pPr>
      <w:r>
        <w:rPr>
          <w:rFonts w:hint="eastAsia"/>
          <w:b/>
          <w:bCs/>
          <w:sz w:val="28"/>
          <w:szCs w:val="28"/>
          <w:u w:val="single"/>
        </w:rPr>
        <w:t xml:space="preserve">      </w:t>
      </w:r>
      <w:bookmarkStart w:id="1204" w:name="_Toc10413"/>
      <w:bookmarkStart w:id="1205" w:name="_Toc28185"/>
      <w:bookmarkStart w:id="1206" w:name="_Toc12594"/>
      <w:r>
        <w:rPr>
          <w:b/>
          <w:bCs/>
          <w:sz w:val="28"/>
          <w:szCs w:val="28"/>
        </w:rPr>
        <w:t>年</w:t>
      </w:r>
      <w:r>
        <w:rPr>
          <w:rFonts w:hint="eastAsia"/>
          <w:b/>
          <w:bCs/>
          <w:sz w:val="28"/>
          <w:szCs w:val="28"/>
          <w:u w:val="single"/>
        </w:rPr>
        <w:t xml:space="preserve">   </w:t>
      </w:r>
      <w:r>
        <w:rPr>
          <w:b/>
          <w:bCs/>
          <w:sz w:val="28"/>
          <w:szCs w:val="28"/>
        </w:rPr>
        <w:t>月</w:t>
      </w:r>
      <w:r>
        <w:rPr>
          <w:rFonts w:hint="eastAsia"/>
          <w:b/>
          <w:bCs/>
          <w:sz w:val="28"/>
          <w:szCs w:val="28"/>
          <w:u w:val="single"/>
        </w:rPr>
        <w:t xml:space="preserve">    </w:t>
      </w:r>
      <w:r>
        <w:rPr>
          <w:b/>
          <w:bCs/>
          <w:sz w:val="28"/>
          <w:szCs w:val="28"/>
        </w:rPr>
        <w:t>日</w:t>
      </w:r>
      <w:bookmarkEnd w:id="1204"/>
      <w:bookmarkEnd w:id="1205"/>
      <w:bookmarkEnd w:id="1206"/>
    </w:p>
    <w:p w14:paraId="6423981F">
      <w:pPr>
        <w:jc w:val="center"/>
        <w:rPr>
          <w:rFonts w:ascii="宋体" w:hAnsi="宋体"/>
        </w:rPr>
      </w:pPr>
    </w:p>
    <w:p w14:paraId="4D9C38BA">
      <w:pPr>
        <w:jc w:val="center"/>
        <w:rPr>
          <w:rFonts w:ascii="宋体" w:hAnsi="宋体"/>
        </w:rPr>
      </w:pPr>
      <w:r>
        <w:rPr>
          <w:rFonts w:ascii="宋体" w:hAnsi="宋体"/>
        </w:rPr>
        <w:br w:type="page"/>
      </w:r>
    </w:p>
    <w:p w14:paraId="0759B82F">
      <w:pPr>
        <w:pStyle w:val="20"/>
        <w:rPr>
          <w:rFonts w:hint="eastAsia" w:ascii="宋体" w:hAnsi="宋体" w:eastAsia="宋体"/>
          <w:sz w:val="32"/>
          <w:szCs w:val="32"/>
        </w:rPr>
      </w:pPr>
      <w:bookmarkStart w:id="1207" w:name="_Toc30453"/>
      <w:bookmarkStart w:id="1208" w:name="_Toc919"/>
      <w:bookmarkStart w:id="1209" w:name="_Toc353"/>
      <w:r>
        <w:rPr>
          <w:rFonts w:hint="eastAsia" w:ascii="宋体" w:hAnsi="宋体" w:eastAsia="宋体"/>
          <w:sz w:val="32"/>
          <w:szCs w:val="32"/>
        </w:rPr>
        <w:t>投标文件资料清单</w:t>
      </w:r>
      <w:bookmarkEnd w:id="1207"/>
      <w:bookmarkEnd w:id="1208"/>
      <w:bookmarkEnd w:id="1209"/>
    </w:p>
    <w:p w14:paraId="0B45CDAE">
      <w:pPr>
        <w:rPr>
          <w:rFonts w:hint="eastAsia"/>
        </w:rPr>
      </w:pPr>
    </w:p>
    <w:tbl>
      <w:tblPr>
        <w:tblStyle w:val="23"/>
        <w:tblW w:w="91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5789"/>
        <w:gridCol w:w="1053"/>
        <w:gridCol w:w="1040"/>
      </w:tblGrid>
      <w:tr w14:paraId="3C2F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285C0D97">
            <w:pPr>
              <w:spacing w:line="400" w:lineRule="exact"/>
              <w:jc w:val="center"/>
              <w:rPr>
                <w:rFonts w:hint="eastAsia" w:ascii="宋体" w:hAnsi="宋体"/>
                <w:b/>
                <w:szCs w:val="21"/>
              </w:rPr>
            </w:pPr>
            <w:r>
              <w:rPr>
                <w:rFonts w:hint="eastAsia" w:ascii="宋体" w:hAnsi="宋体"/>
                <w:b/>
                <w:szCs w:val="21"/>
              </w:rPr>
              <w:t>序号</w:t>
            </w:r>
          </w:p>
        </w:tc>
        <w:tc>
          <w:tcPr>
            <w:tcW w:w="5789" w:type="dxa"/>
            <w:noWrap w:val="0"/>
            <w:vAlign w:val="center"/>
          </w:tcPr>
          <w:p w14:paraId="52AA4681">
            <w:pPr>
              <w:spacing w:line="400" w:lineRule="exact"/>
              <w:jc w:val="center"/>
              <w:rPr>
                <w:rFonts w:hint="eastAsia" w:ascii="宋体" w:hAnsi="宋体"/>
                <w:b/>
                <w:szCs w:val="21"/>
              </w:rPr>
            </w:pPr>
            <w:r>
              <w:rPr>
                <w:rFonts w:hint="eastAsia" w:ascii="宋体" w:hAnsi="宋体"/>
                <w:b/>
                <w:szCs w:val="21"/>
              </w:rPr>
              <w:t>资料名称</w:t>
            </w:r>
          </w:p>
        </w:tc>
        <w:tc>
          <w:tcPr>
            <w:tcW w:w="1053" w:type="dxa"/>
            <w:noWrap w:val="0"/>
            <w:vAlign w:val="center"/>
          </w:tcPr>
          <w:p w14:paraId="05384DAF">
            <w:pPr>
              <w:spacing w:line="400" w:lineRule="exact"/>
              <w:jc w:val="center"/>
              <w:rPr>
                <w:rFonts w:hint="eastAsia" w:ascii="宋体" w:hAnsi="宋体"/>
                <w:b/>
                <w:szCs w:val="21"/>
              </w:rPr>
            </w:pPr>
            <w:r>
              <w:rPr>
                <w:rFonts w:hint="eastAsia" w:ascii="宋体" w:hAnsi="宋体"/>
                <w:b/>
                <w:szCs w:val="21"/>
              </w:rPr>
              <w:t>页码</w:t>
            </w:r>
          </w:p>
        </w:tc>
        <w:tc>
          <w:tcPr>
            <w:tcW w:w="1040" w:type="dxa"/>
            <w:noWrap w:val="0"/>
            <w:vAlign w:val="center"/>
          </w:tcPr>
          <w:p w14:paraId="1DCA099A">
            <w:pPr>
              <w:spacing w:line="400" w:lineRule="exact"/>
              <w:jc w:val="center"/>
              <w:rPr>
                <w:rFonts w:hint="eastAsia" w:ascii="宋体" w:hAnsi="宋体"/>
                <w:b/>
                <w:szCs w:val="21"/>
              </w:rPr>
            </w:pPr>
            <w:r>
              <w:rPr>
                <w:rFonts w:hint="eastAsia" w:ascii="宋体" w:hAnsi="宋体"/>
                <w:b/>
                <w:szCs w:val="21"/>
              </w:rPr>
              <w:t>备注</w:t>
            </w:r>
          </w:p>
        </w:tc>
      </w:tr>
      <w:tr w14:paraId="0C36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7134AB36">
            <w:pPr>
              <w:spacing w:before="96" w:beforeLines="40" w:after="96" w:afterLines="40" w:line="400" w:lineRule="exact"/>
              <w:jc w:val="center"/>
              <w:rPr>
                <w:rFonts w:hint="eastAsia" w:ascii="宋体" w:hAnsi="宋体"/>
                <w:szCs w:val="21"/>
              </w:rPr>
            </w:pPr>
            <w:r>
              <w:rPr>
                <w:rFonts w:hint="eastAsia" w:ascii="宋体" w:hAnsi="宋体"/>
                <w:szCs w:val="21"/>
              </w:rPr>
              <w:t>一</w:t>
            </w:r>
          </w:p>
        </w:tc>
        <w:tc>
          <w:tcPr>
            <w:tcW w:w="5789" w:type="dxa"/>
            <w:noWrap w:val="0"/>
            <w:vAlign w:val="center"/>
          </w:tcPr>
          <w:p w14:paraId="2160824A">
            <w:pPr>
              <w:spacing w:before="96" w:beforeLines="40" w:after="96" w:afterLines="40" w:line="400" w:lineRule="exact"/>
              <w:rPr>
                <w:rFonts w:hint="eastAsia" w:ascii="宋体" w:hAnsi="宋体"/>
                <w:szCs w:val="21"/>
                <w:u w:val="single"/>
              </w:rPr>
            </w:pPr>
          </w:p>
        </w:tc>
        <w:tc>
          <w:tcPr>
            <w:tcW w:w="1053" w:type="dxa"/>
            <w:noWrap w:val="0"/>
            <w:vAlign w:val="center"/>
          </w:tcPr>
          <w:p w14:paraId="68AD137E">
            <w:pPr>
              <w:spacing w:before="96" w:beforeLines="40" w:after="96" w:afterLines="40" w:line="400" w:lineRule="exact"/>
              <w:jc w:val="center"/>
              <w:rPr>
                <w:rFonts w:hint="eastAsia" w:ascii="宋体" w:hAnsi="宋体"/>
                <w:szCs w:val="21"/>
              </w:rPr>
            </w:pPr>
          </w:p>
        </w:tc>
        <w:tc>
          <w:tcPr>
            <w:tcW w:w="1040" w:type="dxa"/>
            <w:noWrap w:val="0"/>
            <w:vAlign w:val="center"/>
          </w:tcPr>
          <w:p w14:paraId="083F07F8">
            <w:pPr>
              <w:spacing w:before="96" w:beforeLines="40" w:after="96" w:afterLines="40" w:line="400" w:lineRule="exact"/>
              <w:jc w:val="center"/>
              <w:rPr>
                <w:rFonts w:hint="eastAsia" w:ascii="宋体" w:hAnsi="宋体"/>
                <w:szCs w:val="21"/>
              </w:rPr>
            </w:pPr>
          </w:p>
        </w:tc>
      </w:tr>
      <w:tr w14:paraId="75FE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3A4DE1D1">
            <w:pPr>
              <w:spacing w:before="96" w:beforeLines="40" w:after="96" w:afterLines="40" w:line="400" w:lineRule="exact"/>
              <w:jc w:val="center"/>
              <w:rPr>
                <w:rFonts w:hint="eastAsia" w:ascii="宋体" w:hAnsi="宋体"/>
                <w:bCs/>
                <w:szCs w:val="21"/>
              </w:rPr>
            </w:pPr>
            <w:r>
              <w:rPr>
                <w:rFonts w:hint="eastAsia" w:ascii="宋体" w:hAnsi="宋体"/>
                <w:bCs/>
                <w:szCs w:val="21"/>
              </w:rPr>
              <w:t>二</w:t>
            </w:r>
          </w:p>
        </w:tc>
        <w:tc>
          <w:tcPr>
            <w:tcW w:w="5789" w:type="dxa"/>
            <w:noWrap w:val="0"/>
            <w:vAlign w:val="center"/>
          </w:tcPr>
          <w:p w14:paraId="51790502">
            <w:pPr>
              <w:spacing w:before="96" w:beforeLines="40" w:after="96" w:afterLines="40" w:line="400" w:lineRule="exact"/>
              <w:rPr>
                <w:rFonts w:hint="eastAsia" w:ascii="宋体" w:hAnsi="宋体"/>
                <w:bCs/>
                <w:szCs w:val="21"/>
              </w:rPr>
            </w:pPr>
          </w:p>
        </w:tc>
        <w:tc>
          <w:tcPr>
            <w:tcW w:w="1053" w:type="dxa"/>
            <w:noWrap w:val="0"/>
            <w:vAlign w:val="center"/>
          </w:tcPr>
          <w:p w14:paraId="35955D3F">
            <w:pPr>
              <w:spacing w:before="96" w:beforeLines="40" w:after="96" w:afterLines="40" w:line="400" w:lineRule="exact"/>
              <w:jc w:val="left"/>
              <w:rPr>
                <w:rFonts w:hint="eastAsia" w:ascii="宋体" w:hAnsi="宋体"/>
                <w:szCs w:val="21"/>
              </w:rPr>
            </w:pPr>
          </w:p>
        </w:tc>
        <w:tc>
          <w:tcPr>
            <w:tcW w:w="1040" w:type="dxa"/>
            <w:noWrap w:val="0"/>
            <w:vAlign w:val="center"/>
          </w:tcPr>
          <w:p w14:paraId="0E45A905">
            <w:pPr>
              <w:spacing w:before="96" w:beforeLines="40" w:after="96" w:afterLines="40" w:line="400" w:lineRule="exact"/>
              <w:jc w:val="left"/>
              <w:rPr>
                <w:rFonts w:hint="eastAsia" w:ascii="宋体" w:hAnsi="宋体"/>
                <w:szCs w:val="21"/>
              </w:rPr>
            </w:pPr>
          </w:p>
        </w:tc>
      </w:tr>
      <w:tr w14:paraId="0635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50D0AFF1">
            <w:pPr>
              <w:spacing w:before="96" w:beforeLines="40" w:after="96" w:afterLines="40" w:line="400" w:lineRule="exact"/>
              <w:jc w:val="center"/>
              <w:rPr>
                <w:rFonts w:hint="eastAsia" w:ascii="宋体" w:hAnsi="宋体"/>
                <w:bCs/>
                <w:szCs w:val="21"/>
              </w:rPr>
            </w:pPr>
            <w:r>
              <w:rPr>
                <w:rFonts w:hint="eastAsia" w:ascii="宋体" w:hAnsi="宋体"/>
                <w:bCs/>
                <w:szCs w:val="21"/>
              </w:rPr>
              <w:t>三</w:t>
            </w:r>
          </w:p>
        </w:tc>
        <w:tc>
          <w:tcPr>
            <w:tcW w:w="5789" w:type="dxa"/>
            <w:noWrap w:val="0"/>
            <w:vAlign w:val="center"/>
          </w:tcPr>
          <w:p w14:paraId="1CAF4541">
            <w:pPr>
              <w:spacing w:before="96" w:beforeLines="40" w:after="96" w:afterLines="40" w:line="400" w:lineRule="exact"/>
              <w:rPr>
                <w:rFonts w:hint="eastAsia" w:ascii="宋体" w:hAnsi="宋体"/>
                <w:bCs/>
                <w:szCs w:val="21"/>
              </w:rPr>
            </w:pPr>
          </w:p>
        </w:tc>
        <w:tc>
          <w:tcPr>
            <w:tcW w:w="1053" w:type="dxa"/>
            <w:noWrap w:val="0"/>
            <w:vAlign w:val="center"/>
          </w:tcPr>
          <w:p w14:paraId="1A1A2727">
            <w:pPr>
              <w:spacing w:before="96" w:beforeLines="40" w:after="96" w:afterLines="40" w:line="400" w:lineRule="exact"/>
              <w:jc w:val="center"/>
              <w:rPr>
                <w:rFonts w:hint="eastAsia" w:ascii="宋体" w:hAnsi="宋体"/>
                <w:szCs w:val="21"/>
              </w:rPr>
            </w:pPr>
          </w:p>
        </w:tc>
        <w:tc>
          <w:tcPr>
            <w:tcW w:w="1040" w:type="dxa"/>
            <w:noWrap w:val="0"/>
            <w:vAlign w:val="center"/>
          </w:tcPr>
          <w:p w14:paraId="1BE6BA1C">
            <w:pPr>
              <w:spacing w:before="96" w:beforeLines="40" w:after="96" w:afterLines="40" w:line="400" w:lineRule="exact"/>
              <w:jc w:val="center"/>
              <w:rPr>
                <w:rFonts w:hint="eastAsia" w:ascii="宋体" w:hAnsi="宋体"/>
                <w:szCs w:val="21"/>
              </w:rPr>
            </w:pPr>
          </w:p>
        </w:tc>
      </w:tr>
      <w:tr w14:paraId="7341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3E80810C">
            <w:pPr>
              <w:spacing w:before="96" w:beforeLines="40" w:after="96" w:afterLines="40" w:line="400" w:lineRule="exact"/>
              <w:jc w:val="center"/>
              <w:rPr>
                <w:rFonts w:hint="eastAsia" w:ascii="宋体" w:hAnsi="宋体"/>
                <w:szCs w:val="21"/>
              </w:rPr>
            </w:pPr>
            <w:r>
              <w:rPr>
                <w:rFonts w:hint="eastAsia" w:ascii="宋体" w:hAnsi="宋体"/>
                <w:szCs w:val="21"/>
              </w:rPr>
              <w:t>四</w:t>
            </w:r>
          </w:p>
        </w:tc>
        <w:tc>
          <w:tcPr>
            <w:tcW w:w="5789" w:type="dxa"/>
            <w:noWrap w:val="0"/>
            <w:vAlign w:val="center"/>
          </w:tcPr>
          <w:p w14:paraId="3964E4F5">
            <w:pPr>
              <w:spacing w:before="96" w:beforeLines="40" w:after="96" w:afterLines="40" w:line="400" w:lineRule="exact"/>
              <w:rPr>
                <w:rFonts w:hint="eastAsia" w:ascii="宋体" w:hAnsi="宋体"/>
                <w:bCs/>
                <w:szCs w:val="21"/>
              </w:rPr>
            </w:pPr>
          </w:p>
        </w:tc>
        <w:tc>
          <w:tcPr>
            <w:tcW w:w="1053" w:type="dxa"/>
            <w:noWrap w:val="0"/>
            <w:vAlign w:val="center"/>
          </w:tcPr>
          <w:p w14:paraId="51C6EFC7">
            <w:pPr>
              <w:spacing w:before="96" w:beforeLines="40" w:after="96" w:afterLines="40" w:line="400" w:lineRule="exact"/>
              <w:jc w:val="center"/>
              <w:rPr>
                <w:rFonts w:hint="eastAsia" w:ascii="宋体" w:hAnsi="宋体"/>
                <w:szCs w:val="21"/>
              </w:rPr>
            </w:pPr>
          </w:p>
        </w:tc>
        <w:tc>
          <w:tcPr>
            <w:tcW w:w="1040" w:type="dxa"/>
            <w:noWrap w:val="0"/>
            <w:vAlign w:val="center"/>
          </w:tcPr>
          <w:p w14:paraId="7D914F35">
            <w:pPr>
              <w:spacing w:before="96" w:beforeLines="40" w:after="96" w:afterLines="40" w:line="400" w:lineRule="exact"/>
              <w:jc w:val="center"/>
              <w:rPr>
                <w:rFonts w:hint="eastAsia" w:ascii="宋体" w:hAnsi="宋体"/>
                <w:szCs w:val="21"/>
              </w:rPr>
            </w:pPr>
          </w:p>
        </w:tc>
      </w:tr>
      <w:tr w14:paraId="62241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17593A86">
            <w:pPr>
              <w:spacing w:before="96" w:beforeLines="40" w:after="96" w:afterLines="40" w:line="400" w:lineRule="exact"/>
              <w:jc w:val="center"/>
              <w:rPr>
                <w:rFonts w:hint="eastAsia" w:ascii="宋体" w:hAnsi="宋体"/>
                <w:bCs/>
                <w:szCs w:val="21"/>
              </w:rPr>
            </w:pPr>
            <w:r>
              <w:rPr>
                <w:rFonts w:hint="eastAsia" w:ascii="宋体" w:hAnsi="宋体"/>
                <w:bCs/>
                <w:szCs w:val="21"/>
              </w:rPr>
              <w:t>五</w:t>
            </w:r>
          </w:p>
        </w:tc>
        <w:tc>
          <w:tcPr>
            <w:tcW w:w="5789" w:type="dxa"/>
            <w:noWrap w:val="0"/>
            <w:vAlign w:val="center"/>
          </w:tcPr>
          <w:p w14:paraId="5253F54A">
            <w:pPr>
              <w:spacing w:before="96" w:beforeLines="40" w:after="96" w:afterLines="40" w:line="400" w:lineRule="exact"/>
              <w:rPr>
                <w:rFonts w:hint="eastAsia" w:ascii="宋体" w:hAnsi="宋体"/>
                <w:bCs/>
                <w:szCs w:val="21"/>
              </w:rPr>
            </w:pPr>
          </w:p>
        </w:tc>
        <w:tc>
          <w:tcPr>
            <w:tcW w:w="1053" w:type="dxa"/>
            <w:noWrap w:val="0"/>
            <w:vAlign w:val="center"/>
          </w:tcPr>
          <w:p w14:paraId="290C72D1">
            <w:pPr>
              <w:spacing w:before="96" w:beforeLines="40" w:after="96" w:afterLines="40" w:line="400" w:lineRule="exact"/>
              <w:jc w:val="center"/>
              <w:rPr>
                <w:rFonts w:hint="eastAsia" w:ascii="宋体" w:hAnsi="宋体"/>
                <w:szCs w:val="21"/>
              </w:rPr>
            </w:pPr>
          </w:p>
        </w:tc>
        <w:tc>
          <w:tcPr>
            <w:tcW w:w="1040" w:type="dxa"/>
            <w:noWrap w:val="0"/>
            <w:vAlign w:val="center"/>
          </w:tcPr>
          <w:p w14:paraId="0C21A48E">
            <w:pPr>
              <w:spacing w:before="96" w:beforeLines="40" w:after="96" w:afterLines="40" w:line="400" w:lineRule="exact"/>
              <w:jc w:val="center"/>
              <w:rPr>
                <w:rFonts w:hint="eastAsia" w:ascii="宋体" w:hAnsi="宋体"/>
                <w:szCs w:val="21"/>
              </w:rPr>
            </w:pPr>
          </w:p>
        </w:tc>
      </w:tr>
      <w:tr w14:paraId="4A02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22DDD401">
            <w:pPr>
              <w:spacing w:before="96" w:beforeLines="40" w:after="96" w:afterLines="40" w:line="400" w:lineRule="exact"/>
              <w:jc w:val="center"/>
              <w:rPr>
                <w:rFonts w:hint="eastAsia" w:ascii="宋体" w:hAnsi="宋体"/>
                <w:szCs w:val="21"/>
              </w:rPr>
            </w:pPr>
            <w:r>
              <w:rPr>
                <w:rFonts w:hint="eastAsia" w:ascii="宋体" w:hAnsi="宋体"/>
                <w:szCs w:val="21"/>
              </w:rPr>
              <w:t>六</w:t>
            </w:r>
          </w:p>
        </w:tc>
        <w:tc>
          <w:tcPr>
            <w:tcW w:w="5789" w:type="dxa"/>
            <w:noWrap w:val="0"/>
            <w:vAlign w:val="center"/>
          </w:tcPr>
          <w:p w14:paraId="63E6B2D2">
            <w:pPr>
              <w:spacing w:before="96" w:beforeLines="40" w:after="96" w:afterLines="40" w:line="400" w:lineRule="exact"/>
              <w:rPr>
                <w:rFonts w:hint="eastAsia" w:ascii="宋体" w:hAnsi="宋体"/>
                <w:bCs/>
                <w:szCs w:val="21"/>
              </w:rPr>
            </w:pPr>
          </w:p>
        </w:tc>
        <w:tc>
          <w:tcPr>
            <w:tcW w:w="1053" w:type="dxa"/>
            <w:noWrap w:val="0"/>
            <w:vAlign w:val="center"/>
          </w:tcPr>
          <w:p w14:paraId="24682660">
            <w:pPr>
              <w:spacing w:before="96" w:beforeLines="40" w:after="96" w:afterLines="40" w:line="400" w:lineRule="exact"/>
              <w:jc w:val="center"/>
              <w:rPr>
                <w:rFonts w:hint="eastAsia" w:ascii="宋体" w:hAnsi="宋体"/>
                <w:szCs w:val="21"/>
              </w:rPr>
            </w:pPr>
          </w:p>
        </w:tc>
        <w:tc>
          <w:tcPr>
            <w:tcW w:w="1040" w:type="dxa"/>
            <w:noWrap w:val="0"/>
            <w:vAlign w:val="center"/>
          </w:tcPr>
          <w:p w14:paraId="3B0CD6D2">
            <w:pPr>
              <w:spacing w:before="96" w:beforeLines="40" w:after="96" w:afterLines="40" w:line="400" w:lineRule="exact"/>
              <w:jc w:val="center"/>
              <w:rPr>
                <w:rFonts w:hint="eastAsia" w:ascii="宋体" w:hAnsi="宋体"/>
                <w:szCs w:val="21"/>
              </w:rPr>
            </w:pPr>
          </w:p>
        </w:tc>
      </w:tr>
      <w:tr w14:paraId="6DBE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5352AA48">
            <w:pPr>
              <w:spacing w:before="96" w:beforeLines="40" w:after="96" w:afterLines="40" w:line="400" w:lineRule="exact"/>
              <w:jc w:val="center"/>
              <w:rPr>
                <w:rFonts w:hint="eastAsia" w:ascii="宋体" w:hAnsi="宋体"/>
                <w:szCs w:val="21"/>
              </w:rPr>
            </w:pPr>
            <w:r>
              <w:rPr>
                <w:rFonts w:hint="eastAsia" w:ascii="宋体" w:hAnsi="宋体"/>
                <w:szCs w:val="21"/>
              </w:rPr>
              <w:t>七</w:t>
            </w:r>
          </w:p>
        </w:tc>
        <w:tc>
          <w:tcPr>
            <w:tcW w:w="5789" w:type="dxa"/>
            <w:noWrap w:val="0"/>
            <w:vAlign w:val="center"/>
          </w:tcPr>
          <w:p w14:paraId="78668E53">
            <w:pPr>
              <w:pStyle w:val="38"/>
              <w:spacing w:before="96" w:beforeLines="40" w:after="96" w:afterLines="40" w:line="400" w:lineRule="exact"/>
              <w:rPr>
                <w:rFonts w:hint="eastAsia" w:ascii="宋体" w:hAnsi="宋体"/>
                <w:bCs/>
                <w:sz w:val="21"/>
                <w:szCs w:val="21"/>
              </w:rPr>
            </w:pPr>
          </w:p>
        </w:tc>
        <w:tc>
          <w:tcPr>
            <w:tcW w:w="1053" w:type="dxa"/>
            <w:noWrap w:val="0"/>
            <w:vAlign w:val="center"/>
          </w:tcPr>
          <w:p w14:paraId="49AAF573">
            <w:pPr>
              <w:spacing w:before="96" w:beforeLines="40" w:after="96" w:afterLines="40" w:line="400" w:lineRule="exact"/>
              <w:jc w:val="center"/>
              <w:rPr>
                <w:rFonts w:hint="eastAsia" w:ascii="宋体" w:hAnsi="宋体"/>
                <w:szCs w:val="21"/>
              </w:rPr>
            </w:pPr>
          </w:p>
        </w:tc>
        <w:tc>
          <w:tcPr>
            <w:tcW w:w="1040" w:type="dxa"/>
            <w:noWrap w:val="0"/>
            <w:vAlign w:val="center"/>
          </w:tcPr>
          <w:p w14:paraId="5225BB2A">
            <w:pPr>
              <w:spacing w:before="96" w:beforeLines="40" w:after="96" w:afterLines="40" w:line="400" w:lineRule="exact"/>
              <w:jc w:val="center"/>
              <w:rPr>
                <w:rFonts w:hint="eastAsia" w:ascii="宋体" w:hAnsi="宋体"/>
                <w:szCs w:val="21"/>
              </w:rPr>
            </w:pPr>
          </w:p>
        </w:tc>
      </w:tr>
      <w:tr w14:paraId="47D67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133624E2">
            <w:pPr>
              <w:spacing w:before="96" w:beforeLines="40" w:after="96" w:afterLines="40" w:line="400" w:lineRule="exact"/>
              <w:jc w:val="center"/>
              <w:rPr>
                <w:rFonts w:hint="eastAsia" w:ascii="宋体" w:hAnsi="宋体"/>
                <w:szCs w:val="21"/>
              </w:rPr>
            </w:pPr>
            <w:r>
              <w:rPr>
                <w:rFonts w:hint="eastAsia" w:ascii="宋体" w:hAnsi="宋体"/>
                <w:szCs w:val="21"/>
              </w:rPr>
              <w:t>八</w:t>
            </w:r>
          </w:p>
        </w:tc>
        <w:tc>
          <w:tcPr>
            <w:tcW w:w="5789" w:type="dxa"/>
            <w:noWrap w:val="0"/>
            <w:vAlign w:val="center"/>
          </w:tcPr>
          <w:p w14:paraId="61636D8F">
            <w:pPr>
              <w:spacing w:before="96" w:beforeLines="40" w:after="96" w:afterLines="40" w:line="400" w:lineRule="exact"/>
              <w:rPr>
                <w:rFonts w:hint="eastAsia" w:ascii="宋体" w:hAnsi="宋体"/>
                <w:bCs/>
                <w:szCs w:val="21"/>
              </w:rPr>
            </w:pPr>
          </w:p>
        </w:tc>
        <w:tc>
          <w:tcPr>
            <w:tcW w:w="1053" w:type="dxa"/>
            <w:noWrap w:val="0"/>
            <w:vAlign w:val="center"/>
          </w:tcPr>
          <w:p w14:paraId="4C8737D6">
            <w:pPr>
              <w:spacing w:before="96" w:beforeLines="40" w:after="96" w:afterLines="40" w:line="400" w:lineRule="exact"/>
              <w:jc w:val="center"/>
              <w:rPr>
                <w:rFonts w:hint="eastAsia" w:ascii="宋体" w:hAnsi="宋体"/>
                <w:szCs w:val="21"/>
              </w:rPr>
            </w:pPr>
          </w:p>
        </w:tc>
        <w:tc>
          <w:tcPr>
            <w:tcW w:w="1040" w:type="dxa"/>
            <w:noWrap w:val="0"/>
            <w:vAlign w:val="center"/>
          </w:tcPr>
          <w:p w14:paraId="294A7FF5">
            <w:pPr>
              <w:spacing w:before="96" w:beforeLines="40" w:after="96" w:afterLines="40" w:line="400" w:lineRule="exact"/>
              <w:jc w:val="center"/>
              <w:rPr>
                <w:rFonts w:hint="eastAsia" w:ascii="宋体" w:hAnsi="宋体"/>
                <w:szCs w:val="21"/>
              </w:rPr>
            </w:pPr>
          </w:p>
        </w:tc>
      </w:tr>
      <w:tr w14:paraId="5426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4430602A">
            <w:pPr>
              <w:spacing w:before="96" w:beforeLines="40" w:after="96" w:afterLines="40" w:line="400" w:lineRule="exact"/>
              <w:jc w:val="center"/>
              <w:rPr>
                <w:rFonts w:hint="eastAsia" w:ascii="宋体" w:hAnsi="宋体"/>
                <w:szCs w:val="21"/>
              </w:rPr>
            </w:pPr>
            <w:r>
              <w:rPr>
                <w:rFonts w:hint="eastAsia" w:ascii="宋体" w:hAnsi="宋体"/>
                <w:szCs w:val="21"/>
              </w:rPr>
              <w:t>九</w:t>
            </w:r>
          </w:p>
        </w:tc>
        <w:tc>
          <w:tcPr>
            <w:tcW w:w="5789" w:type="dxa"/>
            <w:noWrap w:val="0"/>
            <w:vAlign w:val="center"/>
          </w:tcPr>
          <w:p w14:paraId="4A6D41B3">
            <w:pPr>
              <w:spacing w:before="96" w:beforeLines="40" w:after="96" w:afterLines="40" w:line="400" w:lineRule="exact"/>
              <w:rPr>
                <w:rFonts w:hint="eastAsia" w:ascii="宋体" w:hAnsi="宋体"/>
                <w:szCs w:val="21"/>
              </w:rPr>
            </w:pPr>
          </w:p>
        </w:tc>
        <w:tc>
          <w:tcPr>
            <w:tcW w:w="1053" w:type="dxa"/>
            <w:noWrap w:val="0"/>
            <w:vAlign w:val="center"/>
          </w:tcPr>
          <w:p w14:paraId="2E4B19D5">
            <w:pPr>
              <w:spacing w:before="96" w:beforeLines="40" w:after="96" w:afterLines="40" w:line="400" w:lineRule="exact"/>
              <w:jc w:val="center"/>
              <w:rPr>
                <w:rFonts w:hint="eastAsia" w:ascii="宋体" w:hAnsi="宋体"/>
                <w:szCs w:val="21"/>
              </w:rPr>
            </w:pPr>
          </w:p>
        </w:tc>
        <w:tc>
          <w:tcPr>
            <w:tcW w:w="1040" w:type="dxa"/>
            <w:noWrap w:val="0"/>
            <w:vAlign w:val="center"/>
          </w:tcPr>
          <w:p w14:paraId="5BBE9543">
            <w:pPr>
              <w:spacing w:before="96" w:beforeLines="40" w:after="96" w:afterLines="40" w:line="400" w:lineRule="exact"/>
              <w:jc w:val="center"/>
              <w:rPr>
                <w:rFonts w:hint="eastAsia" w:ascii="宋体" w:hAnsi="宋体"/>
                <w:szCs w:val="21"/>
              </w:rPr>
            </w:pPr>
          </w:p>
        </w:tc>
      </w:tr>
      <w:tr w14:paraId="63435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409A2B92">
            <w:pPr>
              <w:spacing w:before="96" w:beforeLines="40" w:after="96" w:afterLines="40" w:line="400" w:lineRule="exact"/>
              <w:jc w:val="center"/>
              <w:rPr>
                <w:rFonts w:hint="eastAsia" w:ascii="宋体" w:hAnsi="宋体"/>
                <w:szCs w:val="21"/>
              </w:rPr>
            </w:pPr>
            <w:r>
              <w:rPr>
                <w:rFonts w:hint="eastAsia" w:ascii="宋体" w:hAnsi="宋体"/>
                <w:szCs w:val="21"/>
              </w:rPr>
              <w:t>十</w:t>
            </w:r>
          </w:p>
        </w:tc>
        <w:tc>
          <w:tcPr>
            <w:tcW w:w="5789" w:type="dxa"/>
            <w:noWrap w:val="0"/>
            <w:vAlign w:val="center"/>
          </w:tcPr>
          <w:p w14:paraId="0FA1B65D">
            <w:pPr>
              <w:spacing w:before="96" w:beforeLines="40" w:after="96" w:afterLines="40" w:line="400" w:lineRule="exact"/>
              <w:rPr>
                <w:rFonts w:hint="eastAsia" w:ascii="宋体" w:hAnsi="宋体"/>
                <w:szCs w:val="21"/>
              </w:rPr>
            </w:pPr>
          </w:p>
        </w:tc>
        <w:tc>
          <w:tcPr>
            <w:tcW w:w="1053" w:type="dxa"/>
            <w:noWrap w:val="0"/>
            <w:vAlign w:val="center"/>
          </w:tcPr>
          <w:p w14:paraId="35035D0B">
            <w:pPr>
              <w:spacing w:before="96" w:beforeLines="40" w:after="96" w:afterLines="40" w:line="400" w:lineRule="exact"/>
              <w:jc w:val="center"/>
              <w:rPr>
                <w:rFonts w:hint="eastAsia" w:ascii="宋体" w:hAnsi="宋体"/>
                <w:szCs w:val="21"/>
              </w:rPr>
            </w:pPr>
          </w:p>
        </w:tc>
        <w:tc>
          <w:tcPr>
            <w:tcW w:w="1040" w:type="dxa"/>
            <w:noWrap w:val="0"/>
            <w:vAlign w:val="center"/>
          </w:tcPr>
          <w:p w14:paraId="68B65CCF">
            <w:pPr>
              <w:spacing w:before="96" w:beforeLines="40" w:after="96" w:afterLines="40" w:line="400" w:lineRule="exact"/>
              <w:jc w:val="center"/>
              <w:rPr>
                <w:rFonts w:hint="eastAsia" w:ascii="宋体" w:hAnsi="宋体"/>
                <w:szCs w:val="21"/>
              </w:rPr>
            </w:pPr>
          </w:p>
        </w:tc>
      </w:tr>
      <w:tr w14:paraId="1ACD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4F71F2CB">
            <w:pPr>
              <w:spacing w:before="96" w:beforeLines="40" w:after="96" w:afterLines="40" w:line="400" w:lineRule="exact"/>
              <w:jc w:val="center"/>
              <w:rPr>
                <w:rFonts w:hint="eastAsia" w:ascii="宋体" w:hAnsi="宋体"/>
                <w:szCs w:val="21"/>
              </w:rPr>
            </w:pPr>
            <w:r>
              <w:rPr>
                <w:rFonts w:hint="eastAsia" w:ascii="宋体" w:hAnsi="宋体"/>
                <w:szCs w:val="21"/>
              </w:rPr>
              <w:t>十一</w:t>
            </w:r>
          </w:p>
        </w:tc>
        <w:tc>
          <w:tcPr>
            <w:tcW w:w="5789" w:type="dxa"/>
            <w:noWrap w:val="0"/>
            <w:vAlign w:val="center"/>
          </w:tcPr>
          <w:p w14:paraId="7C8A7C9C">
            <w:pPr>
              <w:spacing w:before="96" w:beforeLines="40" w:after="96" w:afterLines="40" w:line="400" w:lineRule="exact"/>
              <w:rPr>
                <w:rFonts w:hint="eastAsia" w:ascii="宋体" w:hAnsi="宋体"/>
                <w:szCs w:val="21"/>
              </w:rPr>
            </w:pPr>
          </w:p>
        </w:tc>
        <w:tc>
          <w:tcPr>
            <w:tcW w:w="1053" w:type="dxa"/>
            <w:noWrap w:val="0"/>
            <w:vAlign w:val="center"/>
          </w:tcPr>
          <w:p w14:paraId="3FEC1955">
            <w:pPr>
              <w:spacing w:before="96" w:beforeLines="40" w:after="96" w:afterLines="40" w:line="400" w:lineRule="exact"/>
              <w:jc w:val="center"/>
              <w:rPr>
                <w:rFonts w:hint="eastAsia" w:ascii="宋体" w:hAnsi="宋体"/>
                <w:szCs w:val="21"/>
              </w:rPr>
            </w:pPr>
          </w:p>
        </w:tc>
        <w:tc>
          <w:tcPr>
            <w:tcW w:w="1040" w:type="dxa"/>
            <w:noWrap w:val="0"/>
            <w:vAlign w:val="center"/>
          </w:tcPr>
          <w:p w14:paraId="23B6EA14">
            <w:pPr>
              <w:spacing w:before="96" w:beforeLines="40" w:after="96" w:afterLines="40" w:line="400" w:lineRule="exact"/>
              <w:jc w:val="center"/>
              <w:rPr>
                <w:rFonts w:hint="eastAsia" w:ascii="宋体" w:hAnsi="宋体"/>
                <w:szCs w:val="21"/>
              </w:rPr>
            </w:pPr>
          </w:p>
        </w:tc>
      </w:tr>
      <w:tr w14:paraId="503CA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337BA213">
            <w:pPr>
              <w:spacing w:before="96" w:beforeLines="40" w:after="96" w:afterLines="40" w:line="400" w:lineRule="exact"/>
              <w:jc w:val="center"/>
              <w:rPr>
                <w:rFonts w:hint="eastAsia" w:ascii="宋体" w:hAnsi="宋体"/>
                <w:szCs w:val="21"/>
              </w:rPr>
            </w:pPr>
            <w:r>
              <w:rPr>
                <w:rFonts w:hint="eastAsia" w:ascii="宋体" w:hAnsi="宋体"/>
                <w:szCs w:val="21"/>
              </w:rPr>
              <w:t>十二</w:t>
            </w:r>
          </w:p>
        </w:tc>
        <w:tc>
          <w:tcPr>
            <w:tcW w:w="5789" w:type="dxa"/>
            <w:noWrap w:val="0"/>
            <w:vAlign w:val="center"/>
          </w:tcPr>
          <w:p w14:paraId="4420863F">
            <w:pPr>
              <w:spacing w:before="96" w:beforeLines="40" w:after="96" w:afterLines="40" w:line="400" w:lineRule="exact"/>
              <w:rPr>
                <w:rFonts w:hint="eastAsia" w:ascii="宋体" w:hAnsi="宋体"/>
                <w:szCs w:val="21"/>
              </w:rPr>
            </w:pPr>
          </w:p>
        </w:tc>
        <w:tc>
          <w:tcPr>
            <w:tcW w:w="1053" w:type="dxa"/>
            <w:noWrap w:val="0"/>
            <w:vAlign w:val="center"/>
          </w:tcPr>
          <w:p w14:paraId="39E9430D">
            <w:pPr>
              <w:spacing w:before="96" w:beforeLines="40" w:after="96" w:afterLines="40" w:line="400" w:lineRule="exact"/>
              <w:jc w:val="center"/>
              <w:rPr>
                <w:rFonts w:hint="eastAsia" w:ascii="宋体" w:hAnsi="宋体"/>
                <w:szCs w:val="21"/>
              </w:rPr>
            </w:pPr>
          </w:p>
        </w:tc>
        <w:tc>
          <w:tcPr>
            <w:tcW w:w="1040" w:type="dxa"/>
            <w:noWrap w:val="0"/>
            <w:vAlign w:val="center"/>
          </w:tcPr>
          <w:p w14:paraId="423A4FE4">
            <w:pPr>
              <w:spacing w:before="96" w:beforeLines="40" w:after="96" w:afterLines="40" w:line="400" w:lineRule="exact"/>
              <w:jc w:val="center"/>
              <w:rPr>
                <w:rFonts w:hint="eastAsia" w:ascii="宋体" w:hAnsi="宋体"/>
                <w:szCs w:val="21"/>
              </w:rPr>
            </w:pPr>
          </w:p>
        </w:tc>
      </w:tr>
      <w:tr w14:paraId="1C51E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228848BA">
            <w:pPr>
              <w:spacing w:before="96" w:beforeLines="40" w:after="96" w:afterLines="40" w:line="400" w:lineRule="exact"/>
              <w:jc w:val="center"/>
              <w:rPr>
                <w:rFonts w:hint="eastAsia" w:ascii="宋体" w:hAnsi="宋体"/>
                <w:szCs w:val="21"/>
              </w:rPr>
            </w:pPr>
            <w:r>
              <w:rPr>
                <w:rFonts w:hint="eastAsia" w:ascii="宋体" w:hAnsi="宋体"/>
                <w:szCs w:val="21"/>
              </w:rPr>
              <w:t>十三</w:t>
            </w:r>
          </w:p>
        </w:tc>
        <w:tc>
          <w:tcPr>
            <w:tcW w:w="5789" w:type="dxa"/>
            <w:noWrap w:val="0"/>
            <w:vAlign w:val="center"/>
          </w:tcPr>
          <w:p w14:paraId="77C2AF32">
            <w:pPr>
              <w:spacing w:before="96" w:beforeLines="40" w:after="96" w:afterLines="40" w:line="400" w:lineRule="exact"/>
              <w:rPr>
                <w:rFonts w:hint="eastAsia" w:ascii="宋体" w:hAnsi="宋体"/>
                <w:szCs w:val="21"/>
              </w:rPr>
            </w:pPr>
          </w:p>
        </w:tc>
        <w:tc>
          <w:tcPr>
            <w:tcW w:w="1053" w:type="dxa"/>
            <w:noWrap w:val="0"/>
            <w:vAlign w:val="center"/>
          </w:tcPr>
          <w:p w14:paraId="5EDCA7AC">
            <w:pPr>
              <w:spacing w:before="96" w:beforeLines="40" w:after="96" w:afterLines="40" w:line="400" w:lineRule="exact"/>
              <w:jc w:val="center"/>
              <w:rPr>
                <w:rFonts w:hint="eastAsia" w:ascii="宋体" w:hAnsi="宋体"/>
                <w:szCs w:val="21"/>
              </w:rPr>
            </w:pPr>
          </w:p>
        </w:tc>
        <w:tc>
          <w:tcPr>
            <w:tcW w:w="1040" w:type="dxa"/>
            <w:noWrap w:val="0"/>
            <w:vAlign w:val="center"/>
          </w:tcPr>
          <w:p w14:paraId="54C0AAE0">
            <w:pPr>
              <w:spacing w:before="96" w:beforeLines="40" w:after="96" w:afterLines="40" w:line="400" w:lineRule="exact"/>
              <w:jc w:val="center"/>
              <w:rPr>
                <w:rFonts w:hint="eastAsia" w:ascii="宋体" w:hAnsi="宋体"/>
                <w:szCs w:val="21"/>
              </w:rPr>
            </w:pPr>
          </w:p>
        </w:tc>
      </w:tr>
      <w:tr w14:paraId="476B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21896191">
            <w:pPr>
              <w:spacing w:before="96" w:beforeLines="40" w:after="96" w:afterLines="40" w:line="400" w:lineRule="exact"/>
              <w:jc w:val="center"/>
              <w:rPr>
                <w:rFonts w:hint="eastAsia" w:ascii="宋体" w:hAnsi="宋体"/>
                <w:szCs w:val="21"/>
              </w:rPr>
            </w:pPr>
            <w:r>
              <w:rPr>
                <w:rFonts w:hint="eastAsia" w:ascii="宋体" w:hAnsi="宋体"/>
                <w:szCs w:val="21"/>
              </w:rPr>
              <w:t>十四</w:t>
            </w:r>
          </w:p>
        </w:tc>
        <w:tc>
          <w:tcPr>
            <w:tcW w:w="5789" w:type="dxa"/>
            <w:noWrap w:val="0"/>
            <w:vAlign w:val="center"/>
          </w:tcPr>
          <w:p w14:paraId="7B049645">
            <w:pPr>
              <w:spacing w:before="96" w:beforeLines="40" w:after="96" w:afterLines="40" w:line="400" w:lineRule="exact"/>
              <w:rPr>
                <w:rFonts w:ascii="宋体" w:hAnsi="宋体"/>
                <w:szCs w:val="21"/>
              </w:rPr>
            </w:pPr>
          </w:p>
        </w:tc>
        <w:tc>
          <w:tcPr>
            <w:tcW w:w="1053" w:type="dxa"/>
            <w:noWrap w:val="0"/>
            <w:vAlign w:val="center"/>
          </w:tcPr>
          <w:p w14:paraId="3E2D821D">
            <w:pPr>
              <w:spacing w:before="96" w:beforeLines="40" w:after="96" w:afterLines="40" w:line="400" w:lineRule="exact"/>
              <w:jc w:val="center"/>
              <w:rPr>
                <w:rFonts w:ascii="宋体" w:hAnsi="宋体"/>
                <w:szCs w:val="21"/>
              </w:rPr>
            </w:pPr>
          </w:p>
        </w:tc>
        <w:tc>
          <w:tcPr>
            <w:tcW w:w="1040" w:type="dxa"/>
            <w:noWrap w:val="0"/>
            <w:vAlign w:val="center"/>
          </w:tcPr>
          <w:p w14:paraId="29270A6C">
            <w:pPr>
              <w:spacing w:before="96" w:beforeLines="40" w:after="96" w:afterLines="40" w:line="400" w:lineRule="exact"/>
              <w:jc w:val="center"/>
              <w:rPr>
                <w:rFonts w:ascii="宋体" w:hAnsi="宋体"/>
                <w:szCs w:val="21"/>
              </w:rPr>
            </w:pPr>
          </w:p>
        </w:tc>
      </w:tr>
      <w:tr w14:paraId="0E666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45E1E9E6">
            <w:pPr>
              <w:spacing w:before="96" w:beforeLines="40" w:after="96" w:afterLines="40" w:line="400" w:lineRule="exact"/>
              <w:jc w:val="center"/>
              <w:rPr>
                <w:rFonts w:hint="eastAsia" w:ascii="宋体" w:hAnsi="宋体"/>
                <w:szCs w:val="21"/>
              </w:rPr>
            </w:pPr>
            <w:r>
              <w:rPr>
                <w:rFonts w:hint="eastAsia" w:ascii="宋体" w:hAnsi="宋体"/>
                <w:szCs w:val="21"/>
              </w:rPr>
              <w:t>十五</w:t>
            </w:r>
          </w:p>
        </w:tc>
        <w:tc>
          <w:tcPr>
            <w:tcW w:w="5789" w:type="dxa"/>
            <w:noWrap w:val="0"/>
            <w:vAlign w:val="center"/>
          </w:tcPr>
          <w:p w14:paraId="7EC284FD">
            <w:pPr>
              <w:spacing w:before="96" w:beforeLines="40" w:after="96" w:afterLines="40" w:line="400" w:lineRule="exact"/>
              <w:rPr>
                <w:rFonts w:ascii="宋体" w:hAnsi="宋体"/>
                <w:szCs w:val="21"/>
              </w:rPr>
            </w:pPr>
          </w:p>
        </w:tc>
        <w:tc>
          <w:tcPr>
            <w:tcW w:w="1053" w:type="dxa"/>
            <w:noWrap w:val="0"/>
            <w:vAlign w:val="center"/>
          </w:tcPr>
          <w:p w14:paraId="3C5EB307">
            <w:pPr>
              <w:spacing w:before="96" w:beforeLines="40" w:after="96" w:afterLines="40" w:line="400" w:lineRule="exact"/>
              <w:jc w:val="center"/>
              <w:rPr>
                <w:rFonts w:hint="eastAsia" w:ascii="宋体" w:hAnsi="宋体"/>
                <w:szCs w:val="21"/>
              </w:rPr>
            </w:pPr>
          </w:p>
        </w:tc>
        <w:tc>
          <w:tcPr>
            <w:tcW w:w="1040" w:type="dxa"/>
            <w:noWrap w:val="0"/>
            <w:vAlign w:val="center"/>
          </w:tcPr>
          <w:p w14:paraId="516EF6AD">
            <w:pPr>
              <w:spacing w:before="96" w:beforeLines="40" w:after="96" w:afterLines="40" w:line="400" w:lineRule="exact"/>
              <w:jc w:val="center"/>
              <w:rPr>
                <w:rFonts w:hint="eastAsia" w:ascii="宋体" w:hAnsi="宋体"/>
                <w:szCs w:val="21"/>
              </w:rPr>
            </w:pPr>
          </w:p>
        </w:tc>
      </w:tr>
      <w:tr w14:paraId="078C1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1CD604FB">
            <w:pPr>
              <w:spacing w:before="96" w:beforeLines="40" w:after="96" w:afterLines="40" w:line="400" w:lineRule="exact"/>
              <w:jc w:val="center"/>
              <w:rPr>
                <w:rFonts w:hint="eastAsia" w:ascii="宋体" w:hAnsi="宋体"/>
                <w:szCs w:val="21"/>
              </w:rPr>
            </w:pPr>
            <w:r>
              <w:rPr>
                <w:rFonts w:hint="eastAsia" w:ascii="宋体" w:hAnsi="宋体"/>
                <w:szCs w:val="21"/>
              </w:rPr>
              <w:t>十六</w:t>
            </w:r>
          </w:p>
        </w:tc>
        <w:tc>
          <w:tcPr>
            <w:tcW w:w="5789" w:type="dxa"/>
            <w:noWrap w:val="0"/>
            <w:vAlign w:val="center"/>
          </w:tcPr>
          <w:p w14:paraId="08E00A78">
            <w:pPr>
              <w:spacing w:before="96" w:beforeLines="40" w:after="96" w:afterLines="40" w:line="400" w:lineRule="exact"/>
              <w:rPr>
                <w:rFonts w:hint="eastAsia" w:ascii="宋体" w:hAnsi="宋体"/>
                <w:szCs w:val="21"/>
              </w:rPr>
            </w:pPr>
          </w:p>
        </w:tc>
        <w:tc>
          <w:tcPr>
            <w:tcW w:w="1053" w:type="dxa"/>
            <w:noWrap w:val="0"/>
            <w:vAlign w:val="center"/>
          </w:tcPr>
          <w:p w14:paraId="22DDD7AC">
            <w:pPr>
              <w:spacing w:before="96" w:beforeLines="40" w:after="96" w:afterLines="40" w:line="400" w:lineRule="exact"/>
              <w:jc w:val="center"/>
              <w:rPr>
                <w:rFonts w:ascii="宋体" w:hAnsi="宋体"/>
                <w:szCs w:val="21"/>
              </w:rPr>
            </w:pPr>
          </w:p>
        </w:tc>
        <w:tc>
          <w:tcPr>
            <w:tcW w:w="1040" w:type="dxa"/>
            <w:noWrap w:val="0"/>
            <w:vAlign w:val="center"/>
          </w:tcPr>
          <w:p w14:paraId="30F6F4C0">
            <w:pPr>
              <w:spacing w:before="96" w:beforeLines="40" w:after="96" w:afterLines="40" w:line="400" w:lineRule="exact"/>
              <w:jc w:val="center"/>
              <w:rPr>
                <w:rFonts w:ascii="宋体" w:hAnsi="宋体"/>
                <w:szCs w:val="21"/>
              </w:rPr>
            </w:pPr>
          </w:p>
        </w:tc>
      </w:tr>
      <w:tr w14:paraId="4212B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6D64D5D0">
            <w:pPr>
              <w:spacing w:before="96" w:beforeLines="40" w:after="96" w:afterLines="40" w:line="400" w:lineRule="exact"/>
              <w:jc w:val="center"/>
              <w:rPr>
                <w:rFonts w:hint="eastAsia" w:ascii="宋体" w:hAnsi="宋体"/>
                <w:szCs w:val="21"/>
              </w:rPr>
            </w:pPr>
            <w:r>
              <w:rPr>
                <w:rFonts w:hint="eastAsia" w:ascii="宋体" w:hAnsi="宋体"/>
                <w:szCs w:val="21"/>
              </w:rPr>
              <w:t>……</w:t>
            </w:r>
          </w:p>
        </w:tc>
        <w:tc>
          <w:tcPr>
            <w:tcW w:w="5789" w:type="dxa"/>
            <w:noWrap w:val="0"/>
            <w:vAlign w:val="center"/>
          </w:tcPr>
          <w:p w14:paraId="35D67F7D">
            <w:pPr>
              <w:spacing w:before="96" w:beforeLines="40" w:after="96" w:afterLines="40" w:line="400" w:lineRule="exact"/>
              <w:rPr>
                <w:rFonts w:hint="eastAsia" w:ascii="宋体" w:hAnsi="宋体"/>
                <w:szCs w:val="21"/>
              </w:rPr>
            </w:pPr>
          </w:p>
        </w:tc>
        <w:tc>
          <w:tcPr>
            <w:tcW w:w="1053" w:type="dxa"/>
            <w:noWrap w:val="0"/>
            <w:vAlign w:val="center"/>
          </w:tcPr>
          <w:p w14:paraId="40901578">
            <w:pPr>
              <w:spacing w:before="96" w:beforeLines="40" w:after="96" w:afterLines="40" w:line="400" w:lineRule="exact"/>
              <w:jc w:val="center"/>
              <w:rPr>
                <w:rFonts w:hint="eastAsia" w:ascii="宋体" w:hAnsi="宋体"/>
                <w:szCs w:val="21"/>
              </w:rPr>
            </w:pPr>
          </w:p>
        </w:tc>
        <w:tc>
          <w:tcPr>
            <w:tcW w:w="1040" w:type="dxa"/>
            <w:noWrap w:val="0"/>
            <w:vAlign w:val="center"/>
          </w:tcPr>
          <w:p w14:paraId="53F17757">
            <w:pPr>
              <w:spacing w:before="96" w:beforeLines="40" w:after="96" w:afterLines="40" w:line="400" w:lineRule="exact"/>
              <w:jc w:val="center"/>
              <w:rPr>
                <w:rFonts w:hint="eastAsia" w:ascii="宋体" w:hAnsi="宋体"/>
                <w:szCs w:val="21"/>
              </w:rPr>
            </w:pPr>
          </w:p>
        </w:tc>
      </w:tr>
      <w:tr w14:paraId="1D344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4" w:type="dxa"/>
            <w:noWrap w:val="0"/>
            <w:vAlign w:val="center"/>
          </w:tcPr>
          <w:p w14:paraId="5AF8613B">
            <w:pPr>
              <w:spacing w:before="96" w:beforeLines="40" w:after="96" w:afterLines="40" w:line="400" w:lineRule="exact"/>
              <w:jc w:val="center"/>
              <w:rPr>
                <w:rFonts w:hint="eastAsia" w:ascii="宋体" w:hAnsi="宋体"/>
                <w:szCs w:val="21"/>
              </w:rPr>
            </w:pPr>
          </w:p>
        </w:tc>
        <w:tc>
          <w:tcPr>
            <w:tcW w:w="5789" w:type="dxa"/>
            <w:noWrap w:val="0"/>
            <w:vAlign w:val="center"/>
          </w:tcPr>
          <w:p w14:paraId="6845BDD1">
            <w:pPr>
              <w:spacing w:before="96" w:beforeLines="40" w:after="96" w:afterLines="40" w:line="400" w:lineRule="exact"/>
              <w:rPr>
                <w:rFonts w:hint="eastAsia" w:ascii="宋体" w:hAnsi="宋体"/>
                <w:szCs w:val="21"/>
              </w:rPr>
            </w:pPr>
          </w:p>
        </w:tc>
        <w:tc>
          <w:tcPr>
            <w:tcW w:w="1053" w:type="dxa"/>
            <w:noWrap w:val="0"/>
            <w:vAlign w:val="center"/>
          </w:tcPr>
          <w:p w14:paraId="5D9853D3">
            <w:pPr>
              <w:spacing w:before="96" w:beforeLines="40" w:after="96" w:afterLines="40" w:line="400" w:lineRule="exact"/>
              <w:jc w:val="center"/>
              <w:rPr>
                <w:rFonts w:hint="eastAsia" w:ascii="宋体" w:hAnsi="宋体"/>
                <w:szCs w:val="21"/>
              </w:rPr>
            </w:pPr>
          </w:p>
        </w:tc>
        <w:tc>
          <w:tcPr>
            <w:tcW w:w="1040" w:type="dxa"/>
            <w:noWrap w:val="0"/>
            <w:vAlign w:val="center"/>
          </w:tcPr>
          <w:p w14:paraId="51037521">
            <w:pPr>
              <w:spacing w:before="96" w:beforeLines="40" w:after="96" w:afterLines="40" w:line="400" w:lineRule="exact"/>
              <w:jc w:val="center"/>
              <w:rPr>
                <w:rFonts w:hint="eastAsia" w:ascii="宋体" w:hAnsi="宋体"/>
                <w:szCs w:val="21"/>
              </w:rPr>
            </w:pPr>
          </w:p>
        </w:tc>
      </w:tr>
    </w:tbl>
    <w:p w14:paraId="30871CCF">
      <w:pPr>
        <w:spacing w:line="240" w:lineRule="auto"/>
        <w:jc w:val="center"/>
        <w:outlineLvl w:val="1"/>
        <w:rPr>
          <w:b/>
          <w:sz w:val="32"/>
          <w:szCs w:val="32"/>
        </w:rPr>
      </w:pPr>
      <w:bookmarkStart w:id="1210" w:name="_Toc1916825"/>
      <w:bookmarkStart w:id="1211" w:name="_Toc197934561"/>
      <w:bookmarkStart w:id="1212" w:name="_Toc457768002"/>
      <w:bookmarkStart w:id="1213" w:name="_Toc3215878"/>
      <w:bookmarkStart w:id="1214" w:name="_Toc3295928"/>
      <w:r>
        <w:br w:type="page"/>
      </w:r>
      <w:bookmarkStart w:id="1215" w:name="_Toc17837"/>
      <w:bookmarkStart w:id="1216" w:name="_Toc18344"/>
      <w:bookmarkStart w:id="1217" w:name="_Toc14155"/>
      <w:r>
        <w:rPr>
          <w:rFonts w:hint="eastAsia"/>
          <w:b/>
          <w:sz w:val="32"/>
          <w:szCs w:val="32"/>
        </w:rPr>
        <w:t>一．开标一览表</w:t>
      </w:r>
      <w:bookmarkEnd w:id="1210"/>
      <w:bookmarkEnd w:id="1211"/>
      <w:bookmarkEnd w:id="1212"/>
      <w:bookmarkEnd w:id="1213"/>
      <w:bookmarkEnd w:id="1214"/>
      <w:bookmarkEnd w:id="1215"/>
      <w:bookmarkEnd w:id="1216"/>
      <w:bookmarkEnd w:id="1217"/>
    </w:p>
    <w:p w14:paraId="12D25C44">
      <w:pPr>
        <w:widowControl/>
        <w:spacing w:line="333" w:lineRule="atLeast"/>
        <w:jc w:val="right"/>
        <w:rPr>
          <w:rFonts w:ascii="宋体" w:hAnsi="宋体"/>
          <w:kern w:val="0"/>
          <w:szCs w:val="21"/>
        </w:rPr>
      </w:pPr>
      <w:r>
        <w:rPr>
          <w:rFonts w:hint="eastAsia" w:ascii="宋体" w:hAnsi="宋体"/>
          <w:spacing w:val="-1"/>
          <w:kern w:val="0"/>
          <w:position w:val="-4"/>
          <w:szCs w:val="21"/>
        </w:rPr>
        <w:t>货</w:t>
      </w:r>
      <w:r>
        <w:rPr>
          <w:rFonts w:hint="eastAsia" w:ascii="宋体" w:hAnsi="宋体"/>
          <w:kern w:val="0"/>
          <w:position w:val="-4"/>
          <w:szCs w:val="21"/>
        </w:rPr>
        <w:t>币单位</w:t>
      </w:r>
      <w:r>
        <w:rPr>
          <w:rFonts w:hint="eastAsia" w:ascii="宋体" w:hAnsi="宋体"/>
          <w:spacing w:val="-24"/>
          <w:kern w:val="0"/>
          <w:position w:val="-4"/>
          <w:szCs w:val="21"/>
        </w:rPr>
        <w:t>：</w:t>
      </w:r>
      <w:r>
        <w:rPr>
          <w:rFonts w:hint="eastAsia" w:ascii="宋体" w:hAnsi="宋体"/>
          <w:kern w:val="0"/>
          <w:position w:val="-4"/>
          <w:szCs w:val="21"/>
        </w:rPr>
        <w:t>人民币</w:t>
      </w:r>
    </w:p>
    <w:tbl>
      <w:tblPr>
        <w:tblStyle w:val="23"/>
        <w:tblW w:w="9538" w:type="dxa"/>
        <w:tblInd w:w="2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8"/>
        <w:gridCol w:w="2715"/>
        <w:gridCol w:w="6095"/>
      </w:tblGrid>
      <w:tr w14:paraId="0837A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5" w:hRule="atLeast"/>
        </w:trPr>
        <w:tc>
          <w:tcPr>
            <w:tcW w:w="728" w:type="dxa"/>
            <w:noWrap w:val="0"/>
            <w:vAlign w:val="center"/>
          </w:tcPr>
          <w:p w14:paraId="29B74F22">
            <w:pPr>
              <w:widowControl/>
              <w:adjustRightInd w:val="0"/>
              <w:snapToGrid w:val="0"/>
              <w:jc w:val="center"/>
              <w:rPr>
                <w:rFonts w:ascii="宋体" w:hAnsi="宋体"/>
                <w:b/>
                <w:kern w:val="0"/>
                <w:szCs w:val="21"/>
              </w:rPr>
            </w:pPr>
            <w:r>
              <w:rPr>
                <w:rFonts w:hint="eastAsia" w:ascii="宋体" w:hAnsi="宋体"/>
                <w:b/>
                <w:kern w:val="0"/>
                <w:szCs w:val="21"/>
              </w:rPr>
              <w:t>序号</w:t>
            </w:r>
          </w:p>
        </w:tc>
        <w:tc>
          <w:tcPr>
            <w:tcW w:w="2715" w:type="dxa"/>
            <w:noWrap w:val="0"/>
            <w:vAlign w:val="center"/>
          </w:tcPr>
          <w:p w14:paraId="01B4D620">
            <w:pPr>
              <w:widowControl/>
              <w:adjustRightInd w:val="0"/>
              <w:snapToGrid w:val="0"/>
              <w:jc w:val="center"/>
              <w:rPr>
                <w:rFonts w:hint="eastAsia" w:ascii="宋体" w:hAnsi="宋体"/>
                <w:b/>
                <w:kern w:val="0"/>
                <w:szCs w:val="21"/>
              </w:rPr>
            </w:pPr>
            <w:r>
              <w:rPr>
                <w:rFonts w:hint="eastAsia" w:ascii="宋体" w:hAnsi="宋体"/>
                <w:b/>
                <w:kern w:val="0"/>
                <w:szCs w:val="21"/>
              </w:rPr>
              <w:t>项目</w:t>
            </w:r>
          </w:p>
        </w:tc>
        <w:tc>
          <w:tcPr>
            <w:tcW w:w="6095" w:type="dxa"/>
            <w:noWrap w:val="0"/>
            <w:vAlign w:val="center"/>
          </w:tcPr>
          <w:p w14:paraId="76F36ABC">
            <w:pPr>
              <w:widowControl/>
              <w:adjustRightInd w:val="0"/>
              <w:snapToGrid w:val="0"/>
              <w:jc w:val="center"/>
              <w:rPr>
                <w:rFonts w:ascii="宋体" w:hAnsi="宋体"/>
                <w:b/>
                <w:kern w:val="0"/>
                <w:szCs w:val="21"/>
              </w:rPr>
            </w:pPr>
            <w:r>
              <w:rPr>
                <w:rFonts w:hint="eastAsia" w:ascii="宋体" w:hAnsi="宋体"/>
                <w:b/>
                <w:kern w:val="0"/>
                <w:szCs w:val="21"/>
              </w:rPr>
              <w:t>内容</w:t>
            </w:r>
          </w:p>
        </w:tc>
      </w:tr>
      <w:tr w14:paraId="47C59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4" w:hRule="atLeast"/>
        </w:trPr>
        <w:tc>
          <w:tcPr>
            <w:tcW w:w="728" w:type="dxa"/>
            <w:noWrap w:val="0"/>
            <w:vAlign w:val="center"/>
          </w:tcPr>
          <w:p w14:paraId="27CABD7D">
            <w:pPr>
              <w:widowControl/>
              <w:adjustRightInd w:val="0"/>
              <w:snapToGrid w:val="0"/>
              <w:spacing w:before="96" w:beforeLines="40" w:after="96" w:afterLines="40" w:line="400" w:lineRule="exact"/>
              <w:jc w:val="center"/>
              <w:rPr>
                <w:rFonts w:ascii="宋体" w:hAnsi="宋体"/>
                <w:kern w:val="0"/>
                <w:szCs w:val="21"/>
              </w:rPr>
            </w:pPr>
            <w:r>
              <w:rPr>
                <w:rFonts w:hint="eastAsia" w:ascii="宋体" w:hAnsi="宋体"/>
                <w:kern w:val="0"/>
                <w:szCs w:val="21"/>
              </w:rPr>
              <w:t>1</w:t>
            </w:r>
          </w:p>
        </w:tc>
        <w:tc>
          <w:tcPr>
            <w:tcW w:w="2715" w:type="dxa"/>
            <w:noWrap w:val="0"/>
            <w:vAlign w:val="center"/>
          </w:tcPr>
          <w:p w14:paraId="13C2CADE">
            <w:pPr>
              <w:widowControl/>
              <w:adjustRightInd w:val="0"/>
              <w:snapToGrid w:val="0"/>
              <w:spacing w:before="96" w:beforeLines="40" w:after="96" w:afterLines="40" w:line="400" w:lineRule="exact"/>
              <w:jc w:val="center"/>
              <w:rPr>
                <w:rFonts w:ascii="宋体" w:hAnsi="宋体"/>
                <w:kern w:val="0"/>
                <w:szCs w:val="21"/>
              </w:rPr>
            </w:pPr>
            <w:r>
              <w:rPr>
                <w:rFonts w:hint="eastAsia" w:ascii="宋体" w:hAnsi="宋体"/>
                <w:kern w:val="0"/>
                <w:szCs w:val="21"/>
              </w:rPr>
              <w:t>项目名称</w:t>
            </w:r>
          </w:p>
        </w:tc>
        <w:tc>
          <w:tcPr>
            <w:tcW w:w="6095" w:type="dxa"/>
            <w:noWrap w:val="0"/>
            <w:vAlign w:val="center"/>
          </w:tcPr>
          <w:p w14:paraId="25E4B441">
            <w:pPr>
              <w:widowControl/>
              <w:adjustRightInd w:val="0"/>
              <w:snapToGrid w:val="0"/>
              <w:spacing w:before="96" w:beforeLines="40" w:after="96" w:afterLines="40" w:line="400" w:lineRule="exact"/>
              <w:rPr>
                <w:rFonts w:ascii="宋体" w:hAnsi="宋体"/>
                <w:kern w:val="0"/>
                <w:szCs w:val="21"/>
              </w:rPr>
            </w:pPr>
          </w:p>
        </w:tc>
      </w:tr>
      <w:tr w14:paraId="22ED6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4" w:hRule="atLeast"/>
        </w:trPr>
        <w:tc>
          <w:tcPr>
            <w:tcW w:w="728" w:type="dxa"/>
            <w:noWrap w:val="0"/>
            <w:vAlign w:val="center"/>
          </w:tcPr>
          <w:p w14:paraId="71F4E19D">
            <w:pPr>
              <w:widowControl/>
              <w:adjustRightInd w:val="0"/>
              <w:snapToGrid w:val="0"/>
              <w:spacing w:before="96" w:beforeLines="40" w:after="96" w:afterLines="40" w:line="400" w:lineRule="exact"/>
              <w:jc w:val="center"/>
              <w:rPr>
                <w:rFonts w:ascii="宋体" w:hAnsi="宋体"/>
                <w:kern w:val="0"/>
                <w:szCs w:val="21"/>
              </w:rPr>
            </w:pPr>
            <w:r>
              <w:rPr>
                <w:rFonts w:hint="eastAsia" w:ascii="宋体" w:hAnsi="宋体"/>
                <w:kern w:val="0"/>
                <w:szCs w:val="21"/>
              </w:rPr>
              <w:t>2</w:t>
            </w:r>
          </w:p>
        </w:tc>
        <w:tc>
          <w:tcPr>
            <w:tcW w:w="2715" w:type="dxa"/>
            <w:noWrap w:val="0"/>
            <w:vAlign w:val="center"/>
          </w:tcPr>
          <w:p w14:paraId="77FF3B22">
            <w:pPr>
              <w:widowControl/>
              <w:adjustRightInd w:val="0"/>
              <w:snapToGrid w:val="0"/>
              <w:spacing w:before="96" w:beforeLines="40" w:after="96" w:afterLines="40" w:line="40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包次</w:t>
            </w:r>
          </w:p>
        </w:tc>
        <w:tc>
          <w:tcPr>
            <w:tcW w:w="6095" w:type="dxa"/>
            <w:noWrap w:val="0"/>
            <w:vAlign w:val="center"/>
          </w:tcPr>
          <w:p w14:paraId="1C3F35AA">
            <w:pPr>
              <w:widowControl/>
              <w:adjustRightInd w:val="0"/>
              <w:snapToGrid w:val="0"/>
              <w:spacing w:before="96" w:beforeLines="40" w:after="96" w:afterLines="40" w:line="400" w:lineRule="exact"/>
              <w:rPr>
                <w:rFonts w:ascii="宋体" w:hAnsi="宋体"/>
                <w:kern w:val="0"/>
                <w:szCs w:val="21"/>
              </w:rPr>
            </w:pPr>
          </w:p>
        </w:tc>
      </w:tr>
      <w:tr w14:paraId="3B0E3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4" w:hRule="atLeast"/>
        </w:trPr>
        <w:tc>
          <w:tcPr>
            <w:tcW w:w="728" w:type="dxa"/>
            <w:noWrap w:val="0"/>
            <w:vAlign w:val="center"/>
          </w:tcPr>
          <w:p w14:paraId="4A70A157">
            <w:pPr>
              <w:widowControl/>
              <w:adjustRightInd w:val="0"/>
              <w:snapToGrid w:val="0"/>
              <w:spacing w:before="96" w:beforeLines="40" w:after="96" w:afterLines="40" w:line="400" w:lineRule="exact"/>
              <w:jc w:val="center"/>
              <w:rPr>
                <w:rFonts w:hint="eastAsia" w:ascii="宋体" w:hAnsi="宋体"/>
                <w:color w:val="auto"/>
                <w:kern w:val="0"/>
                <w:szCs w:val="21"/>
                <w:highlight w:val="none"/>
                <w:lang w:val="en-US" w:eastAsia="zh-CN"/>
              </w:rPr>
            </w:pPr>
            <w:r>
              <w:rPr>
                <w:rFonts w:hint="eastAsia" w:ascii="宋体" w:hAnsi="宋体"/>
                <w:kern w:val="0"/>
                <w:szCs w:val="21"/>
                <w:lang w:val="en-US" w:eastAsia="zh-CN"/>
              </w:rPr>
              <w:t>3</w:t>
            </w:r>
          </w:p>
        </w:tc>
        <w:tc>
          <w:tcPr>
            <w:tcW w:w="2715" w:type="dxa"/>
            <w:noWrap w:val="0"/>
            <w:vAlign w:val="center"/>
          </w:tcPr>
          <w:p w14:paraId="6E3A40FA">
            <w:pPr>
              <w:widowControl/>
              <w:adjustRightInd w:val="0"/>
              <w:snapToGrid w:val="0"/>
              <w:spacing w:before="96" w:beforeLines="40" w:after="96" w:afterLines="40" w:line="400" w:lineRule="exact"/>
              <w:jc w:val="center"/>
              <w:rPr>
                <w:rFonts w:hint="eastAsia" w:ascii="宋体" w:hAnsi="宋体"/>
                <w:color w:val="auto"/>
                <w:kern w:val="0"/>
                <w:szCs w:val="21"/>
                <w:highlight w:val="none"/>
                <w:lang w:val="en-US" w:eastAsia="zh-CN"/>
              </w:rPr>
            </w:pPr>
            <w:r>
              <w:rPr>
                <w:rFonts w:hint="eastAsia" w:ascii="宋体" w:hAnsi="宋体"/>
                <w:kern w:val="0"/>
                <w:szCs w:val="21"/>
              </w:rPr>
              <w:t>投标总价</w:t>
            </w:r>
          </w:p>
        </w:tc>
        <w:tc>
          <w:tcPr>
            <w:tcW w:w="6095" w:type="dxa"/>
            <w:noWrap w:val="0"/>
            <w:vAlign w:val="center"/>
          </w:tcPr>
          <w:p w14:paraId="01A42619">
            <w:pPr>
              <w:widowControl/>
              <w:adjustRightInd w:val="0"/>
              <w:snapToGrid w:val="0"/>
              <w:spacing w:before="96" w:beforeLines="40" w:after="96" w:afterLines="40" w:line="400" w:lineRule="exact"/>
              <w:rPr>
                <w:rFonts w:hint="eastAsia" w:ascii="宋体" w:hAnsi="宋体"/>
                <w:color w:val="auto"/>
                <w:kern w:val="0"/>
                <w:szCs w:val="21"/>
                <w:highlight w:val="none"/>
              </w:rPr>
            </w:pPr>
            <w:r>
              <w:rPr>
                <w:rFonts w:hint="eastAsia" w:ascii="宋体" w:hAnsi="宋体"/>
                <w:color w:val="auto"/>
                <w:kern w:val="0"/>
                <w:szCs w:val="21"/>
                <w:highlight w:val="none"/>
                <w:lang w:val="en-US" w:eastAsia="zh-CN"/>
              </w:rPr>
              <w:t>人民币</w:t>
            </w:r>
            <w:r>
              <w:rPr>
                <w:rFonts w:hint="eastAsia" w:ascii="宋体" w:hAnsi="宋体"/>
                <w:color w:val="auto"/>
                <w:kern w:val="0"/>
                <w:szCs w:val="21"/>
                <w:highlight w:val="none"/>
              </w:rPr>
              <w:t>大写：</w:t>
            </w:r>
          </w:p>
          <w:p w14:paraId="38BAF460">
            <w:pPr>
              <w:widowControl/>
              <w:adjustRightInd w:val="0"/>
              <w:snapToGrid w:val="0"/>
              <w:spacing w:before="96" w:beforeLines="40" w:after="96" w:afterLines="40" w:line="400" w:lineRule="exact"/>
              <w:rPr>
                <w:rFonts w:ascii="宋体" w:hAnsi="宋体"/>
                <w:kern w:val="0"/>
                <w:szCs w:val="21"/>
              </w:rPr>
            </w:pPr>
            <w:r>
              <w:rPr>
                <w:rFonts w:hint="eastAsia" w:ascii="宋体" w:hAnsi="宋体"/>
                <w:color w:val="auto"/>
                <w:kern w:val="0"/>
                <w:szCs w:val="21"/>
                <w:highlight w:val="none"/>
                <w:lang w:val="en-US" w:eastAsia="zh-CN"/>
              </w:rPr>
              <w:t>人民币</w:t>
            </w:r>
            <w:r>
              <w:rPr>
                <w:rFonts w:hint="eastAsia" w:ascii="宋体" w:hAnsi="宋体"/>
                <w:color w:val="auto"/>
                <w:kern w:val="0"/>
                <w:szCs w:val="21"/>
                <w:highlight w:val="none"/>
              </w:rPr>
              <w:t>小写：</w:t>
            </w:r>
          </w:p>
        </w:tc>
      </w:tr>
      <w:tr w14:paraId="728D6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4" w:hRule="atLeast"/>
        </w:trPr>
        <w:tc>
          <w:tcPr>
            <w:tcW w:w="728" w:type="dxa"/>
            <w:noWrap w:val="0"/>
            <w:vAlign w:val="center"/>
          </w:tcPr>
          <w:p w14:paraId="130313CC">
            <w:pPr>
              <w:widowControl/>
              <w:adjustRightInd w:val="0"/>
              <w:snapToGrid w:val="0"/>
              <w:spacing w:before="96" w:beforeLines="40" w:after="96" w:afterLines="40" w:line="400" w:lineRule="exact"/>
              <w:jc w:val="center"/>
              <w:rPr>
                <w:rFonts w:hint="eastAsia" w:ascii="宋体" w:hAnsi="宋体"/>
                <w:kern w:val="0"/>
                <w:szCs w:val="21"/>
              </w:rPr>
            </w:pPr>
            <w:r>
              <w:rPr>
                <w:rFonts w:hint="eastAsia" w:ascii="宋体" w:hAnsi="宋体"/>
                <w:color w:val="auto"/>
                <w:kern w:val="0"/>
                <w:szCs w:val="21"/>
                <w:highlight w:val="none"/>
                <w:lang w:val="en-US" w:eastAsia="zh-CN"/>
              </w:rPr>
              <w:t>4</w:t>
            </w:r>
          </w:p>
        </w:tc>
        <w:tc>
          <w:tcPr>
            <w:tcW w:w="2715" w:type="dxa"/>
            <w:noWrap w:val="0"/>
            <w:vAlign w:val="center"/>
          </w:tcPr>
          <w:p w14:paraId="621ED2E4">
            <w:pPr>
              <w:widowControl/>
              <w:adjustRightInd w:val="0"/>
              <w:snapToGrid w:val="0"/>
              <w:spacing w:before="96" w:beforeLines="40" w:after="96" w:afterLines="40" w:line="400" w:lineRule="exact"/>
              <w:jc w:val="center"/>
              <w:rPr>
                <w:rFonts w:hint="eastAsia" w:ascii="宋体" w:hAnsi="宋体"/>
                <w:kern w:val="0"/>
                <w:szCs w:val="21"/>
              </w:rPr>
            </w:pPr>
            <w:r>
              <w:rPr>
                <w:rFonts w:hint="eastAsia" w:ascii="宋体" w:hAnsi="宋体"/>
                <w:color w:val="auto"/>
                <w:kern w:val="0"/>
                <w:szCs w:val="21"/>
                <w:highlight w:val="none"/>
                <w:lang w:val="en-US" w:eastAsia="zh-CN"/>
              </w:rPr>
              <w:t>制造商名称</w:t>
            </w:r>
          </w:p>
        </w:tc>
        <w:tc>
          <w:tcPr>
            <w:tcW w:w="6095" w:type="dxa"/>
            <w:noWrap w:val="0"/>
            <w:vAlign w:val="center"/>
          </w:tcPr>
          <w:p w14:paraId="3110679C">
            <w:pPr>
              <w:widowControl/>
              <w:adjustRightInd w:val="0"/>
              <w:snapToGrid w:val="0"/>
              <w:spacing w:before="96" w:beforeLines="40" w:after="96" w:afterLines="40" w:line="400" w:lineRule="exact"/>
              <w:rPr>
                <w:rFonts w:ascii="宋体" w:hAnsi="宋体"/>
                <w:kern w:val="0"/>
                <w:szCs w:val="21"/>
              </w:rPr>
            </w:pPr>
          </w:p>
        </w:tc>
      </w:tr>
      <w:tr w14:paraId="71326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trPr>
        <w:tc>
          <w:tcPr>
            <w:tcW w:w="728" w:type="dxa"/>
            <w:noWrap w:val="0"/>
            <w:vAlign w:val="center"/>
          </w:tcPr>
          <w:p w14:paraId="52622A1B">
            <w:pPr>
              <w:widowControl/>
              <w:adjustRightInd w:val="0"/>
              <w:snapToGrid w:val="0"/>
              <w:spacing w:before="96" w:beforeLines="40" w:after="96" w:afterLines="40" w:line="400" w:lineRule="exact"/>
              <w:jc w:val="center"/>
              <w:rPr>
                <w:rFonts w:hint="eastAsia" w:ascii="宋体" w:hAnsi="宋体" w:eastAsia="宋体"/>
                <w:kern w:val="0"/>
                <w:szCs w:val="21"/>
                <w:lang w:eastAsia="zh-CN"/>
              </w:rPr>
            </w:pPr>
            <w:r>
              <w:rPr>
                <w:rFonts w:hint="eastAsia" w:ascii="宋体" w:hAnsi="宋体"/>
                <w:kern w:val="0"/>
                <w:szCs w:val="21"/>
                <w:lang w:val="en-US" w:eastAsia="zh-CN"/>
              </w:rPr>
              <w:t>5</w:t>
            </w:r>
          </w:p>
        </w:tc>
        <w:tc>
          <w:tcPr>
            <w:tcW w:w="2715" w:type="dxa"/>
            <w:noWrap w:val="0"/>
            <w:vAlign w:val="center"/>
          </w:tcPr>
          <w:p w14:paraId="29641AD5">
            <w:pPr>
              <w:widowControl/>
              <w:adjustRightInd w:val="0"/>
              <w:snapToGrid w:val="0"/>
              <w:spacing w:before="96" w:beforeLines="40" w:after="96" w:afterLines="40" w:line="400" w:lineRule="exact"/>
              <w:jc w:val="center"/>
              <w:rPr>
                <w:rFonts w:ascii="宋体" w:hAnsi="宋体"/>
                <w:kern w:val="0"/>
                <w:szCs w:val="21"/>
              </w:rPr>
            </w:pPr>
            <w:r>
              <w:rPr>
                <w:rFonts w:hint="eastAsia" w:ascii="宋体" w:hAnsi="宋体"/>
                <w:kern w:val="0"/>
                <w:szCs w:val="21"/>
              </w:rPr>
              <w:t>供货及安装期限</w:t>
            </w:r>
          </w:p>
        </w:tc>
        <w:tc>
          <w:tcPr>
            <w:tcW w:w="6095" w:type="dxa"/>
            <w:noWrap w:val="0"/>
            <w:vAlign w:val="center"/>
          </w:tcPr>
          <w:p w14:paraId="03EA577F">
            <w:pPr>
              <w:widowControl/>
              <w:adjustRightInd w:val="0"/>
              <w:snapToGrid w:val="0"/>
              <w:spacing w:before="96" w:beforeLines="40" w:after="96" w:afterLines="40" w:line="400" w:lineRule="exact"/>
              <w:jc w:val="center"/>
              <w:rPr>
                <w:rFonts w:ascii="宋体" w:hAnsi="宋体"/>
                <w:i/>
                <w:color w:val="FF0000"/>
                <w:kern w:val="0"/>
                <w:szCs w:val="21"/>
              </w:rPr>
            </w:pPr>
          </w:p>
        </w:tc>
      </w:tr>
      <w:tr w14:paraId="263EB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trPr>
        <w:tc>
          <w:tcPr>
            <w:tcW w:w="728" w:type="dxa"/>
            <w:noWrap w:val="0"/>
            <w:vAlign w:val="center"/>
          </w:tcPr>
          <w:p w14:paraId="30FA57A8">
            <w:pPr>
              <w:widowControl/>
              <w:adjustRightInd w:val="0"/>
              <w:snapToGrid w:val="0"/>
              <w:spacing w:before="96" w:beforeLines="40" w:after="96" w:afterLines="40" w:line="400" w:lineRule="exact"/>
              <w:jc w:val="center"/>
              <w:rPr>
                <w:rFonts w:hint="eastAsia" w:ascii="宋体" w:hAnsi="宋体" w:eastAsia="宋体"/>
                <w:kern w:val="0"/>
                <w:szCs w:val="21"/>
                <w:lang w:eastAsia="zh-CN"/>
              </w:rPr>
            </w:pPr>
            <w:r>
              <w:rPr>
                <w:rFonts w:hint="eastAsia" w:ascii="宋体" w:hAnsi="宋体"/>
                <w:kern w:val="0"/>
                <w:szCs w:val="21"/>
                <w:lang w:val="en-US" w:eastAsia="zh-CN"/>
              </w:rPr>
              <w:t>6</w:t>
            </w:r>
          </w:p>
        </w:tc>
        <w:tc>
          <w:tcPr>
            <w:tcW w:w="2715" w:type="dxa"/>
            <w:noWrap w:val="0"/>
            <w:vAlign w:val="center"/>
          </w:tcPr>
          <w:p w14:paraId="21DC56F7">
            <w:pPr>
              <w:widowControl/>
              <w:adjustRightInd w:val="0"/>
              <w:snapToGrid w:val="0"/>
              <w:spacing w:before="96" w:beforeLines="40" w:after="96" w:afterLines="40" w:line="400" w:lineRule="exact"/>
              <w:jc w:val="center"/>
              <w:rPr>
                <w:rFonts w:hint="eastAsia" w:ascii="宋体" w:hAnsi="宋体"/>
                <w:kern w:val="0"/>
                <w:szCs w:val="21"/>
              </w:rPr>
            </w:pPr>
            <w:r>
              <w:rPr>
                <w:rFonts w:hint="eastAsia" w:ascii="宋体" w:hAnsi="宋体"/>
                <w:kern w:val="0"/>
                <w:szCs w:val="21"/>
              </w:rPr>
              <w:t>免费质保期</w:t>
            </w:r>
          </w:p>
        </w:tc>
        <w:tc>
          <w:tcPr>
            <w:tcW w:w="6095" w:type="dxa"/>
            <w:noWrap w:val="0"/>
            <w:vAlign w:val="center"/>
          </w:tcPr>
          <w:p w14:paraId="1C102321">
            <w:pPr>
              <w:widowControl/>
              <w:adjustRightInd w:val="0"/>
              <w:snapToGrid w:val="0"/>
              <w:spacing w:before="96" w:beforeLines="40" w:after="96" w:afterLines="40" w:line="400" w:lineRule="exact"/>
              <w:jc w:val="center"/>
              <w:rPr>
                <w:rFonts w:ascii="宋体" w:hAnsi="宋体"/>
                <w:kern w:val="0"/>
                <w:szCs w:val="21"/>
              </w:rPr>
            </w:pPr>
          </w:p>
        </w:tc>
      </w:tr>
      <w:tr w14:paraId="40AF6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trPr>
        <w:tc>
          <w:tcPr>
            <w:tcW w:w="728" w:type="dxa"/>
            <w:noWrap w:val="0"/>
            <w:vAlign w:val="center"/>
          </w:tcPr>
          <w:p w14:paraId="0CE9EBF7">
            <w:pPr>
              <w:widowControl/>
              <w:adjustRightInd w:val="0"/>
              <w:snapToGrid w:val="0"/>
              <w:spacing w:before="96" w:beforeLines="40" w:after="96" w:afterLines="40" w:line="400" w:lineRule="exact"/>
              <w:jc w:val="center"/>
              <w:rPr>
                <w:rFonts w:hint="eastAsia" w:ascii="宋体" w:hAnsi="宋体" w:eastAsia="宋体"/>
                <w:kern w:val="0"/>
                <w:szCs w:val="21"/>
                <w:lang w:eastAsia="zh-CN"/>
              </w:rPr>
            </w:pPr>
            <w:r>
              <w:rPr>
                <w:rFonts w:hint="eastAsia" w:ascii="宋体" w:hAnsi="宋体"/>
                <w:kern w:val="0"/>
                <w:szCs w:val="21"/>
                <w:lang w:val="en-US" w:eastAsia="zh-CN"/>
              </w:rPr>
              <w:t>7</w:t>
            </w:r>
          </w:p>
        </w:tc>
        <w:tc>
          <w:tcPr>
            <w:tcW w:w="2715" w:type="dxa"/>
            <w:noWrap w:val="0"/>
            <w:vAlign w:val="center"/>
          </w:tcPr>
          <w:p w14:paraId="713561BA">
            <w:pPr>
              <w:widowControl/>
              <w:adjustRightInd w:val="0"/>
              <w:snapToGrid w:val="0"/>
              <w:spacing w:before="96" w:beforeLines="40" w:after="96" w:afterLines="40" w:line="400" w:lineRule="exact"/>
              <w:jc w:val="center"/>
              <w:rPr>
                <w:rFonts w:hint="eastAsia" w:ascii="宋体" w:hAnsi="宋体" w:eastAsia="宋体"/>
                <w:kern w:val="0"/>
                <w:szCs w:val="21"/>
                <w:lang w:val="en-US" w:eastAsia="zh-CN"/>
              </w:rPr>
            </w:pPr>
            <w:r>
              <w:rPr>
                <w:rFonts w:hint="eastAsia" w:ascii="宋体" w:hAnsi="宋体"/>
                <w:kern w:val="0"/>
                <w:szCs w:val="21"/>
                <w:lang w:val="en-US" w:eastAsia="zh-CN"/>
              </w:rPr>
              <w:t>备注</w:t>
            </w:r>
          </w:p>
        </w:tc>
        <w:tc>
          <w:tcPr>
            <w:tcW w:w="6095" w:type="dxa"/>
            <w:noWrap w:val="0"/>
            <w:vAlign w:val="center"/>
          </w:tcPr>
          <w:p w14:paraId="6FFC380A">
            <w:pPr>
              <w:widowControl/>
              <w:adjustRightInd w:val="0"/>
              <w:snapToGrid w:val="0"/>
              <w:spacing w:before="96" w:beforeLines="40" w:after="96" w:afterLines="40" w:line="400" w:lineRule="exact"/>
              <w:jc w:val="center"/>
              <w:rPr>
                <w:rFonts w:ascii="宋体" w:hAnsi="宋体"/>
                <w:kern w:val="0"/>
                <w:szCs w:val="21"/>
              </w:rPr>
            </w:pPr>
          </w:p>
        </w:tc>
      </w:tr>
    </w:tbl>
    <w:p w14:paraId="4A420387">
      <w:pPr>
        <w:widowControl/>
        <w:spacing w:before="96" w:beforeLines="40" w:after="96" w:afterLines="40" w:line="400" w:lineRule="exact"/>
        <w:rPr>
          <w:rFonts w:hint="eastAsia" w:ascii="宋体" w:hAnsi="宋体"/>
          <w:kern w:val="0"/>
          <w:szCs w:val="21"/>
        </w:rPr>
      </w:pPr>
    </w:p>
    <w:p w14:paraId="7F72643F">
      <w:pPr>
        <w:widowControl/>
        <w:spacing w:before="18" w:line="280" w:lineRule="atLeast"/>
        <w:rPr>
          <w:rFonts w:ascii="宋体" w:hAnsi="宋体"/>
          <w:kern w:val="0"/>
          <w:szCs w:val="21"/>
        </w:rPr>
      </w:pPr>
    </w:p>
    <w:p w14:paraId="534F8594">
      <w:pPr>
        <w:spacing w:before="96" w:beforeLines="40" w:after="96" w:afterLines="40" w:line="400" w:lineRule="exact"/>
        <w:ind w:firstLine="2520" w:firstLineChars="1200"/>
        <w:rPr>
          <w:rFonts w:hint="eastAsia" w:ascii="宋体" w:hAnsi="宋体"/>
          <w:szCs w:val="21"/>
          <w:u w:val="single"/>
        </w:rPr>
      </w:pPr>
      <w:r>
        <w:rPr>
          <w:rFonts w:hint="eastAsia" w:ascii="宋体" w:hAnsi="宋体"/>
          <w:szCs w:val="21"/>
          <w:lang w:eastAsia="zh-CN"/>
        </w:rPr>
        <w:t>投标人电子签章</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p>
    <w:p w14:paraId="0CCEB3D9">
      <w:pPr>
        <w:tabs>
          <w:tab w:val="left" w:pos="4620"/>
        </w:tabs>
        <w:spacing w:before="40" w:after="40" w:line="400" w:lineRule="exact"/>
        <w:ind w:firstLine="2520" w:firstLineChars="1200"/>
        <w:rPr>
          <w:rFonts w:ascii="宋体" w:hAnsi="宋体"/>
          <w:szCs w:val="21"/>
          <w:u w:val="single"/>
        </w:rPr>
      </w:pPr>
      <w:r>
        <w:rPr>
          <w:rFonts w:hint="eastAsia" w:ascii="宋体" w:hAnsi="宋体"/>
          <w:szCs w:val="21"/>
        </w:rPr>
        <w:t>日</w:t>
      </w:r>
      <w:r>
        <w:rPr>
          <w:rFonts w:ascii="宋体" w:hAnsi="宋体"/>
          <w:szCs w:val="21"/>
        </w:rPr>
        <w:t xml:space="preserve">      </w:t>
      </w:r>
      <w:r>
        <w:rPr>
          <w:rFonts w:hint="eastAsia" w:ascii="宋体" w:hAnsi="宋体"/>
          <w:szCs w:val="21"/>
        </w:rPr>
        <w:t>期：</w:t>
      </w:r>
      <w:r>
        <w:rPr>
          <w:rFonts w:ascii="宋体" w:hAnsi="宋体"/>
          <w:szCs w:val="21"/>
          <w:u w:val="single"/>
        </w:rPr>
        <w:t xml:space="preserve">                     </w:t>
      </w:r>
    </w:p>
    <w:p w14:paraId="3FE7F994">
      <w:pPr>
        <w:spacing w:before="96" w:beforeLines="40" w:after="96" w:afterLines="40" w:line="400" w:lineRule="exact"/>
        <w:ind w:left="422" w:hanging="422" w:hangingChars="200"/>
        <w:rPr>
          <w:rFonts w:hint="eastAsia" w:ascii="宋体" w:hAnsi="宋体"/>
          <w:b/>
          <w:szCs w:val="21"/>
        </w:rPr>
      </w:pPr>
    </w:p>
    <w:p w14:paraId="2BC343FE">
      <w:pPr>
        <w:spacing w:before="96" w:beforeLines="40" w:after="96" w:afterLines="40" w:line="400" w:lineRule="exact"/>
        <w:ind w:left="422" w:hanging="422" w:hangingChars="200"/>
        <w:rPr>
          <w:rFonts w:hint="eastAsia" w:ascii="宋体" w:hAnsi="宋体"/>
          <w:szCs w:val="21"/>
          <w:u w:val="single"/>
        </w:rPr>
      </w:pPr>
      <w:r>
        <w:rPr>
          <w:rFonts w:hint="eastAsia" w:ascii="宋体" w:hAnsi="宋体"/>
          <w:b/>
          <w:szCs w:val="21"/>
        </w:rPr>
        <w:t>备注：</w:t>
      </w:r>
    </w:p>
    <w:p w14:paraId="4D35EA47">
      <w:pPr>
        <w:spacing w:before="96" w:beforeLines="40" w:after="96" w:afterLines="40" w:line="400" w:lineRule="exact"/>
        <w:ind w:firstLine="422" w:firstLineChars="200"/>
        <w:jc w:val="left"/>
        <w:rPr>
          <w:rFonts w:hint="eastAsia" w:ascii="宋体" w:hAnsi="宋体"/>
          <w:b/>
          <w:szCs w:val="21"/>
        </w:rPr>
      </w:pPr>
      <w:r>
        <w:rPr>
          <w:rFonts w:hint="eastAsia" w:ascii="宋体" w:hAnsi="宋体"/>
          <w:b/>
          <w:szCs w:val="21"/>
          <w:lang w:val="en-US" w:eastAsia="zh-CN"/>
        </w:rPr>
        <w:t>1</w:t>
      </w:r>
      <w:r>
        <w:rPr>
          <w:rFonts w:hint="eastAsia" w:ascii="宋体" w:hAnsi="宋体"/>
          <w:b/>
          <w:szCs w:val="21"/>
        </w:rPr>
        <w:t>、表中最终投标报价即为优惠后报价，并作为评审及定标依据。任何有选择或有条件的最终投标报价，或者表中某一包填写多个报价，均为无效报价。</w:t>
      </w:r>
    </w:p>
    <w:p w14:paraId="4548ED5F">
      <w:pPr>
        <w:spacing w:before="96" w:beforeLines="40" w:after="96" w:afterLines="40" w:line="400" w:lineRule="exact"/>
        <w:ind w:firstLine="422" w:firstLineChars="200"/>
        <w:jc w:val="left"/>
        <w:rPr>
          <w:rFonts w:ascii="宋体" w:hAnsi="宋体"/>
          <w:b/>
          <w:sz w:val="24"/>
        </w:rPr>
      </w:pPr>
      <w:r>
        <w:rPr>
          <w:rFonts w:hint="eastAsia" w:ascii="宋体" w:hAnsi="宋体"/>
          <w:b/>
          <w:szCs w:val="21"/>
          <w:lang w:val="en-US" w:eastAsia="zh-CN"/>
        </w:rPr>
        <w:t>2</w:t>
      </w:r>
      <w:r>
        <w:rPr>
          <w:rFonts w:hint="eastAsia" w:ascii="宋体" w:hAnsi="宋体"/>
          <w:b/>
          <w:szCs w:val="21"/>
        </w:rPr>
        <w:t>、</w:t>
      </w:r>
      <w:r>
        <w:rPr>
          <w:rFonts w:ascii="宋体" w:hAnsi="宋体"/>
          <w:b/>
          <w:szCs w:val="21"/>
        </w:rPr>
        <w:t>投标供应商应根据其投标文件中开标一览表的内容填写唱标信息，唱标信息不作为评审的依据。唱标信息与开标一览表不一致的，以开标一览表为准。</w:t>
      </w:r>
      <w:r>
        <w:rPr>
          <w:rFonts w:ascii="宋体" w:hAnsi="宋体"/>
          <w:b/>
          <w:sz w:val="24"/>
        </w:rPr>
        <w:t xml:space="preserve"> </w:t>
      </w:r>
    </w:p>
    <w:p w14:paraId="742CEDE7">
      <w:pPr>
        <w:spacing w:line="360" w:lineRule="auto"/>
        <w:rPr>
          <w:rFonts w:hint="eastAsia" w:ascii="宋体" w:hAnsi="宋体"/>
          <w:b/>
          <w:sz w:val="32"/>
          <w:u w:val="single"/>
        </w:rPr>
      </w:pPr>
    </w:p>
    <w:p w14:paraId="6801AFFC">
      <w:pPr>
        <w:spacing w:line="500" w:lineRule="exact"/>
        <w:rPr>
          <w:rFonts w:hint="eastAsia" w:ascii="宋体" w:hAnsi="宋体"/>
          <w:b/>
          <w:bCs/>
          <w:sz w:val="30"/>
        </w:rPr>
      </w:pPr>
      <w:r>
        <w:rPr>
          <w:rFonts w:ascii="宋体" w:hAnsi="宋体"/>
          <w:b/>
          <w:bCs/>
          <w:sz w:val="30"/>
        </w:rPr>
        <w:br w:type="page"/>
      </w:r>
    </w:p>
    <w:p w14:paraId="4A30718B">
      <w:pPr>
        <w:spacing w:line="240" w:lineRule="auto"/>
        <w:jc w:val="center"/>
        <w:outlineLvl w:val="1"/>
        <w:rPr>
          <w:rFonts w:hint="eastAsia"/>
          <w:b/>
          <w:sz w:val="32"/>
          <w:szCs w:val="32"/>
          <w:lang w:val="en-US" w:eastAsia="zh-CN"/>
        </w:rPr>
      </w:pPr>
      <w:r>
        <w:rPr>
          <w:rFonts w:hint="eastAsia"/>
          <w:b/>
          <w:sz w:val="32"/>
          <w:szCs w:val="32"/>
          <w:lang w:val="en-US" w:eastAsia="zh-CN"/>
        </w:rPr>
        <w:t>二、</w:t>
      </w:r>
      <w:r>
        <w:rPr>
          <w:rFonts w:hint="eastAsia"/>
          <w:b/>
          <w:sz w:val="32"/>
          <w:szCs w:val="32"/>
        </w:rPr>
        <w:t>投标产品分项报价表</w:t>
      </w:r>
    </w:p>
    <w:p w14:paraId="453FD3A2">
      <w:pPr>
        <w:pStyle w:val="38"/>
        <w:jc w:val="left"/>
        <w:rPr>
          <w:rFonts w:hint="default"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2-1货物部分</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495"/>
        <w:gridCol w:w="1487"/>
        <w:gridCol w:w="1487"/>
        <w:gridCol w:w="759"/>
        <w:gridCol w:w="759"/>
        <w:gridCol w:w="1062"/>
        <w:gridCol w:w="1062"/>
        <w:gridCol w:w="757"/>
      </w:tblGrid>
      <w:tr w14:paraId="20EFA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393" w:type="pct"/>
            <w:noWrap w:val="0"/>
            <w:vAlign w:val="center"/>
          </w:tcPr>
          <w:p w14:paraId="0B314E05">
            <w:pPr>
              <w:pStyle w:val="39"/>
              <w:widowControl w:val="0"/>
              <w:spacing w:before="0" w:beforeAutospacing="0" w:after="0" w:afterAutospacing="0"/>
              <w:rPr>
                <w:rFonts w:ascii="宋体" w:hAnsi="宋体" w:eastAsia="宋体"/>
                <w:bCs w:val="0"/>
                <w:kern w:val="2"/>
                <w:sz w:val="21"/>
                <w:szCs w:val="21"/>
                <w:highlight w:val="none"/>
              </w:rPr>
            </w:pPr>
            <w:r>
              <w:rPr>
                <w:rFonts w:hint="eastAsia" w:ascii="宋体" w:hAnsi="宋体" w:eastAsia="宋体"/>
                <w:bCs w:val="0"/>
                <w:kern w:val="2"/>
                <w:sz w:val="21"/>
                <w:szCs w:val="21"/>
                <w:highlight w:val="none"/>
              </w:rPr>
              <w:t>序号</w:t>
            </w:r>
          </w:p>
        </w:tc>
        <w:tc>
          <w:tcPr>
            <w:tcW w:w="776" w:type="pct"/>
            <w:noWrap w:val="0"/>
            <w:vAlign w:val="center"/>
          </w:tcPr>
          <w:p w14:paraId="4E723A11">
            <w:pPr>
              <w:jc w:val="center"/>
              <w:rPr>
                <w:rFonts w:ascii="宋体" w:hAnsi="宋体" w:eastAsia="宋体"/>
                <w:b/>
                <w:sz w:val="21"/>
                <w:szCs w:val="21"/>
                <w:highlight w:val="none"/>
              </w:rPr>
            </w:pPr>
            <w:r>
              <w:rPr>
                <w:rFonts w:hint="eastAsia" w:ascii="宋体" w:hAnsi="宋体" w:eastAsia="宋体"/>
                <w:b/>
                <w:sz w:val="21"/>
                <w:szCs w:val="21"/>
                <w:highlight w:val="none"/>
              </w:rPr>
              <w:t>货物名称</w:t>
            </w:r>
          </w:p>
        </w:tc>
        <w:tc>
          <w:tcPr>
            <w:tcW w:w="772" w:type="pct"/>
            <w:noWrap w:val="0"/>
            <w:vAlign w:val="center"/>
          </w:tcPr>
          <w:p w14:paraId="3A647E66">
            <w:pPr>
              <w:jc w:val="center"/>
              <w:rPr>
                <w:rFonts w:ascii="宋体" w:hAnsi="宋体" w:eastAsia="宋体"/>
                <w:b/>
                <w:sz w:val="21"/>
                <w:szCs w:val="21"/>
                <w:highlight w:val="none"/>
              </w:rPr>
            </w:pPr>
            <w:r>
              <w:rPr>
                <w:rFonts w:hint="eastAsia" w:ascii="宋体" w:hAnsi="宋体" w:eastAsia="宋体"/>
                <w:b/>
                <w:sz w:val="21"/>
                <w:szCs w:val="21"/>
                <w:highlight w:val="none"/>
              </w:rPr>
              <w:t>品牌、型</w:t>
            </w:r>
          </w:p>
          <w:p w14:paraId="16EFDC08">
            <w:pPr>
              <w:jc w:val="center"/>
              <w:rPr>
                <w:rFonts w:ascii="宋体" w:hAnsi="宋体" w:eastAsia="宋体"/>
                <w:b/>
                <w:sz w:val="21"/>
                <w:szCs w:val="21"/>
                <w:highlight w:val="none"/>
              </w:rPr>
            </w:pPr>
            <w:r>
              <w:rPr>
                <w:rFonts w:hint="eastAsia" w:ascii="宋体" w:hAnsi="宋体" w:eastAsia="宋体"/>
                <w:b/>
                <w:sz w:val="21"/>
                <w:szCs w:val="21"/>
                <w:highlight w:val="none"/>
              </w:rPr>
              <w:t>号规格</w:t>
            </w:r>
          </w:p>
        </w:tc>
        <w:tc>
          <w:tcPr>
            <w:tcW w:w="772" w:type="pct"/>
            <w:noWrap w:val="0"/>
            <w:vAlign w:val="center"/>
          </w:tcPr>
          <w:p w14:paraId="14540B69">
            <w:pPr>
              <w:jc w:val="center"/>
              <w:rPr>
                <w:rFonts w:ascii="宋体" w:hAnsi="宋体" w:eastAsia="宋体"/>
                <w:b/>
                <w:sz w:val="21"/>
                <w:szCs w:val="21"/>
                <w:highlight w:val="none"/>
              </w:rPr>
            </w:pPr>
            <w:r>
              <w:rPr>
                <w:rFonts w:hint="eastAsia" w:ascii="宋体" w:hAnsi="宋体" w:eastAsia="宋体"/>
                <w:b/>
                <w:sz w:val="21"/>
                <w:szCs w:val="21"/>
                <w:highlight w:val="none"/>
              </w:rPr>
              <w:t>原产地及</w:t>
            </w:r>
          </w:p>
          <w:p w14:paraId="6A11DFC9">
            <w:pPr>
              <w:jc w:val="center"/>
              <w:rPr>
                <w:rFonts w:ascii="宋体" w:hAnsi="宋体" w:eastAsia="宋体"/>
                <w:b/>
                <w:sz w:val="21"/>
                <w:szCs w:val="21"/>
                <w:highlight w:val="none"/>
              </w:rPr>
            </w:pPr>
            <w:r>
              <w:rPr>
                <w:rFonts w:hint="eastAsia" w:ascii="宋体" w:hAnsi="宋体" w:eastAsia="宋体"/>
                <w:b/>
                <w:sz w:val="21"/>
                <w:szCs w:val="21"/>
                <w:highlight w:val="none"/>
              </w:rPr>
              <w:t>生产厂商</w:t>
            </w:r>
          </w:p>
        </w:tc>
        <w:tc>
          <w:tcPr>
            <w:tcW w:w="394" w:type="pct"/>
            <w:noWrap w:val="0"/>
            <w:vAlign w:val="center"/>
          </w:tcPr>
          <w:p w14:paraId="6AE210D5">
            <w:pPr>
              <w:jc w:val="center"/>
              <w:rPr>
                <w:rFonts w:ascii="宋体" w:hAnsi="宋体" w:eastAsia="宋体"/>
                <w:b/>
                <w:sz w:val="21"/>
                <w:szCs w:val="21"/>
                <w:highlight w:val="none"/>
              </w:rPr>
            </w:pPr>
            <w:r>
              <w:rPr>
                <w:rFonts w:hint="eastAsia" w:ascii="宋体" w:hAnsi="宋体" w:eastAsia="宋体"/>
                <w:b/>
                <w:sz w:val="21"/>
                <w:szCs w:val="21"/>
                <w:highlight w:val="none"/>
              </w:rPr>
              <w:t>单位</w:t>
            </w:r>
          </w:p>
        </w:tc>
        <w:tc>
          <w:tcPr>
            <w:tcW w:w="394" w:type="pct"/>
            <w:noWrap w:val="0"/>
            <w:vAlign w:val="center"/>
          </w:tcPr>
          <w:p w14:paraId="0CF842BC">
            <w:pPr>
              <w:jc w:val="center"/>
              <w:rPr>
                <w:rFonts w:ascii="宋体" w:hAnsi="宋体" w:eastAsia="宋体"/>
                <w:b/>
                <w:sz w:val="21"/>
                <w:szCs w:val="21"/>
                <w:highlight w:val="none"/>
              </w:rPr>
            </w:pPr>
            <w:r>
              <w:rPr>
                <w:rFonts w:hint="eastAsia" w:ascii="宋体" w:hAnsi="宋体" w:eastAsia="宋体"/>
                <w:b/>
                <w:sz w:val="21"/>
                <w:szCs w:val="21"/>
                <w:highlight w:val="none"/>
              </w:rPr>
              <w:t>数量</w:t>
            </w:r>
          </w:p>
        </w:tc>
        <w:tc>
          <w:tcPr>
            <w:tcW w:w="551" w:type="pct"/>
            <w:noWrap w:val="0"/>
            <w:vAlign w:val="center"/>
          </w:tcPr>
          <w:p w14:paraId="7D8F901A">
            <w:pPr>
              <w:jc w:val="center"/>
              <w:rPr>
                <w:rFonts w:ascii="宋体" w:hAnsi="宋体" w:eastAsia="宋体"/>
                <w:b/>
                <w:sz w:val="21"/>
                <w:szCs w:val="21"/>
                <w:highlight w:val="none"/>
              </w:rPr>
            </w:pPr>
            <w:r>
              <w:rPr>
                <w:rFonts w:hint="eastAsia" w:ascii="宋体" w:hAnsi="宋体" w:eastAsia="宋体"/>
                <w:b/>
                <w:sz w:val="21"/>
                <w:szCs w:val="21"/>
                <w:highlight w:val="none"/>
              </w:rPr>
              <w:t>单价</w:t>
            </w:r>
          </w:p>
          <w:p w14:paraId="7A974777">
            <w:pPr>
              <w:jc w:val="center"/>
              <w:rPr>
                <w:rFonts w:ascii="宋体" w:hAnsi="宋体" w:eastAsia="宋体"/>
                <w:b/>
                <w:sz w:val="21"/>
                <w:szCs w:val="21"/>
                <w:highlight w:val="none"/>
              </w:rPr>
            </w:pPr>
            <w:r>
              <w:rPr>
                <w:rFonts w:hint="eastAsia" w:ascii="宋体" w:hAnsi="宋体" w:eastAsia="宋体"/>
                <w:b/>
                <w:sz w:val="21"/>
                <w:szCs w:val="21"/>
                <w:highlight w:val="none"/>
              </w:rPr>
              <w:t>（元）</w:t>
            </w:r>
          </w:p>
        </w:tc>
        <w:tc>
          <w:tcPr>
            <w:tcW w:w="551" w:type="pct"/>
            <w:noWrap w:val="0"/>
            <w:vAlign w:val="center"/>
          </w:tcPr>
          <w:p w14:paraId="1AFE4ECA">
            <w:pPr>
              <w:jc w:val="center"/>
              <w:rPr>
                <w:rFonts w:ascii="宋体" w:hAnsi="宋体" w:eastAsia="宋体"/>
                <w:b/>
                <w:sz w:val="21"/>
                <w:szCs w:val="21"/>
                <w:highlight w:val="none"/>
              </w:rPr>
            </w:pPr>
            <w:r>
              <w:rPr>
                <w:rFonts w:hint="eastAsia" w:ascii="宋体" w:hAnsi="宋体" w:eastAsia="宋体"/>
                <w:b/>
                <w:sz w:val="21"/>
                <w:szCs w:val="21"/>
                <w:highlight w:val="none"/>
              </w:rPr>
              <w:t>小计</w:t>
            </w:r>
          </w:p>
          <w:p w14:paraId="21081F0C">
            <w:pPr>
              <w:jc w:val="center"/>
              <w:rPr>
                <w:rFonts w:ascii="宋体" w:hAnsi="宋体" w:eastAsia="宋体"/>
                <w:b/>
                <w:sz w:val="21"/>
                <w:szCs w:val="21"/>
                <w:highlight w:val="none"/>
              </w:rPr>
            </w:pPr>
            <w:r>
              <w:rPr>
                <w:rFonts w:hint="eastAsia" w:ascii="宋体" w:hAnsi="宋体" w:eastAsia="宋体"/>
                <w:b/>
                <w:sz w:val="21"/>
                <w:szCs w:val="21"/>
                <w:highlight w:val="none"/>
              </w:rPr>
              <w:t>（元）</w:t>
            </w:r>
          </w:p>
        </w:tc>
        <w:tc>
          <w:tcPr>
            <w:tcW w:w="393" w:type="pct"/>
            <w:noWrap w:val="0"/>
            <w:vAlign w:val="center"/>
          </w:tcPr>
          <w:p w14:paraId="1630832C">
            <w:pPr>
              <w:jc w:val="center"/>
              <w:rPr>
                <w:rFonts w:ascii="宋体" w:hAnsi="宋体" w:eastAsia="宋体"/>
                <w:b/>
                <w:sz w:val="21"/>
                <w:szCs w:val="21"/>
                <w:highlight w:val="none"/>
              </w:rPr>
            </w:pPr>
            <w:r>
              <w:rPr>
                <w:rFonts w:hint="eastAsia" w:ascii="宋体" w:hAnsi="宋体" w:eastAsia="宋体"/>
                <w:b/>
                <w:sz w:val="21"/>
                <w:szCs w:val="21"/>
                <w:highlight w:val="none"/>
              </w:rPr>
              <w:t>备注</w:t>
            </w:r>
          </w:p>
        </w:tc>
      </w:tr>
      <w:tr w14:paraId="3D8F8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3" w:type="pct"/>
            <w:tcBorders>
              <w:bottom w:val="single" w:color="auto" w:sz="4" w:space="0"/>
            </w:tcBorders>
            <w:noWrap w:val="0"/>
            <w:vAlign w:val="top"/>
          </w:tcPr>
          <w:p w14:paraId="01F0FB52">
            <w:pPr>
              <w:jc w:val="center"/>
              <w:rPr>
                <w:rFonts w:ascii="宋体" w:hAnsi="宋体" w:eastAsia="宋体"/>
                <w:sz w:val="21"/>
                <w:szCs w:val="21"/>
                <w:highlight w:val="none"/>
              </w:rPr>
            </w:pPr>
            <w:r>
              <w:rPr>
                <w:rFonts w:hint="eastAsia" w:ascii="宋体" w:hAnsi="宋体" w:eastAsia="宋体"/>
                <w:sz w:val="21"/>
                <w:szCs w:val="21"/>
                <w:highlight w:val="none"/>
              </w:rPr>
              <w:t>1</w:t>
            </w:r>
          </w:p>
        </w:tc>
        <w:tc>
          <w:tcPr>
            <w:tcW w:w="776" w:type="pct"/>
            <w:noWrap w:val="0"/>
            <w:vAlign w:val="top"/>
          </w:tcPr>
          <w:p w14:paraId="700A74DD">
            <w:pPr>
              <w:rPr>
                <w:rFonts w:ascii="宋体" w:hAnsi="宋体" w:eastAsia="宋体"/>
                <w:sz w:val="21"/>
                <w:szCs w:val="21"/>
                <w:highlight w:val="none"/>
              </w:rPr>
            </w:pPr>
          </w:p>
        </w:tc>
        <w:tc>
          <w:tcPr>
            <w:tcW w:w="772" w:type="pct"/>
            <w:noWrap w:val="0"/>
            <w:vAlign w:val="top"/>
          </w:tcPr>
          <w:p w14:paraId="05A8BA48">
            <w:pPr>
              <w:rPr>
                <w:rFonts w:ascii="宋体" w:hAnsi="宋体" w:eastAsia="宋体"/>
                <w:sz w:val="21"/>
                <w:szCs w:val="21"/>
                <w:highlight w:val="none"/>
              </w:rPr>
            </w:pPr>
          </w:p>
        </w:tc>
        <w:tc>
          <w:tcPr>
            <w:tcW w:w="772" w:type="pct"/>
            <w:noWrap w:val="0"/>
            <w:vAlign w:val="top"/>
          </w:tcPr>
          <w:p w14:paraId="0C4972B7">
            <w:pPr>
              <w:rPr>
                <w:rFonts w:ascii="宋体" w:hAnsi="宋体" w:eastAsia="宋体"/>
                <w:sz w:val="21"/>
                <w:szCs w:val="21"/>
                <w:highlight w:val="none"/>
              </w:rPr>
            </w:pPr>
          </w:p>
        </w:tc>
        <w:tc>
          <w:tcPr>
            <w:tcW w:w="394" w:type="pct"/>
            <w:noWrap w:val="0"/>
            <w:vAlign w:val="top"/>
          </w:tcPr>
          <w:p w14:paraId="02191C56">
            <w:pPr>
              <w:rPr>
                <w:rFonts w:ascii="宋体" w:hAnsi="宋体" w:eastAsia="宋体"/>
                <w:sz w:val="21"/>
                <w:szCs w:val="21"/>
                <w:highlight w:val="none"/>
              </w:rPr>
            </w:pPr>
          </w:p>
        </w:tc>
        <w:tc>
          <w:tcPr>
            <w:tcW w:w="394" w:type="pct"/>
            <w:noWrap w:val="0"/>
            <w:vAlign w:val="top"/>
          </w:tcPr>
          <w:p w14:paraId="66390C8F">
            <w:pPr>
              <w:rPr>
                <w:rFonts w:ascii="宋体" w:hAnsi="宋体" w:eastAsia="宋体"/>
                <w:sz w:val="21"/>
                <w:szCs w:val="21"/>
                <w:highlight w:val="none"/>
              </w:rPr>
            </w:pPr>
          </w:p>
        </w:tc>
        <w:tc>
          <w:tcPr>
            <w:tcW w:w="551" w:type="pct"/>
            <w:noWrap w:val="0"/>
            <w:vAlign w:val="top"/>
          </w:tcPr>
          <w:p w14:paraId="272DA63A">
            <w:pPr>
              <w:rPr>
                <w:rFonts w:ascii="宋体" w:hAnsi="宋体" w:eastAsia="宋体"/>
                <w:sz w:val="21"/>
                <w:szCs w:val="21"/>
                <w:highlight w:val="none"/>
              </w:rPr>
            </w:pPr>
          </w:p>
        </w:tc>
        <w:tc>
          <w:tcPr>
            <w:tcW w:w="551" w:type="pct"/>
            <w:noWrap w:val="0"/>
            <w:vAlign w:val="top"/>
          </w:tcPr>
          <w:p w14:paraId="17F51C43">
            <w:pPr>
              <w:rPr>
                <w:rFonts w:ascii="宋体" w:hAnsi="宋体" w:eastAsia="宋体"/>
                <w:sz w:val="21"/>
                <w:szCs w:val="21"/>
                <w:highlight w:val="none"/>
              </w:rPr>
            </w:pPr>
          </w:p>
        </w:tc>
        <w:tc>
          <w:tcPr>
            <w:tcW w:w="393" w:type="pct"/>
            <w:noWrap w:val="0"/>
            <w:vAlign w:val="top"/>
          </w:tcPr>
          <w:p w14:paraId="51401758">
            <w:pPr>
              <w:rPr>
                <w:rFonts w:ascii="宋体" w:hAnsi="宋体" w:eastAsia="宋体"/>
                <w:sz w:val="21"/>
                <w:szCs w:val="21"/>
                <w:highlight w:val="none"/>
              </w:rPr>
            </w:pPr>
          </w:p>
        </w:tc>
      </w:tr>
      <w:tr w14:paraId="38B9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393" w:type="pct"/>
            <w:noWrap w:val="0"/>
            <w:vAlign w:val="top"/>
          </w:tcPr>
          <w:p w14:paraId="765D22D0">
            <w:pPr>
              <w:jc w:val="center"/>
              <w:rPr>
                <w:rFonts w:ascii="宋体" w:hAnsi="宋体" w:eastAsia="宋体"/>
                <w:sz w:val="21"/>
                <w:szCs w:val="21"/>
                <w:highlight w:val="none"/>
              </w:rPr>
            </w:pPr>
            <w:r>
              <w:rPr>
                <w:rFonts w:hint="eastAsia" w:ascii="宋体" w:hAnsi="宋体" w:eastAsia="宋体"/>
                <w:sz w:val="21"/>
                <w:szCs w:val="21"/>
                <w:highlight w:val="none"/>
              </w:rPr>
              <w:t>2</w:t>
            </w:r>
          </w:p>
        </w:tc>
        <w:tc>
          <w:tcPr>
            <w:tcW w:w="776" w:type="pct"/>
            <w:noWrap w:val="0"/>
            <w:vAlign w:val="top"/>
          </w:tcPr>
          <w:p w14:paraId="3FB2C184">
            <w:pPr>
              <w:rPr>
                <w:rFonts w:ascii="宋体" w:hAnsi="宋体" w:eastAsia="宋体"/>
                <w:sz w:val="21"/>
                <w:szCs w:val="21"/>
                <w:highlight w:val="none"/>
              </w:rPr>
            </w:pPr>
          </w:p>
        </w:tc>
        <w:tc>
          <w:tcPr>
            <w:tcW w:w="772" w:type="pct"/>
            <w:noWrap w:val="0"/>
            <w:vAlign w:val="top"/>
          </w:tcPr>
          <w:p w14:paraId="14E02D19">
            <w:pPr>
              <w:rPr>
                <w:rFonts w:ascii="宋体" w:hAnsi="宋体" w:eastAsia="宋体"/>
                <w:sz w:val="21"/>
                <w:szCs w:val="21"/>
                <w:highlight w:val="none"/>
              </w:rPr>
            </w:pPr>
          </w:p>
        </w:tc>
        <w:tc>
          <w:tcPr>
            <w:tcW w:w="772" w:type="pct"/>
            <w:noWrap w:val="0"/>
            <w:vAlign w:val="top"/>
          </w:tcPr>
          <w:p w14:paraId="386FC50D">
            <w:pPr>
              <w:rPr>
                <w:rFonts w:ascii="宋体" w:hAnsi="宋体" w:eastAsia="宋体"/>
                <w:sz w:val="21"/>
                <w:szCs w:val="21"/>
                <w:highlight w:val="none"/>
              </w:rPr>
            </w:pPr>
          </w:p>
        </w:tc>
        <w:tc>
          <w:tcPr>
            <w:tcW w:w="394" w:type="pct"/>
            <w:noWrap w:val="0"/>
            <w:vAlign w:val="top"/>
          </w:tcPr>
          <w:p w14:paraId="625EE652">
            <w:pPr>
              <w:rPr>
                <w:rFonts w:ascii="宋体" w:hAnsi="宋体" w:eastAsia="宋体"/>
                <w:sz w:val="21"/>
                <w:szCs w:val="21"/>
                <w:highlight w:val="none"/>
              </w:rPr>
            </w:pPr>
          </w:p>
        </w:tc>
        <w:tc>
          <w:tcPr>
            <w:tcW w:w="394" w:type="pct"/>
            <w:noWrap w:val="0"/>
            <w:vAlign w:val="top"/>
          </w:tcPr>
          <w:p w14:paraId="5CD90B58">
            <w:pPr>
              <w:rPr>
                <w:rFonts w:ascii="宋体" w:hAnsi="宋体" w:eastAsia="宋体"/>
                <w:sz w:val="21"/>
                <w:szCs w:val="21"/>
                <w:highlight w:val="none"/>
              </w:rPr>
            </w:pPr>
          </w:p>
        </w:tc>
        <w:tc>
          <w:tcPr>
            <w:tcW w:w="551" w:type="pct"/>
            <w:noWrap w:val="0"/>
            <w:vAlign w:val="top"/>
          </w:tcPr>
          <w:p w14:paraId="3F3B557A">
            <w:pPr>
              <w:rPr>
                <w:rFonts w:ascii="宋体" w:hAnsi="宋体" w:eastAsia="宋体"/>
                <w:sz w:val="21"/>
                <w:szCs w:val="21"/>
                <w:highlight w:val="none"/>
              </w:rPr>
            </w:pPr>
          </w:p>
        </w:tc>
        <w:tc>
          <w:tcPr>
            <w:tcW w:w="551" w:type="pct"/>
            <w:noWrap w:val="0"/>
            <w:vAlign w:val="top"/>
          </w:tcPr>
          <w:p w14:paraId="67646BE7">
            <w:pPr>
              <w:rPr>
                <w:rFonts w:ascii="宋体" w:hAnsi="宋体" w:eastAsia="宋体"/>
                <w:sz w:val="21"/>
                <w:szCs w:val="21"/>
                <w:highlight w:val="none"/>
              </w:rPr>
            </w:pPr>
          </w:p>
        </w:tc>
        <w:tc>
          <w:tcPr>
            <w:tcW w:w="393" w:type="pct"/>
            <w:noWrap w:val="0"/>
            <w:vAlign w:val="top"/>
          </w:tcPr>
          <w:p w14:paraId="1C560FD2">
            <w:pPr>
              <w:rPr>
                <w:rFonts w:ascii="宋体" w:hAnsi="宋体" w:eastAsia="宋体"/>
                <w:sz w:val="21"/>
                <w:szCs w:val="21"/>
                <w:highlight w:val="none"/>
              </w:rPr>
            </w:pPr>
          </w:p>
        </w:tc>
      </w:tr>
      <w:tr w14:paraId="39FBF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3" w:type="pct"/>
            <w:noWrap w:val="0"/>
            <w:vAlign w:val="top"/>
          </w:tcPr>
          <w:p w14:paraId="6A891860">
            <w:pPr>
              <w:jc w:val="center"/>
              <w:rPr>
                <w:rFonts w:ascii="宋体" w:hAnsi="宋体" w:eastAsia="宋体"/>
                <w:sz w:val="21"/>
                <w:szCs w:val="21"/>
                <w:highlight w:val="none"/>
              </w:rPr>
            </w:pPr>
            <w:r>
              <w:rPr>
                <w:rFonts w:hint="eastAsia" w:ascii="宋体" w:hAnsi="宋体" w:eastAsia="宋体"/>
                <w:sz w:val="21"/>
                <w:szCs w:val="21"/>
                <w:highlight w:val="none"/>
              </w:rPr>
              <w:t>3</w:t>
            </w:r>
          </w:p>
        </w:tc>
        <w:tc>
          <w:tcPr>
            <w:tcW w:w="776" w:type="pct"/>
            <w:noWrap w:val="0"/>
            <w:vAlign w:val="top"/>
          </w:tcPr>
          <w:p w14:paraId="7C4C77CA">
            <w:pPr>
              <w:rPr>
                <w:rFonts w:ascii="宋体" w:hAnsi="宋体" w:eastAsia="宋体"/>
                <w:sz w:val="21"/>
                <w:szCs w:val="21"/>
                <w:highlight w:val="none"/>
              </w:rPr>
            </w:pPr>
          </w:p>
        </w:tc>
        <w:tc>
          <w:tcPr>
            <w:tcW w:w="772" w:type="pct"/>
            <w:noWrap w:val="0"/>
            <w:vAlign w:val="top"/>
          </w:tcPr>
          <w:p w14:paraId="68FE6FBE">
            <w:pPr>
              <w:rPr>
                <w:rFonts w:ascii="宋体" w:hAnsi="宋体" w:eastAsia="宋体"/>
                <w:sz w:val="21"/>
                <w:szCs w:val="21"/>
                <w:highlight w:val="none"/>
              </w:rPr>
            </w:pPr>
          </w:p>
        </w:tc>
        <w:tc>
          <w:tcPr>
            <w:tcW w:w="772" w:type="pct"/>
            <w:noWrap w:val="0"/>
            <w:vAlign w:val="top"/>
          </w:tcPr>
          <w:p w14:paraId="6765D8BD">
            <w:pPr>
              <w:rPr>
                <w:rFonts w:ascii="宋体" w:hAnsi="宋体" w:eastAsia="宋体"/>
                <w:sz w:val="21"/>
                <w:szCs w:val="21"/>
                <w:highlight w:val="none"/>
              </w:rPr>
            </w:pPr>
          </w:p>
        </w:tc>
        <w:tc>
          <w:tcPr>
            <w:tcW w:w="394" w:type="pct"/>
            <w:noWrap w:val="0"/>
            <w:vAlign w:val="top"/>
          </w:tcPr>
          <w:p w14:paraId="4023511E">
            <w:pPr>
              <w:rPr>
                <w:rFonts w:ascii="宋体" w:hAnsi="宋体" w:eastAsia="宋体"/>
                <w:sz w:val="21"/>
                <w:szCs w:val="21"/>
                <w:highlight w:val="none"/>
              </w:rPr>
            </w:pPr>
          </w:p>
        </w:tc>
        <w:tc>
          <w:tcPr>
            <w:tcW w:w="394" w:type="pct"/>
            <w:noWrap w:val="0"/>
            <w:vAlign w:val="top"/>
          </w:tcPr>
          <w:p w14:paraId="13E742D2">
            <w:pPr>
              <w:rPr>
                <w:rFonts w:ascii="宋体" w:hAnsi="宋体" w:eastAsia="宋体"/>
                <w:sz w:val="21"/>
                <w:szCs w:val="21"/>
                <w:highlight w:val="none"/>
              </w:rPr>
            </w:pPr>
          </w:p>
        </w:tc>
        <w:tc>
          <w:tcPr>
            <w:tcW w:w="551" w:type="pct"/>
            <w:noWrap w:val="0"/>
            <w:vAlign w:val="top"/>
          </w:tcPr>
          <w:p w14:paraId="0101EDCE">
            <w:pPr>
              <w:rPr>
                <w:rFonts w:ascii="宋体" w:hAnsi="宋体" w:eastAsia="宋体"/>
                <w:sz w:val="21"/>
                <w:szCs w:val="21"/>
                <w:highlight w:val="none"/>
              </w:rPr>
            </w:pPr>
          </w:p>
        </w:tc>
        <w:tc>
          <w:tcPr>
            <w:tcW w:w="551" w:type="pct"/>
            <w:noWrap w:val="0"/>
            <w:vAlign w:val="top"/>
          </w:tcPr>
          <w:p w14:paraId="30C60B2E">
            <w:pPr>
              <w:rPr>
                <w:rFonts w:ascii="宋体" w:hAnsi="宋体" w:eastAsia="宋体"/>
                <w:sz w:val="21"/>
                <w:szCs w:val="21"/>
                <w:highlight w:val="none"/>
              </w:rPr>
            </w:pPr>
          </w:p>
        </w:tc>
        <w:tc>
          <w:tcPr>
            <w:tcW w:w="393" w:type="pct"/>
            <w:noWrap w:val="0"/>
            <w:vAlign w:val="top"/>
          </w:tcPr>
          <w:p w14:paraId="1559647D">
            <w:pPr>
              <w:rPr>
                <w:rFonts w:ascii="宋体" w:hAnsi="宋体" w:eastAsia="宋体"/>
                <w:sz w:val="21"/>
                <w:szCs w:val="21"/>
                <w:highlight w:val="none"/>
              </w:rPr>
            </w:pPr>
          </w:p>
        </w:tc>
      </w:tr>
      <w:tr w14:paraId="22F53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3" w:type="pct"/>
            <w:noWrap w:val="0"/>
            <w:vAlign w:val="top"/>
          </w:tcPr>
          <w:p w14:paraId="40916E0F">
            <w:pPr>
              <w:jc w:val="center"/>
              <w:rPr>
                <w:rFonts w:ascii="宋体" w:hAnsi="宋体" w:eastAsia="宋体"/>
                <w:sz w:val="21"/>
                <w:szCs w:val="21"/>
                <w:highlight w:val="none"/>
              </w:rPr>
            </w:pPr>
            <w:r>
              <w:rPr>
                <w:rFonts w:hint="eastAsia" w:ascii="宋体" w:hAnsi="宋体" w:eastAsia="宋体"/>
                <w:sz w:val="21"/>
                <w:szCs w:val="21"/>
                <w:highlight w:val="none"/>
              </w:rPr>
              <w:t>…</w:t>
            </w:r>
          </w:p>
        </w:tc>
        <w:tc>
          <w:tcPr>
            <w:tcW w:w="776" w:type="pct"/>
            <w:noWrap w:val="0"/>
            <w:vAlign w:val="top"/>
          </w:tcPr>
          <w:p w14:paraId="547EE92C">
            <w:pPr>
              <w:rPr>
                <w:rFonts w:ascii="宋体" w:hAnsi="宋体" w:eastAsia="宋体"/>
                <w:sz w:val="21"/>
                <w:szCs w:val="21"/>
                <w:highlight w:val="none"/>
              </w:rPr>
            </w:pPr>
          </w:p>
        </w:tc>
        <w:tc>
          <w:tcPr>
            <w:tcW w:w="772" w:type="pct"/>
            <w:noWrap w:val="0"/>
            <w:vAlign w:val="top"/>
          </w:tcPr>
          <w:p w14:paraId="4DA8F075">
            <w:pPr>
              <w:rPr>
                <w:rFonts w:ascii="宋体" w:hAnsi="宋体" w:eastAsia="宋体"/>
                <w:sz w:val="21"/>
                <w:szCs w:val="21"/>
                <w:highlight w:val="none"/>
              </w:rPr>
            </w:pPr>
          </w:p>
        </w:tc>
        <w:tc>
          <w:tcPr>
            <w:tcW w:w="772" w:type="pct"/>
            <w:noWrap w:val="0"/>
            <w:vAlign w:val="top"/>
          </w:tcPr>
          <w:p w14:paraId="74035621">
            <w:pPr>
              <w:rPr>
                <w:rFonts w:ascii="宋体" w:hAnsi="宋体" w:eastAsia="宋体"/>
                <w:sz w:val="21"/>
                <w:szCs w:val="21"/>
                <w:highlight w:val="none"/>
              </w:rPr>
            </w:pPr>
          </w:p>
        </w:tc>
        <w:tc>
          <w:tcPr>
            <w:tcW w:w="394" w:type="pct"/>
            <w:noWrap w:val="0"/>
            <w:vAlign w:val="top"/>
          </w:tcPr>
          <w:p w14:paraId="0D20AEDC">
            <w:pPr>
              <w:rPr>
                <w:rFonts w:ascii="宋体" w:hAnsi="宋体" w:eastAsia="宋体"/>
                <w:sz w:val="21"/>
                <w:szCs w:val="21"/>
                <w:highlight w:val="none"/>
              </w:rPr>
            </w:pPr>
          </w:p>
        </w:tc>
        <w:tc>
          <w:tcPr>
            <w:tcW w:w="394" w:type="pct"/>
            <w:noWrap w:val="0"/>
            <w:vAlign w:val="top"/>
          </w:tcPr>
          <w:p w14:paraId="34C4C232">
            <w:pPr>
              <w:rPr>
                <w:rFonts w:ascii="宋体" w:hAnsi="宋体" w:eastAsia="宋体"/>
                <w:sz w:val="21"/>
                <w:szCs w:val="21"/>
                <w:highlight w:val="none"/>
              </w:rPr>
            </w:pPr>
          </w:p>
        </w:tc>
        <w:tc>
          <w:tcPr>
            <w:tcW w:w="551" w:type="pct"/>
            <w:noWrap w:val="0"/>
            <w:vAlign w:val="top"/>
          </w:tcPr>
          <w:p w14:paraId="632EB802">
            <w:pPr>
              <w:rPr>
                <w:rFonts w:ascii="宋体" w:hAnsi="宋体" w:eastAsia="宋体"/>
                <w:sz w:val="21"/>
                <w:szCs w:val="21"/>
                <w:highlight w:val="none"/>
              </w:rPr>
            </w:pPr>
          </w:p>
        </w:tc>
        <w:tc>
          <w:tcPr>
            <w:tcW w:w="551" w:type="pct"/>
            <w:noWrap w:val="0"/>
            <w:vAlign w:val="top"/>
          </w:tcPr>
          <w:p w14:paraId="0CDCB888">
            <w:pPr>
              <w:rPr>
                <w:rFonts w:ascii="宋体" w:hAnsi="宋体" w:eastAsia="宋体"/>
                <w:sz w:val="21"/>
                <w:szCs w:val="21"/>
                <w:highlight w:val="none"/>
              </w:rPr>
            </w:pPr>
          </w:p>
        </w:tc>
        <w:tc>
          <w:tcPr>
            <w:tcW w:w="393" w:type="pct"/>
            <w:noWrap w:val="0"/>
            <w:vAlign w:val="top"/>
          </w:tcPr>
          <w:p w14:paraId="17D9E0DB">
            <w:pPr>
              <w:rPr>
                <w:rFonts w:ascii="宋体" w:hAnsi="宋体" w:eastAsia="宋体"/>
                <w:sz w:val="21"/>
                <w:szCs w:val="21"/>
                <w:highlight w:val="none"/>
              </w:rPr>
            </w:pPr>
          </w:p>
        </w:tc>
      </w:tr>
      <w:tr w14:paraId="1A61C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054" w:type="pct"/>
            <w:gridSpan w:val="7"/>
            <w:noWrap w:val="0"/>
            <w:vAlign w:val="center"/>
          </w:tcPr>
          <w:p w14:paraId="5D2CF130">
            <w:pPr>
              <w:jc w:val="center"/>
              <w:rPr>
                <w:rFonts w:ascii="宋体" w:hAnsi="宋体" w:eastAsia="宋体"/>
                <w:sz w:val="21"/>
                <w:szCs w:val="21"/>
                <w:highlight w:val="none"/>
              </w:rPr>
            </w:pPr>
            <w:r>
              <w:rPr>
                <w:rFonts w:hint="eastAsia" w:ascii="宋体" w:hAnsi="宋体" w:eastAsia="宋体"/>
                <w:b/>
                <w:sz w:val="21"/>
                <w:szCs w:val="21"/>
                <w:highlight w:val="none"/>
              </w:rPr>
              <w:t>合计</w:t>
            </w:r>
            <w:r>
              <w:rPr>
                <w:rFonts w:hint="eastAsia" w:ascii="宋体" w:hAnsi="宋体" w:eastAsia="宋体"/>
                <w:b/>
                <w:sz w:val="21"/>
                <w:szCs w:val="21"/>
                <w:highlight w:val="none"/>
                <w:lang w:val="en-US" w:eastAsia="zh-CN"/>
              </w:rPr>
              <w:t>金额</w:t>
            </w:r>
            <w:r>
              <w:rPr>
                <w:rFonts w:hint="eastAsia" w:ascii="宋体" w:hAnsi="宋体" w:eastAsia="宋体"/>
                <w:b/>
                <w:sz w:val="21"/>
                <w:szCs w:val="21"/>
                <w:highlight w:val="none"/>
              </w:rPr>
              <w:t>（元）</w:t>
            </w:r>
          </w:p>
        </w:tc>
        <w:tc>
          <w:tcPr>
            <w:tcW w:w="945" w:type="pct"/>
            <w:gridSpan w:val="2"/>
            <w:noWrap w:val="0"/>
            <w:vAlign w:val="top"/>
          </w:tcPr>
          <w:p w14:paraId="0D979CF4">
            <w:pPr>
              <w:rPr>
                <w:rFonts w:ascii="宋体" w:hAnsi="宋体" w:eastAsia="宋体"/>
                <w:sz w:val="21"/>
                <w:szCs w:val="21"/>
                <w:highlight w:val="none"/>
              </w:rPr>
            </w:pPr>
          </w:p>
        </w:tc>
      </w:tr>
    </w:tbl>
    <w:p w14:paraId="50BEDC34">
      <w:pPr>
        <w:pStyle w:val="38"/>
        <w:jc w:val="both"/>
        <w:rPr>
          <w:rFonts w:hint="eastAsia" w:ascii="宋体" w:hAnsi="宋体" w:eastAsia="宋体"/>
          <w:b/>
          <w:bCs/>
          <w:sz w:val="21"/>
          <w:szCs w:val="21"/>
          <w:highlight w:val="none"/>
          <w:lang w:val="en-US" w:eastAsia="zh-CN"/>
        </w:rPr>
      </w:pPr>
    </w:p>
    <w:p w14:paraId="73D331A4">
      <w:pPr>
        <w:pStyle w:val="38"/>
        <w:jc w:val="both"/>
        <w:rPr>
          <w:rFonts w:hint="default" w:ascii="宋体" w:hAnsi="宋体" w:eastAsia="宋体"/>
          <w:b/>
          <w:bCs/>
          <w:i/>
          <w:iCs/>
          <w:sz w:val="21"/>
          <w:szCs w:val="21"/>
          <w:highlight w:val="none"/>
          <w:lang w:val="en-US" w:eastAsia="zh-CN"/>
        </w:rPr>
      </w:pPr>
      <w:r>
        <w:rPr>
          <w:rFonts w:hint="eastAsia" w:ascii="宋体" w:hAnsi="宋体" w:eastAsia="宋体"/>
          <w:b/>
          <w:bCs/>
          <w:sz w:val="21"/>
          <w:szCs w:val="21"/>
          <w:highlight w:val="none"/>
          <w:lang w:val="en-US" w:eastAsia="zh-CN"/>
        </w:rPr>
        <w:t>2-2服务部分</w:t>
      </w:r>
      <w:r>
        <w:rPr>
          <w:rFonts w:hint="eastAsia" w:ascii="宋体" w:hAnsi="宋体" w:eastAsia="宋体"/>
          <w:b/>
          <w:bCs/>
          <w:i/>
          <w:iCs/>
          <w:color w:val="FF0000"/>
          <w:sz w:val="21"/>
          <w:szCs w:val="21"/>
          <w:highlight w:val="none"/>
        </w:rPr>
        <w:t>（仅供参考，投标人可自行制作格式）</w:t>
      </w:r>
    </w:p>
    <w:tbl>
      <w:tblPr>
        <w:tblStyle w:val="2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3513"/>
        <w:gridCol w:w="1533"/>
        <w:gridCol w:w="1918"/>
        <w:gridCol w:w="1770"/>
      </w:tblGrid>
      <w:tr w14:paraId="65DD6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463" w:type="pct"/>
            <w:noWrap w:val="0"/>
            <w:vAlign w:val="center"/>
          </w:tcPr>
          <w:p w14:paraId="1968FD98">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b/>
                <w:sz w:val="21"/>
                <w:szCs w:val="21"/>
                <w:highlight w:val="none"/>
              </w:rPr>
            </w:pPr>
            <w:r>
              <w:rPr>
                <w:rFonts w:hint="eastAsia" w:ascii="宋体" w:hAnsi="宋体" w:eastAsia="宋体"/>
                <w:b/>
                <w:sz w:val="21"/>
                <w:szCs w:val="21"/>
                <w:highlight w:val="none"/>
              </w:rPr>
              <w:t>序号</w:t>
            </w:r>
          </w:p>
        </w:tc>
        <w:tc>
          <w:tcPr>
            <w:tcW w:w="1824" w:type="pct"/>
            <w:noWrap w:val="0"/>
            <w:vAlign w:val="center"/>
          </w:tcPr>
          <w:p w14:paraId="223C70C6">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b/>
                <w:sz w:val="21"/>
                <w:szCs w:val="21"/>
                <w:highlight w:val="none"/>
              </w:rPr>
            </w:pPr>
            <w:r>
              <w:rPr>
                <w:rFonts w:hint="eastAsia" w:ascii="宋体" w:hAnsi="宋体" w:eastAsia="宋体"/>
                <w:b/>
                <w:sz w:val="21"/>
                <w:szCs w:val="21"/>
                <w:highlight w:val="none"/>
              </w:rPr>
              <w:t>服务内容</w:t>
            </w:r>
          </w:p>
        </w:tc>
        <w:tc>
          <w:tcPr>
            <w:tcW w:w="796" w:type="pct"/>
            <w:noWrap w:val="0"/>
            <w:vAlign w:val="center"/>
          </w:tcPr>
          <w:p w14:paraId="2838FC38">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b/>
                <w:sz w:val="21"/>
                <w:szCs w:val="21"/>
                <w:highlight w:val="none"/>
              </w:rPr>
            </w:pPr>
            <w:r>
              <w:rPr>
                <w:rFonts w:hint="eastAsia" w:ascii="宋体" w:hAnsi="宋体" w:eastAsia="宋体"/>
                <w:b/>
                <w:sz w:val="21"/>
                <w:szCs w:val="21"/>
                <w:highlight w:val="none"/>
              </w:rPr>
              <w:t>项</w:t>
            </w:r>
          </w:p>
        </w:tc>
        <w:tc>
          <w:tcPr>
            <w:tcW w:w="996" w:type="pct"/>
            <w:noWrap w:val="0"/>
            <w:vAlign w:val="center"/>
          </w:tcPr>
          <w:p w14:paraId="77447635">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b/>
                <w:sz w:val="21"/>
                <w:szCs w:val="21"/>
                <w:highlight w:val="none"/>
              </w:rPr>
            </w:pPr>
            <w:r>
              <w:rPr>
                <w:rFonts w:hint="eastAsia" w:ascii="宋体" w:hAnsi="宋体" w:eastAsia="宋体"/>
                <w:b/>
                <w:sz w:val="21"/>
                <w:szCs w:val="21"/>
                <w:highlight w:val="none"/>
              </w:rPr>
              <w:t>单价</w:t>
            </w:r>
          </w:p>
        </w:tc>
        <w:tc>
          <w:tcPr>
            <w:tcW w:w="919" w:type="pct"/>
            <w:noWrap w:val="0"/>
            <w:vAlign w:val="center"/>
          </w:tcPr>
          <w:p w14:paraId="13BBBA83">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b/>
                <w:sz w:val="21"/>
                <w:szCs w:val="21"/>
                <w:highlight w:val="none"/>
              </w:rPr>
            </w:pPr>
            <w:r>
              <w:rPr>
                <w:rFonts w:hint="eastAsia" w:ascii="宋体" w:hAnsi="宋体" w:eastAsia="宋体"/>
                <w:b/>
                <w:sz w:val="21"/>
                <w:szCs w:val="21"/>
                <w:highlight w:val="none"/>
              </w:rPr>
              <w:t>小计（元）</w:t>
            </w:r>
          </w:p>
        </w:tc>
      </w:tr>
      <w:tr w14:paraId="2486D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3" w:type="pct"/>
            <w:tcBorders>
              <w:bottom w:val="single" w:color="auto" w:sz="4" w:space="0"/>
            </w:tcBorders>
            <w:noWrap w:val="0"/>
            <w:vAlign w:val="center"/>
          </w:tcPr>
          <w:p w14:paraId="5A063406">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r>
              <w:rPr>
                <w:rFonts w:hint="eastAsia" w:ascii="宋体" w:hAnsi="宋体" w:eastAsia="宋体"/>
                <w:sz w:val="21"/>
                <w:szCs w:val="21"/>
                <w:highlight w:val="none"/>
              </w:rPr>
              <w:t>1</w:t>
            </w:r>
          </w:p>
        </w:tc>
        <w:tc>
          <w:tcPr>
            <w:tcW w:w="1824" w:type="pct"/>
            <w:noWrap w:val="0"/>
            <w:vAlign w:val="center"/>
          </w:tcPr>
          <w:p w14:paraId="4AE58868">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796" w:type="pct"/>
            <w:noWrap w:val="0"/>
            <w:vAlign w:val="center"/>
          </w:tcPr>
          <w:p w14:paraId="2021338F">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996" w:type="pct"/>
            <w:noWrap w:val="0"/>
            <w:vAlign w:val="center"/>
          </w:tcPr>
          <w:p w14:paraId="484E4393">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919" w:type="pct"/>
            <w:noWrap w:val="0"/>
            <w:vAlign w:val="center"/>
          </w:tcPr>
          <w:p w14:paraId="6AFD64B6">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r>
      <w:tr w14:paraId="4856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3" w:type="pct"/>
            <w:noWrap w:val="0"/>
            <w:vAlign w:val="center"/>
          </w:tcPr>
          <w:p w14:paraId="4D92DA38">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r>
              <w:rPr>
                <w:rFonts w:hint="eastAsia" w:ascii="宋体" w:hAnsi="宋体" w:eastAsia="宋体"/>
                <w:sz w:val="21"/>
                <w:szCs w:val="21"/>
                <w:highlight w:val="none"/>
              </w:rPr>
              <w:t>2</w:t>
            </w:r>
          </w:p>
        </w:tc>
        <w:tc>
          <w:tcPr>
            <w:tcW w:w="1824" w:type="pct"/>
            <w:noWrap w:val="0"/>
            <w:vAlign w:val="center"/>
          </w:tcPr>
          <w:p w14:paraId="55CF7259">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796" w:type="pct"/>
            <w:noWrap w:val="0"/>
            <w:vAlign w:val="center"/>
          </w:tcPr>
          <w:p w14:paraId="476274E5">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996" w:type="pct"/>
            <w:noWrap w:val="0"/>
            <w:vAlign w:val="center"/>
          </w:tcPr>
          <w:p w14:paraId="2756BE85">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919" w:type="pct"/>
            <w:noWrap w:val="0"/>
            <w:vAlign w:val="center"/>
          </w:tcPr>
          <w:p w14:paraId="448FE13E">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r>
      <w:tr w14:paraId="1126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3" w:type="pct"/>
            <w:noWrap w:val="0"/>
            <w:vAlign w:val="center"/>
          </w:tcPr>
          <w:p w14:paraId="2F71B7A8">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r>
              <w:rPr>
                <w:rFonts w:hint="eastAsia" w:ascii="宋体" w:hAnsi="宋体" w:eastAsia="宋体"/>
                <w:sz w:val="21"/>
                <w:szCs w:val="21"/>
                <w:highlight w:val="none"/>
              </w:rPr>
              <w:t>3</w:t>
            </w:r>
          </w:p>
        </w:tc>
        <w:tc>
          <w:tcPr>
            <w:tcW w:w="1824" w:type="pct"/>
            <w:noWrap w:val="0"/>
            <w:vAlign w:val="center"/>
          </w:tcPr>
          <w:p w14:paraId="62CFC5BF">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796" w:type="pct"/>
            <w:noWrap w:val="0"/>
            <w:vAlign w:val="center"/>
          </w:tcPr>
          <w:p w14:paraId="54C8BFD4">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996" w:type="pct"/>
            <w:noWrap w:val="0"/>
            <w:vAlign w:val="center"/>
          </w:tcPr>
          <w:p w14:paraId="1FBFC8C9">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919" w:type="pct"/>
            <w:noWrap w:val="0"/>
            <w:vAlign w:val="center"/>
          </w:tcPr>
          <w:p w14:paraId="6DA46E89">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r>
      <w:tr w14:paraId="54A7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3" w:type="pct"/>
            <w:noWrap w:val="0"/>
            <w:vAlign w:val="center"/>
          </w:tcPr>
          <w:p w14:paraId="153E1B78">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r>
              <w:rPr>
                <w:rFonts w:ascii="宋体" w:hAnsi="宋体" w:eastAsia="宋体"/>
                <w:sz w:val="21"/>
                <w:szCs w:val="21"/>
                <w:highlight w:val="none"/>
              </w:rPr>
              <w:t>…</w:t>
            </w:r>
          </w:p>
        </w:tc>
        <w:tc>
          <w:tcPr>
            <w:tcW w:w="1824" w:type="pct"/>
            <w:noWrap w:val="0"/>
            <w:vAlign w:val="center"/>
          </w:tcPr>
          <w:p w14:paraId="3DD285ED">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796" w:type="pct"/>
            <w:noWrap w:val="0"/>
            <w:vAlign w:val="center"/>
          </w:tcPr>
          <w:p w14:paraId="1F84E5D2">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996" w:type="pct"/>
            <w:noWrap w:val="0"/>
            <w:vAlign w:val="center"/>
          </w:tcPr>
          <w:p w14:paraId="041C209B">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c>
          <w:tcPr>
            <w:tcW w:w="919" w:type="pct"/>
            <w:noWrap w:val="0"/>
            <w:vAlign w:val="center"/>
          </w:tcPr>
          <w:p w14:paraId="12F476F4">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r>
      <w:tr w14:paraId="3D28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080" w:type="pct"/>
            <w:gridSpan w:val="4"/>
            <w:noWrap w:val="0"/>
            <w:vAlign w:val="center"/>
          </w:tcPr>
          <w:p w14:paraId="45CAB20A">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r>
              <w:rPr>
                <w:rFonts w:hint="eastAsia" w:ascii="宋体" w:hAnsi="宋体" w:eastAsia="宋体"/>
                <w:b/>
                <w:sz w:val="21"/>
                <w:szCs w:val="21"/>
                <w:highlight w:val="none"/>
              </w:rPr>
              <w:t>合计金额（元）</w:t>
            </w:r>
          </w:p>
        </w:tc>
        <w:tc>
          <w:tcPr>
            <w:tcW w:w="919" w:type="pct"/>
            <w:noWrap w:val="0"/>
            <w:vAlign w:val="center"/>
          </w:tcPr>
          <w:p w14:paraId="1C19658A">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sz w:val="21"/>
                <w:szCs w:val="21"/>
                <w:highlight w:val="none"/>
              </w:rPr>
            </w:pPr>
          </w:p>
        </w:tc>
      </w:tr>
    </w:tbl>
    <w:p w14:paraId="69DB3693">
      <w:pPr>
        <w:pStyle w:val="38"/>
        <w:jc w:val="both"/>
        <w:rPr>
          <w:rFonts w:hint="eastAsia" w:ascii="宋体" w:hAnsi="宋体" w:eastAsia="宋体"/>
          <w:b/>
          <w:bCs/>
          <w:sz w:val="21"/>
          <w:szCs w:val="21"/>
          <w:highlight w:val="none"/>
          <w:lang w:val="en-US" w:eastAsia="zh-CN"/>
        </w:rPr>
      </w:pPr>
    </w:p>
    <w:p w14:paraId="596DE5F7">
      <w:pPr>
        <w:pStyle w:val="38"/>
        <w:jc w:val="both"/>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2-3 符合本国产品标准的产品成本之和占比</w:t>
      </w:r>
    </w:p>
    <w:tbl>
      <w:tblPr>
        <w:tblStyle w:val="24"/>
        <w:tblW w:w="96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3"/>
        <w:gridCol w:w="1755"/>
      </w:tblGrid>
      <w:tr w14:paraId="4CDAD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7853" w:type="dxa"/>
            <w:noWrap w:val="0"/>
            <w:vAlign w:val="center"/>
          </w:tcPr>
          <w:p w14:paraId="5ACEEF8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b/>
                <w:bCs/>
                <w:sz w:val="21"/>
                <w:szCs w:val="21"/>
                <w:highlight w:val="none"/>
                <w:vertAlign w:val="baseline"/>
                <w:lang w:eastAsia="zh-CN"/>
              </w:rPr>
            </w:pPr>
            <w:r>
              <w:rPr>
                <w:rFonts w:hint="eastAsia" w:ascii="宋体" w:hAnsi="宋体" w:eastAsia="宋体" w:cs="宋体"/>
                <w:color w:val="auto"/>
                <w:sz w:val="21"/>
                <w:szCs w:val="21"/>
                <w:highlight w:val="none"/>
              </w:rPr>
              <w:t>本公司（单位）提供的符合本国产品标准的产品成本之和占提供的全部产品成本之和的比例</w:t>
            </w:r>
          </w:p>
        </w:tc>
        <w:tc>
          <w:tcPr>
            <w:tcW w:w="1755" w:type="dxa"/>
            <w:noWrap w:val="0"/>
            <w:vAlign w:val="top"/>
          </w:tcPr>
          <w:p w14:paraId="5F263829">
            <w:pPr>
              <w:spacing w:line="360" w:lineRule="auto"/>
              <w:rPr>
                <w:rFonts w:hint="eastAsia" w:ascii="宋体" w:hAnsi="宋体" w:eastAsia="宋体" w:cs="宋体"/>
                <w:color w:val="auto"/>
                <w:sz w:val="21"/>
                <w:szCs w:val="21"/>
                <w:highlight w:val="none"/>
                <w:u w:val="single"/>
                <w:lang w:val="en-US" w:eastAsia="zh-CN"/>
              </w:rPr>
            </w:pPr>
          </w:p>
          <w:p w14:paraId="6C7F5C62">
            <w:pPr>
              <w:spacing w:line="360" w:lineRule="auto"/>
              <w:rPr>
                <w:rFonts w:hint="eastAsia" w:ascii="宋体" w:hAnsi="宋体" w:eastAsia="宋体"/>
                <w:b/>
                <w:bCs/>
                <w:sz w:val="21"/>
                <w:szCs w:val="21"/>
                <w:highlight w:val="none"/>
                <w:vertAlign w:val="baseline"/>
                <w:lang w:eastAsia="zh-CN"/>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Times New Roman"/>
                <w:b w:val="0"/>
                <w:bCs/>
                <w:sz w:val="21"/>
                <w:szCs w:val="21"/>
                <w:highlight w:val="none"/>
                <w:lang w:val="en-US" w:eastAsia="zh-CN"/>
              </w:rPr>
              <w:t>%</w:t>
            </w:r>
          </w:p>
        </w:tc>
      </w:tr>
      <w:tr w14:paraId="4DBF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608" w:type="dxa"/>
            <w:gridSpan w:val="2"/>
            <w:noWrap w:val="0"/>
            <w:vAlign w:val="top"/>
          </w:tcPr>
          <w:p w14:paraId="6724D79B">
            <w:pPr>
              <w:tabs>
                <w:tab w:val="left" w:pos="4620"/>
              </w:tabs>
              <w:spacing w:line="360" w:lineRule="auto"/>
              <w:jc w:val="left"/>
              <w:rPr>
                <w:rFonts w:hint="eastAsia" w:ascii="宋体" w:hAnsi="宋体" w:eastAsia="宋体" w:cs="Times New Roman"/>
                <w:b/>
                <w:bCs w:val="0"/>
                <w:sz w:val="21"/>
                <w:szCs w:val="21"/>
                <w:highlight w:val="none"/>
                <w:lang w:val="en-US" w:eastAsia="zh-CN"/>
              </w:rPr>
            </w:pPr>
            <w:r>
              <w:rPr>
                <w:rFonts w:hint="eastAsia" w:ascii="宋体" w:hAnsi="宋体" w:eastAsia="宋体" w:cs="Times New Roman"/>
                <w:b/>
                <w:bCs w:val="0"/>
                <w:sz w:val="21"/>
                <w:szCs w:val="21"/>
                <w:highlight w:val="none"/>
                <w:lang w:val="en-US" w:eastAsia="zh-CN"/>
              </w:rPr>
              <w:t>提醒：</w:t>
            </w:r>
          </w:p>
          <w:p w14:paraId="05B0C2DC">
            <w:pPr>
              <w:tabs>
                <w:tab w:val="left" w:pos="4620"/>
              </w:tabs>
              <w:spacing w:line="360" w:lineRule="auto"/>
              <w:jc w:val="left"/>
              <w:rPr>
                <w:rFonts w:hint="eastAsia" w:ascii="宋体" w:hAnsi="宋体" w:eastAsia="宋体" w:cs="Times New Roman"/>
                <w:b w:val="0"/>
                <w:bCs/>
                <w:sz w:val="21"/>
                <w:szCs w:val="21"/>
                <w:highlight w:val="none"/>
                <w:lang w:val="en-US" w:eastAsia="zh-CN"/>
              </w:rPr>
            </w:pPr>
            <w:r>
              <w:rPr>
                <w:rFonts w:hint="eastAsia" w:ascii="宋体" w:hAnsi="宋体" w:eastAsia="宋体" w:cs="Times New Roman"/>
                <w:b w:val="0"/>
                <w:bCs/>
                <w:sz w:val="21"/>
                <w:szCs w:val="21"/>
                <w:highlight w:val="none"/>
                <w:lang w:val="en-US" w:eastAsia="zh-CN"/>
              </w:rPr>
              <w:t>1.投标人为该采购项目或者采购包提供的符合本国产品标准的产品成本之和占该投标人提供的全部产品成本之和的比例达到80%以上时，对该投标人提供的全部产品给予价格评审优惠。</w:t>
            </w:r>
          </w:p>
          <w:p w14:paraId="362AD53F">
            <w:pPr>
              <w:spacing w:line="360" w:lineRule="auto"/>
              <w:rPr>
                <w:rFonts w:hint="eastAsia" w:ascii="宋体" w:hAnsi="宋体" w:eastAsia="宋体" w:cs="Times New Roman"/>
                <w:b w:val="0"/>
                <w:bCs/>
                <w:sz w:val="21"/>
                <w:szCs w:val="21"/>
                <w:highlight w:val="none"/>
                <w:lang w:val="en-US" w:eastAsia="zh-CN"/>
              </w:rPr>
            </w:pPr>
            <w:r>
              <w:rPr>
                <w:rFonts w:hint="eastAsia" w:ascii="宋体" w:hAnsi="宋体" w:eastAsia="宋体" w:cs="Times New Roman"/>
                <w:b w:val="0"/>
                <w:bCs/>
                <w:sz w:val="21"/>
                <w:szCs w:val="21"/>
                <w:highlight w:val="none"/>
                <w:lang w:val="en-US" w:eastAsia="zh-CN"/>
              </w:rPr>
              <w:t>2.投标人应当根据“投标分项报价表-货物部分”的内容对符合本国产品标准的产品成本进行测算（比例未达到80%或未进行比例测算的，对该投标人提供的全部产品不予价格评审优惠），如有虚假响应，投标人承担全部责任。</w:t>
            </w:r>
          </w:p>
          <w:p w14:paraId="77B14334">
            <w:pPr>
              <w:spacing w:line="360" w:lineRule="auto"/>
              <w:rPr>
                <w:rFonts w:hint="default"/>
                <w:highlight w:val="none"/>
                <w:lang w:val="en-US" w:eastAsia="zh-CN"/>
              </w:rPr>
            </w:pPr>
            <w:r>
              <w:rPr>
                <w:rFonts w:hint="eastAsia" w:ascii="宋体" w:hAnsi="宋体" w:eastAsia="宋体" w:cs="Times New Roman"/>
                <w:b w:val="0"/>
                <w:bCs/>
                <w:sz w:val="21"/>
                <w:szCs w:val="21"/>
                <w:highlight w:val="none"/>
                <w:lang w:val="en-US" w:eastAsia="zh-CN"/>
              </w:rPr>
              <w:t>3.</w:t>
            </w:r>
            <w:r>
              <w:rPr>
                <w:rFonts w:hint="eastAsia" w:ascii="宋体" w:hAnsi="宋体" w:eastAsia="宋体" w:cs="宋体"/>
                <w:b w:val="0"/>
                <w:bCs/>
                <w:kern w:val="2"/>
                <w:sz w:val="21"/>
                <w:szCs w:val="21"/>
                <w:highlight w:val="none"/>
                <w:lang w:val="en-US" w:eastAsia="zh-CN" w:bidi="ar"/>
              </w:rPr>
              <w:t>上表中全部产品成本之和是指表2-1和表2-2包含的全部货物、服务产品成本之和。</w:t>
            </w:r>
          </w:p>
        </w:tc>
      </w:tr>
    </w:tbl>
    <w:p w14:paraId="7246198F">
      <w:pPr>
        <w:pStyle w:val="21"/>
        <w:rPr>
          <w:rFonts w:hint="eastAsia"/>
          <w:i/>
          <w:color w:val="FF0000"/>
          <w:szCs w:val="21"/>
          <w:highlight w:val="none"/>
        </w:rPr>
      </w:pPr>
    </w:p>
    <w:p w14:paraId="51046ABC">
      <w:pPr>
        <w:pStyle w:val="21"/>
        <w:rPr>
          <w:rFonts w:hint="eastAsia"/>
          <w:i/>
          <w:color w:val="FF0000"/>
          <w:szCs w:val="21"/>
          <w:highlight w:val="none"/>
        </w:rPr>
      </w:pPr>
    </w:p>
    <w:p w14:paraId="439DD821">
      <w:pPr>
        <w:pStyle w:val="21"/>
        <w:rPr>
          <w:rFonts w:hint="eastAsia"/>
          <w:i/>
          <w:color w:val="FF0000"/>
          <w:szCs w:val="21"/>
          <w:highlight w:val="none"/>
        </w:rPr>
      </w:pPr>
    </w:p>
    <w:p w14:paraId="429AEB54">
      <w:pPr>
        <w:spacing w:line="360" w:lineRule="auto"/>
        <w:ind w:firstLine="5170" w:firstLineChars="2462"/>
        <w:rPr>
          <w:rFonts w:ascii="宋体" w:hAnsi="宋体" w:eastAsia="宋体"/>
          <w:color w:val="auto"/>
          <w:sz w:val="21"/>
          <w:szCs w:val="21"/>
          <w:highlight w:val="none"/>
          <w:u w:val="single"/>
        </w:rPr>
      </w:pPr>
      <w:r>
        <w:rPr>
          <w:rFonts w:hint="eastAsia" w:ascii="宋体" w:hAnsi="宋体" w:eastAsia="宋体"/>
          <w:color w:val="auto"/>
          <w:sz w:val="21"/>
          <w:szCs w:val="21"/>
          <w:highlight w:val="none"/>
        </w:rPr>
        <w:t>投标人</w:t>
      </w:r>
      <w:r>
        <w:rPr>
          <w:rFonts w:ascii="宋体" w:hAnsi="宋体" w:eastAsia="宋体"/>
          <w:color w:val="auto"/>
          <w:sz w:val="21"/>
          <w:szCs w:val="21"/>
          <w:highlight w:val="none"/>
        </w:rPr>
        <w:t>电子签章</w:t>
      </w:r>
      <w:r>
        <w:rPr>
          <w:rFonts w:hint="eastAsia" w:ascii="宋体" w:hAnsi="宋体" w:eastAsia="宋体"/>
          <w:color w:val="auto"/>
          <w:sz w:val="21"/>
          <w:szCs w:val="21"/>
          <w:highlight w:val="none"/>
        </w:rPr>
        <w:t>：</w:t>
      </w:r>
      <w:r>
        <w:rPr>
          <w:rFonts w:ascii="宋体" w:hAnsi="宋体" w:eastAsia="宋体"/>
          <w:color w:val="auto"/>
          <w:sz w:val="21"/>
          <w:szCs w:val="21"/>
          <w:highlight w:val="none"/>
          <w:u w:val="single"/>
        </w:rPr>
        <w:t xml:space="preserve">             </w:t>
      </w:r>
    </w:p>
    <w:p w14:paraId="731B4156">
      <w:pPr>
        <w:tabs>
          <w:tab w:val="left" w:pos="4620"/>
        </w:tabs>
        <w:spacing w:line="360" w:lineRule="auto"/>
        <w:ind w:firstLine="5187" w:firstLineChars="2470"/>
        <w:rPr>
          <w:rFonts w:ascii="宋体" w:hAnsi="宋体" w:eastAsia="宋体"/>
          <w:color w:val="auto"/>
          <w:sz w:val="21"/>
          <w:szCs w:val="21"/>
          <w:highlight w:val="none"/>
          <w:u w:val="single"/>
        </w:rPr>
      </w:pPr>
      <w:r>
        <w:rPr>
          <w:rFonts w:hint="eastAsia" w:ascii="宋体" w:hAnsi="宋体" w:eastAsia="宋体"/>
          <w:color w:val="auto"/>
          <w:sz w:val="21"/>
          <w:szCs w:val="21"/>
          <w:highlight w:val="none"/>
        </w:rPr>
        <w:t>日</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期：</w:t>
      </w:r>
      <w:r>
        <w:rPr>
          <w:rFonts w:ascii="宋体" w:hAnsi="宋体" w:eastAsia="宋体"/>
          <w:color w:val="auto"/>
          <w:sz w:val="21"/>
          <w:szCs w:val="21"/>
          <w:highlight w:val="none"/>
          <w:u w:val="single"/>
        </w:rPr>
        <w:t xml:space="preserve">             </w:t>
      </w:r>
    </w:p>
    <w:p w14:paraId="4115A55A">
      <w:pPr>
        <w:spacing w:line="360" w:lineRule="auto"/>
        <w:rPr>
          <w:rFonts w:hint="eastAsia" w:ascii="宋体" w:hAnsi="宋体" w:eastAsia="宋体"/>
          <w:b/>
          <w:bCs/>
          <w:sz w:val="21"/>
          <w:szCs w:val="21"/>
          <w:highlight w:val="none"/>
          <w:lang w:eastAsia="zh-CN"/>
        </w:rPr>
      </w:pPr>
      <w:r>
        <w:rPr>
          <w:rFonts w:hint="eastAsia" w:ascii="宋体" w:hAnsi="宋体" w:eastAsia="宋体"/>
          <w:b/>
          <w:bCs/>
          <w:sz w:val="21"/>
          <w:szCs w:val="21"/>
          <w:highlight w:val="none"/>
          <w:lang w:eastAsia="zh-CN"/>
        </w:rPr>
        <w:t>注：</w:t>
      </w:r>
    </w:p>
    <w:p w14:paraId="50CFB099">
      <w:pPr>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1.表2-1</w:t>
      </w:r>
      <w:r>
        <w:rPr>
          <w:rFonts w:hint="eastAsia" w:ascii="宋体" w:hAnsi="宋体" w:eastAsia="宋体"/>
          <w:sz w:val="21"/>
          <w:szCs w:val="21"/>
          <w:highlight w:val="none"/>
        </w:rPr>
        <w:t>中须明确列出所投产品的货物名称、品牌、型号规格、原产地及生产厂商，否则可能导致</w:t>
      </w:r>
      <w:r>
        <w:rPr>
          <w:rFonts w:hint="eastAsia" w:ascii="宋体" w:hAnsi="宋体" w:eastAsia="宋体"/>
          <w:b/>
          <w:bCs/>
          <w:sz w:val="21"/>
          <w:szCs w:val="21"/>
          <w:highlight w:val="none"/>
        </w:rPr>
        <w:t>投标无效</w:t>
      </w:r>
      <w:r>
        <w:rPr>
          <w:rFonts w:hint="eastAsia" w:ascii="宋体" w:hAnsi="宋体" w:eastAsia="宋体"/>
          <w:b/>
          <w:bCs/>
          <w:sz w:val="21"/>
          <w:szCs w:val="21"/>
          <w:highlight w:val="none"/>
          <w:lang w:eastAsia="zh-CN"/>
        </w:rPr>
        <w:t>。</w:t>
      </w:r>
    </w:p>
    <w:p w14:paraId="5DE01A76">
      <w:pPr>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2.上述报价为投标人完成本项目内容的全部费用（总报价为表2-1和表2-2合计金额之和），</w:t>
      </w:r>
      <w:r>
        <w:rPr>
          <w:rFonts w:hint="eastAsia" w:ascii="宋体" w:hAnsi="宋体" w:eastAsia="宋体"/>
          <w:sz w:val="21"/>
          <w:szCs w:val="21"/>
          <w:highlight w:val="none"/>
        </w:rPr>
        <w:t>如有漏项或缺项，</w:t>
      </w:r>
      <w:r>
        <w:rPr>
          <w:rFonts w:hint="eastAsia" w:ascii="宋体" w:hAnsi="宋体" w:eastAsia="宋体"/>
          <w:sz w:val="21"/>
          <w:szCs w:val="21"/>
          <w:highlight w:val="none"/>
          <w:lang w:val="en-US" w:eastAsia="zh-CN"/>
        </w:rPr>
        <w:t>自行</w:t>
      </w:r>
      <w:r>
        <w:rPr>
          <w:rFonts w:hint="eastAsia" w:ascii="宋体" w:hAnsi="宋体" w:eastAsia="宋体"/>
          <w:sz w:val="21"/>
          <w:szCs w:val="21"/>
          <w:highlight w:val="none"/>
        </w:rPr>
        <w:t>承担全部责任。</w:t>
      </w:r>
    </w:p>
    <w:p w14:paraId="4B94C4CE">
      <w:pPr>
        <w:pStyle w:val="21"/>
        <w:rPr>
          <w:rFonts w:hint="eastAsia"/>
          <w:lang w:val="en-US" w:eastAsia="zh-CN"/>
        </w:rPr>
        <w:sectPr>
          <w:footerReference r:id="rId11" w:type="default"/>
          <w:pgSz w:w="11907" w:h="16840"/>
          <w:pgMar w:top="1440" w:right="1247" w:bottom="1440" w:left="1247" w:header="851" w:footer="992" w:gutter="0"/>
          <w:pgNumType w:fmt="decimal"/>
          <w:cols w:space="720" w:num="1"/>
          <w:docGrid w:linePitch="303" w:charSpace="0"/>
        </w:sectPr>
      </w:pPr>
    </w:p>
    <w:p w14:paraId="379C3B81">
      <w:pPr>
        <w:adjustRightInd w:val="0"/>
        <w:snapToGrid w:val="0"/>
        <w:spacing w:before="96" w:beforeLines="40" w:after="96" w:afterLines="40" w:line="400" w:lineRule="exact"/>
        <w:jc w:val="left"/>
        <w:rPr>
          <w:rFonts w:hint="eastAsia" w:ascii="宋体" w:hAnsi="宋体" w:eastAsia="宋体" w:cs="Times New Roman"/>
          <w:b/>
          <w:szCs w:val="21"/>
        </w:rPr>
      </w:pPr>
    </w:p>
    <w:p w14:paraId="19ACC3AB">
      <w:pPr>
        <w:pStyle w:val="3"/>
        <w:spacing w:before="0" w:after="0" w:line="240" w:lineRule="auto"/>
        <w:jc w:val="center"/>
        <w:rPr>
          <w:rFonts w:ascii="Calibri" w:hAnsi="Calibri"/>
          <w:bCs w:val="0"/>
          <w:kern w:val="2"/>
        </w:rPr>
      </w:pPr>
      <w:bookmarkStart w:id="1218" w:name="_Toc1916827"/>
      <w:bookmarkStart w:id="1219" w:name="_Toc300210382"/>
      <w:bookmarkStart w:id="1220" w:name="_Toc25916"/>
      <w:bookmarkStart w:id="1221" w:name="_Toc3215880"/>
      <w:bookmarkStart w:id="1222" w:name="_Toc6020"/>
      <w:bookmarkStart w:id="1223" w:name="_Toc3295930"/>
      <w:bookmarkStart w:id="1224" w:name="_Toc1545"/>
      <w:bookmarkStart w:id="1225" w:name="_Toc457768004"/>
      <w:r>
        <w:rPr>
          <w:rFonts w:hint="eastAsia"/>
          <w:b w:val="0"/>
        </w:rPr>
        <w:t>三．</w:t>
      </w:r>
      <w:r>
        <w:rPr>
          <w:rFonts w:hint="eastAsia" w:ascii="Calibri" w:hAnsi="Calibri"/>
          <w:bCs w:val="0"/>
          <w:kern w:val="2"/>
        </w:rPr>
        <w:t>投标函</w:t>
      </w:r>
    </w:p>
    <w:p w14:paraId="08B35A61">
      <w:pPr>
        <w:spacing w:before="96" w:beforeLines="40" w:after="96" w:afterLines="40" w:line="400" w:lineRule="exact"/>
        <w:ind w:firstLine="420" w:firstLineChars="200"/>
        <w:jc w:val="left"/>
        <w:rPr>
          <w:rFonts w:hint="eastAsia" w:ascii="宋体" w:hAnsi="宋体"/>
          <w:szCs w:val="21"/>
          <w:u w:val="single"/>
        </w:rPr>
      </w:pPr>
      <w:r>
        <w:rPr>
          <w:rFonts w:hint="eastAsia" w:ascii="宋体" w:hAnsi="宋体"/>
          <w:szCs w:val="21"/>
          <w:u w:val="single"/>
        </w:rPr>
        <w:t>致</w:t>
      </w:r>
      <w:r>
        <w:rPr>
          <w:rFonts w:hint="eastAsia" w:ascii="宋体" w:hAnsi="宋体"/>
          <w:szCs w:val="21"/>
        </w:rPr>
        <w:t xml:space="preserve">：  </w:t>
      </w:r>
      <w:r>
        <w:rPr>
          <w:rFonts w:hint="eastAsia" w:ascii="宋体" w:hAnsi="宋体"/>
          <w:szCs w:val="21"/>
          <w:u w:val="single"/>
        </w:rPr>
        <w:t>（代理机构名称）</w:t>
      </w:r>
    </w:p>
    <w:p w14:paraId="12ED6FBF">
      <w:pPr>
        <w:spacing w:before="96" w:beforeLines="40" w:after="96" w:afterLines="40" w:line="400" w:lineRule="exact"/>
        <w:ind w:firstLine="420" w:firstLineChars="200"/>
        <w:jc w:val="left"/>
        <w:rPr>
          <w:rFonts w:hint="eastAsia" w:ascii="宋体" w:hAnsi="宋体"/>
          <w:szCs w:val="21"/>
          <w:u w:val="single"/>
        </w:rPr>
      </w:pPr>
      <w:r>
        <w:rPr>
          <w:rFonts w:hint="eastAsia" w:ascii="宋体" w:hAnsi="宋体"/>
          <w:szCs w:val="21"/>
          <w:u w:val="single"/>
        </w:rPr>
        <w:t>（采购单位名称）</w:t>
      </w:r>
    </w:p>
    <w:p w14:paraId="42B47F4C">
      <w:pPr>
        <w:pStyle w:val="13"/>
        <w:spacing w:before="96" w:beforeLines="40" w:after="96" w:afterLines="40" w:line="400" w:lineRule="exact"/>
        <w:ind w:firstLine="420" w:firstLineChars="200"/>
        <w:jc w:val="left"/>
        <w:rPr>
          <w:rFonts w:hint="eastAsia" w:ascii="宋体" w:hAnsi="宋体"/>
          <w:b w:val="0"/>
          <w:dstrike/>
          <w:sz w:val="21"/>
          <w:szCs w:val="21"/>
        </w:rPr>
      </w:pPr>
      <w:r>
        <w:rPr>
          <w:rFonts w:hint="eastAsia" w:ascii="宋体" w:hAnsi="宋体"/>
          <w:b w:val="0"/>
          <w:sz w:val="21"/>
          <w:szCs w:val="21"/>
        </w:rPr>
        <w:t>根据贵方“</w:t>
      </w:r>
      <w:r>
        <w:rPr>
          <w:rFonts w:ascii="宋体" w:hAnsi="宋体"/>
          <w:b w:val="0"/>
          <w:bCs/>
          <w:sz w:val="21"/>
          <w:szCs w:val="21"/>
          <w:u w:val="single"/>
        </w:rPr>
        <w:t>某项目</w:t>
      </w:r>
      <w:r>
        <w:rPr>
          <w:rFonts w:hint="eastAsia" w:ascii="宋体" w:hAnsi="宋体"/>
          <w:b w:val="0"/>
          <w:sz w:val="21"/>
          <w:szCs w:val="21"/>
        </w:rPr>
        <w:t>”的</w:t>
      </w:r>
      <w:r>
        <w:rPr>
          <w:rFonts w:hint="eastAsia" w:ascii="宋体" w:hAnsi="宋体"/>
          <w:b w:val="0"/>
          <w:kern w:val="0"/>
          <w:sz w:val="21"/>
          <w:szCs w:val="21"/>
          <w:u w:val="single"/>
          <w:lang w:val="zh-CN"/>
        </w:rPr>
        <w:t>26AT47094606254</w:t>
      </w:r>
      <w:r>
        <w:rPr>
          <w:rFonts w:hint="eastAsia" w:ascii="宋体" w:hAnsi="宋体"/>
          <w:b w:val="0"/>
          <w:sz w:val="21"/>
          <w:szCs w:val="21"/>
        </w:rPr>
        <w:t>招标邀请书或招标公告，正式授权</w:t>
      </w:r>
      <w:r>
        <w:rPr>
          <w:rFonts w:hint="eastAsia" w:ascii="宋体" w:hAnsi="宋体"/>
          <w:b w:val="0"/>
          <w:sz w:val="21"/>
          <w:szCs w:val="21"/>
          <w:u w:val="single"/>
        </w:rPr>
        <w:t xml:space="preserve">       </w:t>
      </w:r>
      <w:r>
        <w:rPr>
          <w:rFonts w:hint="eastAsia" w:ascii="宋体" w:hAnsi="宋体"/>
          <w:b w:val="0"/>
          <w:sz w:val="21"/>
          <w:szCs w:val="21"/>
        </w:rPr>
        <w:t>（姓名）代表投标供应商</w:t>
      </w:r>
      <w:r>
        <w:rPr>
          <w:rFonts w:hint="eastAsia" w:ascii="宋体" w:hAnsi="宋体"/>
          <w:b w:val="0"/>
          <w:sz w:val="21"/>
          <w:szCs w:val="21"/>
          <w:u w:val="single"/>
        </w:rPr>
        <w:t xml:space="preserve">            </w:t>
      </w:r>
      <w:r>
        <w:rPr>
          <w:rFonts w:hint="eastAsia" w:ascii="宋体" w:hAnsi="宋体"/>
          <w:b w:val="0"/>
          <w:sz w:val="21"/>
          <w:szCs w:val="21"/>
        </w:rPr>
        <w:t>（投标供应商全称）。据此函，我方兹宣布同意如下：</w:t>
      </w:r>
    </w:p>
    <w:p w14:paraId="24C52FB9">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1、按招标文件规定提供交付的货物（包括安装调试等工作）的最终投标报价见《开标一览表》，如我单位中标，我单位承诺愿意按招标文件规定缴纳履约保证金。</w:t>
      </w:r>
    </w:p>
    <w:p w14:paraId="274CAC69">
      <w:pPr>
        <w:spacing w:before="96" w:beforeLines="40" w:after="96" w:afterLines="40" w:line="400" w:lineRule="exact"/>
        <w:ind w:firstLine="420" w:firstLineChars="200"/>
        <w:jc w:val="left"/>
        <w:rPr>
          <w:rFonts w:hint="eastAsia" w:ascii="宋体" w:hAnsi="宋体"/>
          <w:szCs w:val="21"/>
        </w:rPr>
      </w:pPr>
      <w:r>
        <w:rPr>
          <w:rFonts w:hint="eastAsia" w:ascii="宋体" w:hAnsi="宋体"/>
          <w:kern w:val="0"/>
          <w:szCs w:val="21"/>
        </w:rPr>
        <w:t>投标有效期承诺：响应招标文件的要求。</w:t>
      </w:r>
    </w:p>
    <w:p w14:paraId="37D31DD5">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2、我方根据招标文件的规定，严格履行合同的责任和义务</w:t>
      </w:r>
      <w:r>
        <w:rPr>
          <w:rFonts w:ascii="宋体" w:hAnsi="宋体"/>
          <w:szCs w:val="21"/>
        </w:rPr>
        <w:t>,</w:t>
      </w:r>
      <w:r>
        <w:rPr>
          <w:rFonts w:hint="eastAsia" w:ascii="宋体" w:hAnsi="宋体"/>
          <w:szCs w:val="21"/>
        </w:rPr>
        <w:t>并保证于买方要求的日期内完成供货、安装及服务，并通过买方验收。</w:t>
      </w:r>
    </w:p>
    <w:p w14:paraId="028D94D1">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3、我方承诺报价低于</w:t>
      </w:r>
      <w:r>
        <w:rPr>
          <w:rFonts w:ascii="宋体" w:hAnsi="宋体"/>
          <w:szCs w:val="21"/>
        </w:rPr>
        <w:t>同类货物和服务的市场平均价格。</w:t>
      </w:r>
    </w:p>
    <w:p w14:paraId="14B0E553">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4、我方已详细审核全部招标文件，包括招标文件的答疑、澄清、变更或补充（如有），参考资料及有关附件，我方正式认可并遵守本次招标文件，并对招标文件各项条款（包括开标时间）、规定及要求均无异议。我方知道必须放弃提出含糊不清或误解的问题的权利。</w:t>
      </w:r>
    </w:p>
    <w:p w14:paraId="04DE0686">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5、我方同意从招标文件规定的开标日期起遵循本投标文件，并在招标文件规定的投标有效期之前均具有约束力。</w:t>
      </w:r>
    </w:p>
    <w:p w14:paraId="58105E5E">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6、我方承诺如投标保证金未在招标文件规定时间前到达贵方指定的账户，我方投标无效，由此产生的一切后果由我方承担；如果在开标后规定的投标有效期内撤回投标，我方的投标保证金可被贵方没收。</w:t>
      </w:r>
    </w:p>
    <w:p w14:paraId="2E0E989E">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7、我方声明投标文件所提供的一切资料均真实无误、及时、有效。企业运营正常（</w:t>
      </w:r>
      <w:r>
        <w:rPr>
          <w:rFonts w:ascii="宋体" w:hAnsi="宋体"/>
          <w:szCs w:val="21"/>
        </w:rPr>
        <w:t>注册登记信息、年报信息</w:t>
      </w:r>
      <w:r>
        <w:rPr>
          <w:rFonts w:hint="eastAsia" w:ascii="宋体" w:hAnsi="宋体"/>
          <w:szCs w:val="21"/>
        </w:rPr>
        <w:t>可查）。由于我方提供资料不实而造成的责任和后果由我方承担。我方同意按照贵方提出的要求，提供与投标有关的任何证据、数据或资料。</w:t>
      </w:r>
    </w:p>
    <w:p w14:paraId="5A480029">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8、我方完全理解贵方不一定接受最低报价的投标。</w:t>
      </w:r>
    </w:p>
    <w:p w14:paraId="6B366884">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9、我方同意招标文件规定的付款方式。</w:t>
      </w:r>
    </w:p>
    <w:p w14:paraId="79C279E3">
      <w:pPr>
        <w:spacing w:before="96" w:beforeLines="40" w:after="96" w:afterLines="40" w:line="400" w:lineRule="exact"/>
        <w:ind w:firstLine="420" w:firstLineChars="200"/>
        <w:jc w:val="left"/>
        <w:rPr>
          <w:rFonts w:hint="eastAsia" w:ascii="宋体" w:hAnsi="宋体"/>
          <w:szCs w:val="21"/>
          <w:u w:val="single"/>
        </w:rPr>
      </w:pPr>
      <w:r>
        <w:rPr>
          <w:rFonts w:hint="eastAsia" w:ascii="宋体" w:hAnsi="宋体"/>
          <w:szCs w:val="21"/>
        </w:rPr>
        <w:t>10、与本投标有关的通讯地址：</w:t>
      </w:r>
      <w:r>
        <w:rPr>
          <w:rFonts w:hint="eastAsia" w:ascii="宋体" w:hAnsi="宋体"/>
          <w:szCs w:val="21"/>
          <w:u w:val="single"/>
        </w:rPr>
        <w:t xml:space="preserve">                                  </w:t>
      </w:r>
    </w:p>
    <w:p w14:paraId="2464A4EB">
      <w:pPr>
        <w:spacing w:before="96" w:beforeLines="40" w:after="96" w:afterLines="40" w:line="400" w:lineRule="exact"/>
        <w:ind w:firstLine="420" w:firstLineChars="200"/>
        <w:jc w:val="left"/>
        <w:rPr>
          <w:rFonts w:hint="eastAsia" w:ascii="宋体" w:hAnsi="宋体"/>
          <w:szCs w:val="21"/>
          <w:u w:val="single"/>
        </w:rPr>
      </w:pPr>
      <w:r>
        <w:rPr>
          <w:rFonts w:hint="eastAsia" w:ascii="宋体" w:hAnsi="宋体"/>
          <w:szCs w:val="21"/>
        </w:rPr>
        <w:t>电    话：</w:t>
      </w:r>
      <w:r>
        <w:rPr>
          <w:rFonts w:hint="eastAsia" w:ascii="宋体" w:hAnsi="宋体"/>
          <w:szCs w:val="21"/>
          <w:u w:val="single"/>
        </w:rPr>
        <w:t xml:space="preserve">                      </w:t>
      </w:r>
      <w:r>
        <w:rPr>
          <w:rFonts w:hint="eastAsia" w:ascii="宋体" w:hAnsi="宋体"/>
          <w:szCs w:val="21"/>
        </w:rPr>
        <w:t>传    真：</w:t>
      </w:r>
      <w:r>
        <w:rPr>
          <w:rFonts w:hint="eastAsia" w:ascii="宋体" w:hAnsi="宋体"/>
          <w:szCs w:val="21"/>
          <w:u w:val="single"/>
        </w:rPr>
        <w:t xml:space="preserve">                 </w:t>
      </w:r>
    </w:p>
    <w:p w14:paraId="4F056378">
      <w:pPr>
        <w:spacing w:line="240" w:lineRule="auto"/>
        <w:ind w:firstLine="420" w:firstLineChars="200"/>
        <w:outlineLvl w:val="9"/>
        <w:rPr>
          <w:rFonts w:hint="eastAsia" w:ascii="Cambria" w:hAnsi="宋体"/>
          <w:b/>
          <w:bCs/>
          <w:kern w:val="0"/>
          <w:sz w:val="28"/>
          <w:szCs w:val="32"/>
        </w:rPr>
      </w:pPr>
      <w:r>
        <w:rPr>
          <w:rFonts w:hint="eastAsia" w:ascii="宋体" w:hAnsi="宋体"/>
          <w:szCs w:val="21"/>
          <w:lang w:eastAsia="zh-CN"/>
        </w:rPr>
        <w:t>投标人电子签章</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日    期： </w:t>
      </w:r>
      <w:r>
        <w:rPr>
          <w:rFonts w:hint="eastAsia" w:ascii="宋体" w:hAnsi="宋体"/>
          <w:szCs w:val="21"/>
          <w:u w:val="single"/>
        </w:rPr>
        <w:t xml:space="preserve">                </w:t>
      </w:r>
      <w:r>
        <w:rPr>
          <w:rFonts w:hint="eastAsia" w:ascii="Cambria" w:hAnsi="宋体"/>
          <w:b/>
          <w:bCs/>
          <w:kern w:val="0"/>
          <w:sz w:val="28"/>
          <w:szCs w:val="32"/>
        </w:rPr>
        <w:t xml:space="preserve">   </w:t>
      </w:r>
    </w:p>
    <w:p w14:paraId="6D20A393">
      <w:pPr>
        <w:pStyle w:val="3"/>
        <w:spacing w:before="0" w:after="0" w:line="240" w:lineRule="auto"/>
        <w:jc w:val="center"/>
        <w:rPr>
          <w:rFonts w:hint="eastAsia" w:ascii="宋体" w:hAnsi="宋体"/>
        </w:rPr>
      </w:pPr>
      <w:r>
        <w:rPr>
          <w:rFonts w:hint="eastAsia" w:hAnsi="宋体"/>
          <w:sz w:val="28"/>
        </w:rPr>
        <w:br w:type="page"/>
      </w:r>
      <w:r>
        <w:rPr>
          <w:rFonts w:hint="eastAsia" w:hAnsi="宋体"/>
          <w:sz w:val="28"/>
        </w:rPr>
        <w:t>四.</w:t>
      </w:r>
      <w:r>
        <w:rPr>
          <w:rFonts w:hint="eastAsia" w:ascii="宋体" w:hAnsi="宋体"/>
        </w:rPr>
        <w:t>投标授权书</w:t>
      </w:r>
    </w:p>
    <w:p w14:paraId="795DD6BB">
      <w:pPr>
        <w:pStyle w:val="12"/>
        <w:snapToGrid w:val="0"/>
        <w:spacing w:before="96" w:beforeLines="40" w:after="96" w:afterLines="40" w:line="400" w:lineRule="exact"/>
        <w:ind w:firstLine="420" w:firstLineChars="200"/>
        <w:jc w:val="left"/>
        <w:rPr>
          <w:rFonts w:hint="eastAsia" w:hAnsi="宋体"/>
          <w:szCs w:val="21"/>
        </w:rPr>
      </w:pPr>
      <w:r>
        <w:rPr>
          <w:rFonts w:hint="eastAsia" w:hAnsi="宋体"/>
          <w:szCs w:val="21"/>
        </w:rPr>
        <w:t>本授权书声明：</w:t>
      </w:r>
      <w:r>
        <w:rPr>
          <w:rFonts w:hint="eastAsia" w:hAnsi="宋体"/>
          <w:szCs w:val="21"/>
          <w:u w:val="single"/>
        </w:rPr>
        <w:t xml:space="preserve">           </w:t>
      </w:r>
      <w:r>
        <w:rPr>
          <w:rFonts w:hint="eastAsia" w:hAnsi="宋体"/>
          <w:szCs w:val="21"/>
        </w:rPr>
        <w:t>单位（工厂）授权本单位（工厂）</w:t>
      </w:r>
      <w:r>
        <w:rPr>
          <w:rFonts w:hint="eastAsia" w:hAnsi="宋体"/>
          <w:szCs w:val="21"/>
          <w:u w:val="single"/>
        </w:rPr>
        <w:t xml:space="preserve">       </w:t>
      </w:r>
      <w:r>
        <w:rPr>
          <w:rFonts w:hint="eastAsia" w:hAnsi="宋体"/>
          <w:szCs w:val="21"/>
        </w:rPr>
        <w:t>（投标供应商授权代表姓名、职务）代表本单位（工厂）参加代理机构</w:t>
      </w:r>
      <w:r>
        <w:rPr>
          <w:rFonts w:hint="eastAsia" w:hAnsi="宋体"/>
          <w:b/>
          <w:szCs w:val="21"/>
          <w:u w:val="single"/>
        </w:rPr>
        <w:t>某项目</w:t>
      </w:r>
      <w:r>
        <w:rPr>
          <w:rFonts w:hint="eastAsia" w:hAnsi="宋体"/>
          <w:bCs/>
          <w:szCs w:val="21"/>
        </w:rPr>
        <w:t>采购活动（项目编号：</w:t>
      </w:r>
      <w:r>
        <w:rPr>
          <w:rFonts w:hint="eastAsia" w:hAnsi="宋体"/>
          <w:b/>
          <w:szCs w:val="21"/>
          <w:lang w:eastAsia="zh-CN"/>
        </w:rPr>
        <w:t>26AT47094606254</w:t>
      </w:r>
      <w:r>
        <w:rPr>
          <w:rFonts w:hint="eastAsia" w:hAnsi="宋体"/>
          <w:bCs/>
          <w:szCs w:val="21"/>
        </w:rPr>
        <w:t>）</w:t>
      </w:r>
      <w:r>
        <w:rPr>
          <w:rFonts w:hint="eastAsia" w:hAnsi="宋体"/>
          <w:szCs w:val="21"/>
        </w:rPr>
        <w:t>，全权代表本单位处理投标过程的一切事宜，包括但不限于：投标、参与开标、谈判、签约等。投标供应商授权代表在投标过程中所签署的一切文件和处理与之有关的一切事务，本单位均予以认可并对此承担责任。投标供应商授权代表无转委托权。特此授权。</w:t>
      </w:r>
    </w:p>
    <w:p w14:paraId="37761771">
      <w:pPr>
        <w:pStyle w:val="12"/>
        <w:snapToGrid w:val="0"/>
        <w:spacing w:before="96" w:beforeLines="40" w:after="96" w:afterLines="40" w:line="400" w:lineRule="exact"/>
        <w:ind w:firstLine="420" w:firstLineChars="200"/>
        <w:jc w:val="left"/>
        <w:rPr>
          <w:rFonts w:hint="eastAsia" w:hAnsi="宋体"/>
          <w:szCs w:val="21"/>
        </w:rPr>
      </w:pPr>
      <w:r>
        <w:rPr>
          <w:rFonts w:hint="eastAsia" w:hAnsi="宋体"/>
          <w:szCs w:val="21"/>
        </w:rPr>
        <w:t>本授权书自出具之日起生效。</w:t>
      </w:r>
    </w:p>
    <w:p w14:paraId="19BFB019">
      <w:pPr>
        <w:widowControl/>
        <w:spacing w:line="360" w:lineRule="auto"/>
        <w:ind w:left="120" w:right="31" w:firstLine="421"/>
        <w:rPr>
          <w:rFonts w:hint="eastAsia" w:ascii="宋体" w:hAnsi="宋体" w:eastAsia="宋体" w:cs="Times New Roman"/>
          <w:kern w:val="0"/>
        </w:rPr>
      </w:pPr>
      <w:r>
        <w:rPr>
          <w:rFonts w:hint="eastAsia" w:ascii="宋体" w:hAnsi="宋体"/>
          <w:kern w:val="0"/>
        </w:rPr>
        <w:t>附：</w:t>
      </w:r>
      <w:r>
        <w:rPr>
          <w:rFonts w:hint="eastAsia" w:ascii="宋体" w:hAnsi="宋体"/>
          <w:b/>
          <w:bCs/>
          <w:kern w:val="0"/>
        </w:rPr>
        <w:t>法定代表人</w:t>
      </w:r>
      <w:r>
        <w:rPr>
          <w:rFonts w:hint="eastAsia" w:ascii="宋体" w:hAnsi="宋体"/>
          <w:kern w:val="0"/>
        </w:rPr>
        <w:t>（单位负责人）及</w:t>
      </w:r>
      <w:r>
        <w:rPr>
          <w:rFonts w:hint="eastAsia" w:ascii="宋体" w:hAnsi="宋体" w:eastAsia="宋体" w:cs="Times New Roman"/>
          <w:b/>
          <w:bCs/>
          <w:kern w:val="0"/>
        </w:rPr>
        <w:t>授权代表</w:t>
      </w:r>
      <w:r>
        <w:rPr>
          <w:rFonts w:hint="eastAsia" w:ascii="宋体" w:hAnsi="宋体" w:eastAsia="宋体" w:cs="Times New Roman"/>
          <w:kern w:val="0"/>
        </w:rPr>
        <w:t>身份证明复制件：</w:t>
      </w:r>
    </w:p>
    <w:p w14:paraId="7CC94C9D">
      <w:pPr>
        <w:widowControl/>
        <w:spacing w:before="12" w:line="360" w:lineRule="auto"/>
        <w:ind w:left="556" w:right="1983" w:hanging="14"/>
        <w:rPr>
          <w:rFonts w:hint="eastAsia" w:ascii="宋体" w:hAnsi="宋体"/>
          <w:sz w:val="24"/>
          <w:szCs w:val="28"/>
        </w:rPr>
      </w:pPr>
    </w:p>
    <w:p w14:paraId="7BCD59A9">
      <w:pPr>
        <w:widowControl/>
        <w:spacing w:before="12" w:line="360" w:lineRule="auto"/>
        <w:ind w:left="556" w:right="1983" w:hanging="14"/>
        <w:rPr>
          <w:rFonts w:hint="eastAsia" w:ascii="宋体" w:hAnsi="宋体"/>
          <w:kern w:val="0"/>
        </w:rPr>
      </w:pPr>
    </w:p>
    <w:p w14:paraId="01547726">
      <w:pPr>
        <w:widowControl/>
        <w:spacing w:line="360" w:lineRule="auto"/>
        <w:rPr>
          <w:rFonts w:hint="eastAsia" w:ascii="宋体" w:hAnsi="宋体"/>
          <w:kern w:val="0"/>
        </w:rPr>
      </w:pPr>
    </w:p>
    <w:p w14:paraId="0A6C9DF0">
      <w:pPr>
        <w:pStyle w:val="35"/>
        <w:spacing w:line="360" w:lineRule="auto"/>
        <w:ind w:firstLine="2604" w:firstLineChars="1240"/>
        <w:rPr>
          <w:rFonts w:hint="eastAsia" w:ascii="宋体" w:hAnsi="宋体"/>
          <w:szCs w:val="24"/>
          <w:u w:val="single"/>
        </w:rPr>
      </w:pPr>
      <w:r>
        <w:rPr>
          <w:rFonts w:hint="eastAsia" w:ascii="宋体" w:hAnsi="宋体"/>
          <w:szCs w:val="24"/>
        </w:rPr>
        <w:t>代理人：</w:t>
      </w:r>
      <w:r>
        <w:rPr>
          <w:rFonts w:hint="eastAsia" w:ascii="宋体" w:hAnsi="宋体"/>
          <w:szCs w:val="24"/>
          <w:u w:val="single"/>
        </w:rPr>
        <w:t xml:space="preserve">              </w:t>
      </w:r>
      <w:r>
        <w:rPr>
          <w:rFonts w:hint="eastAsia" w:ascii="宋体" w:hAnsi="宋体"/>
          <w:szCs w:val="24"/>
        </w:rPr>
        <w:t>性别：</w:t>
      </w:r>
      <w:r>
        <w:rPr>
          <w:rFonts w:hint="eastAsia" w:ascii="宋体" w:hAnsi="宋体"/>
          <w:szCs w:val="24"/>
          <w:u w:val="single"/>
        </w:rPr>
        <w:t xml:space="preserve">     </w:t>
      </w:r>
      <w:r>
        <w:rPr>
          <w:rFonts w:hint="eastAsia" w:ascii="宋体" w:hAnsi="宋体"/>
          <w:szCs w:val="24"/>
        </w:rPr>
        <w:t>年龄：</w:t>
      </w:r>
      <w:r>
        <w:rPr>
          <w:rFonts w:hint="eastAsia" w:ascii="宋体" w:hAnsi="宋体"/>
          <w:szCs w:val="24"/>
          <w:u w:val="single"/>
        </w:rPr>
        <w:t xml:space="preserve">     </w:t>
      </w:r>
    </w:p>
    <w:p w14:paraId="6F22505B">
      <w:pPr>
        <w:pStyle w:val="35"/>
        <w:spacing w:line="360" w:lineRule="auto"/>
        <w:ind w:firstLine="2604" w:firstLineChars="1240"/>
        <w:rPr>
          <w:rFonts w:ascii="宋体" w:hAnsi="宋体"/>
          <w:szCs w:val="24"/>
          <w:u w:val="single"/>
        </w:rPr>
      </w:pPr>
    </w:p>
    <w:p w14:paraId="0CB0BE23">
      <w:pPr>
        <w:pStyle w:val="35"/>
        <w:spacing w:line="360" w:lineRule="auto"/>
        <w:ind w:firstLine="2604" w:firstLineChars="1240"/>
        <w:rPr>
          <w:rFonts w:hint="eastAsia" w:ascii="宋体" w:hAnsi="宋体"/>
          <w:szCs w:val="24"/>
          <w:u w:val="single"/>
        </w:rPr>
      </w:pPr>
      <w:r>
        <w:rPr>
          <w:rFonts w:hint="eastAsia" w:ascii="宋体" w:hAnsi="宋体"/>
          <w:szCs w:val="24"/>
        </w:rPr>
        <w:t>身份证号码：</w:t>
      </w:r>
      <w:r>
        <w:rPr>
          <w:rFonts w:hint="eastAsia" w:ascii="宋体" w:hAnsi="宋体"/>
          <w:szCs w:val="24"/>
          <w:u w:val="single"/>
        </w:rPr>
        <w:t xml:space="preserve">                   </w:t>
      </w:r>
      <w:r>
        <w:rPr>
          <w:rFonts w:hint="eastAsia" w:ascii="宋体" w:hAnsi="宋体"/>
          <w:szCs w:val="24"/>
        </w:rPr>
        <w:t xml:space="preserve"> 职务：</w:t>
      </w:r>
      <w:r>
        <w:rPr>
          <w:rFonts w:hint="eastAsia" w:ascii="宋体" w:hAnsi="宋体"/>
          <w:szCs w:val="24"/>
          <w:u w:val="single"/>
        </w:rPr>
        <w:t xml:space="preserve">      </w:t>
      </w:r>
    </w:p>
    <w:p w14:paraId="019FA2A0">
      <w:pPr>
        <w:pStyle w:val="35"/>
        <w:spacing w:line="360" w:lineRule="auto"/>
        <w:ind w:firstLine="2604" w:firstLineChars="1240"/>
        <w:rPr>
          <w:rFonts w:hint="eastAsia" w:ascii="宋体" w:hAnsi="宋体"/>
          <w:szCs w:val="24"/>
          <w:u w:val="single"/>
        </w:rPr>
      </w:pPr>
    </w:p>
    <w:p w14:paraId="14D4F23A">
      <w:pPr>
        <w:pStyle w:val="35"/>
        <w:spacing w:line="360" w:lineRule="auto"/>
        <w:ind w:firstLine="2604" w:firstLineChars="1240"/>
        <w:rPr>
          <w:rFonts w:hint="eastAsia" w:ascii="宋体" w:hAnsi="宋体"/>
          <w:szCs w:val="24"/>
          <w:u w:val="single"/>
        </w:rPr>
      </w:pPr>
      <w:r>
        <w:rPr>
          <w:rFonts w:hint="eastAsia" w:ascii="宋体" w:hAnsi="宋体"/>
          <w:szCs w:val="24"/>
          <w:lang w:eastAsia="zh-CN"/>
        </w:rPr>
        <w:t>投标人</w:t>
      </w:r>
      <w:r>
        <w:rPr>
          <w:rFonts w:hint="eastAsia" w:ascii="宋体" w:hAnsi="宋体"/>
          <w:szCs w:val="24"/>
        </w:rPr>
        <w:t>：</w:t>
      </w:r>
      <w:r>
        <w:rPr>
          <w:rFonts w:hint="eastAsia" w:ascii="宋体" w:hAnsi="宋体"/>
          <w:szCs w:val="24"/>
          <w:u w:val="single"/>
        </w:rPr>
        <w:t xml:space="preserve">                            （</w:t>
      </w:r>
      <w:r>
        <w:rPr>
          <w:rFonts w:hint="eastAsia" w:ascii="宋体" w:hAnsi="宋体"/>
          <w:szCs w:val="24"/>
          <w:u w:val="single"/>
          <w:lang w:val="en-US" w:eastAsia="zh-CN"/>
        </w:rPr>
        <w:t>盖章</w:t>
      </w:r>
      <w:r>
        <w:rPr>
          <w:rFonts w:hint="eastAsia" w:ascii="宋体" w:hAnsi="宋体"/>
          <w:szCs w:val="24"/>
          <w:u w:val="single"/>
        </w:rPr>
        <w:t>）</w:t>
      </w:r>
    </w:p>
    <w:p w14:paraId="05C472E7">
      <w:pPr>
        <w:pStyle w:val="35"/>
        <w:spacing w:line="360" w:lineRule="auto"/>
        <w:ind w:firstLine="2604" w:firstLineChars="1240"/>
        <w:rPr>
          <w:rFonts w:hint="eastAsia" w:ascii="宋体" w:hAnsi="宋体"/>
          <w:szCs w:val="24"/>
          <w:u w:val="single"/>
        </w:rPr>
      </w:pPr>
    </w:p>
    <w:p w14:paraId="376B6183">
      <w:pPr>
        <w:pStyle w:val="35"/>
        <w:spacing w:line="360" w:lineRule="auto"/>
        <w:ind w:firstLine="2520" w:firstLineChars="1200"/>
        <w:rPr>
          <w:rFonts w:hint="eastAsia" w:ascii="宋体" w:hAnsi="宋体"/>
          <w:szCs w:val="24"/>
          <w:u w:val="single"/>
        </w:rPr>
      </w:pPr>
      <w:r>
        <w:rPr>
          <w:rFonts w:hint="eastAsia" w:ascii="宋体" w:hAnsi="宋体"/>
          <w:szCs w:val="24"/>
        </w:rPr>
        <w:t>法定代表人（单位负责人）：</w:t>
      </w:r>
      <w:r>
        <w:rPr>
          <w:rFonts w:hint="eastAsia" w:ascii="宋体" w:hAnsi="宋体"/>
          <w:szCs w:val="24"/>
          <w:u w:val="single"/>
        </w:rPr>
        <w:t xml:space="preserve">                   （签字或</w:t>
      </w:r>
      <w:r>
        <w:rPr>
          <w:rFonts w:hint="eastAsia" w:ascii="宋体" w:hAnsi="宋体"/>
          <w:szCs w:val="24"/>
          <w:u w:val="single"/>
          <w:lang w:val="en-US" w:eastAsia="zh-CN"/>
        </w:rPr>
        <w:t>电子签</w:t>
      </w:r>
      <w:r>
        <w:rPr>
          <w:rFonts w:hint="eastAsia" w:ascii="宋体" w:hAnsi="宋体"/>
          <w:szCs w:val="24"/>
          <w:u w:val="single"/>
        </w:rPr>
        <w:t>章）</w:t>
      </w:r>
    </w:p>
    <w:p w14:paraId="4F1B30F2">
      <w:pPr>
        <w:pStyle w:val="35"/>
        <w:spacing w:line="360" w:lineRule="auto"/>
        <w:ind w:firstLine="0" w:firstLineChars="0"/>
        <w:rPr>
          <w:rFonts w:hint="eastAsia" w:ascii="宋体" w:hAnsi="宋体"/>
          <w:szCs w:val="24"/>
          <w:u w:val="single"/>
        </w:rPr>
      </w:pPr>
    </w:p>
    <w:p w14:paraId="3E51F301">
      <w:pPr>
        <w:pStyle w:val="35"/>
        <w:spacing w:line="360" w:lineRule="auto"/>
        <w:ind w:firstLine="2520" w:firstLineChars="1200"/>
        <w:rPr>
          <w:rFonts w:hint="eastAsia" w:ascii="宋体" w:hAnsi="宋体"/>
          <w:szCs w:val="24"/>
        </w:rPr>
      </w:pPr>
      <w:r>
        <w:rPr>
          <w:rFonts w:hint="eastAsia" w:ascii="宋体" w:hAnsi="宋体"/>
          <w:szCs w:val="24"/>
        </w:rPr>
        <w:t>授权委托日期：</w:t>
      </w:r>
      <w:r>
        <w:rPr>
          <w:rFonts w:hint="eastAsia" w:ascii="宋体" w:hAnsi="宋体"/>
          <w:szCs w:val="24"/>
          <w:u w:val="single"/>
        </w:rPr>
        <w:t xml:space="preserve">            </w:t>
      </w:r>
      <w:r>
        <w:rPr>
          <w:rFonts w:hint="eastAsia" w:ascii="宋体" w:hAnsi="宋体"/>
          <w:szCs w:val="24"/>
        </w:rPr>
        <w:t>年</w:t>
      </w:r>
      <w:r>
        <w:rPr>
          <w:rFonts w:hint="eastAsia" w:ascii="宋体" w:hAnsi="宋体"/>
          <w:szCs w:val="24"/>
          <w:u w:val="single"/>
        </w:rPr>
        <w:t xml:space="preserve">        </w:t>
      </w:r>
      <w:r>
        <w:rPr>
          <w:rFonts w:hint="eastAsia" w:ascii="宋体" w:hAnsi="宋体"/>
          <w:szCs w:val="24"/>
        </w:rPr>
        <w:t>月</w:t>
      </w:r>
      <w:r>
        <w:rPr>
          <w:rFonts w:hint="eastAsia" w:ascii="宋体" w:hAnsi="宋体"/>
          <w:szCs w:val="24"/>
          <w:u w:val="single"/>
        </w:rPr>
        <w:t xml:space="preserve">       </w:t>
      </w:r>
      <w:r>
        <w:rPr>
          <w:rFonts w:hint="eastAsia" w:ascii="宋体" w:hAnsi="宋体"/>
          <w:szCs w:val="24"/>
        </w:rPr>
        <w:t>日</w:t>
      </w:r>
    </w:p>
    <w:p w14:paraId="32DFDCFC">
      <w:pPr>
        <w:spacing w:before="96" w:beforeLines="40" w:after="96" w:afterLines="40" w:line="400" w:lineRule="exact"/>
        <w:ind w:firstLine="2205" w:firstLineChars="1050"/>
        <w:rPr>
          <w:rFonts w:hint="eastAsia" w:ascii="宋体" w:hAnsi="宋体"/>
          <w:szCs w:val="21"/>
        </w:rPr>
      </w:pPr>
      <w:r>
        <w:rPr>
          <w:rFonts w:hint="eastAsia" w:ascii="宋体" w:hAnsi="宋体"/>
          <w:szCs w:val="21"/>
        </w:rPr>
        <w:t xml:space="preserve"> </w:t>
      </w:r>
    </w:p>
    <w:p w14:paraId="36B66090">
      <w:pPr>
        <w:rPr>
          <w:rFonts w:hint="eastAsia" w:ascii="宋体" w:hAnsi="宋体"/>
          <w:szCs w:val="21"/>
        </w:rPr>
      </w:pPr>
    </w:p>
    <w:p w14:paraId="0E8981D6">
      <w:pPr>
        <w:pStyle w:val="12"/>
        <w:snapToGrid w:val="0"/>
        <w:spacing w:before="96" w:beforeLines="40" w:after="96" w:afterLines="40" w:line="400" w:lineRule="exact"/>
        <w:ind w:firstLine="422" w:firstLineChars="200"/>
        <w:jc w:val="left"/>
        <w:rPr>
          <w:rFonts w:hint="eastAsia" w:hAnsi="宋体"/>
          <w:b/>
          <w:szCs w:val="21"/>
        </w:rPr>
      </w:pPr>
      <w:r>
        <w:rPr>
          <w:rFonts w:hint="eastAsia" w:hAnsi="宋体"/>
          <w:b/>
          <w:szCs w:val="21"/>
        </w:rPr>
        <w:t>注：</w:t>
      </w:r>
    </w:p>
    <w:p w14:paraId="7CCEED45">
      <w:pPr>
        <w:pStyle w:val="12"/>
        <w:snapToGrid w:val="0"/>
        <w:spacing w:before="96" w:beforeLines="40" w:after="96" w:afterLines="40" w:line="400" w:lineRule="exact"/>
        <w:ind w:firstLine="422" w:firstLineChars="200"/>
        <w:jc w:val="left"/>
        <w:rPr>
          <w:rFonts w:hint="eastAsia" w:hAnsi="宋体"/>
          <w:b/>
          <w:szCs w:val="21"/>
        </w:rPr>
      </w:pPr>
      <w:r>
        <w:rPr>
          <w:rFonts w:hint="eastAsia" w:hAnsi="宋体"/>
          <w:b/>
          <w:szCs w:val="21"/>
        </w:rPr>
        <w:t>1、本项目只允许有唯一的</w:t>
      </w:r>
      <w:r>
        <w:rPr>
          <w:rFonts w:hint="eastAsia" w:hAnsi="宋体"/>
          <w:b/>
          <w:szCs w:val="21"/>
          <w:lang w:eastAsia="zh-CN"/>
        </w:rPr>
        <w:t>投标人</w:t>
      </w:r>
      <w:r>
        <w:rPr>
          <w:rFonts w:hint="eastAsia" w:hAnsi="宋体"/>
          <w:b/>
          <w:szCs w:val="21"/>
        </w:rPr>
        <w:t>授权代表（提供身份证明复制件及联系方式）；</w:t>
      </w:r>
    </w:p>
    <w:p w14:paraId="1C8810F1">
      <w:pPr>
        <w:pStyle w:val="12"/>
        <w:snapToGrid w:val="0"/>
        <w:spacing w:before="96" w:beforeLines="40" w:after="96" w:afterLines="40" w:line="400" w:lineRule="exact"/>
        <w:ind w:firstLine="422" w:firstLineChars="200"/>
        <w:jc w:val="left"/>
        <w:rPr>
          <w:rFonts w:hint="eastAsia" w:hAnsi="宋体"/>
          <w:b/>
          <w:szCs w:val="21"/>
        </w:rPr>
      </w:pPr>
      <w:r>
        <w:rPr>
          <w:rFonts w:hint="eastAsia" w:hAnsi="宋体"/>
          <w:b/>
          <w:szCs w:val="21"/>
        </w:rPr>
        <w:t>2、法定代表人、单位负责人参加投标的无需提供投标授权书，仅提供身份证明复制件及联系方式即可。</w:t>
      </w:r>
    </w:p>
    <w:p w14:paraId="7358C283">
      <w:pPr>
        <w:pStyle w:val="3"/>
        <w:spacing w:before="0" w:after="0" w:line="240" w:lineRule="auto"/>
        <w:jc w:val="center"/>
        <w:rPr>
          <w:rFonts w:hint="eastAsia" w:ascii="Calibri" w:hAnsi="Calibri"/>
          <w:bCs w:val="0"/>
          <w:kern w:val="2"/>
        </w:rPr>
      </w:pPr>
      <w:r>
        <w:rPr>
          <w:rFonts w:hint="eastAsia" w:hAnsi="宋体"/>
          <w:sz w:val="28"/>
        </w:rPr>
        <w:br w:type="page"/>
      </w:r>
      <w:r>
        <w:rPr>
          <w:rFonts w:hint="eastAsia" w:hAnsi="宋体"/>
          <w:sz w:val="28"/>
        </w:rPr>
        <w:t>五.</w:t>
      </w:r>
      <w:r>
        <w:rPr>
          <w:rFonts w:hint="eastAsia" w:ascii="Calibri" w:hAnsi="Calibri"/>
          <w:bCs w:val="0"/>
          <w:kern w:val="2"/>
        </w:rPr>
        <w:t>无重大违法记录声明函、无不良信用记录声明函</w:t>
      </w:r>
    </w:p>
    <w:p w14:paraId="459F1466">
      <w:pPr>
        <w:widowControl/>
        <w:jc w:val="center"/>
        <w:rPr>
          <w:rFonts w:ascii="宋体" w:hAnsi="宋体" w:cs="宋体"/>
          <w:b/>
          <w:kern w:val="0"/>
          <w:sz w:val="24"/>
          <w:szCs w:val="24"/>
        </w:rPr>
      </w:pPr>
      <w:r>
        <w:rPr>
          <w:rFonts w:ascii="宋体" w:hAnsi="宋体" w:cs="宋体"/>
          <w:b/>
          <w:kern w:val="0"/>
          <w:sz w:val="24"/>
          <w:szCs w:val="24"/>
        </w:rPr>
        <w:t>(本</w:t>
      </w:r>
      <w:r>
        <w:rPr>
          <w:rFonts w:hint="eastAsia" w:ascii="宋体" w:hAnsi="宋体" w:cs="宋体"/>
          <w:b/>
          <w:kern w:val="0"/>
          <w:sz w:val="24"/>
          <w:szCs w:val="24"/>
        </w:rPr>
        <w:t>项</w:t>
      </w:r>
      <w:r>
        <w:rPr>
          <w:rFonts w:ascii="宋体" w:hAnsi="宋体" w:cs="宋体"/>
          <w:b/>
          <w:kern w:val="0"/>
          <w:sz w:val="24"/>
          <w:szCs w:val="24"/>
        </w:rPr>
        <w:t>将随评审结果一并公告)</w:t>
      </w:r>
    </w:p>
    <w:p w14:paraId="285DED51">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1、本单位郑重声明，根据《中华人民共和国政府采购法》及《中华人民共和国政府采购法实施条例》的规定，本单位符合《中华人民共和国政府采购法》第二十二条的规定，且参加政府采购活动前三年内，本单位在经营活动中没有重大违法记录，没有因违法经营受到刑事处罚或者责令停产停业、吊销许可证或者执照、较大数额罚款等行政处罚和招标文件规定的其他限制性情形。</w:t>
      </w:r>
    </w:p>
    <w:p w14:paraId="6D98FF72">
      <w:pPr>
        <w:spacing w:before="96" w:beforeLines="40" w:after="96" w:afterLines="40" w:line="400" w:lineRule="exact"/>
        <w:ind w:firstLine="420" w:firstLineChars="200"/>
        <w:jc w:val="left"/>
        <w:rPr>
          <w:rFonts w:ascii="宋体" w:hAnsi="宋体"/>
          <w:szCs w:val="21"/>
        </w:rPr>
      </w:pPr>
      <w:r>
        <w:rPr>
          <w:rFonts w:hint="eastAsia" w:ascii="宋体"/>
          <w:szCs w:val="21"/>
        </w:rPr>
        <w:t>2、</w:t>
      </w:r>
      <w:r>
        <w:rPr>
          <w:rFonts w:hint="eastAsia" w:ascii="宋体" w:hAnsi="宋体"/>
          <w:szCs w:val="21"/>
        </w:rPr>
        <w:t>本单位郑重声明，我单位无以下不良信用记录情形：</w:t>
      </w:r>
    </w:p>
    <w:p w14:paraId="1BB5E33F">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（1）公司被人民法院列入失信被执行人；</w:t>
      </w:r>
    </w:p>
    <w:p w14:paraId="70833712">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（2）公司、法定代表人（单位负责人）或拟派项目经理（项目负责人）被人民检察院列入行贿犯罪档案；</w:t>
      </w:r>
    </w:p>
    <w:p w14:paraId="26D99EFF">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（3）公司被市场监督管理部门列入严重违法失信名单；</w:t>
      </w:r>
    </w:p>
    <w:p w14:paraId="70C50F58">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（4）公司被税务机关列入重大税收违法失信主体名单；</w:t>
      </w:r>
    </w:p>
    <w:p w14:paraId="75340DD7">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（5）公司被财政部门列入政府采购严重违法失信行为记录名单。</w:t>
      </w:r>
    </w:p>
    <w:p w14:paraId="363991AF">
      <w:pPr>
        <w:spacing w:before="96" w:beforeLines="40" w:after="96" w:afterLines="40" w:line="400" w:lineRule="exact"/>
        <w:ind w:firstLine="420" w:firstLineChars="200"/>
        <w:jc w:val="left"/>
        <w:rPr>
          <w:rFonts w:ascii="宋体" w:hAnsi="宋体"/>
          <w:szCs w:val="21"/>
        </w:rPr>
      </w:pPr>
      <w:r>
        <w:rPr>
          <w:rFonts w:hint="eastAsia" w:ascii="宋体" w:hAnsi="宋体"/>
          <w:szCs w:val="21"/>
        </w:rPr>
        <w:t>3、本单位郑重承诺，我单位不存在《中华人民共和国政府采购法</w:t>
      </w:r>
      <w:r>
        <w:rPr>
          <w:rFonts w:hint="eastAsia" w:ascii="宋体" w:hAnsi="宋体"/>
          <w:szCs w:val="21"/>
          <w:lang w:eastAsia="zh-CN"/>
        </w:rPr>
        <w:t>》《</w:t>
      </w:r>
      <w:r>
        <w:rPr>
          <w:rFonts w:hint="eastAsia" w:ascii="宋体" w:hAnsi="宋体"/>
          <w:szCs w:val="21"/>
        </w:rPr>
        <w:t>中华人民共和国政府采购法实施条例》及其他相关法律法规规定的禁止投标情形。</w:t>
      </w:r>
    </w:p>
    <w:p w14:paraId="2A860AFE">
      <w:pPr>
        <w:spacing w:before="96" w:beforeLines="40" w:after="96" w:afterLines="40" w:line="400" w:lineRule="exact"/>
        <w:ind w:firstLine="420" w:firstLineChars="200"/>
        <w:jc w:val="left"/>
        <w:rPr>
          <w:rFonts w:ascii="仿宋" w:hAnsi="仿宋" w:eastAsia="仿宋" w:cs="宋体"/>
          <w:kern w:val="0"/>
          <w:szCs w:val="21"/>
        </w:rPr>
      </w:pPr>
      <w:r>
        <w:rPr>
          <w:rFonts w:ascii="宋体" w:hAnsi="宋体"/>
          <w:szCs w:val="21"/>
        </w:rPr>
        <w:t>我</w:t>
      </w:r>
      <w:r>
        <w:rPr>
          <w:rFonts w:hint="eastAsia" w:ascii="宋体" w:hAnsi="宋体"/>
          <w:szCs w:val="21"/>
        </w:rPr>
        <w:t>单位</w:t>
      </w:r>
      <w:r>
        <w:rPr>
          <w:rFonts w:ascii="宋体" w:hAnsi="宋体"/>
          <w:szCs w:val="21"/>
        </w:rPr>
        <w:t>承诺</w:t>
      </w:r>
      <w:r>
        <w:rPr>
          <w:rFonts w:hint="eastAsia" w:ascii="宋体" w:hAnsi="宋体"/>
          <w:szCs w:val="21"/>
        </w:rPr>
        <w:t>：合同签订前，</w:t>
      </w:r>
      <w:r>
        <w:rPr>
          <w:rFonts w:ascii="宋体" w:hAnsi="宋体"/>
          <w:szCs w:val="21"/>
        </w:rPr>
        <w:t>若我</w:t>
      </w:r>
      <w:r>
        <w:rPr>
          <w:rFonts w:hint="eastAsia" w:ascii="宋体" w:hAnsi="宋体"/>
          <w:szCs w:val="21"/>
        </w:rPr>
        <w:t>单位</w:t>
      </w:r>
      <w:r>
        <w:rPr>
          <w:rFonts w:ascii="宋体" w:hAnsi="宋体"/>
          <w:szCs w:val="21"/>
        </w:rPr>
        <w:t>具有</w:t>
      </w:r>
      <w:r>
        <w:rPr>
          <w:rFonts w:hint="eastAsia" w:ascii="宋体" w:hAnsi="宋体"/>
          <w:szCs w:val="21"/>
        </w:rPr>
        <w:t>上述</w:t>
      </w:r>
      <w:r>
        <w:rPr>
          <w:rFonts w:ascii="宋体" w:hAnsi="宋体"/>
          <w:szCs w:val="21"/>
        </w:rPr>
        <w:t>情形，贵方可取消我</w:t>
      </w:r>
      <w:r>
        <w:rPr>
          <w:rFonts w:hint="eastAsia" w:ascii="宋体" w:hAnsi="宋体"/>
          <w:szCs w:val="21"/>
        </w:rPr>
        <w:t>单位</w:t>
      </w:r>
      <w:r>
        <w:rPr>
          <w:rFonts w:ascii="宋体" w:hAnsi="宋体"/>
          <w:szCs w:val="21"/>
        </w:rPr>
        <w:t>中标资格</w:t>
      </w:r>
      <w:r>
        <w:rPr>
          <w:rFonts w:hint="eastAsia" w:ascii="宋体" w:hAnsi="宋体"/>
          <w:szCs w:val="21"/>
        </w:rPr>
        <w:t>或者</w:t>
      </w:r>
      <w:r>
        <w:rPr>
          <w:rFonts w:ascii="宋体" w:hAnsi="宋体"/>
          <w:szCs w:val="21"/>
        </w:rPr>
        <w:t>不授予合同；</w:t>
      </w:r>
      <w:r>
        <w:rPr>
          <w:rFonts w:hint="eastAsia" w:ascii="宋体" w:hAnsi="宋体"/>
          <w:szCs w:val="21"/>
        </w:rPr>
        <w:t>合同签订后，贵方可解除合同</w:t>
      </w:r>
      <w:r>
        <w:rPr>
          <w:rFonts w:ascii="宋体" w:hAnsi="宋体"/>
          <w:szCs w:val="21"/>
        </w:rPr>
        <w:t>。所有责任由我</w:t>
      </w:r>
      <w:r>
        <w:rPr>
          <w:rFonts w:hint="eastAsia" w:ascii="宋体" w:hAnsi="宋体"/>
          <w:szCs w:val="21"/>
        </w:rPr>
        <w:t>单位</w:t>
      </w:r>
      <w:r>
        <w:rPr>
          <w:rFonts w:ascii="宋体" w:hAnsi="宋体"/>
          <w:szCs w:val="21"/>
        </w:rPr>
        <w:t>自行承担。同时，我</w:t>
      </w:r>
      <w:r>
        <w:rPr>
          <w:rFonts w:hint="eastAsia" w:ascii="宋体" w:hAnsi="宋体"/>
          <w:szCs w:val="21"/>
        </w:rPr>
        <w:t>单位</w:t>
      </w:r>
      <w:r>
        <w:rPr>
          <w:rFonts w:ascii="宋体" w:hAnsi="宋体"/>
          <w:szCs w:val="21"/>
        </w:rPr>
        <w:t>愿意无条件接受监管部门</w:t>
      </w:r>
      <w:r>
        <w:rPr>
          <w:rFonts w:hint="eastAsia" w:ascii="宋体" w:hAnsi="宋体"/>
          <w:szCs w:val="21"/>
        </w:rPr>
        <w:t>及</w:t>
      </w:r>
      <w:r>
        <w:rPr>
          <w:rFonts w:hint="eastAsia" w:ascii="宋体" w:hAnsi="宋体"/>
          <w:szCs w:val="21"/>
          <w:lang w:eastAsia="zh-CN"/>
        </w:rPr>
        <w:t>采购人</w:t>
      </w:r>
      <w:r>
        <w:rPr>
          <w:rFonts w:ascii="宋体" w:hAnsi="宋体"/>
          <w:szCs w:val="21"/>
        </w:rPr>
        <w:t xml:space="preserve">的调查处理。 </w:t>
      </w:r>
    </w:p>
    <w:p w14:paraId="6084B8DF">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本单位对上述声明的真实性负责。如有虚假，将依法承担提供虚假材料的相应责任。</w:t>
      </w:r>
    </w:p>
    <w:p w14:paraId="21FAD217">
      <w:pPr>
        <w:spacing w:line="360" w:lineRule="auto"/>
        <w:ind w:firstLine="435"/>
        <w:rPr>
          <w:rFonts w:hint="eastAsia" w:ascii="宋体"/>
          <w:szCs w:val="21"/>
        </w:rPr>
      </w:pPr>
    </w:p>
    <w:p w14:paraId="20FD8231">
      <w:pPr>
        <w:spacing w:line="360" w:lineRule="auto"/>
        <w:ind w:firstLine="435"/>
        <w:rPr>
          <w:rFonts w:ascii="宋体"/>
          <w:szCs w:val="21"/>
        </w:rPr>
      </w:pPr>
    </w:p>
    <w:p w14:paraId="1563DDC5">
      <w:pPr>
        <w:spacing w:before="96" w:beforeLines="40" w:after="96" w:afterLines="40" w:line="400" w:lineRule="exact"/>
        <w:ind w:firstLine="2530" w:firstLineChars="1200"/>
        <w:rPr>
          <w:rFonts w:hint="eastAsia" w:ascii="宋体" w:hAnsi="宋体"/>
          <w:szCs w:val="21"/>
          <w:u w:val="single"/>
        </w:rPr>
      </w:pPr>
      <w:r>
        <w:rPr>
          <w:rFonts w:hint="eastAsia" w:ascii="宋体" w:hAnsi="宋体"/>
          <w:b/>
          <w:szCs w:val="21"/>
        </w:rPr>
        <w:t xml:space="preserve">   </w:t>
      </w:r>
      <w:r>
        <w:rPr>
          <w:rFonts w:hint="eastAsia" w:ascii="宋体" w:hAnsi="宋体"/>
          <w:szCs w:val="21"/>
          <w:lang w:eastAsia="zh-CN"/>
        </w:rPr>
        <w:t>投标人电子签章</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p>
    <w:p w14:paraId="65A749F7">
      <w:pPr>
        <w:tabs>
          <w:tab w:val="left" w:pos="4620"/>
        </w:tabs>
        <w:spacing w:before="40" w:after="40" w:line="400" w:lineRule="exact"/>
        <w:ind w:firstLine="2835" w:firstLineChars="1350"/>
        <w:rPr>
          <w:rFonts w:ascii="宋体" w:hAnsi="宋体"/>
          <w:szCs w:val="21"/>
          <w:u w:val="single"/>
        </w:rPr>
      </w:pPr>
      <w:r>
        <w:rPr>
          <w:rFonts w:hint="eastAsia" w:ascii="宋体" w:hAnsi="宋体"/>
          <w:szCs w:val="21"/>
        </w:rPr>
        <w:t>日</w:t>
      </w:r>
      <w:r>
        <w:rPr>
          <w:rFonts w:ascii="宋体" w:hAnsi="宋体"/>
          <w:szCs w:val="21"/>
        </w:rPr>
        <w:t xml:space="preserve">      </w:t>
      </w:r>
      <w:r>
        <w:rPr>
          <w:rFonts w:hint="eastAsia" w:ascii="宋体" w:hAnsi="宋体"/>
          <w:szCs w:val="21"/>
        </w:rPr>
        <w:t>期：</w:t>
      </w:r>
      <w:r>
        <w:rPr>
          <w:rFonts w:ascii="宋体" w:hAnsi="宋体"/>
          <w:szCs w:val="21"/>
          <w:u w:val="single"/>
        </w:rPr>
        <w:t xml:space="preserve">                     </w:t>
      </w:r>
    </w:p>
    <w:p w14:paraId="41A3582F">
      <w:pPr>
        <w:pStyle w:val="3"/>
        <w:spacing w:before="0" w:after="0" w:line="240" w:lineRule="auto"/>
        <w:jc w:val="center"/>
        <w:rPr>
          <w:rFonts w:hint="eastAsia" w:hAnsi="宋体"/>
        </w:rPr>
      </w:pPr>
      <w:r>
        <w:rPr>
          <w:rFonts w:hAnsi="宋体"/>
          <w:sz w:val="28"/>
        </w:rPr>
        <w:br w:type="page"/>
      </w:r>
      <w:bookmarkStart w:id="1226" w:name="_Toc457768009"/>
      <w:bookmarkStart w:id="1227" w:name="_Toc12531"/>
      <w:bookmarkStart w:id="1228" w:name="_Toc16491"/>
      <w:bookmarkStart w:id="1229" w:name="_Toc197934552"/>
      <w:bookmarkStart w:id="1230" w:name="_Toc3295935"/>
      <w:bookmarkStart w:id="1231" w:name="_Toc3215885"/>
      <w:bookmarkStart w:id="1232" w:name="_Toc1520"/>
      <w:bookmarkStart w:id="1233" w:name="_Toc1916832"/>
      <w:r>
        <w:rPr>
          <w:rFonts w:hint="eastAsia" w:hAnsi="宋体"/>
        </w:rPr>
        <w:t>六．投标响应表</w:t>
      </w:r>
      <w:bookmarkEnd w:id="1226"/>
      <w:bookmarkEnd w:id="1227"/>
      <w:bookmarkEnd w:id="1228"/>
      <w:bookmarkEnd w:id="1229"/>
      <w:bookmarkEnd w:id="1230"/>
      <w:bookmarkEnd w:id="1231"/>
      <w:bookmarkEnd w:id="1232"/>
      <w:bookmarkEnd w:id="1233"/>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70"/>
        <w:gridCol w:w="2520"/>
        <w:gridCol w:w="2310"/>
        <w:gridCol w:w="1890"/>
      </w:tblGrid>
      <w:tr w14:paraId="38DF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4830" w:type="dxa"/>
            <w:gridSpan w:val="3"/>
            <w:noWrap w:val="0"/>
            <w:vAlign w:val="center"/>
          </w:tcPr>
          <w:p w14:paraId="7469AF0F">
            <w:pPr>
              <w:pStyle w:val="12"/>
              <w:spacing w:before="96" w:beforeLines="40" w:after="96" w:afterLines="40" w:line="400" w:lineRule="exact"/>
              <w:jc w:val="center"/>
              <w:rPr>
                <w:rFonts w:hint="eastAsia" w:hAnsi="宋体"/>
                <w:b/>
                <w:szCs w:val="21"/>
              </w:rPr>
            </w:pPr>
            <w:r>
              <w:rPr>
                <w:rFonts w:hint="eastAsia" w:hAnsi="宋体"/>
                <w:b/>
                <w:szCs w:val="21"/>
              </w:rPr>
              <w:t>按招标文件规定填写</w:t>
            </w:r>
          </w:p>
        </w:tc>
        <w:tc>
          <w:tcPr>
            <w:tcW w:w="4200" w:type="dxa"/>
            <w:gridSpan w:val="2"/>
            <w:noWrap w:val="0"/>
            <w:vAlign w:val="center"/>
          </w:tcPr>
          <w:p w14:paraId="19D9DF08">
            <w:pPr>
              <w:pStyle w:val="12"/>
              <w:spacing w:before="96" w:beforeLines="40" w:after="96" w:afterLines="40" w:line="400" w:lineRule="exact"/>
              <w:jc w:val="center"/>
              <w:rPr>
                <w:rFonts w:hint="eastAsia" w:hAnsi="宋体"/>
                <w:b/>
                <w:szCs w:val="21"/>
              </w:rPr>
            </w:pPr>
            <w:r>
              <w:rPr>
                <w:rFonts w:hint="eastAsia" w:hAnsi="宋体"/>
                <w:b/>
                <w:szCs w:val="21"/>
              </w:rPr>
              <w:t>按投标供应商所投内容填写</w:t>
            </w:r>
          </w:p>
        </w:tc>
      </w:tr>
      <w:tr w14:paraId="5BC7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9030" w:type="dxa"/>
            <w:gridSpan w:val="5"/>
            <w:noWrap w:val="0"/>
            <w:vAlign w:val="center"/>
          </w:tcPr>
          <w:p w14:paraId="109056F5">
            <w:pPr>
              <w:pStyle w:val="12"/>
              <w:spacing w:before="96" w:beforeLines="40" w:after="96" w:afterLines="40" w:line="400" w:lineRule="exact"/>
              <w:jc w:val="center"/>
              <w:rPr>
                <w:rFonts w:hint="eastAsia" w:hAnsi="宋体"/>
                <w:b/>
                <w:szCs w:val="21"/>
              </w:rPr>
            </w:pPr>
            <w:r>
              <w:rPr>
                <w:rFonts w:hint="eastAsia" w:hAnsi="宋体"/>
                <w:b/>
                <w:szCs w:val="21"/>
              </w:rPr>
              <w:t>第一部分：技术部分响应</w:t>
            </w:r>
          </w:p>
        </w:tc>
      </w:tr>
      <w:tr w14:paraId="123DD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840" w:type="dxa"/>
            <w:noWrap w:val="0"/>
            <w:vAlign w:val="center"/>
          </w:tcPr>
          <w:p w14:paraId="4298F9CD">
            <w:pPr>
              <w:pStyle w:val="12"/>
              <w:spacing w:before="96" w:beforeLines="40" w:after="96" w:afterLines="40" w:line="400" w:lineRule="exact"/>
              <w:jc w:val="center"/>
              <w:rPr>
                <w:rFonts w:hint="eastAsia" w:hAnsi="宋体"/>
                <w:b/>
                <w:szCs w:val="21"/>
              </w:rPr>
            </w:pPr>
            <w:r>
              <w:rPr>
                <w:rFonts w:hint="eastAsia" w:hAnsi="宋体"/>
                <w:b/>
                <w:szCs w:val="21"/>
              </w:rPr>
              <w:t>序号</w:t>
            </w:r>
          </w:p>
        </w:tc>
        <w:tc>
          <w:tcPr>
            <w:tcW w:w="1470" w:type="dxa"/>
            <w:noWrap w:val="0"/>
            <w:vAlign w:val="center"/>
          </w:tcPr>
          <w:p w14:paraId="59B3B3D7">
            <w:pPr>
              <w:pStyle w:val="12"/>
              <w:spacing w:before="96" w:beforeLines="40" w:after="96" w:afterLines="40" w:line="400" w:lineRule="exact"/>
              <w:jc w:val="center"/>
              <w:rPr>
                <w:rFonts w:hint="eastAsia" w:hAnsi="宋体"/>
                <w:b/>
                <w:szCs w:val="21"/>
              </w:rPr>
            </w:pPr>
            <w:r>
              <w:rPr>
                <w:rFonts w:hint="eastAsia" w:hAnsi="宋体"/>
                <w:b/>
                <w:szCs w:val="21"/>
              </w:rPr>
              <w:t>品名</w:t>
            </w:r>
          </w:p>
        </w:tc>
        <w:tc>
          <w:tcPr>
            <w:tcW w:w="2520" w:type="dxa"/>
            <w:noWrap w:val="0"/>
            <w:vAlign w:val="center"/>
          </w:tcPr>
          <w:p w14:paraId="299A26DD">
            <w:pPr>
              <w:pStyle w:val="12"/>
              <w:spacing w:before="96" w:beforeLines="40" w:after="96" w:afterLines="40" w:line="400" w:lineRule="exact"/>
              <w:jc w:val="center"/>
              <w:rPr>
                <w:rFonts w:hint="eastAsia" w:hAnsi="宋体"/>
                <w:b/>
                <w:szCs w:val="21"/>
              </w:rPr>
            </w:pPr>
            <w:r>
              <w:rPr>
                <w:rFonts w:hint="eastAsia" w:hAnsi="宋体"/>
                <w:b/>
                <w:szCs w:val="21"/>
              </w:rPr>
              <w:t>技术规格及配置</w:t>
            </w:r>
          </w:p>
        </w:tc>
        <w:tc>
          <w:tcPr>
            <w:tcW w:w="2310" w:type="dxa"/>
            <w:noWrap w:val="0"/>
            <w:vAlign w:val="center"/>
          </w:tcPr>
          <w:p w14:paraId="5ABA8E19">
            <w:pPr>
              <w:pStyle w:val="12"/>
              <w:spacing w:before="96" w:beforeLines="40" w:after="96" w:afterLines="40" w:line="400" w:lineRule="exact"/>
              <w:jc w:val="center"/>
              <w:rPr>
                <w:rFonts w:hint="eastAsia" w:hAnsi="宋体"/>
                <w:b/>
                <w:szCs w:val="21"/>
              </w:rPr>
            </w:pPr>
            <w:r>
              <w:rPr>
                <w:rFonts w:hint="eastAsia" w:hAnsi="宋体"/>
                <w:b/>
                <w:szCs w:val="21"/>
              </w:rPr>
              <w:t>品牌、型号、技术规格及配置、材质</w:t>
            </w:r>
          </w:p>
        </w:tc>
        <w:tc>
          <w:tcPr>
            <w:tcW w:w="1890" w:type="dxa"/>
            <w:noWrap w:val="0"/>
            <w:vAlign w:val="center"/>
          </w:tcPr>
          <w:p w14:paraId="6F4D4B4A">
            <w:pPr>
              <w:pStyle w:val="12"/>
              <w:spacing w:before="96" w:beforeLines="40" w:after="96" w:afterLines="40" w:line="400" w:lineRule="exact"/>
              <w:jc w:val="center"/>
              <w:rPr>
                <w:rFonts w:hint="eastAsia" w:hAnsi="宋体"/>
                <w:b/>
                <w:szCs w:val="21"/>
              </w:rPr>
            </w:pPr>
            <w:r>
              <w:rPr>
                <w:rFonts w:hint="eastAsia" w:hAnsi="宋体"/>
                <w:b/>
                <w:szCs w:val="21"/>
              </w:rPr>
              <w:t>偏离说明</w:t>
            </w:r>
          </w:p>
        </w:tc>
      </w:tr>
      <w:tr w14:paraId="44175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6051882B">
            <w:pPr>
              <w:spacing w:before="96" w:beforeLines="40" w:after="96" w:afterLines="40" w:line="400" w:lineRule="exact"/>
              <w:jc w:val="center"/>
              <w:rPr>
                <w:rFonts w:hint="eastAsia" w:ascii="宋体" w:hAnsi="宋体"/>
                <w:szCs w:val="21"/>
              </w:rPr>
            </w:pPr>
            <w:r>
              <w:rPr>
                <w:rFonts w:hint="eastAsia" w:ascii="宋体" w:hAnsi="宋体"/>
                <w:szCs w:val="21"/>
              </w:rPr>
              <w:t>1</w:t>
            </w:r>
          </w:p>
        </w:tc>
        <w:tc>
          <w:tcPr>
            <w:tcW w:w="1470" w:type="dxa"/>
            <w:noWrap w:val="0"/>
            <w:vAlign w:val="top"/>
          </w:tcPr>
          <w:p w14:paraId="50D16D39">
            <w:pPr>
              <w:spacing w:before="96" w:beforeLines="40" w:after="96" w:afterLines="40" w:line="400" w:lineRule="exact"/>
              <w:rPr>
                <w:rFonts w:hint="eastAsia" w:ascii="宋体" w:hAnsi="宋体"/>
                <w:szCs w:val="21"/>
              </w:rPr>
            </w:pPr>
          </w:p>
        </w:tc>
        <w:tc>
          <w:tcPr>
            <w:tcW w:w="2520" w:type="dxa"/>
            <w:noWrap w:val="0"/>
            <w:vAlign w:val="top"/>
          </w:tcPr>
          <w:p w14:paraId="7DB1D8AD">
            <w:pPr>
              <w:spacing w:before="96" w:beforeLines="40" w:after="96" w:afterLines="40" w:line="400" w:lineRule="exact"/>
              <w:rPr>
                <w:rFonts w:hint="eastAsia" w:ascii="宋体" w:hAnsi="宋体"/>
                <w:szCs w:val="21"/>
              </w:rPr>
            </w:pPr>
          </w:p>
        </w:tc>
        <w:tc>
          <w:tcPr>
            <w:tcW w:w="2310" w:type="dxa"/>
            <w:noWrap w:val="0"/>
            <w:vAlign w:val="top"/>
          </w:tcPr>
          <w:p w14:paraId="4BCD513F">
            <w:pPr>
              <w:spacing w:before="96" w:beforeLines="40" w:after="96" w:afterLines="40" w:line="400" w:lineRule="exact"/>
              <w:rPr>
                <w:rFonts w:ascii="宋体" w:hAnsi="宋体"/>
                <w:szCs w:val="21"/>
              </w:rPr>
            </w:pPr>
          </w:p>
        </w:tc>
        <w:tc>
          <w:tcPr>
            <w:tcW w:w="1890" w:type="dxa"/>
            <w:noWrap w:val="0"/>
            <w:vAlign w:val="top"/>
          </w:tcPr>
          <w:p w14:paraId="329BE107">
            <w:pPr>
              <w:spacing w:before="96" w:beforeLines="40" w:after="96" w:afterLines="40" w:line="400" w:lineRule="exact"/>
              <w:rPr>
                <w:rFonts w:ascii="宋体" w:hAnsi="宋体"/>
                <w:szCs w:val="21"/>
              </w:rPr>
            </w:pPr>
          </w:p>
        </w:tc>
      </w:tr>
      <w:tr w14:paraId="40A8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0F5B9A97">
            <w:pPr>
              <w:spacing w:before="96" w:beforeLines="40" w:after="96" w:afterLines="40" w:line="400" w:lineRule="exact"/>
              <w:jc w:val="center"/>
              <w:rPr>
                <w:rFonts w:hint="eastAsia" w:ascii="宋体" w:hAnsi="宋体"/>
                <w:szCs w:val="21"/>
              </w:rPr>
            </w:pPr>
            <w:r>
              <w:rPr>
                <w:rFonts w:hint="eastAsia" w:ascii="宋体" w:hAnsi="宋体"/>
                <w:szCs w:val="21"/>
              </w:rPr>
              <w:t>2</w:t>
            </w:r>
          </w:p>
        </w:tc>
        <w:tc>
          <w:tcPr>
            <w:tcW w:w="1470" w:type="dxa"/>
            <w:noWrap w:val="0"/>
            <w:vAlign w:val="top"/>
          </w:tcPr>
          <w:p w14:paraId="17EF6E76">
            <w:pPr>
              <w:spacing w:before="96" w:beforeLines="40" w:after="96" w:afterLines="40" w:line="400" w:lineRule="exact"/>
              <w:rPr>
                <w:rFonts w:hint="eastAsia" w:ascii="宋体" w:hAnsi="宋体"/>
                <w:szCs w:val="21"/>
              </w:rPr>
            </w:pPr>
          </w:p>
        </w:tc>
        <w:tc>
          <w:tcPr>
            <w:tcW w:w="2520" w:type="dxa"/>
            <w:noWrap w:val="0"/>
            <w:vAlign w:val="top"/>
          </w:tcPr>
          <w:p w14:paraId="6976DB92">
            <w:pPr>
              <w:spacing w:before="96" w:beforeLines="40" w:after="96" w:afterLines="40" w:line="400" w:lineRule="exact"/>
              <w:rPr>
                <w:rFonts w:hint="eastAsia" w:ascii="宋体" w:hAnsi="宋体"/>
                <w:szCs w:val="21"/>
              </w:rPr>
            </w:pPr>
          </w:p>
        </w:tc>
        <w:tc>
          <w:tcPr>
            <w:tcW w:w="2310" w:type="dxa"/>
            <w:noWrap w:val="0"/>
            <w:vAlign w:val="top"/>
          </w:tcPr>
          <w:p w14:paraId="4A18465E">
            <w:pPr>
              <w:spacing w:before="96" w:beforeLines="40" w:after="96" w:afterLines="40" w:line="400" w:lineRule="exact"/>
              <w:rPr>
                <w:rFonts w:ascii="宋体" w:hAnsi="宋体"/>
                <w:szCs w:val="21"/>
              </w:rPr>
            </w:pPr>
          </w:p>
        </w:tc>
        <w:tc>
          <w:tcPr>
            <w:tcW w:w="1890" w:type="dxa"/>
            <w:noWrap w:val="0"/>
            <w:vAlign w:val="top"/>
          </w:tcPr>
          <w:p w14:paraId="14F244EF">
            <w:pPr>
              <w:spacing w:before="96" w:beforeLines="40" w:after="96" w:afterLines="40" w:line="400" w:lineRule="exact"/>
              <w:rPr>
                <w:rFonts w:ascii="宋体" w:hAnsi="宋体"/>
                <w:szCs w:val="21"/>
              </w:rPr>
            </w:pPr>
          </w:p>
        </w:tc>
      </w:tr>
      <w:tr w14:paraId="0A49C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0973128C">
            <w:pPr>
              <w:spacing w:before="96" w:beforeLines="40" w:after="96" w:afterLines="40" w:line="400" w:lineRule="exact"/>
              <w:jc w:val="center"/>
              <w:rPr>
                <w:rFonts w:hint="eastAsia" w:ascii="宋体" w:hAnsi="宋体"/>
                <w:szCs w:val="21"/>
              </w:rPr>
            </w:pPr>
            <w:r>
              <w:rPr>
                <w:rFonts w:hint="eastAsia" w:ascii="宋体" w:hAnsi="宋体"/>
                <w:szCs w:val="21"/>
              </w:rPr>
              <w:t>3</w:t>
            </w:r>
          </w:p>
        </w:tc>
        <w:tc>
          <w:tcPr>
            <w:tcW w:w="1470" w:type="dxa"/>
            <w:noWrap w:val="0"/>
            <w:vAlign w:val="top"/>
          </w:tcPr>
          <w:p w14:paraId="7A7C8A56">
            <w:pPr>
              <w:spacing w:before="96" w:beforeLines="40" w:after="96" w:afterLines="40" w:line="400" w:lineRule="exact"/>
              <w:rPr>
                <w:rFonts w:hint="eastAsia" w:ascii="宋体" w:hAnsi="宋体"/>
                <w:szCs w:val="21"/>
              </w:rPr>
            </w:pPr>
          </w:p>
        </w:tc>
        <w:tc>
          <w:tcPr>
            <w:tcW w:w="2520" w:type="dxa"/>
            <w:noWrap w:val="0"/>
            <w:vAlign w:val="top"/>
          </w:tcPr>
          <w:p w14:paraId="0247F9E6">
            <w:pPr>
              <w:spacing w:before="96" w:beforeLines="40" w:after="96" w:afterLines="40" w:line="400" w:lineRule="exact"/>
              <w:rPr>
                <w:rFonts w:hint="eastAsia" w:ascii="宋体" w:hAnsi="宋体"/>
                <w:szCs w:val="21"/>
              </w:rPr>
            </w:pPr>
          </w:p>
        </w:tc>
        <w:tc>
          <w:tcPr>
            <w:tcW w:w="2310" w:type="dxa"/>
            <w:noWrap w:val="0"/>
            <w:vAlign w:val="top"/>
          </w:tcPr>
          <w:p w14:paraId="15D52F43">
            <w:pPr>
              <w:pStyle w:val="38"/>
              <w:spacing w:before="96" w:beforeLines="40" w:after="96" w:afterLines="40" w:line="400" w:lineRule="exact"/>
              <w:rPr>
                <w:rFonts w:ascii="宋体" w:hAnsi="宋体"/>
                <w:sz w:val="21"/>
                <w:szCs w:val="21"/>
              </w:rPr>
            </w:pPr>
          </w:p>
        </w:tc>
        <w:tc>
          <w:tcPr>
            <w:tcW w:w="1890" w:type="dxa"/>
            <w:noWrap w:val="0"/>
            <w:vAlign w:val="top"/>
          </w:tcPr>
          <w:p w14:paraId="40C03DA3">
            <w:pPr>
              <w:spacing w:before="96" w:beforeLines="40" w:after="96" w:afterLines="40" w:line="400" w:lineRule="exact"/>
              <w:rPr>
                <w:rFonts w:ascii="宋体" w:hAnsi="宋体"/>
                <w:szCs w:val="21"/>
              </w:rPr>
            </w:pPr>
          </w:p>
        </w:tc>
      </w:tr>
      <w:tr w14:paraId="2290B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26378D71">
            <w:pPr>
              <w:spacing w:before="96" w:beforeLines="40" w:after="96" w:afterLines="40" w:line="400" w:lineRule="exact"/>
              <w:jc w:val="center"/>
              <w:rPr>
                <w:rFonts w:hint="eastAsia" w:ascii="宋体" w:hAnsi="宋体"/>
                <w:szCs w:val="21"/>
              </w:rPr>
            </w:pPr>
            <w:r>
              <w:rPr>
                <w:rFonts w:hint="eastAsia" w:ascii="宋体" w:hAnsi="宋体"/>
                <w:szCs w:val="21"/>
              </w:rPr>
              <w:t>4</w:t>
            </w:r>
          </w:p>
        </w:tc>
        <w:tc>
          <w:tcPr>
            <w:tcW w:w="1470" w:type="dxa"/>
            <w:noWrap w:val="0"/>
            <w:vAlign w:val="top"/>
          </w:tcPr>
          <w:p w14:paraId="573A40D4">
            <w:pPr>
              <w:spacing w:before="96" w:beforeLines="40" w:after="96" w:afterLines="40" w:line="400" w:lineRule="exact"/>
              <w:rPr>
                <w:rFonts w:hint="eastAsia" w:ascii="宋体" w:hAnsi="宋体"/>
                <w:szCs w:val="21"/>
              </w:rPr>
            </w:pPr>
          </w:p>
        </w:tc>
        <w:tc>
          <w:tcPr>
            <w:tcW w:w="2520" w:type="dxa"/>
            <w:noWrap w:val="0"/>
            <w:vAlign w:val="top"/>
          </w:tcPr>
          <w:p w14:paraId="66CCCD1F">
            <w:pPr>
              <w:spacing w:before="96" w:beforeLines="40" w:after="96" w:afterLines="40" w:line="400" w:lineRule="exact"/>
              <w:rPr>
                <w:rFonts w:hint="eastAsia" w:ascii="宋体" w:hAnsi="宋体"/>
                <w:szCs w:val="21"/>
              </w:rPr>
            </w:pPr>
          </w:p>
        </w:tc>
        <w:tc>
          <w:tcPr>
            <w:tcW w:w="2310" w:type="dxa"/>
            <w:noWrap w:val="0"/>
            <w:vAlign w:val="top"/>
          </w:tcPr>
          <w:p w14:paraId="118AD2E5">
            <w:pPr>
              <w:spacing w:before="96" w:beforeLines="40" w:after="96" w:afterLines="40" w:line="400" w:lineRule="exact"/>
              <w:rPr>
                <w:rFonts w:ascii="宋体" w:hAnsi="宋体"/>
                <w:szCs w:val="21"/>
              </w:rPr>
            </w:pPr>
          </w:p>
        </w:tc>
        <w:tc>
          <w:tcPr>
            <w:tcW w:w="1890" w:type="dxa"/>
            <w:noWrap w:val="0"/>
            <w:vAlign w:val="top"/>
          </w:tcPr>
          <w:p w14:paraId="4FEB719B">
            <w:pPr>
              <w:spacing w:before="96" w:beforeLines="40" w:after="96" w:afterLines="40" w:line="400" w:lineRule="exact"/>
              <w:rPr>
                <w:rFonts w:ascii="宋体" w:hAnsi="宋体"/>
                <w:szCs w:val="21"/>
              </w:rPr>
            </w:pPr>
          </w:p>
        </w:tc>
      </w:tr>
      <w:tr w14:paraId="42389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030" w:type="dxa"/>
            <w:gridSpan w:val="5"/>
            <w:noWrap w:val="0"/>
            <w:vAlign w:val="center"/>
          </w:tcPr>
          <w:p w14:paraId="1A14D635">
            <w:pPr>
              <w:pStyle w:val="12"/>
              <w:spacing w:before="96" w:beforeLines="40" w:after="96" w:afterLines="40" w:line="400" w:lineRule="exact"/>
              <w:jc w:val="center"/>
              <w:rPr>
                <w:rFonts w:hint="eastAsia" w:hAnsi="宋体"/>
                <w:b/>
                <w:szCs w:val="21"/>
              </w:rPr>
            </w:pPr>
            <w:r>
              <w:rPr>
                <w:rFonts w:hint="eastAsia" w:hAnsi="宋体"/>
                <w:b/>
                <w:szCs w:val="21"/>
              </w:rPr>
              <w:t>第二部分：商务响应</w:t>
            </w:r>
          </w:p>
        </w:tc>
      </w:tr>
      <w:tr w14:paraId="7A48B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6F945DA4">
            <w:pPr>
              <w:pStyle w:val="12"/>
              <w:spacing w:before="96" w:beforeLines="40" w:after="96" w:afterLines="40" w:line="400" w:lineRule="exact"/>
              <w:jc w:val="center"/>
              <w:rPr>
                <w:rFonts w:hint="eastAsia" w:hAnsi="宋体"/>
                <w:b/>
                <w:szCs w:val="21"/>
              </w:rPr>
            </w:pPr>
            <w:r>
              <w:rPr>
                <w:rFonts w:hint="eastAsia" w:hAnsi="宋体"/>
                <w:b/>
                <w:szCs w:val="21"/>
              </w:rPr>
              <w:t>序号</w:t>
            </w:r>
          </w:p>
        </w:tc>
        <w:tc>
          <w:tcPr>
            <w:tcW w:w="1470" w:type="dxa"/>
            <w:noWrap w:val="0"/>
            <w:vAlign w:val="center"/>
          </w:tcPr>
          <w:p w14:paraId="7D63EF12">
            <w:pPr>
              <w:pStyle w:val="12"/>
              <w:spacing w:before="96" w:beforeLines="40" w:after="96" w:afterLines="40" w:line="400" w:lineRule="exact"/>
              <w:jc w:val="center"/>
              <w:rPr>
                <w:rFonts w:hint="eastAsia" w:hAnsi="宋体"/>
                <w:b/>
                <w:szCs w:val="21"/>
              </w:rPr>
            </w:pPr>
            <w:r>
              <w:rPr>
                <w:rFonts w:hint="eastAsia" w:hAnsi="宋体"/>
                <w:b/>
                <w:szCs w:val="21"/>
              </w:rPr>
              <w:t>内容</w:t>
            </w:r>
          </w:p>
        </w:tc>
        <w:tc>
          <w:tcPr>
            <w:tcW w:w="2520" w:type="dxa"/>
            <w:noWrap w:val="0"/>
            <w:vAlign w:val="center"/>
          </w:tcPr>
          <w:p w14:paraId="414E1FBA">
            <w:pPr>
              <w:pStyle w:val="12"/>
              <w:spacing w:before="96" w:beforeLines="40" w:after="96" w:afterLines="40" w:line="400" w:lineRule="exact"/>
              <w:jc w:val="center"/>
              <w:rPr>
                <w:rFonts w:hint="eastAsia" w:hAnsi="宋体"/>
                <w:b/>
                <w:szCs w:val="21"/>
              </w:rPr>
            </w:pPr>
            <w:r>
              <w:rPr>
                <w:rFonts w:hint="eastAsia" w:hAnsi="宋体"/>
                <w:b/>
                <w:szCs w:val="21"/>
              </w:rPr>
              <w:t>招标要求</w:t>
            </w:r>
          </w:p>
        </w:tc>
        <w:tc>
          <w:tcPr>
            <w:tcW w:w="2310" w:type="dxa"/>
            <w:noWrap w:val="0"/>
            <w:vAlign w:val="center"/>
          </w:tcPr>
          <w:p w14:paraId="09E31D02">
            <w:pPr>
              <w:pStyle w:val="12"/>
              <w:spacing w:before="96" w:beforeLines="40" w:after="96" w:afterLines="40" w:line="400" w:lineRule="exact"/>
              <w:jc w:val="center"/>
              <w:rPr>
                <w:rFonts w:hint="eastAsia" w:hAnsi="宋体"/>
                <w:b/>
                <w:szCs w:val="21"/>
              </w:rPr>
            </w:pPr>
            <w:r>
              <w:rPr>
                <w:rFonts w:hint="eastAsia" w:hAnsi="宋体"/>
                <w:b/>
                <w:szCs w:val="21"/>
              </w:rPr>
              <w:t>投标承诺</w:t>
            </w:r>
          </w:p>
        </w:tc>
        <w:tc>
          <w:tcPr>
            <w:tcW w:w="1890" w:type="dxa"/>
            <w:noWrap w:val="0"/>
            <w:vAlign w:val="center"/>
          </w:tcPr>
          <w:p w14:paraId="6EDB17F2">
            <w:pPr>
              <w:pStyle w:val="12"/>
              <w:spacing w:before="96" w:beforeLines="40" w:after="96" w:afterLines="40" w:line="400" w:lineRule="exact"/>
              <w:jc w:val="center"/>
              <w:rPr>
                <w:rFonts w:hint="eastAsia" w:hAnsi="宋体"/>
                <w:b/>
                <w:szCs w:val="21"/>
              </w:rPr>
            </w:pPr>
            <w:r>
              <w:rPr>
                <w:rFonts w:hint="eastAsia" w:hAnsi="宋体"/>
                <w:b/>
                <w:szCs w:val="21"/>
              </w:rPr>
              <w:t>偏离说明</w:t>
            </w:r>
          </w:p>
        </w:tc>
      </w:tr>
      <w:tr w14:paraId="6B4D4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4F7709CA">
            <w:pPr>
              <w:spacing w:before="96" w:beforeLines="40" w:after="96" w:afterLines="40" w:line="400" w:lineRule="exact"/>
              <w:jc w:val="center"/>
              <w:rPr>
                <w:rFonts w:hint="eastAsia" w:ascii="宋体" w:hAnsi="宋体"/>
                <w:szCs w:val="21"/>
              </w:rPr>
            </w:pPr>
            <w:r>
              <w:rPr>
                <w:rFonts w:hint="eastAsia" w:ascii="宋体" w:hAnsi="宋体"/>
                <w:szCs w:val="21"/>
              </w:rPr>
              <w:t>1</w:t>
            </w:r>
          </w:p>
        </w:tc>
        <w:tc>
          <w:tcPr>
            <w:tcW w:w="1470" w:type="dxa"/>
            <w:noWrap w:val="0"/>
            <w:vAlign w:val="center"/>
          </w:tcPr>
          <w:p w14:paraId="3D5DACD6">
            <w:pPr>
              <w:spacing w:before="96" w:beforeLines="40" w:after="96" w:afterLines="40" w:line="400" w:lineRule="exact"/>
              <w:jc w:val="center"/>
              <w:rPr>
                <w:rFonts w:hint="eastAsia" w:ascii="宋体" w:hAnsi="宋体"/>
                <w:szCs w:val="21"/>
              </w:rPr>
            </w:pPr>
            <w:r>
              <w:rPr>
                <w:rFonts w:hint="eastAsia" w:ascii="宋体" w:hAnsi="宋体"/>
                <w:szCs w:val="21"/>
              </w:rPr>
              <w:t>免费质保期</w:t>
            </w:r>
          </w:p>
        </w:tc>
        <w:tc>
          <w:tcPr>
            <w:tcW w:w="2520" w:type="dxa"/>
            <w:noWrap w:val="0"/>
            <w:vAlign w:val="top"/>
          </w:tcPr>
          <w:p w14:paraId="69828BBC">
            <w:pPr>
              <w:spacing w:before="96" w:beforeLines="40" w:after="96" w:afterLines="40" w:line="400" w:lineRule="exact"/>
              <w:rPr>
                <w:rFonts w:hint="eastAsia" w:ascii="宋体" w:hAnsi="宋体"/>
                <w:szCs w:val="21"/>
              </w:rPr>
            </w:pPr>
          </w:p>
        </w:tc>
        <w:tc>
          <w:tcPr>
            <w:tcW w:w="2310" w:type="dxa"/>
            <w:noWrap w:val="0"/>
            <w:vAlign w:val="top"/>
          </w:tcPr>
          <w:p w14:paraId="413595F4">
            <w:pPr>
              <w:spacing w:before="96" w:beforeLines="40" w:after="96" w:afterLines="40" w:line="400" w:lineRule="exact"/>
              <w:rPr>
                <w:rFonts w:ascii="宋体" w:hAnsi="宋体"/>
                <w:szCs w:val="21"/>
              </w:rPr>
            </w:pPr>
          </w:p>
        </w:tc>
        <w:tc>
          <w:tcPr>
            <w:tcW w:w="1890" w:type="dxa"/>
            <w:noWrap w:val="0"/>
            <w:vAlign w:val="top"/>
          </w:tcPr>
          <w:p w14:paraId="54A46DC1">
            <w:pPr>
              <w:spacing w:before="96" w:beforeLines="40" w:after="96" w:afterLines="40" w:line="400" w:lineRule="exact"/>
              <w:rPr>
                <w:rFonts w:ascii="宋体" w:hAnsi="宋体"/>
                <w:szCs w:val="21"/>
              </w:rPr>
            </w:pPr>
          </w:p>
        </w:tc>
      </w:tr>
      <w:tr w14:paraId="4791D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6EF29A8C">
            <w:pPr>
              <w:spacing w:before="96" w:beforeLines="40" w:after="96" w:afterLines="40" w:line="400" w:lineRule="exact"/>
              <w:jc w:val="center"/>
              <w:rPr>
                <w:rFonts w:hint="eastAsia" w:ascii="宋体" w:hAnsi="宋体"/>
                <w:szCs w:val="21"/>
              </w:rPr>
            </w:pPr>
            <w:r>
              <w:rPr>
                <w:rFonts w:hint="eastAsia" w:ascii="宋体" w:hAnsi="宋体"/>
                <w:szCs w:val="21"/>
              </w:rPr>
              <w:t>2</w:t>
            </w:r>
          </w:p>
        </w:tc>
        <w:tc>
          <w:tcPr>
            <w:tcW w:w="1470" w:type="dxa"/>
            <w:noWrap w:val="0"/>
            <w:vAlign w:val="center"/>
          </w:tcPr>
          <w:p w14:paraId="6BB67BFA">
            <w:pPr>
              <w:spacing w:before="96" w:beforeLines="40" w:after="96" w:afterLines="40" w:line="400" w:lineRule="exact"/>
              <w:jc w:val="center"/>
              <w:rPr>
                <w:rFonts w:hint="eastAsia" w:ascii="宋体" w:hAnsi="宋体"/>
                <w:szCs w:val="21"/>
              </w:rPr>
            </w:pPr>
            <w:r>
              <w:rPr>
                <w:rFonts w:hint="eastAsia" w:ascii="宋体" w:hAnsi="宋体"/>
                <w:szCs w:val="21"/>
              </w:rPr>
              <w:t>付款方式</w:t>
            </w:r>
          </w:p>
        </w:tc>
        <w:tc>
          <w:tcPr>
            <w:tcW w:w="2520" w:type="dxa"/>
            <w:noWrap w:val="0"/>
            <w:vAlign w:val="top"/>
          </w:tcPr>
          <w:p w14:paraId="4BECF7FA">
            <w:pPr>
              <w:spacing w:before="96" w:beforeLines="40" w:after="96" w:afterLines="40" w:line="400" w:lineRule="exact"/>
              <w:rPr>
                <w:rFonts w:hint="eastAsia" w:ascii="宋体" w:hAnsi="宋体"/>
                <w:szCs w:val="21"/>
              </w:rPr>
            </w:pPr>
          </w:p>
        </w:tc>
        <w:tc>
          <w:tcPr>
            <w:tcW w:w="2310" w:type="dxa"/>
            <w:noWrap w:val="0"/>
            <w:vAlign w:val="top"/>
          </w:tcPr>
          <w:p w14:paraId="78ECED44">
            <w:pPr>
              <w:spacing w:before="96" w:beforeLines="40" w:after="96" w:afterLines="40" w:line="400" w:lineRule="exact"/>
              <w:rPr>
                <w:rFonts w:ascii="宋体" w:hAnsi="宋体"/>
                <w:szCs w:val="21"/>
              </w:rPr>
            </w:pPr>
          </w:p>
        </w:tc>
        <w:tc>
          <w:tcPr>
            <w:tcW w:w="1890" w:type="dxa"/>
            <w:noWrap w:val="0"/>
            <w:vAlign w:val="top"/>
          </w:tcPr>
          <w:p w14:paraId="188703C9">
            <w:pPr>
              <w:spacing w:before="96" w:beforeLines="40" w:after="96" w:afterLines="40" w:line="400" w:lineRule="exact"/>
              <w:rPr>
                <w:rFonts w:ascii="宋体" w:hAnsi="宋体"/>
                <w:szCs w:val="21"/>
              </w:rPr>
            </w:pPr>
          </w:p>
        </w:tc>
      </w:tr>
      <w:tr w14:paraId="74D2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6C9BF07D">
            <w:pPr>
              <w:spacing w:before="96" w:beforeLines="40" w:after="96" w:afterLines="40" w:line="400" w:lineRule="exact"/>
              <w:jc w:val="center"/>
              <w:rPr>
                <w:rFonts w:hint="eastAsia" w:ascii="宋体" w:hAnsi="宋体"/>
                <w:szCs w:val="21"/>
              </w:rPr>
            </w:pPr>
            <w:r>
              <w:rPr>
                <w:rFonts w:hint="eastAsia" w:ascii="宋体" w:hAnsi="宋体"/>
                <w:szCs w:val="21"/>
              </w:rPr>
              <w:t>3</w:t>
            </w:r>
          </w:p>
        </w:tc>
        <w:tc>
          <w:tcPr>
            <w:tcW w:w="1470" w:type="dxa"/>
            <w:noWrap w:val="0"/>
            <w:vAlign w:val="center"/>
          </w:tcPr>
          <w:p w14:paraId="1CC15CFE">
            <w:pPr>
              <w:spacing w:before="96" w:beforeLines="40" w:after="96" w:afterLines="40" w:line="400" w:lineRule="exact"/>
              <w:jc w:val="center"/>
              <w:rPr>
                <w:rFonts w:hint="default" w:ascii="宋体" w:hAnsi="宋体" w:eastAsia="宋体"/>
                <w:szCs w:val="21"/>
                <w:lang w:val="en-US" w:eastAsia="zh-CN"/>
              </w:rPr>
            </w:pPr>
            <w:r>
              <w:rPr>
                <w:rFonts w:hint="eastAsia" w:ascii="宋体" w:hAnsi="宋体"/>
                <w:szCs w:val="21"/>
                <w:lang w:val="en-US" w:eastAsia="zh-CN"/>
              </w:rPr>
              <w:t>...</w:t>
            </w:r>
          </w:p>
        </w:tc>
        <w:tc>
          <w:tcPr>
            <w:tcW w:w="2520" w:type="dxa"/>
            <w:noWrap w:val="0"/>
            <w:vAlign w:val="top"/>
          </w:tcPr>
          <w:p w14:paraId="7D441B66">
            <w:pPr>
              <w:spacing w:before="96" w:beforeLines="40" w:after="96" w:afterLines="40" w:line="400" w:lineRule="exact"/>
              <w:rPr>
                <w:rFonts w:hint="eastAsia" w:ascii="宋体" w:hAnsi="宋体"/>
                <w:szCs w:val="21"/>
              </w:rPr>
            </w:pPr>
          </w:p>
        </w:tc>
        <w:tc>
          <w:tcPr>
            <w:tcW w:w="2310" w:type="dxa"/>
            <w:noWrap w:val="0"/>
            <w:vAlign w:val="top"/>
          </w:tcPr>
          <w:p w14:paraId="7C4DD8BB">
            <w:pPr>
              <w:spacing w:before="96" w:beforeLines="40" w:after="96" w:afterLines="40" w:line="400" w:lineRule="exact"/>
              <w:rPr>
                <w:rFonts w:ascii="宋体" w:hAnsi="宋体"/>
                <w:szCs w:val="21"/>
              </w:rPr>
            </w:pPr>
          </w:p>
        </w:tc>
        <w:tc>
          <w:tcPr>
            <w:tcW w:w="1890" w:type="dxa"/>
            <w:noWrap w:val="0"/>
            <w:vAlign w:val="top"/>
          </w:tcPr>
          <w:p w14:paraId="584B0D7B">
            <w:pPr>
              <w:spacing w:before="96" w:beforeLines="40" w:after="96" w:afterLines="40" w:line="400" w:lineRule="exact"/>
              <w:rPr>
                <w:rFonts w:ascii="宋体" w:hAnsi="宋体"/>
                <w:szCs w:val="21"/>
              </w:rPr>
            </w:pPr>
          </w:p>
        </w:tc>
      </w:tr>
      <w:tr w14:paraId="44990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7C5E24F3">
            <w:pPr>
              <w:spacing w:before="96" w:beforeLines="40" w:after="96" w:afterLines="40" w:line="400" w:lineRule="exact"/>
              <w:jc w:val="center"/>
              <w:rPr>
                <w:rFonts w:hint="eastAsia" w:ascii="宋体" w:hAnsi="宋体"/>
                <w:szCs w:val="21"/>
              </w:rPr>
            </w:pPr>
            <w:r>
              <w:rPr>
                <w:rFonts w:hint="eastAsia" w:ascii="宋体" w:hAnsi="宋体"/>
                <w:szCs w:val="21"/>
              </w:rPr>
              <w:t>4</w:t>
            </w:r>
          </w:p>
        </w:tc>
        <w:tc>
          <w:tcPr>
            <w:tcW w:w="1470" w:type="dxa"/>
            <w:noWrap w:val="0"/>
            <w:vAlign w:val="center"/>
          </w:tcPr>
          <w:p w14:paraId="16288986">
            <w:pPr>
              <w:spacing w:before="96" w:beforeLines="40" w:after="96" w:afterLines="40" w:line="400" w:lineRule="exact"/>
              <w:jc w:val="center"/>
              <w:rPr>
                <w:rFonts w:hint="eastAsia" w:ascii="宋体" w:hAnsi="宋体"/>
                <w:szCs w:val="21"/>
              </w:rPr>
            </w:pPr>
          </w:p>
        </w:tc>
        <w:tc>
          <w:tcPr>
            <w:tcW w:w="2520" w:type="dxa"/>
            <w:noWrap w:val="0"/>
            <w:vAlign w:val="top"/>
          </w:tcPr>
          <w:p w14:paraId="1DB40AEC">
            <w:pPr>
              <w:spacing w:before="96" w:beforeLines="40" w:after="96" w:afterLines="40" w:line="400" w:lineRule="exact"/>
              <w:rPr>
                <w:rFonts w:hint="eastAsia" w:ascii="宋体" w:hAnsi="宋体"/>
                <w:szCs w:val="21"/>
              </w:rPr>
            </w:pPr>
          </w:p>
        </w:tc>
        <w:tc>
          <w:tcPr>
            <w:tcW w:w="2310" w:type="dxa"/>
            <w:noWrap w:val="0"/>
            <w:vAlign w:val="top"/>
          </w:tcPr>
          <w:p w14:paraId="313A6F53">
            <w:pPr>
              <w:spacing w:before="96" w:beforeLines="40" w:after="96" w:afterLines="40" w:line="400" w:lineRule="exact"/>
              <w:rPr>
                <w:rFonts w:ascii="宋体" w:hAnsi="宋体"/>
                <w:szCs w:val="21"/>
              </w:rPr>
            </w:pPr>
          </w:p>
        </w:tc>
        <w:tc>
          <w:tcPr>
            <w:tcW w:w="1890" w:type="dxa"/>
            <w:noWrap w:val="0"/>
            <w:vAlign w:val="top"/>
          </w:tcPr>
          <w:p w14:paraId="7423B473">
            <w:pPr>
              <w:spacing w:before="96" w:beforeLines="40" w:after="96" w:afterLines="40" w:line="400" w:lineRule="exact"/>
              <w:rPr>
                <w:rFonts w:ascii="宋体" w:hAnsi="宋体"/>
                <w:szCs w:val="21"/>
              </w:rPr>
            </w:pPr>
          </w:p>
        </w:tc>
      </w:tr>
      <w:tr w14:paraId="3FFE2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noWrap w:val="0"/>
            <w:vAlign w:val="center"/>
          </w:tcPr>
          <w:p w14:paraId="155901C7">
            <w:pPr>
              <w:spacing w:before="96" w:beforeLines="40" w:after="96" w:afterLines="40" w:line="400" w:lineRule="exact"/>
              <w:jc w:val="center"/>
              <w:rPr>
                <w:rFonts w:hint="eastAsia" w:ascii="宋体" w:hAnsi="宋体"/>
                <w:szCs w:val="21"/>
              </w:rPr>
            </w:pPr>
            <w:r>
              <w:rPr>
                <w:rFonts w:hint="eastAsia" w:ascii="宋体" w:hAnsi="宋体"/>
                <w:szCs w:val="21"/>
              </w:rPr>
              <w:t>5</w:t>
            </w:r>
          </w:p>
        </w:tc>
        <w:tc>
          <w:tcPr>
            <w:tcW w:w="1470" w:type="dxa"/>
            <w:noWrap w:val="0"/>
            <w:vAlign w:val="center"/>
          </w:tcPr>
          <w:p w14:paraId="57782BFD">
            <w:pPr>
              <w:spacing w:before="96" w:beforeLines="40" w:after="96" w:afterLines="40" w:line="400" w:lineRule="exact"/>
              <w:jc w:val="center"/>
              <w:rPr>
                <w:rFonts w:hint="eastAsia" w:ascii="宋体" w:hAnsi="宋体"/>
                <w:szCs w:val="21"/>
              </w:rPr>
            </w:pPr>
          </w:p>
        </w:tc>
        <w:tc>
          <w:tcPr>
            <w:tcW w:w="2520" w:type="dxa"/>
            <w:noWrap w:val="0"/>
            <w:vAlign w:val="top"/>
          </w:tcPr>
          <w:p w14:paraId="65EEAFC6">
            <w:pPr>
              <w:spacing w:before="96" w:beforeLines="40" w:after="96" w:afterLines="40" w:line="400" w:lineRule="exact"/>
              <w:rPr>
                <w:rFonts w:hint="eastAsia" w:ascii="宋体" w:hAnsi="宋体"/>
                <w:szCs w:val="21"/>
              </w:rPr>
            </w:pPr>
          </w:p>
        </w:tc>
        <w:tc>
          <w:tcPr>
            <w:tcW w:w="2310" w:type="dxa"/>
            <w:noWrap w:val="0"/>
            <w:vAlign w:val="top"/>
          </w:tcPr>
          <w:p w14:paraId="3785C236">
            <w:pPr>
              <w:spacing w:before="96" w:beforeLines="40" w:after="96" w:afterLines="40" w:line="400" w:lineRule="exact"/>
              <w:rPr>
                <w:rFonts w:ascii="宋体" w:hAnsi="宋体"/>
                <w:szCs w:val="21"/>
              </w:rPr>
            </w:pPr>
          </w:p>
        </w:tc>
        <w:tc>
          <w:tcPr>
            <w:tcW w:w="1890" w:type="dxa"/>
            <w:noWrap w:val="0"/>
            <w:vAlign w:val="top"/>
          </w:tcPr>
          <w:p w14:paraId="18616D0F">
            <w:pPr>
              <w:spacing w:before="96" w:beforeLines="40" w:after="96" w:afterLines="40" w:line="400" w:lineRule="exact"/>
              <w:rPr>
                <w:rFonts w:ascii="宋体" w:hAnsi="宋体"/>
                <w:szCs w:val="21"/>
              </w:rPr>
            </w:pPr>
          </w:p>
        </w:tc>
      </w:tr>
    </w:tbl>
    <w:p w14:paraId="6F20C9E6">
      <w:pPr>
        <w:spacing w:before="96" w:beforeLines="40" w:after="96" w:afterLines="40" w:line="400" w:lineRule="exact"/>
        <w:ind w:firstLine="2520" w:firstLineChars="1200"/>
        <w:rPr>
          <w:rFonts w:hint="eastAsia" w:ascii="宋体" w:hAnsi="宋体"/>
          <w:szCs w:val="21"/>
        </w:rPr>
      </w:pPr>
    </w:p>
    <w:p w14:paraId="7A7A2278">
      <w:pPr>
        <w:spacing w:before="96" w:beforeLines="40" w:after="96" w:afterLines="40" w:line="400" w:lineRule="exact"/>
        <w:ind w:firstLine="2520" w:firstLineChars="1200"/>
        <w:rPr>
          <w:rFonts w:hint="eastAsia" w:ascii="宋体" w:hAnsi="宋体"/>
          <w:szCs w:val="21"/>
          <w:u w:val="single"/>
        </w:rPr>
      </w:pPr>
      <w:r>
        <w:rPr>
          <w:rFonts w:hint="eastAsia" w:ascii="宋体" w:hAnsi="宋体"/>
          <w:szCs w:val="21"/>
          <w:lang w:eastAsia="zh-CN"/>
        </w:rPr>
        <w:t>投标人电子签章</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p>
    <w:p w14:paraId="5B74BF07">
      <w:pPr>
        <w:adjustRightInd w:val="0"/>
        <w:snapToGrid w:val="0"/>
        <w:spacing w:before="96" w:beforeLines="40" w:after="96" w:afterLines="40" w:line="400" w:lineRule="exact"/>
        <w:ind w:firstLine="2551" w:firstLineChars="1215"/>
        <w:jc w:val="left"/>
        <w:rPr>
          <w:rFonts w:hint="eastAsia" w:ascii="宋体" w:hAnsi="宋体"/>
          <w:b/>
          <w:bCs/>
          <w:szCs w:val="21"/>
        </w:rPr>
      </w:pPr>
      <w:r>
        <w:rPr>
          <w:rFonts w:hint="eastAsia" w:ascii="宋体" w:hAnsi="宋体"/>
          <w:szCs w:val="21"/>
        </w:rPr>
        <w:t>日</w:t>
      </w:r>
      <w:r>
        <w:rPr>
          <w:rFonts w:ascii="宋体" w:hAnsi="宋体"/>
          <w:szCs w:val="21"/>
        </w:rPr>
        <w:t xml:space="preserve">      </w:t>
      </w:r>
      <w:r>
        <w:rPr>
          <w:rFonts w:hint="eastAsia" w:ascii="宋体" w:hAnsi="宋体"/>
          <w:szCs w:val="21"/>
        </w:rPr>
        <w:t>期：</w:t>
      </w:r>
      <w:r>
        <w:rPr>
          <w:rFonts w:ascii="宋体" w:hAnsi="宋体"/>
          <w:szCs w:val="21"/>
          <w:u w:val="single"/>
        </w:rPr>
        <w:t xml:space="preserve">                     </w:t>
      </w:r>
    </w:p>
    <w:p w14:paraId="6FA45468">
      <w:pPr>
        <w:adjustRightInd w:val="0"/>
        <w:snapToGrid w:val="0"/>
        <w:spacing w:before="96" w:beforeLines="40" w:after="96" w:afterLines="40" w:line="400" w:lineRule="exact"/>
        <w:ind w:firstLine="422" w:firstLineChars="200"/>
        <w:jc w:val="left"/>
        <w:rPr>
          <w:rFonts w:hint="eastAsia" w:ascii="宋体" w:hAnsi="宋体"/>
          <w:b/>
          <w:bCs/>
          <w:szCs w:val="21"/>
        </w:rPr>
      </w:pPr>
    </w:p>
    <w:p w14:paraId="1FEB1588">
      <w:pPr>
        <w:adjustRightInd w:val="0"/>
        <w:snapToGrid w:val="0"/>
        <w:spacing w:before="96" w:beforeLines="40" w:after="96" w:afterLines="40" w:line="400" w:lineRule="exact"/>
        <w:ind w:firstLine="422" w:firstLineChars="200"/>
        <w:jc w:val="left"/>
        <w:rPr>
          <w:rFonts w:hint="eastAsia" w:ascii="宋体" w:hAnsi="宋体"/>
          <w:b/>
          <w:bCs/>
          <w:szCs w:val="21"/>
        </w:rPr>
      </w:pPr>
      <w:r>
        <w:rPr>
          <w:rFonts w:hint="eastAsia" w:ascii="宋体" w:hAnsi="宋体"/>
          <w:b/>
          <w:bCs/>
          <w:szCs w:val="21"/>
        </w:rPr>
        <w:t>备注：</w:t>
      </w:r>
    </w:p>
    <w:p w14:paraId="4490D47C">
      <w:pPr>
        <w:adjustRightInd w:val="0"/>
        <w:snapToGrid w:val="0"/>
        <w:spacing w:before="96" w:beforeLines="40" w:after="96" w:afterLines="40" w:line="400" w:lineRule="exact"/>
        <w:ind w:firstLine="422" w:firstLineChars="200"/>
        <w:jc w:val="left"/>
        <w:rPr>
          <w:rFonts w:hint="eastAsia" w:ascii="宋体" w:hAnsi="宋体"/>
          <w:b/>
          <w:bCs/>
          <w:szCs w:val="21"/>
        </w:rPr>
      </w:pPr>
      <w:r>
        <w:rPr>
          <w:rFonts w:hint="eastAsia" w:ascii="宋体" w:hAnsi="宋体"/>
          <w:b/>
          <w:bCs/>
          <w:szCs w:val="21"/>
        </w:rPr>
        <w:t>1、投标供应商必须逐项对应描述投标货物主要参数、材质、配置及服务要求，如不进行描述，仅在响应栏填“响应”或未填写或复制（包括全部复制或主要参数及配置的复制）招标文件技术参数的，包括有选择性的技术响应（例如在某一分项中出现两个及以上的投标品牌或两种及两种以上的技术规格），均可能导致投标无效；</w:t>
      </w:r>
    </w:p>
    <w:p w14:paraId="636742EC">
      <w:pPr>
        <w:widowControl/>
        <w:spacing w:line="360" w:lineRule="exact"/>
        <w:ind w:firstLine="413" w:firstLineChars="196"/>
        <w:rPr>
          <w:rFonts w:hint="eastAsia" w:ascii="宋体" w:hAnsi="宋体"/>
          <w:color w:val="000000"/>
        </w:rPr>
      </w:pPr>
      <w:r>
        <w:rPr>
          <w:rFonts w:hint="eastAsia" w:ascii="宋体" w:hAnsi="宋体"/>
          <w:b/>
          <w:bCs/>
          <w:szCs w:val="21"/>
        </w:rPr>
        <w:t>2、投标供应商所投产品如与招标文件要求的规格及配置不一致，则在上表偏离说明中详细注明。</w:t>
      </w:r>
      <w:r>
        <w:rPr>
          <w:rFonts w:ascii="宋体" w:hAnsi="宋体"/>
          <w:b/>
          <w:bCs/>
          <w:szCs w:val="21"/>
        </w:rPr>
        <w:t>如不填写</w:t>
      </w:r>
      <w:r>
        <w:rPr>
          <w:rFonts w:hint="eastAsia" w:ascii="宋体" w:hAnsi="宋体"/>
          <w:b/>
          <w:bCs/>
          <w:szCs w:val="21"/>
        </w:rPr>
        <w:t>可能导致投标无效；</w:t>
      </w:r>
    </w:p>
    <w:p w14:paraId="5888EFB4">
      <w:pPr>
        <w:adjustRightInd w:val="0"/>
        <w:snapToGrid w:val="0"/>
        <w:spacing w:before="96" w:beforeLines="40" w:after="96" w:afterLines="40" w:line="400" w:lineRule="exact"/>
        <w:ind w:firstLine="422" w:firstLineChars="200"/>
        <w:jc w:val="left"/>
        <w:rPr>
          <w:rFonts w:hint="eastAsia" w:ascii="宋体" w:hAnsi="宋体"/>
          <w:b/>
          <w:bCs/>
          <w:sz w:val="24"/>
          <w:szCs w:val="28"/>
        </w:rPr>
      </w:pPr>
      <w:r>
        <w:rPr>
          <w:rFonts w:hint="eastAsia" w:ascii="宋体" w:hAnsi="宋体"/>
          <w:b/>
          <w:bCs/>
          <w:szCs w:val="21"/>
        </w:rPr>
        <w:t>3、响应部分可后附详细说明及技术支持资料（如：官方认可的检测检验机构出具的“检测报告”和/或公开发布的“产品样本”和/或“制造商官方网站公布的信息截图”等资料）。</w:t>
      </w:r>
      <w:bookmarkStart w:id="1234" w:name="_Toc220232399"/>
    </w:p>
    <w:p w14:paraId="617DFC1E">
      <w:pPr>
        <w:adjustRightInd w:val="0"/>
        <w:snapToGrid w:val="0"/>
        <w:spacing w:line="360" w:lineRule="auto"/>
        <w:rPr>
          <w:rFonts w:hint="eastAsia"/>
        </w:rPr>
      </w:pPr>
    </w:p>
    <w:p w14:paraId="34E64202">
      <w:pPr>
        <w:adjustRightInd w:val="0"/>
        <w:snapToGrid w:val="0"/>
        <w:spacing w:line="360" w:lineRule="auto"/>
        <w:rPr>
          <w:rFonts w:hint="eastAsia"/>
        </w:rPr>
      </w:pPr>
    </w:p>
    <w:p w14:paraId="546A6F5B">
      <w:pPr>
        <w:adjustRightInd w:val="0"/>
        <w:snapToGrid w:val="0"/>
        <w:spacing w:line="360" w:lineRule="auto"/>
        <w:rPr>
          <w:rFonts w:hint="eastAsia"/>
        </w:rPr>
      </w:pPr>
    </w:p>
    <w:p w14:paraId="36A7CBBA">
      <w:pPr>
        <w:adjustRightInd w:val="0"/>
        <w:snapToGrid w:val="0"/>
        <w:spacing w:line="360" w:lineRule="auto"/>
        <w:rPr>
          <w:rFonts w:hint="eastAsia"/>
        </w:rPr>
      </w:pPr>
      <w:r>
        <w:br w:type="page"/>
      </w:r>
    </w:p>
    <w:p w14:paraId="701374BE">
      <w:pPr>
        <w:pStyle w:val="3"/>
        <w:spacing w:before="0" w:after="0" w:line="240" w:lineRule="auto"/>
        <w:jc w:val="center"/>
        <w:rPr>
          <w:rFonts w:hint="eastAsia" w:hAnsi="宋体"/>
        </w:rPr>
      </w:pPr>
      <w:bookmarkStart w:id="1235" w:name="_Toc17968"/>
      <w:bookmarkStart w:id="1236" w:name="_Toc457768010"/>
      <w:bookmarkStart w:id="1237" w:name="_Toc24892"/>
      <w:bookmarkStart w:id="1238" w:name="_Toc3295936"/>
      <w:bookmarkStart w:id="1239" w:name="_Toc3215886"/>
      <w:bookmarkStart w:id="1240" w:name="_Toc9331"/>
      <w:bookmarkStart w:id="1241" w:name="_Toc1916833"/>
      <w:r>
        <w:rPr>
          <w:rFonts w:hint="eastAsia" w:hAnsi="宋体"/>
        </w:rPr>
        <w:t>七．货物说明一览表</w:t>
      </w:r>
      <w:bookmarkEnd w:id="1234"/>
      <w:bookmarkEnd w:id="1235"/>
      <w:bookmarkEnd w:id="1236"/>
      <w:bookmarkEnd w:id="1237"/>
      <w:bookmarkEnd w:id="1238"/>
      <w:bookmarkEnd w:id="1239"/>
      <w:bookmarkEnd w:id="1240"/>
      <w:bookmarkEnd w:id="1241"/>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967"/>
        <w:gridCol w:w="1575"/>
        <w:gridCol w:w="1785"/>
        <w:gridCol w:w="1470"/>
        <w:gridCol w:w="1050"/>
        <w:gridCol w:w="735"/>
        <w:gridCol w:w="1155"/>
      </w:tblGrid>
      <w:tr w14:paraId="5ED9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241" w:type="dxa"/>
            <w:noWrap w:val="0"/>
            <w:vAlign w:val="center"/>
          </w:tcPr>
          <w:p w14:paraId="000D9638">
            <w:pPr>
              <w:spacing w:before="96" w:beforeLines="40" w:after="96" w:afterLines="40" w:line="400" w:lineRule="exact"/>
              <w:rPr>
                <w:rFonts w:hint="eastAsia" w:ascii="宋体" w:hAnsi="宋体"/>
                <w:b/>
                <w:szCs w:val="21"/>
              </w:rPr>
            </w:pPr>
            <w:r>
              <w:rPr>
                <w:rFonts w:hint="eastAsia" w:ascii="宋体" w:hAnsi="宋体"/>
                <w:b/>
                <w:szCs w:val="21"/>
              </w:rPr>
              <w:t>项目包号</w:t>
            </w:r>
          </w:p>
        </w:tc>
        <w:tc>
          <w:tcPr>
            <w:tcW w:w="967" w:type="dxa"/>
            <w:noWrap w:val="0"/>
            <w:vAlign w:val="center"/>
          </w:tcPr>
          <w:p w14:paraId="5C4B21D5">
            <w:pPr>
              <w:spacing w:before="96" w:beforeLines="40" w:after="96" w:afterLines="40" w:line="400" w:lineRule="exact"/>
              <w:rPr>
                <w:rFonts w:hint="eastAsia" w:ascii="宋体" w:hAnsi="宋体"/>
                <w:b/>
                <w:szCs w:val="21"/>
              </w:rPr>
            </w:pPr>
          </w:p>
        </w:tc>
        <w:tc>
          <w:tcPr>
            <w:tcW w:w="1575" w:type="dxa"/>
            <w:noWrap w:val="0"/>
            <w:vAlign w:val="center"/>
          </w:tcPr>
          <w:p w14:paraId="11AC5682">
            <w:pPr>
              <w:spacing w:before="96" w:beforeLines="40" w:after="96" w:afterLines="40" w:line="400" w:lineRule="exact"/>
              <w:rPr>
                <w:rFonts w:hint="eastAsia" w:ascii="宋体" w:hAnsi="宋体"/>
                <w:b/>
                <w:szCs w:val="21"/>
              </w:rPr>
            </w:pPr>
            <w:r>
              <w:rPr>
                <w:rFonts w:hint="eastAsia" w:ascii="宋体" w:hAnsi="宋体"/>
                <w:b/>
                <w:szCs w:val="21"/>
              </w:rPr>
              <w:t>货物名称</w:t>
            </w:r>
          </w:p>
        </w:tc>
        <w:tc>
          <w:tcPr>
            <w:tcW w:w="1785" w:type="dxa"/>
            <w:noWrap w:val="0"/>
            <w:vAlign w:val="center"/>
          </w:tcPr>
          <w:p w14:paraId="2A650587">
            <w:pPr>
              <w:spacing w:before="96" w:beforeLines="40" w:after="96" w:afterLines="40" w:line="400" w:lineRule="exact"/>
              <w:rPr>
                <w:rFonts w:hint="eastAsia" w:ascii="宋体" w:hAnsi="宋体"/>
                <w:b/>
                <w:szCs w:val="21"/>
              </w:rPr>
            </w:pPr>
          </w:p>
        </w:tc>
        <w:tc>
          <w:tcPr>
            <w:tcW w:w="1470" w:type="dxa"/>
            <w:noWrap w:val="0"/>
            <w:vAlign w:val="center"/>
          </w:tcPr>
          <w:p w14:paraId="7DFDF89A">
            <w:pPr>
              <w:spacing w:before="96" w:beforeLines="40" w:after="96" w:afterLines="40" w:line="400" w:lineRule="exact"/>
              <w:rPr>
                <w:rFonts w:hint="eastAsia" w:ascii="宋体" w:hAnsi="宋体"/>
                <w:b/>
                <w:szCs w:val="21"/>
              </w:rPr>
            </w:pPr>
            <w:r>
              <w:rPr>
                <w:rFonts w:hint="eastAsia" w:ascii="宋体" w:hAnsi="宋体"/>
                <w:b/>
                <w:szCs w:val="21"/>
              </w:rPr>
              <w:t>规格及型号</w:t>
            </w:r>
          </w:p>
        </w:tc>
        <w:tc>
          <w:tcPr>
            <w:tcW w:w="1050" w:type="dxa"/>
            <w:noWrap w:val="0"/>
            <w:vAlign w:val="center"/>
          </w:tcPr>
          <w:p w14:paraId="4D10A414">
            <w:pPr>
              <w:spacing w:before="96" w:beforeLines="40" w:after="96" w:afterLines="40" w:line="400" w:lineRule="exact"/>
              <w:rPr>
                <w:rFonts w:hint="eastAsia" w:ascii="宋体" w:hAnsi="宋体"/>
                <w:b/>
                <w:szCs w:val="21"/>
              </w:rPr>
            </w:pPr>
          </w:p>
        </w:tc>
        <w:tc>
          <w:tcPr>
            <w:tcW w:w="735" w:type="dxa"/>
            <w:noWrap w:val="0"/>
            <w:vAlign w:val="center"/>
          </w:tcPr>
          <w:p w14:paraId="4C9220C5">
            <w:pPr>
              <w:spacing w:before="96" w:beforeLines="40" w:after="96" w:afterLines="40" w:line="400" w:lineRule="exact"/>
              <w:rPr>
                <w:rFonts w:hint="eastAsia" w:ascii="宋体" w:hAnsi="宋体"/>
                <w:b/>
                <w:szCs w:val="21"/>
              </w:rPr>
            </w:pPr>
            <w:r>
              <w:rPr>
                <w:rFonts w:hint="eastAsia" w:ascii="宋体" w:hAnsi="宋体"/>
                <w:b/>
                <w:szCs w:val="21"/>
              </w:rPr>
              <w:t>数量</w:t>
            </w:r>
          </w:p>
        </w:tc>
        <w:tc>
          <w:tcPr>
            <w:tcW w:w="1155" w:type="dxa"/>
            <w:noWrap w:val="0"/>
            <w:vAlign w:val="top"/>
          </w:tcPr>
          <w:p w14:paraId="35FBEC06">
            <w:pPr>
              <w:spacing w:before="96" w:beforeLines="40" w:after="96" w:afterLines="40" w:line="400" w:lineRule="exact"/>
              <w:rPr>
                <w:rFonts w:hint="eastAsia" w:ascii="宋体" w:hAnsi="宋体"/>
                <w:szCs w:val="21"/>
              </w:rPr>
            </w:pPr>
          </w:p>
        </w:tc>
      </w:tr>
      <w:tr w14:paraId="0E81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5" w:hRule="atLeast"/>
        </w:trPr>
        <w:tc>
          <w:tcPr>
            <w:tcW w:w="9978" w:type="dxa"/>
            <w:gridSpan w:val="8"/>
            <w:noWrap w:val="0"/>
            <w:vAlign w:val="top"/>
          </w:tcPr>
          <w:p w14:paraId="5F250C11">
            <w:pPr>
              <w:pStyle w:val="38"/>
              <w:spacing w:before="96" w:beforeLines="40" w:after="96" w:afterLines="40" w:line="400" w:lineRule="exact"/>
              <w:rPr>
                <w:rFonts w:hint="eastAsia" w:ascii="宋体" w:hAnsi="宋体"/>
                <w:sz w:val="21"/>
                <w:szCs w:val="21"/>
              </w:rPr>
            </w:pPr>
            <w:r>
              <w:rPr>
                <w:rFonts w:hint="eastAsia" w:ascii="宋体" w:hAnsi="宋体"/>
                <w:sz w:val="21"/>
                <w:szCs w:val="21"/>
              </w:rPr>
              <w:t>所投产品生产制造检验及详细性能说明</w:t>
            </w:r>
          </w:p>
        </w:tc>
      </w:tr>
    </w:tbl>
    <w:p w14:paraId="100D0013">
      <w:pPr>
        <w:spacing w:before="96" w:beforeLines="40" w:after="96" w:afterLines="40" w:line="400" w:lineRule="exact"/>
        <w:ind w:firstLine="2520" w:firstLineChars="1200"/>
        <w:rPr>
          <w:rFonts w:hint="eastAsia" w:ascii="宋体" w:hAnsi="宋体"/>
          <w:szCs w:val="21"/>
        </w:rPr>
      </w:pPr>
    </w:p>
    <w:p w14:paraId="45828E8B">
      <w:pPr>
        <w:spacing w:before="96" w:beforeLines="40" w:after="96" w:afterLines="40" w:line="400" w:lineRule="exact"/>
        <w:ind w:firstLine="2520" w:firstLineChars="1200"/>
        <w:rPr>
          <w:rFonts w:hint="eastAsia" w:ascii="宋体" w:hAnsi="宋体"/>
          <w:szCs w:val="21"/>
        </w:rPr>
      </w:pPr>
    </w:p>
    <w:p w14:paraId="30FDF47B">
      <w:pPr>
        <w:spacing w:before="96" w:beforeLines="40" w:after="96" w:afterLines="40" w:line="400" w:lineRule="exact"/>
        <w:ind w:firstLine="2520" w:firstLineChars="1200"/>
        <w:rPr>
          <w:rFonts w:hint="eastAsia" w:ascii="宋体" w:hAnsi="宋体"/>
          <w:szCs w:val="21"/>
          <w:u w:val="single"/>
        </w:rPr>
      </w:pPr>
      <w:r>
        <w:rPr>
          <w:rFonts w:hint="eastAsia" w:ascii="宋体" w:hAnsi="宋体"/>
          <w:szCs w:val="21"/>
          <w:lang w:eastAsia="zh-CN"/>
        </w:rPr>
        <w:t>投标人电子签章</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p>
    <w:p w14:paraId="2BD62C0F">
      <w:pPr>
        <w:adjustRightInd w:val="0"/>
        <w:snapToGrid w:val="0"/>
        <w:spacing w:before="96" w:beforeLines="40" w:after="96" w:afterLines="40" w:line="400" w:lineRule="exact"/>
        <w:ind w:firstLine="2551" w:firstLineChars="1215"/>
        <w:jc w:val="left"/>
        <w:rPr>
          <w:rFonts w:hint="eastAsia" w:ascii="宋体" w:hAnsi="宋体"/>
          <w:b/>
          <w:bCs/>
          <w:szCs w:val="21"/>
        </w:rPr>
      </w:pPr>
      <w:r>
        <w:rPr>
          <w:rFonts w:hint="eastAsia" w:ascii="宋体" w:hAnsi="宋体"/>
          <w:szCs w:val="21"/>
        </w:rPr>
        <w:t>日</w:t>
      </w:r>
      <w:r>
        <w:rPr>
          <w:rFonts w:ascii="宋体" w:hAnsi="宋体"/>
          <w:szCs w:val="21"/>
        </w:rPr>
        <w:t xml:space="preserve">      </w:t>
      </w:r>
      <w:r>
        <w:rPr>
          <w:rFonts w:hint="eastAsia" w:ascii="宋体" w:hAnsi="宋体"/>
          <w:szCs w:val="21"/>
        </w:rPr>
        <w:t>期：</w:t>
      </w:r>
      <w:r>
        <w:rPr>
          <w:rFonts w:ascii="宋体" w:hAnsi="宋体"/>
          <w:szCs w:val="21"/>
          <w:u w:val="single"/>
        </w:rPr>
        <w:t xml:space="preserve">                     </w:t>
      </w:r>
    </w:p>
    <w:p w14:paraId="45B14F1F">
      <w:pPr>
        <w:spacing w:before="48" w:beforeLines="20" w:after="48" w:afterLines="20" w:line="360" w:lineRule="auto"/>
        <w:ind w:firstLine="560" w:firstLineChars="200"/>
        <w:rPr>
          <w:rFonts w:hint="eastAsia" w:ascii="宋体" w:hAnsi="宋体"/>
          <w:sz w:val="28"/>
        </w:rPr>
      </w:pPr>
    </w:p>
    <w:p w14:paraId="0E52A6DD">
      <w:pPr>
        <w:spacing w:before="48" w:beforeLines="20" w:after="48" w:afterLines="20" w:line="360" w:lineRule="auto"/>
        <w:ind w:firstLine="560" w:firstLineChars="200"/>
        <w:rPr>
          <w:rFonts w:hint="eastAsia" w:ascii="宋体" w:hAnsi="宋体"/>
          <w:sz w:val="28"/>
        </w:rPr>
      </w:pPr>
    </w:p>
    <w:p w14:paraId="3FC59A9C">
      <w:pPr>
        <w:pStyle w:val="3"/>
        <w:spacing w:before="0" w:after="0" w:line="240" w:lineRule="auto"/>
        <w:jc w:val="center"/>
        <w:rPr>
          <w:rFonts w:hint="eastAsia" w:hAnsi="宋体"/>
        </w:rPr>
      </w:pPr>
      <w:bookmarkStart w:id="1242" w:name="_Hlt509738950"/>
      <w:bookmarkEnd w:id="1242"/>
      <w:bookmarkStart w:id="1243" w:name="_Toc3295937"/>
      <w:bookmarkStart w:id="1244" w:name="_Toc3215887"/>
      <w:bookmarkStart w:id="1245" w:name="_Toc1916834"/>
      <w:bookmarkStart w:id="1246" w:name="_Toc220232400"/>
      <w:bookmarkStart w:id="1247" w:name="_Toc457768011"/>
      <w:r>
        <w:rPr>
          <w:rFonts w:hAnsi="宋体"/>
        </w:rPr>
        <w:br w:type="page"/>
      </w:r>
      <w:bookmarkStart w:id="1248" w:name="_Toc25462"/>
      <w:bookmarkStart w:id="1249" w:name="_Toc17656"/>
      <w:bookmarkStart w:id="1250" w:name="_Toc11208"/>
      <w:r>
        <w:rPr>
          <w:rFonts w:hint="eastAsia" w:hAnsi="宋体"/>
        </w:rPr>
        <w:t>八．</w:t>
      </w:r>
      <w:bookmarkEnd w:id="1243"/>
      <w:bookmarkEnd w:id="1244"/>
      <w:bookmarkEnd w:id="1245"/>
      <w:bookmarkEnd w:id="1246"/>
      <w:bookmarkEnd w:id="1247"/>
      <w:bookmarkEnd w:id="1248"/>
      <w:bookmarkEnd w:id="1249"/>
      <w:bookmarkEnd w:id="1250"/>
      <w:bookmarkStart w:id="1251" w:name="_Toc3295938"/>
      <w:bookmarkStart w:id="1252" w:name="_Toc21828"/>
      <w:bookmarkStart w:id="1253" w:name="_Toc457768012"/>
      <w:bookmarkStart w:id="1254" w:name="_Toc516969104"/>
      <w:bookmarkStart w:id="1255" w:name="_Toc23163"/>
      <w:bookmarkStart w:id="1256" w:name="_Toc220232401"/>
      <w:bookmarkStart w:id="1257" w:name="_Toc3215888"/>
      <w:bookmarkStart w:id="1258" w:name="_Toc27882"/>
      <w:bookmarkStart w:id="1259" w:name="_Toc1916835"/>
      <w:bookmarkStart w:id="1260" w:name="_Hlt510342906"/>
      <w:r>
        <w:rPr>
          <w:rFonts w:hint="eastAsia" w:hAnsi="宋体"/>
        </w:rPr>
        <w:t>所</w:t>
      </w:r>
      <w:bookmarkStart w:id="1261" w:name="_Hlt510342883"/>
      <w:bookmarkEnd w:id="1261"/>
      <w:r>
        <w:rPr>
          <w:rFonts w:hint="eastAsia" w:hAnsi="宋体"/>
        </w:rPr>
        <w:t>供货物组部件、备品、备件清单</w:t>
      </w:r>
      <w:bookmarkEnd w:id="1251"/>
      <w:bookmarkEnd w:id="1252"/>
      <w:bookmarkEnd w:id="1253"/>
      <w:bookmarkEnd w:id="1254"/>
      <w:bookmarkEnd w:id="1255"/>
      <w:bookmarkEnd w:id="1256"/>
      <w:bookmarkEnd w:id="1257"/>
      <w:bookmarkEnd w:id="1258"/>
      <w:bookmarkEnd w:id="1259"/>
    </w:p>
    <w:bookmarkEnd w:id="1260"/>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260"/>
        <w:gridCol w:w="2011"/>
        <w:gridCol w:w="929"/>
        <w:gridCol w:w="1365"/>
        <w:gridCol w:w="1313"/>
        <w:gridCol w:w="1785"/>
      </w:tblGrid>
      <w:tr w14:paraId="2D944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 w:hRule="atLeast"/>
        </w:trPr>
        <w:tc>
          <w:tcPr>
            <w:tcW w:w="840" w:type="dxa"/>
            <w:noWrap w:val="0"/>
            <w:vAlign w:val="center"/>
          </w:tcPr>
          <w:p w14:paraId="26A8CB03">
            <w:pPr>
              <w:pStyle w:val="12"/>
              <w:spacing w:before="96" w:beforeLines="40" w:after="96" w:afterLines="40" w:line="400" w:lineRule="exact"/>
              <w:jc w:val="center"/>
              <w:rPr>
                <w:rFonts w:hint="eastAsia" w:hAnsi="宋体"/>
                <w:b/>
                <w:szCs w:val="21"/>
              </w:rPr>
            </w:pPr>
            <w:r>
              <w:rPr>
                <w:rFonts w:hint="eastAsia" w:hAnsi="宋体"/>
                <w:b/>
                <w:szCs w:val="21"/>
              </w:rPr>
              <w:t>序号</w:t>
            </w:r>
          </w:p>
        </w:tc>
        <w:tc>
          <w:tcPr>
            <w:tcW w:w="1260" w:type="dxa"/>
            <w:noWrap w:val="0"/>
            <w:vAlign w:val="center"/>
          </w:tcPr>
          <w:p w14:paraId="274B5670">
            <w:pPr>
              <w:pStyle w:val="12"/>
              <w:spacing w:before="96" w:beforeLines="40" w:after="96" w:afterLines="40" w:line="400" w:lineRule="exact"/>
              <w:jc w:val="center"/>
              <w:rPr>
                <w:rFonts w:hint="eastAsia" w:hAnsi="宋体"/>
                <w:b/>
                <w:szCs w:val="21"/>
              </w:rPr>
            </w:pPr>
            <w:r>
              <w:rPr>
                <w:rFonts w:hint="eastAsia" w:hAnsi="宋体"/>
                <w:b/>
                <w:szCs w:val="21"/>
              </w:rPr>
              <w:t>名称</w:t>
            </w:r>
          </w:p>
        </w:tc>
        <w:tc>
          <w:tcPr>
            <w:tcW w:w="2011" w:type="dxa"/>
            <w:noWrap w:val="0"/>
            <w:vAlign w:val="center"/>
          </w:tcPr>
          <w:p w14:paraId="67FAFEBD">
            <w:pPr>
              <w:pStyle w:val="12"/>
              <w:spacing w:before="96" w:beforeLines="40" w:after="96" w:afterLines="40" w:line="400" w:lineRule="exact"/>
              <w:jc w:val="center"/>
              <w:rPr>
                <w:rFonts w:hint="eastAsia" w:hAnsi="宋体"/>
                <w:b/>
                <w:szCs w:val="21"/>
              </w:rPr>
            </w:pPr>
            <w:r>
              <w:rPr>
                <w:rFonts w:hint="eastAsia" w:hAnsi="宋体"/>
                <w:b/>
                <w:szCs w:val="21"/>
              </w:rPr>
              <w:t>规格型号及材质</w:t>
            </w:r>
          </w:p>
        </w:tc>
        <w:tc>
          <w:tcPr>
            <w:tcW w:w="929" w:type="dxa"/>
            <w:noWrap w:val="0"/>
            <w:vAlign w:val="center"/>
          </w:tcPr>
          <w:p w14:paraId="22EEF493">
            <w:pPr>
              <w:pStyle w:val="12"/>
              <w:spacing w:before="96" w:beforeLines="40" w:after="96" w:afterLines="40" w:line="400" w:lineRule="exact"/>
              <w:jc w:val="center"/>
              <w:rPr>
                <w:rFonts w:hint="eastAsia" w:hAnsi="宋体"/>
                <w:b/>
                <w:szCs w:val="21"/>
              </w:rPr>
            </w:pPr>
            <w:r>
              <w:rPr>
                <w:rFonts w:hint="eastAsia" w:hAnsi="宋体"/>
                <w:b/>
                <w:szCs w:val="21"/>
              </w:rPr>
              <w:t>数量</w:t>
            </w:r>
          </w:p>
        </w:tc>
        <w:tc>
          <w:tcPr>
            <w:tcW w:w="1365" w:type="dxa"/>
            <w:noWrap w:val="0"/>
            <w:vAlign w:val="center"/>
          </w:tcPr>
          <w:p w14:paraId="2AA82C51">
            <w:pPr>
              <w:pStyle w:val="12"/>
              <w:spacing w:before="96" w:beforeLines="40" w:after="96" w:afterLines="40" w:line="400" w:lineRule="exact"/>
              <w:jc w:val="center"/>
              <w:rPr>
                <w:rFonts w:hint="eastAsia" w:hAnsi="宋体"/>
                <w:b/>
                <w:szCs w:val="21"/>
              </w:rPr>
            </w:pPr>
            <w:r>
              <w:rPr>
                <w:rFonts w:hint="eastAsia" w:hAnsi="宋体"/>
                <w:b/>
                <w:szCs w:val="21"/>
              </w:rPr>
              <w:t>单价</w:t>
            </w:r>
          </w:p>
        </w:tc>
        <w:tc>
          <w:tcPr>
            <w:tcW w:w="1313" w:type="dxa"/>
            <w:noWrap w:val="0"/>
            <w:vAlign w:val="center"/>
          </w:tcPr>
          <w:p w14:paraId="1F0024CB">
            <w:pPr>
              <w:pStyle w:val="12"/>
              <w:spacing w:before="96" w:beforeLines="40" w:after="96" w:afterLines="40" w:line="400" w:lineRule="exact"/>
              <w:jc w:val="center"/>
              <w:rPr>
                <w:rFonts w:hint="eastAsia" w:hAnsi="宋体"/>
                <w:b/>
                <w:szCs w:val="21"/>
              </w:rPr>
            </w:pPr>
            <w:r>
              <w:rPr>
                <w:rFonts w:hint="eastAsia" w:hAnsi="宋体"/>
                <w:b/>
                <w:szCs w:val="21"/>
              </w:rPr>
              <w:t>小计</w:t>
            </w:r>
          </w:p>
        </w:tc>
        <w:tc>
          <w:tcPr>
            <w:tcW w:w="1785" w:type="dxa"/>
            <w:noWrap w:val="0"/>
            <w:vAlign w:val="center"/>
          </w:tcPr>
          <w:p w14:paraId="3EFCC16D">
            <w:pPr>
              <w:pStyle w:val="12"/>
              <w:spacing w:before="96" w:beforeLines="40" w:after="96" w:afterLines="40" w:line="400" w:lineRule="exact"/>
              <w:jc w:val="center"/>
              <w:rPr>
                <w:rFonts w:hint="eastAsia" w:hAnsi="宋体"/>
                <w:b/>
                <w:szCs w:val="21"/>
              </w:rPr>
            </w:pPr>
            <w:r>
              <w:rPr>
                <w:rFonts w:hint="eastAsia" w:hAnsi="宋体"/>
                <w:b/>
                <w:szCs w:val="21"/>
              </w:rPr>
              <w:t>备注</w:t>
            </w:r>
          </w:p>
        </w:tc>
      </w:tr>
      <w:tr w14:paraId="6365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840" w:type="dxa"/>
            <w:noWrap w:val="0"/>
            <w:vAlign w:val="center"/>
          </w:tcPr>
          <w:p w14:paraId="31F082DC">
            <w:pPr>
              <w:pStyle w:val="12"/>
              <w:spacing w:before="96" w:beforeLines="40" w:after="96" w:afterLines="40" w:line="400" w:lineRule="exact"/>
              <w:jc w:val="center"/>
              <w:rPr>
                <w:rFonts w:hint="eastAsia" w:hAnsi="宋体"/>
                <w:szCs w:val="21"/>
              </w:rPr>
            </w:pPr>
            <w:r>
              <w:rPr>
                <w:rFonts w:hint="eastAsia" w:hAnsi="宋体"/>
                <w:szCs w:val="21"/>
              </w:rPr>
              <w:t>1</w:t>
            </w:r>
          </w:p>
        </w:tc>
        <w:tc>
          <w:tcPr>
            <w:tcW w:w="1260" w:type="dxa"/>
            <w:noWrap w:val="0"/>
            <w:vAlign w:val="top"/>
          </w:tcPr>
          <w:p w14:paraId="54481637">
            <w:pPr>
              <w:spacing w:before="96" w:beforeLines="40" w:after="96" w:afterLines="40" w:line="400" w:lineRule="exact"/>
              <w:rPr>
                <w:rFonts w:hint="eastAsia" w:ascii="宋体" w:hAnsi="宋体"/>
                <w:szCs w:val="21"/>
              </w:rPr>
            </w:pPr>
          </w:p>
        </w:tc>
        <w:tc>
          <w:tcPr>
            <w:tcW w:w="2011" w:type="dxa"/>
            <w:noWrap w:val="0"/>
            <w:vAlign w:val="top"/>
          </w:tcPr>
          <w:p w14:paraId="6962E33A">
            <w:pPr>
              <w:spacing w:before="96" w:beforeLines="40" w:after="96" w:afterLines="40" w:line="400" w:lineRule="exact"/>
              <w:rPr>
                <w:rFonts w:hint="eastAsia" w:ascii="宋体" w:hAnsi="宋体"/>
                <w:szCs w:val="21"/>
              </w:rPr>
            </w:pPr>
          </w:p>
        </w:tc>
        <w:tc>
          <w:tcPr>
            <w:tcW w:w="929" w:type="dxa"/>
            <w:noWrap w:val="0"/>
            <w:vAlign w:val="top"/>
          </w:tcPr>
          <w:p w14:paraId="0B297B5C">
            <w:pPr>
              <w:spacing w:before="96" w:beforeLines="40" w:after="96" w:afterLines="40" w:line="400" w:lineRule="exact"/>
              <w:rPr>
                <w:rFonts w:hAnsi="宋体"/>
                <w:szCs w:val="21"/>
              </w:rPr>
            </w:pPr>
          </w:p>
        </w:tc>
        <w:tc>
          <w:tcPr>
            <w:tcW w:w="1365" w:type="dxa"/>
            <w:noWrap w:val="0"/>
            <w:vAlign w:val="top"/>
          </w:tcPr>
          <w:p w14:paraId="1B68DD6C">
            <w:pPr>
              <w:pStyle w:val="12"/>
              <w:spacing w:before="96" w:beforeLines="40" w:after="96" w:afterLines="40" w:line="400" w:lineRule="exact"/>
              <w:rPr>
                <w:rFonts w:hAnsi="宋体"/>
                <w:szCs w:val="21"/>
              </w:rPr>
            </w:pPr>
          </w:p>
        </w:tc>
        <w:tc>
          <w:tcPr>
            <w:tcW w:w="1313" w:type="dxa"/>
            <w:noWrap w:val="0"/>
            <w:vAlign w:val="top"/>
          </w:tcPr>
          <w:p w14:paraId="51CB42DE">
            <w:pPr>
              <w:pStyle w:val="12"/>
              <w:spacing w:before="96" w:beforeLines="40" w:after="96" w:afterLines="40" w:line="400" w:lineRule="exact"/>
              <w:rPr>
                <w:rFonts w:hAnsi="宋体"/>
                <w:szCs w:val="21"/>
              </w:rPr>
            </w:pPr>
          </w:p>
        </w:tc>
        <w:tc>
          <w:tcPr>
            <w:tcW w:w="1785" w:type="dxa"/>
            <w:noWrap w:val="0"/>
            <w:vAlign w:val="top"/>
          </w:tcPr>
          <w:p w14:paraId="5410935E">
            <w:pPr>
              <w:pStyle w:val="12"/>
              <w:spacing w:before="96" w:beforeLines="40" w:after="96" w:afterLines="40" w:line="400" w:lineRule="exact"/>
              <w:rPr>
                <w:rFonts w:hAnsi="宋体"/>
                <w:szCs w:val="21"/>
              </w:rPr>
            </w:pPr>
          </w:p>
        </w:tc>
      </w:tr>
      <w:tr w14:paraId="3414B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840" w:type="dxa"/>
            <w:noWrap w:val="0"/>
            <w:vAlign w:val="center"/>
          </w:tcPr>
          <w:p w14:paraId="10CBCBFD">
            <w:pPr>
              <w:pStyle w:val="12"/>
              <w:spacing w:before="96" w:beforeLines="40" w:after="96" w:afterLines="40" w:line="400" w:lineRule="exact"/>
              <w:jc w:val="center"/>
              <w:rPr>
                <w:rFonts w:hint="eastAsia" w:hAnsi="宋体"/>
                <w:szCs w:val="21"/>
              </w:rPr>
            </w:pPr>
            <w:r>
              <w:rPr>
                <w:rFonts w:hint="eastAsia" w:hAnsi="宋体"/>
                <w:szCs w:val="21"/>
              </w:rPr>
              <w:t>2</w:t>
            </w:r>
          </w:p>
        </w:tc>
        <w:tc>
          <w:tcPr>
            <w:tcW w:w="1260" w:type="dxa"/>
            <w:noWrap w:val="0"/>
            <w:vAlign w:val="top"/>
          </w:tcPr>
          <w:p w14:paraId="26B98017">
            <w:pPr>
              <w:spacing w:before="96" w:beforeLines="40" w:after="96" w:afterLines="40" w:line="400" w:lineRule="exact"/>
              <w:rPr>
                <w:rFonts w:hint="eastAsia" w:ascii="宋体" w:hAnsi="宋体"/>
                <w:szCs w:val="21"/>
              </w:rPr>
            </w:pPr>
          </w:p>
        </w:tc>
        <w:tc>
          <w:tcPr>
            <w:tcW w:w="2011" w:type="dxa"/>
            <w:noWrap w:val="0"/>
            <w:vAlign w:val="top"/>
          </w:tcPr>
          <w:p w14:paraId="167EDC5C">
            <w:pPr>
              <w:spacing w:before="96" w:beforeLines="40" w:after="96" w:afterLines="40" w:line="400" w:lineRule="exact"/>
              <w:rPr>
                <w:rFonts w:hint="eastAsia" w:ascii="宋体" w:hAnsi="宋体"/>
                <w:szCs w:val="21"/>
              </w:rPr>
            </w:pPr>
          </w:p>
        </w:tc>
        <w:tc>
          <w:tcPr>
            <w:tcW w:w="929" w:type="dxa"/>
            <w:noWrap w:val="0"/>
            <w:vAlign w:val="top"/>
          </w:tcPr>
          <w:p w14:paraId="77395F37">
            <w:pPr>
              <w:spacing w:before="96" w:beforeLines="40" w:after="96" w:afterLines="40" w:line="400" w:lineRule="exact"/>
              <w:rPr>
                <w:rFonts w:hAnsi="宋体"/>
                <w:szCs w:val="21"/>
              </w:rPr>
            </w:pPr>
          </w:p>
        </w:tc>
        <w:tc>
          <w:tcPr>
            <w:tcW w:w="1365" w:type="dxa"/>
            <w:noWrap w:val="0"/>
            <w:vAlign w:val="top"/>
          </w:tcPr>
          <w:p w14:paraId="53C787E0">
            <w:pPr>
              <w:pStyle w:val="12"/>
              <w:spacing w:before="96" w:beforeLines="40" w:after="96" w:afterLines="40" w:line="400" w:lineRule="exact"/>
              <w:rPr>
                <w:rFonts w:hAnsi="宋体"/>
                <w:szCs w:val="21"/>
              </w:rPr>
            </w:pPr>
          </w:p>
        </w:tc>
        <w:tc>
          <w:tcPr>
            <w:tcW w:w="1313" w:type="dxa"/>
            <w:noWrap w:val="0"/>
            <w:vAlign w:val="top"/>
          </w:tcPr>
          <w:p w14:paraId="7C50327D">
            <w:pPr>
              <w:pStyle w:val="12"/>
              <w:spacing w:before="96" w:beforeLines="40" w:after="96" w:afterLines="40" w:line="400" w:lineRule="exact"/>
              <w:rPr>
                <w:rFonts w:hAnsi="宋体"/>
                <w:szCs w:val="21"/>
              </w:rPr>
            </w:pPr>
          </w:p>
        </w:tc>
        <w:tc>
          <w:tcPr>
            <w:tcW w:w="1785" w:type="dxa"/>
            <w:noWrap w:val="0"/>
            <w:vAlign w:val="top"/>
          </w:tcPr>
          <w:p w14:paraId="505609B4">
            <w:pPr>
              <w:pStyle w:val="12"/>
              <w:spacing w:before="96" w:beforeLines="40" w:after="96" w:afterLines="40" w:line="400" w:lineRule="exact"/>
              <w:rPr>
                <w:rFonts w:hAnsi="宋体"/>
                <w:szCs w:val="21"/>
              </w:rPr>
            </w:pPr>
          </w:p>
        </w:tc>
      </w:tr>
      <w:tr w14:paraId="5382A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840" w:type="dxa"/>
            <w:noWrap w:val="0"/>
            <w:vAlign w:val="center"/>
          </w:tcPr>
          <w:p w14:paraId="5A2CB85F">
            <w:pPr>
              <w:pStyle w:val="12"/>
              <w:spacing w:before="96" w:beforeLines="40" w:after="96" w:afterLines="40" w:line="400" w:lineRule="exact"/>
              <w:jc w:val="center"/>
              <w:rPr>
                <w:rFonts w:hint="eastAsia" w:hAnsi="宋体"/>
                <w:szCs w:val="21"/>
              </w:rPr>
            </w:pPr>
            <w:r>
              <w:rPr>
                <w:rFonts w:hint="eastAsia" w:hAnsi="宋体"/>
                <w:szCs w:val="21"/>
              </w:rPr>
              <w:t>3</w:t>
            </w:r>
          </w:p>
        </w:tc>
        <w:tc>
          <w:tcPr>
            <w:tcW w:w="1260" w:type="dxa"/>
            <w:noWrap w:val="0"/>
            <w:vAlign w:val="top"/>
          </w:tcPr>
          <w:p w14:paraId="68FB48BB">
            <w:pPr>
              <w:spacing w:before="96" w:beforeLines="40" w:after="96" w:afterLines="40" w:line="400" w:lineRule="exact"/>
              <w:rPr>
                <w:rFonts w:hint="eastAsia" w:ascii="宋体" w:hAnsi="宋体"/>
                <w:szCs w:val="21"/>
              </w:rPr>
            </w:pPr>
          </w:p>
        </w:tc>
        <w:tc>
          <w:tcPr>
            <w:tcW w:w="2011" w:type="dxa"/>
            <w:noWrap w:val="0"/>
            <w:vAlign w:val="top"/>
          </w:tcPr>
          <w:p w14:paraId="1710C041">
            <w:pPr>
              <w:spacing w:before="96" w:beforeLines="40" w:after="96" w:afterLines="40" w:line="400" w:lineRule="exact"/>
              <w:rPr>
                <w:rFonts w:hint="eastAsia" w:ascii="宋体" w:hAnsi="宋体"/>
                <w:szCs w:val="21"/>
              </w:rPr>
            </w:pPr>
          </w:p>
        </w:tc>
        <w:tc>
          <w:tcPr>
            <w:tcW w:w="929" w:type="dxa"/>
            <w:noWrap w:val="0"/>
            <w:vAlign w:val="top"/>
          </w:tcPr>
          <w:p w14:paraId="7C7C7EC3">
            <w:pPr>
              <w:spacing w:before="96" w:beforeLines="40" w:after="96" w:afterLines="40" w:line="400" w:lineRule="exact"/>
              <w:rPr>
                <w:rFonts w:hAnsi="宋体"/>
                <w:szCs w:val="21"/>
              </w:rPr>
            </w:pPr>
          </w:p>
        </w:tc>
        <w:tc>
          <w:tcPr>
            <w:tcW w:w="1365" w:type="dxa"/>
            <w:noWrap w:val="0"/>
            <w:vAlign w:val="top"/>
          </w:tcPr>
          <w:p w14:paraId="0B7295C6">
            <w:pPr>
              <w:pStyle w:val="12"/>
              <w:spacing w:before="96" w:beforeLines="40" w:after="96" w:afterLines="40" w:line="400" w:lineRule="exact"/>
              <w:rPr>
                <w:rFonts w:hAnsi="宋体"/>
                <w:szCs w:val="21"/>
              </w:rPr>
            </w:pPr>
          </w:p>
        </w:tc>
        <w:tc>
          <w:tcPr>
            <w:tcW w:w="1313" w:type="dxa"/>
            <w:noWrap w:val="0"/>
            <w:vAlign w:val="top"/>
          </w:tcPr>
          <w:p w14:paraId="52F46DD9">
            <w:pPr>
              <w:pStyle w:val="12"/>
              <w:spacing w:before="96" w:beforeLines="40" w:after="96" w:afterLines="40" w:line="400" w:lineRule="exact"/>
              <w:rPr>
                <w:rFonts w:hAnsi="宋体"/>
                <w:szCs w:val="21"/>
              </w:rPr>
            </w:pPr>
          </w:p>
        </w:tc>
        <w:tc>
          <w:tcPr>
            <w:tcW w:w="1785" w:type="dxa"/>
            <w:noWrap w:val="0"/>
            <w:vAlign w:val="top"/>
          </w:tcPr>
          <w:p w14:paraId="3F15980F">
            <w:pPr>
              <w:pStyle w:val="12"/>
              <w:spacing w:before="96" w:beforeLines="40" w:after="96" w:afterLines="40" w:line="400" w:lineRule="exact"/>
              <w:rPr>
                <w:rFonts w:hAnsi="宋体"/>
                <w:szCs w:val="21"/>
              </w:rPr>
            </w:pPr>
          </w:p>
        </w:tc>
      </w:tr>
      <w:tr w14:paraId="41C3E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840" w:type="dxa"/>
            <w:noWrap w:val="0"/>
            <w:vAlign w:val="center"/>
          </w:tcPr>
          <w:p w14:paraId="4208D7F4">
            <w:pPr>
              <w:pStyle w:val="12"/>
              <w:spacing w:before="96" w:beforeLines="40" w:after="96" w:afterLines="40" w:line="400" w:lineRule="exact"/>
              <w:jc w:val="center"/>
              <w:rPr>
                <w:rFonts w:hint="eastAsia" w:hAnsi="宋体"/>
                <w:szCs w:val="21"/>
              </w:rPr>
            </w:pPr>
            <w:r>
              <w:rPr>
                <w:rFonts w:hint="eastAsia" w:hAnsi="宋体"/>
                <w:szCs w:val="21"/>
              </w:rPr>
              <w:t>4</w:t>
            </w:r>
          </w:p>
        </w:tc>
        <w:tc>
          <w:tcPr>
            <w:tcW w:w="1260" w:type="dxa"/>
            <w:tcBorders>
              <w:right w:val="single" w:color="auto" w:sz="4" w:space="0"/>
            </w:tcBorders>
            <w:noWrap w:val="0"/>
            <w:vAlign w:val="top"/>
          </w:tcPr>
          <w:p w14:paraId="69DD1AAE">
            <w:pPr>
              <w:spacing w:before="96" w:beforeLines="40" w:after="96" w:afterLines="40" w:line="400" w:lineRule="exact"/>
              <w:rPr>
                <w:rFonts w:hint="eastAsia" w:ascii="宋体" w:hAnsi="宋体"/>
                <w:szCs w:val="21"/>
              </w:rPr>
            </w:pPr>
          </w:p>
        </w:tc>
        <w:tc>
          <w:tcPr>
            <w:tcW w:w="2011" w:type="dxa"/>
            <w:tcBorders>
              <w:right w:val="single" w:color="auto" w:sz="4" w:space="0"/>
            </w:tcBorders>
            <w:noWrap w:val="0"/>
            <w:vAlign w:val="top"/>
          </w:tcPr>
          <w:p w14:paraId="1EEB2ABC">
            <w:pPr>
              <w:spacing w:before="96" w:beforeLines="40" w:after="96" w:afterLines="40" w:line="400" w:lineRule="exact"/>
              <w:rPr>
                <w:rFonts w:hint="eastAsia" w:ascii="宋体" w:hAnsi="宋体"/>
                <w:szCs w:val="21"/>
              </w:rPr>
            </w:pPr>
          </w:p>
        </w:tc>
        <w:tc>
          <w:tcPr>
            <w:tcW w:w="929" w:type="dxa"/>
            <w:tcBorders>
              <w:left w:val="single" w:color="auto" w:sz="4" w:space="0"/>
            </w:tcBorders>
            <w:noWrap w:val="0"/>
            <w:vAlign w:val="top"/>
          </w:tcPr>
          <w:p w14:paraId="3F4E81CA">
            <w:pPr>
              <w:spacing w:before="96" w:beforeLines="40" w:after="96" w:afterLines="40" w:line="400" w:lineRule="exact"/>
              <w:rPr>
                <w:rFonts w:hAnsi="宋体"/>
                <w:szCs w:val="21"/>
              </w:rPr>
            </w:pPr>
          </w:p>
        </w:tc>
        <w:tc>
          <w:tcPr>
            <w:tcW w:w="1365" w:type="dxa"/>
            <w:tcBorders>
              <w:left w:val="single" w:color="auto" w:sz="4" w:space="0"/>
            </w:tcBorders>
            <w:noWrap w:val="0"/>
            <w:vAlign w:val="top"/>
          </w:tcPr>
          <w:p w14:paraId="4FB71484">
            <w:pPr>
              <w:pStyle w:val="12"/>
              <w:spacing w:before="96" w:beforeLines="40" w:after="96" w:afterLines="40" w:line="400" w:lineRule="exact"/>
              <w:rPr>
                <w:rFonts w:hAnsi="宋体"/>
                <w:szCs w:val="21"/>
              </w:rPr>
            </w:pPr>
          </w:p>
        </w:tc>
        <w:tc>
          <w:tcPr>
            <w:tcW w:w="1313" w:type="dxa"/>
            <w:tcBorders>
              <w:left w:val="nil"/>
            </w:tcBorders>
            <w:noWrap w:val="0"/>
            <w:vAlign w:val="top"/>
          </w:tcPr>
          <w:p w14:paraId="78671A1F">
            <w:pPr>
              <w:pStyle w:val="12"/>
              <w:spacing w:before="96" w:beforeLines="40" w:after="96" w:afterLines="40" w:line="400" w:lineRule="exact"/>
              <w:rPr>
                <w:rFonts w:hAnsi="宋体"/>
                <w:szCs w:val="21"/>
              </w:rPr>
            </w:pPr>
          </w:p>
        </w:tc>
        <w:tc>
          <w:tcPr>
            <w:tcW w:w="1785" w:type="dxa"/>
            <w:noWrap w:val="0"/>
            <w:vAlign w:val="top"/>
          </w:tcPr>
          <w:p w14:paraId="11D49563">
            <w:pPr>
              <w:pStyle w:val="12"/>
              <w:spacing w:before="96" w:beforeLines="40" w:after="96" w:afterLines="40" w:line="400" w:lineRule="exact"/>
              <w:rPr>
                <w:rFonts w:hAnsi="宋体"/>
                <w:szCs w:val="21"/>
              </w:rPr>
            </w:pPr>
          </w:p>
        </w:tc>
      </w:tr>
      <w:tr w14:paraId="59C1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840" w:type="dxa"/>
            <w:noWrap w:val="0"/>
            <w:vAlign w:val="center"/>
          </w:tcPr>
          <w:p w14:paraId="28206EA7">
            <w:pPr>
              <w:pStyle w:val="12"/>
              <w:spacing w:before="96" w:beforeLines="40" w:after="96" w:afterLines="40" w:line="400" w:lineRule="exact"/>
              <w:jc w:val="center"/>
              <w:rPr>
                <w:rFonts w:hint="eastAsia" w:hAnsi="宋体"/>
                <w:szCs w:val="21"/>
              </w:rPr>
            </w:pPr>
            <w:r>
              <w:rPr>
                <w:rFonts w:hint="eastAsia" w:hAnsi="宋体"/>
                <w:szCs w:val="21"/>
              </w:rPr>
              <w:t>5</w:t>
            </w:r>
          </w:p>
        </w:tc>
        <w:tc>
          <w:tcPr>
            <w:tcW w:w="1260" w:type="dxa"/>
            <w:noWrap w:val="0"/>
            <w:vAlign w:val="top"/>
          </w:tcPr>
          <w:p w14:paraId="717FE2BF">
            <w:pPr>
              <w:spacing w:before="96" w:beforeLines="40" w:after="96" w:afterLines="40" w:line="400" w:lineRule="exact"/>
              <w:rPr>
                <w:rFonts w:hint="eastAsia" w:ascii="宋体" w:hAnsi="宋体"/>
                <w:szCs w:val="21"/>
              </w:rPr>
            </w:pPr>
          </w:p>
        </w:tc>
        <w:tc>
          <w:tcPr>
            <w:tcW w:w="2011" w:type="dxa"/>
            <w:noWrap w:val="0"/>
            <w:vAlign w:val="top"/>
          </w:tcPr>
          <w:p w14:paraId="1E374730">
            <w:pPr>
              <w:spacing w:before="96" w:beforeLines="40" w:after="96" w:afterLines="40" w:line="400" w:lineRule="exact"/>
              <w:rPr>
                <w:rFonts w:hint="eastAsia" w:ascii="宋体" w:hAnsi="宋体"/>
                <w:szCs w:val="21"/>
              </w:rPr>
            </w:pPr>
          </w:p>
        </w:tc>
        <w:tc>
          <w:tcPr>
            <w:tcW w:w="929" w:type="dxa"/>
            <w:noWrap w:val="0"/>
            <w:vAlign w:val="top"/>
          </w:tcPr>
          <w:p w14:paraId="1245392A">
            <w:pPr>
              <w:spacing w:before="96" w:beforeLines="40" w:after="96" w:afterLines="40" w:line="400" w:lineRule="exact"/>
              <w:rPr>
                <w:rFonts w:hAnsi="宋体"/>
                <w:szCs w:val="21"/>
              </w:rPr>
            </w:pPr>
          </w:p>
        </w:tc>
        <w:tc>
          <w:tcPr>
            <w:tcW w:w="1365" w:type="dxa"/>
            <w:noWrap w:val="0"/>
            <w:vAlign w:val="top"/>
          </w:tcPr>
          <w:p w14:paraId="073C4276">
            <w:pPr>
              <w:pStyle w:val="12"/>
              <w:spacing w:before="96" w:beforeLines="40" w:after="96" w:afterLines="40" w:line="400" w:lineRule="exact"/>
              <w:rPr>
                <w:rFonts w:hAnsi="宋体"/>
                <w:szCs w:val="21"/>
              </w:rPr>
            </w:pPr>
          </w:p>
        </w:tc>
        <w:tc>
          <w:tcPr>
            <w:tcW w:w="1313" w:type="dxa"/>
            <w:noWrap w:val="0"/>
            <w:vAlign w:val="top"/>
          </w:tcPr>
          <w:p w14:paraId="37C5BFFF">
            <w:pPr>
              <w:pStyle w:val="12"/>
              <w:spacing w:before="96" w:beforeLines="40" w:after="96" w:afterLines="40" w:line="400" w:lineRule="exact"/>
              <w:rPr>
                <w:rFonts w:hAnsi="宋体"/>
                <w:szCs w:val="21"/>
              </w:rPr>
            </w:pPr>
          </w:p>
        </w:tc>
        <w:tc>
          <w:tcPr>
            <w:tcW w:w="1785" w:type="dxa"/>
            <w:noWrap w:val="0"/>
            <w:vAlign w:val="top"/>
          </w:tcPr>
          <w:p w14:paraId="5EA40C9E">
            <w:pPr>
              <w:pStyle w:val="12"/>
              <w:spacing w:before="96" w:beforeLines="40" w:after="96" w:afterLines="40" w:line="400" w:lineRule="exact"/>
              <w:rPr>
                <w:rFonts w:hAnsi="宋体"/>
                <w:szCs w:val="21"/>
              </w:rPr>
            </w:pPr>
          </w:p>
        </w:tc>
      </w:tr>
      <w:tr w14:paraId="65F9E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840" w:type="dxa"/>
            <w:noWrap w:val="0"/>
            <w:vAlign w:val="center"/>
          </w:tcPr>
          <w:p w14:paraId="5A555D3F">
            <w:pPr>
              <w:pStyle w:val="12"/>
              <w:spacing w:before="96" w:beforeLines="40" w:after="96" w:afterLines="40" w:line="400" w:lineRule="exact"/>
              <w:jc w:val="center"/>
              <w:rPr>
                <w:rFonts w:hint="eastAsia" w:hAnsi="宋体"/>
                <w:szCs w:val="21"/>
              </w:rPr>
            </w:pPr>
            <w:r>
              <w:rPr>
                <w:rFonts w:hint="eastAsia" w:hAnsi="宋体"/>
                <w:szCs w:val="21"/>
              </w:rPr>
              <w:t>6</w:t>
            </w:r>
          </w:p>
        </w:tc>
        <w:tc>
          <w:tcPr>
            <w:tcW w:w="1260" w:type="dxa"/>
            <w:noWrap w:val="0"/>
            <w:vAlign w:val="top"/>
          </w:tcPr>
          <w:p w14:paraId="62E7EAAC">
            <w:pPr>
              <w:spacing w:before="96" w:beforeLines="40" w:after="96" w:afterLines="40" w:line="400" w:lineRule="exact"/>
              <w:rPr>
                <w:rFonts w:hint="eastAsia" w:ascii="宋体" w:hAnsi="宋体"/>
                <w:szCs w:val="21"/>
              </w:rPr>
            </w:pPr>
          </w:p>
        </w:tc>
        <w:tc>
          <w:tcPr>
            <w:tcW w:w="2011" w:type="dxa"/>
            <w:noWrap w:val="0"/>
            <w:vAlign w:val="top"/>
          </w:tcPr>
          <w:p w14:paraId="607267AA">
            <w:pPr>
              <w:spacing w:before="96" w:beforeLines="40" w:after="96" w:afterLines="40" w:line="400" w:lineRule="exact"/>
              <w:rPr>
                <w:rFonts w:hint="eastAsia" w:ascii="宋体" w:hAnsi="宋体"/>
                <w:szCs w:val="21"/>
              </w:rPr>
            </w:pPr>
          </w:p>
        </w:tc>
        <w:tc>
          <w:tcPr>
            <w:tcW w:w="929" w:type="dxa"/>
            <w:noWrap w:val="0"/>
            <w:vAlign w:val="top"/>
          </w:tcPr>
          <w:p w14:paraId="4FDAD498">
            <w:pPr>
              <w:spacing w:before="96" w:beforeLines="40" w:after="96" w:afterLines="40" w:line="400" w:lineRule="exact"/>
              <w:rPr>
                <w:rFonts w:hAnsi="宋体"/>
                <w:szCs w:val="21"/>
              </w:rPr>
            </w:pPr>
          </w:p>
        </w:tc>
        <w:tc>
          <w:tcPr>
            <w:tcW w:w="1365" w:type="dxa"/>
            <w:noWrap w:val="0"/>
            <w:vAlign w:val="top"/>
          </w:tcPr>
          <w:p w14:paraId="796DDE75">
            <w:pPr>
              <w:pStyle w:val="12"/>
              <w:spacing w:before="96" w:beforeLines="40" w:after="96" w:afterLines="40" w:line="400" w:lineRule="exact"/>
              <w:rPr>
                <w:rFonts w:hAnsi="宋体"/>
                <w:szCs w:val="21"/>
              </w:rPr>
            </w:pPr>
          </w:p>
        </w:tc>
        <w:tc>
          <w:tcPr>
            <w:tcW w:w="1313" w:type="dxa"/>
            <w:noWrap w:val="0"/>
            <w:vAlign w:val="top"/>
          </w:tcPr>
          <w:p w14:paraId="267D2CDF">
            <w:pPr>
              <w:pStyle w:val="12"/>
              <w:spacing w:before="96" w:beforeLines="40" w:after="96" w:afterLines="40" w:line="400" w:lineRule="exact"/>
              <w:rPr>
                <w:rFonts w:hAnsi="宋体"/>
                <w:szCs w:val="21"/>
              </w:rPr>
            </w:pPr>
          </w:p>
        </w:tc>
        <w:tc>
          <w:tcPr>
            <w:tcW w:w="1785" w:type="dxa"/>
            <w:noWrap w:val="0"/>
            <w:vAlign w:val="top"/>
          </w:tcPr>
          <w:p w14:paraId="25623CCD">
            <w:pPr>
              <w:pStyle w:val="12"/>
              <w:spacing w:before="96" w:beforeLines="40" w:after="96" w:afterLines="40" w:line="400" w:lineRule="exact"/>
              <w:rPr>
                <w:rFonts w:hAnsi="宋体"/>
                <w:szCs w:val="21"/>
              </w:rPr>
            </w:pPr>
          </w:p>
        </w:tc>
      </w:tr>
      <w:tr w14:paraId="4CF8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840" w:type="dxa"/>
            <w:noWrap w:val="0"/>
            <w:vAlign w:val="center"/>
          </w:tcPr>
          <w:p w14:paraId="4AF3541E">
            <w:pPr>
              <w:pStyle w:val="12"/>
              <w:spacing w:before="96" w:beforeLines="40" w:after="96" w:afterLines="40" w:line="400" w:lineRule="exact"/>
              <w:jc w:val="center"/>
              <w:rPr>
                <w:rFonts w:hint="eastAsia" w:hAnsi="宋体"/>
                <w:szCs w:val="21"/>
              </w:rPr>
            </w:pPr>
            <w:r>
              <w:rPr>
                <w:rFonts w:hint="eastAsia" w:hAnsi="宋体"/>
                <w:szCs w:val="21"/>
              </w:rPr>
              <w:t>7</w:t>
            </w:r>
          </w:p>
        </w:tc>
        <w:tc>
          <w:tcPr>
            <w:tcW w:w="1260" w:type="dxa"/>
            <w:noWrap w:val="0"/>
            <w:vAlign w:val="top"/>
          </w:tcPr>
          <w:p w14:paraId="34EA411D">
            <w:pPr>
              <w:spacing w:before="96" w:beforeLines="40" w:after="96" w:afterLines="40" w:line="400" w:lineRule="exact"/>
              <w:rPr>
                <w:rFonts w:hint="eastAsia" w:ascii="宋体" w:hAnsi="宋体"/>
                <w:szCs w:val="21"/>
              </w:rPr>
            </w:pPr>
          </w:p>
        </w:tc>
        <w:tc>
          <w:tcPr>
            <w:tcW w:w="2011" w:type="dxa"/>
            <w:noWrap w:val="0"/>
            <w:vAlign w:val="top"/>
          </w:tcPr>
          <w:p w14:paraId="24DE97EF">
            <w:pPr>
              <w:spacing w:before="96" w:beforeLines="40" w:after="96" w:afterLines="40" w:line="400" w:lineRule="exact"/>
              <w:rPr>
                <w:rFonts w:hint="eastAsia" w:ascii="宋体" w:hAnsi="宋体"/>
                <w:szCs w:val="21"/>
              </w:rPr>
            </w:pPr>
          </w:p>
        </w:tc>
        <w:tc>
          <w:tcPr>
            <w:tcW w:w="929" w:type="dxa"/>
            <w:noWrap w:val="0"/>
            <w:vAlign w:val="top"/>
          </w:tcPr>
          <w:p w14:paraId="07445E60">
            <w:pPr>
              <w:spacing w:before="96" w:beforeLines="40" w:after="96" w:afterLines="40" w:line="400" w:lineRule="exact"/>
              <w:rPr>
                <w:rFonts w:hAnsi="宋体"/>
                <w:szCs w:val="21"/>
              </w:rPr>
            </w:pPr>
          </w:p>
        </w:tc>
        <w:tc>
          <w:tcPr>
            <w:tcW w:w="1365" w:type="dxa"/>
            <w:noWrap w:val="0"/>
            <w:vAlign w:val="top"/>
          </w:tcPr>
          <w:p w14:paraId="47915043">
            <w:pPr>
              <w:pStyle w:val="12"/>
              <w:spacing w:before="96" w:beforeLines="40" w:after="96" w:afterLines="40" w:line="400" w:lineRule="exact"/>
              <w:rPr>
                <w:rFonts w:hAnsi="宋体"/>
                <w:szCs w:val="21"/>
              </w:rPr>
            </w:pPr>
          </w:p>
        </w:tc>
        <w:tc>
          <w:tcPr>
            <w:tcW w:w="1313" w:type="dxa"/>
            <w:noWrap w:val="0"/>
            <w:vAlign w:val="top"/>
          </w:tcPr>
          <w:p w14:paraId="6264F93C">
            <w:pPr>
              <w:pStyle w:val="12"/>
              <w:spacing w:before="96" w:beforeLines="40" w:after="96" w:afterLines="40" w:line="400" w:lineRule="exact"/>
              <w:rPr>
                <w:rFonts w:hAnsi="宋体"/>
                <w:szCs w:val="21"/>
              </w:rPr>
            </w:pPr>
          </w:p>
        </w:tc>
        <w:tc>
          <w:tcPr>
            <w:tcW w:w="1785" w:type="dxa"/>
            <w:noWrap w:val="0"/>
            <w:vAlign w:val="top"/>
          </w:tcPr>
          <w:p w14:paraId="4196C4B5">
            <w:pPr>
              <w:pStyle w:val="12"/>
              <w:spacing w:before="96" w:beforeLines="40" w:after="96" w:afterLines="40" w:line="400" w:lineRule="exact"/>
              <w:rPr>
                <w:rFonts w:hAnsi="宋体"/>
                <w:szCs w:val="21"/>
              </w:rPr>
            </w:pPr>
          </w:p>
        </w:tc>
      </w:tr>
      <w:tr w14:paraId="3B32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840" w:type="dxa"/>
            <w:noWrap w:val="0"/>
            <w:vAlign w:val="center"/>
          </w:tcPr>
          <w:p w14:paraId="425138F7">
            <w:pPr>
              <w:pStyle w:val="12"/>
              <w:spacing w:before="96" w:beforeLines="40" w:after="96" w:afterLines="40" w:line="400" w:lineRule="exact"/>
              <w:jc w:val="center"/>
              <w:rPr>
                <w:rFonts w:hint="eastAsia" w:hAnsi="宋体"/>
                <w:szCs w:val="21"/>
              </w:rPr>
            </w:pPr>
            <w:r>
              <w:rPr>
                <w:rFonts w:hint="eastAsia" w:hAnsi="宋体"/>
                <w:szCs w:val="21"/>
              </w:rPr>
              <w:t>8</w:t>
            </w:r>
          </w:p>
        </w:tc>
        <w:tc>
          <w:tcPr>
            <w:tcW w:w="1260" w:type="dxa"/>
            <w:noWrap w:val="0"/>
            <w:vAlign w:val="top"/>
          </w:tcPr>
          <w:p w14:paraId="41FE8800">
            <w:pPr>
              <w:spacing w:before="96" w:beforeLines="40" w:after="96" w:afterLines="40" w:line="400" w:lineRule="exact"/>
              <w:rPr>
                <w:rFonts w:hint="eastAsia" w:ascii="宋体" w:hAnsi="宋体"/>
                <w:szCs w:val="21"/>
              </w:rPr>
            </w:pPr>
          </w:p>
        </w:tc>
        <w:tc>
          <w:tcPr>
            <w:tcW w:w="2011" w:type="dxa"/>
            <w:noWrap w:val="0"/>
            <w:vAlign w:val="top"/>
          </w:tcPr>
          <w:p w14:paraId="1E4C33F1">
            <w:pPr>
              <w:spacing w:before="96" w:beforeLines="40" w:after="96" w:afterLines="40" w:line="400" w:lineRule="exact"/>
              <w:rPr>
                <w:rFonts w:hint="eastAsia" w:ascii="宋体" w:hAnsi="宋体"/>
                <w:szCs w:val="21"/>
              </w:rPr>
            </w:pPr>
          </w:p>
        </w:tc>
        <w:tc>
          <w:tcPr>
            <w:tcW w:w="929" w:type="dxa"/>
            <w:noWrap w:val="0"/>
            <w:vAlign w:val="top"/>
          </w:tcPr>
          <w:p w14:paraId="0128B8F9">
            <w:pPr>
              <w:spacing w:before="96" w:beforeLines="40" w:after="96" w:afterLines="40" w:line="400" w:lineRule="exact"/>
              <w:rPr>
                <w:rFonts w:hAnsi="宋体"/>
                <w:szCs w:val="21"/>
              </w:rPr>
            </w:pPr>
          </w:p>
        </w:tc>
        <w:tc>
          <w:tcPr>
            <w:tcW w:w="1365" w:type="dxa"/>
            <w:noWrap w:val="0"/>
            <w:vAlign w:val="top"/>
          </w:tcPr>
          <w:p w14:paraId="667EE752">
            <w:pPr>
              <w:pStyle w:val="12"/>
              <w:spacing w:before="96" w:beforeLines="40" w:after="96" w:afterLines="40" w:line="400" w:lineRule="exact"/>
              <w:rPr>
                <w:rFonts w:hAnsi="宋体"/>
                <w:szCs w:val="21"/>
              </w:rPr>
            </w:pPr>
          </w:p>
        </w:tc>
        <w:tc>
          <w:tcPr>
            <w:tcW w:w="1313" w:type="dxa"/>
            <w:noWrap w:val="0"/>
            <w:vAlign w:val="top"/>
          </w:tcPr>
          <w:p w14:paraId="252C5064">
            <w:pPr>
              <w:pStyle w:val="12"/>
              <w:spacing w:before="96" w:beforeLines="40" w:after="96" w:afterLines="40" w:line="400" w:lineRule="exact"/>
              <w:rPr>
                <w:rFonts w:hAnsi="宋体"/>
                <w:szCs w:val="21"/>
              </w:rPr>
            </w:pPr>
          </w:p>
        </w:tc>
        <w:tc>
          <w:tcPr>
            <w:tcW w:w="1785" w:type="dxa"/>
            <w:noWrap w:val="0"/>
            <w:vAlign w:val="top"/>
          </w:tcPr>
          <w:p w14:paraId="582BC647">
            <w:pPr>
              <w:pStyle w:val="12"/>
              <w:spacing w:before="96" w:beforeLines="40" w:after="96" w:afterLines="40" w:line="400" w:lineRule="exact"/>
              <w:rPr>
                <w:rFonts w:hAnsi="宋体"/>
                <w:szCs w:val="21"/>
              </w:rPr>
            </w:pPr>
          </w:p>
        </w:tc>
      </w:tr>
      <w:tr w14:paraId="4009D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840" w:type="dxa"/>
            <w:noWrap w:val="0"/>
            <w:vAlign w:val="center"/>
          </w:tcPr>
          <w:p w14:paraId="5B1B437B">
            <w:pPr>
              <w:pStyle w:val="12"/>
              <w:spacing w:before="96" w:beforeLines="40" w:after="96" w:afterLines="40" w:line="400" w:lineRule="exact"/>
              <w:jc w:val="center"/>
              <w:rPr>
                <w:rFonts w:hint="eastAsia" w:hAnsi="宋体"/>
                <w:szCs w:val="21"/>
              </w:rPr>
            </w:pPr>
            <w:r>
              <w:rPr>
                <w:rFonts w:hint="eastAsia" w:hAnsi="宋体"/>
                <w:szCs w:val="21"/>
              </w:rPr>
              <w:t>9</w:t>
            </w:r>
          </w:p>
        </w:tc>
        <w:tc>
          <w:tcPr>
            <w:tcW w:w="1260" w:type="dxa"/>
            <w:noWrap w:val="0"/>
            <w:vAlign w:val="top"/>
          </w:tcPr>
          <w:p w14:paraId="3814ACBD">
            <w:pPr>
              <w:spacing w:before="96" w:beforeLines="40" w:after="96" w:afterLines="40" w:line="400" w:lineRule="exact"/>
              <w:rPr>
                <w:rFonts w:hint="eastAsia" w:ascii="宋体" w:hAnsi="宋体"/>
                <w:szCs w:val="21"/>
              </w:rPr>
            </w:pPr>
          </w:p>
        </w:tc>
        <w:tc>
          <w:tcPr>
            <w:tcW w:w="2011" w:type="dxa"/>
            <w:noWrap w:val="0"/>
            <w:vAlign w:val="top"/>
          </w:tcPr>
          <w:p w14:paraId="65EC128A">
            <w:pPr>
              <w:spacing w:before="96" w:beforeLines="40" w:after="96" w:afterLines="40" w:line="400" w:lineRule="exact"/>
              <w:rPr>
                <w:rFonts w:hint="eastAsia" w:ascii="宋体" w:hAnsi="宋体"/>
                <w:szCs w:val="21"/>
              </w:rPr>
            </w:pPr>
          </w:p>
        </w:tc>
        <w:tc>
          <w:tcPr>
            <w:tcW w:w="929" w:type="dxa"/>
            <w:noWrap w:val="0"/>
            <w:vAlign w:val="top"/>
          </w:tcPr>
          <w:p w14:paraId="54D58DD9">
            <w:pPr>
              <w:spacing w:before="96" w:beforeLines="40" w:after="96" w:afterLines="40" w:line="400" w:lineRule="exact"/>
              <w:rPr>
                <w:rFonts w:hAnsi="宋体"/>
                <w:szCs w:val="21"/>
              </w:rPr>
            </w:pPr>
          </w:p>
        </w:tc>
        <w:tc>
          <w:tcPr>
            <w:tcW w:w="1365" w:type="dxa"/>
            <w:noWrap w:val="0"/>
            <w:vAlign w:val="top"/>
          </w:tcPr>
          <w:p w14:paraId="4C45B629">
            <w:pPr>
              <w:pStyle w:val="12"/>
              <w:spacing w:before="96" w:beforeLines="40" w:after="96" w:afterLines="40" w:line="400" w:lineRule="exact"/>
              <w:rPr>
                <w:rFonts w:hAnsi="宋体"/>
                <w:szCs w:val="21"/>
              </w:rPr>
            </w:pPr>
          </w:p>
        </w:tc>
        <w:tc>
          <w:tcPr>
            <w:tcW w:w="1313" w:type="dxa"/>
            <w:noWrap w:val="0"/>
            <w:vAlign w:val="top"/>
          </w:tcPr>
          <w:p w14:paraId="37499A77">
            <w:pPr>
              <w:pStyle w:val="12"/>
              <w:spacing w:before="96" w:beforeLines="40" w:after="96" w:afterLines="40" w:line="400" w:lineRule="exact"/>
              <w:rPr>
                <w:rFonts w:hAnsi="宋体"/>
                <w:szCs w:val="21"/>
              </w:rPr>
            </w:pPr>
          </w:p>
        </w:tc>
        <w:tc>
          <w:tcPr>
            <w:tcW w:w="1785" w:type="dxa"/>
            <w:noWrap w:val="0"/>
            <w:vAlign w:val="top"/>
          </w:tcPr>
          <w:p w14:paraId="7251E73E">
            <w:pPr>
              <w:pStyle w:val="12"/>
              <w:spacing w:before="96" w:beforeLines="40" w:after="96" w:afterLines="40" w:line="400" w:lineRule="exact"/>
              <w:rPr>
                <w:rFonts w:hAnsi="宋体"/>
                <w:szCs w:val="21"/>
              </w:rPr>
            </w:pPr>
          </w:p>
        </w:tc>
      </w:tr>
      <w:tr w14:paraId="4E20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6405" w:type="dxa"/>
            <w:gridSpan w:val="5"/>
            <w:noWrap w:val="0"/>
            <w:vAlign w:val="center"/>
          </w:tcPr>
          <w:p w14:paraId="39895AA0">
            <w:pPr>
              <w:pStyle w:val="12"/>
              <w:spacing w:before="96" w:beforeLines="40" w:after="96" w:afterLines="40" w:line="400" w:lineRule="exact"/>
              <w:jc w:val="center"/>
              <w:rPr>
                <w:rFonts w:hAnsi="宋体"/>
                <w:szCs w:val="21"/>
              </w:rPr>
            </w:pPr>
            <w:r>
              <w:rPr>
                <w:rFonts w:hint="eastAsia" w:hAnsi="宋体"/>
                <w:b/>
                <w:szCs w:val="21"/>
              </w:rPr>
              <w:t>合计</w:t>
            </w:r>
          </w:p>
        </w:tc>
        <w:tc>
          <w:tcPr>
            <w:tcW w:w="1313" w:type="dxa"/>
            <w:noWrap w:val="0"/>
            <w:vAlign w:val="center"/>
          </w:tcPr>
          <w:p w14:paraId="7A4AF954">
            <w:pPr>
              <w:pStyle w:val="12"/>
              <w:spacing w:before="96" w:beforeLines="40" w:after="96" w:afterLines="40" w:line="400" w:lineRule="exact"/>
              <w:jc w:val="center"/>
              <w:rPr>
                <w:rFonts w:hAnsi="宋体"/>
                <w:szCs w:val="21"/>
              </w:rPr>
            </w:pPr>
          </w:p>
        </w:tc>
        <w:tc>
          <w:tcPr>
            <w:tcW w:w="1785" w:type="dxa"/>
            <w:noWrap w:val="0"/>
            <w:vAlign w:val="center"/>
          </w:tcPr>
          <w:p w14:paraId="41C229C9">
            <w:pPr>
              <w:pStyle w:val="12"/>
              <w:spacing w:before="96" w:beforeLines="40" w:after="96" w:afterLines="40" w:line="400" w:lineRule="exact"/>
              <w:jc w:val="center"/>
              <w:rPr>
                <w:rFonts w:hAnsi="宋体"/>
                <w:szCs w:val="21"/>
              </w:rPr>
            </w:pPr>
          </w:p>
        </w:tc>
      </w:tr>
    </w:tbl>
    <w:p w14:paraId="0263AA5E">
      <w:pPr>
        <w:pStyle w:val="13"/>
        <w:spacing w:line="360" w:lineRule="auto"/>
        <w:rPr>
          <w:rFonts w:hint="eastAsia" w:ascii="宋体" w:hAnsi="宋体"/>
          <w:b w:val="0"/>
          <w:sz w:val="21"/>
          <w:szCs w:val="21"/>
        </w:rPr>
      </w:pPr>
    </w:p>
    <w:p w14:paraId="428D779F">
      <w:pPr>
        <w:rPr>
          <w:rFonts w:hint="eastAsia"/>
        </w:rPr>
      </w:pPr>
    </w:p>
    <w:p w14:paraId="55491A4C">
      <w:pPr>
        <w:spacing w:before="96" w:beforeLines="40" w:after="96" w:afterLines="40" w:line="400" w:lineRule="exact"/>
        <w:ind w:firstLine="2520" w:firstLineChars="1200"/>
        <w:rPr>
          <w:rFonts w:hint="eastAsia" w:ascii="宋体" w:hAnsi="宋体"/>
          <w:szCs w:val="21"/>
          <w:u w:val="single"/>
        </w:rPr>
      </w:pPr>
      <w:r>
        <w:rPr>
          <w:rFonts w:hint="eastAsia" w:ascii="宋体" w:hAnsi="宋体"/>
          <w:szCs w:val="21"/>
          <w:lang w:eastAsia="zh-CN"/>
        </w:rPr>
        <w:t>投标人电子签章</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p>
    <w:p w14:paraId="51162E4D">
      <w:pPr>
        <w:adjustRightInd w:val="0"/>
        <w:snapToGrid w:val="0"/>
        <w:spacing w:before="96" w:beforeLines="40" w:after="96" w:afterLines="40" w:line="400" w:lineRule="exact"/>
        <w:ind w:firstLine="2551" w:firstLineChars="1215"/>
        <w:jc w:val="left"/>
        <w:rPr>
          <w:rFonts w:hint="eastAsia" w:ascii="宋体" w:hAnsi="宋体"/>
          <w:b/>
          <w:bCs/>
          <w:szCs w:val="21"/>
        </w:rPr>
      </w:pPr>
      <w:r>
        <w:rPr>
          <w:rFonts w:hint="eastAsia" w:ascii="宋体" w:hAnsi="宋体"/>
          <w:szCs w:val="21"/>
        </w:rPr>
        <w:t>日</w:t>
      </w:r>
      <w:r>
        <w:rPr>
          <w:rFonts w:ascii="宋体" w:hAnsi="宋体"/>
          <w:szCs w:val="21"/>
        </w:rPr>
        <w:t xml:space="preserve">      </w:t>
      </w:r>
      <w:r>
        <w:rPr>
          <w:rFonts w:hint="eastAsia" w:ascii="宋体" w:hAnsi="宋体"/>
          <w:szCs w:val="21"/>
        </w:rPr>
        <w:t>期：</w:t>
      </w:r>
      <w:r>
        <w:rPr>
          <w:rFonts w:ascii="宋体" w:hAnsi="宋体"/>
          <w:szCs w:val="21"/>
          <w:u w:val="single"/>
        </w:rPr>
        <w:t xml:space="preserve">                     </w:t>
      </w:r>
    </w:p>
    <w:p w14:paraId="15470C6E">
      <w:pPr>
        <w:spacing w:before="96" w:beforeLines="40" w:after="96" w:afterLines="40" w:line="400" w:lineRule="exact"/>
        <w:ind w:firstLine="422" w:firstLineChars="200"/>
        <w:jc w:val="left"/>
        <w:rPr>
          <w:rFonts w:hint="eastAsia"/>
          <w:b/>
          <w:szCs w:val="21"/>
        </w:rPr>
      </w:pPr>
    </w:p>
    <w:p w14:paraId="27591FBF">
      <w:pPr>
        <w:spacing w:before="96" w:beforeLines="40" w:after="96" w:afterLines="40" w:line="400" w:lineRule="exact"/>
        <w:ind w:firstLine="422" w:firstLineChars="200"/>
        <w:jc w:val="left"/>
        <w:rPr>
          <w:rFonts w:hint="eastAsia"/>
          <w:b/>
          <w:szCs w:val="21"/>
        </w:rPr>
      </w:pPr>
      <w:r>
        <w:rPr>
          <w:rFonts w:hint="eastAsia"/>
          <w:b/>
          <w:szCs w:val="21"/>
        </w:rPr>
        <w:t>备注：备品备件系指免费质保期满</w:t>
      </w:r>
      <w:r>
        <w:rPr>
          <w:b/>
          <w:szCs w:val="21"/>
        </w:rPr>
        <w:t>后一定期限的</w:t>
      </w:r>
      <w:r>
        <w:rPr>
          <w:rFonts w:hint="eastAsia"/>
          <w:b/>
          <w:szCs w:val="21"/>
        </w:rPr>
        <w:t>易损件、耗材等。</w:t>
      </w:r>
    </w:p>
    <w:p w14:paraId="7299414A">
      <w:pPr>
        <w:spacing w:before="48" w:beforeLines="20" w:after="48" w:afterLines="20" w:line="360" w:lineRule="auto"/>
        <w:rPr>
          <w:rFonts w:hint="eastAsia" w:ascii="宋体" w:hAnsi="宋体"/>
          <w:sz w:val="28"/>
        </w:rPr>
      </w:pPr>
    </w:p>
    <w:p w14:paraId="5D6C7CBF">
      <w:pPr>
        <w:pStyle w:val="3"/>
        <w:spacing w:before="0" w:after="0" w:line="240" w:lineRule="auto"/>
        <w:jc w:val="center"/>
        <w:rPr>
          <w:rFonts w:hint="eastAsia" w:hAnsi="宋体"/>
        </w:rPr>
      </w:pPr>
      <w:r>
        <w:rPr>
          <w:rFonts w:hint="eastAsia" w:ascii="宋体" w:hAnsi="宋体"/>
          <w:sz w:val="28"/>
        </w:rPr>
        <w:t>九.</w:t>
      </w:r>
      <w:r>
        <w:rPr>
          <w:rFonts w:hint="eastAsia" w:hAnsi="宋体"/>
        </w:rPr>
        <w:t>产品质量承诺</w:t>
      </w:r>
    </w:p>
    <w:p w14:paraId="239F8B17">
      <w:pPr>
        <w:spacing w:before="48" w:beforeLines="20" w:after="48" w:afterLines="20" w:line="360" w:lineRule="auto"/>
        <w:ind w:firstLine="420" w:firstLineChars="200"/>
        <w:jc w:val="center"/>
        <w:rPr>
          <w:rFonts w:hint="eastAsia" w:ascii="宋体" w:hAnsi="宋体"/>
          <w:szCs w:val="21"/>
        </w:rPr>
      </w:pPr>
      <w:r>
        <w:rPr>
          <w:rFonts w:hint="eastAsia" w:ascii="宋体" w:hAnsi="宋体"/>
          <w:szCs w:val="21"/>
        </w:rPr>
        <w:t>(投标供应商可自行制作格式)</w:t>
      </w:r>
    </w:p>
    <w:p w14:paraId="7EBFA243">
      <w:pPr>
        <w:spacing w:before="48" w:beforeLines="20" w:after="48" w:afterLines="20" w:line="360" w:lineRule="auto"/>
        <w:rPr>
          <w:rFonts w:ascii="宋体" w:hAnsi="宋体"/>
          <w:sz w:val="28"/>
        </w:rPr>
      </w:pPr>
    </w:p>
    <w:p w14:paraId="08D47DA0">
      <w:pPr>
        <w:pStyle w:val="3"/>
        <w:jc w:val="center"/>
        <w:rPr>
          <w:rFonts w:hint="eastAsia" w:hAnsi="宋体"/>
        </w:rPr>
      </w:pPr>
      <w:r>
        <w:rPr>
          <w:rFonts w:ascii="宋体" w:hAnsi="宋体"/>
          <w:sz w:val="28"/>
        </w:rPr>
        <w:br w:type="page"/>
      </w:r>
      <w:bookmarkStart w:id="1262" w:name="_Toc19087"/>
      <w:bookmarkStart w:id="1263" w:name="_Toc3215889"/>
      <w:bookmarkStart w:id="1264" w:name="_Toc445"/>
      <w:bookmarkStart w:id="1265" w:name="_Toc1916836"/>
      <w:bookmarkStart w:id="1266" w:name="_Toc457768013"/>
      <w:bookmarkStart w:id="1267" w:name="_Toc16999"/>
      <w:bookmarkStart w:id="1268" w:name="_Toc3295939"/>
      <w:r>
        <w:rPr>
          <w:rFonts w:hint="eastAsia" w:hAnsi="宋体"/>
        </w:rPr>
        <w:t>十．投标业绩承诺函</w:t>
      </w:r>
      <w:bookmarkEnd w:id="1262"/>
      <w:bookmarkEnd w:id="1263"/>
      <w:bookmarkEnd w:id="1264"/>
      <w:bookmarkEnd w:id="1265"/>
      <w:bookmarkEnd w:id="1266"/>
      <w:bookmarkEnd w:id="1267"/>
      <w:bookmarkEnd w:id="1268"/>
    </w:p>
    <w:p w14:paraId="2D2D8449">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u w:val="single"/>
        </w:rPr>
      </w:pPr>
      <w:bookmarkStart w:id="1269" w:name="_Toc457768015"/>
      <w:bookmarkStart w:id="1270" w:name="_Toc1916838"/>
      <w:bookmarkStart w:id="1271" w:name="_Toc3295941"/>
      <w:bookmarkStart w:id="1272" w:name="_Toc3215891"/>
      <w:r>
        <w:rPr>
          <w:rFonts w:hint="eastAsia" w:ascii="宋体" w:hAnsi="宋体"/>
          <w:b w:val="0"/>
          <w:bCs w:val="0"/>
          <w:szCs w:val="21"/>
        </w:rPr>
        <w:t>致：</w:t>
      </w:r>
      <w:r>
        <w:rPr>
          <w:rFonts w:hint="eastAsia" w:ascii="宋体" w:hAnsi="宋体"/>
          <w:b w:val="0"/>
          <w:bCs w:val="0"/>
          <w:szCs w:val="21"/>
          <w:u w:val="single"/>
        </w:rPr>
        <w:t xml:space="preserve">       代理机构</w:t>
      </w:r>
    </w:p>
    <w:p w14:paraId="78223032">
      <w:pPr>
        <w:keepNext w:val="0"/>
        <w:keepLines w:val="0"/>
        <w:pageBreakBefore w:val="0"/>
        <w:widowControl w:val="0"/>
        <w:kinsoku/>
        <w:wordWrap/>
        <w:overflowPunct/>
        <w:topLinePunct w:val="0"/>
        <w:autoSpaceDE/>
        <w:autoSpaceDN/>
        <w:bidi w:val="0"/>
        <w:adjustRightInd w:val="0"/>
        <w:snapToGrid w:val="0"/>
        <w:spacing w:before="96" w:beforeLines="40" w:after="96" w:afterLines="40" w:line="400" w:lineRule="exact"/>
        <w:ind w:left="-424" w:leftChars="-202" w:firstLine="840" w:firstLineChars="400"/>
        <w:jc w:val="left"/>
        <w:textAlignment w:val="auto"/>
        <w:rPr>
          <w:rFonts w:hint="eastAsia" w:ascii="宋体" w:hAnsi="宋体"/>
          <w:b w:val="0"/>
          <w:bCs w:val="0"/>
          <w:szCs w:val="21"/>
          <w:u w:val="single"/>
        </w:rPr>
      </w:pPr>
      <w:r>
        <w:rPr>
          <w:rFonts w:hint="eastAsia" w:ascii="宋体" w:hAnsi="宋体"/>
          <w:b w:val="0"/>
          <w:bCs w:val="0"/>
          <w:szCs w:val="21"/>
          <w:u w:val="single"/>
        </w:rPr>
        <w:t>某采购单位</w:t>
      </w:r>
    </w:p>
    <w:p w14:paraId="178925A3">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我单位同意评审结果公告中公示以下业绩并承诺：投标文件中所提供的业绩均真实有效，业绩合同中所有货物均已供货完毕且已全部通过相关部门验收合格，甲方采购单位均真实有效，若有异议，我单位承诺会在3个工作日内可就以下业绩信息提供(合同、对应的发票、验收报告或用户评价意见)原件供贵单位核对。若被发现存在任何虚假、隐瞒情况，我单位承担由此产生的一切后果。</w:t>
      </w:r>
    </w:p>
    <w:p w14:paraId="3EFF75CD">
      <w:pPr>
        <w:adjustRightInd w:val="0"/>
        <w:snapToGrid w:val="0"/>
        <w:spacing w:before="96" w:beforeLines="40" w:after="96" w:afterLines="40" w:line="400" w:lineRule="exact"/>
        <w:ind w:left="-424" w:leftChars="-202" w:firstLine="422" w:firstLineChars="200"/>
        <w:jc w:val="left"/>
        <w:rPr>
          <w:rFonts w:hint="eastAsia" w:ascii="宋体" w:hAnsi="宋体"/>
          <w:b/>
          <w:bCs/>
          <w:szCs w:val="21"/>
        </w:rPr>
      </w:pPr>
    </w:p>
    <w:tbl>
      <w:tblPr>
        <w:tblStyle w:val="23"/>
        <w:tblW w:w="0" w:type="auto"/>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559"/>
        <w:gridCol w:w="2410"/>
        <w:gridCol w:w="2409"/>
        <w:gridCol w:w="1985"/>
        <w:gridCol w:w="992"/>
      </w:tblGrid>
      <w:tr w14:paraId="09811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846" w:type="dxa"/>
            <w:noWrap w:val="0"/>
            <w:vAlign w:val="center"/>
          </w:tcPr>
          <w:p w14:paraId="7E2F9C9E">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序号</w:t>
            </w:r>
          </w:p>
        </w:tc>
        <w:tc>
          <w:tcPr>
            <w:tcW w:w="1559" w:type="dxa"/>
            <w:noWrap w:val="0"/>
            <w:vAlign w:val="center"/>
          </w:tcPr>
          <w:p w14:paraId="54FF9221">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项目名称</w:t>
            </w:r>
          </w:p>
        </w:tc>
        <w:tc>
          <w:tcPr>
            <w:tcW w:w="2410" w:type="dxa"/>
            <w:noWrap w:val="0"/>
            <w:vAlign w:val="center"/>
          </w:tcPr>
          <w:p w14:paraId="0100D98F">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供货范围</w:t>
            </w:r>
          </w:p>
          <w:p w14:paraId="05FC4655">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（设备的具体名称、规格型号）</w:t>
            </w:r>
          </w:p>
        </w:tc>
        <w:tc>
          <w:tcPr>
            <w:tcW w:w="2409" w:type="dxa"/>
            <w:noWrap w:val="0"/>
            <w:vAlign w:val="center"/>
          </w:tcPr>
          <w:p w14:paraId="5EF08A2B">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合同总金额</w:t>
            </w:r>
          </w:p>
        </w:tc>
        <w:tc>
          <w:tcPr>
            <w:tcW w:w="1985" w:type="dxa"/>
            <w:noWrap w:val="0"/>
            <w:vAlign w:val="center"/>
          </w:tcPr>
          <w:p w14:paraId="46644041">
            <w:pPr>
              <w:pStyle w:val="7"/>
              <w:rPr>
                <w:rFonts w:hint="default" w:eastAsia="宋体"/>
                <w:lang w:val="en-US" w:eastAsia="zh-CN"/>
              </w:rPr>
            </w:pPr>
            <w:r>
              <w:rPr>
                <w:rFonts w:hint="eastAsia"/>
                <w:lang w:val="en-US" w:eastAsia="zh-CN"/>
              </w:rPr>
              <w:t>合同甲方单位</w:t>
            </w:r>
          </w:p>
          <w:p w14:paraId="5115ECA5">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及联系电话</w:t>
            </w:r>
          </w:p>
        </w:tc>
        <w:tc>
          <w:tcPr>
            <w:tcW w:w="992" w:type="dxa"/>
            <w:noWrap w:val="0"/>
            <w:vAlign w:val="center"/>
          </w:tcPr>
          <w:p w14:paraId="4F4C5B44">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备注</w:t>
            </w:r>
          </w:p>
        </w:tc>
      </w:tr>
      <w:tr w14:paraId="0AAB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center"/>
          </w:tcPr>
          <w:p w14:paraId="592F4E49">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1</w:t>
            </w:r>
          </w:p>
        </w:tc>
        <w:tc>
          <w:tcPr>
            <w:tcW w:w="1559" w:type="dxa"/>
            <w:noWrap w:val="0"/>
            <w:vAlign w:val="center"/>
          </w:tcPr>
          <w:p w14:paraId="5995BC51">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10" w:type="dxa"/>
            <w:noWrap w:val="0"/>
            <w:vAlign w:val="center"/>
          </w:tcPr>
          <w:p w14:paraId="236A643D">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09" w:type="dxa"/>
            <w:noWrap w:val="0"/>
            <w:vAlign w:val="center"/>
          </w:tcPr>
          <w:p w14:paraId="691855ED">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1985" w:type="dxa"/>
            <w:noWrap w:val="0"/>
            <w:vAlign w:val="center"/>
          </w:tcPr>
          <w:p w14:paraId="3A025F9D">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992" w:type="dxa"/>
            <w:noWrap w:val="0"/>
            <w:vAlign w:val="center"/>
          </w:tcPr>
          <w:p w14:paraId="32A1CDDA">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r>
      <w:tr w14:paraId="4E8AB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center"/>
          </w:tcPr>
          <w:p w14:paraId="24B558DB">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2</w:t>
            </w:r>
          </w:p>
        </w:tc>
        <w:tc>
          <w:tcPr>
            <w:tcW w:w="1559" w:type="dxa"/>
            <w:noWrap w:val="0"/>
            <w:vAlign w:val="center"/>
          </w:tcPr>
          <w:p w14:paraId="0FC475C8">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10" w:type="dxa"/>
            <w:noWrap w:val="0"/>
            <w:vAlign w:val="center"/>
          </w:tcPr>
          <w:p w14:paraId="57914467">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09" w:type="dxa"/>
            <w:noWrap w:val="0"/>
            <w:vAlign w:val="center"/>
          </w:tcPr>
          <w:p w14:paraId="79F27733">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1985" w:type="dxa"/>
            <w:noWrap w:val="0"/>
            <w:vAlign w:val="center"/>
          </w:tcPr>
          <w:p w14:paraId="2B5E2DA3">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992" w:type="dxa"/>
            <w:noWrap w:val="0"/>
            <w:vAlign w:val="center"/>
          </w:tcPr>
          <w:p w14:paraId="294C0073">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r>
      <w:tr w14:paraId="7E95F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center"/>
          </w:tcPr>
          <w:p w14:paraId="0D6E78CF">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3</w:t>
            </w:r>
          </w:p>
        </w:tc>
        <w:tc>
          <w:tcPr>
            <w:tcW w:w="1559" w:type="dxa"/>
            <w:noWrap w:val="0"/>
            <w:vAlign w:val="center"/>
          </w:tcPr>
          <w:p w14:paraId="37EFAA06">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10" w:type="dxa"/>
            <w:noWrap w:val="0"/>
            <w:vAlign w:val="center"/>
          </w:tcPr>
          <w:p w14:paraId="04D7AC99">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09" w:type="dxa"/>
            <w:noWrap w:val="0"/>
            <w:vAlign w:val="center"/>
          </w:tcPr>
          <w:p w14:paraId="688822C9">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1985" w:type="dxa"/>
            <w:noWrap w:val="0"/>
            <w:vAlign w:val="center"/>
          </w:tcPr>
          <w:p w14:paraId="724589AD">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992" w:type="dxa"/>
            <w:noWrap w:val="0"/>
            <w:vAlign w:val="center"/>
          </w:tcPr>
          <w:p w14:paraId="2489B6C1">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r>
      <w:tr w14:paraId="153D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center"/>
          </w:tcPr>
          <w:p w14:paraId="4AC112D0">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4</w:t>
            </w:r>
          </w:p>
        </w:tc>
        <w:tc>
          <w:tcPr>
            <w:tcW w:w="1559" w:type="dxa"/>
            <w:noWrap w:val="0"/>
            <w:vAlign w:val="center"/>
          </w:tcPr>
          <w:p w14:paraId="1C6E5D63">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10" w:type="dxa"/>
            <w:noWrap w:val="0"/>
            <w:vAlign w:val="center"/>
          </w:tcPr>
          <w:p w14:paraId="455E6152">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09" w:type="dxa"/>
            <w:noWrap w:val="0"/>
            <w:vAlign w:val="center"/>
          </w:tcPr>
          <w:p w14:paraId="29B6AF96">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1985" w:type="dxa"/>
            <w:noWrap w:val="0"/>
            <w:vAlign w:val="center"/>
          </w:tcPr>
          <w:p w14:paraId="2095F991">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992" w:type="dxa"/>
            <w:noWrap w:val="0"/>
            <w:vAlign w:val="center"/>
          </w:tcPr>
          <w:p w14:paraId="3E94E076">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r>
      <w:tr w14:paraId="75AD9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center"/>
          </w:tcPr>
          <w:p w14:paraId="65EC7656">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5</w:t>
            </w:r>
          </w:p>
        </w:tc>
        <w:tc>
          <w:tcPr>
            <w:tcW w:w="1559" w:type="dxa"/>
            <w:noWrap w:val="0"/>
            <w:vAlign w:val="center"/>
          </w:tcPr>
          <w:p w14:paraId="6004D279">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10" w:type="dxa"/>
            <w:noWrap w:val="0"/>
            <w:vAlign w:val="center"/>
          </w:tcPr>
          <w:p w14:paraId="3CA41025">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09" w:type="dxa"/>
            <w:noWrap w:val="0"/>
            <w:vAlign w:val="center"/>
          </w:tcPr>
          <w:p w14:paraId="6C893363">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1985" w:type="dxa"/>
            <w:noWrap w:val="0"/>
            <w:vAlign w:val="center"/>
          </w:tcPr>
          <w:p w14:paraId="57675A7A">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992" w:type="dxa"/>
            <w:noWrap w:val="0"/>
            <w:vAlign w:val="center"/>
          </w:tcPr>
          <w:p w14:paraId="323C46DB">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r>
      <w:tr w14:paraId="1765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center"/>
          </w:tcPr>
          <w:p w14:paraId="74050FBB">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w:t>
            </w:r>
          </w:p>
        </w:tc>
        <w:tc>
          <w:tcPr>
            <w:tcW w:w="1559" w:type="dxa"/>
            <w:noWrap w:val="0"/>
            <w:vAlign w:val="center"/>
          </w:tcPr>
          <w:p w14:paraId="571CA26E">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10" w:type="dxa"/>
            <w:noWrap w:val="0"/>
            <w:vAlign w:val="center"/>
          </w:tcPr>
          <w:p w14:paraId="1EF3CD7A">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2409" w:type="dxa"/>
            <w:noWrap w:val="0"/>
            <w:vAlign w:val="center"/>
          </w:tcPr>
          <w:p w14:paraId="521D74AE">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1985" w:type="dxa"/>
            <w:noWrap w:val="0"/>
            <w:vAlign w:val="center"/>
          </w:tcPr>
          <w:p w14:paraId="59C4C7C3">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c>
          <w:tcPr>
            <w:tcW w:w="992" w:type="dxa"/>
            <w:noWrap w:val="0"/>
            <w:vAlign w:val="center"/>
          </w:tcPr>
          <w:p w14:paraId="5479AA26">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tc>
      </w:tr>
    </w:tbl>
    <w:p w14:paraId="1F510D85">
      <w:pPr>
        <w:adjustRightInd w:val="0"/>
        <w:snapToGrid w:val="0"/>
        <w:spacing w:before="96" w:beforeLines="40" w:after="96" w:afterLines="40" w:line="400" w:lineRule="exact"/>
        <w:ind w:left="-424" w:leftChars="-202" w:firstLine="422" w:firstLineChars="200"/>
        <w:jc w:val="left"/>
        <w:rPr>
          <w:rFonts w:hint="eastAsia" w:ascii="宋体" w:hAnsi="宋体"/>
          <w:b/>
          <w:bCs/>
          <w:szCs w:val="21"/>
        </w:rPr>
      </w:pPr>
    </w:p>
    <w:p w14:paraId="08D21DCC">
      <w:pPr>
        <w:adjustRightInd w:val="0"/>
        <w:snapToGrid w:val="0"/>
        <w:spacing w:before="96" w:beforeLines="40" w:after="96" w:afterLines="40" w:line="400" w:lineRule="exact"/>
        <w:ind w:left="-424" w:leftChars="-202" w:firstLine="422" w:firstLineChars="200"/>
        <w:jc w:val="left"/>
        <w:rPr>
          <w:rFonts w:hint="eastAsia" w:ascii="宋体" w:hAnsi="宋体"/>
          <w:b/>
          <w:bCs/>
          <w:szCs w:val="21"/>
        </w:rPr>
      </w:pPr>
    </w:p>
    <w:p w14:paraId="3F39CB51">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 xml:space="preserve">投标人电子签章：             </w:t>
      </w:r>
    </w:p>
    <w:p w14:paraId="7EA424A7">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 xml:space="preserve">日          期：             </w:t>
      </w:r>
    </w:p>
    <w:p w14:paraId="2E45CE45">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p>
    <w:p w14:paraId="43DAB38C">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备注：</w:t>
      </w:r>
    </w:p>
    <w:p w14:paraId="070D3E0D">
      <w:pPr>
        <w:adjustRightInd w:val="0"/>
        <w:snapToGrid w:val="0"/>
        <w:spacing w:before="96" w:beforeLines="40" w:after="96" w:afterLines="40" w:line="400" w:lineRule="exact"/>
        <w:ind w:left="-424" w:leftChars="-202" w:firstLine="420" w:firstLineChars="200"/>
        <w:jc w:val="left"/>
        <w:rPr>
          <w:rFonts w:hint="eastAsia" w:ascii="宋体" w:hAnsi="宋体"/>
          <w:b w:val="0"/>
          <w:bCs w:val="0"/>
          <w:szCs w:val="21"/>
        </w:rPr>
      </w:pPr>
      <w:r>
        <w:rPr>
          <w:rFonts w:hint="eastAsia" w:ascii="宋体" w:hAnsi="宋体"/>
          <w:b w:val="0"/>
          <w:bCs w:val="0"/>
          <w:szCs w:val="21"/>
        </w:rPr>
        <w:t>1、表中所列业绩应为</w:t>
      </w:r>
      <w:r>
        <w:rPr>
          <w:rFonts w:hint="eastAsia" w:ascii="宋体" w:hAnsi="宋体"/>
          <w:b w:val="0"/>
          <w:bCs w:val="0"/>
          <w:szCs w:val="21"/>
          <w:lang w:val="en-US" w:eastAsia="zh-CN"/>
        </w:rPr>
        <w:t>满足招标文件</w:t>
      </w:r>
      <w:r>
        <w:rPr>
          <w:rFonts w:hint="eastAsia" w:ascii="宋体" w:hAnsi="宋体"/>
          <w:b w:val="0"/>
          <w:bCs w:val="0"/>
          <w:szCs w:val="21"/>
        </w:rPr>
        <w:t>要求的业绩。</w:t>
      </w:r>
    </w:p>
    <w:p w14:paraId="01D56649">
      <w:pPr>
        <w:keepNext/>
        <w:keepLines/>
        <w:spacing w:line="240" w:lineRule="auto"/>
        <w:jc w:val="center"/>
        <w:outlineLvl w:val="1"/>
        <w:rPr>
          <w:rFonts w:ascii="Cambria" w:hAnsi="宋体"/>
          <w:b/>
          <w:bCs/>
          <w:kern w:val="0"/>
          <w:sz w:val="32"/>
          <w:szCs w:val="32"/>
        </w:rPr>
      </w:pPr>
      <w:r>
        <w:rPr>
          <w:rFonts w:hAnsi="宋体"/>
          <w:sz w:val="28"/>
        </w:rPr>
        <w:br w:type="page"/>
      </w:r>
      <w:bookmarkStart w:id="1273" w:name="_Toc9504"/>
      <w:bookmarkStart w:id="1274" w:name="_Toc27125"/>
      <w:bookmarkStart w:id="1275" w:name="_Toc21028"/>
      <w:r>
        <w:rPr>
          <w:rFonts w:hint="eastAsia" w:ascii="宋体" w:hAnsi="宋体"/>
          <w:b/>
          <w:bCs/>
          <w:kern w:val="0"/>
          <w:sz w:val="32"/>
          <w:szCs w:val="32"/>
        </w:rPr>
        <w:t>十一．</w:t>
      </w:r>
      <w:r>
        <w:rPr>
          <w:rFonts w:ascii="Cambria" w:hAnsi="宋体"/>
          <w:b/>
          <w:bCs/>
          <w:kern w:val="0"/>
          <w:sz w:val="32"/>
          <w:szCs w:val="32"/>
        </w:rPr>
        <w:t xml:space="preserve">中小企业声明函(货物) </w:t>
      </w:r>
    </w:p>
    <w:p w14:paraId="490F5E5D">
      <w:pPr>
        <w:jc w:val="center"/>
        <w:rPr>
          <w:rFonts w:ascii="宋体" w:hAnsi="宋体"/>
          <w:szCs w:val="21"/>
        </w:rPr>
      </w:pPr>
      <w:r>
        <w:rPr>
          <w:rFonts w:hint="eastAsia" w:ascii="宋体" w:hAnsi="宋体"/>
          <w:szCs w:val="21"/>
        </w:rPr>
        <w:t>（非中小企业产品投标，不需此件）</w:t>
      </w:r>
    </w:p>
    <w:p w14:paraId="78C0F99B">
      <w:pPr>
        <w:ind w:firstLine="420" w:firstLineChars="200"/>
        <w:rPr>
          <w:rFonts w:hint="eastAsia"/>
        </w:rPr>
      </w:pPr>
    </w:p>
    <w:p w14:paraId="0866EFE0">
      <w:pPr>
        <w:ind w:firstLine="420" w:firstLineChars="200"/>
        <w:rPr>
          <w:rFonts w:hint="eastAsia" w:ascii="宋体" w:hAnsi="宋体"/>
        </w:rPr>
      </w:pPr>
      <w:r>
        <w:t>     </w:t>
      </w:r>
      <w:r>
        <w:rPr>
          <w:rFonts w:ascii="宋体" w:hAnsi="宋体"/>
        </w:rPr>
        <w:t> 本公司(联合体)郑重声明，根据《政府采购促进中小企业发展管理办法》(财库( 2020 )46号)的规定，本公司(联合体)参加</w:t>
      </w:r>
      <w:r>
        <w:rPr>
          <w:rFonts w:ascii="宋体" w:hAnsi="宋体"/>
          <w:u w:val="single"/>
        </w:rPr>
        <w:t>_ </w:t>
      </w:r>
      <w:r>
        <w:rPr>
          <w:rFonts w:hint="eastAsia" w:ascii="宋体" w:hAnsi="宋体"/>
          <w:u w:val="single"/>
        </w:rPr>
        <w:t xml:space="preserve">              </w:t>
      </w:r>
      <w:r>
        <w:rPr>
          <w:rFonts w:hint="eastAsia" w:ascii="宋体" w:hAnsi="宋体"/>
        </w:rPr>
        <w:t xml:space="preserve">  </w:t>
      </w:r>
      <w:r>
        <w:rPr>
          <w:rFonts w:ascii="宋体" w:hAnsi="宋体"/>
        </w:rPr>
        <w:t>(单位名称)的_</w:t>
      </w:r>
      <w:r>
        <w:rPr>
          <w:rFonts w:ascii="宋体" w:hAnsi="宋体"/>
          <w:u w:val="single"/>
        </w:rPr>
        <w:t> </w:t>
      </w:r>
      <w:r>
        <w:rPr>
          <w:rFonts w:hint="eastAsia" w:ascii="宋体" w:hAnsi="宋体"/>
          <w:u w:val="single"/>
        </w:rPr>
        <w:t xml:space="preserve">              </w:t>
      </w:r>
      <w:r>
        <w:rPr>
          <w:rFonts w:hint="eastAsia" w:ascii="宋体" w:hAnsi="宋体"/>
        </w:rPr>
        <w:t xml:space="preserve"> </w:t>
      </w:r>
      <w:r>
        <w:rPr>
          <w:rFonts w:ascii="宋体" w:hAnsi="宋体"/>
        </w:rPr>
        <w:t> (项目名称)采购活动，提供的货物全部由符合政策要求的中小企业制造。相关企业(含联合体中的中小企业、签订分包意向协议的中小企业)的具体情况如下:</w:t>
      </w:r>
    </w:p>
    <w:p w14:paraId="7EC9CA4D">
      <w:pPr>
        <w:ind w:firstLine="420" w:firstLineChars="200"/>
        <w:rPr>
          <w:rFonts w:hint="eastAsia" w:ascii="宋体" w:hAnsi="宋体"/>
        </w:rPr>
      </w:pPr>
      <w:r>
        <w:rPr>
          <w:rFonts w:ascii="宋体" w:hAnsi="宋体"/>
        </w:rPr>
        <w:t> 1.</w:t>
      </w:r>
      <w:r>
        <w:rPr>
          <w:rFonts w:ascii="宋体" w:hAnsi="宋体"/>
          <w:u w:val="single"/>
        </w:rPr>
        <w:t> </w:t>
      </w:r>
      <w:r>
        <w:rPr>
          <w:rFonts w:hint="eastAsia" w:ascii="宋体" w:hAnsi="宋体"/>
          <w:u w:val="single"/>
        </w:rPr>
        <w:t xml:space="preserve">    </w:t>
      </w:r>
      <w:r>
        <w:rPr>
          <w:rFonts w:ascii="宋体" w:hAnsi="宋体"/>
          <w:u w:val="single"/>
        </w:rPr>
        <w:t>(标的名称) </w:t>
      </w:r>
      <w:r>
        <w:rPr>
          <w:rFonts w:hint="eastAsia" w:ascii="宋体" w:hAnsi="宋体"/>
          <w:u w:val="single"/>
        </w:rPr>
        <w:t xml:space="preserve">     </w:t>
      </w:r>
      <w:r>
        <w:rPr>
          <w:rFonts w:ascii="宋体" w:hAnsi="宋体"/>
          <w:u w:val="single"/>
        </w:rPr>
        <w:t>_</w:t>
      </w:r>
      <w:r>
        <w:rPr>
          <w:rFonts w:ascii="宋体" w:hAnsi="宋体"/>
        </w:rPr>
        <w:t>， 属于</w:t>
      </w:r>
      <w:r>
        <w:rPr>
          <w:rFonts w:ascii="宋体" w:hAnsi="宋体"/>
          <w:u w:val="single"/>
        </w:rPr>
        <w:t>_</w:t>
      </w:r>
      <w:r>
        <w:rPr>
          <w:rFonts w:hint="eastAsia" w:ascii="宋体" w:hAnsi="宋体"/>
          <w:u w:val="single"/>
        </w:rPr>
        <w:t xml:space="preserve">    </w:t>
      </w:r>
      <w:r>
        <w:rPr>
          <w:rFonts w:ascii="宋体" w:hAnsi="宋体"/>
          <w:u w:val="single"/>
        </w:rPr>
        <w:t> (采购文件中明确的所属行业</w:t>
      </w:r>
      <w:r>
        <w:rPr>
          <w:rFonts w:hint="eastAsia" w:ascii="宋体" w:hAnsi="宋体"/>
          <w:u w:val="single"/>
        </w:rPr>
        <w:t xml:space="preserve">)    </w:t>
      </w:r>
      <w:r>
        <w:rPr>
          <w:rFonts w:ascii="宋体" w:hAnsi="宋体"/>
        </w:rPr>
        <w:t>行业;制造商为</w:t>
      </w:r>
      <w:r>
        <w:rPr>
          <w:rFonts w:ascii="宋体" w:hAnsi="宋体"/>
          <w:u w:val="single"/>
        </w:rPr>
        <w:t>_ </w:t>
      </w:r>
      <w:r>
        <w:rPr>
          <w:rFonts w:hint="eastAsia" w:ascii="宋体" w:hAnsi="宋体"/>
          <w:u w:val="single"/>
        </w:rPr>
        <w:t xml:space="preserve">  </w:t>
      </w:r>
      <w:r>
        <w:rPr>
          <w:rFonts w:ascii="宋体" w:hAnsi="宋体"/>
          <w:u w:val="single"/>
        </w:rPr>
        <w:t>(企业名称)</w:t>
      </w:r>
      <w:r>
        <w:rPr>
          <w:rFonts w:hint="eastAsia" w:ascii="宋体" w:hAnsi="宋体"/>
          <w:u w:val="single"/>
        </w:rPr>
        <w:t xml:space="preserve">    </w:t>
      </w:r>
      <w:r>
        <w:rPr>
          <w:rFonts w:ascii="宋体" w:hAnsi="宋体"/>
        </w:rPr>
        <w:t>,从业人员</w:t>
      </w:r>
      <w:r>
        <w:rPr>
          <w:rFonts w:hint="eastAsia" w:ascii="宋体" w:hAnsi="宋体"/>
          <w:u w:val="single"/>
        </w:rPr>
        <w:t xml:space="preserve">          </w:t>
      </w:r>
      <w:r>
        <w:rPr>
          <w:rFonts w:ascii="宋体" w:hAnsi="宋体"/>
        </w:rPr>
        <w:t>人， 营业收入为</w:t>
      </w:r>
      <w:r>
        <w:rPr>
          <w:rFonts w:hint="eastAsia" w:ascii="宋体" w:hAnsi="宋体"/>
          <w:u w:val="single"/>
        </w:rPr>
        <w:t xml:space="preserve">          </w:t>
      </w:r>
      <w:r>
        <w:rPr>
          <w:rFonts w:ascii="宋体" w:hAnsi="宋体"/>
        </w:rPr>
        <w:t>万元，资产总额为</w:t>
      </w:r>
      <w:r>
        <w:rPr>
          <w:rFonts w:hint="eastAsia" w:ascii="宋体" w:hAnsi="宋体"/>
          <w:u w:val="single"/>
        </w:rPr>
        <w:t xml:space="preserve">          </w:t>
      </w:r>
      <w:r>
        <w:rPr>
          <w:rFonts w:ascii="宋体" w:hAnsi="宋体"/>
        </w:rPr>
        <w:t>万元，属于</w:t>
      </w:r>
      <w:r>
        <w:rPr>
          <w:rFonts w:hint="eastAsia" w:ascii="宋体" w:hAnsi="宋体"/>
          <w:u w:val="single"/>
        </w:rPr>
        <w:t xml:space="preserve">    </w:t>
      </w:r>
      <w:r>
        <w:rPr>
          <w:rFonts w:ascii="宋体" w:hAnsi="宋体"/>
          <w:u w:val="single"/>
        </w:rPr>
        <w:t>(中型企业、</w:t>
      </w:r>
      <w:r>
        <w:rPr>
          <w:rFonts w:hint="eastAsia" w:ascii="宋体" w:hAnsi="宋体"/>
          <w:u w:val="single"/>
        </w:rPr>
        <w:t>小</w:t>
      </w:r>
      <w:r>
        <w:rPr>
          <w:rFonts w:ascii="宋体" w:hAnsi="宋体"/>
          <w:u w:val="single"/>
        </w:rPr>
        <w:t>型企业、微型企业</w:t>
      </w:r>
      <w:r>
        <w:rPr>
          <w:rFonts w:hint="eastAsia" w:ascii="宋体" w:hAnsi="宋体"/>
          <w:u w:val="single"/>
        </w:rPr>
        <w:t xml:space="preserve">)      </w:t>
      </w:r>
      <w:r>
        <w:rPr>
          <w:rFonts w:ascii="宋体" w:hAnsi="宋体"/>
        </w:rPr>
        <w:t>;     </w:t>
      </w:r>
    </w:p>
    <w:p w14:paraId="1151E3E1">
      <w:pPr>
        <w:ind w:firstLine="420" w:firstLineChars="200"/>
        <w:rPr>
          <w:rFonts w:ascii="宋体" w:hAnsi="宋体"/>
        </w:rPr>
      </w:pPr>
      <w:r>
        <w:rPr>
          <w:rFonts w:ascii="宋体" w:hAnsi="宋体"/>
        </w:rPr>
        <w:t> 2.</w:t>
      </w:r>
      <w:r>
        <w:rPr>
          <w:rFonts w:hint="eastAsia" w:ascii="宋体" w:hAnsi="宋体"/>
          <w:u w:val="single"/>
        </w:rPr>
        <w:t xml:space="preserve">        </w:t>
      </w:r>
      <w:r>
        <w:rPr>
          <w:rFonts w:ascii="宋体" w:hAnsi="宋体"/>
          <w:u w:val="single"/>
        </w:rPr>
        <w:t xml:space="preserve"> _ (标的名称)</w:t>
      </w:r>
      <w:r>
        <w:rPr>
          <w:rFonts w:hint="eastAsia" w:ascii="宋体" w:hAnsi="宋体"/>
          <w:u w:val="single"/>
        </w:rPr>
        <w:t xml:space="preserve">        </w:t>
      </w:r>
      <w:r>
        <w:rPr>
          <w:rFonts w:ascii="宋体" w:hAnsi="宋体"/>
          <w:u w:val="single"/>
        </w:rPr>
        <w:t> _</w:t>
      </w:r>
      <w:r>
        <w:rPr>
          <w:rFonts w:ascii="宋体" w:hAnsi="宋体"/>
        </w:rPr>
        <w:t>，属于</w:t>
      </w:r>
      <w:r>
        <w:rPr>
          <w:rFonts w:hint="eastAsia" w:ascii="宋体" w:hAnsi="宋体"/>
          <w:u w:val="single"/>
        </w:rPr>
        <w:t xml:space="preserve">     </w:t>
      </w:r>
      <w:r>
        <w:rPr>
          <w:rFonts w:ascii="宋体" w:hAnsi="宋体"/>
          <w:u w:val="single"/>
        </w:rPr>
        <w:t xml:space="preserve"> (采购文件中明确的所属行业)</w:t>
      </w:r>
      <w:r>
        <w:rPr>
          <w:rFonts w:hint="eastAsia" w:ascii="宋体" w:hAnsi="宋体"/>
          <w:u w:val="single"/>
        </w:rPr>
        <w:t xml:space="preserve">    </w:t>
      </w:r>
      <w:r>
        <w:rPr>
          <w:rFonts w:ascii="宋体" w:hAnsi="宋体"/>
        </w:rPr>
        <w:t>行业;制造商为</w:t>
      </w:r>
      <w:r>
        <w:rPr>
          <w:rFonts w:ascii="宋体" w:hAnsi="宋体"/>
          <w:u w:val="single"/>
        </w:rPr>
        <w:t>_</w:t>
      </w:r>
      <w:r>
        <w:rPr>
          <w:rFonts w:hint="eastAsia" w:ascii="宋体" w:hAnsi="宋体"/>
          <w:u w:val="single"/>
        </w:rPr>
        <w:t xml:space="preserve">  </w:t>
      </w:r>
      <w:r>
        <w:rPr>
          <w:rFonts w:ascii="宋体" w:hAnsi="宋体"/>
          <w:u w:val="single"/>
        </w:rPr>
        <w:t> (企业名称)</w:t>
      </w:r>
      <w:r>
        <w:rPr>
          <w:rFonts w:hint="eastAsia" w:ascii="宋体" w:hAnsi="宋体"/>
          <w:u w:val="single"/>
        </w:rPr>
        <w:t xml:space="preserve">   </w:t>
      </w:r>
      <w:r>
        <w:rPr>
          <w:rFonts w:ascii="宋体" w:hAnsi="宋体"/>
        </w:rPr>
        <w:t>，从业人员</w:t>
      </w:r>
      <w:r>
        <w:rPr>
          <w:rFonts w:hint="eastAsia" w:ascii="宋体" w:hAnsi="宋体"/>
          <w:u w:val="single"/>
        </w:rPr>
        <w:t xml:space="preserve">          </w:t>
      </w:r>
      <w:r>
        <w:rPr>
          <w:rFonts w:ascii="宋体" w:hAnsi="宋体"/>
        </w:rPr>
        <w:t>人，营业收入为</w:t>
      </w:r>
      <w:r>
        <w:rPr>
          <w:rFonts w:hint="eastAsia" w:ascii="宋体" w:hAnsi="宋体"/>
          <w:u w:val="single"/>
        </w:rPr>
        <w:t xml:space="preserve">          </w:t>
      </w:r>
      <w:r>
        <w:rPr>
          <w:rFonts w:ascii="宋体" w:hAnsi="宋体"/>
        </w:rPr>
        <w:t>万元，资产总额为</w:t>
      </w:r>
      <w:r>
        <w:rPr>
          <w:rFonts w:hint="eastAsia" w:ascii="宋体" w:hAnsi="宋体"/>
          <w:u w:val="single"/>
        </w:rPr>
        <w:t xml:space="preserve">          </w:t>
      </w:r>
      <w:r>
        <w:rPr>
          <w:rFonts w:ascii="宋体" w:hAnsi="宋体"/>
        </w:rPr>
        <w:t>万元，属于</w:t>
      </w:r>
      <w:r>
        <w:rPr>
          <w:rFonts w:ascii="宋体" w:hAnsi="宋体"/>
          <w:u w:val="single"/>
        </w:rPr>
        <w:t>_</w:t>
      </w:r>
      <w:r>
        <w:rPr>
          <w:rFonts w:hint="eastAsia" w:ascii="宋体" w:hAnsi="宋体"/>
          <w:u w:val="single"/>
        </w:rPr>
        <w:t xml:space="preserve">   </w:t>
      </w:r>
      <w:r>
        <w:rPr>
          <w:rFonts w:ascii="宋体" w:hAnsi="宋体"/>
          <w:u w:val="single"/>
        </w:rPr>
        <w:t>(中型企业、小型企业、微型企业</w:t>
      </w:r>
      <w:r>
        <w:rPr>
          <w:rFonts w:hint="eastAsia" w:ascii="宋体" w:hAnsi="宋体"/>
          <w:u w:val="single"/>
        </w:rPr>
        <w:t xml:space="preserve">)  </w:t>
      </w:r>
      <w:r>
        <w:rPr>
          <w:rFonts w:ascii="宋体" w:hAnsi="宋体"/>
        </w:rPr>
        <w:t>;</w:t>
      </w:r>
    </w:p>
    <w:p w14:paraId="6E253282">
      <w:pPr>
        <w:tabs>
          <w:tab w:val="left" w:pos="4620"/>
        </w:tabs>
        <w:ind w:firstLine="420" w:firstLineChars="200"/>
        <w:jc w:val="left"/>
        <w:rPr>
          <w:rFonts w:hint="eastAsia" w:ascii="宋体" w:hAnsi="宋体"/>
        </w:rPr>
      </w:pPr>
      <w:r>
        <w:rPr>
          <w:rFonts w:ascii="宋体" w:hAnsi="宋体"/>
        </w:rPr>
        <w:t>......</w:t>
      </w:r>
    </w:p>
    <w:p w14:paraId="14F8C182">
      <w:pPr>
        <w:tabs>
          <w:tab w:val="left" w:pos="4620"/>
        </w:tabs>
        <w:ind w:firstLine="420" w:firstLineChars="200"/>
        <w:jc w:val="left"/>
        <w:rPr>
          <w:rFonts w:hint="eastAsia" w:ascii="宋体" w:hAnsi="宋体"/>
        </w:rPr>
      </w:pPr>
      <w:r>
        <w:rPr>
          <w:rFonts w:ascii="宋体" w:hAnsi="宋体"/>
        </w:rPr>
        <w:t>以上企业，不属于大企业的分支机构，不存在控股股东为大企业的情形，也不存在与大企业的负责人为同一人的情形。</w:t>
      </w:r>
    </w:p>
    <w:p w14:paraId="0901C7E4">
      <w:pPr>
        <w:tabs>
          <w:tab w:val="left" w:pos="4620"/>
        </w:tabs>
        <w:ind w:firstLine="420" w:firstLineChars="200"/>
        <w:jc w:val="left"/>
        <w:rPr>
          <w:rFonts w:hint="eastAsia" w:ascii="宋体" w:hAnsi="宋体"/>
        </w:rPr>
      </w:pPr>
      <w:r>
        <w:rPr>
          <w:rFonts w:ascii="宋体" w:hAnsi="宋体"/>
        </w:rPr>
        <w:t>本企业对上述声明内容的真实性负责。如有虚假，将依法承担相应责任。</w:t>
      </w:r>
    </w:p>
    <w:p w14:paraId="3444626B">
      <w:pPr>
        <w:tabs>
          <w:tab w:val="left" w:pos="4620"/>
        </w:tabs>
        <w:ind w:firstLine="200"/>
        <w:jc w:val="right"/>
        <w:rPr>
          <w:rFonts w:hint="eastAsia" w:ascii="宋体" w:hAnsi="宋体"/>
        </w:rPr>
      </w:pPr>
      <w:r>
        <w:rPr>
          <w:rFonts w:ascii="宋体" w:hAnsi="宋体"/>
        </w:rPr>
        <w:t>企业名称(</w:t>
      </w:r>
      <w:r>
        <w:rPr>
          <w:rFonts w:hint="eastAsia" w:ascii="宋体" w:hAnsi="宋体"/>
        </w:rPr>
        <w:t>盖章</w:t>
      </w:r>
      <w:r>
        <w:rPr>
          <w:rFonts w:ascii="宋体" w:hAnsi="宋体"/>
        </w:rPr>
        <w:t>):</w:t>
      </w:r>
    </w:p>
    <w:p w14:paraId="22829C96">
      <w:pPr>
        <w:tabs>
          <w:tab w:val="left" w:pos="4620"/>
        </w:tabs>
        <w:ind w:firstLine="200"/>
        <w:jc w:val="right"/>
        <w:rPr>
          <w:rFonts w:hint="eastAsia" w:ascii="宋体" w:hAnsi="宋体"/>
        </w:rPr>
      </w:pPr>
      <w:r>
        <w:rPr>
          <w:rFonts w:ascii="宋体" w:hAnsi="宋体"/>
        </w:rPr>
        <w:t>日期:</w:t>
      </w:r>
    </w:p>
    <w:p w14:paraId="340E5464">
      <w:pPr>
        <w:ind w:firstLine="200"/>
        <w:rPr>
          <w:rFonts w:ascii="宋体" w:hAnsi="宋体"/>
          <w:spacing w:val="-17"/>
        </w:rPr>
      </w:pPr>
      <w:r>
        <w:rPr>
          <w:rFonts w:ascii="宋体" w:hAnsi="宋体"/>
          <w:spacing w:val="-17"/>
        </w:rPr>
        <w:t>注：</w:t>
      </w:r>
    </w:p>
    <w:p w14:paraId="232FA52B">
      <w:pPr>
        <w:tabs>
          <w:tab w:val="left" w:pos="4620"/>
        </w:tabs>
        <w:spacing w:line="240" w:lineRule="auto"/>
        <w:ind w:firstLine="420" w:firstLineChars="200"/>
        <w:jc w:val="left"/>
        <w:rPr>
          <w:rFonts w:ascii="宋体" w:hAnsi="宋体"/>
        </w:rPr>
      </w:pPr>
      <w:r>
        <w:rPr>
          <w:rFonts w:ascii="宋体" w:hAnsi="宋体"/>
        </w:rPr>
        <w:t>1.从业人员、营业收入、资产总额填报上一年数据，无上一年数据的新成立企业可不填报。</w:t>
      </w:r>
    </w:p>
    <w:p w14:paraId="768138CC">
      <w:pPr>
        <w:tabs>
          <w:tab w:val="left" w:pos="4620"/>
        </w:tabs>
        <w:spacing w:line="240" w:lineRule="auto"/>
        <w:ind w:firstLine="422" w:firstLineChars="200"/>
        <w:jc w:val="left"/>
        <w:rPr>
          <w:rFonts w:ascii="宋体" w:hAnsi="宋体"/>
          <w:b/>
          <w:bCs/>
        </w:rPr>
      </w:pPr>
      <w:r>
        <w:rPr>
          <w:rFonts w:ascii="宋体" w:hAnsi="宋体"/>
          <w:b/>
          <w:bCs/>
        </w:rPr>
        <w:t>2.投标人应根据《政府采购促进中小企业发展管理办法》（财库﹝2020﹞46号）和《关于印发中小企业划型标准规定的通知》(工信部联企业〔2011〕300号)相关规定，如实填写中小企业声明函。</w:t>
      </w:r>
      <w:r>
        <w:rPr>
          <w:rFonts w:ascii="宋体" w:hAnsi="宋体"/>
          <w:b/>
          <w:bCs/>
          <w:lang w:val="zh-CN"/>
        </w:rPr>
        <w:t>如有虚假，将依法承担相应责任。</w:t>
      </w:r>
      <w:r>
        <w:rPr>
          <w:rFonts w:ascii="宋体" w:hAnsi="宋体"/>
          <w:b/>
          <w:bCs/>
        </w:rPr>
        <w:t>投标人自行登录工业和信息化部官网进行中小企业规模类型自测（查询网址https://www.miit.gov.cn/）。</w:t>
      </w:r>
    </w:p>
    <w:p w14:paraId="2461632C">
      <w:pPr>
        <w:tabs>
          <w:tab w:val="left" w:pos="4620"/>
        </w:tabs>
        <w:spacing w:line="240" w:lineRule="auto"/>
        <w:ind w:firstLine="422" w:firstLineChars="200"/>
        <w:jc w:val="left"/>
        <w:rPr>
          <w:rFonts w:ascii="宋体" w:hAnsi="宋体"/>
          <w:b/>
          <w:bCs/>
        </w:rPr>
      </w:pPr>
      <w:r>
        <w:rPr>
          <w:rFonts w:ascii="宋体" w:hAnsi="宋体"/>
          <w:b/>
          <w:bCs/>
        </w:rPr>
        <w:t>3.上述“</w:t>
      </w:r>
      <w:r>
        <w:rPr>
          <w:rFonts w:ascii="宋体" w:hAnsi="宋体"/>
          <w:b/>
          <w:bCs/>
          <w:lang w:val="zh-CN"/>
        </w:rPr>
        <w:t>标的名称</w:t>
      </w:r>
      <w:r>
        <w:rPr>
          <w:rFonts w:ascii="宋体" w:hAnsi="宋体"/>
          <w:b/>
          <w:bCs/>
        </w:rPr>
        <w:t>”，详见第三章采购需求中</w:t>
      </w:r>
      <w:r>
        <w:rPr>
          <w:rFonts w:hint="eastAsia" w:ascii="宋体" w:hAnsi="宋体" w:cs="宋体"/>
          <w:b/>
          <w:bCs/>
          <w:szCs w:val="21"/>
        </w:rPr>
        <w:t>“货物名称”</w:t>
      </w:r>
      <w:r>
        <w:rPr>
          <w:rFonts w:ascii="宋体" w:hAnsi="宋体"/>
          <w:b/>
          <w:bCs/>
        </w:rPr>
        <w:t>。</w:t>
      </w:r>
    </w:p>
    <w:p w14:paraId="69D28446">
      <w:pPr>
        <w:tabs>
          <w:tab w:val="left" w:pos="4620"/>
        </w:tabs>
        <w:spacing w:line="240" w:lineRule="auto"/>
        <w:ind w:firstLine="422" w:firstLineChars="200"/>
        <w:jc w:val="left"/>
        <w:rPr>
          <w:rFonts w:ascii="宋体" w:hAnsi="宋体"/>
          <w:b/>
          <w:bCs/>
        </w:rPr>
      </w:pPr>
      <w:r>
        <w:rPr>
          <w:rFonts w:ascii="宋体" w:hAnsi="宋体"/>
          <w:b/>
          <w:bCs/>
        </w:rPr>
        <w:t>4.上述“采购文件中明确的所属行业”，详见第三章采购需求中明确的“所属行业”。</w:t>
      </w:r>
    </w:p>
    <w:p w14:paraId="4793E236">
      <w:pPr>
        <w:tabs>
          <w:tab w:val="left" w:pos="4620"/>
        </w:tabs>
        <w:spacing w:line="240" w:lineRule="auto"/>
        <w:ind w:firstLine="422" w:firstLineChars="200"/>
        <w:jc w:val="left"/>
        <w:rPr>
          <w:rFonts w:ascii="宋体" w:hAnsi="宋体"/>
          <w:b/>
          <w:bCs/>
        </w:rPr>
      </w:pPr>
      <w:r>
        <w:rPr>
          <w:rFonts w:ascii="宋体" w:hAnsi="宋体"/>
          <w:b/>
          <w:bCs/>
        </w:rPr>
        <w:t>5．填写示例：</w:t>
      </w:r>
      <w:r>
        <w:rPr>
          <w:rFonts w:ascii="宋体" w:hAnsi="宋体"/>
          <w:b/>
          <w:bCs/>
          <w:lang w:val="zh-CN"/>
        </w:rPr>
        <w:t>某设备</w:t>
      </w:r>
      <w:r>
        <w:rPr>
          <w:rFonts w:ascii="宋体" w:hAnsi="宋体"/>
          <w:b/>
          <w:bCs/>
        </w:rPr>
        <w:t>，</w:t>
      </w:r>
      <w:r>
        <w:rPr>
          <w:rFonts w:ascii="宋体" w:hAnsi="宋体"/>
          <w:b/>
          <w:bCs/>
          <w:lang w:val="zh-CN"/>
        </w:rPr>
        <w:t>属于</w:t>
      </w:r>
      <w:r>
        <w:rPr>
          <w:rFonts w:ascii="宋体" w:hAnsi="宋体"/>
          <w:b/>
          <w:bCs/>
        </w:rPr>
        <w:t>（填写第三章采购需求中对应货物的“所属行业”，如工业）</w:t>
      </w:r>
      <w:r>
        <w:rPr>
          <w:rFonts w:ascii="宋体" w:hAnsi="宋体"/>
          <w:b/>
          <w:bCs/>
          <w:lang w:val="zh-CN"/>
        </w:rPr>
        <w:t>行业</w:t>
      </w:r>
      <w:r>
        <w:rPr>
          <w:rFonts w:ascii="宋体" w:hAnsi="宋体"/>
          <w:b/>
          <w:bCs/>
        </w:rPr>
        <w:t>；</w:t>
      </w:r>
      <w:r>
        <w:rPr>
          <w:rFonts w:ascii="宋体" w:hAnsi="宋体"/>
          <w:b/>
          <w:bCs/>
          <w:lang w:val="zh-CN"/>
        </w:rPr>
        <w:t>承接企业为某</w:t>
      </w:r>
      <w:r>
        <w:rPr>
          <w:rFonts w:ascii="宋体" w:hAnsi="宋体"/>
          <w:b/>
          <w:bCs/>
        </w:rPr>
        <w:t>企业，</w:t>
      </w:r>
      <w:r>
        <w:rPr>
          <w:rFonts w:ascii="宋体" w:hAnsi="宋体"/>
          <w:b/>
          <w:bCs/>
          <w:lang w:val="zh-CN"/>
        </w:rPr>
        <w:t>从业人员</w:t>
      </w:r>
      <w:r>
        <w:rPr>
          <w:rFonts w:ascii="宋体" w:hAnsi="宋体"/>
          <w:b/>
          <w:bCs/>
        </w:rPr>
        <w:t>100</w:t>
      </w:r>
      <w:r>
        <w:rPr>
          <w:rFonts w:ascii="宋体" w:hAnsi="宋体"/>
          <w:b/>
          <w:bCs/>
          <w:lang w:val="zh-CN"/>
        </w:rPr>
        <w:t>人</w:t>
      </w:r>
      <w:r>
        <w:rPr>
          <w:rFonts w:ascii="宋体" w:hAnsi="宋体"/>
          <w:b/>
          <w:bCs/>
        </w:rPr>
        <w:t>，</w:t>
      </w:r>
      <w:r>
        <w:rPr>
          <w:rFonts w:ascii="宋体" w:hAnsi="宋体"/>
          <w:b/>
          <w:bCs/>
          <w:lang w:val="zh-CN"/>
        </w:rPr>
        <w:t>营业收入为</w:t>
      </w:r>
      <w:r>
        <w:rPr>
          <w:rFonts w:ascii="宋体" w:hAnsi="宋体"/>
          <w:b/>
          <w:bCs/>
        </w:rPr>
        <w:t>10000</w:t>
      </w:r>
      <w:r>
        <w:rPr>
          <w:rFonts w:ascii="宋体" w:hAnsi="宋体"/>
          <w:b/>
          <w:bCs/>
          <w:lang w:val="zh-CN"/>
        </w:rPr>
        <w:t>万元</w:t>
      </w:r>
      <w:r>
        <w:rPr>
          <w:rFonts w:ascii="宋体" w:hAnsi="宋体"/>
          <w:b/>
          <w:bCs/>
        </w:rPr>
        <w:t>，</w:t>
      </w:r>
      <w:r>
        <w:rPr>
          <w:rFonts w:ascii="宋体" w:hAnsi="宋体"/>
          <w:b/>
          <w:bCs/>
          <w:lang w:val="zh-CN"/>
        </w:rPr>
        <w:t>资产总额为</w:t>
      </w:r>
      <w:r>
        <w:rPr>
          <w:rFonts w:ascii="宋体" w:hAnsi="宋体"/>
          <w:b/>
          <w:bCs/>
        </w:rPr>
        <w:t>5000</w:t>
      </w:r>
      <w:r>
        <w:rPr>
          <w:rFonts w:ascii="宋体" w:hAnsi="宋体"/>
          <w:b/>
          <w:bCs/>
          <w:lang w:val="zh-CN"/>
        </w:rPr>
        <w:t>万元</w:t>
      </w:r>
      <w:r>
        <w:rPr>
          <w:rFonts w:ascii="宋体" w:hAnsi="宋体"/>
          <w:b/>
          <w:bCs/>
        </w:rPr>
        <w:t>，</w:t>
      </w:r>
      <w:r>
        <w:rPr>
          <w:rFonts w:ascii="宋体" w:hAnsi="宋体"/>
          <w:b/>
          <w:bCs/>
          <w:lang w:val="zh-CN"/>
        </w:rPr>
        <w:t>属于小型企业</w:t>
      </w:r>
      <w:r>
        <w:rPr>
          <w:rFonts w:ascii="宋体" w:hAnsi="宋体"/>
          <w:b/>
          <w:bCs/>
        </w:rPr>
        <w:t>[投标人自行登录工业和信息化部官网进行中小企业规模类型自测（查询网址https://www.miit.gov.cn/）]</w:t>
      </w:r>
      <w:r>
        <w:rPr>
          <w:rFonts w:ascii="宋体" w:hAnsi="宋体"/>
          <w:b/>
          <w:bCs/>
          <w:lang w:val="zh-CN"/>
        </w:rPr>
        <w:t>。</w:t>
      </w:r>
    </w:p>
    <w:p w14:paraId="5BD3E1B8">
      <w:pPr>
        <w:ind w:firstLine="200"/>
        <w:rPr>
          <w:rFonts w:ascii="宋体" w:hAnsi="宋体"/>
          <w:spacing w:val="-17"/>
        </w:rPr>
      </w:pPr>
    </w:p>
    <w:p w14:paraId="007554E2">
      <w:pPr>
        <w:tabs>
          <w:tab w:val="left" w:pos="4620"/>
        </w:tabs>
        <w:spacing w:line="360" w:lineRule="auto"/>
        <w:jc w:val="left"/>
        <w:rPr>
          <w:rFonts w:ascii="宋体"/>
          <w:szCs w:val="21"/>
          <w:u w:val="single"/>
        </w:rPr>
      </w:pPr>
    </w:p>
    <w:p w14:paraId="2165722F">
      <w:pPr>
        <w:tabs>
          <w:tab w:val="left" w:pos="4620"/>
        </w:tabs>
        <w:spacing w:before="40" w:after="40" w:line="400" w:lineRule="exact"/>
        <w:rPr>
          <w:rFonts w:ascii="宋体" w:hAnsi="宋体"/>
          <w:szCs w:val="21"/>
          <w:u w:val="single"/>
        </w:rPr>
      </w:pPr>
      <w:bookmarkStart w:id="1276" w:name="OLE_LINK13"/>
      <w:bookmarkStart w:id="1277" w:name="OLE_LINK14"/>
      <w:r>
        <w:rPr>
          <w:rFonts w:ascii="宋体"/>
          <w:szCs w:val="21"/>
        </w:rPr>
        <w:br w:type="page"/>
      </w:r>
    </w:p>
    <w:p w14:paraId="39506845">
      <w:pPr>
        <w:spacing w:line="360" w:lineRule="auto"/>
        <w:jc w:val="center"/>
        <w:outlineLvl w:val="9"/>
        <w:rPr>
          <w:rFonts w:ascii="宋体" w:hAnsi="宋体"/>
          <w:b/>
          <w:spacing w:val="6"/>
          <w:szCs w:val="21"/>
        </w:rPr>
      </w:pPr>
      <w:bookmarkStart w:id="1278" w:name="_Toc3358"/>
      <w:bookmarkStart w:id="1279" w:name="_Toc31122"/>
      <w:bookmarkStart w:id="1280" w:name="_Toc5424"/>
      <w:bookmarkStart w:id="1281" w:name="_Toc29646"/>
      <w:bookmarkStart w:id="1282" w:name="_Toc10246"/>
      <w:bookmarkStart w:id="1283" w:name="_Toc13890"/>
      <w:bookmarkStart w:id="1284" w:name="_Toc21467"/>
      <w:bookmarkStart w:id="1285" w:name="_Toc19632"/>
      <w:bookmarkStart w:id="1286" w:name="_Toc30075"/>
      <w:bookmarkStart w:id="1287" w:name="_Toc30082"/>
      <w:bookmarkStart w:id="1288" w:name="_Toc19325"/>
      <w:bookmarkStart w:id="1289" w:name="_Toc32599"/>
      <w:bookmarkStart w:id="1290" w:name="_Toc13174"/>
      <w:r>
        <w:rPr>
          <w:rFonts w:hint="eastAsia" w:ascii="宋体" w:hAnsi="宋体"/>
          <w:b/>
          <w:spacing w:val="6"/>
          <w:szCs w:val="21"/>
        </w:rPr>
        <w:t>残疾人福利性单位声明函</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p>
    <w:p w14:paraId="42024589">
      <w:pPr>
        <w:spacing w:line="360" w:lineRule="auto"/>
        <w:jc w:val="center"/>
        <w:outlineLvl w:val="9"/>
        <w:rPr>
          <w:rFonts w:ascii="宋体" w:hAnsi="宋体"/>
          <w:b/>
          <w:szCs w:val="21"/>
        </w:rPr>
      </w:pPr>
      <w:bookmarkStart w:id="1291" w:name="_Toc15108"/>
      <w:bookmarkStart w:id="1292" w:name="_Toc1372"/>
      <w:bookmarkStart w:id="1293" w:name="_Toc2052"/>
      <w:bookmarkStart w:id="1294" w:name="_Toc8719"/>
      <w:bookmarkStart w:id="1295" w:name="_Toc11144"/>
      <w:bookmarkStart w:id="1296" w:name="_Toc3155"/>
      <w:bookmarkStart w:id="1297" w:name="_Toc6790"/>
      <w:bookmarkStart w:id="1298" w:name="_Toc1166"/>
      <w:bookmarkStart w:id="1299" w:name="_Toc19625"/>
      <w:bookmarkStart w:id="1300" w:name="_Toc23901"/>
      <w:bookmarkStart w:id="1301" w:name="_Toc22539"/>
      <w:bookmarkStart w:id="1302" w:name="_Toc12723"/>
      <w:bookmarkStart w:id="1303" w:name="_Toc25053"/>
      <w:r>
        <w:rPr>
          <w:rFonts w:hint="eastAsia" w:ascii="宋体" w:hAnsi="宋体"/>
          <w:b/>
          <w:szCs w:val="21"/>
        </w:rPr>
        <w:t>（非残疾人福利性单位投标，不需此件）</w:t>
      </w:r>
      <w:bookmarkEnd w:id="1276"/>
      <w:bookmarkEnd w:id="1277"/>
      <w:bookmarkEnd w:id="1291"/>
      <w:bookmarkEnd w:id="1292"/>
      <w:bookmarkEnd w:id="1293"/>
      <w:bookmarkEnd w:id="1294"/>
      <w:bookmarkEnd w:id="1295"/>
      <w:bookmarkEnd w:id="1296"/>
      <w:bookmarkEnd w:id="1297"/>
      <w:bookmarkEnd w:id="1298"/>
      <w:bookmarkEnd w:id="1299"/>
      <w:bookmarkEnd w:id="1300"/>
      <w:bookmarkEnd w:id="1301"/>
      <w:bookmarkEnd w:id="1302"/>
      <w:bookmarkEnd w:id="1303"/>
    </w:p>
    <w:p w14:paraId="75756B1F">
      <w:pPr>
        <w:spacing w:before="96" w:beforeLines="40" w:after="96" w:afterLines="40" w:line="400" w:lineRule="exact"/>
        <w:ind w:firstLine="444" w:firstLineChars="200"/>
        <w:rPr>
          <w:rFonts w:hint="eastAsia"/>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w:t>
      </w:r>
      <w:r>
        <w:rPr>
          <w:rFonts w:hint="eastAsia" w:ascii="宋体" w:hAnsi="宋体"/>
          <w:b/>
          <w:spacing w:val="6"/>
          <w:szCs w:val="21"/>
          <w:u w:val="single"/>
        </w:rPr>
        <w:t>某采购单位</w:t>
      </w:r>
      <w:r>
        <w:rPr>
          <w:rFonts w:hint="eastAsia" w:ascii="宋体" w:hAnsi="宋体"/>
          <w:spacing w:val="6"/>
          <w:szCs w:val="21"/>
        </w:rPr>
        <w:t>的</w:t>
      </w:r>
      <w:r>
        <w:rPr>
          <w:rFonts w:hint="eastAsia" w:ascii="宋体" w:hAnsi="宋体"/>
          <w:b/>
          <w:spacing w:val="6"/>
          <w:szCs w:val="21"/>
          <w:u w:val="single"/>
        </w:rPr>
        <w:t>某项目</w:t>
      </w:r>
      <w:r>
        <w:rPr>
          <w:rFonts w:hint="eastAsia" w:ascii="宋体" w:hAnsi="宋体"/>
          <w:spacing w:val="6"/>
          <w:szCs w:val="21"/>
        </w:rPr>
        <w:t>（项目编号：</w:t>
      </w:r>
      <w:r>
        <w:rPr>
          <w:rFonts w:hint="eastAsia" w:ascii="宋体" w:hAnsi="宋体"/>
          <w:b/>
          <w:spacing w:val="6"/>
          <w:szCs w:val="21"/>
          <w:u w:val="single"/>
          <w:lang w:eastAsia="zh-CN"/>
        </w:rPr>
        <w:t>26AT47094606254</w:t>
      </w:r>
      <w:r>
        <w:rPr>
          <w:rFonts w:hint="eastAsia" w:ascii="宋体" w:hAnsi="宋体"/>
          <w:spacing w:val="6"/>
          <w:szCs w:val="21"/>
        </w:rPr>
        <w:t>）采购活动</w:t>
      </w:r>
      <w:r>
        <w:t>由本单位提供，</w:t>
      </w:r>
      <w:r>
        <w:rPr>
          <w:rFonts w:hint="eastAsia"/>
        </w:rPr>
        <w:t>或者提供其他残疾人福利性单位制造的货物（不包括使用非残疾人福利性单位注册商标的货物）。</w:t>
      </w:r>
    </w:p>
    <w:p w14:paraId="42E3C838">
      <w:pPr>
        <w:spacing w:before="96" w:beforeLines="40" w:after="96" w:afterLines="40" w:line="400" w:lineRule="exact"/>
        <w:ind w:firstLine="444" w:firstLineChars="200"/>
        <w:rPr>
          <w:rFonts w:ascii="宋体" w:hAnsi="宋体"/>
          <w:spacing w:val="6"/>
          <w:szCs w:val="21"/>
        </w:rPr>
      </w:pPr>
      <w:r>
        <w:rPr>
          <w:rFonts w:hint="eastAsia" w:ascii="宋体" w:hAnsi="宋体"/>
          <w:spacing w:val="6"/>
          <w:szCs w:val="21"/>
        </w:rPr>
        <w:t>本单位对上述声明的真实性负责。如有虚假，将依法承担相应责任。</w:t>
      </w:r>
    </w:p>
    <w:p w14:paraId="46BAF5DB">
      <w:pPr>
        <w:spacing w:line="360" w:lineRule="auto"/>
        <w:ind w:firstLine="444" w:firstLineChars="200"/>
        <w:rPr>
          <w:rFonts w:ascii="宋体" w:hAnsi="宋体"/>
          <w:spacing w:val="6"/>
          <w:szCs w:val="21"/>
        </w:rPr>
      </w:pPr>
    </w:p>
    <w:p w14:paraId="4E837669">
      <w:pPr>
        <w:spacing w:line="360" w:lineRule="auto"/>
        <w:ind w:firstLine="444" w:firstLineChars="200"/>
        <w:rPr>
          <w:rFonts w:ascii="宋体" w:hAnsi="宋体"/>
          <w:spacing w:val="6"/>
          <w:szCs w:val="21"/>
        </w:rPr>
      </w:pPr>
    </w:p>
    <w:p w14:paraId="1864732E">
      <w:pPr>
        <w:spacing w:before="96" w:beforeLines="40" w:after="96" w:afterLines="40" w:line="400" w:lineRule="exact"/>
        <w:ind w:firstLine="2520" w:firstLineChars="1200"/>
        <w:rPr>
          <w:rFonts w:hint="eastAsia" w:ascii="宋体" w:hAnsi="宋体"/>
          <w:szCs w:val="21"/>
          <w:u w:val="single"/>
        </w:rPr>
      </w:pPr>
      <w:r>
        <w:rPr>
          <w:rFonts w:hint="eastAsia" w:ascii="宋体" w:hAnsi="宋体"/>
          <w:szCs w:val="21"/>
          <w:lang w:eastAsia="zh-CN"/>
        </w:rPr>
        <w:t>投标人电子签章</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p>
    <w:p w14:paraId="36139B30">
      <w:pPr>
        <w:tabs>
          <w:tab w:val="left" w:pos="4620"/>
        </w:tabs>
        <w:spacing w:before="40" w:after="40" w:line="400" w:lineRule="exact"/>
        <w:ind w:firstLine="2520" w:firstLineChars="1200"/>
        <w:rPr>
          <w:rFonts w:ascii="宋体" w:hAnsi="宋体"/>
          <w:szCs w:val="21"/>
          <w:u w:val="single"/>
        </w:rPr>
      </w:pPr>
      <w:r>
        <w:rPr>
          <w:rFonts w:hint="eastAsia" w:ascii="宋体" w:hAnsi="宋体"/>
          <w:szCs w:val="21"/>
        </w:rPr>
        <w:t>日</w:t>
      </w:r>
      <w:r>
        <w:rPr>
          <w:rFonts w:ascii="宋体" w:hAnsi="宋体"/>
          <w:szCs w:val="21"/>
        </w:rPr>
        <w:t xml:space="preserve">      </w:t>
      </w:r>
      <w:r>
        <w:rPr>
          <w:rFonts w:hint="eastAsia" w:ascii="宋体" w:hAnsi="宋体"/>
          <w:szCs w:val="21"/>
        </w:rPr>
        <w:t>期：</w:t>
      </w:r>
      <w:r>
        <w:rPr>
          <w:rFonts w:ascii="宋体" w:hAnsi="宋体"/>
          <w:szCs w:val="21"/>
          <w:u w:val="single"/>
        </w:rPr>
        <w:t xml:space="preserve">                     </w:t>
      </w:r>
    </w:p>
    <w:p w14:paraId="012D9E9E">
      <w:pPr>
        <w:tabs>
          <w:tab w:val="left" w:pos="4620"/>
        </w:tabs>
        <w:spacing w:line="360" w:lineRule="auto"/>
        <w:jc w:val="center"/>
        <w:rPr>
          <w:rFonts w:hint="eastAsia" w:ascii="Cambria" w:hAnsi="宋体"/>
          <w:b/>
          <w:bCs/>
          <w:kern w:val="0"/>
          <w:sz w:val="32"/>
          <w:szCs w:val="32"/>
        </w:rPr>
      </w:pPr>
    </w:p>
    <w:p w14:paraId="73435E92">
      <w:pPr>
        <w:tabs>
          <w:tab w:val="left" w:pos="4620"/>
        </w:tabs>
        <w:spacing w:line="360" w:lineRule="auto"/>
        <w:jc w:val="center"/>
        <w:rPr>
          <w:rFonts w:hint="eastAsia" w:ascii="Cambria" w:hAnsi="宋体"/>
          <w:b/>
          <w:bCs/>
          <w:kern w:val="0"/>
          <w:sz w:val="32"/>
          <w:szCs w:val="32"/>
        </w:rPr>
      </w:pPr>
    </w:p>
    <w:p w14:paraId="0A37C1E7">
      <w:pPr>
        <w:spacing w:line="360" w:lineRule="auto"/>
        <w:jc w:val="center"/>
        <w:outlineLvl w:val="9"/>
        <w:rPr>
          <w:rFonts w:ascii="黑体" w:hAnsi="黑体" w:eastAsia="黑体" w:cs="黑体"/>
          <w:sz w:val="28"/>
          <w:szCs w:val="28"/>
        </w:rPr>
      </w:pPr>
      <w:r>
        <w:rPr>
          <w:rFonts w:ascii="黑体" w:hAnsi="黑体" w:eastAsia="黑体" w:cs="黑体"/>
          <w:sz w:val="28"/>
          <w:szCs w:val="28"/>
        </w:rPr>
        <w:t>监狱企业证明</w:t>
      </w:r>
    </w:p>
    <w:p w14:paraId="1CDC426B">
      <w:pPr>
        <w:tabs>
          <w:tab w:val="left" w:pos="4620"/>
        </w:tabs>
        <w:spacing w:line="360" w:lineRule="auto"/>
        <w:jc w:val="center"/>
        <w:rPr>
          <w:rFonts w:hint="eastAsia" w:ascii="Cambria" w:hAnsi="宋体"/>
          <w:b/>
          <w:bCs/>
          <w:kern w:val="0"/>
          <w:sz w:val="32"/>
          <w:szCs w:val="32"/>
        </w:rPr>
      </w:pPr>
      <w:r>
        <w:rPr>
          <w:rFonts w:hint="eastAsia" w:ascii="宋体" w:hAnsi="宋体"/>
          <w:b/>
          <w:bCs/>
        </w:rPr>
        <w:t>注：</w:t>
      </w:r>
      <w:r>
        <w:rPr>
          <w:rFonts w:hint="eastAsia" w:ascii="宋体" w:hAnsi="宋体"/>
        </w:rPr>
        <w:t>提供省级以上监狱管理局、戒毒管理局（含新疆生产建设兵团）出具的属于监狱企业的证明文件。</w:t>
      </w:r>
    </w:p>
    <w:p w14:paraId="29724F09">
      <w:pPr>
        <w:tabs>
          <w:tab w:val="left" w:pos="4620"/>
        </w:tabs>
        <w:spacing w:line="360" w:lineRule="auto"/>
        <w:jc w:val="center"/>
        <w:rPr>
          <w:rFonts w:hint="eastAsia" w:ascii="Cambria" w:hAnsi="宋体"/>
          <w:b/>
          <w:bCs/>
          <w:kern w:val="0"/>
          <w:sz w:val="32"/>
          <w:szCs w:val="32"/>
        </w:rPr>
      </w:pPr>
    </w:p>
    <w:p w14:paraId="0B4A80DC">
      <w:pPr>
        <w:tabs>
          <w:tab w:val="left" w:pos="4620"/>
        </w:tabs>
        <w:spacing w:line="360" w:lineRule="auto"/>
        <w:jc w:val="center"/>
        <w:rPr>
          <w:rFonts w:hint="eastAsia" w:ascii="Cambria" w:hAnsi="宋体"/>
          <w:b/>
          <w:bCs/>
          <w:kern w:val="0"/>
          <w:sz w:val="32"/>
          <w:szCs w:val="32"/>
        </w:rPr>
      </w:pPr>
    </w:p>
    <w:p w14:paraId="03FB070D">
      <w:pPr>
        <w:rPr>
          <w:rFonts w:ascii="宋体" w:hAnsi="宋体"/>
          <w:sz w:val="28"/>
        </w:rPr>
      </w:pPr>
      <w:r>
        <w:rPr>
          <w:rFonts w:hint="eastAsia" w:ascii="宋体" w:hAnsi="宋体"/>
          <w:b/>
          <w:bCs/>
          <w:kern w:val="0"/>
          <w:sz w:val="32"/>
          <w:szCs w:val="32"/>
        </w:rPr>
        <w:br w:type="page"/>
      </w:r>
    </w:p>
    <w:bookmarkEnd w:id="1269"/>
    <w:bookmarkEnd w:id="1270"/>
    <w:bookmarkEnd w:id="1271"/>
    <w:bookmarkEnd w:id="1272"/>
    <w:bookmarkEnd w:id="1273"/>
    <w:bookmarkEnd w:id="1274"/>
    <w:bookmarkEnd w:id="1275"/>
    <w:p w14:paraId="11F186F1">
      <w:pPr>
        <w:spacing w:before="48" w:beforeLines="20" w:after="48" w:afterLines="20" w:line="360" w:lineRule="auto"/>
        <w:jc w:val="center"/>
        <w:outlineLvl w:val="1"/>
        <w:rPr>
          <w:rFonts w:hint="eastAsia" w:ascii="宋体" w:hAnsi="宋体"/>
          <w:b/>
          <w:bCs/>
          <w:kern w:val="0"/>
          <w:sz w:val="32"/>
          <w:szCs w:val="32"/>
        </w:rPr>
      </w:pPr>
      <w:r>
        <w:rPr>
          <w:rFonts w:hint="eastAsia" w:ascii="宋体" w:hAnsi="宋体"/>
          <w:b/>
          <w:bCs/>
          <w:kern w:val="0"/>
          <w:sz w:val="32"/>
          <w:szCs w:val="32"/>
          <w:lang w:val="en-US" w:eastAsia="zh-CN"/>
        </w:rPr>
        <w:t>十二、</w:t>
      </w:r>
      <w:r>
        <w:rPr>
          <w:rFonts w:hint="eastAsia" w:ascii="宋体" w:hAnsi="宋体"/>
          <w:b/>
          <w:bCs/>
          <w:kern w:val="0"/>
          <w:sz w:val="32"/>
          <w:szCs w:val="32"/>
        </w:rPr>
        <w:t>关于符合本国产品标准的声明函</w:t>
      </w:r>
    </w:p>
    <w:p w14:paraId="7BFE5A71">
      <w:pPr>
        <w:spacing w:before="0" w:beforeLines="0" w:after="0" w:afterLines="0" w:line="240" w:lineRule="auto"/>
        <w:jc w:val="center"/>
        <w:outlineLvl w:val="9"/>
        <w:rPr>
          <w:rFonts w:hint="eastAsia" w:eastAsia="宋体"/>
          <w:highlight w:val="none"/>
          <w:lang w:eastAsia="zh-CN"/>
        </w:rPr>
      </w:pPr>
      <w:r>
        <w:rPr>
          <w:rFonts w:hint="eastAsia"/>
          <w:highlight w:val="none"/>
          <w:lang w:eastAsia="zh-CN"/>
        </w:rPr>
        <w:t>（</w:t>
      </w:r>
      <w:r>
        <w:rPr>
          <w:rFonts w:hint="eastAsia"/>
          <w:highlight w:val="none"/>
          <w:lang w:val="en-US" w:eastAsia="zh-CN"/>
        </w:rPr>
        <w:t>不</w:t>
      </w:r>
      <w:r>
        <w:rPr>
          <w:rFonts w:hint="eastAsia"/>
          <w:highlight w:val="none"/>
          <w:lang w:eastAsia="zh-CN"/>
        </w:rPr>
        <w:t>符合本国产品扶持政策，不需此件）</w:t>
      </w:r>
    </w:p>
    <w:p w14:paraId="0F8413C7">
      <w:pPr>
        <w:spacing w:before="0" w:beforeLines="0" w:after="0" w:afterLines="0" w:line="240" w:lineRule="auto"/>
        <w:jc w:val="left"/>
        <w:outlineLvl w:val="9"/>
        <w:rPr>
          <w:rFonts w:hint="eastAsia"/>
          <w:highlight w:val="none"/>
        </w:rPr>
      </w:pPr>
    </w:p>
    <w:p w14:paraId="56661FE2">
      <w:pPr>
        <w:spacing w:before="0" w:beforeLines="0" w:after="0" w:afterLines="0" w:line="360" w:lineRule="auto"/>
        <w:ind w:firstLine="435" w:firstLineChars="0"/>
        <w:jc w:val="left"/>
        <w:outlineLvl w:val="9"/>
        <w:rPr>
          <w:rFonts w:hint="default" w:ascii="宋体" w:hAnsi="宋体"/>
          <w:szCs w:val="20"/>
          <w:highlight w:val="none"/>
        </w:rPr>
      </w:pPr>
      <w:r>
        <w:rPr>
          <w:rFonts w:hint="default" w:ascii="宋体" w:hAnsi="宋体"/>
          <w:szCs w:val="20"/>
          <w:highlight w:val="none"/>
        </w:rPr>
        <w:t>本公司（单位）郑重声明，根据《国务院办公厅关于在政府采购中实施本国产品标准及相关政策的通知》（ 国办发〔2025〕34号 ）的规定，本公司（单位）提供的以下产品属于本国产品。具体情况如下：</w:t>
      </w:r>
    </w:p>
    <w:p w14:paraId="420C5E0C">
      <w:pPr>
        <w:spacing w:before="0" w:beforeLines="0" w:after="0" w:afterLines="0" w:line="360" w:lineRule="auto"/>
        <w:ind w:firstLine="435" w:firstLineChars="0"/>
        <w:jc w:val="left"/>
        <w:outlineLvl w:val="9"/>
        <w:rPr>
          <w:rFonts w:hint="default" w:ascii="宋体" w:hAnsi="宋体"/>
          <w:szCs w:val="20"/>
          <w:highlight w:val="none"/>
        </w:rPr>
      </w:pPr>
      <w:r>
        <w:rPr>
          <w:rFonts w:hint="default" w:ascii="宋体" w:hAnsi="宋体"/>
          <w:szCs w:val="20"/>
          <w:highlight w:val="none"/>
        </w:rPr>
        <w:t>1.</w:t>
      </w:r>
      <w:r>
        <w:rPr>
          <w:rFonts w:hint="default" w:ascii="宋体" w:hAnsi="宋体"/>
          <w:i w:val="0"/>
          <w:iCs w:val="0"/>
          <w:szCs w:val="20"/>
          <w:highlight w:val="none"/>
          <w:u w:val="single"/>
        </w:rPr>
        <w:t>（ 产品名称 1）</w:t>
      </w:r>
      <w:r>
        <w:rPr>
          <w:rFonts w:hint="default" w:ascii="宋体" w:hAnsi="宋体"/>
          <w:szCs w:val="20"/>
          <w:highlight w:val="none"/>
          <w:vertAlign w:val="superscript"/>
        </w:rPr>
        <w:t>1</w:t>
      </w:r>
      <w:r>
        <w:rPr>
          <w:rFonts w:hint="default" w:ascii="宋体" w:hAnsi="宋体"/>
          <w:szCs w:val="20"/>
          <w:highlight w:val="none"/>
        </w:rPr>
        <w:t>，生产厂为</w:t>
      </w:r>
      <w:r>
        <w:rPr>
          <w:rFonts w:hint="default" w:ascii="宋体" w:hAnsi="宋体"/>
          <w:szCs w:val="20"/>
          <w:highlight w:val="none"/>
          <w:u w:val="single"/>
        </w:rPr>
        <w:t>（厂名）</w:t>
      </w:r>
      <w:r>
        <w:rPr>
          <w:rFonts w:hint="default" w:ascii="宋体" w:hAnsi="宋体"/>
          <w:szCs w:val="20"/>
          <w:highlight w:val="none"/>
          <w:vertAlign w:val="superscript"/>
        </w:rPr>
        <w:t>2</w:t>
      </w:r>
      <w:r>
        <w:rPr>
          <w:rFonts w:hint="default" w:ascii="宋体" w:hAnsi="宋体"/>
          <w:szCs w:val="20"/>
          <w:highlight w:val="none"/>
        </w:rPr>
        <w:t>，厂址为</w:t>
      </w:r>
      <w:r>
        <w:rPr>
          <w:rFonts w:hint="default" w:ascii="宋体" w:hAnsi="宋体"/>
          <w:szCs w:val="20"/>
          <w:highlight w:val="none"/>
          <w:u w:val="single"/>
        </w:rPr>
        <w:t>（生产厂址）</w:t>
      </w:r>
      <w:r>
        <w:rPr>
          <w:rFonts w:hint="default" w:ascii="宋体" w:hAnsi="宋体"/>
          <w:szCs w:val="20"/>
          <w:highlight w:val="none"/>
        </w:rPr>
        <w:t>。</w:t>
      </w:r>
      <w:r>
        <w:rPr>
          <w:rFonts w:hint="default" w:ascii="宋体" w:hAnsi="宋体"/>
          <w:szCs w:val="20"/>
          <w:highlight w:val="none"/>
          <w:u w:val="single"/>
        </w:rPr>
        <w:t xml:space="preserve"> </w:t>
      </w:r>
      <w:r>
        <w:rPr>
          <w:rFonts w:hint="eastAsia" w:ascii="宋体" w:hAnsi="宋体"/>
          <w:szCs w:val="20"/>
          <w:highlight w:val="none"/>
          <w:u w:val="single"/>
          <w:lang w:val="en-US" w:eastAsia="zh-CN"/>
        </w:rPr>
        <w:t xml:space="preserve"> /  </w:t>
      </w:r>
      <w:r>
        <w:rPr>
          <w:rFonts w:hint="default" w:ascii="宋体" w:hAnsi="宋体"/>
          <w:szCs w:val="20"/>
          <w:highlight w:val="none"/>
        </w:rPr>
        <w:t>的中国境内生产的组件成本占比≥</w:t>
      </w:r>
      <w:r>
        <w:rPr>
          <w:rFonts w:hint="default" w:ascii="宋体" w:hAnsi="宋体"/>
          <w:szCs w:val="20"/>
          <w:highlight w:val="none"/>
          <w:u w:val="single"/>
        </w:rPr>
        <w:t xml:space="preserve"> </w:t>
      </w:r>
      <w:r>
        <w:rPr>
          <w:rFonts w:hint="eastAsia" w:ascii="宋体" w:hAnsi="宋体"/>
          <w:szCs w:val="20"/>
          <w:highlight w:val="none"/>
          <w:u w:val="single"/>
          <w:lang w:val="en-US" w:eastAsia="zh-CN"/>
        </w:rPr>
        <w:t xml:space="preserve"> /  </w:t>
      </w:r>
      <w:r>
        <w:rPr>
          <w:rFonts w:hint="default" w:ascii="宋体" w:hAnsi="宋体"/>
          <w:szCs w:val="20"/>
          <w:highlight w:val="none"/>
        </w:rPr>
        <w:t xml:space="preserve">。 </w:t>
      </w:r>
      <w:r>
        <w:rPr>
          <w:rFonts w:hint="default" w:ascii="宋体" w:hAnsi="宋体"/>
          <w:szCs w:val="20"/>
          <w:highlight w:val="none"/>
          <w:u w:val="single"/>
        </w:rPr>
        <w:t xml:space="preserve"> </w:t>
      </w:r>
      <w:r>
        <w:rPr>
          <w:rFonts w:hint="eastAsia" w:ascii="宋体" w:hAnsi="宋体"/>
          <w:szCs w:val="20"/>
          <w:highlight w:val="none"/>
          <w:u w:val="single"/>
          <w:lang w:val="en-US" w:eastAsia="zh-CN"/>
        </w:rPr>
        <w:t xml:space="preserve"> /  </w:t>
      </w:r>
      <w:r>
        <w:rPr>
          <w:rFonts w:hint="default" w:ascii="宋体" w:hAnsi="宋体"/>
          <w:szCs w:val="20"/>
          <w:highlight w:val="none"/>
        </w:rPr>
        <w:t>的</w:t>
      </w:r>
      <w:r>
        <w:rPr>
          <w:rFonts w:hint="default" w:ascii="宋体" w:hAnsi="宋体"/>
          <w:szCs w:val="20"/>
          <w:highlight w:val="none"/>
          <w:u w:val="single"/>
        </w:rPr>
        <w:t xml:space="preserve"> </w:t>
      </w:r>
      <w:r>
        <w:rPr>
          <w:rFonts w:hint="eastAsia" w:ascii="宋体" w:hAnsi="宋体"/>
          <w:szCs w:val="20"/>
          <w:highlight w:val="none"/>
          <w:u w:val="single"/>
          <w:lang w:val="en-US" w:eastAsia="zh-CN"/>
        </w:rPr>
        <w:t xml:space="preserve"> /  </w:t>
      </w:r>
      <w:r>
        <w:rPr>
          <w:rFonts w:hint="default" w:ascii="宋体" w:hAnsi="宋体"/>
          <w:szCs w:val="20"/>
          <w:highlight w:val="none"/>
        </w:rPr>
        <w:t xml:space="preserve"> 在中国境内生产。</w:t>
      </w:r>
      <w:r>
        <w:rPr>
          <w:rFonts w:hint="default" w:ascii="宋体" w:hAnsi="宋体"/>
          <w:szCs w:val="20"/>
          <w:highlight w:val="none"/>
          <w:u w:val="single"/>
        </w:rPr>
        <w:t xml:space="preserve"> </w:t>
      </w:r>
      <w:r>
        <w:rPr>
          <w:rFonts w:hint="eastAsia" w:ascii="宋体" w:hAnsi="宋体"/>
          <w:szCs w:val="20"/>
          <w:highlight w:val="none"/>
          <w:u w:val="single"/>
          <w:lang w:val="en-US" w:eastAsia="zh-CN"/>
        </w:rPr>
        <w:t xml:space="preserve"> /  </w:t>
      </w:r>
      <w:r>
        <w:rPr>
          <w:rFonts w:hint="default" w:ascii="宋体" w:hAnsi="宋体"/>
          <w:szCs w:val="20"/>
          <w:highlight w:val="none"/>
        </w:rPr>
        <w:t>的</w:t>
      </w:r>
      <w:r>
        <w:rPr>
          <w:rFonts w:hint="default" w:ascii="宋体" w:hAnsi="宋体"/>
          <w:szCs w:val="20"/>
          <w:highlight w:val="none"/>
          <w:u w:val="single"/>
        </w:rPr>
        <w:t xml:space="preserve"> </w:t>
      </w:r>
      <w:r>
        <w:rPr>
          <w:rFonts w:hint="eastAsia" w:ascii="宋体" w:hAnsi="宋体"/>
          <w:szCs w:val="20"/>
          <w:highlight w:val="none"/>
          <w:u w:val="single"/>
          <w:lang w:val="en-US" w:eastAsia="zh-CN"/>
        </w:rPr>
        <w:t xml:space="preserve"> /  </w:t>
      </w:r>
      <w:r>
        <w:rPr>
          <w:rFonts w:hint="default" w:ascii="宋体" w:hAnsi="宋体"/>
          <w:szCs w:val="20"/>
          <w:highlight w:val="none"/>
        </w:rPr>
        <w:t xml:space="preserve"> 在中国境内完成。</w:t>
      </w:r>
    </w:p>
    <w:p w14:paraId="41A5B130">
      <w:pPr>
        <w:pStyle w:val="9"/>
        <w:spacing w:before="182" w:line="312" w:lineRule="auto"/>
        <w:ind w:left="25" w:right="99" w:firstLine="423"/>
        <w:rPr>
          <w:rFonts w:hint="eastAsia" w:ascii="宋体" w:hAnsi="宋体" w:eastAsia="宋体" w:cs="宋体"/>
          <w:i w:val="0"/>
          <w:iCs w:val="0"/>
          <w:sz w:val="21"/>
          <w:szCs w:val="21"/>
          <w:highlight w:val="none"/>
        </w:rPr>
      </w:pPr>
      <w:r>
        <w:rPr>
          <w:rFonts w:hint="eastAsia" w:ascii="宋体" w:hAnsi="宋体" w:eastAsia="宋体" w:cs="宋体"/>
          <w:i w:val="0"/>
          <w:iCs w:val="0"/>
          <w:spacing w:val="-4"/>
          <w:sz w:val="21"/>
          <w:szCs w:val="21"/>
          <w:highlight w:val="none"/>
        </w:rPr>
        <w:t>2.</w:t>
      </w:r>
      <w:r>
        <w:rPr>
          <w:rFonts w:hint="eastAsia" w:ascii="宋体" w:hAnsi="宋体" w:eastAsia="宋体" w:cs="宋体"/>
          <w:i w:val="0"/>
          <w:iCs w:val="0"/>
          <w:spacing w:val="-4"/>
          <w:sz w:val="21"/>
          <w:szCs w:val="21"/>
          <w:highlight w:val="none"/>
          <w:u w:val="single" w:color="auto"/>
        </w:rPr>
        <w:t>（产品名称2</w:t>
      </w:r>
      <w:r>
        <w:rPr>
          <w:rFonts w:hint="eastAsia" w:ascii="宋体" w:hAnsi="宋体" w:eastAsia="宋体" w:cs="宋体"/>
          <w:i w:val="0"/>
          <w:iCs w:val="0"/>
          <w:spacing w:val="-5"/>
          <w:sz w:val="21"/>
          <w:szCs w:val="21"/>
          <w:highlight w:val="none"/>
          <w:u w:val="single" w:color="auto"/>
        </w:rPr>
        <w:t>）</w:t>
      </w:r>
      <w:r>
        <w:rPr>
          <w:rFonts w:hint="eastAsia" w:ascii="宋体" w:hAnsi="宋体" w:eastAsia="宋体" w:cs="宋体"/>
          <w:i w:val="0"/>
          <w:iCs w:val="0"/>
          <w:spacing w:val="-5"/>
          <w:sz w:val="21"/>
          <w:szCs w:val="21"/>
          <w:highlight w:val="none"/>
        </w:rPr>
        <w:t>，</w:t>
      </w:r>
      <w:r>
        <w:rPr>
          <w:rFonts w:hint="eastAsia" w:ascii="宋体" w:hAnsi="宋体" w:eastAsia="宋体" w:cs="宋体"/>
          <w:i w:val="0"/>
          <w:iCs w:val="0"/>
          <w:spacing w:val="-4"/>
          <w:sz w:val="21"/>
          <w:szCs w:val="21"/>
          <w:highlight w:val="none"/>
        </w:rPr>
        <w:t>生产厂为</w:t>
      </w:r>
      <w:r>
        <w:rPr>
          <w:rFonts w:hint="eastAsia" w:ascii="宋体" w:hAnsi="宋体" w:eastAsia="宋体" w:cs="宋体"/>
          <w:i w:val="0"/>
          <w:iCs w:val="0"/>
          <w:spacing w:val="-4"/>
          <w:sz w:val="21"/>
          <w:szCs w:val="21"/>
          <w:highlight w:val="none"/>
          <w:u w:val="single" w:color="auto"/>
        </w:rPr>
        <w:t>（厂名</w:t>
      </w:r>
      <w:r>
        <w:rPr>
          <w:rFonts w:hint="eastAsia" w:ascii="宋体" w:hAnsi="宋体" w:eastAsia="宋体" w:cs="宋体"/>
          <w:i w:val="0"/>
          <w:iCs w:val="0"/>
          <w:spacing w:val="-5"/>
          <w:sz w:val="21"/>
          <w:szCs w:val="21"/>
          <w:highlight w:val="none"/>
          <w:u w:val="single" w:color="auto"/>
        </w:rPr>
        <w:t>）</w:t>
      </w:r>
      <w:r>
        <w:rPr>
          <w:rFonts w:hint="eastAsia" w:ascii="宋体" w:hAnsi="宋体" w:eastAsia="宋体" w:cs="宋体"/>
          <w:i w:val="0"/>
          <w:iCs w:val="0"/>
          <w:spacing w:val="-5"/>
          <w:sz w:val="21"/>
          <w:szCs w:val="21"/>
          <w:highlight w:val="none"/>
        </w:rPr>
        <w:t>，</w:t>
      </w:r>
      <w:r>
        <w:rPr>
          <w:rFonts w:hint="eastAsia" w:ascii="宋体" w:hAnsi="宋体" w:eastAsia="宋体" w:cs="宋体"/>
          <w:i w:val="0"/>
          <w:iCs w:val="0"/>
          <w:spacing w:val="-4"/>
          <w:sz w:val="21"/>
          <w:szCs w:val="21"/>
          <w:highlight w:val="none"/>
        </w:rPr>
        <w:t>厂址为</w:t>
      </w:r>
      <w:r>
        <w:rPr>
          <w:rFonts w:hint="eastAsia" w:ascii="宋体" w:hAnsi="宋体" w:eastAsia="宋体" w:cs="宋体"/>
          <w:i w:val="0"/>
          <w:iCs w:val="0"/>
          <w:spacing w:val="-4"/>
          <w:sz w:val="21"/>
          <w:szCs w:val="21"/>
          <w:highlight w:val="none"/>
          <w:u w:val="single" w:color="auto"/>
        </w:rPr>
        <w:t>（生产厂址）</w:t>
      </w:r>
      <w:r>
        <w:rPr>
          <w:rFonts w:hint="eastAsia" w:ascii="宋体" w:hAnsi="宋体" w:eastAsia="宋体" w:cs="宋体"/>
          <w:i w:val="0"/>
          <w:iCs w:val="0"/>
          <w:spacing w:val="-4"/>
          <w:sz w:val="21"/>
          <w:szCs w:val="21"/>
          <w:highlight w:val="none"/>
        </w:rPr>
        <w:t>。</w:t>
      </w:r>
      <w:r>
        <w:rPr>
          <w:rFonts w:hint="eastAsia" w:ascii="宋体" w:hAnsi="宋体" w:eastAsia="宋体" w:cs="宋体"/>
          <w:i w:val="0"/>
          <w:iCs w:val="0"/>
          <w:spacing w:val="-4"/>
          <w:sz w:val="21"/>
          <w:szCs w:val="21"/>
          <w:highlight w:val="none"/>
          <w:u w:val="single" w:color="auto"/>
          <w:lang w:val="en-US" w:eastAsia="zh-CN"/>
        </w:rPr>
        <w:t xml:space="preserve">  /  </w:t>
      </w:r>
      <w:r>
        <w:rPr>
          <w:rFonts w:hint="eastAsia" w:ascii="宋体" w:hAnsi="宋体" w:eastAsia="宋体" w:cs="宋体"/>
          <w:i w:val="0"/>
          <w:iCs w:val="0"/>
          <w:spacing w:val="-5"/>
          <w:sz w:val="21"/>
          <w:szCs w:val="21"/>
          <w:highlight w:val="none"/>
        </w:rPr>
        <w:t>的中国</w:t>
      </w:r>
      <w:r>
        <w:rPr>
          <w:rFonts w:hint="eastAsia" w:ascii="宋体" w:hAnsi="宋体" w:eastAsia="宋体" w:cs="宋体"/>
          <w:i w:val="0"/>
          <w:iCs w:val="0"/>
          <w:spacing w:val="-3"/>
          <w:sz w:val="21"/>
          <w:szCs w:val="21"/>
          <w:highlight w:val="none"/>
        </w:rPr>
        <w:t>境内生产的组件成本占比≥</w:t>
      </w:r>
      <w:r>
        <w:rPr>
          <w:rFonts w:hint="eastAsia" w:ascii="宋体" w:hAnsi="宋体" w:eastAsia="宋体" w:cs="宋体"/>
          <w:i w:val="0"/>
          <w:iCs w:val="0"/>
          <w:spacing w:val="-9"/>
          <w:sz w:val="21"/>
          <w:szCs w:val="21"/>
          <w:highlight w:val="none"/>
          <w:u w:val="single" w:color="auto"/>
          <w:lang w:val="en-US" w:eastAsia="zh-CN"/>
        </w:rPr>
        <w:t xml:space="preserve">  /  </w:t>
      </w:r>
      <w:r>
        <w:rPr>
          <w:rFonts w:hint="eastAsia" w:ascii="宋体" w:hAnsi="宋体" w:eastAsia="宋体" w:cs="宋体"/>
          <w:i w:val="0"/>
          <w:iCs w:val="0"/>
          <w:spacing w:val="-3"/>
          <w:sz w:val="21"/>
          <w:szCs w:val="21"/>
          <w:highlight w:val="none"/>
        </w:rPr>
        <w:t>。</w:t>
      </w:r>
      <w:r>
        <w:rPr>
          <w:rFonts w:hint="eastAsia" w:ascii="宋体" w:hAnsi="宋体" w:eastAsia="宋体" w:cs="宋体"/>
          <w:i w:val="0"/>
          <w:iCs w:val="0"/>
          <w:spacing w:val="-4"/>
          <w:sz w:val="21"/>
          <w:szCs w:val="21"/>
          <w:highlight w:val="none"/>
          <w:u w:val="single" w:color="auto"/>
          <w:lang w:val="en-US" w:eastAsia="zh-CN"/>
        </w:rPr>
        <w:t xml:space="preserve">  /  </w:t>
      </w:r>
      <w:r>
        <w:rPr>
          <w:rFonts w:hint="eastAsia" w:ascii="宋体" w:hAnsi="宋体" w:eastAsia="宋体" w:cs="宋体"/>
          <w:i w:val="0"/>
          <w:iCs w:val="0"/>
          <w:spacing w:val="-3"/>
          <w:sz w:val="21"/>
          <w:szCs w:val="21"/>
          <w:highlight w:val="none"/>
        </w:rPr>
        <w:t>的</w:t>
      </w:r>
      <w:r>
        <w:rPr>
          <w:rFonts w:hint="eastAsia" w:ascii="宋体" w:hAnsi="宋体" w:eastAsia="宋体" w:cs="宋体"/>
          <w:i w:val="0"/>
          <w:iCs w:val="0"/>
          <w:spacing w:val="4"/>
          <w:sz w:val="21"/>
          <w:szCs w:val="21"/>
          <w:highlight w:val="none"/>
          <w:u w:val="single" w:color="auto"/>
          <w:lang w:val="en-US" w:eastAsia="zh-CN"/>
        </w:rPr>
        <w:t xml:space="preserve">  /  </w:t>
      </w:r>
      <w:r>
        <w:rPr>
          <w:rFonts w:hint="eastAsia" w:ascii="宋体" w:hAnsi="宋体" w:eastAsia="宋体" w:cs="宋体"/>
          <w:i w:val="0"/>
          <w:iCs w:val="0"/>
          <w:spacing w:val="-3"/>
          <w:sz w:val="21"/>
          <w:szCs w:val="21"/>
          <w:highlight w:val="none"/>
        </w:rPr>
        <w:t>在中国境内生产。</w:t>
      </w:r>
      <w:r>
        <w:rPr>
          <w:rFonts w:hint="eastAsia" w:ascii="宋体" w:hAnsi="宋体" w:eastAsia="宋体" w:cs="宋体"/>
          <w:i w:val="0"/>
          <w:iCs w:val="0"/>
          <w:spacing w:val="-4"/>
          <w:sz w:val="21"/>
          <w:szCs w:val="21"/>
          <w:highlight w:val="none"/>
          <w:u w:val="single" w:color="auto"/>
          <w:lang w:val="en-US" w:eastAsia="zh-CN"/>
        </w:rPr>
        <w:t xml:space="preserve">  /  </w:t>
      </w:r>
      <w:r>
        <w:rPr>
          <w:rFonts w:hint="eastAsia" w:ascii="宋体" w:hAnsi="宋体" w:eastAsia="宋体" w:cs="宋体"/>
          <w:i w:val="0"/>
          <w:iCs w:val="0"/>
          <w:spacing w:val="-4"/>
          <w:sz w:val="21"/>
          <w:szCs w:val="21"/>
          <w:highlight w:val="none"/>
        </w:rPr>
        <w:t>的</w:t>
      </w:r>
      <w:r>
        <w:rPr>
          <w:rFonts w:hint="eastAsia" w:ascii="宋体" w:hAnsi="宋体" w:eastAsia="宋体" w:cs="宋体"/>
          <w:i w:val="0"/>
          <w:iCs w:val="0"/>
          <w:spacing w:val="4"/>
          <w:sz w:val="21"/>
          <w:szCs w:val="21"/>
          <w:highlight w:val="none"/>
          <w:u w:val="single" w:color="auto"/>
          <w:lang w:val="en-US" w:eastAsia="zh-CN"/>
        </w:rPr>
        <w:t xml:space="preserve">  /  </w:t>
      </w:r>
      <w:r>
        <w:rPr>
          <w:rFonts w:hint="eastAsia" w:ascii="宋体" w:hAnsi="宋体" w:eastAsia="宋体" w:cs="宋体"/>
          <w:i w:val="0"/>
          <w:iCs w:val="0"/>
          <w:spacing w:val="-2"/>
          <w:sz w:val="21"/>
          <w:szCs w:val="21"/>
          <w:highlight w:val="none"/>
        </w:rPr>
        <w:t>在中国境内完成。</w:t>
      </w:r>
    </w:p>
    <w:p w14:paraId="451F4004">
      <w:pPr>
        <w:spacing w:before="0" w:beforeLines="0" w:after="0" w:afterLines="0" w:line="360" w:lineRule="auto"/>
        <w:ind w:firstLine="435" w:firstLineChars="0"/>
        <w:jc w:val="left"/>
        <w:outlineLvl w:val="9"/>
        <w:rPr>
          <w:rFonts w:hint="default" w:ascii="宋体" w:hAnsi="宋体"/>
          <w:szCs w:val="20"/>
          <w:highlight w:val="none"/>
        </w:rPr>
      </w:pPr>
      <w:r>
        <w:rPr>
          <w:rFonts w:hint="default" w:ascii="宋体" w:hAnsi="宋体"/>
          <w:szCs w:val="20"/>
          <w:highlight w:val="none"/>
        </w:rPr>
        <w:t>……</w:t>
      </w:r>
    </w:p>
    <w:p w14:paraId="3094A60A">
      <w:pPr>
        <w:spacing w:before="0" w:beforeLines="0" w:after="0" w:afterLines="0" w:line="360" w:lineRule="auto"/>
        <w:ind w:firstLine="435" w:firstLineChars="0"/>
        <w:jc w:val="left"/>
        <w:outlineLvl w:val="9"/>
        <w:rPr>
          <w:rFonts w:hint="default" w:ascii="宋体" w:hAnsi="宋体"/>
          <w:szCs w:val="20"/>
          <w:highlight w:val="none"/>
        </w:rPr>
      </w:pPr>
      <w:r>
        <w:rPr>
          <w:rFonts w:hint="default" w:ascii="宋体" w:hAnsi="宋体"/>
          <w:szCs w:val="20"/>
          <w:highlight w:val="none"/>
        </w:rPr>
        <w:t>本公司（单位）对上述声明内容的真实性负责。如有虚假，愿承担相应法律责任。</w:t>
      </w:r>
    </w:p>
    <w:p w14:paraId="7B7D5841">
      <w:pPr>
        <w:spacing w:before="0" w:beforeLines="0" w:after="0" w:afterLines="0" w:line="360" w:lineRule="auto"/>
        <w:ind w:firstLine="435"/>
        <w:jc w:val="left"/>
        <w:outlineLvl w:val="9"/>
        <w:rPr>
          <w:rFonts w:hint="default" w:ascii="宋体" w:hAnsi="宋体"/>
          <w:szCs w:val="20"/>
          <w:highlight w:val="none"/>
        </w:rPr>
      </w:pPr>
    </w:p>
    <w:p w14:paraId="38F5358C">
      <w:pPr>
        <w:spacing w:line="360" w:lineRule="auto"/>
        <w:ind w:firstLine="5170" w:firstLineChars="2462"/>
        <w:rPr>
          <w:rFonts w:ascii="宋体" w:hAnsi="宋体" w:eastAsia="宋体"/>
          <w:color w:val="auto"/>
          <w:sz w:val="21"/>
          <w:szCs w:val="21"/>
          <w:highlight w:val="none"/>
          <w:u w:val="single"/>
        </w:rPr>
      </w:pPr>
      <w:r>
        <w:rPr>
          <w:rFonts w:hint="eastAsia" w:ascii="宋体" w:hAnsi="宋体" w:eastAsia="宋体"/>
          <w:color w:val="auto"/>
          <w:sz w:val="21"/>
          <w:szCs w:val="21"/>
          <w:highlight w:val="none"/>
        </w:rPr>
        <w:t>投标人</w:t>
      </w:r>
      <w:r>
        <w:rPr>
          <w:rFonts w:ascii="宋体" w:hAnsi="宋体" w:eastAsia="宋体"/>
          <w:color w:val="auto"/>
          <w:sz w:val="21"/>
          <w:szCs w:val="21"/>
          <w:highlight w:val="none"/>
        </w:rPr>
        <w:t>电子签章</w:t>
      </w:r>
      <w:r>
        <w:rPr>
          <w:rFonts w:hint="eastAsia" w:ascii="宋体" w:hAnsi="宋体" w:eastAsia="宋体"/>
          <w:color w:val="auto"/>
          <w:sz w:val="21"/>
          <w:szCs w:val="21"/>
          <w:highlight w:val="none"/>
        </w:rPr>
        <w:t>：</w:t>
      </w:r>
      <w:r>
        <w:rPr>
          <w:rFonts w:ascii="宋体" w:hAnsi="宋体" w:eastAsia="宋体"/>
          <w:color w:val="auto"/>
          <w:sz w:val="21"/>
          <w:szCs w:val="21"/>
          <w:highlight w:val="none"/>
          <w:u w:val="single"/>
        </w:rPr>
        <w:t xml:space="preserve">             </w:t>
      </w:r>
    </w:p>
    <w:p w14:paraId="2FD4E51F">
      <w:pPr>
        <w:tabs>
          <w:tab w:val="left" w:pos="4620"/>
        </w:tabs>
        <w:spacing w:line="360" w:lineRule="auto"/>
        <w:ind w:firstLine="5187" w:firstLineChars="2470"/>
        <w:rPr>
          <w:rFonts w:ascii="宋体" w:hAnsi="宋体" w:eastAsia="宋体"/>
          <w:color w:val="auto"/>
          <w:sz w:val="21"/>
          <w:szCs w:val="21"/>
          <w:highlight w:val="none"/>
          <w:u w:val="single"/>
        </w:rPr>
      </w:pPr>
      <w:r>
        <w:rPr>
          <w:rFonts w:hint="eastAsia" w:ascii="宋体" w:hAnsi="宋体" w:eastAsia="宋体"/>
          <w:color w:val="auto"/>
          <w:sz w:val="21"/>
          <w:szCs w:val="21"/>
          <w:highlight w:val="none"/>
        </w:rPr>
        <w:t>日</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期：</w:t>
      </w:r>
      <w:r>
        <w:rPr>
          <w:rFonts w:ascii="宋体" w:hAnsi="宋体" w:eastAsia="宋体"/>
          <w:color w:val="auto"/>
          <w:sz w:val="21"/>
          <w:szCs w:val="21"/>
          <w:highlight w:val="none"/>
          <w:u w:val="single"/>
        </w:rPr>
        <w:t xml:space="preserve">             </w:t>
      </w:r>
    </w:p>
    <w:p w14:paraId="133F0501">
      <w:pPr>
        <w:spacing w:before="0" w:beforeLines="0" w:after="0" w:afterLines="0" w:line="360" w:lineRule="auto"/>
        <w:ind w:firstLine="435"/>
        <w:jc w:val="right"/>
        <w:outlineLvl w:val="9"/>
        <w:rPr>
          <w:rFonts w:hint="default" w:ascii="宋体" w:hAnsi="宋体"/>
          <w:szCs w:val="20"/>
          <w:highlight w:val="none"/>
        </w:rPr>
      </w:pPr>
    </w:p>
    <w:p w14:paraId="47836D7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highlight w:val="none"/>
          <w:lang w:val="en-US" w:eastAsia="zh-CN"/>
        </w:rPr>
      </w:pPr>
      <w:r>
        <w:rPr>
          <w:rFonts w:hint="default"/>
          <w:highlight w:val="none"/>
          <w:lang w:val="en-US" w:eastAsia="zh-CN"/>
        </w:rPr>
        <w:t>注：</w:t>
      </w:r>
    </w:p>
    <w:p w14:paraId="0B0949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ighlight w:val="none"/>
        </w:rPr>
      </w:pPr>
      <w:r>
        <w:rPr>
          <w:rFonts w:hint="default"/>
          <w:highlight w:val="none"/>
        </w:rPr>
        <w:t>1.产品如有型号，请在</w:t>
      </w:r>
      <w:r>
        <w:rPr>
          <w:rFonts w:hint="eastAsia"/>
          <w:highlight w:val="none"/>
          <w:lang w:eastAsia="zh-CN"/>
        </w:rPr>
        <w:t>“</w:t>
      </w:r>
      <w:r>
        <w:rPr>
          <w:rFonts w:hint="default"/>
          <w:highlight w:val="none"/>
        </w:rPr>
        <w:t>产品名称</w:t>
      </w:r>
      <w:r>
        <w:rPr>
          <w:rFonts w:hint="eastAsia"/>
          <w:highlight w:val="none"/>
          <w:lang w:eastAsia="zh-CN"/>
        </w:rPr>
        <w:t>”</w:t>
      </w:r>
      <w:r>
        <w:rPr>
          <w:rFonts w:hint="default"/>
          <w:highlight w:val="none"/>
        </w:rPr>
        <w:t>栏一并填写。</w:t>
      </w:r>
    </w:p>
    <w:p w14:paraId="089827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ighlight w:val="none"/>
        </w:rPr>
      </w:pPr>
      <w:r>
        <w:rPr>
          <w:rFonts w:hint="default"/>
          <w:highlight w:val="none"/>
        </w:rPr>
        <w:t>2.生产厂名与厂址应与生产厂营业执照载明的相关信息保持一致。</w:t>
      </w:r>
    </w:p>
    <w:p w14:paraId="06CCFF3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ighlight w:val="none"/>
        </w:rPr>
      </w:pPr>
      <w:r>
        <w:rPr>
          <w:rFonts w:hint="eastAsia"/>
          <w:highlight w:val="none"/>
        </w:rPr>
        <w:t>3.上述声明函中标注</w:t>
      </w:r>
      <w:r>
        <w:rPr>
          <w:rFonts w:hint="eastAsia"/>
          <w:highlight w:val="none"/>
          <w:u w:val="single"/>
        </w:rPr>
        <w:t xml:space="preserve"> / </w:t>
      </w:r>
      <w:r>
        <w:rPr>
          <w:rFonts w:hint="eastAsia"/>
          <w:highlight w:val="none"/>
        </w:rPr>
        <w:t>的，无需填写。</w:t>
      </w:r>
    </w:p>
    <w:p w14:paraId="67A8FE3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ighlight w:val="none"/>
        </w:rPr>
      </w:pPr>
      <w:r>
        <w:rPr>
          <w:rFonts w:hint="eastAsia"/>
          <w:highlight w:val="none"/>
        </w:rPr>
        <w:t>4.投标人应当结合“</w:t>
      </w:r>
      <w:r>
        <w:rPr>
          <w:rFonts w:hint="eastAsia"/>
          <w:highlight w:val="none"/>
          <w:lang w:val="en-US" w:eastAsia="zh-CN"/>
        </w:rPr>
        <w:t>二</w:t>
      </w:r>
      <w:r>
        <w:rPr>
          <w:rFonts w:hint="eastAsia"/>
          <w:highlight w:val="none"/>
        </w:rPr>
        <w:t>、投标分项报价表</w:t>
      </w:r>
      <w:r>
        <w:rPr>
          <w:rFonts w:hint="eastAsia"/>
          <w:highlight w:val="none"/>
          <w:lang w:val="en-US" w:eastAsia="zh-CN"/>
        </w:rPr>
        <w:t xml:space="preserve"> 2-1货物部分</w:t>
      </w:r>
      <w:r>
        <w:rPr>
          <w:rFonts w:hint="eastAsia"/>
          <w:highlight w:val="none"/>
        </w:rPr>
        <w:t>”相关信息进行填写。</w:t>
      </w:r>
    </w:p>
    <w:p w14:paraId="6E7F6B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ighlight w:val="none"/>
        </w:rPr>
      </w:pPr>
      <w:r>
        <w:rPr>
          <w:rFonts w:hint="eastAsia"/>
          <w:highlight w:val="none"/>
        </w:rPr>
        <w:t>5.根据《国务院办公厅关于在政府采购中实施本国产品标准及相关政策的通知》（国办发〔2025〕34号）和财政部工业和信息化部关于贯彻落实《国务院办公厅关于在政府采购中实施本国产品标准及相关政策的通知》的意见（财库〔2025〕30号），本项目所称的本国产品是指在中国境内生产的产品，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C417D85">
      <w:pPr>
        <w:spacing w:before="0" w:beforeLines="-2147483648" w:after="0" w:afterLines="-2147483648" w:line="360" w:lineRule="auto"/>
        <w:ind w:firstLine="435"/>
        <w:jc w:val="left"/>
        <w:outlineLvl w:val="9"/>
        <w:rPr>
          <w:rFonts w:hint="eastAsia" w:ascii="宋体" w:hAnsi="宋体" w:eastAsia="宋体" w:cs="宋体"/>
        </w:rPr>
      </w:pPr>
    </w:p>
    <w:p w14:paraId="548C332F">
      <w:pPr>
        <w:rPr>
          <w:rFonts w:hint="eastAsia"/>
          <w:b/>
          <w:sz w:val="32"/>
          <w:szCs w:val="32"/>
        </w:rPr>
      </w:pPr>
      <w:r>
        <w:rPr>
          <w:rFonts w:hint="eastAsia"/>
          <w:b/>
          <w:sz w:val="32"/>
          <w:szCs w:val="32"/>
        </w:rPr>
        <w:br w:type="page"/>
      </w:r>
    </w:p>
    <w:p w14:paraId="6E5A29B1">
      <w:pPr>
        <w:jc w:val="center"/>
        <w:outlineLvl w:val="1"/>
        <w:rPr>
          <w:rFonts w:hint="eastAsia" w:ascii="Cambria" w:hAnsi="宋体"/>
          <w:b/>
          <w:bCs/>
          <w:kern w:val="0"/>
          <w:sz w:val="32"/>
          <w:szCs w:val="32"/>
        </w:rPr>
      </w:pPr>
      <w:r>
        <w:rPr>
          <w:rFonts w:hint="eastAsia" w:ascii="宋体" w:hAnsi="宋体"/>
          <w:b/>
          <w:bCs/>
          <w:kern w:val="0"/>
          <w:sz w:val="32"/>
          <w:szCs w:val="32"/>
        </w:rPr>
        <w:t>十</w:t>
      </w:r>
      <w:r>
        <w:rPr>
          <w:rFonts w:hint="eastAsia" w:ascii="宋体" w:hAnsi="宋体"/>
          <w:b/>
          <w:bCs/>
          <w:kern w:val="0"/>
          <w:sz w:val="32"/>
          <w:szCs w:val="32"/>
          <w:lang w:val="en-US" w:eastAsia="zh-CN"/>
        </w:rPr>
        <w:t>三</w:t>
      </w:r>
      <w:r>
        <w:rPr>
          <w:rFonts w:hint="eastAsia" w:ascii="宋体" w:hAnsi="宋体"/>
          <w:b/>
          <w:bCs/>
          <w:kern w:val="0"/>
          <w:sz w:val="32"/>
          <w:szCs w:val="32"/>
        </w:rPr>
        <w:t>.</w:t>
      </w:r>
      <w:r>
        <w:rPr>
          <w:rFonts w:hint="eastAsia" w:ascii="宋体" w:hAnsi="宋体"/>
          <w:b/>
          <w:bCs/>
          <w:kern w:val="0"/>
          <w:sz w:val="32"/>
          <w:szCs w:val="32"/>
          <w:lang w:val="en-US" w:eastAsia="zh-CN"/>
        </w:rPr>
        <w:t>其他要求承诺</w:t>
      </w:r>
      <w:r>
        <w:rPr>
          <w:rFonts w:hint="eastAsia" w:ascii="Cambria" w:hAnsi="宋体"/>
          <w:b/>
          <w:bCs/>
          <w:kern w:val="0"/>
          <w:sz w:val="32"/>
          <w:szCs w:val="32"/>
        </w:rPr>
        <w:t>函</w:t>
      </w:r>
    </w:p>
    <w:p w14:paraId="2863E238">
      <w:pPr>
        <w:spacing w:line="240" w:lineRule="auto"/>
        <w:jc w:val="both"/>
        <w:outlineLvl w:val="9"/>
        <w:rPr>
          <w:rFonts w:hint="eastAsia" w:hAnsi="宋体"/>
        </w:rPr>
      </w:pPr>
    </w:p>
    <w:p w14:paraId="2E5C5582">
      <w:pPr>
        <w:spacing w:line="240" w:lineRule="auto"/>
        <w:jc w:val="center"/>
        <w:outlineLvl w:val="9"/>
        <w:rPr>
          <w:rFonts w:hint="eastAsia" w:hAnsi="宋体"/>
        </w:rPr>
      </w:pPr>
    </w:p>
    <w:p w14:paraId="4998AD13">
      <w:pPr>
        <w:spacing w:before="96" w:beforeLines="40" w:after="96" w:afterLines="40" w:line="400" w:lineRule="exact"/>
        <w:rPr>
          <w:rFonts w:hint="eastAsia" w:ascii="宋体" w:hAnsi="宋体"/>
          <w:spacing w:val="6"/>
          <w:szCs w:val="21"/>
        </w:rPr>
      </w:pPr>
      <w:r>
        <w:rPr>
          <w:rFonts w:ascii="宋体" w:hAnsi="宋体"/>
          <w:i/>
          <w:iCs/>
          <w:spacing w:val="20"/>
          <w:szCs w:val="21"/>
          <w:u w:val="single"/>
        </w:rPr>
        <w:t>（</w:t>
      </w:r>
      <w:r>
        <w:rPr>
          <w:rFonts w:hint="eastAsia" w:ascii="宋体" w:hAnsi="宋体"/>
          <w:i/>
          <w:iCs/>
          <w:spacing w:val="20"/>
          <w:szCs w:val="21"/>
          <w:u w:val="single"/>
          <w:lang w:eastAsia="zh-CN"/>
        </w:rPr>
        <w:t>采购人</w:t>
      </w:r>
      <w:r>
        <w:rPr>
          <w:rFonts w:hint="eastAsia" w:ascii="宋体" w:hAnsi="宋体"/>
          <w:i/>
          <w:iCs/>
          <w:spacing w:val="20"/>
          <w:szCs w:val="21"/>
          <w:u w:val="single"/>
        </w:rPr>
        <w:t>名称</w:t>
      </w:r>
      <w:r>
        <w:rPr>
          <w:rFonts w:ascii="宋体" w:hAnsi="宋体"/>
          <w:i/>
          <w:iCs/>
          <w:spacing w:val="20"/>
          <w:szCs w:val="21"/>
          <w:u w:val="single"/>
        </w:rPr>
        <w:t>）</w:t>
      </w:r>
      <w:r>
        <w:rPr>
          <w:rFonts w:ascii="宋体" w:hAnsi="宋体"/>
          <w:spacing w:val="20"/>
          <w:szCs w:val="21"/>
          <w:u w:val="single"/>
        </w:rPr>
        <w:t xml:space="preserve">  </w:t>
      </w:r>
      <w:r>
        <w:rPr>
          <w:rFonts w:hint="eastAsia" w:ascii="宋体" w:hAnsi="宋体"/>
          <w:spacing w:val="6"/>
          <w:szCs w:val="21"/>
        </w:rPr>
        <w:t>：</w:t>
      </w:r>
    </w:p>
    <w:p w14:paraId="558F6F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我单位承诺中标后：</w:t>
      </w:r>
    </w:p>
    <w:p w14:paraId="6CC5FA20">
      <w:pPr>
        <w:pStyle w:val="19"/>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1.整机原厂质保5年，保修期自设备安装完毕，双方签署本次集中采购统一格式的验收报告后开始计算。保修期间要确保系统的正常运行，提供周期维护保养（PM）≥4 次，保修期内保证在接到设备故障报修通知后，维修工程师1小时内响应，24小时内到达现场检修，保修期内（包括休息日和节假日） 均能派出维修工程师到达现场维修，如在3天内无法修复机器提供与该设备相同的备用机。</w:t>
      </w:r>
      <w:r>
        <w:rPr>
          <w:rFonts w:hint="eastAsia" w:cs="宋体"/>
          <w:b w:val="0"/>
          <w:bCs w:val="0"/>
          <w:color w:val="auto"/>
          <w:sz w:val="24"/>
          <w:szCs w:val="24"/>
          <w:highlight w:val="none"/>
          <w:lang w:eastAsia="zh-CN"/>
        </w:rPr>
        <w:t>我单位</w:t>
      </w:r>
      <w:r>
        <w:rPr>
          <w:rFonts w:hint="eastAsia" w:ascii="宋体" w:hAnsi="宋体" w:eastAsia="宋体" w:cs="宋体"/>
          <w:b w:val="0"/>
          <w:bCs w:val="0"/>
          <w:color w:val="auto"/>
          <w:sz w:val="24"/>
          <w:szCs w:val="24"/>
          <w:highlight w:val="none"/>
        </w:rPr>
        <w:t>在投标文件中承诺中标后提供由制造商针对设备整机加盖制造商公章的售后服务承诺书，承诺书涵盖以上内容。如未能提供，则采购人有权解除合同，并上报监管部门，且</w:t>
      </w:r>
      <w:r>
        <w:rPr>
          <w:rFonts w:hint="eastAsia" w:cs="宋体"/>
          <w:b w:val="0"/>
          <w:bCs w:val="0"/>
          <w:color w:val="auto"/>
          <w:sz w:val="24"/>
          <w:szCs w:val="24"/>
          <w:highlight w:val="none"/>
          <w:lang w:eastAsia="zh-CN"/>
        </w:rPr>
        <w:t>我单位</w:t>
      </w:r>
      <w:r>
        <w:rPr>
          <w:rFonts w:hint="eastAsia" w:ascii="宋体" w:hAnsi="宋体" w:eastAsia="宋体" w:cs="宋体"/>
          <w:b w:val="0"/>
          <w:bCs w:val="0"/>
          <w:color w:val="auto"/>
          <w:sz w:val="24"/>
          <w:szCs w:val="24"/>
          <w:highlight w:val="none"/>
        </w:rPr>
        <w:t>须承担由此产生的一切责任。</w:t>
      </w:r>
    </w:p>
    <w:p w14:paraId="58C34DEC">
      <w:pPr>
        <w:pStyle w:val="19"/>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2.备品备件供货与价格：备件保证为原厂备件，备件价格不高于市场价。</w:t>
      </w:r>
    </w:p>
    <w:p w14:paraId="47DAF2E1">
      <w:pPr>
        <w:pStyle w:val="19"/>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3.对采购人的技术操作人员、设备科管理人员进行分期分批（不少于3 次）的正规的整套设备操作、维修、检测等内容的技术培训。提供操作说明书（含中英文）及维修说明书，并提供专用维修工具1套。（费用包含在投标总价中）</w:t>
      </w:r>
    </w:p>
    <w:p w14:paraId="10A65A47">
      <w:pPr>
        <w:pStyle w:val="19"/>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sz w:val="24"/>
          <w:szCs w:val="18"/>
          <w:highlight w:val="none"/>
          <w:lang w:val="en-US" w:eastAsia="zh-CN"/>
        </w:rPr>
        <w:t>4.我单位</w:t>
      </w:r>
      <w:r>
        <w:rPr>
          <w:rFonts w:hint="eastAsia" w:ascii="宋体" w:hAnsi="宋体"/>
          <w:sz w:val="24"/>
          <w:szCs w:val="18"/>
          <w:highlight w:val="none"/>
        </w:rPr>
        <w:t>具备并提供</w:t>
      </w:r>
      <w:r>
        <w:rPr>
          <w:rFonts w:hint="eastAsia" w:ascii="宋体" w:hAnsi="宋体"/>
          <w:sz w:val="24"/>
          <w:szCs w:val="18"/>
          <w:highlight w:val="none"/>
          <w:lang w:val="en-US" w:eastAsia="zh-CN"/>
        </w:rPr>
        <w:t>第三章采购需求中所投包次所列的配置清单</w:t>
      </w:r>
      <w:r>
        <w:rPr>
          <w:rFonts w:hint="eastAsia"/>
          <w:sz w:val="24"/>
          <w:szCs w:val="18"/>
          <w:highlight w:val="none"/>
          <w:lang w:val="en-US" w:eastAsia="zh-CN"/>
        </w:rPr>
        <w:t>（</w:t>
      </w:r>
      <w:r>
        <w:rPr>
          <w:rFonts w:hint="eastAsia" w:ascii="宋体" w:hAnsi="宋体"/>
          <w:sz w:val="24"/>
          <w:szCs w:val="18"/>
          <w:highlight w:val="none"/>
          <w:lang w:val="en-US" w:eastAsia="zh-CN"/>
        </w:rPr>
        <w:t>所投包次</w:t>
      </w:r>
      <w:r>
        <w:rPr>
          <w:rFonts w:hint="eastAsia"/>
          <w:sz w:val="24"/>
          <w:szCs w:val="18"/>
          <w:highlight w:val="none"/>
          <w:lang w:val="en-US" w:eastAsia="zh-CN"/>
        </w:rPr>
        <w:t>若有此要求）</w:t>
      </w:r>
      <w:r>
        <w:rPr>
          <w:rFonts w:hint="eastAsia" w:ascii="宋体" w:hAnsi="宋体"/>
          <w:sz w:val="24"/>
          <w:szCs w:val="18"/>
          <w:highlight w:val="none"/>
          <w:lang w:val="en-US" w:eastAsia="zh-CN"/>
        </w:rPr>
        <w:t>内的全部</w:t>
      </w:r>
      <w:r>
        <w:rPr>
          <w:rFonts w:hint="eastAsia" w:ascii="宋体" w:hAnsi="宋体"/>
          <w:sz w:val="24"/>
          <w:szCs w:val="18"/>
          <w:highlight w:val="none"/>
        </w:rPr>
        <w:t>内容</w:t>
      </w:r>
      <w:r>
        <w:rPr>
          <w:rFonts w:hint="eastAsia"/>
          <w:sz w:val="24"/>
          <w:szCs w:val="18"/>
          <w:highlight w:val="none"/>
          <w:lang w:eastAsia="zh-CN"/>
        </w:rPr>
        <w:t>。</w:t>
      </w:r>
    </w:p>
    <w:p w14:paraId="31E2C4EB">
      <w:pPr>
        <w:pStyle w:val="19"/>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.与医院在用信息系统实现互联互通（如产生第三方对接开发费用，由</w:t>
      </w:r>
      <w:r>
        <w:rPr>
          <w:rFonts w:hint="eastAsia" w:cs="宋体"/>
          <w:b w:val="0"/>
          <w:bCs w:val="0"/>
          <w:color w:val="auto"/>
          <w:sz w:val="24"/>
          <w:szCs w:val="24"/>
          <w:highlight w:val="none"/>
          <w:lang w:eastAsia="zh-CN"/>
        </w:rPr>
        <w:t>我单位</w:t>
      </w:r>
      <w:r>
        <w:rPr>
          <w:rFonts w:hint="eastAsia" w:ascii="宋体" w:hAnsi="宋体" w:eastAsia="宋体" w:cs="宋体"/>
          <w:b w:val="0"/>
          <w:bCs w:val="0"/>
          <w:color w:val="auto"/>
          <w:sz w:val="24"/>
          <w:szCs w:val="24"/>
          <w:highlight w:val="none"/>
        </w:rPr>
        <w:t>负责），包含在总价内。</w:t>
      </w:r>
    </w:p>
    <w:p w14:paraId="1047E32D">
      <w:pPr>
        <w:pStyle w:val="6"/>
        <w:keepNext w:val="0"/>
        <w:keepLines w:val="0"/>
        <w:pageBreakBefore w:val="0"/>
        <w:widowControl w:val="0"/>
        <w:kinsoku/>
        <w:wordWrap/>
        <w:overflowPunct/>
        <w:topLinePunct w:val="0"/>
        <w:autoSpaceDE/>
        <w:autoSpaceDN/>
        <w:bidi w:val="0"/>
        <w:adjustRightInd/>
        <w:snapToGrid w:val="0"/>
        <w:ind w:left="-23"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eastAsia="宋体" w:cs="Times New Roman"/>
          <w:color w:val="auto"/>
          <w:kern w:val="2"/>
          <w:sz w:val="24"/>
          <w:szCs w:val="22"/>
          <w:highlight w:val="none"/>
          <w:lang w:val="en-US" w:eastAsia="zh-CN" w:bidi="ar-SA"/>
        </w:rPr>
        <w:t>6.本项目范围内所有旧设备拆除作业、配套辅材、人工、清运等全部工作内容与相关费用，均计入投标总价</w:t>
      </w:r>
      <w:r>
        <w:rPr>
          <w:rFonts w:hint="eastAsia" w:hAnsi="宋体" w:cs="Times New Roman"/>
          <w:color w:val="auto"/>
          <w:kern w:val="2"/>
          <w:sz w:val="24"/>
          <w:szCs w:val="22"/>
          <w:highlight w:val="none"/>
          <w:lang w:val="en-US" w:eastAsia="zh-CN" w:bidi="ar-SA"/>
        </w:rPr>
        <w:t>。</w:t>
      </w:r>
      <w:r>
        <w:rPr>
          <w:rFonts w:hint="eastAsia"/>
          <w:sz w:val="24"/>
          <w:szCs w:val="18"/>
          <w:highlight w:val="none"/>
          <w:lang w:val="en-US" w:eastAsia="zh-CN"/>
        </w:rPr>
        <w:t>（</w:t>
      </w:r>
      <w:r>
        <w:rPr>
          <w:rFonts w:hint="eastAsia" w:ascii="宋体" w:hAnsi="宋体"/>
          <w:sz w:val="24"/>
          <w:szCs w:val="18"/>
          <w:highlight w:val="none"/>
          <w:lang w:val="en-US" w:eastAsia="zh-CN"/>
        </w:rPr>
        <w:t>所投包次</w:t>
      </w:r>
      <w:r>
        <w:rPr>
          <w:rFonts w:hint="eastAsia"/>
          <w:sz w:val="24"/>
          <w:szCs w:val="18"/>
          <w:highlight w:val="none"/>
          <w:lang w:val="en-US" w:eastAsia="zh-CN"/>
        </w:rPr>
        <w:t>若有此要求）</w:t>
      </w:r>
    </w:p>
    <w:p w14:paraId="4D66F53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.中标后，按照</w:t>
      </w:r>
      <w:r>
        <w:rPr>
          <w:rFonts w:hint="eastAsia" w:ascii="宋体" w:hAnsi="宋体" w:cs="宋体"/>
          <w:b w:val="0"/>
          <w:bCs w:val="0"/>
          <w:color w:val="auto"/>
          <w:sz w:val="24"/>
          <w:szCs w:val="24"/>
          <w:highlight w:val="none"/>
          <w:lang w:eastAsia="zh-CN"/>
        </w:rPr>
        <w:t>我单位</w:t>
      </w:r>
      <w:r>
        <w:rPr>
          <w:rFonts w:hint="eastAsia" w:ascii="宋体" w:hAnsi="宋体" w:eastAsia="宋体" w:cs="宋体"/>
          <w:b w:val="0"/>
          <w:bCs w:val="0"/>
          <w:color w:val="auto"/>
          <w:sz w:val="24"/>
          <w:szCs w:val="24"/>
          <w:highlight w:val="none"/>
        </w:rPr>
        <w:t>所投技术参数验收，如有虚假应标，无偿退货，采购人有权解除合同，并上报监管部门，且</w:t>
      </w:r>
      <w:r>
        <w:rPr>
          <w:rFonts w:hint="eastAsia" w:ascii="宋体" w:hAnsi="宋体" w:cs="宋体"/>
          <w:b w:val="0"/>
          <w:bCs w:val="0"/>
          <w:color w:val="auto"/>
          <w:sz w:val="24"/>
          <w:szCs w:val="24"/>
          <w:highlight w:val="none"/>
          <w:lang w:eastAsia="zh-CN"/>
        </w:rPr>
        <w:t>我单位</w:t>
      </w:r>
      <w:r>
        <w:rPr>
          <w:rFonts w:hint="eastAsia" w:ascii="宋体" w:hAnsi="宋体" w:eastAsia="宋体" w:cs="宋体"/>
          <w:b w:val="0"/>
          <w:bCs w:val="0"/>
          <w:color w:val="auto"/>
          <w:sz w:val="24"/>
          <w:szCs w:val="24"/>
          <w:highlight w:val="none"/>
        </w:rPr>
        <w:t>须承担由此产生的一切责任。</w:t>
      </w:r>
    </w:p>
    <w:p w14:paraId="7773EA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sz w:val="21"/>
          <w:szCs w:val="21"/>
          <w:highlight w:val="none"/>
          <w:lang w:val="en-US" w:eastAsia="zh-CN"/>
        </w:rPr>
      </w:pPr>
    </w:p>
    <w:p w14:paraId="398B7BE1">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本单位对上述承诺的真实性负责。如有虚假，将依法承担相应责任。</w:t>
      </w:r>
    </w:p>
    <w:p w14:paraId="3F9ED033">
      <w:pPr>
        <w:spacing w:before="96" w:beforeLines="40" w:after="96" w:afterLines="40" w:line="400" w:lineRule="exact"/>
        <w:ind w:firstLine="444" w:firstLineChars="200"/>
        <w:rPr>
          <w:rFonts w:hint="eastAsia" w:ascii="宋体" w:hAnsi="宋体"/>
          <w:spacing w:val="6"/>
          <w:szCs w:val="21"/>
        </w:rPr>
      </w:pPr>
    </w:p>
    <w:p w14:paraId="3A6751F0">
      <w:pPr>
        <w:spacing w:before="96" w:beforeLines="40" w:after="96" w:afterLines="40" w:line="400" w:lineRule="exact"/>
        <w:ind w:firstLine="420" w:firstLineChars="200"/>
        <w:rPr>
          <w:rFonts w:hint="eastAsia" w:ascii="宋体" w:hAnsi="宋体"/>
          <w:spacing w:val="6"/>
          <w:szCs w:val="21"/>
          <w:u w:val="single"/>
        </w:rPr>
      </w:pPr>
      <w:r>
        <w:rPr>
          <w:rFonts w:hint="eastAsia" w:ascii="宋体" w:hAnsi="宋体"/>
          <w:szCs w:val="21"/>
          <w:lang w:eastAsia="zh-CN"/>
        </w:rPr>
        <w:t>投标人电子签章</w:t>
      </w:r>
      <w:r>
        <w:rPr>
          <w:rFonts w:hint="eastAsia" w:ascii="宋体" w:hAnsi="宋体"/>
          <w:spacing w:val="6"/>
          <w:szCs w:val="21"/>
        </w:rPr>
        <w:t>：</w:t>
      </w:r>
      <w:r>
        <w:rPr>
          <w:rFonts w:hint="eastAsia" w:ascii="宋体" w:hAnsi="宋体"/>
          <w:spacing w:val="6"/>
          <w:szCs w:val="21"/>
          <w:u w:val="single"/>
        </w:rPr>
        <w:t xml:space="preserve">                  </w:t>
      </w:r>
    </w:p>
    <w:p w14:paraId="0772B62D">
      <w:pPr>
        <w:spacing w:before="96" w:beforeLines="40" w:after="96" w:afterLines="40" w:line="400" w:lineRule="exact"/>
        <w:ind w:firstLine="444" w:firstLineChars="200"/>
        <w:rPr>
          <w:rFonts w:hint="eastAsia" w:ascii="宋体" w:hAnsi="宋体"/>
          <w:spacing w:val="6"/>
          <w:szCs w:val="21"/>
          <w:u w:val="single"/>
        </w:rPr>
      </w:pPr>
      <w:r>
        <w:rPr>
          <w:rFonts w:hint="eastAsia" w:ascii="宋体" w:hAnsi="宋体"/>
          <w:spacing w:val="6"/>
          <w:szCs w:val="21"/>
        </w:rPr>
        <w:t>日      期：</w:t>
      </w:r>
      <w:r>
        <w:rPr>
          <w:rFonts w:hint="eastAsia" w:ascii="宋体" w:hAnsi="宋体"/>
          <w:spacing w:val="6"/>
          <w:szCs w:val="21"/>
          <w:u w:val="single"/>
        </w:rPr>
        <w:t xml:space="preserve">                     </w:t>
      </w:r>
    </w:p>
    <w:p w14:paraId="659981BD">
      <w:pPr>
        <w:rPr>
          <w:rFonts w:hint="eastAsia" w:ascii="宋体" w:hAnsi="宋体"/>
          <w:b/>
          <w:bCs/>
          <w:kern w:val="0"/>
          <w:sz w:val="32"/>
          <w:szCs w:val="32"/>
        </w:rPr>
      </w:pPr>
      <w:r>
        <w:rPr>
          <w:rFonts w:hint="eastAsia" w:ascii="宋体" w:hAnsi="宋体"/>
          <w:b/>
          <w:bCs/>
          <w:kern w:val="0"/>
          <w:sz w:val="32"/>
          <w:szCs w:val="32"/>
        </w:rPr>
        <w:br w:type="page"/>
      </w:r>
    </w:p>
    <w:p w14:paraId="4DFA21EB">
      <w:pPr>
        <w:tabs>
          <w:tab w:val="left" w:pos="4620"/>
        </w:tabs>
        <w:spacing w:line="360" w:lineRule="auto"/>
        <w:jc w:val="center"/>
        <w:outlineLvl w:val="1"/>
        <w:rPr>
          <w:rFonts w:hint="eastAsia" w:ascii="Cambria" w:hAnsi="宋体"/>
          <w:b/>
          <w:bCs/>
          <w:kern w:val="0"/>
          <w:sz w:val="32"/>
          <w:szCs w:val="32"/>
        </w:rPr>
      </w:pPr>
      <w:r>
        <w:rPr>
          <w:rFonts w:hint="eastAsia" w:ascii="宋体" w:hAnsi="宋体"/>
          <w:b/>
          <w:bCs/>
          <w:kern w:val="0"/>
          <w:sz w:val="32"/>
          <w:szCs w:val="32"/>
        </w:rPr>
        <w:t>十</w:t>
      </w:r>
      <w:r>
        <w:rPr>
          <w:rFonts w:hint="eastAsia" w:ascii="宋体" w:hAnsi="宋体"/>
          <w:b/>
          <w:bCs/>
          <w:kern w:val="0"/>
          <w:sz w:val="32"/>
          <w:szCs w:val="32"/>
          <w:lang w:val="en-US" w:eastAsia="zh-CN"/>
        </w:rPr>
        <w:t>四</w:t>
      </w:r>
      <w:r>
        <w:rPr>
          <w:rFonts w:hint="eastAsia" w:ascii="宋体" w:hAnsi="宋体"/>
          <w:b/>
          <w:bCs/>
          <w:kern w:val="0"/>
          <w:sz w:val="32"/>
          <w:szCs w:val="32"/>
        </w:rPr>
        <w:t>.</w:t>
      </w:r>
      <w:bookmarkStart w:id="1304" w:name="_Toc12435"/>
      <w:bookmarkStart w:id="1305" w:name="_Toc20908"/>
      <w:bookmarkStart w:id="1306" w:name="_Toc14434"/>
      <w:r>
        <w:rPr>
          <w:rFonts w:hint="eastAsia" w:ascii="Cambria" w:hAnsi="宋体"/>
          <w:b/>
          <w:bCs/>
          <w:kern w:val="0"/>
          <w:sz w:val="32"/>
          <w:szCs w:val="32"/>
        </w:rPr>
        <w:t>承诺函</w:t>
      </w:r>
      <w:bookmarkEnd w:id="1304"/>
      <w:bookmarkEnd w:id="1305"/>
      <w:bookmarkEnd w:id="1306"/>
    </w:p>
    <w:p w14:paraId="35517B4A">
      <w:pPr>
        <w:spacing w:before="96" w:beforeLines="40" w:after="96" w:afterLines="40" w:line="400" w:lineRule="exact"/>
        <w:rPr>
          <w:rFonts w:hint="eastAsia" w:ascii="宋体" w:hAnsi="宋体"/>
          <w:spacing w:val="6"/>
          <w:szCs w:val="21"/>
        </w:rPr>
      </w:pPr>
      <w:r>
        <w:rPr>
          <w:rFonts w:hint="eastAsia" w:ascii="宋体" w:hAnsi="宋体"/>
          <w:spacing w:val="6"/>
          <w:szCs w:val="21"/>
        </w:rPr>
        <w:t xml:space="preserve"> </w:t>
      </w:r>
      <w:r>
        <w:rPr>
          <w:rFonts w:ascii="宋体" w:hAnsi="宋体"/>
          <w:i/>
          <w:iCs/>
          <w:spacing w:val="20"/>
          <w:szCs w:val="21"/>
          <w:u w:val="single"/>
        </w:rPr>
        <w:t>（</w:t>
      </w:r>
      <w:r>
        <w:rPr>
          <w:rFonts w:hint="eastAsia" w:ascii="宋体" w:hAnsi="宋体"/>
          <w:i/>
          <w:iCs/>
          <w:spacing w:val="20"/>
          <w:szCs w:val="21"/>
          <w:u w:val="single"/>
          <w:lang w:eastAsia="zh-CN"/>
        </w:rPr>
        <w:t>采购人</w:t>
      </w:r>
      <w:r>
        <w:rPr>
          <w:rFonts w:hint="eastAsia" w:ascii="宋体" w:hAnsi="宋体"/>
          <w:i/>
          <w:iCs/>
          <w:spacing w:val="20"/>
          <w:szCs w:val="21"/>
          <w:u w:val="single"/>
        </w:rPr>
        <w:t>名称</w:t>
      </w:r>
      <w:r>
        <w:rPr>
          <w:rFonts w:ascii="宋体" w:hAnsi="宋体"/>
          <w:i/>
          <w:iCs/>
          <w:spacing w:val="20"/>
          <w:szCs w:val="21"/>
          <w:u w:val="single"/>
        </w:rPr>
        <w:t>）</w:t>
      </w:r>
      <w:r>
        <w:rPr>
          <w:rFonts w:ascii="宋体" w:hAnsi="宋体"/>
          <w:spacing w:val="20"/>
          <w:szCs w:val="21"/>
          <w:u w:val="single"/>
        </w:rPr>
        <w:t xml:space="preserve">  </w:t>
      </w:r>
      <w:r>
        <w:rPr>
          <w:rFonts w:hint="eastAsia" w:ascii="宋体" w:hAnsi="宋体"/>
          <w:spacing w:val="6"/>
          <w:szCs w:val="21"/>
        </w:rPr>
        <w:t>：</w:t>
      </w:r>
    </w:p>
    <w:p w14:paraId="6974ED98">
      <w:pPr>
        <w:spacing w:before="96" w:beforeLines="40" w:after="96" w:afterLines="40" w:line="400" w:lineRule="exact"/>
        <w:ind w:firstLine="444" w:firstLineChars="200"/>
        <w:rPr>
          <w:rFonts w:hint="eastAsia" w:ascii="宋体" w:hAnsi="宋体"/>
          <w:spacing w:val="6"/>
          <w:szCs w:val="21"/>
        </w:rPr>
      </w:pPr>
      <w:r>
        <w:rPr>
          <w:rFonts w:hint="eastAsia" w:ascii="宋体" w:hAnsi="宋体"/>
          <w:spacing w:val="6"/>
          <w:szCs w:val="21"/>
        </w:rPr>
        <w:t>我单位承诺：本次投标所使用的产品、方法不侵犯他人的专利权、著作权等知识产权，保证采购人和使用单位在使用该产品或其任何一部分时免受第三方提出侵犯其专利权、商标权或工业产权的起诉。如果涉及侵权，则由我单位承担所有的法律和经济赔偿责任等。</w:t>
      </w:r>
    </w:p>
    <w:p w14:paraId="6AFE4989">
      <w:pPr>
        <w:spacing w:before="96" w:beforeLines="40" w:after="96" w:afterLines="40" w:line="400" w:lineRule="exact"/>
        <w:ind w:firstLine="444" w:firstLineChars="200"/>
        <w:rPr>
          <w:rFonts w:hint="eastAsia" w:ascii="宋体" w:hAnsi="宋体"/>
          <w:spacing w:val="6"/>
          <w:szCs w:val="21"/>
        </w:rPr>
      </w:pPr>
      <w:r>
        <w:rPr>
          <w:rFonts w:hint="eastAsia" w:ascii="宋体" w:hAnsi="宋体"/>
          <w:spacing w:val="6"/>
          <w:szCs w:val="21"/>
        </w:rPr>
        <w:t>中标（成交）后，将按照规定及时与采购人签订政府采购合同，不与采购人订立有悖于采购结果的合同或协议；严格履行政府采购合同，不降低合同约定的产品质量和服务，不擅自变更、中止、终止合同，或者拒绝履行合同义务。</w:t>
      </w:r>
    </w:p>
    <w:p w14:paraId="70560CD2">
      <w:pPr>
        <w:spacing w:before="96" w:beforeLines="40" w:after="96" w:afterLines="40" w:line="400" w:lineRule="exact"/>
        <w:ind w:firstLine="444" w:firstLineChars="200"/>
        <w:rPr>
          <w:rFonts w:hint="eastAsia" w:ascii="宋体" w:hAnsi="宋体"/>
          <w:spacing w:val="6"/>
          <w:szCs w:val="21"/>
        </w:rPr>
      </w:pPr>
      <w:r>
        <w:rPr>
          <w:rFonts w:hint="eastAsia" w:ascii="宋体" w:hAnsi="宋体"/>
          <w:spacing w:val="6"/>
          <w:szCs w:val="21"/>
        </w:rPr>
        <w:t>本单位对上述承诺的真实性负责。如有虚假，将依法承担相应责任。</w:t>
      </w:r>
    </w:p>
    <w:p w14:paraId="62DE4ECB">
      <w:pPr>
        <w:spacing w:before="96" w:beforeLines="40" w:after="96" w:afterLines="40" w:line="400" w:lineRule="exact"/>
        <w:ind w:firstLine="444" w:firstLineChars="200"/>
        <w:rPr>
          <w:rFonts w:hint="eastAsia" w:ascii="宋体" w:hAnsi="宋体"/>
          <w:spacing w:val="6"/>
          <w:szCs w:val="21"/>
        </w:rPr>
      </w:pPr>
    </w:p>
    <w:p w14:paraId="03EEF6E2">
      <w:pPr>
        <w:spacing w:before="96" w:beforeLines="40" w:after="96" w:afterLines="40" w:line="400" w:lineRule="exact"/>
        <w:ind w:firstLine="420" w:firstLineChars="200"/>
        <w:rPr>
          <w:rFonts w:hint="eastAsia" w:ascii="宋体" w:hAnsi="宋体"/>
          <w:spacing w:val="6"/>
          <w:szCs w:val="21"/>
          <w:u w:val="single"/>
        </w:rPr>
      </w:pPr>
      <w:r>
        <w:rPr>
          <w:rFonts w:hint="eastAsia" w:ascii="宋体" w:hAnsi="宋体"/>
          <w:szCs w:val="21"/>
          <w:lang w:eastAsia="zh-CN"/>
        </w:rPr>
        <w:t>投标人电子签章</w:t>
      </w:r>
      <w:r>
        <w:rPr>
          <w:rFonts w:hint="eastAsia" w:ascii="宋体" w:hAnsi="宋体"/>
          <w:spacing w:val="6"/>
          <w:szCs w:val="21"/>
        </w:rPr>
        <w:t>：</w:t>
      </w:r>
      <w:r>
        <w:rPr>
          <w:rFonts w:hint="eastAsia" w:ascii="宋体" w:hAnsi="宋体"/>
          <w:spacing w:val="6"/>
          <w:szCs w:val="21"/>
          <w:u w:val="single"/>
        </w:rPr>
        <w:t xml:space="preserve">                  </w:t>
      </w:r>
    </w:p>
    <w:p w14:paraId="2AAC2724">
      <w:pPr>
        <w:spacing w:before="96" w:beforeLines="40" w:after="96" w:afterLines="40" w:line="400" w:lineRule="exact"/>
        <w:ind w:firstLine="444" w:firstLineChars="200"/>
        <w:rPr>
          <w:rFonts w:hint="eastAsia" w:ascii="宋体" w:hAnsi="宋体"/>
          <w:spacing w:val="6"/>
          <w:szCs w:val="21"/>
          <w:u w:val="single"/>
        </w:rPr>
      </w:pPr>
      <w:r>
        <w:rPr>
          <w:rFonts w:hint="eastAsia" w:ascii="宋体" w:hAnsi="宋体"/>
          <w:spacing w:val="6"/>
          <w:szCs w:val="21"/>
        </w:rPr>
        <w:t>日      期：</w:t>
      </w:r>
      <w:r>
        <w:rPr>
          <w:rFonts w:hint="eastAsia" w:ascii="宋体" w:hAnsi="宋体"/>
          <w:spacing w:val="6"/>
          <w:szCs w:val="21"/>
          <w:u w:val="single"/>
        </w:rPr>
        <w:t xml:space="preserve">                     </w:t>
      </w:r>
    </w:p>
    <w:p w14:paraId="552A7760">
      <w:pPr>
        <w:spacing w:line="240" w:lineRule="auto"/>
        <w:jc w:val="center"/>
        <w:outlineLvl w:val="9"/>
        <w:rPr>
          <w:rFonts w:hint="eastAsia" w:ascii="宋体" w:hAnsi="宋体"/>
          <w:b/>
          <w:bCs/>
          <w:kern w:val="0"/>
          <w:sz w:val="32"/>
          <w:szCs w:val="32"/>
        </w:rPr>
      </w:pPr>
    </w:p>
    <w:p w14:paraId="12163E49">
      <w:pPr>
        <w:spacing w:line="240" w:lineRule="auto"/>
        <w:jc w:val="center"/>
        <w:outlineLvl w:val="9"/>
        <w:rPr>
          <w:rFonts w:hint="eastAsia" w:ascii="宋体" w:hAnsi="宋体"/>
          <w:b/>
          <w:bCs/>
          <w:kern w:val="0"/>
          <w:sz w:val="32"/>
          <w:szCs w:val="32"/>
        </w:rPr>
      </w:pPr>
    </w:p>
    <w:bookmarkEnd w:id="1218"/>
    <w:bookmarkEnd w:id="1219"/>
    <w:bookmarkEnd w:id="1220"/>
    <w:bookmarkEnd w:id="1221"/>
    <w:bookmarkEnd w:id="1222"/>
    <w:bookmarkEnd w:id="1223"/>
    <w:bookmarkEnd w:id="1224"/>
    <w:bookmarkEnd w:id="1225"/>
    <w:p w14:paraId="215F5719">
      <w:pPr>
        <w:spacing w:line="240" w:lineRule="auto"/>
        <w:jc w:val="center"/>
        <w:outlineLvl w:val="9"/>
        <w:rPr>
          <w:rFonts w:hint="eastAsia" w:hAnsi="宋体"/>
        </w:rPr>
      </w:pPr>
      <w:bookmarkStart w:id="1307" w:name="_Toc29010"/>
      <w:bookmarkStart w:id="1308" w:name="_Toc13198"/>
      <w:bookmarkStart w:id="1309" w:name="_Toc516969097"/>
      <w:bookmarkStart w:id="1310" w:name="_Toc3215881"/>
      <w:bookmarkStart w:id="1311" w:name="_Toc457768005"/>
      <w:bookmarkStart w:id="1312" w:name="_Toc21553"/>
      <w:bookmarkStart w:id="1313" w:name="_Toc197934563"/>
      <w:bookmarkStart w:id="1314" w:name="_Toc1916828"/>
      <w:bookmarkStart w:id="1315" w:name="_Toc3295931"/>
    </w:p>
    <w:p w14:paraId="26DD755E">
      <w:pPr>
        <w:spacing w:line="240" w:lineRule="auto"/>
        <w:jc w:val="center"/>
        <w:outlineLvl w:val="9"/>
        <w:rPr>
          <w:rFonts w:hint="eastAsia" w:hAnsi="宋体"/>
        </w:rPr>
      </w:pPr>
    </w:p>
    <w:bookmarkEnd w:id="1307"/>
    <w:bookmarkEnd w:id="1308"/>
    <w:bookmarkEnd w:id="1309"/>
    <w:bookmarkEnd w:id="1310"/>
    <w:bookmarkEnd w:id="1311"/>
    <w:bookmarkEnd w:id="1312"/>
    <w:bookmarkEnd w:id="1313"/>
    <w:bookmarkEnd w:id="1314"/>
    <w:bookmarkEnd w:id="1315"/>
    <w:p w14:paraId="6C6F1C53">
      <w:pPr>
        <w:rPr>
          <w:rFonts w:hint="eastAsia" w:ascii="宋体" w:hAnsi="宋体"/>
          <w:b/>
          <w:bCs/>
          <w:kern w:val="0"/>
          <w:sz w:val="32"/>
          <w:szCs w:val="32"/>
          <w:lang w:val="en-US" w:eastAsia="zh-CN"/>
        </w:rPr>
      </w:pPr>
      <w:r>
        <w:rPr>
          <w:rFonts w:hint="eastAsia" w:ascii="宋体" w:hAnsi="宋体"/>
          <w:b/>
          <w:bCs/>
          <w:kern w:val="0"/>
          <w:sz w:val="32"/>
          <w:szCs w:val="32"/>
          <w:lang w:val="en-US" w:eastAsia="zh-CN"/>
        </w:rPr>
        <w:br w:type="page"/>
      </w:r>
    </w:p>
    <w:p w14:paraId="71FB2185">
      <w:pPr>
        <w:spacing w:line="240" w:lineRule="auto"/>
        <w:jc w:val="center"/>
        <w:outlineLvl w:val="1"/>
        <w:rPr>
          <w:rFonts w:hint="eastAsia" w:hAnsi="宋体"/>
          <w:sz w:val="28"/>
        </w:rPr>
      </w:pPr>
      <w:r>
        <w:rPr>
          <w:rFonts w:hint="eastAsia"/>
          <w:b/>
          <w:sz w:val="32"/>
          <w:szCs w:val="32"/>
        </w:rPr>
        <w:t>十</w:t>
      </w:r>
      <w:r>
        <w:rPr>
          <w:rFonts w:hint="eastAsia"/>
          <w:b/>
          <w:sz w:val="32"/>
          <w:szCs w:val="32"/>
          <w:lang w:val="en-US" w:eastAsia="zh-CN"/>
        </w:rPr>
        <w:t>五</w:t>
      </w:r>
      <w:r>
        <w:rPr>
          <w:rFonts w:hint="eastAsia"/>
          <w:b/>
          <w:sz w:val="32"/>
          <w:szCs w:val="32"/>
        </w:rPr>
        <w:t>．投标供应商综合情况简介</w:t>
      </w:r>
    </w:p>
    <w:p w14:paraId="4D325CB2">
      <w:pPr>
        <w:spacing w:before="96" w:beforeLines="40" w:after="96" w:afterLines="40" w:line="400" w:lineRule="exact"/>
        <w:jc w:val="center"/>
        <w:rPr>
          <w:rFonts w:hint="eastAsia" w:ascii="宋体" w:hAnsi="宋体"/>
          <w:szCs w:val="21"/>
        </w:rPr>
      </w:pPr>
      <w:r>
        <w:rPr>
          <w:rFonts w:hint="eastAsia" w:ascii="宋体" w:hAnsi="宋体"/>
          <w:szCs w:val="21"/>
        </w:rPr>
        <w:t>(投标供应商可自行制作格式)</w:t>
      </w:r>
    </w:p>
    <w:p w14:paraId="3E107CE7">
      <w:pPr>
        <w:spacing w:line="500" w:lineRule="exact"/>
        <w:jc w:val="center"/>
        <w:rPr>
          <w:rFonts w:hint="eastAsia" w:ascii="宋体" w:hAnsi="宋体"/>
          <w:sz w:val="28"/>
        </w:rPr>
      </w:pPr>
    </w:p>
    <w:p w14:paraId="2DA3B590">
      <w:pPr>
        <w:spacing w:line="500" w:lineRule="exact"/>
        <w:jc w:val="center"/>
        <w:rPr>
          <w:rFonts w:hint="eastAsia" w:ascii="宋体" w:hAnsi="宋体"/>
          <w:sz w:val="28"/>
        </w:rPr>
      </w:pPr>
    </w:p>
    <w:p w14:paraId="10138B01">
      <w:pPr>
        <w:spacing w:line="500" w:lineRule="exact"/>
        <w:jc w:val="center"/>
        <w:rPr>
          <w:rFonts w:hint="eastAsia" w:ascii="宋体" w:hAnsi="宋体"/>
          <w:sz w:val="28"/>
        </w:rPr>
      </w:pPr>
    </w:p>
    <w:p w14:paraId="1B14E16B">
      <w:pPr>
        <w:spacing w:line="500" w:lineRule="exact"/>
        <w:jc w:val="center"/>
        <w:rPr>
          <w:rFonts w:hint="eastAsia" w:ascii="宋体" w:hAnsi="宋体"/>
          <w:sz w:val="28"/>
        </w:rPr>
      </w:pPr>
    </w:p>
    <w:p w14:paraId="7764940F">
      <w:pPr>
        <w:pStyle w:val="3"/>
        <w:spacing w:before="0" w:after="0" w:line="240" w:lineRule="auto"/>
        <w:jc w:val="center"/>
        <w:rPr>
          <w:rFonts w:hint="eastAsia" w:hAnsi="宋体"/>
        </w:rPr>
      </w:pPr>
      <w:bookmarkStart w:id="1316" w:name="_Toc3215897"/>
      <w:bookmarkStart w:id="1317" w:name="_Toc220232402"/>
      <w:bookmarkStart w:id="1318" w:name="_Toc15308"/>
      <w:bookmarkStart w:id="1319" w:name="_Toc457768022"/>
      <w:bookmarkStart w:id="1320" w:name="_Toc516969105"/>
      <w:bookmarkStart w:id="1321" w:name="_Toc1916845"/>
      <w:bookmarkStart w:id="1322" w:name="_Toc3295947"/>
      <w:bookmarkStart w:id="1323" w:name="_Toc18119"/>
      <w:bookmarkStart w:id="1324" w:name="_Toc13381"/>
      <w:r>
        <w:rPr>
          <w:rFonts w:hint="eastAsia" w:hAnsi="宋体"/>
        </w:rPr>
        <w:t>十</w:t>
      </w:r>
      <w:r>
        <w:rPr>
          <w:rFonts w:hint="eastAsia" w:hAnsi="宋体"/>
          <w:lang w:val="en-US" w:eastAsia="zh-CN"/>
        </w:rPr>
        <w:t>六</w:t>
      </w:r>
      <w:r>
        <w:rPr>
          <w:rFonts w:hint="eastAsia" w:hAnsi="宋体"/>
        </w:rPr>
        <w:t>．有关证明文件</w:t>
      </w:r>
      <w:bookmarkEnd w:id="1316"/>
      <w:bookmarkEnd w:id="1317"/>
      <w:bookmarkEnd w:id="1318"/>
      <w:bookmarkEnd w:id="1319"/>
      <w:bookmarkEnd w:id="1320"/>
      <w:bookmarkEnd w:id="1321"/>
      <w:bookmarkEnd w:id="1322"/>
      <w:bookmarkEnd w:id="1323"/>
      <w:bookmarkEnd w:id="1324"/>
    </w:p>
    <w:p w14:paraId="7C2897E1">
      <w:pPr>
        <w:tabs>
          <w:tab w:val="left" w:pos="4620"/>
        </w:tabs>
        <w:spacing w:before="96" w:beforeLines="40" w:after="96" w:afterLines="40" w:line="400" w:lineRule="exact"/>
        <w:ind w:firstLine="422" w:firstLineChars="200"/>
        <w:jc w:val="left"/>
        <w:rPr>
          <w:rFonts w:hint="eastAsia" w:ascii="宋体" w:hAnsi="宋体"/>
          <w:b/>
          <w:bCs/>
          <w:szCs w:val="21"/>
        </w:rPr>
      </w:pPr>
    </w:p>
    <w:p w14:paraId="29836017">
      <w:pPr>
        <w:tabs>
          <w:tab w:val="left" w:pos="4620"/>
        </w:tabs>
        <w:spacing w:before="96" w:beforeLines="40" w:after="96" w:afterLines="40" w:line="400" w:lineRule="exact"/>
        <w:ind w:firstLine="422" w:firstLineChars="200"/>
        <w:jc w:val="left"/>
        <w:rPr>
          <w:rFonts w:hint="eastAsia" w:ascii="宋体" w:hAnsi="宋体"/>
          <w:b/>
          <w:bCs/>
          <w:szCs w:val="21"/>
          <w:u w:val="single"/>
        </w:rPr>
      </w:pPr>
      <w:r>
        <w:rPr>
          <w:rFonts w:hint="eastAsia" w:ascii="宋体" w:hAnsi="宋体"/>
          <w:b/>
          <w:bCs/>
          <w:szCs w:val="21"/>
        </w:rPr>
        <w:t>提供符合投标邀请（招标公告）、采购需求及评标办法规定的相关证明文件。</w:t>
      </w:r>
    </w:p>
    <w:p w14:paraId="079F98D2">
      <w:pPr>
        <w:pStyle w:val="12"/>
        <w:snapToGrid w:val="0"/>
        <w:spacing w:before="96" w:beforeLines="40" w:after="96" w:afterLines="40" w:line="400" w:lineRule="exact"/>
        <w:ind w:firstLine="422" w:firstLineChars="200"/>
        <w:jc w:val="left"/>
        <w:rPr>
          <w:rFonts w:hint="eastAsia" w:hAnsi="宋体"/>
          <w:b/>
          <w:szCs w:val="21"/>
        </w:rPr>
      </w:pPr>
    </w:p>
    <w:p w14:paraId="6A7BC182">
      <w:pPr>
        <w:pStyle w:val="12"/>
        <w:snapToGrid w:val="0"/>
        <w:spacing w:before="96" w:beforeLines="40" w:after="96" w:afterLines="40" w:line="400" w:lineRule="exact"/>
        <w:ind w:firstLine="422" w:firstLineChars="200"/>
        <w:jc w:val="left"/>
        <w:rPr>
          <w:rFonts w:hint="eastAsia" w:hAnsi="宋体"/>
          <w:b/>
          <w:szCs w:val="21"/>
        </w:rPr>
      </w:pPr>
      <w:r>
        <w:rPr>
          <w:rFonts w:hint="eastAsia" w:hAnsi="宋体"/>
          <w:b/>
          <w:szCs w:val="21"/>
        </w:rPr>
        <w:t>特别提示：</w:t>
      </w:r>
    </w:p>
    <w:p w14:paraId="0343D192">
      <w:pPr>
        <w:pStyle w:val="12"/>
        <w:snapToGrid w:val="0"/>
        <w:spacing w:before="96" w:beforeLines="40" w:after="96" w:afterLines="40" w:line="400" w:lineRule="exact"/>
        <w:ind w:firstLine="422" w:firstLineChars="200"/>
        <w:jc w:val="left"/>
        <w:rPr>
          <w:rFonts w:hint="eastAsia" w:hAnsi="宋体"/>
          <w:b/>
          <w:szCs w:val="21"/>
        </w:rPr>
      </w:pPr>
      <w:r>
        <w:rPr>
          <w:rFonts w:hint="eastAsia" w:hAnsi="宋体"/>
          <w:b/>
          <w:szCs w:val="21"/>
        </w:rPr>
        <w:t>投标供应商可在投标文件制作时在此栏内提供下列材料：</w:t>
      </w:r>
    </w:p>
    <w:p w14:paraId="5A605B5D">
      <w:pPr>
        <w:spacing w:before="96" w:beforeLines="40" w:after="96" w:afterLines="40" w:line="400" w:lineRule="exact"/>
        <w:ind w:firstLine="422" w:firstLineChars="200"/>
        <w:jc w:val="left"/>
        <w:rPr>
          <w:rFonts w:hint="eastAsia" w:ascii="宋体" w:hAnsi="宋体"/>
          <w:b/>
          <w:szCs w:val="21"/>
        </w:rPr>
      </w:pPr>
      <w:r>
        <w:rPr>
          <w:rFonts w:ascii="宋体" w:hAnsi="宋体"/>
          <w:b/>
          <w:szCs w:val="21"/>
        </w:rPr>
        <w:t>如</w:t>
      </w:r>
      <w:r>
        <w:rPr>
          <w:rFonts w:hint="eastAsia" w:ascii="宋体" w:hAnsi="宋体"/>
          <w:b/>
          <w:szCs w:val="21"/>
        </w:rPr>
        <w:t>营业执照</w:t>
      </w:r>
      <w:r>
        <w:rPr>
          <w:rFonts w:ascii="宋体" w:hAnsi="宋体"/>
          <w:b/>
          <w:szCs w:val="21"/>
        </w:rPr>
        <w:t>、税务登记证（</w:t>
      </w:r>
      <w:r>
        <w:rPr>
          <w:rFonts w:hint="eastAsia" w:ascii="宋体" w:hAnsi="宋体"/>
          <w:b/>
          <w:szCs w:val="21"/>
        </w:rPr>
        <w:t>或统一社会信用代码的营业执照</w:t>
      </w:r>
      <w:r>
        <w:rPr>
          <w:rFonts w:ascii="宋体" w:hAnsi="宋体"/>
          <w:b/>
          <w:szCs w:val="21"/>
        </w:rPr>
        <w:t>）</w:t>
      </w:r>
      <w:r>
        <w:rPr>
          <w:rFonts w:hint="eastAsia"/>
          <w:b/>
          <w:szCs w:val="21"/>
        </w:rPr>
        <w:t>等</w:t>
      </w:r>
      <w:r>
        <w:rPr>
          <w:rFonts w:hint="eastAsia" w:ascii="宋体" w:hAnsi="宋体"/>
          <w:b/>
          <w:szCs w:val="21"/>
        </w:rPr>
        <w:t>；</w:t>
      </w:r>
    </w:p>
    <w:p w14:paraId="4875C75F">
      <w:pPr>
        <w:spacing w:before="96" w:beforeLines="40" w:after="96" w:afterLines="40" w:line="400" w:lineRule="exact"/>
        <w:ind w:firstLine="422" w:firstLineChars="200"/>
        <w:jc w:val="left"/>
        <w:rPr>
          <w:rFonts w:ascii="宋体" w:hAnsi="宋体"/>
          <w:b/>
          <w:szCs w:val="21"/>
        </w:rPr>
      </w:pPr>
      <w:r>
        <w:rPr>
          <w:rFonts w:hint="eastAsia" w:ascii="宋体" w:hAnsi="宋体"/>
          <w:b/>
          <w:szCs w:val="21"/>
        </w:rPr>
        <w:t>如相关授权或承诺书、技术方案等。</w:t>
      </w:r>
    </w:p>
    <w:p w14:paraId="63827B66">
      <w:pPr>
        <w:pStyle w:val="2"/>
        <w:jc w:val="center"/>
        <w:rPr>
          <w:rFonts w:hint="eastAsia" w:ascii="宋体" w:hAnsi="宋体"/>
        </w:rPr>
      </w:pPr>
      <w:r>
        <w:rPr>
          <w:rFonts w:hint="eastAsia" w:ascii="宋体" w:hAnsi="宋体"/>
          <w:b w:val="0"/>
          <w:szCs w:val="21"/>
        </w:rPr>
        <w:br w:type="page"/>
      </w:r>
      <w:bookmarkStart w:id="1325" w:name="_Toc23540"/>
      <w:bookmarkStart w:id="1326" w:name="_Toc6034"/>
      <w:bookmarkStart w:id="1327" w:name="_Toc5205"/>
      <w:bookmarkStart w:id="1328" w:name="_Toc23924"/>
      <w:bookmarkStart w:id="1329" w:name="_Toc26774"/>
      <w:bookmarkStart w:id="1330" w:name="_Toc14800"/>
      <w:bookmarkStart w:id="1331" w:name="_Toc20387"/>
      <w:bookmarkStart w:id="1332" w:name="_Toc16045"/>
      <w:r>
        <w:rPr>
          <w:rFonts w:hint="eastAsia" w:ascii="宋体" w:hAnsi="宋体"/>
        </w:rPr>
        <w:t xml:space="preserve">第七章  </w:t>
      </w:r>
      <w:r>
        <w:rPr>
          <w:rFonts w:hint="eastAsia" w:ascii="宋体" w:hAnsi="宋体"/>
          <w:lang w:eastAsia="zh-CN"/>
        </w:rPr>
        <w:t>安天e采</w:t>
      </w:r>
      <w:r>
        <w:rPr>
          <w:rFonts w:hint="eastAsia" w:ascii="宋体" w:hAnsi="宋体"/>
        </w:rPr>
        <w:t>全流程电子招投标注意事项</w:t>
      </w:r>
      <w:bookmarkEnd w:id="1325"/>
      <w:bookmarkEnd w:id="1326"/>
      <w:bookmarkEnd w:id="1327"/>
      <w:bookmarkEnd w:id="1328"/>
      <w:bookmarkEnd w:id="1329"/>
      <w:bookmarkEnd w:id="1330"/>
      <w:bookmarkEnd w:id="1331"/>
      <w:bookmarkEnd w:id="1332"/>
    </w:p>
    <w:p w14:paraId="260A6272">
      <w:pPr>
        <w:widowControl/>
        <w:adjustRightInd w:val="0"/>
        <w:snapToGrid w:val="0"/>
        <w:spacing w:line="408" w:lineRule="auto"/>
        <w:ind w:firstLine="422" w:firstLineChars="200"/>
        <w:jc w:val="left"/>
        <w:outlineLvl w:val="1"/>
        <w:rPr>
          <w:rFonts w:ascii="宋体" w:hAnsi="宋体"/>
          <w:b/>
          <w:bCs/>
          <w:szCs w:val="21"/>
        </w:rPr>
      </w:pPr>
      <w:bookmarkStart w:id="1333" w:name="_Toc15542"/>
      <w:bookmarkStart w:id="1334" w:name="_Toc14764"/>
      <w:bookmarkStart w:id="1335" w:name="_Toc18904"/>
      <w:r>
        <w:rPr>
          <w:rFonts w:ascii="宋体" w:hAnsi="宋体"/>
          <w:b/>
          <w:bCs/>
          <w:szCs w:val="21"/>
        </w:rPr>
        <w:t>一、制作、上传电子投标文件</w:t>
      </w:r>
      <w:bookmarkEnd w:id="1333"/>
      <w:bookmarkEnd w:id="1334"/>
      <w:bookmarkEnd w:id="1335"/>
    </w:p>
    <w:p w14:paraId="581E6FC9">
      <w:pPr>
        <w:widowControl/>
        <w:adjustRightInd w:val="0"/>
        <w:snapToGrid w:val="0"/>
        <w:spacing w:line="408" w:lineRule="auto"/>
        <w:ind w:firstLine="420" w:firstLineChars="200"/>
        <w:jc w:val="left"/>
        <w:rPr>
          <w:rFonts w:ascii="宋体" w:hAnsi="宋体"/>
          <w:szCs w:val="21"/>
        </w:rPr>
      </w:pPr>
      <w:r>
        <w:rPr>
          <w:rFonts w:ascii="宋体" w:hAnsi="宋体"/>
          <w:szCs w:val="21"/>
        </w:rPr>
        <w:t>1</w:t>
      </w:r>
      <w:r>
        <w:rPr>
          <w:rFonts w:hint="eastAsia" w:ascii="宋体" w:hAnsi="宋体"/>
          <w:szCs w:val="21"/>
        </w:rPr>
        <w:t>.</w:t>
      </w:r>
      <w:r>
        <w:rPr>
          <w:rFonts w:ascii="宋体" w:hAnsi="宋体"/>
          <w:szCs w:val="21"/>
        </w:rPr>
        <w:t>电子投标文件必须使用最新版“</w:t>
      </w:r>
      <w:r>
        <w:rPr>
          <w:rFonts w:hint="eastAsia" w:ascii="宋体" w:hAnsi="宋体"/>
          <w:szCs w:val="21"/>
          <w:lang w:eastAsia="zh-CN"/>
        </w:rPr>
        <w:t>安天e采</w:t>
      </w:r>
      <w:r>
        <w:rPr>
          <w:rFonts w:ascii="宋体" w:hAnsi="宋体"/>
          <w:szCs w:val="21"/>
        </w:rPr>
        <w:t>投标文件制作工具”制作生成并上传。</w:t>
      </w:r>
      <w:r>
        <w:rPr>
          <w:rFonts w:hint="eastAsia" w:ascii="宋体" w:hAnsi="宋体"/>
          <w:szCs w:val="21"/>
          <w:lang w:eastAsia="zh-CN"/>
        </w:rPr>
        <w:t>安天e采</w:t>
      </w:r>
      <w:r>
        <w:rPr>
          <w:rFonts w:ascii="宋体" w:hAnsi="宋体"/>
          <w:szCs w:val="21"/>
        </w:rPr>
        <w:t>投标文件制作工具及操作手册下载地址：https://www.xinecai.com/serveguide。</w:t>
      </w:r>
    </w:p>
    <w:p w14:paraId="7E83B17F">
      <w:pPr>
        <w:widowControl/>
        <w:adjustRightInd w:val="0"/>
        <w:snapToGrid w:val="0"/>
        <w:spacing w:line="408" w:lineRule="auto"/>
        <w:ind w:firstLine="420" w:firstLineChars="200"/>
        <w:jc w:val="left"/>
        <w:rPr>
          <w:rFonts w:ascii="宋体" w:hAnsi="宋体"/>
          <w:szCs w:val="21"/>
        </w:rPr>
      </w:pPr>
      <w:r>
        <w:rPr>
          <w:rFonts w:ascii="宋体" w:hAnsi="宋体"/>
          <w:szCs w:val="21"/>
        </w:rPr>
        <w:t>2</w:t>
      </w:r>
      <w:r>
        <w:rPr>
          <w:rFonts w:hint="eastAsia" w:ascii="宋体" w:hAnsi="宋体"/>
          <w:szCs w:val="21"/>
        </w:rPr>
        <w:t>.</w:t>
      </w:r>
      <w:r>
        <w:rPr>
          <w:rFonts w:ascii="宋体" w:hAnsi="宋体"/>
          <w:szCs w:val="21"/>
        </w:rPr>
        <w:t>投标</w:t>
      </w:r>
      <w:r>
        <w:rPr>
          <w:rFonts w:hint="eastAsia" w:ascii="宋体" w:hAnsi="宋体"/>
          <w:szCs w:val="21"/>
        </w:rPr>
        <w:t>供应商</w:t>
      </w:r>
      <w:r>
        <w:rPr>
          <w:rFonts w:ascii="宋体" w:hAnsi="宋体"/>
          <w:szCs w:val="21"/>
        </w:rPr>
        <w:t>须办理</w:t>
      </w:r>
      <w:r>
        <w:rPr>
          <w:rFonts w:hint="eastAsia" w:ascii="宋体" w:hAnsi="宋体"/>
          <w:szCs w:val="21"/>
          <w:lang w:eastAsia="zh-CN"/>
        </w:rPr>
        <w:t>安天e采</w:t>
      </w:r>
      <w:r>
        <w:rPr>
          <w:rFonts w:ascii="宋体" w:hAnsi="宋体"/>
          <w:szCs w:val="21"/>
        </w:rPr>
        <w:t>平台移动认证证书或介质数字证书，用于电子投标文件的签章及上传（上传投标文件需使用移动认证证书或介质数字证书进行加密），</w:t>
      </w:r>
      <w:r>
        <w:rPr>
          <w:rFonts w:hint="eastAsia" w:ascii="宋体" w:hAnsi="宋体"/>
          <w:szCs w:val="21"/>
          <w:lang w:eastAsia="zh-CN"/>
        </w:rPr>
        <w:t>安天e采</w:t>
      </w:r>
      <w:r>
        <w:rPr>
          <w:rFonts w:ascii="宋体" w:hAnsi="宋体"/>
          <w:szCs w:val="21"/>
        </w:rPr>
        <w:t>平台“移动认证上线通知”（https://www.xinecai.com/ydrz.html）。</w:t>
      </w:r>
    </w:p>
    <w:p w14:paraId="74F39B54">
      <w:pPr>
        <w:widowControl/>
        <w:adjustRightInd w:val="0"/>
        <w:snapToGrid w:val="0"/>
        <w:spacing w:line="408" w:lineRule="auto"/>
        <w:ind w:firstLine="420" w:firstLineChars="200"/>
        <w:jc w:val="left"/>
        <w:rPr>
          <w:rFonts w:ascii="宋体" w:hAnsi="宋体"/>
          <w:szCs w:val="21"/>
        </w:rPr>
      </w:pPr>
      <w:r>
        <w:rPr>
          <w:rFonts w:ascii="宋体" w:hAnsi="宋体"/>
          <w:szCs w:val="21"/>
        </w:rPr>
        <w:t>3</w:t>
      </w:r>
      <w:r>
        <w:rPr>
          <w:rFonts w:hint="eastAsia" w:ascii="宋体" w:hAnsi="宋体"/>
          <w:szCs w:val="21"/>
        </w:rPr>
        <w:t>.</w:t>
      </w:r>
      <w:r>
        <w:rPr>
          <w:rFonts w:ascii="宋体" w:hAnsi="宋体"/>
          <w:szCs w:val="21"/>
        </w:rPr>
        <w:t>全流程电子招标项目需要投标</w:t>
      </w:r>
      <w:r>
        <w:rPr>
          <w:rFonts w:hint="eastAsia" w:ascii="宋体" w:hAnsi="宋体"/>
          <w:szCs w:val="21"/>
        </w:rPr>
        <w:t>供应商</w:t>
      </w:r>
      <w:r>
        <w:rPr>
          <w:rFonts w:ascii="宋体" w:hAnsi="宋体"/>
          <w:szCs w:val="21"/>
        </w:rPr>
        <w:t>网络上传通过</w:t>
      </w:r>
      <w:r>
        <w:rPr>
          <w:rFonts w:hint="eastAsia" w:ascii="宋体" w:hAnsi="宋体"/>
          <w:szCs w:val="21"/>
          <w:lang w:eastAsia="zh-CN"/>
        </w:rPr>
        <w:t>安天e采</w:t>
      </w:r>
      <w:r>
        <w:rPr>
          <w:rFonts w:ascii="宋体" w:hAnsi="宋体"/>
          <w:szCs w:val="21"/>
        </w:rPr>
        <w:t>投标文件制作工具制作并使用通过</w:t>
      </w:r>
      <w:r>
        <w:rPr>
          <w:rFonts w:hint="eastAsia" w:ascii="宋体" w:hAnsi="宋体"/>
          <w:szCs w:val="21"/>
          <w:lang w:eastAsia="zh-CN"/>
        </w:rPr>
        <w:t>安天e采</w:t>
      </w:r>
      <w:r>
        <w:rPr>
          <w:rFonts w:ascii="宋体" w:hAnsi="宋体"/>
          <w:szCs w:val="21"/>
        </w:rPr>
        <w:t>办理的移动认证证书或介质数字证书加密后生成的电子投标文件，投标</w:t>
      </w:r>
      <w:r>
        <w:rPr>
          <w:rFonts w:hint="eastAsia" w:ascii="宋体" w:hAnsi="宋体"/>
          <w:szCs w:val="21"/>
        </w:rPr>
        <w:t>供应商</w:t>
      </w:r>
      <w:r>
        <w:rPr>
          <w:rFonts w:ascii="宋体" w:hAnsi="宋体"/>
          <w:szCs w:val="21"/>
        </w:rPr>
        <w:t>下载电子招标采购文件后，应在招标文件规定的投标截止时间之前上传通过</w:t>
      </w:r>
      <w:r>
        <w:rPr>
          <w:rFonts w:hint="eastAsia" w:ascii="宋体" w:hAnsi="宋体"/>
          <w:szCs w:val="21"/>
          <w:lang w:eastAsia="zh-CN"/>
        </w:rPr>
        <w:t>安天e采</w:t>
      </w:r>
      <w:r>
        <w:rPr>
          <w:rFonts w:ascii="宋体" w:hAnsi="宋体"/>
          <w:szCs w:val="21"/>
        </w:rPr>
        <w:t>投标文件制作工具制作的加密电子投标文件（</w:t>
      </w:r>
      <w:r>
        <w:rPr>
          <w:rFonts w:hint="eastAsia" w:ascii="宋体" w:hAnsi="宋体"/>
          <w:szCs w:val="21"/>
        </w:rPr>
        <w:t>登录</w:t>
      </w:r>
      <w:r>
        <w:rPr>
          <w:rFonts w:hint="eastAsia" w:ascii="宋体" w:hAnsi="宋体"/>
          <w:szCs w:val="21"/>
          <w:lang w:eastAsia="zh-CN"/>
        </w:rPr>
        <w:t>安天e采</w:t>
      </w:r>
      <w:r>
        <w:rPr>
          <w:rFonts w:ascii="宋体" w:hAnsi="宋体"/>
          <w:szCs w:val="21"/>
        </w:rPr>
        <w:t>招标采购电子交易系统，点击进入递交投标文件，上传加密的电子投标文件），否则视为投标无效。投标</w:t>
      </w:r>
      <w:r>
        <w:rPr>
          <w:rFonts w:hint="eastAsia" w:ascii="宋体" w:hAnsi="宋体"/>
          <w:szCs w:val="21"/>
        </w:rPr>
        <w:t>供应商</w:t>
      </w:r>
      <w:r>
        <w:rPr>
          <w:rFonts w:ascii="宋体" w:hAnsi="宋体"/>
          <w:szCs w:val="21"/>
        </w:rPr>
        <w:t>在投标截止时间之前，可以对其所递交的电子投标文件进行撤回，修改后重新上传；</w:t>
      </w:r>
    </w:p>
    <w:p w14:paraId="56A8BA7E">
      <w:pPr>
        <w:widowControl/>
        <w:adjustRightInd w:val="0"/>
        <w:snapToGrid w:val="0"/>
        <w:spacing w:line="408" w:lineRule="auto"/>
        <w:ind w:firstLine="420" w:firstLineChars="200"/>
        <w:jc w:val="left"/>
        <w:rPr>
          <w:rFonts w:ascii="宋体" w:hAnsi="宋体"/>
          <w:szCs w:val="21"/>
        </w:rPr>
      </w:pPr>
      <w:r>
        <w:rPr>
          <w:rFonts w:ascii="宋体" w:hAnsi="宋体"/>
          <w:szCs w:val="21"/>
        </w:rPr>
        <w:t>4</w:t>
      </w:r>
      <w:r>
        <w:rPr>
          <w:rFonts w:hint="eastAsia" w:ascii="宋体" w:hAnsi="宋体"/>
          <w:szCs w:val="21"/>
        </w:rPr>
        <w:t>.</w:t>
      </w:r>
      <w:r>
        <w:rPr>
          <w:rFonts w:ascii="宋体" w:hAnsi="宋体"/>
          <w:szCs w:val="21"/>
        </w:rPr>
        <w:t>投标截止时间以</w:t>
      </w:r>
      <w:r>
        <w:rPr>
          <w:rFonts w:hint="eastAsia" w:ascii="宋体" w:hAnsi="宋体"/>
          <w:szCs w:val="21"/>
          <w:lang w:eastAsia="zh-CN"/>
        </w:rPr>
        <w:t>安天e采</w:t>
      </w:r>
      <w:r>
        <w:rPr>
          <w:rFonts w:hint="eastAsia" w:ascii="宋体" w:hAnsi="宋体"/>
          <w:szCs w:val="21"/>
        </w:rPr>
        <w:t>招标采购电子交易系统</w:t>
      </w:r>
      <w:r>
        <w:rPr>
          <w:rFonts w:ascii="宋体" w:hAnsi="宋体"/>
          <w:szCs w:val="21"/>
        </w:rPr>
        <w:t>（https://www.xinecai.com）系统的时间为准，逾期系统将自动关闭,电子投标文件未完成上传的，投标将被拒绝。加密文件上传后投标</w:t>
      </w:r>
      <w:r>
        <w:rPr>
          <w:rFonts w:hint="eastAsia" w:ascii="宋体" w:hAnsi="宋体"/>
          <w:szCs w:val="21"/>
        </w:rPr>
        <w:t>供应商</w:t>
      </w:r>
      <w:r>
        <w:rPr>
          <w:rFonts w:ascii="宋体" w:hAnsi="宋体"/>
          <w:szCs w:val="21"/>
        </w:rPr>
        <w:t>进行模拟解密检验加密文件是否正常；</w:t>
      </w:r>
    </w:p>
    <w:p w14:paraId="68F1521C">
      <w:pPr>
        <w:widowControl/>
        <w:adjustRightInd w:val="0"/>
        <w:snapToGrid w:val="0"/>
        <w:spacing w:line="408" w:lineRule="auto"/>
        <w:ind w:firstLine="420" w:firstLineChars="200"/>
        <w:jc w:val="left"/>
        <w:rPr>
          <w:rFonts w:ascii="宋体" w:hAnsi="宋体"/>
          <w:szCs w:val="21"/>
        </w:rPr>
      </w:pPr>
      <w:r>
        <w:rPr>
          <w:rFonts w:ascii="宋体" w:hAnsi="宋体"/>
          <w:szCs w:val="21"/>
        </w:rPr>
        <w:t>5</w:t>
      </w:r>
      <w:r>
        <w:rPr>
          <w:rFonts w:hint="eastAsia" w:ascii="宋体" w:hAnsi="宋体"/>
          <w:szCs w:val="21"/>
        </w:rPr>
        <w:t>.</w:t>
      </w:r>
      <w:r>
        <w:rPr>
          <w:rFonts w:ascii="宋体" w:hAnsi="宋体"/>
          <w:szCs w:val="21"/>
        </w:rPr>
        <w:t>投标</w:t>
      </w:r>
      <w:r>
        <w:rPr>
          <w:rFonts w:hint="eastAsia" w:ascii="宋体" w:hAnsi="宋体"/>
          <w:szCs w:val="21"/>
        </w:rPr>
        <w:t>供应商</w:t>
      </w:r>
      <w:r>
        <w:rPr>
          <w:rFonts w:ascii="宋体" w:hAnsi="宋体"/>
          <w:szCs w:val="21"/>
        </w:rPr>
        <w:t>除须按上述第4条要求网络上传移动认证证书或介质数字证书加密的电子投标文件外，可以另行提供非加密电子投标文件U盘或光盘一份（电子标书工具软件在加密上传后，同时生成非加密电子投标文件一份，供投标</w:t>
      </w:r>
      <w:r>
        <w:rPr>
          <w:rFonts w:hint="eastAsia" w:ascii="宋体" w:hAnsi="宋体"/>
          <w:szCs w:val="21"/>
        </w:rPr>
        <w:t>供应商</w:t>
      </w:r>
      <w:r>
        <w:rPr>
          <w:rFonts w:ascii="宋体" w:hAnsi="宋体"/>
          <w:szCs w:val="21"/>
        </w:rPr>
        <w:t>拷贝到U盘或刻录光盘，按招标采购文件规定要求密封后递交），投标</w:t>
      </w:r>
      <w:r>
        <w:rPr>
          <w:rFonts w:hint="eastAsia" w:ascii="宋体" w:hAnsi="宋体"/>
          <w:szCs w:val="21"/>
        </w:rPr>
        <w:t>供应商</w:t>
      </w:r>
      <w:r>
        <w:rPr>
          <w:rFonts w:ascii="宋体" w:hAnsi="宋体"/>
          <w:szCs w:val="21"/>
        </w:rPr>
        <w:t>须保证电子U盘或光盘时能正常读取，且非加密文件须与网上递交的加密文件一致。具体要求按照招标采购文件规定；</w:t>
      </w:r>
    </w:p>
    <w:p w14:paraId="257F9D27">
      <w:pPr>
        <w:widowControl/>
        <w:adjustRightInd w:val="0"/>
        <w:snapToGrid w:val="0"/>
        <w:spacing w:line="408" w:lineRule="auto"/>
        <w:ind w:firstLine="420" w:firstLineChars="200"/>
        <w:jc w:val="left"/>
        <w:rPr>
          <w:rFonts w:ascii="宋体" w:hAnsi="宋体"/>
          <w:szCs w:val="21"/>
        </w:rPr>
      </w:pPr>
      <w:r>
        <w:rPr>
          <w:rFonts w:ascii="宋体" w:hAnsi="宋体"/>
          <w:szCs w:val="21"/>
        </w:rPr>
        <w:t>6</w:t>
      </w:r>
      <w:r>
        <w:rPr>
          <w:rFonts w:hint="eastAsia" w:ascii="宋体" w:hAnsi="宋体"/>
          <w:szCs w:val="21"/>
        </w:rPr>
        <w:t>.</w:t>
      </w:r>
      <w:r>
        <w:rPr>
          <w:rFonts w:ascii="宋体" w:hAnsi="宋体"/>
          <w:szCs w:val="21"/>
        </w:rPr>
        <w:t>如投标</w:t>
      </w:r>
      <w:r>
        <w:rPr>
          <w:rFonts w:hint="eastAsia" w:ascii="宋体" w:hAnsi="宋体"/>
          <w:szCs w:val="21"/>
        </w:rPr>
        <w:t>供应商</w:t>
      </w:r>
      <w:r>
        <w:rPr>
          <w:rFonts w:ascii="宋体" w:hAnsi="宋体"/>
          <w:szCs w:val="21"/>
        </w:rPr>
        <w:t>在制作、上传电子投标文件过程中，遇到操作和使用问题，请及时联系</w:t>
      </w:r>
      <w:r>
        <w:rPr>
          <w:rFonts w:hint="eastAsia" w:ascii="宋体" w:hAnsi="宋体"/>
          <w:szCs w:val="21"/>
          <w:lang w:eastAsia="zh-CN"/>
        </w:rPr>
        <w:t>安天e采</w:t>
      </w:r>
      <w:r>
        <w:rPr>
          <w:rFonts w:ascii="宋体" w:hAnsi="宋体"/>
          <w:szCs w:val="21"/>
        </w:rPr>
        <w:t>电子交易平台客服人员，客服电话：400-050-9988。移动认证办理联系电话：400-0878-198转1。</w:t>
      </w:r>
    </w:p>
    <w:p w14:paraId="1863FC49">
      <w:pPr>
        <w:widowControl/>
        <w:adjustRightInd w:val="0"/>
        <w:snapToGrid w:val="0"/>
        <w:spacing w:line="408" w:lineRule="auto"/>
        <w:ind w:firstLine="422" w:firstLineChars="200"/>
        <w:jc w:val="left"/>
        <w:outlineLvl w:val="1"/>
        <w:rPr>
          <w:rFonts w:ascii="宋体" w:hAnsi="宋体"/>
          <w:b/>
          <w:bCs/>
          <w:szCs w:val="21"/>
        </w:rPr>
      </w:pPr>
      <w:bookmarkStart w:id="1336" w:name="_Toc30466"/>
      <w:bookmarkStart w:id="1337" w:name="_Toc32203"/>
      <w:bookmarkStart w:id="1338" w:name="_Toc690"/>
      <w:r>
        <w:rPr>
          <w:rFonts w:ascii="宋体" w:hAnsi="宋体"/>
          <w:b/>
          <w:bCs/>
          <w:szCs w:val="21"/>
        </w:rPr>
        <w:t>二、开标及解密投标文件</w:t>
      </w:r>
      <w:bookmarkEnd w:id="1336"/>
      <w:bookmarkEnd w:id="1337"/>
      <w:bookmarkEnd w:id="1338"/>
    </w:p>
    <w:p w14:paraId="3A642C5E">
      <w:pPr>
        <w:widowControl/>
        <w:adjustRightInd w:val="0"/>
        <w:snapToGrid w:val="0"/>
        <w:spacing w:line="408" w:lineRule="auto"/>
        <w:ind w:firstLine="420" w:firstLineChars="200"/>
        <w:jc w:val="left"/>
        <w:rPr>
          <w:rFonts w:ascii="宋体" w:hAnsi="宋体"/>
          <w:szCs w:val="21"/>
        </w:rPr>
      </w:pPr>
      <w:r>
        <w:rPr>
          <w:rFonts w:ascii="宋体" w:hAnsi="宋体"/>
          <w:szCs w:val="21"/>
        </w:rPr>
        <w:t>1</w:t>
      </w:r>
      <w:r>
        <w:rPr>
          <w:rFonts w:hint="eastAsia" w:ascii="宋体" w:hAnsi="宋体"/>
          <w:szCs w:val="21"/>
        </w:rPr>
        <w:t>.</w:t>
      </w:r>
      <w:r>
        <w:rPr>
          <w:rFonts w:ascii="宋体" w:hAnsi="宋体"/>
          <w:szCs w:val="21"/>
        </w:rPr>
        <w:t>安徽安天利信工程管理股份有限公司工作人员（以下称工作人员）根据有关规定登录</w:t>
      </w:r>
      <w:r>
        <w:rPr>
          <w:rFonts w:hint="eastAsia" w:ascii="宋体" w:hAnsi="宋体"/>
          <w:szCs w:val="21"/>
          <w:lang w:eastAsia="zh-CN"/>
        </w:rPr>
        <w:t>安天e采</w:t>
      </w:r>
      <w:r>
        <w:rPr>
          <w:rFonts w:ascii="宋体" w:hAnsi="宋体"/>
          <w:szCs w:val="21"/>
        </w:rPr>
        <w:t>在线开标系统进行开标（使用介质数字证书用户请选择ie11及以上浏览器进行登录，如电脑未安装ie浏览器，可至</w:t>
      </w:r>
      <w:r>
        <w:rPr>
          <w:rFonts w:hint="eastAsia" w:ascii="宋体" w:hAnsi="宋体"/>
          <w:szCs w:val="21"/>
          <w:lang w:eastAsia="zh-CN"/>
        </w:rPr>
        <w:t>安天e采</w:t>
      </w:r>
      <w:r>
        <w:rPr>
          <w:rFonts w:ascii="宋体" w:hAnsi="宋体"/>
          <w:szCs w:val="21"/>
        </w:rPr>
        <w:t>门户网站产品服务&gt;服务指南中下载（https://www.xinecai.com/serveguide#）登录前请确认是否安装</w:t>
      </w:r>
      <w:r>
        <w:rPr>
          <w:rFonts w:hint="eastAsia" w:ascii="宋体" w:hAnsi="宋体"/>
          <w:szCs w:val="21"/>
          <w:lang w:eastAsia="zh-CN"/>
        </w:rPr>
        <w:t>安天e采</w:t>
      </w:r>
      <w:r>
        <w:rPr>
          <w:rFonts w:ascii="宋体" w:hAnsi="宋体"/>
          <w:szCs w:val="21"/>
        </w:rPr>
        <w:t>驱动。驱动安装完成后</w:t>
      </w:r>
      <w:r>
        <w:rPr>
          <w:rFonts w:hint="eastAsia" w:ascii="宋体" w:hAnsi="宋体"/>
          <w:szCs w:val="21"/>
        </w:rPr>
        <w:t>登录</w:t>
      </w:r>
      <w:r>
        <w:rPr>
          <w:rFonts w:hint="eastAsia" w:ascii="宋体" w:hAnsi="宋体"/>
          <w:szCs w:val="21"/>
          <w:lang w:eastAsia="zh-CN"/>
        </w:rPr>
        <w:t>安天e采</w:t>
      </w:r>
      <w:r>
        <w:rPr>
          <w:rFonts w:hint="eastAsia" w:ascii="宋体" w:hAnsi="宋体"/>
          <w:szCs w:val="21"/>
        </w:rPr>
        <w:t>招标采购电子交易系统</w:t>
      </w:r>
      <w:r>
        <w:rPr>
          <w:rFonts w:ascii="宋体" w:hAnsi="宋体"/>
          <w:szCs w:val="21"/>
        </w:rPr>
        <w:t>，点击进入开标系统或者点击https://kb.xinecai.com/process/login链接进入）为方便开标联系，建议投标</w:t>
      </w:r>
      <w:r>
        <w:rPr>
          <w:rFonts w:hint="eastAsia" w:ascii="宋体" w:hAnsi="宋体"/>
          <w:szCs w:val="21"/>
        </w:rPr>
        <w:t>供应商</w:t>
      </w:r>
      <w:r>
        <w:rPr>
          <w:rFonts w:ascii="宋体" w:hAnsi="宋体"/>
          <w:szCs w:val="21"/>
        </w:rPr>
        <w:t>进行签到。开标时，投标</w:t>
      </w:r>
      <w:r>
        <w:rPr>
          <w:rFonts w:hint="eastAsia" w:ascii="宋体" w:hAnsi="宋体"/>
          <w:szCs w:val="21"/>
        </w:rPr>
        <w:t>供应商</w:t>
      </w:r>
      <w:r>
        <w:rPr>
          <w:rFonts w:ascii="宋体" w:hAnsi="宋体"/>
          <w:szCs w:val="21"/>
        </w:rPr>
        <w:t>必须远程使用</w:t>
      </w:r>
      <w:r>
        <w:rPr>
          <w:rFonts w:hint="eastAsia" w:ascii="宋体" w:hAnsi="宋体"/>
          <w:szCs w:val="21"/>
          <w:lang w:eastAsia="zh-CN"/>
        </w:rPr>
        <w:t>安天e采</w:t>
      </w:r>
      <w:r>
        <w:rPr>
          <w:rFonts w:ascii="宋体" w:hAnsi="宋体"/>
          <w:szCs w:val="21"/>
        </w:rPr>
        <w:t>办理的移动认证证书或介质数字证书先行解密（加密证书需与解密证书一致，否则无法解密成功）。电子投标文件在平台系统导入后，工作人员开启系统唱标等流程；</w:t>
      </w:r>
    </w:p>
    <w:p w14:paraId="34D0F323">
      <w:pPr>
        <w:widowControl/>
        <w:adjustRightInd w:val="0"/>
        <w:snapToGrid w:val="0"/>
        <w:spacing w:line="408" w:lineRule="auto"/>
        <w:ind w:firstLine="420" w:firstLineChars="200"/>
        <w:jc w:val="left"/>
        <w:rPr>
          <w:rFonts w:ascii="宋体" w:hAnsi="宋体"/>
          <w:szCs w:val="21"/>
        </w:rPr>
      </w:pPr>
      <w:r>
        <w:rPr>
          <w:rFonts w:ascii="宋体" w:hAnsi="宋体"/>
          <w:szCs w:val="21"/>
        </w:rPr>
        <w:t>2</w:t>
      </w:r>
      <w:r>
        <w:rPr>
          <w:rFonts w:hint="eastAsia" w:ascii="宋体" w:hAnsi="宋体"/>
          <w:szCs w:val="21"/>
        </w:rPr>
        <w:t>.</w:t>
      </w:r>
      <w:r>
        <w:rPr>
          <w:rFonts w:ascii="宋体" w:hAnsi="宋体"/>
          <w:szCs w:val="21"/>
        </w:rPr>
        <w:t>电子投标文件上传成功但因电子招标投标交易平台原因导致解密异常时，如招标文件中允许使用非加密电子投标文件作为导入补救措施的，可以在开标现场递交非加密电子版投标文件，</w:t>
      </w:r>
      <w:r>
        <w:rPr>
          <w:rFonts w:hint="eastAsia" w:ascii="宋体" w:hAnsi="宋体"/>
          <w:szCs w:val="21"/>
        </w:rPr>
        <w:t>采购</w:t>
      </w:r>
      <w:r>
        <w:rPr>
          <w:rFonts w:ascii="宋体" w:hAnsi="宋体"/>
          <w:szCs w:val="21"/>
        </w:rPr>
        <w:t>代理机构将其导入电子招标投标交易平台，电子招标投标交易平台将对非加密电子投标文件与加密电子投标文件进行校验。非加密电子投标文件经平台校验通过的视为解密成功，该投标</w:t>
      </w:r>
      <w:r>
        <w:rPr>
          <w:rFonts w:hint="eastAsia" w:ascii="宋体" w:hAnsi="宋体"/>
          <w:szCs w:val="21"/>
        </w:rPr>
        <w:t>供应商</w:t>
      </w:r>
      <w:r>
        <w:rPr>
          <w:rFonts w:ascii="宋体" w:hAnsi="宋体"/>
          <w:szCs w:val="21"/>
        </w:rPr>
        <w:t>的投标文件以非加密电子投标文件为准；校验失败或未递交不加密电子投标文件的，其投标无效；</w:t>
      </w:r>
    </w:p>
    <w:p w14:paraId="410A9818">
      <w:pPr>
        <w:widowControl/>
        <w:adjustRightInd w:val="0"/>
        <w:snapToGrid w:val="0"/>
        <w:spacing w:line="408" w:lineRule="auto"/>
        <w:ind w:firstLine="420" w:firstLineChars="200"/>
        <w:jc w:val="left"/>
        <w:rPr>
          <w:rFonts w:ascii="宋体" w:hAnsi="宋体"/>
          <w:szCs w:val="21"/>
        </w:rPr>
      </w:pPr>
      <w:r>
        <w:rPr>
          <w:rFonts w:ascii="宋体" w:hAnsi="宋体"/>
          <w:szCs w:val="21"/>
        </w:rPr>
        <w:t>3</w:t>
      </w:r>
      <w:r>
        <w:rPr>
          <w:rFonts w:hint="eastAsia" w:ascii="宋体" w:hAnsi="宋体"/>
          <w:szCs w:val="21"/>
        </w:rPr>
        <w:t>.</w:t>
      </w:r>
      <w:r>
        <w:rPr>
          <w:rFonts w:ascii="宋体" w:hAnsi="宋体"/>
          <w:szCs w:val="21"/>
        </w:rPr>
        <w:t>在招标文件规定的时间内，投标人以招标文件中规定的方式未完成投标文件上传或解密的，视为其撤回投标。</w:t>
      </w:r>
    </w:p>
    <w:p w14:paraId="663C266A">
      <w:pPr>
        <w:widowControl/>
        <w:adjustRightInd w:val="0"/>
        <w:snapToGrid w:val="0"/>
        <w:spacing w:line="408" w:lineRule="auto"/>
        <w:ind w:firstLine="422" w:firstLineChars="200"/>
        <w:jc w:val="left"/>
        <w:outlineLvl w:val="1"/>
        <w:rPr>
          <w:rFonts w:ascii="宋体" w:hAnsi="宋体"/>
          <w:b/>
          <w:bCs/>
          <w:szCs w:val="21"/>
        </w:rPr>
      </w:pPr>
      <w:bookmarkStart w:id="1339" w:name="_Toc6011"/>
      <w:bookmarkStart w:id="1340" w:name="_Toc32028"/>
      <w:bookmarkStart w:id="1341" w:name="_Toc13353"/>
      <w:r>
        <w:rPr>
          <w:rFonts w:ascii="宋体" w:hAnsi="宋体"/>
          <w:b/>
          <w:bCs/>
          <w:szCs w:val="21"/>
        </w:rPr>
        <w:t>三、数字证书</w:t>
      </w:r>
      <w:r>
        <w:rPr>
          <w:rFonts w:hint="eastAsia" w:ascii="宋体" w:hAnsi="宋体"/>
          <w:b/>
          <w:bCs/>
          <w:szCs w:val="21"/>
        </w:rPr>
        <w:t>及保函相关</w:t>
      </w:r>
      <w:r>
        <w:rPr>
          <w:rFonts w:ascii="宋体" w:hAnsi="宋体"/>
          <w:b/>
          <w:bCs/>
          <w:szCs w:val="21"/>
        </w:rPr>
        <w:t>问题</w:t>
      </w:r>
      <w:bookmarkEnd w:id="1339"/>
      <w:bookmarkEnd w:id="1340"/>
      <w:bookmarkEnd w:id="1341"/>
    </w:p>
    <w:p w14:paraId="198E1F9E">
      <w:pPr>
        <w:widowControl/>
        <w:adjustRightInd w:val="0"/>
        <w:snapToGrid w:val="0"/>
        <w:spacing w:line="408" w:lineRule="auto"/>
        <w:ind w:firstLine="420" w:firstLineChars="200"/>
        <w:jc w:val="left"/>
        <w:rPr>
          <w:rFonts w:ascii="宋体" w:hAnsi="宋体"/>
          <w:szCs w:val="21"/>
        </w:rPr>
      </w:pPr>
      <w:r>
        <w:rPr>
          <w:rFonts w:ascii="宋体" w:hAnsi="宋体"/>
          <w:szCs w:val="21"/>
        </w:rPr>
        <w:t>1</w:t>
      </w:r>
      <w:r>
        <w:rPr>
          <w:rFonts w:hint="eastAsia" w:ascii="宋体" w:hAnsi="宋体"/>
          <w:szCs w:val="21"/>
        </w:rPr>
        <w:t>.</w:t>
      </w:r>
      <w:r>
        <w:rPr>
          <w:rFonts w:ascii="宋体" w:hAnsi="宋体"/>
          <w:szCs w:val="21"/>
        </w:rPr>
        <w:t>数字证书需使用通过</w:t>
      </w:r>
      <w:r>
        <w:rPr>
          <w:rFonts w:hint="eastAsia" w:ascii="宋体" w:hAnsi="宋体"/>
          <w:szCs w:val="21"/>
          <w:lang w:eastAsia="zh-CN"/>
        </w:rPr>
        <w:t>安天e采</w:t>
      </w:r>
      <w:r>
        <w:rPr>
          <w:rFonts w:ascii="宋体" w:hAnsi="宋体"/>
          <w:szCs w:val="21"/>
        </w:rPr>
        <w:t>办理的移动认证证书或介质数字证书；</w:t>
      </w:r>
    </w:p>
    <w:p w14:paraId="65A7A8C9">
      <w:pPr>
        <w:widowControl/>
        <w:adjustRightInd w:val="0"/>
        <w:snapToGrid w:val="0"/>
        <w:spacing w:line="408" w:lineRule="auto"/>
        <w:ind w:firstLine="420" w:firstLineChars="200"/>
        <w:jc w:val="left"/>
        <w:rPr>
          <w:rFonts w:ascii="宋体" w:hAnsi="宋体"/>
          <w:szCs w:val="21"/>
        </w:rPr>
      </w:pPr>
      <w:r>
        <w:rPr>
          <w:rFonts w:ascii="宋体" w:hAnsi="宋体"/>
          <w:szCs w:val="21"/>
        </w:rPr>
        <w:t>2</w:t>
      </w:r>
      <w:r>
        <w:rPr>
          <w:rFonts w:hint="eastAsia" w:ascii="宋体" w:hAnsi="宋体"/>
          <w:szCs w:val="21"/>
        </w:rPr>
        <w:t>.</w:t>
      </w:r>
      <w:r>
        <w:rPr>
          <w:rFonts w:ascii="宋体" w:hAnsi="宋体"/>
          <w:szCs w:val="21"/>
        </w:rPr>
        <w:t>数字证书到期后须重新续期；</w:t>
      </w:r>
    </w:p>
    <w:p w14:paraId="2BF7D75C">
      <w:pPr>
        <w:widowControl/>
        <w:adjustRightInd w:val="0"/>
        <w:snapToGrid w:val="0"/>
        <w:spacing w:line="408" w:lineRule="auto"/>
        <w:ind w:firstLine="420" w:firstLineChars="200"/>
        <w:jc w:val="left"/>
        <w:rPr>
          <w:rFonts w:ascii="宋体" w:hAnsi="宋体"/>
          <w:szCs w:val="21"/>
        </w:rPr>
      </w:pPr>
      <w:r>
        <w:rPr>
          <w:rFonts w:ascii="宋体" w:hAnsi="宋体"/>
          <w:szCs w:val="21"/>
        </w:rPr>
        <w:t>3</w:t>
      </w:r>
      <w:r>
        <w:rPr>
          <w:rFonts w:hint="eastAsia" w:ascii="宋体" w:hAnsi="宋体"/>
          <w:szCs w:val="21"/>
        </w:rPr>
        <w:t>.</w:t>
      </w:r>
      <w:r>
        <w:rPr>
          <w:rFonts w:ascii="宋体" w:hAnsi="宋体"/>
          <w:szCs w:val="21"/>
        </w:rPr>
        <w:t>数字证书因遗失、损坏、企业信息变更等情况须更换新证书；</w:t>
      </w:r>
    </w:p>
    <w:p w14:paraId="04E80C88">
      <w:pPr>
        <w:widowControl/>
        <w:adjustRightInd w:val="0"/>
        <w:snapToGrid w:val="0"/>
        <w:spacing w:line="408" w:lineRule="auto"/>
        <w:ind w:firstLine="420" w:firstLineChars="200"/>
        <w:jc w:val="left"/>
        <w:rPr>
          <w:rFonts w:ascii="宋体" w:hAnsi="宋体"/>
          <w:szCs w:val="21"/>
        </w:rPr>
      </w:pPr>
      <w:r>
        <w:rPr>
          <w:rFonts w:ascii="宋体" w:hAnsi="宋体"/>
          <w:szCs w:val="21"/>
        </w:rPr>
        <w:t>4</w:t>
      </w:r>
      <w:r>
        <w:rPr>
          <w:rFonts w:hint="eastAsia" w:ascii="宋体" w:hAnsi="宋体"/>
          <w:szCs w:val="21"/>
        </w:rPr>
        <w:t>.</w:t>
      </w:r>
      <w:r>
        <w:rPr>
          <w:rFonts w:ascii="宋体" w:hAnsi="宋体"/>
          <w:szCs w:val="21"/>
        </w:rPr>
        <w:t>投标</w:t>
      </w:r>
      <w:r>
        <w:rPr>
          <w:rFonts w:hint="eastAsia" w:ascii="宋体" w:hAnsi="宋体"/>
          <w:szCs w:val="21"/>
        </w:rPr>
        <w:t>供应商</w:t>
      </w:r>
      <w:r>
        <w:rPr>
          <w:rFonts w:ascii="宋体" w:hAnsi="宋体"/>
          <w:szCs w:val="21"/>
        </w:rPr>
        <w:t>由于数字证书遗失、损坏、更换、续期等情况导致投标文件无法解密，由投标</w:t>
      </w:r>
      <w:r>
        <w:rPr>
          <w:rFonts w:hint="eastAsia" w:ascii="宋体" w:hAnsi="宋体"/>
          <w:szCs w:val="21"/>
        </w:rPr>
        <w:t>供应商</w:t>
      </w:r>
      <w:r>
        <w:rPr>
          <w:rFonts w:ascii="宋体" w:hAnsi="宋体"/>
          <w:szCs w:val="21"/>
        </w:rPr>
        <w:t>自行承担责任。</w:t>
      </w:r>
    </w:p>
    <w:p w14:paraId="0484BD36">
      <w:pPr>
        <w:widowControl/>
        <w:adjustRightInd w:val="0"/>
        <w:snapToGrid w:val="0"/>
        <w:spacing w:line="408" w:lineRule="auto"/>
        <w:ind w:firstLine="420" w:firstLineChars="200"/>
        <w:jc w:val="left"/>
        <w:rPr>
          <w:rFonts w:hint="eastAsia" w:ascii="宋体" w:hAnsi="宋体"/>
          <w:szCs w:val="21"/>
        </w:rPr>
      </w:pPr>
      <w:r>
        <w:rPr>
          <w:rFonts w:hint="eastAsia" w:ascii="宋体" w:hAnsi="宋体"/>
          <w:szCs w:val="21"/>
        </w:rPr>
        <w:t>5.</w:t>
      </w:r>
      <w:r>
        <w:rPr>
          <w:rFonts w:ascii="宋体" w:hAnsi="宋体"/>
          <w:szCs w:val="21"/>
        </w:rPr>
        <w:t>投标人（供应商）申请电子保函时支付账户必须和投标人（供应商）基本户开户账户一致，否则会导致出函失败，为确保电子保函顺利申请，请投标人（供应商）在保函申请前，确认在“</w:t>
      </w:r>
      <w:r>
        <w:rPr>
          <w:rFonts w:hint="eastAsia" w:ascii="宋体" w:hAnsi="宋体"/>
          <w:szCs w:val="21"/>
          <w:lang w:eastAsia="zh-CN"/>
        </w:rPr>
        <w:t>安天e采</w:t>
      </w:r>
      <w:r>
        <w:rPr>
          <w:rFonts w:ascii="宋体" w:hAnsi="宋体"/>
          <w:szCs w:val="21"/>
        </w:rPr>
        <w:t>”交易系统中基本户账户信息的正确填写。</w:t>
      </w:r>
    </w:p>
    <w:p w14:paraId="7BA1004F">
      <w:pPr>
        <w:widowControl/>
        <w:adjustRightInd w:val="0"/>
        <w:snapToGrid w:val="0"/>
        <w:spacing w:line="408" w:lineRule="auto"/>
        <w:ind w:firstLine="422" w:firstLineChars="200"/>
        <w:jc w:val="left"/>
        <w:outlineLvl w:val="1"/>
        <w:rPr>
          <w:rFonts w:ascii="宋体" w:hAnsi="宋体"/>
          <w:b/>
          <w:bCs/>
          <w:szCs w:val="21"/>
        </w:rPr>
      </w:pPr>
      <w:bookmarkStart w:id="1342" w:name="_Toc17599"/>
      <w:bookmarkStart w:id="1343" w:name="_Toc7657"/>
      <w:bookmarkStart w:id="1344" w:name="_Toc8431"/>
      <w:r>
        <w:rPr>
          <w:rFonts w:ascii="宋体" w:hAnsi="宋体"/>
          <w:b/>
          <w:bCs/>
          <w:szCs w:val="21"/>
        </w:rPr>
        <w:t>四、投标无效情况</w:t>
      </w:r>
      <w:bookmarkEnd w:id="1342"/>
      <w:bookmarkEnd w:id="1343"/>
      <w:bookmarkEnd w:id="1344"/>
    </w:p>
    <w:p w14:paraId="545AB1BC">
      <w:pPr>
        <w:widowControl/>
        <w:adjustRightInd w:val="0"/>
        <w:snapToGrid w:val="0"/>
        <w:spacing w:line="408" w:lineRule="auto"/>
        <w:ind w:firstLine="420" w:firstLineChars="200"/>
        <w:jc w:val="left"/>
        <w:rPr>
          <w:rFonts w:ascii="宋体" w:hAnsi="宋体"/>
          <w:szCs w:val="21"/>
        </w:rPr>
      </w:pPr>
      <w:r>
        <w:rPr>
          <w:rFonts w:ascii="宋体" w:hAnsi="宋体"/>
          <w:szCs w:val="21"/>
        </w:rPr>
        <w:t>1</w:t>
      </w:r>
      <w:r>
        <w:rPr>
          <w:rFonts w:hint="eastAsia" w:ascii="宋体" w:hAnsi="宋体"/>
          <w:szCs w:val="21"/>
        </w:rPr>
        <w:t>.</w:t>
      </w:r>
      <w:r>
        <w:rPr>
          <w:rFonts w:ascii="宋体" w:hAnsi="宋体"/>
          <w:szCs w:val="21"/>
        </w:rPr>
        <w:t>项目评审中，投标文件如出现下列情况之一的，经评标委员会评审，可作无效投标处理：</w:t>
      </w:r>
    </w:p>
    <w:p w14:paraId="5228362C">
      <w:pPr>
        <w:widowControl/>
        <w:adjustRightInd w:val="0"/>
        <w:snapToGrid w:val="0"/>
        <w:spacing w:line="408" w:lineRule="auto"/>
        <w:ind w:firstLine="420" w:firstLineChars="200"/>
        <w:jc w:val="left"/>
        <w:rPr>
          <w:rFonts w:ascii="宋体" w:hAnsi="宋体"/>
          <w:szCs w:val="21"/>
        </w:rPr>
      </w:pPr>
      <w:r>
        <w:rPr>
          <w:rFonts w:ascii="宋体" w:hAnsi="宋体"/>
          <w:szCs w:val="21"/>
        </w:rPr>
        <w:t xml:space="preserve">（一）投标文件无法打开的； </w:t>
      </w:r>
    </w:p>
    <w:p w14:paraId="7B5EE9C9">
      <w:pPr>
        <w:widowControl/>
        <w:adjustRightInd w:val="0"/>
        <w:snapToGrid w:val="0"/>
        <w:spacing w:line="408" w:lineRule="auto"/>
        <w:ind w:firstLine="420" w:firstLineChars="200"/>
        <w:jc w:val="left"/>
        <w:rPr>
          <w:rFonts w:ascii="宋体" w:hAnsi="宋体"/>
          <w:szCs w:val="21"/>
        </w:rPr>
      </w:pPr>
      <w:r>
        <w:rPr>
          <w:rFonts w:ascii="宋体" w:hAnsi="宋体"/>
          <w:szCs w:val="21"/>
        </w:rPr>
        <w:t xml:space="preserve">（二）投标文件中携带病毒并造成后果的； </w:t>
      </w:r>
    </w:p>
    <w:p w14:paraId="2C75A288">
      <w:pPr>
        <w:widowControl/>
        <w:adjustRightInd w:val="0"/>
        <w:snapToGrid w:val="0"/>
        <w:spacing w:line="408" w:lineRule="auto"/>
        <w:ind w:firstLine="420" w:firstLineChars="200"/>
        <w:jc w:val="left"/>
        <w:rPr>
          <w:rFonts w:ascii="宋体" w:hAnsi="宋体"/>
          <w:szCs w:val="21"/>
        </w:rPr>
      </w:pPr>
      <w:r>
        <w:rPr>
          <w:rFonts w:ascii="宋体" w:hAnsi="宋体"/>
          <w:szCs w:val="21"/>
        </w:rPr>
        <w:t>（三）恶意递交投标文件，企图造成网络堵塞或瘫痪的；</w:t>
      </w:r>
    </w:p>
    <w:p w14:paraId="1FC4BB68">
      <w:pPr>
        <w:widowControl/>
        <w:adjustRightInd w:val="0"/>
        <w:snapToGrid w:val="0"/>
        <w:spacing w:line="408" w:lineRule="auto"/>
        <w:ind w:firstLine="420" w:firstLineChars="200"/>
        <w:jc w:val="left"/>
        <w:rPr>
          <w:rFonts w:ascii="宋体" w:hAnsi="宋体"/>
          <w:szCs w:val="21"/>
        </w:rPr>
      </w:pPr>
      <w:r>
        <w:rPr>
          <w:rFonts w:ascii="宋体" w:hAnsi="宋体"/>
          <w:szCs w:val="21"/>
        </w:rPr>
        <w:t>（四）评审委员会认定的其他投标无效情形。</w:t>
      </w:r>
    </w:p>
    <w:p w14:paraId="40EA4AA7">
      <w:pPr>
        <w:widowControl/>
        <w:adjustRightInd w:val="0"/>
        <w:snapToGrid w:val="0"/>
        <w:spacing w:line="408" w:lineRule="auto"/>
        <w:ind w:firstLine="420" w:firstLineChars="200"/>
        <w:jc w:val="left"/>
        <w:rPr>
          <w:rFonts w:ascii="宋体" w:hAnsi="宋体"/>
          <w:szCs w:val="21"/>
        </w:rPr>
      </w:pPr>
      <w:r>
        <w:rPr>
          <w:rFonts w:ascii="宋体" w:hAnsi="宋体"/>
          <w:szCs w:val="21"/>
        </w:rPr>
        <w:t>2</w:t>
      </w:r>
      <w:r>
        <w:rPr>
          <w:rFonts w:hint="eastAsia" w:ascii="宋体" w:hAnsi="宋体"/>
          <w:szCs w:val="21"/>
        </w:rPr>
        <w:t>.</w:t>
      </w:r>
      <w:r>
        <w:rPr>
          <w:rFonts w:ascii="宋体" w:hAnsi="宋体"/>
          <w:szCs w:val="21"/>
        </w:rPr>
        <w:t>项目评审中，澄清文件如出现下列情况之一的，经评标委员会评审，可视同放弃澄清：</w:t>
      </w:r>
    </w:p>
    <w:p w14:paraId="6A12D3B8">
      <w:pPr>
        <w:widowControl/>
        <w:adjustRightInd w:val="0"/>
        <w:snapToGrid w:val="0"/>
        <w:spacing w:line="408" w:lineRule="auto"/>
        <w:ind w:firstLine="420" w:firstLineChars="200"/>
        <w:jc w:val="left"/>
        <w:rPr>
          <w:rFonts w:ascii="宋体" w:hAnsi="宋体"/>
          <w:szCs w:val="21"/>
        </w:rPr>
      </w:pPr>
      <w:r>
        <w:rPr>
          <w:rFonts w:ascii="宋体" w:hAnsi="宋体"/>
          <w:szCs w:val="21"/>
        </w:rPr>
        <w:t xml:space="preserve">（一）澄清文件无法打开的； </w:t>
      </w:r>
    </w:p>
    <w:p w14:paraId="4FB8AA14">
      <w:pPr>
        <w:widowControl/>
        <w:adjustRightInd w:val="0"/>
        <w:snapToGrid w:val="0"/>
        <w:spacing w:line="408" w:lineRule="auto"/>
        <w:ind w:firstLine="420" w:firstLineChars="200"/>
        <w:jc w:val="left"/>
        <w:rPr>
          <w:rFonts w:ascii="宋体" w:hAnsi="宋体"/>
          <w:szCs w:val="21"/>
        </w:rPr>
      </w:pPr>
      <w:r>
        <w:rPr>
          <w:rFonts w:ascii="宋体" w:hAnsi="宋体"/>
          <w:szCs w:val="21"/>
        </w:rPr>
        <w:t xml:space="preserve">（二）澄清文件中携带病毒并造成后果的； </w:t>
      </w:r>
    </w:p>
    <w:p w14:paraId="2A2D60DE">
      <w:pPr>
        <w:widowControl/>
        <w:adjustRightInd w:val="0"/>
        <w:snapToGrid w:val="0"/>
        <w:spacing w:line="408" w:lineRule="auto"/>
        <w:ind w:firstLine="420" w:firstLineChars="200"/>
        <w:jc w:val="left"/>
        <w:rPr>
          <w:rFonts w:ascii="宋体" w:hAnsi="宋体"/>
          <w:szCs w:val="21"/>
        </w:rPr>
      </w:pPr>
      <w:r>
        <w:rPr>
          <w:rFonts w:ascii="宋体" w:hAnsi="宋体"/>
          <w:szCs w:val="21"/>
        </w:rPr>
        <w:t>（三）恶意递交澄清文件，企图造成网络堵塞或瘫痪的；</w:t>
      </w:r>
    </w:p>
    <w:p w14:paraId="3964ABA0">
      <w:pPr>
        <w:widowControl/>
        <w:adjustRightInd w:val="0"/>
        <w:snapToGrid w:val="0"/>
        <w:spacing w:line="408" w:lineRule="auto"/>
        <w:ind w:firstLine="420" w:firstLineChars="200"/>
        <w:jc w:val="left"/>
        <w:rPr>
          <w:rFonts w:ascii="宋体" w:hAnsi="宋体"/>
          <w:szCs w:val="21"/>
        </w:rPr>
      </w:pPr>
      <w:r>
        <w:rPr>
          <w:rFonts w:ascii="宋体" w:hAnsi="宋体"/>
          <w:szCs w:val="21"/>
        </w:rPr>
        <w:t>（四）评审委员会认定的其他不予评审情形的。</w:t>
      </w:r>
    </w:p>
    <w:p w14:paraId="6970320B">
      <w:pPr>
        <w:widowControl/>
        <w:adjustRightInd w:val="0"/>
        <w:snapToGrid w:val="0"/>
        <w:spacing w:line="408" w:lineRule="auto"/>
        <w:ind w:firstLine="422" w:firstLineChars="200"/>
        <w:jc w:val="left"/>
        <w:outlineLvl w:val="1"/>
        <w:rPr>
          <w:rFonts w:ascii="宋体" w:hAnsi="宋体"/>
          <w:b/>
          <w:bCs/>
          <w:szCs w:val="21"/>
        </w:rPr>
      </w:pPr>
      <w:bookmarkStart w:id="1345" w:name="_Toc29897"/>
      <w:bookmarkStart w:id="1346" w:name="_Toc15661"/>
      <w:bookmarkStart w:id="1347" w:name="_Toc6628"/>
      <w:r>
        <w:rPr>
          <w:rFonts w:ascii="宋体" w:hAnsi="宋体"/>
          <w:b/>
          <w:bCs/>
          <w:szCs w:val="21"/>
        </w:rPr>
        <w:t>五、特殊情形</w:t>
      </w:r>
      <w:bookmarkEnd w:id="1345"/>
      <w:bookmarkEnd w:id="1346"/>
      <w:bookmarkEnd w:id="1347"/>
    </w:p>
    <w:p w14:paraId="18B2A582">
      <w:pPr>
        <w:widowControl/>
        <w:adjustRightInd w:val="0"/>
        <w:snapToGrid w:val="0"/>
        <w:spacing w:line="408" w:lineRule="auto"/>
        <w:ind w:firstLine="420" w:firstLineChars="200"/>
        <w:jc w:val="left"/>
        <w:rPr>
          <w:rFonts w:ascii="宋体" w:hAnsi="宋体"/>
          <w:szCs w:val="21"/>
        </w:rPr>
      </w:pPr>
      <w:r>
        <w:rPr>
          <w:rFonts w:ascii="宋体" w:hAnsi="宋体"/>
          <w:szCs w:val="21"/>
        </w:rPr>
        <w:t>1</w:t>
      </w:r>
      <w:r>
        <w:rPr>
          <w:rFonts w:hint="eastAsia" w:ascii="宋体" w:hAnsi="宋体"/>
          <w:szCs w:val="21"/>
        </w:rPr>
        <w:t>.</w:t>
      </w:r>
      <w:r>
        <w:rPr>
          <w:rFonts w:ascii="宋体" w:hAnsi="宋体"/>
          <w:szCs w:val="21"/>
        </w:rPr>
        <w:t>出现下列情形导致电子招投标系统无法正常运行，或者无法保证招投标过程的公平、公正和信息安全时，各方当事人免责：</w:t>
      </w:r>
    </w:p>
    <w:p w14:paraId="6AF0FA2B">
      <w:pPr>
        <w:widowControl/>
        <w:adjustRightInd w:val="0"/>
        <w:snapToGrid w:val="0"/>
        <w:spacing w:line="408" w:lineRule="auto"/>
        <w:ind w:firstLine="420" w:firstLineChars="200"/>
        <w:jc w:val="left"/>
        <w:rPr>
          <w:rFonts w:ascii="宋体" w:hAnsi="宋体"/>
          <w:szCs w:val="21"/>
        </w:rPr>
      </w:pPr>
      <w:r>
        <w:rPr>
          <w:rFonts w:ascii="宋体" w:hAnsi="宋体"/>
          <w:szCs w:val="21"/>
        </w:rPr>
        <w:t>（一）网络服务器发生故障而无法访问网站或无法使用电子招投标系统；</w:t>
      </w:r>
    </w:p>
    <w:p w14:paraId="57C985C1">
      <w:pPr>
        <w:widowControl/>
        <w:adjustRightInd w:val="0"/>
        <w:snapToGrid w:val="0"/>
        <w:spacing w:line="408" w:lineRule="auto"/>
        <w:ind w:firstLine="420" w:firstLineChars="200"/>
        <w:jc w:val="left"/>
        <w:rPr>
          <w:rFonts w:ascii="宋体" w:hAnsi="宋体"/>
          <w:szCs w:val="21"/>
        </w:rPr>
      </w:pPr>
      <w:r>
        <w:rPr>
          <w:rFonts w:ascii="宋体" w:hAnsi="宋体"/>
          <w:szCs w:val="21"/>
        </w:rPr>
        <w:t>（二）电子招投标系统的软件或网络数据库出现错误，不能进行正常操作；</w:t>
      </w:r>
    </w:p>
    <w:p w14:paraId="1A0F4D13">
      <w:pPr>
        <w:widowControl/>
        <w:adjustRightInd w:val="0"/>
        <w:snapToGrid w:val="0"/>
        <w:spacing w:line="408" w:lineRule="auto"/>
        <w:ind w:firstLine="420" w:firstLineChars="200"/>
        <w:jc w:val="left"/>
        <w:rPr>
          <w:rFonts w:ascii="宋体" w:hAnsi="宋体"/>
          <w:szCs w:val="21"/>
        </w:rPr>
      </w:pPr>
      <w:r>
        <w:rPr>
          <w:rFonts w:ascii="宋体" w:hAnsi="宋体"/>
          <w:szCs w:val="21"/>
        </w:rPr>
        <w:t>（三）电子招投标系统发现有安全漏洞，有潜在的泄密危险；</w:t>
      </w:r>
    </w:p>
    <w:p w14:paraId="76D5D774">
      <w:pPr>
        <w:widowControl/>
        <w:adjustRightInd w:val="0"/>
        <w:snapToGrid w:val="0"/>
        <w:spacing w:line="408" w:lineRule="auto"/>
        <w:ind w:firstLine="420" w:firstLineChars="200"/>
        <w:jc w:val="left"/>
        <w:rPr>
          <w:rFonts w:ascii="宋体" w:hAnsi="宋体"/>
          <w:szCs w:val="21"/>
        </w:rPr>
      </w:pPr>
      <w:r>
        <w:rPr>
          <w:rFonts w:ascii="宋体" w:hAnsi="宋体"/>
          <w:szCs w:val="21"/>
        </w:rPr>
        <w:t>（四）计算机病毒发作导致系统无法正常运行的；</w:t>
      </w:r>
    </w:p>
    <w:p w14:paraId="787899DC">
      <w:pPr>
        <w:widowControl/>
        <w:adjustRightInd w:val="0"/>
        <w:snapToGrid w:val="0"/>
        <w:spacing w:line="408" w:lineRule="auto"/>
        <w:ind w:firstLine="420" w:firstLineChars="200"/>
        <w:jc w:val="left"/>
        <w:rPr>
          <w:rFonts w:ascii="宋体" w:hAnsi="宋体"/>
          <w:szCs w:val="21"/>
        </w:rPr>
      </w:pPr>
      <w:r>
        <w:rPr>
          <w:rFonts w:ascii="宋体" w:hAnsi="宋体"/>
          <w:szCs w:val="21"/>
        </w:rPr>
        <w:t>（五）电力系统发生故障导致电子招投标系统无法运行；</w:t>
      </w:r>
    </w:p>
    <w:p w14:paraId="4B0B518D">
      <w:pPr>
        <w:widowControl/>
        <w:adjustRightInd w:val="0"/>
        <w:snapToGrid w:val="0"/>
        <w:spacing w:line="408" w:lineRule="auto"/>
        <w:ind w:firstLine="420" w:firstLineChars="200"/>
        <w:jc w:val="left"/>
        <w:rPr>
          <w:rFonts w:ascii="宋体" w:hAnsi="宋体"/>
          <w:szCs w:val="21"/>
        </w:rPr>
      </w:pPr>
      <w:r>
        <w:rPr>
          <w:rFonts w:ascii="宋体" w:hAnsi="宋体"/>
          <w:szCs w:val="21"/>
        </w:rPr>
        <w:t>（六）其他无法保证招投标过程公平、公正和信息安全的。</w:t>
      </w:r>
    </w:p>
    <w:p w14:paraId="15673FCB">
      <w:pPr>
        <w:widowControl/>
        <w:adjustRightInd w:val="0"/>
        <w:snapToGrid w:val="0"/>
        <w:spacing w:line="408" w:lineRule="auto"/>
        <w:ind w:firstLine="420" w:firstLineChars="200"/>
        <w:jc w:val="left"/>
        <w:rPr>
          <w:rFonts w:ascii="宋体" w:hAnsi="宋体"/>
          <w:szCs w:val="21"/>
        </w:rPr>
      </w:pPr>
      <w:r>
        <w:rPr>
          <w:rFonts w:ascii="宋体" w:hAnsi="宋体"/>
          <w:szCs w:val="21"/>
        </w:rPr>
        <w:t>2</w:t>
      </w:r>
      <w:r>
        <w:rPr>
          <w:rFonts w:hint="eastAsia" w:ascii="宋体" w:hAnsi="宋体"/>
          <w:szCs w:val="21"/>
        </w:rPr>
        <w:t>.</w:t>
      </w:r>
      <w:r>
        <w:rPr>
          <w:rFonts w:ascii="宋体" w:hAnsi="宋体"/>
          <w:szCs w:val="21"/>
        </w:rPr>
        <w:t>出现上述第1条情形而又不能及时解决的，采取以下处理办法：</w:t>
      </w:r>
    </w:p>
    <w:p w14:paraId="41921F49">
      <w:pPr>
        <w:widowControl/>
        <w:adjustRightInd w:val="0"/>
        <w:snapToGrid w:val="0"/>
        <w:spacing w:line="408" w:lineRule="auto"/>
        <w:ind w:firstLine="420" w:firstLineChars="200"/>
        <w:jc w:val="left"/>
        <w:rPr>
          <w:rFonts w:ascii="宋体" w:hAnsi="宋体"/>
          <w:szCs w:val="21"/>
        </w:rPr>
      </w:pPr>
      <w:r>
        <w:rPr>
          <w:rFonts w:ascii="宋体" w:hAnsi="宋体"/>
          <w:szCs w:val="21"/>
        </w:rPr>
        <w:t>（一）项目暂停，待电子招投标系统或网络故障排除并经过可靠测试后，再恢复网上招投标系统运行并重新在系统中实施暂停的项目；</w:t>
      </w:r>
    </w:p>
    <w:p w14:paraId="0C886C52">
      <w:pPr>
        <w:widowControl/>
        <w:adjustRightInd w:val="0"/>
        <w:snapToGrid w:val="0"/>
        <w:spacing w:line="408" w:lineRule="auto"/>
        <w:ind w:firstLine="420" w:firstLineChars="200"/>
        <w:jc w:val="left"/>
        <w:rPr>
          <w:rFonts w:ascii="宋体" w:hAnsi="宋体"/>
          <w:szCs w:val="21"/>
        </w:rPr>
      </w:pPr>
      <w:r>
        <w:rPr>
          <w:rFonts w:ascii="宋体" w:hAnsi="宋体"/>
          <w:szCs w:val="21"/>
        </w:rPr>
        <w:t>（二）停止该项目此次电子招投标操作程序，并通知投标</w:t>
      </w:r>
      <w:r>
        <w:rPr>
          <w:rFonts w:hint="eastAsia" w:ascii="宋体" w:hAnsi="宋体"/>
          <w:szCs w:val="21"/>
        </w:rPr>
        <w:t>供应商</w:t>
      </w:r>
      <w:r>
        <w:rPr>
          <w:rFonts w:ascii="宋体" w:hAnsi="宋体"/>
          <w:szCs w:val="21"/>
        </w:rPr>
        <w:t>使用纸质投标文件进行开标、评标。</w:t>
      </w:r>
    </w:p>
    <w:p w14:paraId="7426C7D6">
      <w:pPr>
        <w:widowControl/>
        <w:adjustRightInd w:val="0"/>
        <w:snapToGrid w:val="0"/>
        <w:spacing w:before="96" w:beforeLines="40" w:after="96" w:afterLines="40" w:line="400" w:lineRule="exact"/>
        <w:ind w:firstLine="420" w:firstLineChars="200"/>
        <w:jc w:val="left"/>
        <w:rPr>
          <w:rFonts w:ascii="宋体" w:hAnsi="宋体"/>
          <w:szCs w:val="21"/>
        </w:rPr>
      </w:pPr>
      <w:r>
        <w:rPr>
          <w:rFonts w:ascii="宋体" w:hAnsi="宋体"/>
          <w:szCs w:val="21"/>
        </w:rPr>
        <w:br w:type="page"/>
      </w:r>
    </w:p>
    <w:p w14:paraId="571E28A8">
      <w:pPr>
        <w:pStyle w:val="2"/>
        <w:jc w:val="center"/>
      </w:pPr>
      <w:bookmarkStart w:id="1348" w:name="_Toc16003"/>
      <w:bookmarkStart w:id="1349" w:name="_Toc7804"/>
      <w:r>
        <w:t>第</w:t>
      </w:r>
      <w:r>
        <w:rPr>
          <w:rFonts w:hint="eastAsia"/>
        </w:rPr>
        <w:t>八</w:t>
      </w:r>
      <w:r>
        <w:t xml:space="preserve">章 </w:t>
      </w:r>
      <w:r>
        <w:rPr>
          <w:rFonts w:hint="eastAsia"/>
        </w:rPr>
        <w:t xml:space="preserve"> </w:t>
      </w:r>
      <w:r>
        <w:t>政府采购供应商询问函和质疑函范本</w:t>
      </w:r>
      <w:bookmarkEnd w:id="1348"/>
      <w:bookmarkEnd w:id="1349"/>
    </w:p>
    <w:p w14:paraId="578CA297"/>
    <w:p w14:paraId="6CECBF62">
      <w:pPr>
        <w:spacing w:line="360" w:lineRule="auto"/>
        <w:jc w:val="center"/>
        <w:outlineLvl w:val="1"/>
        <w:rPr>
          <w:rFonts w:ascii="仿宋" w:hAnsi="仿宋" w:eastAsia="仿宋" w:cs="仿宋"/>
          <w:b/>
          <w:bCs/>
          <w:sz w:val="32"/>
          <w:szCs w:val="44"/>
        </w:rPr>
      </w:pPr>
      <w:bookmarkStart w:id="1350" w:name="_Toc27159"/>
      <w:bookmarkStart w:id="1351" w:name="_Toc27489"/>
      <w:r>
        <w:rPr>
          <w:rFonts w:hint="eastAsia" w:ascii="仿宋" w:hAnsi="仿宋" w:eastAsia="仿宋" w:cs="仿宋"/>
          <w:b/>
          <w:bCs/>
          <w:sz w:val="32"/>
          <w:szCs w:val="44"/>
        </w:rPr>
        <w:t>询问函范本</w:t>
      </w:r>
      <w:bookmarkEnd w:id="1350"/>
      <w:bookmarkEnd w:id="1351"/>
    </w:p>
    <w:p w14:paraId="4D2235B8">
      <w:pPr>
        <w:adjustRightInd w:val="0"/>
        <w:snapToGrid w:val="0"/>
        <w:spacing w:line="360" w:lineRule="auto"/>
        <w:ind w:firstLine="480" w:firstLineChars="200"/>
        <w:jc w:val="center"/>
        <w:rPr>
          <w:rFonts w:ascii="仿宋" w:hAnsi="仿宋" w:eastAsia="仿宋" w:cs="仿宋"/>
          <w:b/>
          <w:bCs/>
          <w:sz w:val="32"/>
          <w:szCs w:val="44"/>
        </w:rPr>
      </w:pPr>
      <w:r>
        <w:rPr>
          <w:rFonts w:hint="eastAsia" w:ascii="宋体" w:hAnsi="宋体" w:cs="仿宋"/>
          <w:i/>
          <w:iCs/>
          <w:sz w:val="24"/>
          <w:szCs w:val="24"/>
        </w:rPr>
        <w:t>（如为对采购文件或采购程序的询问或疑问，请按询问函范本或电子交易系统中网上询问格式附件进行提交）</w:t>
      </w:r>
    </w:p>
    <w:p w14:paraId="66B74412">
      <w:pPr>
        <w:adjustRightInd w:val="0"/>
        <w:snapToGrid w:val="0"/>
        <w:spacing w:line="360" w:lineRule="auto"/>
        <w:rPr>
          <w:rFonts w:hint="eastAsia" w:ascii="宋体" w:hAnsi="宋体" w:cs="仿宋"/>
          <w:b/>
          <w:bCs/>
          <w:sz w:val="24"/>
          <w:szCs w:val="24"/>
          <w:u w:val="single"/>
        </w:rPr>
      </w:pPr>
      <w:r>
        <w:rPr>
          <w:rFonts w:hint="eastAsia" w:ascii="宋体" w:hAnsi="宋体" w:cs="仿宋"/>
          <w:b/>
          <w:bCs/>
          <w:sz w:val="24"/>
          <w:szCs w:val="24"/>
        </w:rPr>
        <w:t>致：采购人</w:t>
      </w:r>
    </w:p>
    <w:p w14:paraId="0DB5F14D">
      <w:pPr>
        <w:adjustRightInd w:val="0"/>
        <w:snapToGrid w:val="0"/>
        <w:spacing w:line="360" w:lineRule="auto"/>
        <w:ind w:firstLine="480" w:firstLineChars="200"/>
        <w:rPr>
          <w:rFonts w:ascii="宋体" w:hAnsi="宋体" w:cs="仿宋"/>
          <w:sz w:val="24"/>
          <w:szCs w:val="24"/>
        </w:rPr>
      </w:pPr>
      <w:r>
        <w:rPr>
          <w:rFonts w:hint="eastAsia" w:ascii="宋体" w:hAnsi="宋体" w:cs="仿宋"/>
          <w:sz w:val="24"/>
          <w:szCs w:val="24"/>
        </w:rPr>
        <w:t>我单位拟参与</w:t>
      </w:r>
      <w:r>
        <w:rPr>
          <w:rFonts w:hint="eastAsia" w:ascii="宋体" w:hAnsi="宋体" w:cs="仿宋"/>
          <w:sz w:val="24"/>
          <w:szCs w:val="24"/>
          <w:u w:val="single"/>
        </w:rPr>
        <w:t xml:space="preserve">           </w:t>
      </w:r>
      <w:r>
        <w:rPr>
          <w:rFonts w:hint="eastAsia" w:ascii="宋体" w:hAnsi="宋体" w:cs="仿宋"/>
          <w:sz w:val="24"/>
          <w:szCs w:val="24"/>
        </w:rPr>
        <w:t>（</w:t>
      </w:r>
      <w:r>
        <w:rPr>
          <w:rFonts w:hint="eastAsia" w:ascii="宋体" w:hAnsi="宋体" w:cs="仿宋"/>
          <w:i/>
          <w:iCs/>
          <w:sz w:val="24"/>
          <w:szCs w:val="24"/>
        </w:rPr>
        <w:t>项目名称、编号</w:t>
      </w:r>
      <w:r>
        <w:rPr>
          <w:rFonts w:hint="eastAsia" w:ascii="宋体" w:hAnsi="宋体" w:cs="仿宋"/>
          <w:sz w:val="24"/>
          <w:szCs w:val="24"/>
        </w:rPr>
        <w:t>）的采购活动，现有以下内容(或条款)存在疑问(或无法理解)，特提出询问。</w:t>
      </w:r>
    </w:p>
    <w:p w14:paraId="5B2675FD">
      <w:pPr>
        <w:adjustRightInd w:val="0"/>
        <w:snapToGrid w:val="0"/>
        <w:spacing w:line="360" w:lineRule="auto"/>
        <w:ind w:firstLine="480" w:firstLineChars="200"/>
        <w:rPr>
          <w:rFonts w:ascii="宋体" w:hAnsi="宋体" w:cs="仿宋"/>
          <w:sz w:val="24"/>
          <w:szCs w:val="24"/>
        </w:rPr>
      </w:pPr>
      <w:bookmarkStart w:id="1352" w:name="_Toc13899"/>
      <w:r>
        <w:rPr>
          <w:rFonts w:hint="eastAsia" w:ascii="宋体" w:hAnsi="宋体" w:cs="仿宋"/>
          <w:sz w:val="24"/>
          <w:szCs w:val="24"/>
        </w:rPr>
        <w:t>一、(事项一)</w:t>
      </w:r>
      <w:bookmarkEnd w:id="1352"/>
    </w:p>
    <w:p w14:paraId="2B874D04">
      <w:pPr>
        <w:adjustRightInd w:val="0"/>
        <w:snapToGrid w:val="0"/>
        <w:spacing w:line="360" w:lineRule="auto"/>
        <w:ind w:firstLine="480" w:firstLineChars="200"/>
        <w:rPr>
          <w:rFonts w:ascii="宋体" w:hAnsi="宋体" w:cs="仿宋"/>
          <w:sz w:val="24"/>
          <w:szCs w:val="24"/>
        </w:rPr>
      </w:pPr>
      <w:r>
        <w:rPr>
          <w:rFonts w:hint="eastAsia" w:ascii="宋体" w:hAnsi="宋体" w:cs="仿宋"/>
          <w:sz w:val="24"/>
          <w:szCs w:val="24"/>
        </w:rPr>
        <w:t>1、(内容或条款)</w:t>
      </w:r>
    </w:p>
    <w:p w14:paraId="6D9E0B97">
      <w:pPr>
        <w:adjustRightInd w:val="0"/>
        <w:snapToGrid w:val="0"/>
        <w:spacing w:line="360" w:lineRule="auto"/>
        <w:ind w:firstLine="480" w:firstLineChars="200"/>
        <w:rPr>
          <w:rFonts w:ascii="宋体" w:hAnsi="宋体" w:cs="仿宋"/>
          <w:sz w:val="24"/>
          <w:szCs w:val="24"/>
        </w:rPr>
      </w:pPr>
      <w:r>
        <w:rPr>
          <w:rFonts w:hint="eastAsia" w:ascii="宋体" w:hAnsi="宋体" w:cs="仿宋"/>
          <w:sz w:val="24"/>
          <w:szCs w:val="24"/>
        </w:rPr>
        <w:t>2、(说明疑问或无法理解原因)</w:t>
      </w:r>
    </w:p>
    <w:p w14:paraId="243E05C4">
      <w:pPr>
        <w:adjustRightInd w:val="0"/>
        <w:snapToGrid w:val="0"/>
        <w:spacing w:line="360" w:lineRule="auto"/>
        <w:ind w:firstLine="480" w:firstLineChars="200"/>
        <w:rPr>
          <w:rFonts w:ascii="宋体" w:hAnsi="宋体" w:cs="仿宋"/>
          <w:sz w:val="24"/>
          <w:szCs w:val="24"/>
        </w:rPr>
      </w:pPr>
      <w:r>
        <w:rPr>
          <w:rFonts w:hint="eastAsia" w:ascii="宋体" w:hAnsi="宋体" w:cs="仿宋"/>
          <w:sz w:val="24"/>
          <w:szCs w:val="24"/>
        </w:rPr>
        <w:t>3、(建议)</w:t>
      </w:r>
    </w:p>
    <w:p w14:paraId="1EC7BED5">
      <w:pPr>
        <w:adjustRightInd w:val="0"/>
        <w:snapToGrid w:val="0"/>
        <w:spacing w:line="360" w:lineRule="auto"/>
        <w:ind w:firstLine="480" w:firstLineChars="200"/>
        <w:rPr>
          <w:rFonts w:ascii="宋体" w:hAnsi="宋体" w:cs="仿宋"/>
          <w:sz w:val="24"/>
          <w:szCs w:val="24"/>
        </w:rPr>
      </w:pPr>
      <w:bookmarkStart w:id="1353" w:name="_Toc3352"/>
      <w:r>
        <w:rPr>
          <w:rFonts w:hint="eastAsia" w:ascii="宋体" w:hAnsi="宋体" w:cs="仿宋"/>
          <w:sz w:val="24"/>
          <w:szCs w:val="24"/>
        </w:rPr>
        <w:t>二、(事项二)</w:t>
      </w:r>
      <w:bookmarkEnd w:id="1353"/>
    </w:p>
    <w:p w14:paraId="5ECFA002">
      <w:pPr>
        <w:adjustRightInd w:val="0"/>
        <w:snapToGrid w:val="0"/>
        <w:spacing w:line="360" w:lineRule="auto"/>
        <w:ind w:firstLine="480" w:firstLineChars="200"/>
        <w:rPr>
          <w:rFonts w:ascii="宋体" w:hAnsi="宋体" w:cs="仿宋"/>
          <w:sz w:val="24"/>
          <w:szCs w:val="24"/>
        </w:rPr>
      </w:pPr>
      <w:r>
        <w:rPr>
          <w:rFonts w:hint="eastAsia" w:ascii="宋体" w:hAnsi="宋体" w:cs="仿宋"/>
          <w:sz w:val="24"/>
          <w:szCs w:val="24"/>
        </w:rPr>
        <w:t>...</w:t>
      </w:r>
    </w:p>
    <w:p w14:paraId="3C22D4CC">
      <w:pPr>
        <w:adjustRightInd w:val="0"/>
        <w:snapToGrid w:val="0"/>
        <w:spacing w:line="360" w:lineRule="auto"/>
        <w:ind w:firstLine="480" w:firstLineChars="200"/>
        <w:rPr>
          <w:rFonts w:ascii="宋体" w:hAnsi="宋体" w:cs="仿宋"/>
          <w:sz w:val="24"/>
          <w:szCs w:val="24"/>
        </w:rPr>
      </w:pPr>
      <w:r>
        <w:rPr>
          <w:rFonts w:hint="eastAsia" w:ascii="宋体" w:hAnsi="宋体" w:cs="仿宋"/>
          <w:sz w:val="24"/>
          <w:szCs w:val="24"/>
        </w:rPr>
        <w:t xml:space="preserve">随附相关证明材料如下： </w:t>
      </w:r>
    </w:p>
    <w:p w14:paraId="575456A2">
      <w:pPr>
        <w:spacing w:line="360" w:lineRule="auto"/>
        <w:ind w:firstLine="4228" w:firstLineChars="1762"/>
        <w:rPr>
          <w:rFonts w:ascii="宋体" w:hAnsi="宋体"/>
          <w:sz w:val="24"/>
          <w:u w:val="single"/>
        </w:rPr>
      </w:pPr>
      <w:r>
        <w:rPr>
          <w:rFonts w:hint="eastAsia" w:ascii="宋体" w:hAnsi="宋体"/>
          <w:sz w:val="24"/>
        </w:rPr>
        <w:t>联 系 人：</w:t>
      </w:r>
      <w:r>
        <w:rPr>
          <w:rFonts w:hint="eastAsia" w:ascii="宋体" w:hAnsi="宋体"/>
          <w:sz w:val="24"/>
          <w:u w:val="single"/>
        </w:rPr>
        <w:t xml:space="preserve">              </w:t>
      </w:r>
    </w:p>
    <w:p w14:paraId="55D17404">
      <w:pPr>
        <w:spacing w:line="360" w:lineRule="auto"/>
        <w:ind w:firstLine="4228" w:firstLineChars="1762"/>
        <w:rPr>
          <w:rFonts w:ascii="宋体" w:hAnsi="宋体"/>
          <w:sz w:val="24"/>
          <w:u w:val="single"/>
        </w:rPr>
      </w:pPr>
      <w:r>
        <w:rPr>
          <w:rFonts w:hint="eastAsia" w:ascii="宋体" w:hAnsi="宋体"/>
          <w:sz w:val="24"/>
        </w:rPr>
        <w:t>联系电话：</w:t>
      </w:r>
      <w:r>
        <w:rPr>
          <w:rFonts w:hint="eastAsia" w:ascii="宋体" w:hAnsi="宋体"/>
          <w:sz w:val="24"/>
          <w:u w:val="single"/>
        </w:rPr>
        <w:t xml:space="preserve">              </w:t>
      </w:r>
    </w:p>
    <w:p w14:paraId="7074FCD9">
      <w:pPr>
        <w:tabs>
          <w:tab w:val="left" w:pos="630"/>
        </w:tabs>
        <w:spacing w:line="360" w:lineRule="auto"/>
        <w:ind w:firstLine="4228" w:firstLineChars="1762"/>
        <w:rPr>
          <w:rFonts w:ascii="宋体" w:hAnsi="宋体"/>
          <w:sz w:val="24"/>
          <w:u w:val="single"/>
        </w:rPr>
      </w:pPr>
      <w:r>
        <w:rPr>
          <w:rFonts w:hint="eastAsia" w:ascii="宋体" w:hAnsi="宋体"/>
          <w:sz w:val="24"/>
        </w:rPr>
        <w:t>日    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1732C1DA">
      <w:pPr>
        <w:rPr>
          <w:rFonts w:ascii="仿宋" w:hAnsi="仿宋" w:eastAsia="仿宋" w:cs="仿宋"/>
          <w:b/>
          <w:bCs/>
          <w:sz w:val="32"/>
          <w:szCs w:val="44"/>
        </w:rPr>
      </w:pPr>
      <w:r>
        <w:rPr>
          <w:rFonts w:hint="eastAsia" w:ascii="仿宋" w:hAnsi="仿宋" w:eastAsia="仿宋" w:cs="仿宋"/>
          <w:b/>
          <w:bCs/>
          <w:sz w:val="32"/>
          <w:szCs w:val="44"/>
        </w:rPr>
        <w:br w:type="page"/>
      </w:r>
    </w:p>
    <w:p w14:paraId="0D4FF961">
      <w:pPr>
        <w:jc w:val="center"/>
        <w:outlineLvl w:val="1"/>
        <w:rPr>
          <w:rFonts w:ascii="仿宋" w:hAnsi="仿宋" w:eastAsia="仿宋" w:cs="仿宋"/>
          <w:b/>
          <w:bCs/>
          <w:sz w:val="32"/>
          <w:szCs w:val="44"/>
        </w:rPr>
      </w:pPr>
      <w:bookmarkStart w:id="1354" w:name="_Toc3245"/>
      <w:bookmarkStart w:id="1355" w:name="_Toc1575"/>
      <w:r>
        <w:rPr>
          <w:rFonts w:hint="eastAsia" w:ascii="仿宋" w:hAnsi="仿宋" w:eastAsia="仿宋" w:cs="仿宋"/>
          <w:b/>
          <w:bCs/>
          <w:sz w:val="32"/>
          <w:szCs w:val="44"/>
        </w:rPr>
        <w:t>质疑函范本</w:t>
      </w:r>
      <w:bookmarkEnd w:id="1354"/>
      <w:bookmarkEnd w:id="1355"/>
    </w:p>
    <w:p w14:paraId="75A9EE58">
      <w:pPr>
        <w:adjustRightInd w:val="0"/>
        <w:snapToGrid w:val="0"/>
        <w:spacing w:before="240" w:beforeLines="100" w:line="360" w:lineRule="auto"/>
        <w:rPr>
          <w:rFonts w:ascii="宋体" w:hAnsi="宋体" w:cs="仿宋"/>
          <w:b/>
          <w:bCs/>
          <w:sz w:val="24"/>
          <w:szCs w:val="24"/>
        </w:rPr>
      </w:pPr>
      <w:bookmarkStart w:id="1356" w:name="_Toc21381"/>
      <w:r>
        <w:rPr>
          <w:rFonts w:hint="eastAsia" w:ascii="宋体" w:hAnsi="宋体" w:cs="仿宋"/>
          <w:b/>
          <w:bCs/>
          <w:sz w:val="24"/>
          <w:szCs w:val="24"/>
        </w:rPr>
        <w:t>一、质疑供应商基本信息</w:t>
      </w:r>
      <w:bookmarkEnd w:id="1356"/>
    </w:p>
    <w:p w14:paraId="40185355">
      <w:pPr>
        <w:adjustRightInd w:val="0"/>
        <w:snapToGrid w:val="0"/>
        <w:spacing w:line="360" w:lineRule="auto"/>
        <w:rPr>
          <w:rFonts w:ascii="宋体" w:hAnsi="宋体" w:cs="仿宋"/>
          <w:sz w:val="24"/>
          <w:szCs w:val="24"/>
          <w:u w:val="dotted"/>
        </w:rPr>
      </w:pPr>
      <w:r>
        <w:rPr>
          <w:rFonts w:hint="eastAsia" w:ascii="宋体" w:hAnsi="宋体" w:cs="仿宋"/>
          <w:sz w:val="24"/>
          <w:szCs w:val="24"/>
        </w:rPr>
        <w:t>质疑供应商：</w:t>
      </w:r>
      <w:r>
        <w:rPr>
          <w:rFonts w:hint="eastAsia" w:ascii="宋体" w:hAnsi="宋体" w:cs="仿宋"/>
          <w:sz w:val="24"/>
          <w:szCs w:val="24"/>
          <w:u w:val="dotted"/>
        </w:rPr>
        <w:t xml:space="preserve">                                        </w:t>
      </w:r>
    </w:p>
    <w:p w14:paraId="3311EC81">
      <w:pPr>
        <w:adjustRightInd w:val="0"/>
        <w:snapToGrid w:val="0"/>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4D685C97">
      <w:pPr>
        <w:adjustRightInd w:val="0"/>
        <w:snapToGrid w:val="0"/>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5E460B58">
      <w:pPr>
        <w:adjustRightInd w:val="0"/>
        <w:snapToGrid w:val="0"/>
        <w:spacing w:line="360" w:lineRule="auto"/>
        <w:rPr>
          <w:rFonts w:ascii="宋体" w:hAnsi="宋体" w:cs="仿宋"/>
          <w:sz w:val="24"/>
          <w:szCs w:val="24"/>
          <w:u w:val="dotted"/>
        </w:rPr>
      </w:pPr>
      <w:r>
        <w:rPr>
          <w:rFonts w:hint="eastAsia" w:ascii="宋体" w:hAnsi="宋体" w:cs="仿宋"/>
          <w:sz w:val="24"/>
          <w:szCs w:val="24"/>
        </w:rPr>
        <w:t>授权代表：</w:t>
      </w:r>
      <w:r>
        <w:rPr>
          <w:rFonts w:hint="eastAsia" w:ascii="宋体" w:hAnsi="宋体" w:cs="仿宋"/>
          <w:sz w:val="24"/>
          <w:szCs w:val="24"/>
          <w:u w:val="dotted"/>
        </w:rPr>
        <w:t xml:space="preserve">                                          </w:t>
      </w:r>
    </w:p>
    <w:p w14:paraId="6BBC51CC">
      <w:pPr>
        <w:adjustRightInd w:val="0"/>
        <w:snapToGrid w:val="0"/>
        <w:spacing w:line="360" w:lineRule="auto"/>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dotted"/>
        </w:rPr>
        <w:t xml:space="preserve">                                           </w:t>
      </w:r>
      <w:r>
        <w:rPr>
          <w:rFonts w:ascii="宋体" w:hAnsi="宋体" w:cs="仿宋"/>
          <w:sz w:val="24"/>
          <w:szCs w:val="24"/>
        </w:rPr>
        <w:t xml:space="preserve"> </w:t>
      </w:r>
    </w:p>
    <w:p w14:paraId="74020D8B">
      <w:pPr>
        <w:adjustRightInd w:val="0"/>
        <w:snapToGrid w:val="0"/>
        <w:spacing w:line="360" w:lineRule="auto"/>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18FDB8D9">
      <w:pPr>
        <w:adjustRightInd w:val="0"/>
        <w:snapToGrid w:val="0"/>
        <w:spacing w:line="360" w:lineRule="auto"/>
        <w:rPr>
          <w:rFonts w:ascii="宋体" w:hAnsi="宋体" w:cs="仿宋"/>
          <w:b/>
          <w:bCs/>
          <w:sz w:val="24"/>
          <w:szCs w:val="24"/>
        </w:rPr>
      </w:pPr>
      <w:bookmarkStart w:id="1357" w:name="_Toc28415"/>
      <w:r>
        <w:rPr>
          <w:rFonts w:hint="eastAsia" w:ascii="宋体" w:hAnsi="宋体" w:cs="仿宋"/>
          <w:b/>
          <w:bCs/>
          <w:sz w:val="24"/>
          <w:szCs w:val="24"/>
        </w:rPr>
        <w:t>二、质疑项目基本情况</w:t>
      </w:r>
      <w:bookmarkEnd w:id="1357"/>
    </w:p>
    <w:p w14:paraId="5AE3186C">
      <w:pPr>
        <w:adjustRightInd w:val="0"/>
        <w:snapToGrid w:val="0"/>
        <w:spacing w:line="360" w:lineRule="auto"/>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dotted"/>
        </w:rPr>
        <w:t xml:space="preserve">                                      </w:t>
      </w:r>
    </w:p>
    <w:p w14:paraId="661525B9">
      <w:pPr>
        <w:adjustRightInd w:val="0"/>
        <w:snapToGrid w:val="0"/>
        <w:spacing w:line="360" w:lineRule="auto"/>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dotted"/>
        </w:rPr>
        <w:t xml:space="preserve">               </w:t>
      </w:r>
      <w:r>
        <w:rPr>
          <w:rFonts w:hint="eastAsia" w:ascii="宋体" w:hAnsi="宋体" w:cs="仿宋"/>
          <w:sz w:val="24"/>
          <w:szCs w:val="24"/>
        </w:rPr>
        <w:t>包号：</w:t>
      </w:r>
      <w:r>
        <w:rPr>
          <w:rFonts w:hint="eastAsia" w:ascii="宋体" w:hAnsi="宋体" w:cs="仿宋"/>
          <w:sz w:val="24"/>
          <w:szCs w:val="24"/>
          <w:u w:val="dotted"/>
        </w:rPr>
        <w:t xml:space="preserve">                 </w:t>
      </w:r>
    </w:p>
    <w:p w14:paraId="1216DB08">
      <w:pPr>
        <w:adjustRightInd w:val="0"/>
        <w:snapToGrid w:val="0"/>
        <w:spacing w:line="360" w:lineRule="auto"/>
        <w:rPr>
          <w:rFonts w:ascii="宋体" w:hAnsi="宋体" w:cs="仿宋"/>
          <w:sz w:val="24"/>
          <w:szCs w:val="24"/>
          <w:u w:val="dotted"/>
        </w:rPr>
      </w:pPr>
      <w:r>
        <w:rPr>
          <w:rFonts w:hint="eastAsia" w:ascii="宋体" w:hAnsi="宋体" w:cs="仿宋"/>
          <w:sz w:val="24"/>
          <w:szCs w:val="24"/>
        </w:rPr>
        <w:t>采购人名称：</w:t>
      </w:r>
      <w:r>
        <w:rPr>
          <w:rFonts w:hint="eastAsia" w:ascii="宋体" w:hAnsi="宋体" w:cs="仿宋"/>
          <w:sz w:val="24"/>
          <w:szCs w:val="24"/>
          <w:u w:val="dotted"/>
        </w:rPr>
        <w:t xml:space="preserve">                                         </w:t>
      </w:r>
    </w:p>
    <w:p w14:paraId="1CD9BBC1">
      <w:pPr>
        <w:adjustRightInd w:val="0"/>
        <w:snapToGrid w:val="0"/>
        <w:spacing w:line="360" w:lineRule="auto"/>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dotted"/>
        </w:rPr>
        <w:t xml:space="preserve">                                           </w:t>
      </w:r>
    </w:p>
    <w:p w14:paraId="70096AC3">
      <w:pPr>
        <w:adjustRightInd w:val="0"/>
        <w:snapToGrid w:val="0"/>
        <w:spacing w:line="360" w:lineRule="auto"/>
        <w:rPr>
          <w:rFonts w:ascii="宋体" w:hAnsi="宋体" w:cs="仿宋"/>
          <w:b/>
          <w:bCs/>
          <w:sz w:val="24"/>
          <w:szCs w:val="24"/>
        </w:rPr>
      </w:pPr>
      <w:bookmarkStart w:id="1358" w:name="_Toc19014"/>
      <w:r>
        <w:rPr>
          <w:rFonts w:hint="eastAsia" w:ascii="宋体" w:hAnsi="宋体" w:cs="仿宋"/>
          <w:b/>
          <w:bCs/>
          <w:sz w:val="24"/>
          <w:szCs w:val="24"/>
        </w:rPr>
        <w:t>三、质疑事项具体内容</w:t>
      </w:r>
      <w:bookmarkEnd w:id="1358"/>
    </w:p>
    <w:p w14:paraId="6FD8EBAC">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质疑事项1：</w:t>
      </w:r>
      <w:r>
        <w:rPr>
          <w:rFonts w:hint="eastAsia" w:ascii="宋体" w:hAnsi="宋体" w:cs="仿宋"/>
          <w:sz w:val="24"/>
          <w:szCs w:val="24"/>
          <w:u w:val="dotted"/>
        </w:rPr>
        <w:t xml:space="preserve">                                         </w:t>
      </w:r>
    </w:p>
    <w:p w14:paraId="5A1C6339">
      <w:pPr>
        <w:adjustRightInd w:val="0"/>
        <w:snapToGrid w:val="0"/>
        <w:spacing w:line="360" w:lineRule="auto"/>
        <w:rPr>
          <w:rFonts w:ascii="宋体" w:hAnsi="宋体" w:cs="仿宋"/>
          <w:sz w:val="24"/>
          <w:szCs w:val="24"/>
          <w:u w:val="dotted"/>
        </w:rPr>
      </w:pPr>
      <w:r>
        <w:rPr>
          <w:rFonts w:hint="eastAsia" w:ascii="宋体" w:hAnsi="宋体" w:cs="仿宋"/>
          <w:sz w:val="24"/>
          <w:szCs w:val="24"/>
        </w:rPr>
        <w:t>事实依据：</w:t>
      </w:r>
      <w:r>
        <w:rPr>
          <w:rFonts w:hint="eastAsia" w:ascii="宋体" w:hAnsi="宋体" w:cs="仿宋"/>
          <w:sz w:val="24"/>
          <w:szCs w:val="24"/>
          <w:u w:val="dotted"/>
        </w:rPr>
        <w:t xml:space="preserve">                                          </w:t>
      </w:r>
    </w:p>
    <w:p w14:paraId="5B9F1B54">
      <w:pPr>
        <w:adjustRightInd w:val="0"/>
        <w:snapToGrid w:val="0"/>
        <w:spacing w:line="360" w:lineRule="auto"/>
        <w:rPr>
          <w:rFonts w:ascii="宋体" w:hAnsi="宋体" w:cs="仿宋"/>
          <w:sz w:val="24"/>
          <w:szCs w:val="24"/>
        </w:rPr>
      </w:pPr>
      <w:r>
        <w:rPr>
          <w:rFonts w:hint="eastAsia" w:ascii="宋体" w:hAnsi="宋体" w:cs="仿宋"/>
          <w:sz w:val="24"/>
          <w:szCs w:val="24"/>
          <w:u w:val="dotted"/>
        </w:rPr>
        <w:t xml:space="preserve">                                                       </w:t>
      </w:r>
    </w:p>
    <w:p w14:paraId="3E0FABF7">
      <w:pPr>
        <w:adjustRightInd w:val="0"/>
        <w:snapToGrid w:val="0"/>
        <w:spacing w:line="360" w:lineRule="auto"/>
        <w:rPr>
          <w:rFonts w:ascii="宋体" w:hAnsi="宋体" w:cs="仿宋"/>
          <w:sz w:val="24"/>
          <w:szCs w:val="24"/>
          <w:u w:val="dotted"/>
        </w:rPr>
      </w:pPr>
      <w:r>
        <w:rPr>
          <w:rFonts w:hint="eastAsia" w:ascii="宋体" w:hAnsi="宋体" w:cs="仿宋"/>
          <w:sz w:val="24"/>
          <w:szCs w:val="24"/>
        </w:rPr>
        <w:t>法律依据：</w:t>
      </w:r>
      <w:r>
        <w:rPr>
          <w:rFonts w:hint="eastAsia" w:ascii="宋体" w:hAnsi="宋体" w:cs="仿宋"/>
          <w:sz w:val="24"/>
          <w:szCs w:val="24"/>
          <w:u w:val="dotted"/>
        </w:rPr>
        <w:t xml:space="preserve">                                          </w:t>
      </w:r>
    </w:p>
    <w:p w14:paraId="19C8B337">
      <w:pPr>
        <w:adjustRightInd w:val="0"/>
        <w:snapToGrid w:val="0"/>
        <w:spacing w:line="360" w:lineRule="auto"/>
        <w:rPr>
          <w:rFonts w:ascii="宋体" w:hAnsi="宋体" w:cs="仿宋"/>
          <w:sz w:val="24"/>
          <w:szCs w:val="24"/>
          <w:u w:val="dotted"/>
        </w:rPr>
      </w:pPr>
      <w:r>
        <w:rPr>
          <w:rFonts w:hint="eastAsia" w:ascii="宋体" w:hAnsi="宋体" w:cs="仿宋"/>
          <w:sz w:val="24"/>
          <w:szCs w:val="24"/>
          <w:u w:val="dotted"/>
        </w:rPr>
        <w:t xml:space="preserve">                                                     </w:t>
      </w:r>
    </w:p>
    <w:p w14:paraId="0D592388">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质疑事项2</w:t>
      </w:r>
    </w:p>
    <w:p w14:paraId="4BF1D4B4">
      <w:pPr>
        <w:adjustRightInd w:val="0"/>
        <w:snapToGrid w:val="0"/>
        <w:spacing w:line="360" w:lineRule="auto"/>
        <w:rPr>
          <w:rFonts w:ascii="宋体" w:hAnsi="宋体" w:cs="仿宋"/>
          <w:sz w:val="24"/>
          <w:szCs w:val="24"/>
        </w:rPr>
      </w:pPr>
      <w:r>
        <w:rPr>
          <w:rFonts w:hint="eastAsia" w:ascii="宋体" w:hAnsi="宋体" w:cs="仿宋"/>
          <w:sz w:val="24"/>
          <w:szCs w:val="24"/>
        </w:rPr>
        <w:t>……</w:t>
      </w:r>
    </w:p>
    <w:p w14:paraId="1E289658">
      <w:pPr>
        <w:adjustRightInd w:val="0"/>
        <w:snapToGrid w:val="0"/>
        <w:spacing w:line="360" w:lineRule="auto"/>
        <w:rPr>
          <w:rFonts w:ascii="宋体" w:hAnsi="宋体" w:cs="仿宋"/>
          <w:b/>
          <w:bCs/>
          <w:sz w:val="24"/>
          <w:szCs w:val="24"/>
        </w:rPr>
      </w:pPr>
      <w:bookmarkStart w:id="1359" w:name="_Toc17919"/>
      <w:r>
        <w:rPr>
          <w:rFonts w:hint="eastAsia" w:ascii="宋体" w:hAnsi="宋体" w:cs="仿宋"/>
          <w:b/>
          <w:bCs/>
          <w:sz w:val="24"/>
          <w:szCs w:val="24"/>
        </w:rPr>
        <w:t>四、与质疑事项相关的质疑请求</w:t>
      </w:r>
      <w:bookmarkEnd w:id="1359"/>
    </w:p>
    <w:p w14:paraId="1BDDFFA3">
      <w:pPr>
        <w:adjustRightInd w:val="0"/>
        <w:snapToGrid w:val="0"/>
        <w:spacing w:line="360" w:lineRule="auto"/>
        <w:rPr>
          <w:rFonts w:ascii="宋体" w:hAnsi="宋体" w:cs="仿宋"/>
          <w:sz w:val="24"/>
          <w:szCs w:val="24"/>
          <w:u w:val="dotted"/>
        </w:rPr>
      </w:pPr>
      <w:r>
        <w:rPr>
          <w:rFonts w:hint="eastAsia" w:ascii="宋体" w:hAnsi="宋体" w:cs="仿宋"/>
          <w:sz w:val="24"/>
          <w:szCs w:val="24"/>
        </w:rPr>
        <w:t>请求：</w:t>
      </w:r>
      <w:r>
        <w:rPr>
          <w:rFonts w:hint="eastAsia" w:ascii="宋体" w:hAnsi="宋体" w:cs="仿宋"/>
          <w:sz w:val="24"/>
          <w:szCs w:val="24"/>
          <w:u w:val="dotted"/>
        </w:rPr>
        <w:t xml:space="preserve">                                               </w:t>
      </w:r>
    </w:p>
    <w:p w14:paraId="395226CB">
      <w:pPr>
        <w:spacing w:line="360" w:lineRule="auto"/>
        <w:rPr>
          <w:rFonts w:ascii="宋体" w:hAnsi="宋体"/>
          <w:sz w:val="24"/>
          <w:szCs w:val="24"/>
        </w:rPr>
      </w:pPr>
      <w:r>
        <w:rPr>
          <w:rFonts w:hint="eastAsia" w:ascii="宋体" w:hAnsi="宋体"/>
          <w:sz w:val="24"/>
          <w:szCs w:val="24"/>
        </w:rPr>
        <w:t xml:space="preserve">签字(签章)：                   公章：                      </w:t>
      </w:r>
    </w:p>
    <w:p w14:paraId="2B9A665D">
      <w:pPr>
        <w:spacing w:line="360" w:lineRule="auto"/>
        <w:rPr>
          <w:rFonts w:ascii="宋体" w:hAnsi="宋体"/>
          <w:sz w:val="24"/>
          <w:szCs w:val="24"/>
        </w:rPr>
      </w:pPr>
      <w:r>
        <w:rPr>
          <w:rFonts w:hint="eastAsia" w:ascii="宋体" w:hAnsi="宋体"/>
          <w:sz w:val="24"/>
          <w:szCs w:val="24"/>
        </w:rPr>
        <w:t xml:space="preserve">日期：    </w:t>
      </w:r>
    </w:p>
    <w:p w14:paraId="01588059">
      <w:pPr>
        <w:widowControl/>
        <w:jc w:val="left"/>
        <w:rPr>
          <w:rFonts w:ascii="仿宋" w:hAnsi="仿宋" w:eastAsia="仿宋" w:cs="仿宋"/>
          <w:sz w:val="32"/>
          <w:szCs w:val="32"/>
        </w:rPr>
      </w:pPr>
      <w:r>
        <w:rPr>
          <w:rFonts w:ascii="仿宋" w:hAnsi="仿宋" w:eastAsia="仿宋" w:cs="仿宋"/>
          <w:sz w:val="32"/>
          <w:szCs w:val="32"/>
        </w:rPr>
        <w:br w:type="page"/>
      </w:r>
    </w:p>
    <w:p w14:paraId="58AB8920">
      <w:pPr>
        <w:outlineLvl w:val="0"/>
        <w:rPr>
          <w:rFonts w:ascii="宋体" w:hAnsi="宋体"/>
          <w:b/>
          <w:sz w:val="28"/>
          <w:szCs w:val="32"/>
        </w:rPr>
      </w:pPr>
      <w:bookmarkStart w:id="1360" w:name="_Toc26836"/>
      <w:bookmarkStart w:id="1361" w:name="_Toc2952"/>
      <w:bookmarkStart w:id="1362" w:name="_Toc1804"/>
      <w:bookmarkStart w:id="1363" w:name="_Toc9754"/>
      <w:bookmarkStart w:id="1364" w:name="_Toc21378"/>
      <w:bookmarkStart w:id="1365" w:name="_Toc2600"/>
      <w:r>
        <w:rPr>
          <w:rFonts w:hint="eastAsia" w:ascii="宋体" w:hAnsi="宋体"/>
          <w:b/>
          <w:sz w:val="28"/>
          <w:szCs w:val="32"/>
        </w:rPr>
        <w:t>质疑函制作说明：</w:t>
      </w:r>
      <w:bookmarkEnd w:id="1360"/>
      <w:bookmarkEnd w:id="1361"/>
      <w:bookmarkEnd w:id="1362"/>
      <w:bookmarkEnd w:id="1363"/>
      <w:bookmarkEnd w:id="1364"/>
      <w:bookmarkEnd w:id="1365"/>
    </w:p>
    <w:p w14:paraId="4EA7EA2A">
      <w:pPr>
        <w:spacing w:line="360" w:lineRule="auto"/>
        <w:ind w:firstLine="435"/>
        <w:rPr>
          <w:rFonts w:ascii="宋体" w:hAnsi="宋体"/>
          <w:sz w:val="24"/>
        </w:rPr>
      </w:pPr>
      <w:r>
        <w:rPr>
          <w:rFonts w:hint="eastAsia" w:ascii="宋体" w:hAnsi="宋体"/>
          <w:sz w:val="24"/>
        </w:rPr>
        <w:t>1.供应商提出质疑时，应提交质疑函和必要的证明材料。</w:t>
      </w:r>
    </w:p>
    <w:p w14:paraId="092023CB">
      <w:pPr>
        <w:spacing w:line="360" w:lineRule="auto"/>
        <w:ind w:firstLine="435"/>
        <w:rPr>
          <w:rFonts w:ascii="宋体" w:hAnsi="宋体"/>
          <w:sz w:val="24"/>
        </w:rPr>
      </w:pPr>
      <w:r>
        <w:rPr>
          <w:rFonts w:hint="eastAsia" w:ascii="宋体" w:hAnsi="宋体"/>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15D8D2">
      <w:pPr>
        <w:spacing w:line="360" w:lineRule="auto"/>
        <w:ind w:firstLine="435"/>
        <w:rPr>
          <w:rFonts w:ascii="宋体" w:hAnsi="宋体"/>
          <w:sz w:val="24"/>
        </w:rPr>
      </w:pPr>
      <w:r>
        <w:rPr>
          <w:rFonts w:hint="eastAsia" w:ascii="宋体" w:hAnsi="宋体"/>
          <w:sz w:val="24"/>
        </w:rPr>
        <w:t>3.质疑供应商若对项目的某一分包进行质疑，质疑函中应列明具体分包号。</w:t>
      </w:r>
    </w:p>
    <w:p w14:paraId="46255011">
      <w:pPr>
        <w:spacing w:line="360" w:lineRule="auto"/>
        <w:ind w:firstLine="435"/>
        <w:rPr>
          <w:rFonts w:ascii="宋体" w:hAnsi="宋体"/>
          <w:sz w:val="24"/>
        </w:rPr>
      </w:pPr>
      <w:r>
        <w:rPr>
          <w:rFonts w:hint="eastAsia" w:ascii="宋体" w:hAnsi="宋体"/>
          <w:sz w:val="24"/>
        </w:rPr>
        <w:t>4.质疑函的质疑事项应具体、明确，并有必要的事实依据和法律依据。</w:t>
      </w:r>
    </w:p>
    <w:p w14:paraId="34BD121B">
      <w:pPr>
        <w:spacing w:line="360" w:lineRule="auto"/>
        <w:ind w:firstLine="435"/>
        <w:rPr>
          <w:rFonts w:ascii="宋体" w:hAnsi="宋体"/>
          <w:sz w:val="24"/>
        </w:rPr>
      </w:pPr>
      <w:r>
        <w:rPr>
          <w:rFonts w:hint="eastAsia" w:ascii="宋体" w:hAnsi="宋体"/>
          <w:sz w:val="24"/>
        </w:rPr>
        <w:t>5.质疑函的质疑请求应与质疑事项相关。</w:t>
      </w:r>
    </w:p>
    <w:p w14:paraId="6925DD93">
      <w:pPr>
        <w:spacing w:line="360" w:lineRule="auto"/>
        <w:ind w:firstLine="435"/>
        <w:rPr>
          <w:rFonts w:ascii="宋体" w:hAnsi="宋体"/>
          <w:sz w:val="24"/>
        </w:rPr>
      </w:pPr>
      <w:r>
        <w:rPr>
          <w:rFonts w:hint="eastAsia" w:ascii="宋体" w:hAnsi="宋体"/>
          <w:sz w:val="24"/>
        </w:rPr>
        <w:t>6.质疑供应商为自然人的，质疑函应由本人签字；质疑供应商为法人或者其他组织的，质疑函应由法定代表人、主要负责人，或者其授权代表签字或者盖章，并加盖公章。</w:t>
      </w:r>
    </w:p>
    <w:p w14:paraId="14D4E636"/>
    <w:p w14:paraId="077838B4"/>
    <w:sectPr>
      <w:headerReference r:id="rId12" w:type="default"/>
      <w:pgSz w:w="11907" w:h="16840"/>
      <w:pgMar w:top="1440" w:right="1247" w:bottom="1440" w:left="1247" w:header="851" w:footer="992" w:gutter="0"/>
      <w:pgNumType w:fmt="decimal"/>
      <w:cols w:space="720" w:num="1"/>
      <w:docGrid w:linePitch="30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7919F07-7AAA-4C4F-9043-7522188A3656}"/>
  </w:font>
  <w:font w:name="Arial">
    <w:panose1 w:val="020B0604020202020204"/>
    <w:charset w:val="01"/>
    <w:family w:val="swiss"/>
    <w:pitch w:val="default"/>
    <w:sig w:usb0="E0002EFF" w:usb1="C000785B" w:usb2="00000009" w:usb3="00000000" w:csb0="400001FF" w:csb1="FFFF0000"/>
    <w:embedRegular r:id="rId2" w:fontKey="{357E8011-9A7D-4B63-8812-243DDF634CFF}"/>
  </w:font>
  <w:font w:name="黑体">
    <w:panose1 w:val="02010609060101010101"/>
    <w:charset w:val="86"/>
    <w:family w:val="auto"/>
    <w:pitch w:val="default"/>
    <w:sig w:usb0="800002BF" w:usb1="38CF7CFA" w:usb2="00000016" w:usb3="00000000" w:csb0="00040001" w:csb1="00000000"/>
    <w:embedRegular r:id="rId3" w:fontKey="{FD5BF423-E990-44A5-BEC1-7118F8C3B1C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E61E645D-F04E-424F-A4E5-DF6C37D895CB}"/>
  </w:font>
  <w:font w:name="Cambria">
    <w:panose1 w:val="02040503050406030204"/>
    <w:charset w:val="00"/>
    <w:family w:val="roman"/>
    <w:pitch w:val="default"/>
    <w:sig w:usb0="E00006FF" w:usb1="420024FF" w:usb2="02000000" w:usb3="00000000" w:csb0="2000019F" w:csb1="00000000"/>
    <w:embedRegular r:id="rId5" w:fontKey="{79A23F84-16FA-4F4D-80B0-427581ABE75A}"/>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embedRegular r:id="rId6" w:fontKey="{60804A96-5053-43DF-A56D-132447B02D46}"/>
  </w:font>
  <w:font w:name="仿宋">
    <w:panose1 w:val="02010609060101010101"/>
    <w:charset w:val="86"/>
    <w:family w:val="modern"/>
    <w:pitch w:val="default"/>
    <w:sig w:usb0="800002BF" w:usb1="38CF7CFA" w:usb2="00000016" w:usb3="00000000" w:csb0="00040001" w:csb1="00000000"/>
    <w:embedRegular r:id="rId7" w:fontKey="{2BB8BC19-848F-443A-9B87-513E87A874F2}"/>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embedRegular r:id="rId8" w:fontKey="{7D6B1373-9E3E-49CA-9C70-894E5B517471}"/>
  </w:font>
  <w:font w:name="方正仿宋_GBK">
    <w:panose1 w:val="03000509000000000000"/>
    <w:charset w:val="86"/>
    <w:family w:val="script"/>
    <w:pitch w:val="default"/>
    <w:sig w:usb0="00000001" w:usb1="080E0000" w:usb2="00000000" w:usb3="00000000" w:csb0="00040000" w:csb1="00000000"/>
    <w:embedRegular r:id="rId9" w:fontKey="{DA7249AB-DC86-4A0E-B9CF-5C5820D6F0F8}"/>
  </w:font>
  <w:font w:name="微软雅黑">
    <w:panose1 w:val="020B0503020204020204"/>
    <w:charset w:val="86"/>
    <w:family w:val="auto"/>
    <w:pitch w:val="default"/>
    <w:sig w:usb0="80000287" w:usb1="2ACF3C50" w:usb2="00000016" w:usb3="00000000" w:csb0="0004001F" w:csb1="00000000"/>
    <w:embedRegular r:id="rId10" w:fontKey="{F351DCD5-64E4-4C89-ACB4-53AEE028E61F}"/>
  </w:font>
  <w:font w:name="WPSEMBED1">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547A7">
    <w:pPr>
      <w:pStyle w:val="14"/>
      <w:rPr>
        <w:rFonts w:hint="eastAsia"/>
      </w:rPr>
    </w:pPr>
  </w:p>
  <w:p w14:paraId="4274F204">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4B64A">
    <w:pPr>
      <w:pStyle w:val="14"/>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E89B4D">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7E89B4D">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1552A8F2">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31897">
    <w:pPr>
      <w:pStyle w:val="14"/>
      <w:ind w:right="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58640">
                          <w:pPr>
                            <w:pStyle w:val="14"/>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AF58640">
                    <w:pPr>
                      <w:pStyle w:val="14"/>
                    </w:pPr>
                    <w:r>
                      <w:fldChar w:fldCharType="begin"/>
                    </w:r>
                    <w:r>
                      <w:instrText xml:space="preserve"> PAGE  \* MERGEFORMAT </w:instrText>
                    </w:r>
                    <w:r>
                      <w:fldChar w:fldCharType="separate"/>
                    </w:r>
                    <w:r>
                      <w:t>43</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DC019A2">
                          <w:pPr>
                            <w:pStyle w:val="14"/>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4ghgqtIBAACjAwAADgAAAAAAAAABACAAAAAi&#10;AQAAZHJzL2Uyb0RvYy54bWxQSwUGAAAAAAYABgBZAQAAZgUAAAAA&#10;">
              <v:fill on="f" focussize="0,0"/>
              <v:stroke on="f" weight="1.25pt"/>
              <v:imagedata o:title=""/>
              <o:lock v:ext="edit" aspectratio="f"/>
              <v:textbox inset="0mm,0mm,0mm,0mm" style="mso-fit-shape-to-text:t;">
                <w:txbxContent>
                  <w:p w14:paraId="2DC019A2">
                    <w:pPr>
                      <w:pStyle w:val="14"/>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00F96">
    <w:pPr>
      <w:pStyle w:val="14"/>
      <w:ind w:right="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16C718">
                          <w:pPr>
                            <w:pStyle w:val="14"/>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016C718">
                    <w:pPr>
                      <w:pStyle w:val="14"/>
                    </w:pPr>
                    <w:r>
                      <w:fldChar w:fldCharType="begin"/>
                    </w:r>
                    <w:r>
                      <w:instrText xml:space="preserve"> PAGE  \* MERGEFORMAT </w:instrText>
                    </w:r>
                    <w:r>
                      <w:fldChar w:fldCharType="separate"/>
                    </w:r>
                    <w:r>
                      <w:t>63</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A8B0017">
                          <w:pPr>
                            <w:pStyle w:val="14"/>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cH7/NIBAACjAwAADgAAAAAAAAABACAAAAAi&#10;AQAAZHJzL2Uyb0RvYy54bWxQSwUGAAAAAAYABgBZAQAAZgUAAAAA&#10;">
              <v:fill on="f" focussize="0,0"/>
              <v:stroke on="f" weight="1.25pt"/>
              <v:imagedata o:title=""/>
              <o:lock v:ext="edit" aspectratio="f"/>
              <v:textbox inset="0mm,0mm,0mm,0mm" style="mso-fit-shape-to-text:t;">
                <w:txbxContent>
                  <w:p w14:paraId="1A8B0017">
                    <w:pPr>
                      <w:pStyle w:val="14"/>
                      <w:rPr>
                        <w:rFonts w:hint="eastAsia"/>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5D2F6">
    <w:pPr>
      <w:pStyle w:val="15"/>
      <w:pBdr>
        <w:bottom w:val="none" w:color="auto" w:sz="0" w:space="0"/>
      </w:pBdr>
      <w:jc w:val="left"/>
      <w:rPr>
        <w:rFonts w:hint="eastAsia" w:ascii="宋体" w:hAns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94967">
    <w:pPr>
      <w:pStyle w:val="15"/>
      <w:pBdr>
        <w:bottom w:val="none" w:color="auto" w:sz="0" w:space="0"/>
      </w:pBdr>
      <w:jc w:val="left"/>
      <w:rPr>
        <w:rFonts w:hint="eastAsia" w:ascii="宋体" w:hAnsi="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757D3">
    <w:pPr>
      <w:pStyle w:val="15"/>
      <w:pBdr>
        <w:bottom w:val="none" w:color="auto" w:sz="0" w:space="1"/>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D708F">
    <w:pPr>
      <w:pStyle w:val="15"/>
      <w:pBdr>
        <w:bottom w:val="none" w:color="auto" w:sz="0" w:space="1"/>
      </w:pBdr>
      <w:tabs>
        <w:tab w:val="left" w:pos="2749"/>
        <w:tab w:val="clear" w:pos="4153"/>
      </w:tabs>
      <w:jc w:val="left"/>
      <w:rPr>
        <w:rFonts w:hint="eastAsia"/>
      </w:rPr>
    </w:pP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CD3870"/>
    <w:multiLevelType w:val="singleLevel"/>
    <w:tmpl w:val="DECD3870"/>
    <w:lvl w:ilvl="0" w:tentative="0">
      <w:start w:val="1"/>
      <w:numFmt w:val="decimal"/>
      <w:lvlText w:val="%1."/>
      <w:lvlJc w:val="left"/>
      <w:pPr>
        <w:ind w:left="425" w:hanging="425"/>
      </w:pPr>
      <w:rPr>
        <w:rFonts w:hint="default" w:ascii="宋体" w:hAnsi="宋体" w:eastAsia="宋体" w:cs="宋体"/>
        <w:sz w:val="24"/>
        <w:szCs w:val="24"/>
      </w:rPr>
    </w:lvl>
  </w:abstractNum>
  <w:abstractNum w:abstractNumId="1">
    <w:nsid w:val="569C62D0"/>
    <w:multiLevelType w:val="multilevel"/>
    <w:tmpl w:val="569C62D0"/>
    <w:lvl w:ilvl="0" w:tentative="0">
      <w:start w:val="1"/>
      <w:numFmt w:val="decimal"/>
      <w:lvlText w:val="（%1）"/>
      <w:lvlJc w:val="left"/>
      <w:pPr>
        <w:ind w:left="709" w:hanging="601"/>
      </w:pPr>
      <w:rPr>
        <w:rFonts w:hint="default" w:ascii="宋体" w:hAnsi="宋体" w:eastAsia="宋体" w:cs="宋体"/>
        <w:color w:val="auto"/>
        <w:w w:val="100"/>
        <w:sz w:val="22"/>
        <w:szCs w:val="22"/>
        <w:lang w:val="zh-CN" w:eastAsia="zh-CN" w:bidi="zh-CN"/>
      </w:rPr>
    </w:lvl>
    <w:lvl w:ilvl="1" w:tentative="0">
      <w:start w:val="0"/>
      <w:numFmt w:val="bullet"/>
      <w:lvlText w:val="•"/>
      <w:lvlJc w:val="left"/>
      <w:pPr>
        <w:ind w:left="1175" w:hanging="601"/>
      </w:pPr>
      <w:rPr>
        <w:rFonts w:hint="default"/>
        <w:lang w:val="zh-CN" w:eastAsia="zh-CN" w:bidi="zh-CN"/>
      </w:rPr>
    </w:lvl>
    <w:lvl w:ilvl="2" w:tentative="0">
      <w:start w:val="0"/>
      <w:numFmt w:val="bullet"/>
      <w:lvlText w:val="•"/>
      <w:lvlJc w:val="left"/>
      <w:pPr>
        <w:ind w:left="1651" w:hanging="601"/>
      </w:pPr>
      <w:rPr>
        <w:rFonts w:hint="default"/>
        <w:lang w:val="zh-CN" w:eastAsia="zh-CN" w:bidi="zh-CN"/>
      </w:rPr>
    </w:lvl>
    <w:lvl w:ilvl="3" w:tentative="0">
      <w:start w:val="0"/>
      <w:numFmt w:val="bullet"/>
      <w:lvlText w:val="•"/>
      <w:lvlJc w:val="left"/>
      <w:pPr>
        <w:ind w:left="2127" w:hanging="601"/>
      </w:pPr>
      <w:rPr>
        <w:rFonts w:hint="default"/>
        <w:lang w:val="zh-CN" w:eastAsia="zh-CN" w:bidi="zh-CN"/>
      </w:rPr>
    </w:lvl>
    <w:lvl w:ilvl="4" w:tentative="0">
      <w:start w:val="0"/>
      <w:numFmt w:val="bullet"/>
      <w:lvlText w:val="•"/>
      <w:lvlJc w:val="left"/>
      <w:pPr>
        <w:ind w:left="2603" w:hanging="601"/>
      </w:pPr>
      <w:rPr>
        <w:rFonts w:hint="default"/>
        <w:lang w:val="zh-CN" w:eastAsia="zh-CN" w:bidi="zh-CN"/>
      </w:rPr>
    </w:lvl>
    <w:lvl w:ilvl="5" w:tentative="0">
      <w:start w:val="0"/>
      <w:numFmt w:val="bullet"/>
      <w:lvlText w:val="•"/>
      <w:lvlJc w:val="left"/>
      <w:pPr>
        <w:ind w:left="3079" w:hanging="601"/>
      </w:pPr>
      <w:rPr>
        <w:rFonts w:hint="default"/>
        <w:lang w:val="zh-CN" w:eastAsia="zh-CN" w:bidi="zh-CN"/>
      </w:rPr>
    </w:lvl>
    <w:lvl w:ilvl="6" w:tentative="0">
      <w:start w:val="0"/>
      <w:numFmt w:val="bullet"/>
      <w:lvlText w:val="•"/>
      <w:lvlJc w:val="left"/>
      <w:pPr>
        <w:ind w:left="3554" w:hanging="601"/>
      </w:pPr>
      <w:rPr>
        <w:rFonts w:hint="default"/>
        <w:lang w:val="zh-CN" w:eastAsia="zh-CN" w:bidi="zh-CN"/>
      </w:rPr>
    </w:lvl>
    <w:lvl w:ilvl="7" w:tentative="0">
      <w:start w:val="0"/>
      <w:numFmt w:val="bullet"/>
      <w:lvlText w:val="•"/>
      <w:lvlJc w:val="left"/>
      <w:pPr>
        <w:ind w:left="4030" w:hanging="601"/>
      </w:pPr>
      <w:rPr>
        <w:rFonts w:hint="default"/>
        <w:lang w:val="zh-CN" w:eastAsia="zh-CN" w:bidi="zh-CN"/>
      </w:rPr>
    </w:lvl>
    <w:lvl w:ilvl="8" w:tentative="0">
      <w:start w:val="0"/>
      <w:numFmt w:val="bullet"/>
      <w:lvlText w:val="•"/>
      <w:lvlJc w:val="left"/>
      <w:pPr>
        <w:ind w:left="4506" w:hanging="601"/>
      </w:pPr>
      <w:rPr>
        <w:rFonts w:hint="default"/>
        <w:lang w:val="zh-CN" w:eastAsia="zh-CN" w:bidi="zh-C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 w:name="KSO_WPS_MARK_KEY" w:val="9b8e9cd7-dca7-42d5-a73b-87a2fd9422cb"/>
  </w:docVars>
  <w:rsids>
    <w:rsidRoot w:val="03131381"/>
    <w:rsid w:val="000535A6"/>
    <w:rsid w:val="0007285A"/>
    <w:rsid w:val="000C024B"/>
    <w:rsid w:val="00110B52"/>
    <w:rsid w:val="002C61F7"/>
    <w:rsid w:val="003C57BF"/>
    <w:rsid w:val="00416146"/>
    <w:rsid w:val="004D2F8B"/>
    <w:rsid w:val="00515C5E"/>
    <w:rsid w:val="005D4E40"/>
    <w:rsid w:val="0078768E"/>
    <w:rsid w:val="00793B22"/>
    <w:rsid w:val="007A5B5E"/>
    <w:rsid w:val="00902C2A"/>
    <w:rsid w:val="0092502C"/>
    <w:rsid w:val="00944C2E"/>
    <w:rsid w:val="00A7564C"/>
    <w:rsid w:val="00AB5BD3"/>
    <w:rsid w:val="00B2631C"/>
    <w:rsid w:val="00D060C0"/>
    <w:rsid w:val="00E166ED"/>
    <w:rsid w:val="00EF7950"/>
    <w:rsid w:val="00FE0429"/>
    <w:rsid w:val="010F3B4F"/>
    <w:rsid w:val="0125228E"/>
    <w:rsid w:val="013D1416"/>
    <w:rsid w:val="014A102B"/>
    <w:rsid w:val="014A4B87"/>
    <w:rsid w:val="014E1610"/>
    <w:rsid w:val="015123B9"/>
    <w:rsid w:val="01694458"/>
    <w:rsid w:val="017C6AB3"/>
    <w:rsid w:val="01804A4C"/>
    <w:rsid w:val="018B49BA"/>
    <w:rsid w:val="018D7BFA"/>
    <w:rsid w:val="01AA079F"/>
    <w:rsid w:val="01B446F6"/>
    <w:rsid w:val="01B73BF6"/>
    <w:rsid w:val="01C34939"/>
    <w:rsid w:val="01C82990"/>
    <w:rsid w:val="01EF6693"/>
    <w:rsid w:val="01F43712"/>
    <w:rsid w:val="01F53F86"/>
    <w:rsid w:val="020411DA"/>
    <w:rsid w:val="0204742C"/>
    <w:rsid w:val="02315D47"/>
    <w:rsid w:val="023D0B8F"/>
    <w:rsid w:val="0249783D"/>
    <w:rsid w:val="02522158"/>
    <w:rsid w:val="0252745F"/>
    <w:rsid w:val="026223A4"/>
    <w:rsid w:val="026E2AF7"/>
    <w:rsid w:val="028B381F"/>
    <w:rsid w:val="0297204E"/>
    <w:rsid w:val="02AD361F"/>
    <w:rsid w:val="02B726F0"/>
    <w:rsid w:val="02D74B40"/>
    <w:rsid w:val="02E21925"/>
    <w:rsid w:val="02E37041"/>
    <w:rsid w:val="03131381"/>
    <w:rsid w:val="031D702B"/>
    <w:rsid w:val="033E16E3"/>
    <w:rsid w:val="034321D6"/>
    <w:rsid w:val="03A27613"/>
    <w:rsid w:val="03B94246"/>
    <w:rsid w:val="03C9092D"/>
    <w:rsid w:val="03DB0660"/>
    <w:rsid w:val="03EC0177"/>
    <w:rsid w:val="03F84D00"/>
    <w:rsid w:val="0405748B"/>
    <w:rsid w:val="04322975"/>
    <w:rsid w:val="04390EE3"/>
    <w:rsid w:val="043E3B3F"/>
    <w:rsid w:val="044E0E40"/>
    <w:rsid w:val="045A6946"/>
    <w:rsid w:val="046249E2"/>
    <w:rsid w:val="0465519A"/>
    <w:rsid w:val="04684391"/>
    <w:rsid w:val="0482288A"/>
    <w:rsid w:val="04903A62"/>
    <w:rsid w:val="049820AD"/>
    <w:rsid w:val="04A86794"/>
    <w:rsid w:val="04A942BA"/>
    <w:rsid w:val="04BA1E00"/>
    <w:rsid w:val="04CE5ACF"/>
    <w:rsid w:val="04DA276A"/>
    <w:rsid w:val="04DD5721"/>
    <w:rsid w:val="04F755B0"/>
    <w:rsid w:val="05031C1C"/>
    <w:rsid w:val="051A51B8"/>
    <w:rsid w:val="05257DE5"/>
    <w:rsid w:val="052D68E4"/>
    <w:rsid w:val="05345729"/>
    <w:rsid w:val="05383DBD"/>
    <w:rsid w:val="05434BBA"/>
    <w:rsid w:val="05492A09"/>
    <w:rsid w:val="05617E08"/>
    <w:rsid w:val="05942874"/>
    <w:rsid w:val="05A607FA"/>
    <w:rsid w:val="05CD5D86"/>
    <w:rsid w:val="05E02329"/>
    <w:rsid w:val="05E337FC"/>
    <w:rsid w:val="06041BB2"/>
    <w:rsid w:val="060A6FDB"/>
    <w:rsid w:val="06112117"/>
    <w:rsid w:val="061340E1"/>
    <w:rsid w:val="061948AA"/>
    <w:rsid w:val="06256193"/>
    <w:rsid w:val="06471FDD"/>
    <w:rsid w:val="065F7326"/>
    <w:rsid w:val="066B642F"/>
    <w:rsid w:val="067803E8"/>
    <w:rsid w:val="067A5C1F"/>
    <w:rsid w:val="067B1C86"/>
    <w:rsid w:val="0680104B"/>
    <w:rsid w:val="068044EF"/>
    <w:rsid w:val="068C514E"/>
    <w:rsid w:val="06930944"/>
    <w:rsid w:val="06937200"/>
    <w:rsid w:val="06986394"/>
    <w:rsid w:val="069B3A09"/>
    <w:rsid w:val="06A27BF1"/>
    <w:rsid w:val="06A411DD"/>
    <w:rsid w:val="06A607F6"/>
    <w:rsid w:val="06B62CBE"/>
    <w:rsid w:val="06BA630B"/>
    <w:rsid w:val="06D25D4A"/>
    <w:rsid w:val="06D45EBF"/>
    <w:rsid w:val="06FC6923"/>
    <w:rsid w:val="0706336B"/>
    <w:rsid w:val="0706340F"/>
    <w:rsid w:val="070954E4"/>
    <w:rsid w:val="07133C6D"/>
    <w:rsid w:val="071A324D"/>
    <w:rsid w:val="072440CC"/>
    <w:rsid w:val="07395054"/>
    <w:rsid w:val="0744727D"/>
    <w:rsid w:val="07653703"/>
    <w:rsid w:val="07723089"/>
    <w:rsid w:val="07773B7E"/>
    <w:rsid w:val="077E7C81"/>
    <w:rsid w:val="07830DF3"/>
    <w:rsid w:val="078E0C06"/>
    <w:rsid w:val="078F4B1A"/>
    <w:rsid w:val="079E3E7E"/>
    <w:rsid w:val="079E5B38"/>
    <w:rsid w:val="07B0389F"/>
    <w:rsid w:val="07CD206E"/>
    <w:rsid w:val="07D331AC"/>
    <w:rsid w:val="07E9545C"/>
    <w:rsid w:val="07F459CF"/>
    <w:rsid w:val="08181AF6"/>
    <w:rsid w:val="082932C8"/>
    <w:rsid w:val="083C7B5F"/>
    <w:rsid w:val="08404F36"/>
    <w:rsid w:val="08413E1A"/>
    <w:rsid w:val="084859A3"/>
    <w:rsid w:val="085207C5"/>
    <w:rsid w:val="08585DDE"/>
    <w:rsid w:val="08585E33"/>
    <w:rsid w:val="085E1E94"/>
    <w:rsid w:val="08661A53"/>
    <w:rsid w:val="087370B9"/>
    <w:rsid w:val="0874698D"/>
    <w:rsid w:val="088F5575"/>
    <w:rsid w:val="089112ED"/>
    <w:rsid w:val="08A46822"/>
    <w:rsid w:val="08A54D99"/>
    <w:rsid w:val="08AE6343"/>
    <w:rsid w:val="08B374B6"/>
    <w:rsid w:val="08B9291A"/>
    <w:rsid w:val="08BF776F"/>
    <w:rsid w:val="08DC6FF8"/>
    <w:rsid w:val="08DC72D4"/>
    <w:rsid w:val="09113A42"/>
    <w:rsid w:val="09336AA9"/>
    <w:rsid w:val="09410F65"/>
    <w:rsid w:val="094F33D3"/>
    <w:rsid w:val="096011D3"/>
    <w:rsid w:val="09663A1B"/>
    <w:rsid w:val="097A6225"/>
    <w:rsid w:val="097E2118"/>
    <w:rsid w:val="09972933"/>
    <w:rsid w:val="09A77B17"/>
    <w:rsid w:val="09C01E6D"/>
    <w:rsid w:val="09C556F2"/>
    <w:rsid w:val="09E77714"/>
    <w:rsid w:val="09F4422A"/>
    <w:rsid w:val="0A0A57FB"/>
    <w:rsid w:val="0A19629E"/>
    <w:rsid w:val="0A2368BD"/>
    <w:rsid w:val="0A2E773B"/>
    <w:rsid w:val="0A3C34DB"/>
    <w:rsid w:val="0A4D56E8"/>
    <w:rsid w:val="0A5922DF"/>
    <w:rsid w:val="0A592314"/>
    <w:rsid w:val="0A7D7D7B"/>
    <w:rsid w:val="0A883E39"/>
    <w:rsid w:val="0AA07F0D"/>
    <w:rsid w:val="0AA36276"/>
    <w:rsid w:val="0ABF0394"/>
    <w:rsid w:val="0AFB5144"/>
    <w:rsid w:val="0AFE1323"/>
    <w:rsid w:val="0B106E41"/>
    <w:rsid w:val="0B1B0FD4"/>
    <w:rsid w:val="0B2F77D2"/>
    <w:rsid w:val="0B32508B"/>
    <w:rsid w:val="0B446AEB"/>
    <w:rsid w:val="0B4D059A"/>
    <w:rsid w:val="0B552AA6"/>
    <w:rsid w:val="0B580B29"/>
    <w:rsid w:val="0B61769D"/>
    <w:rsid w:val="0B6E4C3C"/>
    <w:rsid w:val="0B7218AA"/>
    <w:rsid w:val="0B756CA4"/>
    <w:rsid w:val="0B7A075E"/>
    <w:rsid w:val="0BA86B13"/>
    <w:rsid w:val="0BB023D2"/>
    <w:rsid w:val="0BB7560C"/>
    <w:rsid w:val="0BBF6171"/>
    <w:rsid w:val="0BC83278"/>
    <w:rsid w:val="0BDE0CED"/>
    <w:rsid w:val="0C1E558E"/>
    <w:rsid w:val="0C216E2C"/>
    <w:rsid w:val="0C232EBC"/>
    <w:rsid w:val="0C2D3A23"/>
    <w:rsid w:val="0C4A6383"/>
    <w:rsid w:val="0C583F8E"/>
    <w:rsid w:val="0C5B2242"/>
    <w:rsid w:val="0C627450"/>
    <w:rsid w:val="0C6354B3"/>
    <w:rsid w:val="0C636B11"/>
    <w:rsid w:val="0C6725E8"/>
    <w:rsid w:val="0C75675E"/>
    <w:rsid w:val="0C8C24F7"/>
    <w:rsid w:val="0C8C699B"/>
    <w:rsid w:val="0C9F4821"/>
    <w:rsid w:val="0CA1581F"/>
    <w:rsid w:val="0CBE467B"/>
    <w:rsid w:val="0CBE4961"/>
    <w:rsid w:val="0CC872A8"/>
    <w:rsid w:val="0CDD5F03"/>
    <w:rsid w:val="0CE45A48"/>
    <w:rsid w:val="0CF4450C"/>
    <w:rsid w:val="0CFB148C"/>
    <w:rsid w:val="0D217F1E"/>
    <w:rsid w:val="0D3342DC"/>
    <w:rsid w:val="0D3779DA"/>
    <w:rsid w:val="0D3861DB"/>
    <w:rsid w:val="0D3D1A44"/>
    <w:rsid w:val="0D4C30A8"/>
    <w:rsid w:val="0D5F5804"/>
    <w:rsid w:val="0D93239D"/>
    <w:rsid w:val="0D9A6E96"/>
    <w:rsid w:val="0DB13E9A"/>
    <w:rsid w:val="0DC67C8B"/>
    <w:rsid w:val="0DCE553E"/>
    <w:rsid w:val="0DE1258D"/>
    <w:rsid w:val="0DEB5944"/>
    <w:rsid w:val="0DF626F7"/>
    <w:rsid w:val="0DFC545B"/>
    <w:rsid w:val="0DFF727E"/>
    <w:rsid w:val="0E0C1071"/>
    <w:rsid w:val="0E16227B"/>
    <w:rsid w:val="0E1924B1"/>
    <w:rsid w:val="0E19425F"/>
    <w:rsid w:val="0E1C5AFD"/>
    <w:rsid w:val="0E211365"/>
    <w:rsid w:val="0E223394"/>
    <w:rsid w:val="0E2A03C4"/>
    <w:rsid w:val="0E303D3F"/>
    <w:rsid w:val="0E344BF5"/>
    <w:rsid w:val="0E364E11"/>
    <w:rsid w:val="0E470868"/>
    <w:rsid w:val="0E4B63E2"/>
    <w:rsid w:val="0E552DBD"/>
    <w:rsid w:val="0E5E2E71"/>
    <w:rsid w:val="0E675E9D"/>
    <w:rsid w:val="0E9B2EC6"/>
    <w:rsid w:val="0EA06CB7"/>
    <w:rsid w:val="0EA24254"/>
    <w:rsid w:val="0EA31D7A"/>
    <w:rsid w:val="0EAD0BE2"/>
    <w:rsid w:val="0EB421D9"/>
    <w:rsid w:val="0EC107E0"/>
    <w:rsid w:val="0ED2520F"/>
    <w:rsid w:val="0F112F78"/>
    <w:rsid w:val="0F36326A"/>
    <w:rsid w:val="0F4E7F38"/>
    <w:rsid w:val="0F751C5A"/>
    <w:rsid w:val="0F7D1CE5"/>
    <w:rsid w:val="0F84040B"/>
    <w:rsid w:val="0F9D4A1B"/>
    <w:rsid w:val="0F9F0794"/>
    <w:rsid w:val="0FA1275E"/>
    <w:rsid w:val="0FA77648"/>
    <w:rsid w:val="0FB57FB7"/>
    <w:rsid w:val="0FD32C7E"/>
    <w:rsid w:val="0FDE23D0"/>
    <w:rsid w:val="0FF90ECC"/>
    <w:rsid w:val="100158A9"/>
    <w:rsid w:val="10060813"/>
    <w:rsid w:val="100827DD"/>
    <w:rsid w:val="10142F30"/>
    <w:rsid w:val="10185BF4"/>
    <w:rsid w:val="101A58EC"/>
    <w:rsid w:val="1030763E"/>
    <w:rsid w:val="10321608"/>
    <w:rsid w:val="104D01F0"/>
    <w:rsid w:val="105517FE"/>
    <w:rsid w:val="10606F0E"/>
    <w:rsid w:val="10612637"/>
    <w:rsid w:val="10617F7A"/>
    <w:rsid w:val="10637A13"/>
    <w:rsid w:val="10645539"/>
    <w:rsid w:val="1065378B"/>
    <w:rsid w:val="107B324F"/>
    <w:rsid w:val="108871F8"/>
    <w:rsid w:val="10932E5E"/>
    <w:rsid w:val="109776BD"/>
    <w:rsid w:val="10A92D21"/>
    <w:rsid w:val="10B1077E"/>
    <w:rsid w:val="10B27357"/>
    <w:rsid w:val="10BC7123"/>
    <w:rsid w:val="10BE2E9B"/>
    <w:rsid w:val="10C1473A"/>
    <w:rsid w:val="10CA6263"/>
    <w:rsid w:val="10CD7893"/>
    <w:rsid w:val="10DC66E2"/>
    <w:rsid w:val="10E36DA6"/>
    <w:rsid w:val="10E87F18"/>
    <w:rsid w:val="10FC3FE9"/>
    <w:rsid w:val="10FE14EA"/>
    <w:rsid w:val="110C1E59"/>
    <w:rsid w:val="110C6CB2"/>
    <w:rsid w:val="11166833"/>
    <w:rsid w:val="11284411"/>
    <w:rsid w:val="112942F2"/>
    <w:rsid w:val="112A0531"/>
    <w:rsid w:val="11442D96"/>
    <w:rsid w:val="114C66F9"/>
    <w:rsid w:val="115162F7"/>
    <w:rsid w:val="11554701"/>
    <w:rsid w:val="115B52D8"/>
    <w:rsid w:val="116003F7"/>
    <w:rsid w:val="1178173A"/>
    <w:rsid w:val="11847C41"/>
    <w:rsid w:val="118A0FD0"/>
    <w:rsid w:val="11AD7CCF"/>
    <w:rsid w:val="11B71DDE"/>
    <w:rsid w:val="11BB2892"/>
    <w:rsid w:val="11CC31D4"/>
    <w:rsid w:val="11E30096"/>
    <w:rsid w:val="11F03528"/>
    <w:rsid w:val="120B2110"/>
    <w:rsid w:val="120C7C36"/>
    <w:rsid w:val="12303925"/>
    <w:rsid w:val="123416E2"/>
    <w:rsid w:val="12374163"/>
    <w:rsid w:val="123E24E6"/>
    <w:rsid w:val="125910CE"/>
    <w:rsid w:val="12635AA8"/>
    <w:rsid w:val="1272218F"/>
    <w:rsid w:val="127A1044"/>
    <w:rsid w:val="127C6B6A"/>
    <w:rsid w:val="127C7767"/>
    <w:rsid w:val="12955E7E"/>
    <w:rsid w:val="12AB744F"/>
    <w:rsid w:val="12CC1C47"/>
    <w:rsid w:val="12DA1AE3"/>
    <w:rsid w:val="12F157AA"/>
    <w:rsid w:val="13001549"/>
    <w:rsid w:val="130152C1"/>
    <w:rsid w:val="13037D8F"/>
    <w:rsid w:val="130A686C"/>
    <w:rsid w:val="13250FB0"/>
    <w:rsid w:val="13385187"/>
    <w:rsid w:val="133C16F6"/>
    <w:rsid w:val="13421B62"/>
    <w:rsid w:val="1367007B"/>
    <w:rsid w:val="136B07DB"/>
    <w:rsid w:val="13750F72"/>
    <w:rsid w:val="1379754E"/>
    <w:rsid w:val="13A02D2C"/>
    <w:rsid w:val="13C30ACB"/>
    <w:rsid w:val="13E30D7F"/>
    <w:rsid w:val="13F310AE"/>
    <w:rsid w:val="14125594"/>
    <w:rsid w:val="141F00F5"/>
    <w:rsid w:val="14306935"/>
    <w:rsid w:val="14363DC9"/>
    <w:rsid w:val="144009DA"/>
    <w:rsid w:val="14445DAD"/>
    <w:rsid w:val="145743D9"/>
    <w:rsid w:val="146940CB"/>
    <w:rsid w:val="146B333A"/>
    <w:rsid w:val="14787805"/>
    <w:rsid w:val="1480108C"/>
    <w:rsid w:val="148166BA"/>
    <w:rsid w:val="149363ED"/>
    <w:rsid w:val="149E265F"/>
    <w:rsid w:val="14B2243D"/>
    <w:rsid w:val="14B24B51"/>
    <w:rsid w:val="14B4083D"/>
    <w:rsid w:val="14B8020C"/>
    <w:rsid w:val="14C52A4A"/>
    <w:rsid w:val="14D07641"/>
    <w:rsid w:val="14D111D1"/>
    <w:rsid w:val="14E336E2"/>
    <w:rsid w:val="14EC6700"/>
    <w:rsid w:val="14F450DE"/>
    <w:rsid w:val="14F9656C"/>
    <w:rsid w:val="14FB2910"/>
    <w:rsid w:val="15155054"/>
    <w:rsid w:val="15156FDD"/>
    <w:rsid w:val="1532329A"/>
    <w:rsid w:val="153D4CD7"/>
    <w:rsid w:val="15604521"/>
    <w:rsid w:val="15A5462A"/>
    <w:rsid w:val="15A649ED"/>
    <w:rsid w:val="15D171CD"/>
    <w:rsid w:val="15D32F45"/>
    <w:rsid w:val="15D60C87"/>
    <w:rsid w:val="15E225BC"/>
    <w:rsid w:val="15F335E7"/>
    <w:rsid w:val="15FB4C87"/>
    <w:rsid w:val="1600573D"/>
    <w:rsid w:val="16297009"/>
    <w:rsid w:val="166D5118"/>
    <w:rsid w:val="167069E6"/>
    <w:rsid w:val="16722BAE"/>
    <w:rsid w:val="16756795"/>
    <w:rsid w:val="16781EC3"/>
    <w:rsid w:val="168B7963"/>
    <w:rsid w:val="16907088"/>
    <w:rsid w:val="16921052"/>
    <w:rsid w:val="1692237C"/>
    <w:rsid w:val="16A03762"/>
    <w:rsid w:val="16BA66D8"/>
    <w:rsid w:val="16C62AAA"/>
    <w:rsid w:val="16D56006"/>
    <w:rsid w:val="16DD4A18"/>
    <w:rsid w:val="16E0225A"/>
    <w:rsid w:val="16FA09A5"/>
    <w:rsid w:val="170B095C"/>
    <w:rsid w:val="170B516B"/>
    <w:rsid w:val="17112CAB"/>
    <w:rsid w:val="17127A9D"/>
    <w:rsid w:val="17171557"/>
    <w:rsid w:val="17222C66"/>
    <w:rsid w:val="172D48D7"/>
    <w:rsid w:val="17403584"/>
    <w:rsid w:val="17414FFA"/>
    <w:rsid w:val="174F4D80"/>
    <w:rsid w:val="17546308"/>
    <w:rsid w:val="17716EB9"/>
    <w:rsid w:val="178D1819"/>
    <w:rsid w:val="17914904"/>
    <w:rsid w:val="17A07012"/>
    <w:rsid w:val="17B16DCB"/>
    <w:rsid w:val="17BD2A82"/>
    <w:rsid w:val="17BF5F20"/>
    <w:rsid w:val="17CA481C"/>
    <w:rsid w:val="17CC40F0"/>
    <w:rsid w:val="17CE60BA"/>
    <w:rsid w:val="17D524EB"/>
    <w:rsid w:val="17DA4A5F"/>
    <w:rsid w:val="17DD7339"/>
    <w:rsid w:val="17E3093B"/>
    <w:rsid w:val="17E51656"/>
    <w:rsid w:val="17EA0A1A"/>
    <w:rsid w:val="17F55C0F"/>
    <w:rsid w:val="17F65BED"/>
    <w:rsid w:val="181D0DEF"/>
    <w:rsid w:val="182B2267"/>
    <w:rsid w:val="182C4B8E"/>
    <w:rsid w:val="18391817"/>
    <w:rsid w:val="183B3024"/>
    <w:rsid w:val="18556696"/>
    <w:rsid w:val="185D743E"/>
    <w:rsid w:val="185E30EF"/>
    <w:rsid w:val="186500A0"/>
    <w:rsid w:val="188E3A9B"/>
    <w:rsid w:val="1890511D"/>
    <w:rsid w:val="18A31822"/>
    <w:rsid w:val="18C703D4"/>
    <w:rsid w:val="18CF09B7"/>
    <w:rsid w:val="18E13BCB"/>
    <w:rsid w:val="18E831AB"/>
    <w:rsid w:val="18F338FE"/>
    <w:rsid w:val="18F9516C"/>
    <w:rsid w:val="19006747"/>
    <w:rsid w:val="19153875"/>
    <w:rsid w:val="19192E05"/>
    <w:rsid w:val="193225E4"/>
    <w:rsid w:val="193E101D"/>
    <w:rsid w:val="195B1BCF"/>
    <w:rsid w:val="19836A30"/>
    <w:rsid w:val="19882185"/>
    <w:rsid w:val="199604E7"/>
    <w:rsid w:val="19C3585C"/>
    <w:rsid w:val="19CB0201"/>
    <w:rsid w:val="19CF1C75"/>
    <w:rsid w:val="19DF151F"/>
    <w:rsid w:val="19EA3FF2"/>
    <w:rsid w:val="19EF2318"/>
    <w:rsid w:val="1A0331CB"/>
    <w:rsid w:val="1A22449B"/>
    <w:rsid w:val="1A367F46"/>
    <w:rsid w:val="1A503C5E"/>
    <w:rsid w:val="1A526911"/>
    <w:rsid w:val="1A644F9C"/>
    <w:rsid w:val="1A6B543D"/>
    <w:rsid w:val="1A6B5E42"/>
    <w:rsid w:val="1A6D6F89"/>
    <w:rsid w:val="1A9A110C"/>
    <w:rsid w:val="1A9D0BB2"/>
    <w:rsid w:val="1AA84764"/>
    <w:rsid w:val="1AAC1558"/>
    <w:rsid w:val="1AAE382C"/>
    <w:rsid w:val="1AB01FE6"/>
    <w:rsid w:val="1AC612CA"/>
    <w:rsid w:val="1AD018F8"/>
    <w:rsid w:val="1AD559B1"/>
    <w:rsid w:val="1ADC4B9E"/>
    <w:rsid w:val="1ADF413A"/>
    <w:rsid w:val="1AE856E5"/>
    <w:rsid w:val="1AEE77E3"/>
    <w:rsid w:val="1B012302"/>
    <w:rsid w:val="1B032A31"/>
    <w:rsid w:val="1B09565B"/>
    <w:rsid w:val="1B0B3634"/>
    <w:rsid w:val="1B124510"/>
    <w:rsid w:val="1B1879B1"/>
    <w:rsid w:val="1B1E6F78"/>
    <w:rsid w:val="1B1F09DB"/>
    <w:rsid w:val="1B293607"/>
    <w:rsid w:val="1B3B34A1"/>
    <w:rsid w:val="1B3C158C"/>
    <w:rsid w:val="1B4A3CA9"/>
    <w:rsid w:val="1B5621F1"/>
    <w:rsid w:val="1B852F33"/>
    <w:rsid w:val="1B8E7761"/>
    <w:rsid w:val="1B9B3305"/>
    <w:rsid w:val="1BA547C1"/>
    <w:rsid w:val="1BA55384"/>
    <w:rsid w:val="1BAF0C32"/>
    <w:rsid w:val="1BB00003"/>
    <w:rsid w:val="1BB003F9"/>
    <w:rsid w:val="1BB21DC7"/>
    <w:rsid w:val="1BB472B8"/>
    <w:rsid w:val="1BDC6C19"/>
    <w:rsid w:val="1BDE0896"/>
    <w:rsid w:val="1BDF0F49"/>
    <w:rsid w:val="1BE53F61"/>
    <w:rsid w:val="1BEA5AB2"/>
    <w:rsid w:val="1BFB4FA4"/>
    <w:rsid w:val="1C026332"/>
    <w:rsid w:val="1C054074"/>
    <w:rsid w:val="1C281B11"/>
    <w:rsid w:val="1C2B182A"/>
    <w:rsid w:val="1C560378"/>
    <w:rsid w:val="1C760475"/>
    <w:rsid w:val="1C7666B0"/>
    <w:rsid w:val="1C7B54D2"/>
    <w:rsid w:val="1C8036FB"/>
    <w:rsid w:val="1C9176B6"/>
    <w:rsid w:val="1C9E3D80"/>
    <w:rsid w:val="1CA13D9D"/>
    <w:rsid w:val="1CA31F8B"/>
    <w:rsid w:val="1CAC5703"/>
    <w:rsid w:val="1CBC1C20"/>
    <w:rsid w:val="1CDA105D"/>
    <w:rsid w:val="1CE1063D"/>
    <w:rsid w:val="1D067BF6"/>
    <w:rsid w:val="1D0F70BC"/>
    <w:rsid w:val="1D1D2321"/>
    <w:rsid w:val="1D2B18B9"/>
    <w:rsid w:val="1D5D2343"/>
    <w:rsid w:val="1D5E3070"/>
    <w:rsid w:val="1D644DCB"/>
    <w:rsid w:val="1D662507"/>
    <w:rsid w:val="1D666D95"/>
    <w:rsid w:val="1D7F39B2"/>
    <w:rsid w:val="1D81772B"/>
    <w:rsid w:val="1D823840"/>
    <w:rsid w:val="1D9E652E"/>
    <w:rsid w:val="1DAE135A"/>
    <w:rsid w:val="1DB16262"/>
    <w:rsid w:val="1DB530CD"/>
    <w:rsid w:val="1DE2466D"/>
    <w:rsid w:val="1DE859FC"/>
    <w:rsid w:val="1E0068A1"/>
    <w:rsid w:val="1E200CF1"/>
    <w:rsid w:val="1E201112"/>
    <w:rsid w:val="1E391DB3"/>
    <w:rsid w:val="1E65606B"/>
    <w:rsid w:val="1E7E3C6A"/>
    <w:rsid w:val="1E8660E1"/>
    <w:rsid w:val="1E91399D"/>
    <w:rsid w:val="1EAC0EEE"/>
    <w:rsid w:val="1EAF02C7"/>
    <w:rsid w:val="1EBF050A"/>
    <w:rsid w:val="1ED0096A"/>
    <w:rsid w:val="1ED00E83"/>
    <w:rsid w:val="1EDD4E34"/>
    <w:rsid w:val="1EF6464E"/>
    <w:rsid w:val="1EFD06D0"/>
    <w:rsid w:val="1F3102C6"/>
    <w:rsid w:val="1F3D6FE6"/>
    <w:rsid w:val="1F5C044F"/>
    <w:rsid w:val="1F625134"/>
    <w:rsid w:val="1F631853"/>
    <w:rsid w:val="1F6D61B8"/>
    <w:rsid w:val="1F750702"/>
    <w:rsid w:val="1F8900ED"/>
    <w:rsid w:val="1F8C04D8"/>
    <w:rsid w:val="1F9B7851"/>
    <w:rsid w:val="1F9C3F83"/>
    <w:rsid w:val="1FAB4F33"/>
    <w:rsid w:val="1FAF4A23"/>
    <w:rsid w:val="1FB66925"/>
    <w:rsid w:val="1FB913FE"/>
    <w:rsid w:val="1FBC4A4A"/>
    <w:rsid w:val="1FC87893"/>
    <w:rsid w:val="1FCF5BC2"/>
    <w:rsid w:val="1FD522F9"/>
    <w:rsid w:val="1FF54EAA"/>
    <w:rsid w:val="20081A9B"/>
    <w:rsid w:val="20210F16"/>
    <w:rsid w:val="202E2755"/>
    <w:rsid w:val="203B66A0"/>
    <w:rsid w:val="204A474C"/>
    <w:rsid w:val="20577B7F"/>
    <w:rsid w:val="205911E0"/>
    <w:rsid w:val="20822855"/>
    <w:rsid w:val="20A51982"/>
    <w:rsid w:val="20B10327"/>
    <w:rsid w:val="20B80BB7"/>
    <w:rsid w:val="20B87907"/>
    <w:rsid w:val="20CD326B"/>
    <w:rsid w:val="20D83B05"/>
    <w:rsid w:val="20F82350"/>
    <w:rsid w:val="21020B82"/>
    <w:rsid w:val="210668C5"/>
    <w:rsid w:val="210E14C8"/>
    <w:rsid w:val="211D59BC"/>
    <w:rsid w:val="214417D6"/>
    <w:rsid w:val="214B42D7"/>
    <w:rsid w:val="214F2C2C"/>
    <w:rsid w:val="215B69D1"/>
    <w:rsid w:val="215F2488"/>
    <w:rsid w:val="216B6728"/>
    <w:rsid w:val="21793EC0"/>
    <w:rsid w:val="218B4DC6"/>
    <w:rsid w:val="21A52AC4"/>
    <w:rsid w:val="21A77E4B"/>
    <w:rsid w:val="21B17E1E"/>
    <w:rsid w:val="21B46321"/>
    <w:rsid w:val="21B85FF7"/>
    <w:rsid w:val="21C50914"/>
    <w:rsid w:val="21D73DBD"/>
    <w:rsid w:val="21DB4CB8"/>
    <w:rsid w:val="21EE1107"/>
    <w:rsid w:val="220F5023"/>
    <w:rsid w:val="2212736A"/>
    <w:rsid w:val="222D60D3"/>
    <w:rsid w:val="223C1E72"/>
    <w:rsid w:val="224D22D1"/>
    <w:rsid w:val="22511DC1"/>
    <w:rsid w:val="225A426B"/>
    <w:rsid w:val="226F0499"/>
    <w:rsid w:val="22715FC0"/>
    <w:rsid w:val="227B299A"/>
    <w:rsid w:val="22885A35"/>
    <w:rsid w:val="2295762E"/>
    <w:rsid w:val="22F17100"/>
    <w:rsid w:val="22F8223D"/>
    <w:rsid w:val="23270D74"/>
    <w:rsid w:val="232817FD"/>
    <w:rsid w:val="23353491"/>
    <w:rsid w:val="233E25C8"/>
    <w:rsid w:val="23621DAC"/>
    <w:rsid w:val="23713D9D"/>
    <w:rsid w:val="239051DA"/>
    <w:rsid w:val="23906919"/>
    <w:rsid w:val="23912558"/>
    <w:rsid w:val="23CD7A36"/>
    <w:rsid w:val="23E34C9B"/>
    <w:rsid w:val="23E66539"/>
    <w:rsid w:val="23EE6B47"/>
    <w:rsid w:val="23F46EA8"/>
    <w:rsid w:val="240370EB"/>
    <w:rsid w:val="240D1D18"/>
    <w:rsid w:val="242B5451"/>
    <w:rsid w:val="24786AF4"/>
    <w:rsid w:val="24863878"/>
    <w:rsid w:val="24877D1C"/>
    <w:rsid w:val="248C70E1"/>
    <w:rsid w:val="249D7540"/>
    <w:rsid w:val="24B71C84"/>
    <w:rsid w:val="24C034CB"/>
    <w:rsid w:val="24EC7B7F"/>
    <w:rsid w:val="250A26FB"/>
    <w:rsid w:val="250F1CF5"/>
    <w:rsid w:val="25110FEA"/>
    <w:rsid w:val="25295A5D"/>
    <w:rsid w:val="252A6107"/>
    <w:rsid w:val="25304CEF"/>
    <w:rsid w:val="25455E14"/>
    <w:rsid w:val="254774AC"/>
    <w:rsid w:val="254B7A8F"/>
    <w:rsid w:val="254C6870"/>
    <w:rsid w:val="25507FF8"/>
    <w:rsid w:val="25535E50"/>
    <w:rsid w:val="25587434"/>
    <w:rsid w:val="255C3624"/>
    <w:rsid w:val="257858B7"/>
    <w:rsid w:val="258618DB"/>
    <w:rsid w:val="259B08F3"/>
    <w:rsid w:val="259D531E"/>
    <w:rsid w:val="25AA4DC2"/>
    <w:rsid w:val="25AF7B21"/>
    <w:rsid w:val="25B12B77"/>
    <w:rsid w:val="25C26B32"/>
    <w:rsid w:val="25D725DE"/>
    <w:rsid w:val="25EB6089"/>
    <w:rsid w:val="260333D3"/>
    <w:rsid w:val="26136C63"/>
    <w:rsid w:val="265579A6"/>
    <w:rsid w:val="2657371E"/>
    <w:rsid w:val="2670658E"/>
    <w:rsid w:val="26753BA5"/>
    <w:rsid w:val="26852B1B"/>
    <w:rsid w:val="268E0843"/>
    <w:rsid w:val="269C3827"/>
    <w:rsid w:val="269D251E"/>
    <w:rsid w:val="269E61C7"/>
    <w:rsid w:val="26A67EF6"/>
    <w:rsid w:val="26A96190"/>
    <w:rsid w:val="26D27249"/>
    <w:rsid w:val="26D74455"/>
    <w:rsid w:val="26D94133"/>
    <w:rsid w:val="26DF572A"/>
    <w:rsid w:val="26ED7BDF"/>
    <w:rsid w:val="26FB22FC"/>
    <w:rsid w:val="26FB67A0"/>
    <w:rsid w:val="26FE003E"/>
    <w:rsid w:val="270B3395"/>
    <w:rsid w:val="270D0281"/>
    <w:rsid w:val="271702E6"/>
    <w:rsid w:val="271909D4"/>
    <w:rsid w:val="272555CB"/>
    <w:rsid w:val="272C0707"/>
    <w:rsid w:val="274719E5"/>
    <w:rsid w:val="27481489"/>
    <w:rsid w:val="27483F9D"/>
    <w:rsid w:val="276F6846"/>
    <w:rsid w:val="278C389C"/>
    <w:rsid w:val="27934C2A"/>
    <w:rsid w:val="279520C5"/>
    <w:rsid w:val="2799542E"/>
    <w:rsid w:val="279E2AA0"/>
    <w:rsid w:val="27A33318"/>
    <w:rsid w:val="27A72484"/>
    <w:rsid w:val="27AF30E6"/>
    <w:rsid w:val="27CE7A10"/>
    <w:rsid w:val="27D077A9"/>
    <w:rsid w:val="27D66B0F"/>
    <w:rsid w:val="27D91288"/>
    <w:rsid w:val="27DD40F7"/>
    <w:rsid w:val="27F07328"/>
    <w:rsid w:val="28032159"/>
    <w:rsid w:val="280926D2"/>
    <w:rsid w:val="280F14D8"/>
    <w:rsid w:val="28336FFE"/>
    <w:rsid w:val="285C4CC5"/>
    <w:rsid w:val="28691156"/>
    <w:rsid w:val="288730F8"/>
    <w:rsid w:val="28905912"/>
    <w:rsid w:val="28920A3E"/>
    <w:rsid w:val="28AA3FD9"/>
    <w:rsid w:val="28B5297E"/>
    <w:rsid w:val="28B5472C"/>
    <w:rsid w:val="28D57A5B"/>
    <w:rsid w:val="28D76D98"/>
    <w:rsid w:val="28F341AD"/>
    <w:rsid w:val="290B259E"/>
    <w:rsid w:val="290C1785"/>
    <w:rsid w:val="29235B3A"/>
    <w:rsid w:val="29387837"/>
    <w:rsid w:val="29441864"/>
    <w:rsid w:val="295403E9"/>
    <w:rsid w:val="295849BE"/>
    <w:rsid w:val="297A3BDE"/>
    <w:rsid w:val="298F1421"/>
    <w:rsid w:val="299B6018"/>
    <w:rsid w:val="299F78B6"/>
    <w:rsid w:val="29A0692E"/>
    <w:rsid w:val="29CF38EF"/>
    <w:rsid w:val="29E51041"/>
    <w:rsid w:val="29F319B0"/>
    <w:rsid w:val="29F84B24"/>
    <w:rsid w:val="2A0911D4"/>
    <w:rsid w:val="2A0F0615"/>
    <w:rsid w:val="2A273408"/>
    <w:rsid w:val="2A2F4E9B"/>
    <w:rsid w:val="2A452D3E"/>
    <w:rsid w:val="2A4D57CE"/>
    <w:rsid w:val="2A6431F4"/>
    <w:rsid w:val="2A6F6324"/>
    <w:rsid w:val="2A7F1496"/>
    <w:rsid w:val="2A842608"/>
    <w:rsid w:val="2A930AA6"/>
    <w:rsid w:val="2AA8279A"/>
    <w:rsid w:val="2AB96756"/>
    <w:rsid w:val="2B0259EB"/>
    <w:rsid w:val="2B155786"/>
    <w:rsid w:val="2B193698"/>
    <w:rsid w:val="2B1A4D1A"/>
    <w:rsid w:val="2B285689"/>
    <w:rsid w:val="2B401E83"/>
    <w:rsid w:val="2B4B4B3E"/>
    <w:rsid w:val="2B6C7A10"/>
    <w:rsid w:val="2B710DDE"/>
    <w:rsid w:val="2B9E5305"/>
    <w:rsid w:val="2B9E76FA"/>
    <w:rsid w:val="2BD96984"/>
    <w:rsid w:val="2BF23A18"/>
    <w:rsid w:val="2BF47386"/>
    <w:rsid w:val="2BF51A0F"/>
    <w:rsid w:val="2BF5596C"/>
    <w:rsid w:val="2BFE79EF"/>
    <w:rsid w:val="2C02237E"/>
    <w:rsid w:val="2C0408BB"/>
    <w:rsid w:val="2C163734"/>
    <w:rsid w:val="2C2A5683"/>
    <w:rsid w:val="2C3C2B42"/>
    <w:rsid w:val="2C520C10"/>
    <w:rsid w:val="2C532633"/>
    <w:rsid w:val="2C5A5D16"/>
    <w:rsid w:val="2C910A04"/>
    <w:rsid w:val="2CA23219"/>
    <w:rsid w:val="2CA3146B"/>
    <w:rsid w:val="2CA64AB8"/>
    <w:rsid w:val="2CBB70BA"/>
    <w:rsid w:val="2CBC252D"/>
    <w:rsid w:val="2CC34E30"/>
    <w:rsid w:val="2CDF446E"/>
    <w:rsid w:val="2CDF621C"/>
    <w:rsid w:val="2CE51A84"/>
    <w:rsid w:val="2CE5579C"/>
    <w:rsid w:val="2D0F6B01"/>
    <w:rsid w:val="2D1046A7"/>
    <w:rsid w:val="2D1B54A6"/>
    <w:rsid w:val="2D276494"/>
    <w:rsid w:val="2D285E15"/>
    <w:rsid w:val="2D3C4169"/>
    <w:rsid w:val="2D4252FF"/>
    <w:rsid w:val="2D452523"/>
    <w:rsid w:val="2D6327A4"/>
    <w:rsid w:val="2D713318"/>
    <w:rsid w:val="2D7B09FF"/>
    <w:rsid w:val="2D811081"/>
    <w:rsid w:val="2D915768"/>
    <w:rsid w:val="2D970F00"/>
    <w:rsid w:val="2DA60AE7"/>
    <w:rsid w:val="2DB33930"/>
    <w:rsid w:val="2DCB0C8D"/>
    <w:rsid w:val="2DCC67A0"/>
    <w:rsid w:val="2DE735DA"/>
    <w:rsid w:val="2DFA6484"/>
    <w:rsid w:val="2E0423DE"/>
    <w:rsid w:val="2E0A551A"/>
    <w:rsid w:val="2E132621"/>
    <w:rsid w:val="2E1A575D"/>
    <w:rsid w:val="2E332D3A"/>
    <w:rsid w:val="2E3F0CEA"/>
    <w:rsid w:val="2E4E18AB"/>
    <w:rsid w:val="2E5635F2"/>
    <w:rsid w:val="2E586DFA"/>
    <w:rsid w:val="2E5F0BA0"/>
    <w:rsid w:val="2E6A04C0"/>
    <w:rsid w:val="2E742984"/>
    <w:rsid w:val="2E8A79D2"/>
    <w:rsid w:val="2E9574DA"/>
    <w:rsid w:val="2EA63495"/>
    <w:rsid w:val="2EAB3DD0"/>
    <w:rsid w:val="2EBD258D"/>
    <w:rsid w:val="2EC43A48"/>
    <w:rsid w:val="2EC708BB"/>
    <w:rsid w:val="2EE21A82"/>
    <w:rsid w:val="2EE30CD0"/>
    <w:rsid w:val="2EF75A9F"/>
    <w:rsid w:val="2F032695"/>
    <w:rsid w:val="2F1A353B"/>
    <w:rsid w:val="2F2E6FE6"/>
    <w:rsid w:val="2F37233F"/>
    <w:rsid w:val="2F48454C"/>
    <w:rsid w:val="2F4874EF"/>
    <w:rsid w:val="2F5C7FF7"/>
    <w:rsid w:val="2F61116A"/>
    <w:rsid w:val="2F68699C"/>
    <w:rsid w:val="2F6E12E0"/>
    <w:rsid w:val="2F6F6AD1"/>
    <w:rsid w:val="2F864494"/>
    <w:rsid w:val="2F9B467C"/>
    <w:rsid w:val="2F9B7781"/>
    <w:rsid w:val="2FB408FE"/>
    <w:rsid w:val="2FB86F68"/>
    <w:rsid w:val="2FC16DE4"/>
    <w:rsid w:val="2FC53C32"/>
    <w:rsid w:val="2FD14C2F"/>
    <w:rsid w:val="2FD951A4"/>
    <w:rsid w:val="2FDD01FA"/>
    <w:rsid w:val="2FEF5567"/>
    <w:rsid w:val="2FF63D75"/>
    <w:rsid w:val="2FFC49EC"/>
    <w:rsid w:val="30020D79"/>
    <w:rsid w:val="302428C3"/>
    <w:rsid w:val="30313A86"/>
    <w:rsid w:val="303327F5"/>
    <w:rsid w:val="30394B5C"/>
    <w:rsid w:val="304200DA"/>
    <w:rsid w:val="30515682"/>
    <w:rsid w:val="3058165E"/>
    <w:rsid w:val="30607673"/>
    <w:rsid w:val="306E0E83"/>
    <w:rsid w:val="307345B8"/>
    <w:rsid w:val="30780794"/>
    <w:rsid w:val="307B6271"/>
    <w:rsid w:val="30843362"/>
    <w:rsid w:val="308570DA"/>
    <w:rsid w:val="309F4D0A"/>
    <w:rsid w:val="30B34118"/>
    <w:rsid w:val="30BB3500"/>
    <w:rsid w:val="30BC0D4E"/>
    <w:rsid w:val="30C27E23"/>
    <w:rsid w:val="30E01E4C"/>
    <w:rsid w:val="30EB66FF"/>
    <w:rsid w:val="310224D9"/>
    <w:rsid w:val="3116256C"/>
    <w:rsid w:val="311E164B"/>
    <w:rsid w:val="312608BD"/>
    <w:rsid w:val="313F372D"/>
    <w:rsid w:val="31413001"/>
    <w:rsid w:val="31566D3A"/>
    <w:rsid w:val="315E1E05"/>
    <w:rsid w:val="31A67308"/>
    <w:rsid w:val="31BB565F"/>
    <w:rsid w:val="31C35F31"/>
    <w:rsid w:val="31C854D0"/>
    <w:rsid w:val="31D125D7"/>
    <w:rsid w:val="31D16A7B"/>
    <w:rsid w:val="31D24283"/>
    <w:rsid w:val="31E0281A"/>
    <w:rsid w:val="31F97D80"/>
    <w:rsid w:val="32005D96"/>
    <w:rsid w:val="322A7F39"/>
    <w:rsid w:val="32481BE1"/>
    <w:rsid w:val="32696CB3"/>
    <w:rsid w:val="32845FC2"/>
    <w:rsid w:val="328A0F6B"/>
    <w:rsid w:val="3295408B"/>
    <w:rsid w:val="329740D4"/>
    <w:rsid w:val="32984792"/>
    <w:rsid w:val="329F0927"/>
    <w:rsid w:val="32A253B4"/>
    <w:rsid w:val="32AC4DF2"/>
    <w:rsid w:val="32AC7425"/>
    <w:rsid w:val="32AD108D"/>
    <w:rsid w:val="32B51EF8"/>
    <w:rsid w:val="32BF0681"/>
    <w:rsid w:val="32C04CBB"/>
    <w:rsid w:val="32C263F9"/>
    <w:rsid w:val="32DA54BB"/>
    <w:rsid w:val="32DF4298"/>
    <w:rsid w:val="32E135D9"/>
    <w:rsid w:val="32F04CDF"/>
    <w:rsid w:val="32F12805"/>
    <w:rsid w:val="330D32CD"/>
    <w:rsid w:val="33134E71"/>
    <w:rsid w:val="33254F2D"/>
    <w:rsid w:val="332C4221"/>
    <w:rsid w:val="33395BB8"/>
    <w:rsid w:val="333A0650"/>
    <w:rsid w:val="333D3C9C"/>
    <w:rsid w:val="333D5A4A"/>
    <w:rsid w:val="333F226C"/>
    <w:rsid w:val="33462B51"/>
    <w:rsid w:val="33467CF8"/>
    <w:rsid w:val="334E50BD"/>
    <w:rsid w:val="337E22EA"/>
    <w:rsid w:val="339529F5"/>
    <w:rsid w:val="33977850"/>
    <w:rsid w:val="33AD2BD0"/>
    <w:rsid w:val="33BA25F3"/>
    <w:rsid w:val="33C44729"/>
    <w:rsid w:val="33E556C4"/>
    <w:rsid w:val="33EA7980"/>
    <w:rsid w:val="33EC7B9C"/>
    <w:rsid w:val="33EE32C2"/>
    <w:rsid w:val="33F9355C"/>
    <w:rsid w:val="34133EEE"/>
    <w:rsid w:val="344572AC"/>
    <w:rsid w:val="34473C14"/>
    <w:rsid w:val="34657462"/>
    <w:rsid w:val="346648D7"/>
    <w:rsid w:val="3491354B"/>
    <w:rsid w:val="349B4159"/>
    <w:rsid w:val="34AC10D9"/>
    <w:rsid w:val="34BD32E6"/>
    <w:rsid w:val="34C74165"/>
    <w:rsid w:val="34D1437D"/>
    <w:rsid w:val="3517650F"/>
    <w:rsid w:val="35213875"/>
    <w:rsid w:val="35284C04"/>
    <w:rsid w:val="35287B35"/>
    <w:rsid w:val="352D221A"/>
    <w:rsid w:val="353359FB"/>
    <w:rsid w:val="35366BF5"/>
    <w:rsid w:val="353A7CCD"/>
    <w:rsid w:val="35496345"/>
    <w:rsid w:val="354E23E6"/>
    <w:rsid w:val="356C79A7"/>
    <w:rsid w:val="356E638F"/>
    <w:rsid w:val="358061E8"/>
    <w:rsid w:val="35845BB2"/>
    <w:rsid w:val="35914EBE"/>
    <w:rsid w:val="359153E6"/>
    <w:rsid w:val="35935DF5"/>
    <w:rsid w:val="359A1689"/>
    <w:rsid w:val="359A6901"/>
    <w:rsid w:val="35AB75E3"/>
    <w:rsid w:val="35B768E2"/>
    <w:rsid w:val="35BB1B2E"/>
    <w:rsid w:val="35D56FBA"/>
    <w:rsid w:val="35DB45EC"/>
    <w:rsid w:val="35FA5E74"/>
    <w:rsid w:val="35FD0039"/>
    <w:rsid w:val="3605571E"/>
    <w:rsid w:val="360A255B"/>
    <w:rsid w:val="36173CCD"/>
    <w:rsid w:val="361A3AC0"/>
    <w:rsid w:val="361E7DB5"/>
    <w:rsid w:val="361F6A7B"/>
    <w:rsid w:val="362A5234"/>
    <w:rsid w:val="362A54B5"/>
    <w:rsid w:val="36317AE8"/>
    <w:rsid w:val="36362EFD"/>
    <w:rsid w:val="363C6DCA"/>
    <w:rsid w:val="363F4F66"/>
    <w:rsid w:val="36420F85"/>
    <w:rsid w:val="364271F5"/>
    <w:rsid w:val="364D41F6"/>
    <w:rsid w:val="3679148F"/>
    <w:rsid w:val="3679323D"/>
    <w:rsid w:val="367E4FD8"/>
    <w:rsid w:val="36874DFF"/>
    <w:rsid w:val="36915B95"/>
    <w:rsid w:val="36A52284"/>
    <w:rsid w:val="36AD2EE7"/>
    <w:rsid w:val="36B14785"/>
    <w:rsid w:val="36B22AB8"/>
    <w:rsid w:val="36BB3856"/>
    <w:rsid w:val="371371EE"/>
    <w:rsid w:val="371B4F32"/>
    <w:rsid w:val="37441A9D"/>
    <w:rsid w:val="37761F46"/>
    <w:rsid w:val="37865C12"/>
    <w:rsid w:val="37873738"/>
    <w:rsid w:val="37887BDC"/>
    <w:rsid w:val="37936580"/>
    <w:rsid w:val="379A6405"/>
    <w:rsid w:val="37BE184F"/>
    <w:rsid w:val="37BF7375"/>
    <w:rsid w:val="38187D2E"/>
    <w:rsid w:val="38404012"/>
    <w:rsid w:val="38521F98"/>
    <w:rsid w:val="385775AE"/>
    <w:rsid w:val="386677F1"/>
    <w:rsid w:val="38686D8A"/>
    <w:rsid w:val="386A316D"/>
    <w:rsid w:val="387E0FDF"/>
    <w:rsid w:val="38996BAE"/>
    <w:rsid w:val="38BB5D8F"/>
    <w:rsid w:val="38C92B50"/>
    <w:rsid w:val="38C934F9"/>
    <w:rsid w:val="38D60764"/>
    <w:rsid w:val="38D66725"/>
    <w:rsid w:val="38E242C2"/>
    <w:rsid w:val="38EC419A"/>
    <w:rsid w:val="38FC7709"/>
    <w:rsid w:val="39186D3D"/>
    <w:rsid w:val="391D4354"/>
    <w:rsid w:val="39227BBC"/>
    <w:rsid w:val="392456E2"/>
    <w:rsid w:val="392C4597"/>
    <w:rsid w:val="393D3948"/>
    <w:rsid w:val="396C0E37"/>
    <w:rsid w:val="39893797"/>
    <w:rsid w:val="39922270"/>
    <w:rsid w:val="399834E3"/>
    <w:rsid w:val="399A3BF6"/>
    <w:rsid w:val="39A9208B"/>
    <w:rsid w:val="39B85737"/>
    <w:rsid w:val="39C27610"/>
    <w:rsid w:val="39C92027"/>
    <w:rsid w:val="39CD5D7A"/>
    <w:rsid w:val="39D73010"/>
    <w:rsid w:val="39DC5FBD"/>
    <w:rsid w:val="39F50E2C"/>
    <w:rsid w:val="3A013C75"/>
    <w:rsid w:val="3A145AD9"/>
    <w:rsid w:val="3A161DA8"/>
    <w:rsid w:val="3A1F40FB"/>
    <w:rsid w:val="3A202852"/>
    <w:rsid w:val="3A231E3E"/>
    <w:rsid w:val="3A346D6E"/>
    <w:rsid w:val="3A39340F"/>
    <w:rsid w:val="3A3C45FA"/>
    <w:rsid w:val="3A43603C"/>
    <w:rsid w:val="3A4D0C68"/>
    <w:rsid w:val="3A563FC1"/>
    <w:rsid w:val="3A5C0EAC"/>
    <w:rsid w:val="3A683CF4"/>
    <w:rsid w:val="3A7C5B6F"/>
    <w:rsid w:val="3A7F0F6E"/>
    <w:rsid w:val="3A8B1791"/>
    <w:rsid w:val="3A8D3066"/>
    <w:rsid w:val="3A9B5E78"/>
    <w:rsid w:val="3AA27206"/>
    <w:rsid w:val="3AB31586"/>
    <w:rsid w:val="3ACA4067"/>
    <w:rsid w:val="3ACF167E"/>
    <w:rsid w:val="3AE710BD"/>
    <w:rsid w:val="3AEC222F"/>
    <w:rsid w:val="3B1C67EB"/>
    <w:rsid w:val="3B471B5C"/>
    <w:rsid w:val="3B675D5A"/>
    <w:rsid w:val="3B750477"/>
    <w:rsid w:val="3BAD3B3F"/>
    <w:rsid w:val="3BB1191E"/>
    <w:rsid w:val="3BB1464B"/>
    <w:rsid w:val="3BB6024E"/>
    <w:rsid w:val="3BC1190E"/>
    <w:rsid w:val="3BFC2946"/>
    <w:rsid w:val="3C0A57E7"/>
    <w:rsid w:val="3C320282"/>
    <w:rsid w:val="3C427B66"/>
    <w:rsid w:val="3C4968CB"/>
    <w:rsid w:val="3C4B11D8"/>
    <w:rsid w:val="3C4D6CFE"/>
    <w:rsid w:val="3C526A0A"/>
    <w:rsid w:val="3C544530"/>
    <w:rsid w:val="3C7A1ABD"/>
    <w:rsid w:val="3C7C5835"/>
    <w:rsid w:val="3C8004D2"/>
    <w:rsid w:val="3C9A4B92"/>
    <w:rsid w:val="3CAB4D29"/>
    <w:rsid w:val="3CC01BC6"/>
    <w:rsid w:val="3CE4370A"/>
    <w:rsid w:val="3CED249E"/>
    <w:rsid w:val="3CFB49AC"/>
    <w:rsid w:val="3D1413AE"/>
    <w:rsid w:val="3D1912D6"/>
    <w:rsid w:val="3D216AD8"/>
    <w:rsid w:val="3D2E3966"/>
    <w:rsid w:val="3D332398"/>
    <w:rsid w:val="3D357DFF"/>
    <w:rsid w:val="3D3659E4"/>
    <w:rsid w:val="3D436353"/>
    <w:rsid w:val="3D641308"/>
    <w:rsid w:val="3D8250CD"/>
    <w:rsid w:val="3D8F7BCA"/>
    <w:rsid w:val="3DB11AD4"/>
    <w:rsid w:val="3DD61A67"/>
    <w:rsid w:val="3DE43692"/>
    <w:rsid w:val="3DED5C01"/>
    <w:rsid w:val="3E0953D7"/>
    <w:rsid w:val="3E2717D1"/>
    <w:rsid w:val="3E272B6E"/>
    <w:rsid w:val="3E310202"/>
    <w:rsid w:val="3E444130"/>
    <w:rsid w:val="3E4B1963"/>
    <w:rsid w:val="3E502AD5"/>
    <w:rsid w:val="3E5C591E"/>
    <w:rsid w:val="3E602049"/>
    <w:rsid w:val="3E69432C"/>
    <w:rsid w:val="3E72436D"/>
    <w:rsid w:val="3E817133"/>
    <w:rsid w:val="3EC05EAD"/>
    <w:rsid w:val="3EC34F6C"/>
    <w:rsid w:val="3ECB4852"/>
    <w:rsid w:val="3ECF7E9E"/>
    <w:rsid w:val="3ED01E68"/>
    <w:rsid w:val="3ED731AC"/>
    <w:rsid w:val="3EEF0540"/>
    <w:rsid w:val="3F00274D"/>
    <w:rsid w:val="3F302B2D"/>
    <w:rsid w:val="3F3A3421"/>
    <w:rsid w:val="3F3C799A"/>
    <w:rsid w:val="3F4D34B9"/>
    <w:rsid w:val="3F52287D"/>
    <w:rsid w:val="3F5274EE"/>
    <w:rsid w:val="3F5D7954"/>
    <w:rsid w:val="3F626F64"/>
    <w:rsid w:val="3F651107"/>
    <w:rsid w:val="3F7201B8"/>
    <w:rsid w:val="3F870160"/>
    <w:rsid w:val="3F89585D"/>
    <w:rsid w:val="3F980BD8"/>
    <w:rsid w:val="3F9A1D8B"/>
    <w:rsid w:val="3F9F40D9"/>
    <w:rsid w:val="3FB26746"/>
    <w:rsid w:val="3FBA6DA0"/>
    <w:rsid w:val="3FBC4A1D"/>
    <w:rsid w:val="3FBF656F"/>
    <w:rsid w:val="3FC4377B"/>
    <w:rsid w:val="3FC733A8"/>
    <w:rsid w:val="3FCC6AD3"/>
    <w:rsid w:val="3FD4226B"/>
    <w:rsid w:val="3FE16715"/>
    <w:rsid w:val="3FFC2BB7"/>
    <w:rsid w:val="3FFD0999"/>
    <w:rsid w:val="400B3158"/>
    <w:rsid w:val="401D27F9"/>
    <w:rsid w:val="401F30A7"/>
    <w:rsid w:val="4029191E"/>
    <w:rsid w:val="40324B88"/>
    <w:rsid w:val="4038771D"/>
    <w:rsid w:val="405E5BE9"/>
    <w:rsid w:val="40624EF6"/>
    <w:rsid w:val="40662A84"/>
    <w:rsid w:val="406960D0"/>
    <w:rsid w:val="407707ED"/>
    <w:rsid w:val="407C5E04"/>
    <w:rsid w:val="40970E8F"/>
    <w:rsid w:val="40BC6B48"/>
    <w:rsid w:val="40C51321"/>
    <w:rsid w:val="40CC737C"/>
    <w:rsid w:val="40D62B9B"/>
    <w:rsid w:val="40DE261A"/>
    <w:rsid w:val="40E1035D"/>
    <w:rsid w:val="40FA0E05"/>
    <w:rsid w:val="40FE4BEC"/>
    <w:rsid w:val="410020DD"/>
    <w:rsid w:val="41024F18"/>
    <w:rsid w:val="410E1D34"/>
    <w:rsid w:val="41142183"/>
    <w:rsid w:val="41270465"/>
    <w:rsid w:val="413E755D"/>
    <w:rsid w:val="41401260"/>
    <w:rsid w:val="4142074F"/>
    <w:rsid w:val="414B6458"/>
    <w:rsid w:val="415D6A98"/>
    <w:rsid w:val="41665E32"/>
    <w:rsid w:val="416D2FC5"/>
    <w:rsid w:val="416E7E42"/>
    <w:rsid w:val="416F4624"/>
    <w:rsid w:val="41814FC4"/>
    <w:rsid w:val="41962EF5"/>
    <w:rsid w:val="41A970CC"/>
    <w:rsid w:val="41B63E8E"/>
    <w:rsid w:val="41BD66D4"/>
    <w:rsid w:val="41DF489C"/>
    <w:rsid w:val="41EC6AFB"/>
    <w:rsid w:val="41FD2487"/>
    <w:rsid w:val="420278F5"/>
    <w:rsid w:val="422164EF"/>
    <w:rsid w:val="422F22A3"/>
    <w:rsid w:val="424B0183"/>
    <w:rsid w:val="424B3CDF"/>
    <w:rsid w:val="424C63DA"/>
    <w:rsid w:val="425828A0"/>
    <w:rsid w:val="425B6967"/>
    <w:rsid w:val="42625F75"/>
    <w:rsid w:val="426B25D4"/>
    <w:rsid w:val="427043DA"/>
    <w:rsid w:val="42725710"/>
    <w:rsid w:val="42802BC4"/>
    <w:rsid w:val="4283791D"/>
    <w:rsid w:val="42864D18"/>
    <w:rsid w:val="429A2FB4"/>
    <w:rsid w:val="429E0599"/>
    <w:rsid w:val="42A72EE0"/>
    <w:rsid w:val="42A930FC"/>
    <w:rsid w:val="42BD5602"/>
    <w:rsid w:val="42C02DCF"/>
    <w:rsid w:val="42D812EB"/>
    <w:rsid w:val="42E47C90"/>
    <w:rsid w:val="42EE53E5"/>
    <w:rsid w:val="42F02403"/>
    <w:rsid w:val="42F64D58"/>
    <w:rsid w:val="430420E0"/>
    <w:rsid w:val="431467C7"/>
    <w:rsid w:val="432804C5"/>
    <w:rsid w:val="432F47B6"/>
    <w:rsid w:val="435626A6"/>
    <w:rsid w:val="4359242C"/>
    <w:rsid w:val="435A7F52"/>
    <w:rsid w:val="436472E0"/>
    <w:rsid w:val="43797AEF"/>
    <w:rsid w:val="437D02F6"/>
    <w:rsid w:val="43847E68"/>
    <w:rsid w:val="43852504"/>
    <w:rsid w:val="438F11EC"/>
    <w:rsid w:val="43911BC6"/>
    <w:rsid w:val="43A86F10"/>
    <w:rsid w:val="43D96E8D"/>
    <w:rsid w:val="43E3619A"/>
    <w:rsid w:val="43F42155"/>
    <w:rsid w:val="44021BE8"/>
    <w:rsid w:val="440700DA"/>
    <w:rsid w:val="44191BBB"/>
    <w:rsid w:val="441E71D2"/>
    <w:rsid w:val="44314783"/>
    <w:rsid w:val="443864E5"/>
    <w:rsid w:val="443D1321"/>
    <w:rsid w:val="44586B88"/>
    <w:rsid w:val="445D419E"/>
    <w:rsid w:val="4464552C"/>
    <w:rsid w:val="44716F0D"/>
    <w:rsid w:val="447514E8"/>
    <w:rsid w:val="447A0C67"/>
    <w:rsid w:val="44867E66"/>
    <w:rsid w:val="44A42188"/>
    <w:rsid w:val="44BA339E"/>
    <w:rsid w:val="44BC2C73"/>
    <w:rsid w:val="44C01E5D"/>
    <w:rsid w:val="44D375F5"/>
    <w:rsid w:val="44D46DCA"/>
    <w:rsid w:val="4518723E"/>
    <w:rsid w:val="451900C5"/>
    <w:rsid w:val="4528655A"/>
    <w:rsid w:val="454C4C9E"/>
    <w:rsid w:val="454F7B31"/>
    <w:rsid w:val="45544A3A"/>
    <w:rsid w:val="4561381A"/>
    <w:rsid w:val="457572C5"/>
    <w:rsid w:val="45793771"/>
    <w:rsid w:val="458319E2"/>
    <w:rsid w:val="45B24076"/>
    <w:rsid w:val="45B95404"/>
    <w:rsid w:val="45C142B9"/>
    <w:rsid w:val="45C44BDC"/>
    <w:rsid w:val="45C53DA9"/>
    <w:rsid w:val="45C63557"/>
    <w:rsid w:val="45C73FC5"/>
    <w:rsid w:val="45DA351F"/>
    <w:rsid w:val="45E050F5"/>
    <w:rsid w:val="45E83F3B"/>
    <w:rsid w:val="45F82B14"/>
    <w:rsid w:val="46054AED"/>
    <w:rsid w:val="460743C1"/>
    <w:rsid w:val="460E39A2"/>
    <w:rsid w:val="46104281"/>
    <w:rsid w:val="461B60BF"/>
    <w:rsid w:val="461E004E"/>
    <w:rsid w:val="46322365"/>
    <w:rsid w:val="464721ED"/>
    <w:rsid w:val="46496788"/>
    <w:rsid w:val="4654337F"/>
    <w:rsid w:val="465F634A"/>
    <w:rsid w:val="4675133E"/>
    <w:rsid w:val="46791B53"/>
    <w:rsid w:val="467D48AF"/>
    <w:rsid w:val="46833448"/>
    <w:rsid w:val="46845740"/>
    <w:rsid w:val="468E2043"/>
    <w:rsid w:val="46A72457"/>
    <w:rsid w:val="46BD0F24"/>
    <w:rsid w:val="46CB53EF"/>
    <w:rsid w:val="46D87B0C"/>
    <w:rsid w:val="46ED7A5B"/>
    <w:rsid w:val="46F16CD5"/>
    <w:rsid w:val="47060B1D"/>
    <w:rsid w:val="471E5E67"/>
    <w:rsid w:val="47246C2E"/>
    <w:rsid w:val="4729480B"/>
    <w:rsid w:val="472C56C9"/>
    <w:rsid w:val="476F0470"/>
    <w:rsid w:val="47AA14A8"/>
    <w:rsid w:val="47B73BC5"/>
    <w:rsid w:val="47D07EA2"/>
    <w:rsid w:val="47DD38D0"/>
    <w:rsid w:val="47EB5F15"/>
    <w:rsid w:val="480613A4"/>
    <w:rsid w:val="480C4C34"/>
    <w:rsid w:val="484D103A"/>
    <w:rsid w:val="48715EB0"/>
    <w:rsid w:val="48735D3E"/>
    <w:rsid w:val="48741AB6"/>
    <w:rsid w:val="4874629E"/>
    <w:rsid w:val="48804725"/>
    <w:rsid w:val="488225AD"/>
    <w:rsid w:val="488F484F"/>
    <w:rsid w:val="48955123"/>
    <w:rsid w:val="48A4239B"/>
    <w:rsid w:val="48A94D3D"/>
    <w:rsid w:val="48BD5941"/>
    <w:rsid w:val="48DA71E2"/>
    <w:rsid w:val="48DB1B35"/>
    <w:rsid w:val="48E83F8B"/>
    <w:rsid w:val="48F748C4"/>
    <w:rsid w:val="48FE4FAE"/>
    <w:rsid w:val="48FF5824"/>
    <w:rsid w:val="490232E3"/>
    <w:rsid w:val="49097D64"/>
    <w:rsid w:val="492344BA"/>
    <w:rsid w:val="492B486B"/>
    <w:rsid w:val="492E435B"/>
    <w:rsid w:val="494B0A69"/>
    <w:rsid w:val="49733C0E"/>
    <w:rsid w:val="497770F3"/>
    <w:rsid w:val="498B70B7"/>
    <w:rsid w:val="499F2B63"/>
    <w:rsid w:val="49A12900"/>
    <w:rsid w:val="49A7103C"/>
    <w:rsid w:val="49C36851"/>
    <w:rsid w:val="49CE58E4"/>
    <w:rsid w:val="49DD71DE"/>
    <w:rsid w:val="49E514A4"/>
    <w:rsid w:val="4A0155CC"/>
    <w:rsid w:val="4A01737A"/>
    <w:rsid w:val="4A286FFC"/>
    <w:rsid w:val="4A6441E0"/>
    <w:rsid w:val="4A6C6EE9"/>
    <w:rsid w:val="4A8E50B1"/>
    <w:rsid w:val="4AA93C99"/>
    <w:rsid w:val="4AB8184F"/>
    <w:rsid w:val="4ABB577A"/>
    <w:rsid w:val="4ABF170F"/>
    <w:rsid w:val="4AC26B09"/>
    <w:rsid w:val="4ADB345C"/>
    <w:rsid w:val="4B0B04B0"/>
    <w:rsid w:val="4B1F61DD"/>
    <w:rsid w:val="4B2477D4"/>
    <w:rsid w:val="4B2C23D3"/>
    <w:rsid w:val="4B386DCB"/>
    <w:rsid w:val="4B667DDC"/>
    <w:rsid w:val="4B685902"/>
    <w:rsid w:val="4B6A4620"/>
    <w:rsid w:val="4B842FC3"/>
    <w:rsid w:val="4B9A1834"/>
    <w:rsid w:val="4B9D2B56"/>
    <w:rsid w:val="4B9E7576"/>
    <w:rsid w:val="4BA12BC2"/>
    <w:rsid w:val="4BA225C9"/>
    <w:rsid w:val="4BC30D8B"/>
    <w:rsid w:val="4BD40DF5"/>
    <w:rsid w:val="4BE06263"/>
    <w:rsid w:val="4BE26B07"/>
    <w:rsid w:val="4BEC2E9F"/>
    <w:rsid w:val="4BEF2A13"/>
    <w:rsid w:val="4BF03B4A"/>
    <w:rsid w:val="4BFD64D0"/>
    <w:rsid w:val="4C013EF6"/>
    <w:rsid w:val="4C150FBA"/>
    <w:rsid w:val="4C177328"/>
    <w:rsid w:val="4C2C7F58"/>
    <w:rsid w:val="4C2D4456"/>
    <w:rsid w:val="4C3B3017"/>
    <w:rsid w:val="4C5639AD"/>
    <w:rsid w:val="4C6D0932"/>
    <w:rsid w:val="4C795F65"/>
    <w:rsid w:val="4CA63FAC"/>
    <w:rsid w:val="4CA94424"/>
    <w:rsid w:val="4CB75294"/>
    <w:rsid w:val="4CB91BB2"/>
    <w:rsid w:val="4CB93F3C"/>
    <w:rsid w:val="4CBB40AF"/>
    <w:rsid w:val="4CD00257"/>
    <w:rsid w:val="4CD4595F"/>
    <w:rsid w:val="4CD80866"/>
    <w:rsid w:val="4CDB1876"/>
    <w:rsid w:val="4CED7717"/>
    <w:rsid w:val="4CF54D02"/>
    <w:rsid w:val="4D2F41FE"/>
    <w:rsid w:val="4D312461"/>
    <w:rsid w:val="4D3857A8"/>
    <w:rsid w:val="4D4A3D6C"/>
    <w:rsid w:val="4D4E362D"/>
    <w:rsid w:val="4D53613E"/>
    <w:rsid w:val="4D5D6FBD"/>
    <w:rsid w:val="4D662315"/>
    <w:rsid w:val="4D706CF0"/>
    <w:rsid w:val="4D720CBA"/>
    <w:rsid w:val="4D7C38E7"/>
    <w:rsid w:val="4D7E765F"/>
    <w:rsid w:val="4D7F0FCC"/>
    <w:rsid w:val="4D8C65DC"/>
    <w:rsid w:val="4D8E361A"/>
    <w:rsid w:val="4D907392"/>
    <w:rsid w:val="4D96420E"/>
    <w:rsid w:val="4DB413A7"/>
    <w:rsid w:val="4DBF1A26"/>
    <w:rsid w:val="4DD86643"/>
    <w:rsid w:val="4DD97B58"/>
    <w:rsid w:val="4DE343D9"/>
    <w:rsid w:val="4DF27705"/>
    <w:rsid w:val="4E0538DC"/>
    <w:rsid w:val="4E162FCB"/>
    <w:rsid w:val="4E220279"/>
    <w:rsid w:val="4E281379"/>
    <w:rsid w:val="4E323FA5"/>
    <w:rsid w:val="4E4F4B57"/>
    <w:rsid w:val="4E522680"/>
    <w:rsid w:val="4E5959D6"/>
    <w:rsid w:val="4E640BBD"/>
    <w:rsid w:val="4E657E2A"/>
    <w:rsid w:val="4E6D53ED"/>
    <w:rsid w:val="4E7D5D6C"/>
    <w:rsid w:val="4E88393A"/>
    <w:rsid w:val="4EAC01FC"/>
    <w:rsid w:val="4EC6362C"/>
    <w:rsid w:val="4ECC61A8"/>
    <w:rsid w:val="4ECD1536"/>
    <w:rsid w:val="4EDE6674"/>
    <w:rsid w:val="4EE71234"/>
    <w:rsid w:val="4F030514"/>
    <w:rsid w:val="4F15335B"/>
    <w:rsid w:val="4F196F13"/>
    <w:rsid w:val="4F1C7662"/>
    <w:rsid w:val="4F212EC5"/>
    <w:rsid w:val="4F277882"/>
    <w:rsid w:val="4F302BDB"/>
    <w:rsid w:val="4F5C39D0"/>
    <w:rsid w:val="4F5F72FE"/>
    <w:rsid w:val="4F674123"/>
    <w:rsid w:val="4F684230"/>
    <w:rsid w:val="4F815FEA"/>
    <w:rsid w:val="4F825A7E"/>
    <w:rsid w:val="4F9273F2"/>
    <w:rsid w:val="4FA40ED3"/>
    <w:rsid w:val="4FB355BA"/>
    <w:rsid w:val="4FB8497E"/>
    <w:rsid w:val="4FBF215B"/>
    <w:rsid w:val="4FE14605"/>
    <w:rsid w:val="4FE63299"/>
    <w:rsid w:val="4FE63B1B"/>
    <w:rsid w:val="4FED287A"/>
    <w:rsid w:val="4FF16150"/>
    <w:rsid w:val="50131BB5"/>
    <w:rsid w:val="501C315F"/>
    <w:rsid w:val="503A35E5"/>
    <w:rsid w:val="504373E5"/>
    <w:rsid w:val="504A3AF3"/>
    <w:rsid w:val="505F654D"/>
    <w:rsid w:val="50763FEC"/>
    <w:rsid w:val="50811B32"/>
    <w:rsid w:val="50982DC8"/>
    <w:rsid w:val="509C604E"/>
    <w:rsid w:val="50B27A38"/>
    <w:rsid w:val="50B57217"/>
    <w:rsid w:val="50BE6FAF"/>
    <w:rsid w:val="50C07F8E"/>
    <w:rsid w:val="50C110C6"/>
    <w:rsid w:val="50C86E43"/>
    <w:rsid w:val="50CF07D1"/>
    <w:rsid w:val="50D06EDD"/>
    <w:rsid w:val="50F47C38"/>
    <w:rsid w:val="51137A93"/>
    <w:rsid w:val="511856D5"/>
    <w:rsid w:val="512322CB"/>
    <w:rsid w:val="5124074E"/>
    <w:rsid w:val="5132515F"/>
    <w:rsid w:val="513370D3"/>
    <w:rsid w:val="514B3CFC"/>
    <w:rsid w:val="517D7C2E"/>
    <w:rsid w:val="51887260"/>
    <w:rsid w:val="51894111"/>
    <w:rsid w:val="518B6549"/>
    <w:rsid w:val="519C4558"/>
    <w:rsid w:val="519F1952"/>
    <w:rsid w:val="51A03D0A"/>
    <w:rsid w:val="51A67184"/>
    <w:rsid w:val="51A90A23"/>
    <w:rsid w:val="51B178D7"/>
    <w:rsid w:val="51BD44CE"/>
    <w:rsid w:val="51C27D36"/>
    <w:rsid w:val="51D81705"/>
    <w:rsid w:val="51E00F6A"/>
    <w:rsid w:val="51ED4DB3"/>
    <w:rsid w:val="51F003FF"/>
    <w:rsid w:val="51FB0B52"/>
    <w:rsid w:val="52011CEC"/>
    <w:rsid w:val="52074DBF"/>
    <w:rsid w:val="5209326F"/>
    <w:rsid w:val="52123C42"/>
    <w:rsid w:val="52342C87"/>
    <w:rsid w:val="5246001F"/>
    <w:rsid w:val="525941F7"/>
    <w:rsid w:val="526151B7"/>
    <w:rsid w:val="5282370F"/>
    <w:rsid w:val="528C4884"/>
    <w:rsid w:val="52AA6800"/>
    <w:rsid w:val="52AB07CA"/>
    <w:rsid w:val="52B07485"/>
    <w:rsid w:val="52BE7978"/>
    <w:rsid w:val="52C20E15"/>
    <w:rsid w:val="52C5188C"/>
    <w:rsid w:val="52CB6E18"/>
    <w:rsid w:val="52DF784B"/>
    <w:rsid w:val="52F61A46"/>
    <w:rsid w:val="52FF332D"/>
    <w:rsid w:val="53034162"/>
    <w:rsid w:val="53085449"/>
    <w:rsid w:val="530A54F1"/>
    <w:rsid w:val="530D6D8F"/>
    <w:rsid w:val="532F3C91"/>
    <w:rsid w:val="5338715E"/>
    <w:rsid w:val="53476745"/>
    <w:rsid w:val="534E4B6E"/>
    <w:rsid w:val="53595652"/>
    <w:rsid w:val="535E583D"/>
    <w:rsid w:val="53806F98"/>
    <w:rsid w:val="538871F3"/>
    <w:rsid w:val="53B06098"/>
    <w:rsid w:val="53B35B89"/>
    <w:rsid w:val="53B4545D"/>
    <w:rsid w:val="53CC5C6E"/>
    <w:rsid w:val="53D578AD"/>
    <w:rsid w:val="53F67961"/>
    <w:rsid w:val="53FA37B7"/>
    <w:rsid w:val="5413016A"/>
    <w:rsid w:val="541D3E47"/>
    <w:rsid w:val="542B571F"/>
    <w:rsid w:val="54300F87"/>
    <w:rsid w:val="544A026A"/>
    <w:rsid w:val="54512B2B"/>
    <w:rsid w:val="545A24A8"/>
    <w:rsid w:val="546806D9"/>
    <w:rsid w:val="54680721"/>
    <w:rsid w:val="546B6463"/>
    <w:rsid w:val="546D52BE"/>
    <w:rsid w:val="548968E9"/>
    <w:rsid w:val="549A4653"/>
    <w:rsid w:val="54B83CD0"/>
    <w:rsid w:val="54C067AF"/>
    <w:rsid w:val="54C47921"/>
    <w:rsid w:val="54C94F38"/>
    <w:rsid w:val="54DE09E3"/>
    <w:rsid w:val="54E72A6B"/>
    <w:rsid w:val="54EB4EAE"/>
    <w:rsid w:val="54EC75A4"/>
    <w:rsid w:val="550310E3"/>
    <w:rsid w:val="55202DAA"/>
    <w:rsid w:val="55222331"/>
    <w:rsid w:val="552712C7"/>
    <w:rsid w:val="552A3C28"/>
    <w:rsid w:val="552D3719"/>
    <w:rsid w:val="5539030F"/>
    <w:rsid w:val="55434CEA"/>
    <w:rsid w:val="554E7BA3"/>
    <w:rsid w:val="55655759"/>
    <w:rsid w:val="5587107B"/>
    <w:rsid w:val="558C762A"/>
    <w:rsid w:val="559F0AD4"/>
    <w:rsid w:val="55A0213D"/>
    <w:rsid w:val="55A20145"/>
    <w:rsid w:val="55A75279"/>
    <w:rsid w:val="55BB5A05"/>
    <w:rsid w:val="55BC0DCB"/>
    <w:rsid w:val="55CD2AE6"/>
    <w:rsid w:val="55D661DF"/>
    <w:rsid w:val="55E95892"/>
    <w:rsid w:val="55EC5382"/>
    <w:rsid w:val="55ED119B"/>
    <w:rsid w:val="55FD2418"/>
    <w:rsid w:val="56002BDB"/>
    <w:rsid w:val="56010E2D"/>
    <w:rsid w:val="56083D8A"/>
    <w:rsid w:val="561346BC"/>
    <w:rsid w:val="56290FA3"/>
    <w:rsid w:val="56292132"/>
    <w:rsid w:val="562969FC"/>
    <w:rsid w:val="56343EEA"/>
    <w:rsid w:val="5635786C"/>
    <w:rsid w:val="56633896"/>
    <w:rsid w:val="56665134"/>
    <w:rsid w:val="567E1F8B"/>
    <w:rsid w:val="568F7482"/>
    <w:rsid w:val="5693076C"/>
    <w:rsid w:val="56933A4F"/>
    <w:rsid w:val="569D0B8E"/>
    <w:rsid w:val="56A8574D"/>
    <w:rsid w:val="56AA3DFF"/>
    <w:rsid w:val="56B23A00"/>
    <w:rsid w:val="56BA0F86"/>
    <w:rsid w:val="56C41E5B"/>
    <w:rsid w:val="56CB4F97"/>
    <w:rsid w:val="56D4123E"/>
    <w:rsid w:val="5714693E"/>
    <w:rsid w:val="57183B71"/>
    <w:rsid w:val="572F5526"/>
    <w:rsid w:val="5737087F"/>
    <w:rsid w:val="57433A79"/>
    <w:rsid w:val="57437223"/>
    <w:rsid w:val="57547BA2"/>
    <w:rsid w:val="57671164"/>
    <w:rsid w:val="57757732"/>
    <w:rsid w:val="57AC43C7"/>
    <w:rsid w:val="57CC0FC7"/>
    <w:rsid w:val="57DF722B"/>
    <w:rsid w:val="57E207EA"/>
    <w:rsid w:val="57FC328C"/>
    <w:rsid w:val="57FD3876"/>
    <w:rsid w:val="58020E8D"/>
    <w:rsid w:val="58384833"/>
    <w:rsid w:val="583F308C"/>
    <w:rsid w:val="58443253"/>
    <w:rsid w:val="58560FFA"/>
    <w:rsid w:val="586D0974"/>
    <w:rsid w:val="587C6014"/>
    <w:rsid w:val="589A10C5"/>
    <w:rsid w:val="58A27F7A"/>
    <w:rsid w:val="58B76D8E"/>
    <w:rsid w:val="58B8779D"/>
    <w:rsid w:val="58B92086"/>
    <w:rsid w:val="58BA6694"/>
    <w:rsid w:val="58BA6F54"/>
    <w:rsid w:val="58BD1C9B"/>
    <w:rsid w:val="58BF0B2C"/>
    <w:rsid w:val="58C223CA"/>
    <w:rsid w:val="58C7006B"/>
    <w:rsid w:val="58D5034F"/>
    <w:rsid w:val="58D77C23"/>
    <w:rsid w:val="58D8106B"/>
    <w:rsid w:val="58E70023"/>
    <w:rsid w:val="58F41BBE"/>
    <w:rsid w:val="58F5279F"/>
    <w:rsid w:val="58F72073"/>
    <w:rsid w:val="59011336"/>
    <w:rsid w:val="59284923"/>
    <w:rsid w:val="593212FE"/>
    <w:rsid w:val="59446CFA"/>
    <w:rsid w:val="59576FB6"/>
    <w:rsid w:val="59577BD8"/>
    <w:rsid w:val="595E20F3"/>
    <w:rsid w:val="5971064D"/>
    <w:rsid w:val="597436C4"/>
    <w:rsid w:val="59A0095D"/>
    <w:rsid w:val="59B46F19"/>
    <w:rsid w:val="59B7345F"/>
    <w:rsid w:val="59C745AE"/>
    <w:rsid w:val="59CC52AE"/>
    <w:rsid w:val="59D93E6F"/>
    <w:rsid w:val="59E83F95"/>
    <w:rsid w:val="59EE5BB4"/>
    <w:rsid w:val="59FE5684"/>
    <w:rsid w:val="5A1530F9"/>
    <w:rsid w:val="5A1D5B0A"/>
    <w:rsid w:val="5A294A8F"/>
    <w:rsid w:val="5A2C0443"/>
    <w:rsid w:val="5A3410A5"/>
    <w:rsid w:val="5A355763"/>
    <w:rsid w:val="5A3726BE"/>
    <w:rsid w:val="5A405C9C"/>
    <w:rsid w:val="5A4D0D47"/>
    <w:rsid w:val="5A4F5EDF"/>
    <w:rsid w:val="5A526282"/>
    <w:rsid w:val="5A543FA5"/>
    <w:rsid w:val="5A820063"/>
    <w:rsid w:val="5A88774A"/>
    <w:rsid w:val="5A8C0EE1"/>
    <w:rsid w:val="5A9B4A1E"/>
    <w:rsid w:val="5A9D4E9D"/>
    <w:rsid w:val="5AA1278A"/>
    <w:rsid w:val="5AA534CA"/>
    <w:rsid w:val="5AA71877"/>
    <w:rsid w:val="5ABA15AB"/>
    <w:rsid w:val="5AC35F42"/>
    <w:rsid w:val="5AC643F3"/>
    <w:rsid w:val="5AC71F19"/>
    <w:rsid w:val="5AD82BAE"/>
    <w:rsid w:val="5AE26D53"/>
    <w:rsid w:val="5AE900E2"/>
    <w:rsid w:val="5AEE56F8"/>
    <w:rsid w:val="5AF5766E"/>
    <w:rsid w:val="5AFE3B8D"/>
    <w:rsid w:val="5B0D3DD0"/>
    <w:rsid w:val="5B16743A"/>
    <w:rsid w:val="5B2A2BD4"/>
    <w:rsid w:val="5B3C3818"/>
    <w:rsid w:val="5B4204E6"/>
    <w:rsid w:val="5B46191F"/>
    <w:rsid w:val="5B542291"/>
    <w:rsid w:val="5B653C0C"/>
    <w:rsid w:val="5B68667D"/>
    <w:rsid w:val="5B7420A1"/>
    <w:rsid w:val="5B743E4F"/>
    <w:rsid w:val="5B793214"/>
    <w:rsid w:val="5B88019D"/>
    <w:rsid w:val="5B881FD5"/>
    <w:rsid w:val="5B8C73EB"/>
    <w:rsid w:val="5B9E711E"/>
    <w:rsid w:val="5BA67D81"/>
    <w:rsid w:val="5BB552E9"/>
    <w:rsid w:val="5BC621D1"/>
    <w:rsid w:val="5BD4350E"/>
    <w:rsid w:val="5BD4669C"/>
    <w:rsid w:val="5BD83099"/>
    <w:rsid w:val="5BDB663A"/>
    <w:rsid w:val="5BE014E5"/>
    <w:rsid w:val="5BE10DB9"/>
    <w:rsid w:val="5BE21043"/>
    <w:rsid w:val="5BE2525D"/>
    <w:rsid w:val="5BE80ABF"/>
    <w:rsid w:val="5BEA72CB"/>
    <w:rsid w:val="5C0C4088"/>
    <w:rsid w:val="5C175B4E"/>
    <w:rsid w:val="5C25339C"/>
    <w:rsid w:val="5C270F49"/>
    <w:rsid w:val="5C277114"/>
    <w:rsid w:val="5C2E2250"/>
    <w:rsid w:val="5C335AB8"/>
    <w:rsid w:val="5C4D58B9"/>
    <w:rsid w:val="5C6938EE"/>
    <w:rsid w:val="5C6959B7"/>
    <w:rsid w:val="5C69772C"/>
    <w:rsid w:val="5C6C116D"/>
    <w:rsid w:val="5C6D6FF7"/>
    <w:rsid w:val="5C725B24"/>
    <w:rsid w:val="5CA3732E"/>
    <w:rsid w:val="5CA873E4"/>
    <w:rsid w:val="5CB85FBE"/>
    <w:rsid w:val="5CD10E2D"/>
    <w:rsid w:val="5CDA4186"/>
    <w:rsid w:val="5CE13766"/>
    <w:rsid w:val="5D0408CF"/>
    <w:rsid w:val="5D186C96"/>
    <w:rsid w:val="5D1C12D3"/>
    <w:rsid w:val="5D204D26"/>
    <w:rsid w:val="5D327B1E"/>
    <w:rsid w:val="5D3C04A3"/>
    <w:rsid w:val="5D586AB3"/>
    <w:rsid w:val="5D5932FD"/>
    <w:rsid w:val="5D616655"/>
    <w:rsid w:val="5D706898"/>
    <w:rsid w:val="5D720862"/>
    <w:rsid w:val="5D731EE5"/>
    <w:rsid w:val="5D7E0FB5"/>
    <w:rsid w:val="5D8919AB"/>
    <w:rsid w:val="5D9205BD"/>
    <w:rsid w:val="5D947B6C"/>
    <w:rsid w:val="5DAA63D0"/>
    <w:rsid w:val="5DBF58F9"/>
    <w:rsid w:val="5DC307FA"/>
    <w:rsid w:val="5DC43BD5"/>
    <w:rsid w:val="5DCF5572"/>
    <w:rsid w:val="5DD40BD5"/>
    <w:rsid w:val="5DDB6408"/>
    <w:rsid w:val="5E016E24"/>
    <w:rsid w:val="5E0F63FB"/>
    <w:rsid w:val="5E173521"/>
    <w:rsid w:val="5E27164D"/>
    <w:rsid w:val="5E3F762C"/>
    <w:rsid w:val="5E51612E"/>
    <w:rsid w:val="5E5273F4"/>
    <w:rsid w:val="5E59732C"/>
    <w:rsid w:val="5E637780"/>
    <w:rsid w:val="5E6C7060"/>
    <w:rsid w:val="5E79529B"/>
    <w:rsid w:val="5E912F6A"/>
    <w:rsid w:val="5E914D18"/>
    <w:rsid w:val="5EA36C55"/>
    <w:rsid w:val="5EB32770"/>
    <w:rsid w:val="5EB641F5"/>
    <w:rsid w:val="5EBF795C"/>
    <w:rsid w:val="5ED877C8"/>
    <w:rsid w:val="5F020B81"/>
    <w:rsid w:val="5F155949"/>
    <w:rsid w:val="5F2926AC"/>
    <w:rsid w:val="5F30370C"/>
    <w:rsid w:val="5F304909"/>
    <w:rsid w:val="5F3136D1"/>
    <w:rsid w:val="5F371344"/>
    <w:rsid w:val="5F384AA3"/>
    <w:rsid w:val="5F506981"/>
    <w:rsid w:val="5F51216C"/>
    <w:rsid w:val="5F781A34"/>
    <w:rsid w:val="5F7F1015"/>
    <w:rsid w:val="5F887EC9"/>
    <w:rsid w:val="5F8E3006"/>
    <w:rsid w:val="5FB70CC8"/>
    <w:rsid w:val="5FBC4017"/>
    <w:rsid w:val="5FD735F1"/>
    <w:rsid w:val="5FD764D8"/>
    <w:rsid w:val="5FE13A7D"/>
    <w:rsid w:val="5FE32F01"/>
    <w:rsid w:val="5FFA069B"/>
    <w:rsid w:val="6001405A"/>
    <w:rsid w:val="601427B8"/>
    <w:rsid w:val="601856F1"/>
    <w:rsid w:val="60200102"/>
    <w:rsid w:val="602D58C0"/>
    <w:rsid w:val="602F0BA5"/>
    <w:rsid w:val="60365B77"/>
    <w:rsid w:val="604D7335"/>
    <w:rsid w:val="604D762F"/>
    <w:rsid w:val="60592CA2"/>
    <w:rsid w:val="60721F00"/>
    <w:rsid w:val="607D37A6"/>
    <w:rsid w:val="60831C82"/>
    <w:rsid w:val="60B22133"/>
    <w:rsid w:val="60BF2B5D"/>
    <w:rsid w:val="60CE4002"/>
    <w:rsid w:val="60E2750E"/>
    <w:rsid w:val="60E94998"/>
    <w:rsid w:val="60FE43B8"/>
    <w:rsid w:val="6109328C"/>
    <w:rsid w:val="610F7765"/>
    <w:rsid w:val="61164B30"/>
    <w:rsid w:val="61263C84"/>
    <w:rsid w:val="61265BEC"/>
    <w:rsid w:val="61355E2F"/>
    <w:rsid w:val="613E49E4"/>
    <w:rsid w:val="614E5143"/>
    <w:rsid w:val="614F7276"/>
    <w:rsid w:val="61564BAA"/>
    <w:rsid w:val="61693D2A"/>
    <w:rsid w:val="61736957"/>
    <w:rsid w:val="618446C0"/>
    <w:rsid w:val="61B21068"/>
    <w:rsid w:val="61C15914"/>
    <w:rsid w:val="61C37558"/>
    <w:rsid w:val="61D05B58"/>
    <w:rsid w:val="61FB791B"/>
    <w:rsid w:val="62045801"/>
    <w:rsid w:val="62061760"/>
    <w:rsid w:val="621719D8"/>
    <w:rsid w:val="623065F6"/>
    <w:rsid w:val="62410803"/>
    <w:rsid w:val="625C65CB"/>
    <w:rsid w:val="625C65F1"/>
    <w:rsid w:val="626B6B00"/>
    <w:rsid w:val="627A19DB"/>
    <w:rsid w:val="627B5AC3"/>
    <w:rsid w:val="628030DA"/>
    <w:rsid w:val="62891CB7"/>
    <w:rsid w:val="628B45D7"/>
    <w:rsid w:val="629253D6"/>
    <w:rsid w:val="6299063F"/>
    <w:rsid w:val="62A32D4F"/>
    <w:rsid w:val="62B92A90"/>
    <w:rsid w:val="62C52F94"/>
    <w:rsid w:val="62CD2097"/>
    <w:rsid w:val="62CF4061"/>
    <w:rsid w:val="62D82F16"/>
    <w:rsid w:val="62DE6052"/>
    <w:rsid w:val="62E41B8A"/>
    <w:rsid w:val="62ED5038"/>
    <w:rsid w:val="62FB30A8"/>
    <w:rsid w:val="63034754"/>
    <w:rsid w:val="63051831"/>
    <w:rsid w:val="631C2DE5"/>
    <w:rsid w:val="6320666B"/>
    <w:rsid w:val="63306696"/>
    <w:rsid w:val="63310878"/>
    <w:rsid w:val="63636C04"/>
    <w:rsid w:val="636C1DCE"/>
    <w:rsid w:val="63732C3E"/>
    <w:rsid w:val="638766EA"/>
    <w:rsid w:val="638E7A78"/>
    <w:rsid w:val="63916C75"/>
    <w:rsid w:val="6399385A"/>
    <w:rsid w:val="639A641D"/>
    <w:rsid w:val="63AA68DC"/>
    <w:rsid w:val="63AB4186"/>
    <w:rsid w:val="63BE035D"/>
    <w:rsid w:val="63E94CAF"/>
    <w:rsid w:val="63EA3BF3"/>
    <w:rsid w:val="63FA0916"/>
    <w:rsid w:val="641937E6"/>
    <w:rsid w:val="641F6922"/>
    <w:rsid w:val="64265E5A"/>
    <w:rsid w:val="642B52C7"/>
    <w:rsid w:val="64412D3D"/>
    <w:rsid w:val="6457046C"/>
    <w:rsid w:val="64754794"/>
    <w:rsid w:val="64A82DBC"/>
    <w:rsid w:val="64C319A4"/>
    <w:rsid w:val="64CD43FF"/>
    <w:rsid w:val="64D836A1"/>
    <w:rsid w:val="64EA5182"/>
    <w:rsid w:val="64F51A13"/>
    <w:rsid w:val="6502427A"/>
    <w:rsid w:val="651027B1"/>
    <w:rsid w:val="651A070D"/>
    <w:rsid w:val="652212B4"/>
    <w:rsid w:val="652266CA"/>
    <w:rsid w:val="6523128F"/>
    <w:rsid w:val="65363F24"/>
    <w:rsid w:val="654607AD"/>
    <w:rsid w:val="654971D3"/>
    <w:rsid w:val="654D5E54"/>
    <w:rsid w:val="655E20CB"/>
    <w:rsid w:val="657C215B"/>
    <w:rsid w:val="658E3D60"/>
    <w:rsid w:val="65902389"/>
    <w:rsid w:val="65A96DEB"/>
    <w:rsid w:val="65B71508"/>
    <w:rsid w:val="65C23A09"/>
    <w:rsid w:val="65C2639F"/>
    <w:rsid w:val="65D04378"/>
    <w:rsid w:val="65D57BE0"/>
    <w:rsid w:val="65DD0843"/>
    <w:rsid w:val="65E25240"/>
    <w:rsid w:val="65E35266"/>
    <w:rsid w:val="65FC2F9E"/>
    <w:rsid w:val="661B6740"/>
    <w:rsid w:val="661F0E5C"/>
    <w:rsid w:val="66255A6B"/>
    <w:rsid w:val="663761A5"/>
    <w:rsid w:val="66501015"/>
    <w:rsid w:val="66507267"/>
    <w:rsid w:val="66583C79"/>
    <w:rsid w:val="66593CD6"/>
    <w:rsid w:val="66661FF5"/>
    <w:rsid w:val="668A0B64"/>
    <w:rsid w:val="668A1EC9"/>
    <w:rsid w:val="669C06FE"/>
    <w:rsid w:val="66B07D06"/>
    <w:rsid w:val="66B43C9A"/>
    <w:rsid w:val="66D734E4"/>
    <w:rsid w:val="66E21011"/>
    <w:rsid w:val="671160AF"/>
    <w:rsid w:val="67184229"/>
    <w:rsid w:val="67192A32"/>
    <w:rsid w:val="672023BD"/>
    <w:rsid w:val="672172E5"/>
    <w:rsid w:val="673B7F17"/>
    <w:rsid w:val="6747066A"/>
    <w:rsid w:val="674943E2"/>
    <w:rsid w:val="676C5425"/>
    <w:rsid w:val="677027C6"/>
    <w:rsid w:val="677C6D9D"/>
    <w:rsid w:val="678056D4"/>
    <w:rsid w:val="67885EF4"/>
    <w:rsid w:val="678B49FB"/>
    <w:rsid w:val="679B54F5"/>
    <w:rsid w:val="67C52815"/>
    <w:rsid w:val="67CF308E"/>
    <w:rsid w:val="67D34322"/>
    <w:rsid w:val="67D5211A"/>
    <w:rsid w:val="67DE73F5"/>
    <w:rsid w:val="67F46030"/>
    <w:rsid w:val="67F56318"/>
    <w:rsid w:val="68024591"/>
    <w:rsid w:val="6804655B"/>
    <w:rsid w:val="68295FC1"/>
    <w:rsid w:val="68384210"/>
    <w:rsid w:val="684D3A5E"/>
    <w:rsid w:val="686358D8"/>
    <w:rsid w:val="687C216C"/>
    <w:rsid w:val="68865541"/>
    <w:rsid w:val="6888718C"/>
    <w:rsid w:val="68963B96"/>
    <w:rsid w:val="689A6E14"/>
    <w:rsid w:val="68BD438B"/>
    <w:rsid w:val="68D0468F"/>
    <w:rsid w:val="68D40619"/>
    <w:rsid w:val="68D66149"/>
    <w:rsid w:val="68E62AEE"/>
    <w:rsid w:val="68FC3B0F"/>
    <w:rsid w:val="68FD4A1F"/>
    <w:rsid w:val="69180510"/>
    <w:rsid w:val="6918249D"/>
    <w:rsid w:val="69264F5E"/>
    <w:rsid w:val="6951757E"/>
    <w:rsid w:val="69696A7E"/>
    <w:rsid w:val="69823BDB"/>
    <w:rsid w:val="69842796"/>
    <w:rsid w:val="698536CB"/>
    <w:rsid w:val="69A00505"/>
    <w:rsid w:val="69A0307E"/>
    <w:rsid w:val="69B31FE7"/>
    <w:rsid w:val="69C85359"/>
    <w:rsid w:val="69CD09F4"/>
    <w:rsid w:val="69D16911"/>
    <w:rsid w:val="69D81A4D"/>
    <w:rsid w:val="69E16412"/>
    <w:rsid w:val="69E5416A"/>
    <w:rsid w:val="69F61ED3"/>
    <w:rsid w:val="6A136F29"/>
    <w:rsid w:val="6A3D7B02"/>
    <w:rsid w:val="6A58579C"/>
    <w:rsid w:val="6A6D6639"/>
    <w:rsid w:val="6A7115D6"/>
    <w:rsid w:val="6A7E25F5"/>
    <w:rsid w:val="6A9049FA"/>
    <w:rsid w:val="6A983231"/>
    <w:rsid w:val="6A9C6F1F"/>
    <w:rsid w:val="6AB21AFA"/>
    <w:rsid w:val="6AB54047"/>
    <w:rsid w:val="6AB9362D"/>
    <w:rsid w:val="6AC326FD"/>
    <w:rsid w:val="6AD52F74"/>
    <w:rsid w:val="6AE508C6"/>
    <w:rsid w:val="6AED5D01"/>
    <w:rsid w:val="6B00125C"/>
    <w:rsid w:val="6B0E5024"/>
    <w:rsid w:val="6B113469"/>
    <w:rsid w:val="6B144174"/>
    <w:rsid w:val="6B146AB5"/>
    <w:rsid w:val="6B19231D"/>
    <w:rsid w:val="6B32518D"/>
    <w:rsid w:val="6B376C47"/>
    <w:rsid w:val="6B4849B1"/>
    <w:rsid w:val="6B594412"/>
    <w:rsid w:val="6B5C5373"/>
    <w:rsid w:val="6B712A7E"/>
    <w:rsid w:val="6B792DBC"/>
    <w:rsid w:val="6B7E36FB"/>
    <w:rsid w:val="6B902CAD"/>
    <w:rsid w:val="6B99520C"/>
    <w:rsid w:val="6BCC046C"/>
    <w:rsid w:val="6BCE3108"/>
    <w:rsid w:val="6BD3071E"/>
    <w:rsid w:val="6BDB24DB"/>
    <w:rsid w:val="6C0A7EB8"/>
    <w:rsid w:val="6C20148A"/>
    <w:rsid w:val="6C305B70"/>
    <w:rsid w:val="6C3F2DAF"/>
    <w:rsid w:val="6C465394"/>
    <w:rsid w:val="6C53360D"/>
    <w:rsid w:val="6C5549B4"/>
    <w:rsid w:val="6C8163CC"/>
    <w:rsid w:val="6C924D2D"/>
    <w:rsid w:val="6C97799E"/>
    <w:rsid w:val="6CA2723C"/>
    <w:rsid w:val="6CA65E33"/>
    <w:rsid w:val="6CDA147C"/>
    <w:rsid w:val="6CE419DE"/>
    <w:rsid w:val="6CEE5300"/>
    <w:rsid w:val="6D06656D"/>
    <w:rsid w:val="6D0C6A0E"/>
    <w:rsid w:val="6D6C0936"/>
    <w:rsid w:val="6D763A57"/>
    <w:rsid w:val="6D9418B7"/>
    <w:rsid w:val="6DB4632D"/>
    <w:rsid w:val="6DBD740C"/>
    <w:rsid w:val="6DC90FA3"/>
    <w:rsid w:val="6DE26723"/>
    <w:rsid w:val="6DF40E20"/>
    <w:rsid w:val="6DF55378"/>
    <w:rsid w:val="6DFB21AE"/>
    <w:rsid w:val="6E3E026B"/>
    <w:rsid w:val="6E492F1A"/>
    <w:rsid w:val="6E6B54BC"/>
    <w:rsid w:val="6E981DCB"/>
    <w:rsid w:val="6E9A5523"/>
    <w:rsid w:val="6E9C74ED"/>
    <w:rsid w:val="6E9E104E"/>
    <w:rsid w:val="6ECF180A"/>
    <w:rsid w:val="6ED621F4"/>
    <w:rsid w:val="6EE70955"/>
    <w:rsid w:val="6EF2535F"/>
    <w:rsid w:val="6F0A1A20"/>
    <w:rsid w:val="6F1572A0"/>
    <w:rsid w:val="6F2A1E3D"/>
    <w:rsid w:val="6F3040D9"/>
    <w:rsid w:val="6F3B6D06"/>
    <w:rsid w:val="6F444AC1"/>
    <w:rsid w:val="6F4621BA"/>
    <w:rsid w:val="6F4D5330"/>
    <w:rsid w:val="6F5002D8"/>
    <w:rsid w:val="6F6124E5"/>
    <w:rsid w:val="6F64734B"/>
    <w:rsid w:val="6F667AFB"/>
    <w:rsid w:val="6F9208F0"/>
    <w:rsid w:val="6F953F20"/>
    <w:rsid w:val="6FA26D10"/>
    <w:rsid w:val="6FAA79E8"/>
    <w:rsid w:val="6FB7142D"/>
    <w:rsid w:val="6FD64C81"/>
    <w:rsid w:val="6FDA2423"/>
    <w:rsid w:val="6FDF2D52"/>
    <w:rsid w:val="6FEA24DA"/>
    <w:rsid w:val="700C6158"/>
    <w:rsid w:val="701F44FB"/>
    <w:rsid w:val="702B1923"/>
    <w:rsid w:val="70553DF8"/>
    <w:rsid w:val="706E310B"/>
    <w:rsid w:val="707F70C6"/>
    <w:rsid w:val="708E730A"/>
    <w:rsid w:val="70950CDB"/>
    <w:rsid w:val="70965A08"/>
    <w:rsid w:val="709D03A9"/>
    <w:rsid w:val="70A00DEB"/>
    <w:rsid w:val="70A370D3"/>
    <w:rsid w:val="70B623BC"/>
    <w:rsid w:val="70B825D8"/>
    <w:rsid w:val="70BD6045"/>
    <w:rsid w:val="70C07B9A"/>
    <w:rsid w:val="70D42344"/>
    <w:rsid w:val="70E6230F"/>
    <w:rsid w:val="70F03B20"/>
    <w:rsid w:val="70F462ED"/>
    <w:rsid w:val="711D41EA"/>
    <w:rsid w:val="71200227"/>
    <w:rsid w:val="7135505E"/>
    <w:rsid w:val="71374A72"/>
    <w:rsid w:val="713E093A"/>
    <w:rsid w:val="714300F4"/>
    <w:rsid w:val="714979B6"/>
    <w:rsid w:val="714B3FAD"/>
    <w:rsid w:val="715258D0"/>
    <w:rsid w:val="715D595D"/>
    <w:rsid w:val="717149FA"/>
    <w:rsid w:val="717402AD"/>
    <w:rsid w:val="71771B4C"/>
    <w:rsid w:val="717E737E"/>
    <w:rsid w:val="71946BA2"/>
    <w:rsid w:val="719548BD"/>
    <w:rsid w:val="7198719C"/>
    <w:rsid w:val="71A16858"/>
    <w:rsid w:val="71A17872"/>
    <w:rsid w:val="71B42F44"/>
    <w:rsid w:val="71B92FAE"/>
    <w:rsid w:val="71C42D24"/>
    <w:rsid w:val="71D8296E"/>
    <w:rsid w:val="71DE1BCB"/>
    <w:rsid w:val="71E53C80"/>
    <w:rsid w:val="72012388"/>
    <w:rsid w:val="72225F5B"/>
    <w:rsid w:val="722A671B"/>
    <w:rsid w:val="72460618"/>
    <w:rsid w:val="725146E0"/>
    <w:rsid w:val="725459CD"/>
    <w:rsid w:val="725B321B"/>
    <w:rsid w:val="72691DDC"/>
    <w:rsid w:val="72704323"/>
    <w:rsid w:val="72914E8F"/>
    <w:rsid w:val="7292577B"/>
    <w:rsid w:val="729B1591"/>
    <w:rsid w:val="72B6712F"/>
    <w:rsid w:val="72B8241C"/>
    <w:rsid w:val="72C2386F"/>
    <w:rsid w:val="72C74980"/>
    <w:rsid w:val="72C74C01"/>
    <w:rsid w:val="72CC236B"/>
    <w:rsid w:val="72CE7E91"/>
    <w:rsid w:val="72D07765"/>
    <w:rsid w:val="72D40328"/>
    <w:rsid w:val="72ED761A"/>
    <w:rsid w:val="72F242CD"/>
    <w:rsid w:val="72F77221"/>
    <w:rsid w:val="73003AD2"/>
    <w:rsid w:val="7302773F"/>
    <w:rsid w:val="73041B05"/>
    <w:rsid w:val="73091DE9"/>
    <w:rsid w:val="73137F9A"/>
    <w:rsid w:val="7318735E"/>
    <w:rsid w:val="731955B0"/>
    <w:rsid w:val="73241A62"/>
    <w:rsid w:val="73382421"/>
    <w:rsid w:val="733E031E"/>
    <w:rsid w:val="73446F79"/>
    <w:rsid w:val="734B0E16"/>
    <w:rsid w:val="734F0FF3"/>
    <w:rsid w:val="73570325"/>
    <w:rsid w:val="73590397"/>
    <w:rsid w:val="738F0D71"/>
    <w:rsid w:val="73903399"/>
    <w:rsid w:val="73940F35"/>
    <w:rsid w:val="73C179F6"/>
    <w:rsid w:val="73D3687B"/>
    <w:rsid w:val="73ED2599"/>
    <w:rsid w:val="73F244A2"/>
    <w:rsid w:val="73F531FC"/>
    <w:rsid w:val="73F8165D"/>
    <w:rsid w:val="73FE0302"/>
    <w:rsid w:val="74087741"/>
    <w:rsid w:val="74096A68"/>
    <w:rsid w:val="741B5143"/>
    <w:rsid w:val="742B1104"/>
    <w:rsid w:val="743326A2"/>
    <w:rsid w:val="74375F4D"/>
    <w:rsid w:val="743A72BC"/>
    <w:rsid w:val="7444344F"/>
    <w:rsid w:val="74457360"/>
    <w:rsid w:val="744B00B0"/>
    <w:rsid w:val="7455116B"/>
    <w:rsid w:val="745C7D6C"/>
    <w:rsid w:val="74784559"/>
    <w:rsid w:val="74A07FB3"/>
    <w:rsid w:val="74A73931"/>
    <w:rsid w:val="74B21FB2"/>
    <w:rsid w:val="74B44F85"/>
    <w:rsid w:val="74B53F65"/>
    <w:rsid w:val="74B92E7F"/>
    <w:rsid w:val="74C24B19"/>
    <w:rsid w:val="74D1140E"/>
    <w:rsid w:val="751A5610"/>
    <w:rsid w:val="751E51E9"/>
    <w:rsid w:val="752B4F67"/>
    <w:rsid w:val="753D4E5A"/>
    <w:rsid w:val="754040CB"/>
    <w:rsid w:val="754B46EE"/>
    <w:rsid w:val="755A3C5E"/>
    <w:rsid w:val="755A5A0C"/>
    <w:rsid w:val="756D1BE3"/>
    <w:rsid w:val="757E59FD"/>
    <w:rsid w:val="75842A89"/>
    <w:rsid w:val="759B0993"/>
    <w:rsid w:val="75A60C51"/>
    <w:rsid w:val="75AB44BA"/>
    <w:rsid w:val="75AD3537"/>
    <w:rsid w:val="75D174E9"/>
    <w:rsid w:val="75EE3BA9"/>
    <w:rsid w:val="75FA6B6A"/>
    <w:rsid w:val="7605190B"/>
    <w:rsid w:val="760600C3"/>
    <w:rsid w:val="760F4A49"/>
    <w:rsid w:val="76165DD7"/>
    <w:rsid w:val="7617684F"/>
    <w:rsid w:val="761E2EDE"/>
    <w:rsid w:val="7625426C"/>
    <w:rsid w:val="762657D1"/>
    <w:rsid w:val="762B73A9"/>
    <w:rsid w:val="76422877"/>
    <w:rsid w:val="76672BB3"/>
    <w:rsid w:val="76684159"/>
    <w:rsid w:val="76B35133"/>
    <w:rsid w:val="76B807C3"/>
    <w:rsid w:val="76B873FE"/>
    <w:rsid w:val="76BB5CB8"/>
    <w:rsid w:val="76CE0460"/>
    <w:rsid w:val="76D774B3"/>
    <w:rsid w:val="76E01F41"/>
    <w:rsid w:val="76EC4A14"/>
    <w:rsid w:val="770A167D"/>
    <w:rsid w:val="77132317"/>
    <w:rsid w:val="771802A1"/>
    <w:rsid w:val="7718792D"/>
    <w:rsid w:val="772039B6"/>
    <w:rsid w:val="77240332"/>
    <w:rsid w:val="772C02B0"/>
    <w:rsid w:val="772C705D"/>
    <w:rsid w:val="773438B3"/>
    <w:rsid w:val="773F135E"/>
    <w:rsid w:val="77453BED"/>
    <w:rsid w:val="77534E09"/>
    <w:rsid w:val="77560455"/>
    <w:rsid w:val="7759243E"/>
    <w:rsid w:val="7798707D"/>
    <w:rsid w:val="77B27D81"/>
    <w:rsid w:val="77B358A8"/>
    <w:rsid w:val="78005C14"/>
    <w:rsid w:val="7809333E"/>
    <w:rsid w:val="781507B3"/>
    <w:rsid w:val="781F3D59"/>
    <w:rsid w:val="782459F2"/>
    <w:rsid w:val="78250C42"/>
    <w:rsid w:val="7826607A"/>
    <w:rsid w:val="782A3DBC"/>
    <w:rsid w:val="783871AE"/>
    <w:rsid w:val="783C31BF"/>
    <w:rsid w:val="78474DA3"/>
    <w:rsid w:val="7847671C"/>
    <w:rsid w:val="784F3822"/>
    <w:rsid w:val="785E5813"/>
    <w:rsid w:val="78733DA6"/>
    <w:rsid w:val="788D60F9"/>
    <w:rsid w:val="789045CC"/>
    <w:rsid w:val="78AD66D8"/>
    <w:rsid w:val="78C30917"/>
    <w:rsid w:val="78CE0BEB"/>
    <w:rsid w:val="78D12489"/>
    <w:rsid w:val="78D30910"/>
    <w:rsid w:val="78DB68A2"/>
    <w:rsid w:val="78E26444"/>
    <w:rsid w:val="78F97432"/>
    <w:rsid w:val="79053EE1"/>
    <w:rsid w:val="79181E66"/>
    <w:rsid w:val="791D20C2"/>
    <w:rsid w:val="79386064"/>
    <w:rsid w:val="793A002E"/>
    <w:rsid w:val="793A7DAA"/>
    <w:rsid w:val="79406AC7"/>
    <w:rsid w:val="7967239A"/>
    <w:rsid w:val="79687490"/>
    <w:rsid w:val="797F0137"/>
    <w:rsid w:val="79823784"/>
    <w:rsid w:val="798B088A"/>
    <w:rsid w:val="799A7BDC"/>
    <w:rsid w:val="799F3C44"/>
    <w:rsid w:val="79C478F8"/>
    <w:rsid w:val="79C505D8"/>
    <w:rsid w:val="79DA536E"/>
    <w:rsid w:val="79EA1A55"/>
    <w:rsid w:val="79EE0E19"/>
    <w:rsid w:val="7A0215D5"/>
    <w:rsid w:val="7A1E4A95"/>
    <w:rsid w:val="7A3220E6"/>
    <w:rsid w:val="7A6B246A"/>
    <w:rsid w:val="7A745551"/>
    <w:rsid w:val="7A7B08FF"/>
    <w:rsid w:val="7A88301C"/>
    <w:rsid w:val="7A8F2361"/>
    <w:rsid w:val="7A8F7F06"/>
    <w:rsid w:val="7AA02113"/>
    <w:rsid w:val="7AAB12D9"/>
    <w:rsid w:val="7AB73699"/>
    <w:rsid w:val="7ABD74EB"/>
    <w:rsid w:val="7ADF6716"/>
    <w:rsid w:val="7AE51DFB"/>
    <w:rsid w:val="7AE53FCA"/>
    <w:rsid w:val="7AF67F85"/>
    <w:rsid w:val="7AF91823"/>
    <w:rsid w:val="7B002BB2"/>
    <w:rsid w:val="7B053C1F"/>
    <w:rsid w:val="7B063660"/>
    <w:rsid w:val="7B2B4440"/>
    <w:rsid w:val="7B31682F"/>
    <w:rsid w:val="7B5B603A"/>
    <w:rsid w:val="7B6969A9"/>
    <w:rsid w:val="7B7956A0"/>
    <w:rsid w:val="7B7D3104"/>
    <w:rsid w:val="7B89477D"/>
    <w:rsid w:val="7B8E5818"/>
    <w:rsid w:val="7B914152"/>
    <w:rsid w:val="7B9A36F9"/>
    <w:rsid w:val="7BB25888"/>
    <w:rsid w:val="7BB37C24"/>
    <w:rsid w:val="7BC4332C"/>
    <w:rsid w:val="7BCD4E47"/>
    <w:rsid w:val="7BDD493C"/>
    <w:rsid w:val="7BE424D4"/>
    <w:rsid w:val="7BEB21F7"/>
    <w:rsid w:val="7C0466D2"/>
    <w:rsid w:val="7C2D79D7"/>
    <w:rsid w:val="7C30396B"/>
    <w:rsid w:val="7C34662B"/>
    <w:rsid w:val="7C480CB4"/>
    <w:rsid w:val="7C4B60AF"/>
    <w:rsid w:val="7C5036C5"/>
    <w:rsid w:val="7C8D7D76"/>
    <w:rsid w:val="7C935BD2"/>
    <w:rsid w:val="7C985AF7"/>
    <w:rsid w:val="7C991510"/>
    <w:rsid w:val="7C9F0C33"/>
    <w:rsid w:val="7CB25721"/>
    <w:rsid w:val="7CB8256F"/>
    <w:rsid w:val="7CCB71F0"/>
    <w:rsid w:val="7CFF0CB9"/>
    <w:rsid w:val="7D1943FF"/>
    <w:rsid w:val="7D1C505D"/>
    <w:rsid w:val="7D2A3FE0"/>
    <w:rsid w:val="7D2F3C22"/>
    <w:rsid w:val="7D567401"/>
    <w:rsid w:val="7D673F4F"/>
    <w:rsid w:val="7D76555C"/>
    <w:rsid w:val="7D7E37E6"/>
    <w:rsid w:val="7DE40569"/>
    <w:rsid w:val="7E0724A9"/>
    <w:rsid w:val="7E0D2F9A"/>
    <w:rsid w:val="7E0D3F64"/>
    <w:rsid w:val="7E116984"/>
    <w:rsid w:val="7E192908"/>
    <w:rsid w:val="7E24505B"/>
    <w:rsid w:val="7E327526"/>
    <w:rsid w:val="7E4B4A8C"/>
    <w:rsid w:val="7E6758D8"/>
    <w:rsid w:val="7E7033CF"/>
    <w:rsid w:val="7E717254"/>
    <w:rsid w:val="7E7864E1"/>
    <w:rsid w:val="7E7E330D"/>
    <w:rsid w:val="7E81400A"/>
    <w:rsid w:val="7E8B30DA"/>
    <w:rsid w:val="7E9F0EEE"/>
    <w:rsid w:val="7EA00E93"/>
    <w:rsid w:val="7EAB7AE1"/>
    <w:rsid w:val="7ECB34D7"/>
    <w:rsid w:val="7EFB14B8"/>
    <w:rsid w:val="7F0540CF"/>
    <w:rsid w:val="7F1B445E"/>
    <w:rsid w:val="7F216952"/>
    <w:rsid w:val="7F2350C1"/>
    <w:rsid w:val="7F2552DD"/>
    <w:rsid w:val="7F4671ED"/>
    <w:rsid w:val="7F5B6776"/>
    <w:rsid w:val="7F645C03"/>
    <w:rsid w:val="7F7B6CAB"/>
    <w:rsid w:val="7F8E48CA"/>
    <w:rsid w:val="7F9B2EB0"/>
    <w:rsid w:val="7FA36202"/>
    <w:rsid w:val="7FB1091F"/>
    <w:rsid w:val="7FB81CAD"/>
    <w:rsid w:val="7FD60385"/>
    <w:rsid w:val="7FDB599C"/>
    <w:rsid w:val="7FE274D3"/>
    <w:rsid w:val="7FF34C64"/>
    <w:rsid w:val="7FF64583"/>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tLeast"/>
      <w:outlineLvl w:val="0"/>
    </w:pPr>
    <w:rPr>
      <w:b/>
      <w:bCs/>
      <w:kern w:val="44"/>
      <w:sz w:val="44"/>
      <w:szCs w:val="44"/>
    </w:rPr>
  </w:style>
  <w:style w:type="paragraph" w:styleId="3">
    <w:name w:val="heading 2"/>
    <w:basedOn w:val="1"/>
    <w:next w:val="1"/>
    <w:qFormat/>
    <w:uiPriority w:val="9"/>
    <w:pPr>
      <w:keepNext/>
      <w:keepLines/>
      <w:spacing w:before="260" w:after="260" w:line="416" w:lineRule="atLeast"/>
      <w:outlineLvl w:val="1"/>
    </w:pPr>
    <w:rPr>
      <w:rFonts w:ascii="Cambria" w:hAnsi="Cambria"/>
      <w:b/>
      <w:bCs/>
      <w:kern w:val="0"/>
      <w:sz w:val="32"/>
      <w:szCs w:val="32"/>
    </w:rPr>
  </w:style>
  <w:style w:type="paragraph" w:styleId="4">
    <w:name w:val="heading 3"/>
    <w:basedOn w:val="1"/>
    <w:next w:val="1"/>
    <w:qFormat/>
    <w:uiPriority w:val="9"/>
    <w:pPr>
      <w:keepNext/>
      <w:keepLines/>
      <w:spacing w:before="260" w:after="260" w:line="416" w:lineRule="atLeast"/>
      <w:outlineLvl w:val="2"/>
    </w:pPr>
    <w:rPr>
      <w:b/>
      <w:bCs/>
      <w:kern w:val="0"/>
      <w:sz w:val="32"/>
      <w:szCs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snapToGrid w:val="0"/>
      <w:spacing w:line="440" w:lineRule="exact"/>
      <w:ind w:left="-21"/>
    </w:pPr>
    <w:rPr>
      <w:rFonts w:ascii="宋体"/>
      <w:color w:val="000000"/>
      <w:sz w:val="28"/>
      <w:szCs w:val="28"/>
    </w:rPr>
  </w:style>
  <w:style w:type="paragraph" w:styleId="7">
    <w:name w:val="annotation text"/>
    <w:basedOn w:val="1"/>
    <w:qFormat/>
    <w:uiPriority w:val="0"/>
    <w:pPr>
      <w:jc w:val="left"/>
    </w:pPr>
    <w:rPr>
      <w:szCs w:val="20"/>
    </w:rPr>
  </w:style>
  <w:style w:type="paragraph" w:styleId="8">
    <w:name w:val="Body Text 3"/>
    <w:basedOn w:val="1"/>
    <w:qFormat/>
    <w:uiPriority w:val="0"/>
    <w:rPr>
      <w:rFonts w:ascii="黑体" w:hAnsi="Arial" w:eastAsia="黑体"/>
      <w:b/>
      <w:sz w:val="28"/>
      <w:szCs w:val="20"/>
    </w:rPr>
  </w:style>
  <w:style w:type="paragraph" w:styleId="9">
    <w:name w:val="Body Text"/>
    <w:basedOn w:val="1"/>
    <w:qFormat/>
    <w:uiPriority w:val="0"/>
    <w:rPr>
      <w:rFonts w:ascii="宋体" w:hAnsi="Arial"/>
      <w:sz w:val="28"/>
      <w:szCs w:val="20"/>
    </w:rPr>
  </w:style>
  <w:style w:type="paragraph" w:styleId="10">
    <w:name w:val="Body Text Indent"/>
    <w:basedOn w:val="1"/>
    <w:next w:val="11"/>
    <w:qFormat/>
    <w:uiPriority w:val="0"/>
    <w:pPr>
      <w:ind w:firstLine="645"/>
    </w:pPr>
    <w:rPr>
      <w:rFonts w:ascii="楷体_GB2312" w:eastAsia="楷体_GB2312"/>
      <w:sz w:val="32"/>
      <w:szCs w:val="20"/>
    </w:rPr>
  </w:style>
  <w:style w:type="paragraph" w:styleId="11">
    <w:name w:val="envelope return"/>
    <w:basedOn w:val="1"/>
    <w:qFormat/>
    <w:uiPriority w:val="0"/>
    <w:rPr>
      <w:rFonts w:ascii="Arial" w:hAnsi="Arial"/>
      <w:kern w:val="2"/>
      <w:position w:val="0"/>
      <w:sz w:val="21"/>
      <w:szCs w:val="24"/>
    </w:rPr>
  </w:style>
  <w:style w:type="paragraph" w:styleId="12">
    <w:name w:val="Plain Text"/>
    <w:basedOn w:val="1"/>
    <w:qFormat/>
    <w:uiPriority w:val="0"/>
    <w:rPr>
      <w:rFonts w:ascii="宋体" w:hAnsi="Courier New"/>
      <w:szCs w:val="20"/>
    </w:rPr>
  </w:style>
  <w:style w:type="paragraph" w:styleId="13">
    <w:name w:val="Date"/>
    <w:basedOn w:val="1"/>
    <w:next w:val="1"/>
    <w:qFormat/>
    <w:uiPriority w:val="0"/>
    <w:rPr>
      <w:b/>
      <w:sz w:val="28"/>
      <w:szCs w:val="20"/>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List"/>
    <w:basedOn w:val="1"/>
    <w:qFormat/>
    <w:uiPriority w:val="0"/>
    <w:pPr>
      <w:keepNext w:val="0"/>
      <w:keepLines w:val="0"/>
      <w:widowControl w:val="0"/>
      <w:suppressLineNumbers w:val="0"/>
      <w:spacing w:before="0" w:beforeAutospacing="0" w:after="0" w:afterAutospacing="0"/>
      <w:ind w:left="200" w:right="0" w:hanging="200" w:hangingChars="200"/>
      <w:jc w:val="both"/>
    </w:pPr>
    <w:rPr>
      <w:rFonts w:hint="eastAsia" w:ascii="Times New Roman" w:hAnsi="Times New Roman" w:eastAsia="宋体" w:cs="Times New Roman"/>
      <w:kern w:val="2"/>
      <w:sz w:val="21"/>
      <w:szCs w:val="20"/>
      <w:lang w:val="en-US" w:eastAsia="zh-CN" w:bidi="ar"/>
    </w:rPr>
  </w:style>
  <w:style w:type="paragraph" w:styleId="18">
    <w:name w:val="toc 2"/>
    <w:basedOn w:val="1"/>
    <w:next w:val="1"/>
    <w:qFormat/>
    <w:uiPriority w:val="39"/>
    <w:pPr>
      <w:ind w:left="210"/>
      <w:jc w:val="left"/>
    </w:pPr>
    <w:rPr>
      <w:smallCaps/>
      <w:sz w:val="18"/>
      <w:szCs w:val="24"/>
    </w:rPr>
  </w:style>
  <w:style w:type="paragraph" w:styleId="19">
    <w:name w:val="Normal (Web)"/>
    <w:basedOn w:val="1"/>
    <w:qFormat/>
    <w:uiPriority w:val="0"/>
    <w:pPr>
      <w:widowControl/>
      <w:spacing w:before="100" w:beforeLines="0" w:beforeAutospacing="1" w:after="100" w:afterLines="0" w:afterAutospacing="1"/>
      <w:jc w:val="left"/>
    </w:pPr>
    <w:rPr>
      <w:rFonts w:ascii="宋体" w:hAnsi="宋体"/>
      <w:color w:val="000000"/>
      <w:kern w:val="0"/>
      <w:sz w:val="24"/>
    </w:rPr>
  </w:style>
  <w:style w:type="paragraph" w:styleId="20">
    <w:name w:val="index 1"/>
    <w:basedOn w:val="1"/>
    <w:next w:val="1"/>
    <w:qFormat/>
    <w:uiPriority w:val="0"/>
    <w:pPr>
      <w:jc w:val="center"/>
    </w:pPr>
    <w:rPr>
      <w:rFonts w:ascii="仿宋_GB2312" w:eastAsia="仿宋_GB2312"/>
      <w:b/>
      <w:bCs/>
      <w:sz w:val="28"/>
    </w:rPr>
  </w:style>
  <w:style w:type="paragraph" w:styleId="21">
    <w:name w:val="Body Text First Indent"/>
    <w:basedOn w:val="9"/>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32"/>
    </w:rPr>
  </w:style>
  <w:style w:type="paragraph" w:styleId="22">
    <w:name w:val="Body Text First Indent 2"/>
    <w:basedOn w:val="10"/>
    <w:unhideWhenUsed/>
    <w:qFormat/>
    <w:uiPriority w:val="99"/>
    <w:pPr>
      <w:ind w:firstLine="420" w:firstLineChars="200"/>
    </w:pPr>
    <w:rPr>
      <w:rFonts w:ascii="Calibri" w:hAnsi="Calibri" w:eastAsia="宋体"/>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Hyperlink"/>
    <w:qFormat/>
    <w:uiPriority w:val="99"/>
    <w:rPr>
      <w:color w:val="0000FF"/>
      <w:u w:val="single"/>
    </w:rPr>
  </w:style>
  <w:style w:type="paragraph" w:customStyle="1" w:styleId="28">
    <w:name w:val="WPSOffice手动目录 1"/>
    <w:qFormat/>
    <w:uiPriority w:val="0"/>
    <w:rPr>
      <w:rFonts w:ascii="Times New Roman" w:hAnsi="Times New Roman" w:eastAsia="宋体" w:cs="Times New Roman"/>
      <w:lang w:val="en-US" w:eastAsia="zh-CN" w:bidi="ar-SA"/>
    </w:rPr>
  </w:style>
  <w:style w:type="character" w:customStyle="1" w:styleId="29">
    <w:name w:val="标题 1 字符"/>
    <w:link w:val="2"/>
    <w:qFormat/>
    <w:uiPriority w:val="9"/>
    <w:rPr>
      <w:b/>
      <w:bCs/>
      <w:kern w:val="44"/>
      <w:sz w:val="44"/>
      <w:szCs w:val="44"/>
    </w:rPr>
  </w:style>
  <w:style w:type="character" w:customStyle="1" w:styleId="30">
    <w:name w:val="标题 2 Char Char"/>
    <w:qFormat/>
    <w:uiPriority w:val="0"/>
    <w:rPr>
      <w:rFonts w:ascii="Arial" w:hAnsi="Arial" w:eastAsia="黑体" w:cs="Times New Roman"/>
      <w:b/>
      <w:bCs/>
      <w:kern w:val="2"/>
      <w:sz w:val="32"/>
      <w:szCs w:val="32"/>
      <w:lang w:val="en-US" w:eastAsia="zh-CN" w:bidi="ar-SA"/>
    </w:rPr>
  </w:style>
  <w:style w:type="paragraph" w:customStyle="1" w:styleId="31">
    <w:name w:val="Normal_0"/>
    <w:qFormat/>
    <w:uiPriority w:val="0"/>
    <w:rPr>
      <w:rFonts w:ascii="Calibri" w:hAnsi="Calibri" w:eastAsia="宋体" w:cs="Times New Roman"/>
      <w:sz w:val="24"/>
      <w:szCs w:val="24"/>
      <w:lang w:val="en-US" w:eastAsia="zh-CN" w:bidi="ar-SA"/>
    </w:rPr>
  </w:style>
  <w:style w:type="paragraph" w:customStyle="1" w:styleId="32">
    <w:name w:val="Table Paragraph"/>
    <w:basedOn w:val="1"/>
    <w:qFormat/>
    <w:uiPriority w:val="1"/>
    <w:pPr>
      <w:autoSpaceDE w:val="0"/>
      <w:autoSpaceDN w:val="0"/>
      <w:spacing w:line="240" w:lineRule="auto"/>
      <w:jc w:val="left"/>
    </w:pPr>
    <w:rPr>
      <w:rFonts w:ascii="宋体" w:hAnsi="宋体" w:cs="宋体"/>
      <w:kern w:val="0"/>
      <w:sz w:val="22"/>
      <w:lang w:val="zh-CN" w:bidi="zh-CN"/>
    </w:rPr>
  </w:style>
  <w:style w:type="paragraph" w:customStyle="1" w:styleId="33">
    <w:name w:val="H-TextFormat"/>
    <w:qFormat/>
    <w:uiPriority w:val="0"/>
    <w:pPr>
      <w:autoSpaceDE w:val="0"/>
      <w:autoSpaceDN w:val="0"/>
      <w:adjustRightInd w:val="0"/>
    </w:pPr>
    <w:rPr>
      <w:rFonts w:ascii="Arial" w:hAnsi="Arial" w:eastAsia="宋体" w:cs="Arial"/>
      <w:sz w:val="22"/>
      <w:szCs w:val="22"/>
      <w:lang w:val="en-US" w:eastAsia="en-US" w:bidi="ar-SA"/>
    </w:rPr>
  </w:style>
  <w:style w:type="paragraph" w:customStyle="1" w:styleId="34">
    <w:name w:val="D&amp;L"/>
    <w:basedOn w:val="15"/>
    <w:qFormat/>
    <w:uiPriority w:val="99"/>
    <w:pPr>
      <w:pBdr>
        <w:bottom w:val="thinThickSmallGap" w:color="auto" w:sz="18" w:space="1"/>
      </w:pBdr>
      <w:adjustRightInd w:val="0"/>
      <w:snapToGrid/>
      <w:spacing w:line="240" w:lineRule="atLeast"/>
      <w:textAlignment w:val="baseline"/>
    </w:pPr>
    <w:rPr>
      <w:kern w:val="0"/>
      <w:sz w:val="24"/>
      <w:szCs w:val="20"/>
    </w:rPr>
  </w:style>
  <w:style w:type="paragraph" w:customStyle="1" w:styleId="35">
    <w:name w:val="p0"/>
    <w:basedOn w:val="1"/>
    <w:qFormat/>
    <w:uiPriority w:val="0"/>
    <w:pPr>
      <w:widowControl/>
    </w:pPr>
    <w:rPr>
      <w:kern w:val="0"/>
      <w:szCs w:val="21"/>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7">
    <w:name w:val="列出段落1"/>
    <w:basedOn w:val="1"/>
    <w:qFormat/>
    <w:uiPriority w:val="0"/>
    <w:pPr>
      <w:adjustRightInd w:val="0"/>
      <w:spacing w:line="360" w:lineRule="atLeast"/>
      <w:ind w:firstLine="420" w:firstLineChars="200"/>
      <w:jc w:val="left"/>
    </w:pPr>
    <w:rPr>
      <w:kern w:val="0"/>
      <w:sz w:val="24"/>
    </w:rPr>
  </w:style>
  <w:style w:type="paragraph" w:customStyle="1" w:styleId="38">
    <w:name w:val="Char Char Char Char Char Char Char1 Char"/>
    <w:basedOn w:val="1"/>
    <w:qFormat/>
    <w:uiPriority w:val="0"/>
    <w:rPr>
      <w:rFonts w:ascii="Tahoma" w:hAnsi="Tahoma"/>
      <w:sz w:val="24"/>
    </w:rPr>
  </w:style>
  <w:style w:type="paragraph" w:customStyle="1" w:styleId="39">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40">
    <w:name w:val="List Paragraph1"/>
    <w:basedOn w:val="1"/>
    <w:qFormat/>
    <w:uiPriority w:val="99"/>
    <w:pPr>
      <w:ind w:firstLine="420" w:firstLineChars="200"/>
    </w:pPr>
  </w:style>
  <w:style w:type="paragraph" w:styleId="41">
    <w:name w:val="List Paragraph"/>
    <w:basedOn w:val="1"/>
    <w:qFormat/>
    <w:uiPriority w:val="99"/>
    <w:pPr>
      <w:ind w:firstLine="420" w:firstLineChars="200"/>
    </w:pPr>
  </w:style>
  <w:style w:type="paragraph" w:customStyle="1" w:styleId="42">
    <w:name w:val="Table Text"/>
    <w:basedOn w:val="1"/>
    <w:semiHidden/>
    <w:qFormat/>
    <w:uiPriority w:val="0"/>
    <w:rPr>
      <w:rFonts w:ascii="宋体" w:hAnsi="宋体" w:eastAsia="宋体" w:cs="宋体"/>
      <w:sz w:val="20"/>
      <w:szCs w:val="20"/>
      <w:lang w:val="en-US" w:eastAsia="en-US" w:bidi="ar-SA"/>
    </w:rPr>
  </w:style>
  <w:style w:type="paragraph" w:customStyle="1" w:styleId="43">
    <w:name w:val="正文1"/>
    <w:basedOn w:val="1"/>
    <w:qFormat/>
    <w:uiPriority w:val="0"/>
    <w:pPr>
      <w:adjustRightInd w:val="0"/>
      <w:spacing w:line="360" w:lineRule="atLeast"/>
      <w:jc w:val="left"/>
      <w:textAlignment w:val="baseline"/>
    </w:pPr>
    <w:rPr>
      <w:rFonts w:ascii="宋体" w:hAnsi="宋体" w:eastAsia="宋体" w:cs="宋体"/>
      <w:kern w:val="0"/>
      <w:sz w:val="24"/>
      <w:szCs w:val="20"/>
      <w:lang w:eastAsia="en-US"/>
    </w:rPr>
  </w:style>
  <w:style w:type="paragraph" w:customStyle="1" w:styleId="44">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5">
    <w:name w:val="font81"/>
    <w:basedOn w:val="25"/>
    <w:qFormat/>
    <w:uiPriority w:val="0"/>
    <w:rPr>
      <w:rFonts w:ascii="宋体" w:hAnsi="宋体" w:eastAsia="宋体" w:cs="宋体"/>
      <w:color w:val="000000"/>
      <w:sz w:val="22"/>
      <w:szCs w:val="22"/>
      <w:u w:val="none"/>
    </w:rPr>
  </w:style>
  <w:style w:type="character" w:customStyle="1" w:styleId="46">
    <w:name w:val="font61"/>
    <w:basedOn w:val="25"/>
    <w:qFormat/>
    <w:uiPriority w:val="0"/>
    <w:rPr>
      <w:rFonts w:ascii="宋体" w:hAnsi="宋体" w:eastAsia="宋体" w:cs="宋体"/>
      <w:color w:val="000000"/>
      <w:sz w:val="22"/>
      <w:szCs w:val="22"/>
      <w:u w:val="none"/>
    </w:rPr>
  </w:style>
  <w:style w:type="character" w:customStyle="1" w:styleId="47">
    <w:name w:val="font71"/>
    <w:basedOn w:val="25"/>
    <w:qFormat/>
    <w:uiPriority w:val="0"/>
    <w:rPr>
      <w:rFonts w:ascii="宋体" w:hAnsi="宋体" w:eastAsia="宋体" w:cs="宋体"/>
      <w:color w:val="000000"/>
      <w:sz w:val="22"/>
      <w:szCs w:val="22"/>
      <w:u w:val="none"/>
    </w:rPr>
  </w:style>
  <w:style w:type="character" w:customStyle="1" w:styleId="48">
    <w:name w:val="font212"/>
    <w:basedOn w:val="25"/>
    <w:qFormat/>
    <w:uiPriority w:val="0"/>
    <w:rPr>
      <w:rFonts w:ascii="宋体" w:hAnsi="宋体" w:eastAsia="宋体" w:cs="宋体"/>
      <w:color w:val="000000"/>
      <w:sz w:val="22"/>
      <w:szCs w:val="22"/>
      <w:u w:val="none"/>
    </w:rPr>
  </w:style>
  <w:style w:type="character" w:customStyle="1" w:styleId="49">
    <w:name w:val="font21"/>
    <w:basedOn w:val="2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92</Pages>
  <Words>5436</Words>
  <Characters>5959</Characters>
  <DocSecurity>0</DocSecurity>
  <Lines>0</Lines>
  <Paragraphs>0</Paragraphs>
  <ScaleCrop>false</ScaleCrop>
  <LinksUpToDate>false</LinksUpToDate>
  <CharactersWithSpaces>6579</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2025-03-11T11:20:00Z</dcterms:created>
  <dcterms:modified xsi:type="dcterms:W3CDTF">2026-08-19T06:33:18Z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AE89D91E25344C4EA3F4180DA7FF3420_13</vt:lpwstr>
  </property>
  <property fmtid="{D5CDD505-2E9C-101B-9397-08002B2CF9AE}" pid="4" name="KSOTemplateDocerSaveRecord">
    <vt:lpwstr>eyJoZGlkIjoiM2RmYjc5NmM5NWFiZTcyODYwM2QwOGYxMGNkMjE3ZTMiLCJ1c2VySWQiOiI0MDgzOTM3NDMifQ==</vt:lpwstr>
  </property>
</Properties>
</file>