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ascii="方正小标宋_GBK" w:hAnsi="方正小标宋_GBK" w:eastAsia="方正小标宋_GBK" w:cs="方正小标宋_GBK"/>
          <w:color w:val="auto"/>
          <w:kern w:val="44"/>
          <w:sz w:val="44"/>
          <w:szCs w:val="44"/>
          <w:highlight w:val="none"/>
        </w:rPr>
      </w:pPr>
      <w:bookmarkStart w:id="17" w:name="_GoBack"/>
      <w:bookmarkEnd w:id="17"/>
      <w:r>
        <w:rPr>
          <w:rStyle w:val="11"/>
          <w:rFonts w:hint="eastAsia"/>
          <w:color w:val="auto"/>
          <w:highlight w:val="none"/>
        </w:rPr>
        <w:t xml:space="preserve"> 采购需求</w:t>
      </w:r>
    </w:p>
    <w:p w14:paraId="798C4083">
      <w:pPr>
        <w:spacing w:line="360" w:lineRule="auto"/>
        <w:rPr>
          <w:rFonts w:ascii="宋体" w:hAnsi="宋体"/>
          <w:b/>
          <w:color w:val="auto"/>
          <w:highlight w:val="none"/>
        </w:rPr>
      </w:pPr>
      <w:r>
        <w:rPr>
          <w:rFonts w:hint="eastAsia" w:ascii="宋体" w:hAnsi="宋体"/>
          <w:b/>
          <w:color w:val="auto"/>
          <w:highlight w:val="none"/>
        </w:rPr>
        <w:t>前注：</w:t>
      </w:r>
    </w:p>
    <w:p w14:paraId="1493DD00">
      <w:pPr>
        <w:spacing w:line="360" w:lineRule="auto"/>
        <w:ind w:firstLine="435"/>
        <w:rPr>
          <w:rFonts w:ascii="宋体" w:hAnsi="宋体" w:cs="宋体"/>
          <w:color w:val="auto"/>
          <w:szCs w:val="18"/>
          <w:highlight w:val="none"/>
        </w:rPr>
      </w:pPr>
      <w:bookmarkStart w:id="0" w:name="_Hlk16461016"/>
      <w:r>
        <w:rPr>
          <w:rFonts w:hint="eastAsia" w:ascii="宋体" w:hAnsi="宋体" w:cs="宋体"/>
          <w:color w:val="auto"/>
          <w:highlight w:val="none"/>
        </w:rPr>
        <w:t>1.</w:t>
      </w:r>
      <w:r>
        <w:rPr>
          <w:rFonts w:hint="eastAsia" w:ascii="宋体" w:hAnsi="宋体" w:cs="宋体"/>
          <w:color w:val="auto"/>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ascii="宋体" w:hAnsi="宋体" w:cs="宋体"/>
          <w:color w:val="auto"/>
          <w:szCs w:val="18"/>
          <w:highlight w:val="none"/>
        </w:rPr>
      </w:pPr>
      <w:r>
        <w:rPr>
          <w:rFonts w:hint="eastAsia" w:ascii="宋体" w:hAnsi="宋体" w:cs="宋体"/>
          <w:color w:val="auto"/>
          <w:szCs w:val="18"/>
          <w:highlight w:val="none"/>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ascii="宋体" w:hAnsi="宋体" w:cs="宋体"/>
          <w:color w:val="auto"/>
          <w:szCs w:val="18"/>
          <w:highlight w:val="none"/>
        </w:rPr>
      </w:pPr>
      <w:r>
        <w:rPr>
          <w:rFonts w:hint="eastAsia" w:ascii="宋体" w:hAnsi="宋体" w:cs="宋体"/>
          <w:color w:val="auto"/>
          <w:szCs w:val="18"/>
          <w:highlight w:val="none"/>
        </w:rPr>
        <w:t>3.下列采购需求中：标注</w:t>
      </w:r>
      <w:r>
        <w:rPr>
          <w:rFonts w:hint="eastAsia" w:ascii="宋体" w:hAnsi="宋体" w:cs="宋体"/>
          <w:color w:val="auto"/>
          <w:szCs w:val="24"/>
          <w:highlight w:val="none"/>
        </w:rPr>
        <w:t>▲</w:t>
      </w:r>
      <w:r>
        <w:rPr>
          <w:rFonts w:hint="eastAsia" w:ascii="宋体" w:hAnsi="宋体" w:cs="宋体"/>
          <w:color w:val="auto"/>
          <w:szCs w:val="18"/>
          <w:highlight w:val="none"/>
        </w:rPr>
        <w:t>的产品（核心产品），投标人在投标文件《主要中标标的承诺函》中填写名称、品牌、规格、型号、数量、单价等信息。</w:t>
      </w:r>
    </w:p>
    <w:p w14:paraId="6EDECB03">
      <w:pPr>
        <w:pStyle w:val="3"/>
        <w:ind w:firstLine="155"/>
        <w:rPr>
          <w:color w:val="auto"/>
          <w:highlight w:val="none"/>
        </w:rPr>
      </w:pPr>
      <w:bookmarkStart w:id="1" w:name="_Toc2025078090"/>
      <w:bookmarkStart w:id="2" w:name="_Toc1899401549"/>
      <w:bookmarkStart w:id="3" w:name="_Toc1064185329"/>
      <w:bookmarkStart w:id="4" w:name="_Toc337877615"/>
      <w:bookmarkStart w:id="5" w:name="_Toc1452677390"/>
      <w:bookmarkStart w:id="6" w:name="_Toc382548620"/>
      <w:bookmarkStart w:id="7" w:name="_Toc1437377518_WPSOffice_Level2"/>
      <w:bookmarkStart w:id="8" w:name="_Toc292361325"/>
      <w:r>
        <w:rPr>
          <w:rFonts w:hint="eastAsia"/>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2"/>
              <w:pBdr>
                <w:bottom w:val="none" w:color="auto" w:sz="0" w:space="0"/>
              </w:pBdr>
              <w:tabs>
                <w:tab w:val="clear" w:pos="4153"/>
                <w:tab w:val="clear" w:pos="8306"/>
              </w:tabs>
              <w:adjustRightInd/>
              <w:spacing w:line="240" w:lineRule="auto"/>
              <w:textAlignment w:val="auto"/>
              <w:rPr>
                <w:rFonts w:ascii="宋体" w:hAnsi="宋体" w:cs="宋体"/>
                <w:b/>
                <w:color w:val="auto"/>
                <w:kern w:val="2"/>
                <w:highlight w:val="none"/>
              </w:rPr>
            </w:pPr>
            <w:r>
              <w:rPr>
                <w:rFonts w:hint="eastAsia" w:ascii="宋体" w:hAnsi="宋体" w:cs="宋体"/>
                <w:b/>
                <w:color w:val="auto"/>
                <w:kern w:val="2"/>
                <w:highlight w:val="none"/>
              </w:rPr>
              <w:t>序号</w:t>
            </w:r>
          </w:p>
        </w:tc>
        <w:tc>
          <w:tcPr>
            <w:tcW w:w="2054" w:type="dxa"/>
            <w:vAlign w:val="center"/>
          </w:tcPr>
          <w:p w14:paraId="6B663E2A">
            <w:pPr>
              <w:pStyle w:val="13"/>
              <w:widowControl w:val="0"/>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条款名称</w:t>
            </w:r>
          </w:p>
        </w:tc>
        <w:tc>
          <w:tcPr>
            <w:tcW w:w="5544" w:type="dxa"/>
            <w:vAlign w:val="center"/>
          </w:tcPr>
          <w:p w14:paraId="4C6BBD14">
            <w:pPr>
              <w:pStyle w:val="13"/>
              <w:widowControl w:val="0"/>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2"/>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1</w:t>
            </w:r>
          </w:p>
        </w:tc>
        <w:tc>
          <w:tcPr>
            <w:tcW w:w="2054" w:type="dxa"/>
            <w:vAlign w:val="center"/>
          </w:tcPr>
          <w:p w14:paraId="295FB5A5">
            <w:pPr>
              <w:pStyle w:val="13"/>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付款方式</w:t>
            </w:r>
          </w:p>
        </w:tc>
        <w:tc>
          <w:tcPr>
            <w:tcW w:w="5544" w:type="dxa"/>
            <w:vAlign w:val="center"/>
          </w:tcPr>
          <w:p w14:paraId="3B7937F4">
            <w:pPr>
              <w:spacing w:line="360" w:lineRule="auto"/>
              <w:rPr>
                <w:rFonts w:hint="eastAsia" w:ascii="宋体" w:hAnsi="宋体" w:cs="宋体"/>
                <w:color w:val="auto"/>
                <w:szCs w:val="18"/>
                <w:highlight w:val="none"/>
                <w:lang w:val="en-US" w:eastAsia="zh-CN"/>
              </w:rPr>
            </w:pPr>
            <w:r>
              <w:rPr>
                <w:rFonts w:hint="eastAsia" w:ascii="宋体" w:hAnsi="宋体" w:cs="宋体"/>
                <w:color w:val="auto"/>
                <w:szCs w:val="18"/>
                <w:highlight w:val="none"/>
                <w:lang w:val="en-US" w:eastAsia="zh-CN"/>
              </w:rPr>
              <w:t>合同签订生效后，采购人向中标人支付70%合同款（中标人须同时向采购人递交等额预付款保函），全部货物安装调试完毕，剩余30%在验收合格后一次性付给中标人，同时退还预付款保函。</w:t>
            </w:r>
          </w:p>
          <w:p w14:paraId="0609B301">
            <w:pPr>
              <w:widowControl/>
              <w:spacing w:line="360" w:lineRule="auto"/>
              <w:jc w:val="left"/>
              <w:rPr>
                <w:rFonts w:ascii="宋体" w:hAnsi="宋体" w:cs="宋体"/>
                <w:b/>
                <w:color w:val="auto"/>
                <w:highlight w:val="none"/>
              </w:rPr>
            </w:pPr>
            <w:r>
              <w:rPr>
                <w:rFonts w:hint="eastAsia" w:ascii="宋体" w:hAnsi="宋体" w:cs="宋体"/>
                <w:b/>
                <w:color w:val="auto"/>
                <w:highlight w:val="none"/>
              </w:rPr>
              <w:t>注：</w:t>
            </w:r>
          </w:p>
          <w:p w14:paraId="36966E86">
            <w:pPr>
              <w:widowControl/>
              <w:spacing w:line="360" w:lineRule="auto"/>
              <w:jc w:val="left"/>
              <w:rPr>
                <w:rFonts w:ascii="宋体" w:hAnsi="宋体" w:cs="宋体"/>
                <w:b/>
                <w:color w:val="auto"/>
                <w:highlight w:val="none"/>
              </w:rPr>
            </w:pPr>
            <w:r>
              <w:rPr>
                <w:rFonts w:hint="eastAsia" w:ascii="宋体" w:hAnsi="宋体" w:cs="宋体"/>
                <w:b/>
                <w:color w:val="auto"/>
                <w:highlight w:val="none"/>
              </w:rPr>
              <w:t>（1）预付款保函形式： ☑银行保函 ☑担保机构担保</w:t>
            </w:r>
          </w:p>
          <w:p w14:paraId="1CD80D26">
            <w:pPr>
              <w:widowControl/>
              <w:spacing w:line="360" w:lineRule="auto"/>
              <w:jc w:val="left"/>
              <w:rPr>
                <w:rFonts w:ascii="宋体" w:hAnsi="宋体" w:cs="宋体"/>
                <w:b/>
                <w:color w:val="auto"/>
                <w:highlight w:val="none"/>
              </w:rPr>
            </w:pPr>
            <w:r>
              <w:rPr>
                <w:rFonts w:hint="eastAsia" w:ascii="宋体" w:hAnsi="宋体" w:cs="宋体"/>
                <w:b/>
                <w:color w:val="auto"/>
                <w:highlight w:val="none"/>
              </w:rPr>
              <w:t>（2）预付款保函递交要求：</w:t>
            </w:r>
          </w:p>
          <w:p w14:paraId="78BF2BF1">
            <w:pPr>
              <w:widowControl/>
              <w:spacing w:line="360" w:lineRule="auto"/>
              <w:jc w:val="left"/>
              <w:rPr>
                <w:rFonts w:ascii="宋体" w:hAnsi="宋体" w:cs="宋体"/>
                <w:b/>
                <w:color w:val="auto"/>
                <w:highlight w:val="none"/>
              </w:rPr>
            </w:pPr>
            <w:r>
              <w:rPr>
                <w:rFonts w:hint="eastAsia" w:ascii="宋体" w:hAnsi="宋体" w:cs="宋体"/>
                <w:b/>
                <w:color w:val="auto"/>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ascii="宋体" w:hAnsi="宋体" w:cs="宋体"/>
                <w:b/>
                <w:color w:val="auto"/>
                <w:highlight w:val="none"/>
              </w:rPr>
            </w:pPr>
            <w:r>
              <w:rPr>
                <w:rFonts w:hint="eastAsia" w:ascii="宋体" w:hAnsi="宋体" w:cs="宋体"/>
                <w:b/>
                <w:color w:val="auto"/>
                <w:highlight w:val="none"/>
              </w:rPr>
              <w:t>②如采用担保机构担保，应为具有备案资质的融资担保机构出具的见索即付无条件担保，且应将原件交至采购人保管。</w:t>
            </w:r>
          </w:p>
          <w:p w14:paraId="162126BF">
            <w:pPr>
              <w:widowControl/>
              <w:spacing w:line="360" w:lineRule="auto"/>
              <w:jc w:val="left"/>
              <w:rPr>
                <w:rFonts w:ascii="宋体" w:hAnsi="宋体" w:cs="宋体"/>
                <w:bCs/>
                <w:color w:val="auto"/>
                <w:highlight w:val="none"/>
              </w:rPr>
            </w:pPr>
            <w:r>
              <w:rPr>
                <w:rFonts w:hint="eastAsia" w:ascii="宋体" w:hAnsi="宋体" w:cs="宋体"/>
                <w:b/>
                <w:color w:val="auto"/>
                <w:highlight w:val="none"/>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2"/>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2</w:t>
            </w:r>
          </w:p>
        </w:tc>
        <w:tc>
          <w:tcPr>
            <w:tcW w:w="2054" w:type="dxa"/>
            <w:vAlign w:val="center"/>
          </w:tcPr>
          <w:p w14:paraId="7AF6938C">
            <w:pPr>
              <w:pStyle w:val="13"/>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供货及安装地点</w:t>
            </w:r>
          </w:p>
        </w:tc>
        <w:tc>
          <w:tcPr>
            <w:tcW w:w="5544" w:type="dxa"/>
            <w:vAlign w:val="center"/>
          </w:tcPr>
          <w:p w14:paraId="60874FC7">
            <w:pPr>
              <w:pStyle w:val="13"/>
              <w:widowControl w:val="0"/>
              <w:spacing w:before="0" w:beforeAutospacing="0" w:after="0" w:afterAutospacing="0" w:line="360" w:lineRule="auto"/>
              <w:jc w:val="left"/>
              <w:rPr>
                <w:rFonts w:hint="eastAsia" w:ascii="宋体" w:hAnsi="宋体" w:eastAsia="宋体" w:cs="宋体"/>
                <w:b w:val="0"/>
                <w:color w:val="auto"/>
                <w:sz w:val="24"/>
                <w:highlight w:val="none"/>
                <w:lang w:eastAsia="zh-CN"/>
              </w:rPr>
            </w:pPr>
            <w:r>
              <w:rPr>
                <w:rFonts w:hint="eastAsia" w:ascii="宋体" w:hAnsi="宋体" w:cs="宋体"/>
                <w:b w:val="0"/>
                <w:color w:val="auto"/>
                <w:sz w:val="24"/>
                <w:highlight w:val="none"/>
              </w:rPr>
              <w:t>安徽大学笃行</w:t>
            </w:r>
            <w:r>
              <w:rPr>
                <w:rFonts w:hint="eastAsia" w:ascii="宋体" w:hAnsi="宋体" w:cs="宋体"/>
                <w:b w:val="0"/>
                <w:color w:val="auto"/>
                <w:sz w:val="24"/>
                <w:highlight w:val="none"/>
                <w:lang w:val="en-US" w:eastAsia="zh-CN"/>
              </w:rPr>
              <w:t>北</w:t>
            </w:r>
            <w:r>
              <w:rPr>
                <w:rFonts w:hint="eastAsia" w:ascii="宋体" w:hAnsi="宋体" w:cs="宋体"/>
                <w:b w:val="0"/>
                <w:color w:val="auto"/>
                <w:sz w:val="24"/>
                <w:highlight w:val="none"/>
              </w:rPr>
              <w:t>楼</w:t>
            </w:r>
            <w:r>
              <w:rPr>
                <w:rFonts w:hint="eastAsia" w:ascii="宋体" w:hAnsi="宋体" w:cs="宋体"/>
                <w:b w:val="0"/>
                <w:color w:val="auto"/>
                <w:sz w:val="24"/>
                <w:highlight w:val="none"/>
                <w:lang w:eastAsia="zh-CN"/>
              </w:rPr>
              <w:t>。</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2"/>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3</w:t>
            </w:r>
          </w:p>
        </w:tc>
        <w:tc>
          <w:tcPr>
            <w:tcW w:w="2054" w:type="dxa"/>
            <w:vAlign w:val="center"/>
          </w:tcPr>
          <w:p w14:paraId="5A289E54">
            <w:pPr>
              <w:pStyle w:val="13"/>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供货及安装期限</w:t>
            </w:r>
          </w:p>
        </w:tc>
        <w:tc>
          <w:tcPr>
            <w:tcW w:w="5544" w:type="dxa"/>
            <w:vAlign w:val="center"/>
          </w:tcPr>
          <w:p w14:paraId="634ED800">
            <w:pPr>
              <w:pStyle w:val="13"/>
              <w:widowControl w:val="0"/>
              <w:spacing w:before="0" w:beforeAutospacing="0" w:after="0" w:afterAutospacing="0" w:line="360" w:lineRule="auto"/>
              <w:jc w:val="left"/>
              <w:rPr>
                <w:rFonts w:hint="eastAsia" w:ascii="宋体" w:hAnsi="宋体" w:eastAsia="宋体" w:cs="宋体"/>
                <w:b w:val="0"/>
                <w:color w:val="auto"/>
                <w:sz w:val="24"/>
                <w:highlight w:val="none"/>
                <w:lang w:eastAsia="zh-CN"/>
              </w:rPr>
            </w:pPr>
            <w:r>
              <w:rPr>
                <w:rFonts w:hint="eastAsia" w:ascii="宋体" w:hAnsi="宋体" w:cs="宋体"/>
                <w:b w:val="0"/>
                <w:color w:val="auto"/>
                <w:sz w:val="24"/>
                <w:highlight w:val="none"/>
              </w:rPr>
              <w:t>合同签订后3个月内完成供货安装调试</w:t>
            </w:r>
            <w:r>
              <w:rPr>
                <w:rFonts w:hint="eastAsia" w:ascii="宋体" w:hAnsi="宋体" w:cs="宋体"/>
                <w:b w:val="0"/>
                <w:color w:val="auto"/>
                <w:sz w:val="24"/>
                <w:highlight w:val="none"/>
                <w:lang w:eastAsia="zh-CN"/>
              </w:rPr>
              <w:t>。</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2"/>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4</w:t>
            </w:r>
          </w:p>
        </w:tc>
        <w:tc>
          <w:tcPr>
            <w:tcW w:w="2054" w:type="dxa"/>
            <w:vAlign w:val="center"/>
          </w:tcPr>
          <w:p w14:paraId="17BE67D7">
            <w:pPr>
              <w:pStyle w:val="13"/>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免费质保期</w:t>
            </w:r>
          </w:p>
        </w:tc>
        <w:tc>
          <w:tcPr>
            <w:tcW w:w="5544" w:type="dxa"/>
            <w:vAlign w:val="center"/>
          </w:tcPr>
          <w:p w14:paraId="3866FB31">
            <w:pPr>
              <w:pStyle w:val="4"/>
              <w:rPr>
                <w:rFonts w:hint="eastAsia" w:ascii="宋体" w:hAnsi="宋体" w:eastAsia="@微软简标宋" w:cs="宋体"/>
                <w:bCs/>
                <w:color w:val="auto"/>
                <w:highlight w:val="none"/>
                <w:lang w:eastAsia="zh-CN"/>
              </w:rPr>
            </w:pPr>
            <w:r>
              <w:rPr>
                <w:rFonts w:hint="eastAsia" w:ascii="宋体" w:hAnsi="宋体" w:eastAsia="宋体" w:cs="宋体"/>
                <w:bCs/>
                <w:color w:val="auto"/>
                <w:highlight w:val="none"/>
                <w:lang w:eastAsia="zh-CN"/>
              </w:rPr>
              <w:t>免费质保期（包括设备维修、更换及产生的相应人工费用）不少于8年，</w:t>
            </w:r>
            <w:r>
              <w:rPr>
                <w:rFonts w:hint="eastAsia" w:ascii="宋体" w:hAnsi="宋体" w:eastAsia="宋体" w:cs="宋体"/>
                <w:bCs/>
                <w:color w:val="auto"/>
                <w:highlight w:val="none"/>
                <w:lang w:val="en-US" w:eastAsia="zh-CN"/>
              </w:rPr>
              <w:t>须提供原厂售后服务</w:t>
            </w:r>
            <w:r>
              <w:rPr>
                <w:rFonts w:hint="eastAsia" w:ascii="宋体" w:hAnsi="宋体" w:eastAsia="宋体" w:cs="宋体"/>
                <w:bCs/>
                <w:color w:val="auto"/>
                <w:highlight w:val="none"/>
                <w:lang w:eastAsia="zh-CN"/>
              </w:rPr>
              <w:t>。</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2"/>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bookmarkStart w:id="9" w:name="_Toc1191965283_WPSOffice_Level2"/>
            <w:bookmarkStart w:id="10" w:name="_Toc369119811"/>
            <w:bookmarkStart w:id="11" w:name="_Toc302804901"/>
            <w:bookmarkStart w:id="12" w:name="_Toc717369146"/>
            <w:bookmarkStart w:id="13" w:name="_Toc1715351726"/>
            <w:bookmarkStart w:id="14" w:name="_Toc1693477008"/>
            <w:bookmarkStart w:id="15" w:name="_Toc626387511"/>
            <w:bookmarkStart w:id="16" w:name="_Toc58935147"/>
            <w:r>
              <w:rPr>
                <w:rFonts w:hint="eastAsia" w:ascii="宋体" w:hAnsi="宋体" w:cs="宋体"/>
                <w:bCs/>
                <w:color w:val="auto"/>
                <w:kern w:val="2"/>
                <w:highlight w:val="none"/>
              </w:rPr>
              <w:t>5</w:t>
            </w:r>
          </w:p>
        </w:tc>
        <w:tc>
          <w:tcPr>
            <w:tcW w:w="2054" w:type="dxa"/>
            <w:vAlign w:val="center"/>
          </w:tcPr>
          <w:p w14:paraId="2110F92E">
            <w:pPr>
              <w:pStyle w:val="13"/>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本项目采购标的所属行业</w:t>
            </w:r>
          </w:p>
        </w:tc>
        <w:tc>
          <w:tcPr>
            <w:tcW w:w="5544" w:type="dxa"/>
            <w:vAlign w:val="center"/>
          </w:tcPr>
          <w:p w14:paraId="327123A1">
            <w:pPr>
              <w:pStyle w:val="13"/>
              <w:widowControl w:val="0"/>
              <w:spacing w:before="0" w:beforeAutospacing="0" w:after="0" w:afterAutospacing="0" w:line="360" w:lineRule="auto"/>
              <w:jc w:val="both"/>
              <w:rPr>
                <w:rFonts w:ascii="宋体" w:hAnsi="宋体" w:cs="宋体"/>
                <w:b w:val="0"/>
                <w:color w:val="auto"/>
                <w:sz w:val="24"/>
                <w:highlight w:val="none"/>
              </w:rPr>
            </w:pPr>
            <w:r>
              <w:rPr>
                <w:rFonts w:hint="eastAsia" w:ascii="宋体" w:hAnsi="宋体" w:cs="宋体"/>
                <w:b w:val="0"/>
                <w:color w:val="auto"/>
                <w:sz w:val="24"/>
                <w:highlight w:val="none"/>
              </w:rPr>
              <w:t>工业。</w:t>
            </w:r>
          </w:p>
        </w:tc>
      </w:tr>
    </w:tbl>
    <w:p w14:paraId="0766B42F">
      <w:pPr>
        <w:pStyle w:val="3"/>
        <w:ind w:firstLine="155"/>
        <w:rPr>
          <w:color w:val="auto"/>
          <w:highlight w:val="none"/>
        </w:rPr>
      </w:pPr>
      <w:r>
        <w:rPr>
          <w:rFonts w:hint="eastAsia"/>
          <w:color w:val="auto"/>
          <w:highlight w:val="none"/>
        </w:rPr>
        <w:t>二、货物需求</w:t>
      </w:r>
      <w:bookmarkEnd w:id="9"/>
      <w:bookmarkEnd w:id="10"/>
      <w:bookmarkEnd w:id="11"/>
      <w:bookmarkEnd w:id="12"/>
      <w:bookmarkEnd w:id="13"/>
      <w:bookmarkEnd w:id="14"/>
      <w:bookmarkEnd w:id="15"/>
      <w:bookmarkEnd w:id="16"/>
    </w:p>
    <w:p w14:paraId="0A1B1B36">
      <w:pPr>
        <w:pStyle w:val="8"/>
        <w:spacing w:line="500" w:lineRule="exact"/>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需求内容类别</w:t>
            </w:r>
          </w:p>
        </w:tc>
        <w:tc>
          <w:tcPr>
            <w:tcW w:w="1579" w:type="dxa"/>
          </w:tcPr>
          <w:p w14:paraId="1EE33D4C">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标识符号</w:t>
            </w:r>
          </w:p>
        </w:tc>
        <w:tc>
          <w:tcPr>
            <w:tcW w:w="5069" w:type="dxa"/>
          </w:tcPr>
          <w:p w14:paraId="0EB35C7C">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关键性指标项</w:t>
            </w:r>
          </w:p>
        </w:tc>
        <w:tc>
          <w:tcPr>
            <w:tcW w:w="1579" w:type="dxa"/>
            <w:vAlign w:val="center"/>
          </w:tcPr>
          <w:p w14:paraId="0FBDA46A">
            <w:pPr>
              <w:spacing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18"/>
                <w:highlight w:val="none"/>
                <w:lang w:eastAsia="zh-CN"/>
              </w:rPr>
              <w:t>★</w:t>
            </w:r>
          </w:p>
        </w:tc>
        <w:tc>
          <w:tcPr>
            <w:tcW w:w="5069" w:type="dxa"/>
            <w:vAlign w:val="center"/>
          </w:tcPr>
          <w:p w14:paraId="6335D211">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重要指标项</w:t>
            </w:r>
          </w:p>
        </w:tc>
        <w:tc>
          <w:tcPr>
            <w:tcW w:w="1579" w:type="dxa"/>
            <w:vAlign w:val="center"/>
          </w:tcPr>
          <w:p w14:paraId="65DB68E0">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w:t>
            </w:r>
          </w:p>
        </w:tc>
        <w:tc>
          <w:tcPr>
            <w:tcW w:w="5069" w:type="dxa"/>
            <w:vAlign w:val="center"/>
          </w:tcPr>
          <w:p w14:paraId="2D535382">
            <w:pPr>
              <w:spacing w:line="360" w:lineRule="auto"/>
              <w:jc w:val="center"/>
              <w:rPr>
                <w:rFonts w:ascii="宋体" w:hAnsi="宋体" w:cs="宋体"/>
                <w:color w:val="auto"/>
                <w:szCs w:val="24"/>
                <w:highlight w:val="none"/>
              </w:rPr>
            </w:pPr>
            <w:r>
              <w:rPr>
                <w:rFonts w:hint="eastAsia" w:ascii="宋体" w:hAnsi="宋体" w:cs="宋体"/>
                <w:color w:val="auto"/>
                <w:highlight w:val="none"/>
              </w:rPr>
              <w:t>评分项，每满足一项得</w:t>
            </w:r>
            <w:r>
              <w:rPr>
                <w:rFonts w:hint="eastAsia" w:ascii="宋体" w:hAnsi="宋体" w:cs="宋体"/>
                <w:color w:val="auto"/>
                <w:highlight w:val="none"/>
                <w:lang w:val="en-US" w:eastAsia="zh-CN"/>
              </w:rPr>
              <w:t>5</w:t>
            </w:r>
            <w:r>
              <w:rPr>
                <w:rFonts w:hint="eastAsia" w:ascii="宋体" w:hAnsi="宋体" w:cs="宋体"/>
                <w:color w:val="auto"/>
                <w:highlight w:val="none"/>
              </w:rPr>
              <w:t>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ascii="宋体" w:hAnsi="宋体" w:cs="宋体"/>
                <w:color w:val="auto"/>
                <w:szCs w:val="18"/>
                <w:highlight w:val="none"/>
              </w:rPr>
            </w:pPr>
            <w:r>
              <w:rPr>
                <w:rFonts w:hint="eastAsia" w:ascii="宋体" w:hAnsi="宋体" w:cs="宋体"/>
                <w:color w:val="auto"/>
                <w:szCs w:val="18"/>
                <w:highlight w:val="none"/>
              </w:rPr>
              <w:t>一般指标项</w:t>
            </w:r>
          </w:p>
        </w:tc>
        <w:tc>
          <w:tcPr>
            <w:tcW w:w="1579" w:type="dxa"/>
            <w:vAlign w:val="center"/>
          </w:tcPr>
          <w:p w14:paraId="5BDA4C44">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w:t>
            </w:r>
          </w:p>
        </w:tc>
        <w:tc>
          <w:tcPr>
            <w:tcW w:w="5069" w:type="dxa"/>
            <w:vAlign w:val="center"/>
          </w:tcPr>
          <w:p w14:paraId="2ED7CA10">
            <w:pPr>
              <w:spacing w:line="360" w:lineRule="auto"/>
              <w:jc w:val="center"/>
              <w:rPr>
                <w:rFonts w:ascii="宋体" w:hAnsi="宋体" w:cs="宋体"/>
                <w:color w:val="auto"/>
                <w:szCs w:val="24"/>
                <w:highlight w:val="none"/>
              </w:rPr>
            </w:pPr>
            <w:r>
              <w:rPr>
                <w:rFonts w:hint="eastAsia" w:ascii="宋体" w:hAnsi="宋体" w:cs="宋体"/>
                <w:color w:val="auto"/>
                <w:highlight w:val="none"/>
              </w:rPr>
              <w:t>评分项，每满足一项得</w:t>
            </w:r>
            <w:r>
              <w:rPr>
                <w:rFonts w:hint="eastAsia" w:ascii="宋体" w:hAnsi="宋体" w:cs="宋体"/>
                <w:color w:val="auto"/>
                <w:highlight w:val="none"/>
                <w:lang w:val="en-US" w:eastAsia="zh-CN"/>
              </w:rPr>
              <w:t>2</w:t>
            </w:r>
            <w:r>
              <w:rPr>
                <w:rFonts w:hint="eastAsia" w:ascii="宋体" w:hAnsi="宋体" w:cs="宋体"/>
                <w:color w:val="auto"/>
                <w:highlight w:val="none"/>
              </w:rPr>
              <w:t>分</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pacing w:line="360" w:lineRule="auto"/>
              <w:jc w:val="center"/>
              <w:rPr>
                <w:color w:val="auto"/>
                <w:szCs w:val="28"/>
                <w:highlight w:val="none"/>
              </w:rPr>
            </w:pPr>
            <w:r>
              <w:rPr>
                <w:rFonts w:hint="eastAsia" w:ascii="宋体" w:hAnsi="宋体" w:cs="宋体"/>
                <w:color w:val="auto"/>
                <w:szCs w:val="18"/>
                <w:highlight w:val="none"/>
              </w:rPr>
              <w:t>无标识项</w:t>
            </w:r>
          </w:p>
        </w:tc>
        <w:tc>
          <w:tcPr>
            <w:tcW w:w="1579" w:type="dxa"/>
            <w:vAlign w:val="center"/>
          </w:tcPr>
          <w:p w14:paraId="10A03B12">
            <w:pPr>
              <w:spacing w:line="360" w:lineRule="auto"/>
              <w:jc w:val="center"/>
              <w:rPr>
                <w:color w:val="auto"/>
                <w:szCs w:val="28"/>
                <w:highlight w:val="none"/>
              </w:rPr>
            </w:pPr>
          </w:p>
        </w:tc>
        <w:tc>
          <w:tcPr>
            <w:tcW w:w="5069" w:type="dxa"/>
            <w:vAlign w:val="center"/>
          </w:tcPr>
          <w:p w14:paraId="6E06D7A3">
            <w:pPr>
              <w:spacing w:line="360" w:lineRule="auto"/>
              <w:jc w:val="center"/>
              <w:rPr>
                <w:rFonts w:ascii="宋体" w:hAnsi="宋体" w:cs="宋体"/>
                <w:color w:val="auto"/>
                <w:szCs w:val="24"/>
                <w:highlight w:val="none"/>
              </w:rPr>
            </w:pPr>
            <w:r>
              <w:rPr>
                <w:rFonts w:hint="eastAsia" w:ascii="宋体" w:hAnsi="宋体" w:cs="宋体"/>
                <w:color w:val="auto"/>
                <w:szCs w:val="24"/>
                <w:highlight w:val="none"/>
              </w:rPr>
              <w:t>评分项，每满足一项得1分</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751C47D7">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2E826AF4">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、如某项标识中包含多条技术参数或要求，则该项标识所含内容均需满足或优于招标文件要求，否则不予认可。</w:t>
            </w:r>
          </w:p>
          <w:p w14:paraId="6EB8F8C9">
            <w:pPr>
              <w:pStyle w:val="8"/>
              <w:spacing w:line="5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、关于参数评审的相关要求：</w:t>
            </w:r>
          </w:p>
          <w:p w14:paraId="235501A6">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①投标人必须对“★”项、“■”项、“●”项</w:t>
            </w:r>
            <w:r>
              <w:rPr>
                <w:rFonts w:hint="eastAsia" w:ascii="宋体" w:hAnsi="宋体" w:eastAsia="宋体" w:cs="宋体"/>
                <w:color w:val="auto"/>
                <w:sz w:val="24"/>
                <w:szCs w:val="24"/>
                <w:highlight w:val="none"/>
                <w:lang w:val="en-US" w:eastAsia="zh-CN"/>
              </w:rPr>
              <w:t>和无标识项</w:t>
            </w:r>
            <w:r>
              <w:rPr>
                <w:rFonts w:ascii="宋体" w:hAnsi="宋体" w:eastAsia="宋体" w:cs="宋体"/>
                <w:color w:val="auto"/>
                <w:sz w:val="24"/>
                <w:szCs w:val="24"/>
                <w:highlight w:val="none"/>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highlight w:val="none"/>
              </w:rPr>
              <w:t>对应</w:t>
            </w:r>
            <w:r>
              <w:rPr>
                <w:rFonts w:ascii="宋体" w:hAnsi="宋体" w:eastAsia="宋体" w:cs="宋体"/>
                <w:color w:val="auto"/>
                <w:sz w:val="24"/>
                <w:szCs w:val="24"/>
                <w:highlight w:val="none"/>
              </w:rPr>
              <w:t>的评审标准被否决投标或不得分），如发现虚假响应参数的按无效投标处理。</w:t>
            </w:r>
          </w:p>
          <w:p w14:paraId="1F2DAB18">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③除采购需求清单中明确约定在投标文件（或投标时）提供检测或检验或测试报告等证明材料外，其他材料均为合同签订后提供。</w:t>
            </w:r>
          </w:p>
          <w:p w14:paraId="0B316C71">
            <w:pPr>
              <w:pStyle w:val="8"/>
              <w:spacing w:line="500" w:lineRule="exact"/>
              <w:ind w:left="0" w:firstLine="0" w:firstLineChars="0"/>
              <w:rPr>
                <w:rFonts w:ascii="宋体" w:hAnsi="宋体" w:eastAsia="宋体" w:cs="宋体"/>
                <w:bCs/>
                <w:color w:val="auto"/>
                <w:sz w:val="24"/>
                <w:szCs w:val="24"/>
                <w:highlight w:val="none"/>
              </w:rPr>
            </w:pPr>
            <w:r>
              <w:rPr>
                <w:rFonts w:ascii="宋体" w:hAnsi="宋体" w:eastAsia="宋体" w:cs="宋体"/>
                <w:color w:val="auto"/>
                <w:sz w:val="24"/>
                <w:szCs w:val="24"/>
                <w:highlight w:val="none"/>
              </w:rPr>
              <w:t>④采购人有权要求合同签订后，验收时中标人对所投产品功能参数进行逐项演示，如发现有与投标文件描述不符或弄虚作假行为，中标人承担违约责任。</w:t>
            </w:r>
          </w:p>
        </w:tc>
      </w:tr>
    </w:tbl>
    <w:p w14:paraId="36A91013">
      <w:pPr>
        <w:pStyle w:val="8"/>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（二）货物指标要求</w:t>
      </w:r>
    </w:p>
    <w:tbl>
      <w:tblPr>
        <w:tblStyle w:val="9"/>
        <w:tblW w:w="5051" w:type="pct"/>
        <w:tblInd w:w="-92" w:type="dxa"/>
        <w:tblLayout w:type="fixed"/>
        <w:tblCellMar>
          <w:top w:w="0" w:type="dxa"/>
          <w:left w:w="108" w:type="dxa"/>
          <w:bottom w:w="0" w:type="dxa"/>
          <w:right w:w="108" w:type="dxa"/>
        </w:tblCellMar>
      </w:tblPr>
      <w:tblGrid>
        <w:gridCol w:w="751"/>
        <w:gridCol w:w="1199"/>
        <w:gridCol w:w="5343"/>
        <w:gridCol w:w="658"/>
        <w:gridCol w:w="659"/>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4"/>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4"/>
              <w:jc w:val="center"/>
              <w:rPr>
                <w:rFonts w:ascii="宋体" w:hAnsi="宋体" w:eastAsia="宋体" w:cs="宋体"/>
                <w:color w:val="auto"/>
                <w:highlight w:val="none"/>
              </w:rPr>
            </w:pPr>
            <w:r>
              <w:rPr>
                <w:rFonts w:hint="eastAsia" w:ascii="宋体" w:hAnsi="宋体" w:eastAsia="宋体" w:cs="宋体"/>
                <w:color w:val="auto"/>
                <w:highlight w:val="none"/>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4"/>
              <w:jc w:val="center"/>
              <w:rPr>
                <w:rFonts w:ascii="宋体" w:hAnsi="宋体" w:eastAsia="宋体" w:cs="宋体"/>
                <w:color w:val="auto"/>
                <w:highlight w:val="none"/>
              </w:rPr>
            </w:pPr>
            <w:r>
              <w:rPr>
                <w:rFonts w:hint="eastAsia" w:ascii="宋体" w:hAnsi="宋体" w:eastAsia="宋体" w:cs="宋体"/>
                <w:color w:val="auto"/>
                <w:highlight w:val="none"/>
              </w:rPr>
              <w:t>技术参数</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4"/>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spacing w:line="276" w:lineRule="auto"/>
              <w:jc w:val="center"/>
              <w:rPr>
                <w:rFonts w:ascii="宋体" w:hAnsi="宋体" w:eastAsia="宋体" w:cs="宋体"/>
                <w:color w:val="auto"/>
                <w:highlight w:val="none"/>
              </w:rPr>
            </w:pPr>
            <w:r>
              <w:rPr>
                <w:rFonts w:hint="eastAsia" w:asciiTheme="majorEastAsia" w:hAnsiTheme="majorEastAsia" w:eastAsiaTheme="majorEastAsia"/>
                <w:bCs/>
                <w:color w:val="auto"/>
                <w:sz w:val="24"/>
                <w:szCs w:val="24"/>
                <w:highlight w:val="none"/>
              </w:rPr>
              <w:t>所属行业</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ascii="宋体" w:hAnsi="宋体" w:cs="宋体"/>
                <w:color w:val="auto"/>
                <w:szCs w:val="18"/>
                <w:highlight w:val="none"/>
              </w:rPr>
            </w:pPr>
            <w:r>
              <w:rPr>
                <w:rFonts w:hint="eastAsia" w:ascii="宋体" w:hAnsi="宋体" w:cs="宋体"/>
                <w:color w:val="auto"/>
                <w:szCs w:val="18"/>
                <w:highlight w:val="none"/>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0E99BAA3">
            <w:pPr>
              <w:spacing w:line="360" w:lineRule="auto"/>
              <w:jc w:val="center"/>
              <w:rPr>
                <w:rFonts w:hint="eastAsia" w:ascii="宋体" w:hAnsi="宋体" w:eastAsia="宋体" w:cs="宋体"/>
                <w:bCs/>
                <w:color w:val="auto"/>
                <w:szCs w:val="18"/>
                <w:highlight w:val="none"/>
              </w:rPr>
            </w:pPr>
            <w:r>
              <w:rPr>
                <w:rFonts w:hint="eastAsia" w:asciiTheme="majorEastAsia" w:hAnsiTheme="majorEastAsia" w:eastAsiaTheme="majorEastAsia"/>
                <w:color w:val="auto"/>
                <w:sz w:val="24"/>
                <w:szCs w:val="24"/>
                <w:highlight w:val="none"/>
              </w:rPr>
              <w:t>▲50+比特超导量子计算真机科教研平台建设项目-子系统1</w:t>
            </w:r>
          </w:p>
        </w:tc>
        <w:tc>
          <w:tcPr>
            <w:tcW w:w="3103" w:type="pct"/>
            <w:tcBorders>
              <w:top w:val="single" w:color="000000" w:sz="4" w:space="0"/>
              <w:left w:val="single" w:color="000000" w:sz="4" w:space="0"/>
              <w:bottom w:val="single" w:color="000000" w:sz="4" w:space="0"/>
              <w:right w:val="single" w:color="000000" w:sz="4" w:space="0"/>
            </w:tcBorders>
            <w:vAlign w:val="top"/>
          </w:tcPr>
          <w:p w14:paraId="48A7982C">
            <w:pPr>
              <w:spacing w:line="360" w:lineRule="auto"/>
              <w:rPr>
                <w:rFonts w:ascii="Times New Roman" w:hAnsi="Times New Roman" w:cs="Times New Roman" w:eastAsiaTheme="majorEastAsia"/>
                <w:b/>
                <w:bCs/>
                <w:color w:val="auto"/>
                <w:szCs w:val="21"/>
                <w:highlight w:val="none"/>
              </w:rPr>
            </w:pPr>
            <w:r>
              <w:rPr>
                <w:rFonts w:hint="eastAsia" w:ascii="Times New Roman" w:hAnsi="Times New Roman" w:cs="Times New Roman" w:eastAsiaTheme="majorEastAsia"/>
                <w:b/>
                <w:bCs/>
                <w:color w:val="auto"/>
                <w:szCs w:val="21"/>
                <w:highlight w:val="none"/>
              </w:rPr>
              <w:t>1 量子物理基础模块</w:t>
            </w:r>
          </w:p>
          <w:p w14:paraId="257D1D1B">
            <w:pPr>
              <w:spacing w:line="360"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1.1：</w:t>
            </w:r>
            <w:r>
              <w:rPr>
                <w:rFonts w:hint="eastAsia" w:ascii="Times New Roman" w:hAnsi="Times New Roman" w:cs="Times New Roman" w:eastAsiaTheme="majorEastAsia"/>
                <w:color w:val="auto"/>
                <w:szCs w:val="21"/>
                <w:highlight w:val="none"/>
              </w:rPr>
              <w:t>量子纠缠源的产生与应用测试，满足以下需求：非线性晶体：BBO晶体；半导体激光器激光泵浦源波长：405nm±1nm；半导体激光泵浦光功率≥30mW；纠缠光子对亮度：≥200Hz/mW；硅基探测器探测效率：≥40%@810nm；H，V光偏振对比度≥15：1；+，-偏振对比度≥7：1</w:t>
            </w:r>
            <w:r>
              <w:rPr>
                <w:rFonts w:hint="eastAsia"/>
                <w:color w:val="auto"/>
                <w:szCs w:val="21"/>
                <w:highlight w:val="none"/>
              </w:rPr>
              <w:t>，保真度：≥</w:t>
            </w:r>
            <w:r>
              <w:rPr>
                <w:rFonts w:ascii="Times New Roman" w:hAnsi="Times New Roman" w:cs="Times New Roman"/>
                <w:color w:val="auto"/>
                <w:szCs w:val="21"/>
                <w:highlight w:val="none"/>
              </w:rPr>
              <w:t>85%</w:t>
            </w:r>
            <w:r>
              <w:rPr>
                <w:rFonts w:hint="eastAsia" w:ascii="Times New Roman" w:hAnsi="Times New Roman" w:cs="Times New Roman" w:eastAsiaTheme="majorEastAsia"/>
                <w:color w:val="auto"/>
                <w:szCs w:val="21"/>
                <w:highlight w:val="none"/>
              </w:rPr>
              <w:t>。</w:t>
            </w:r>
          </w:p>
          <w:p w14:paraId="4ACD614D">
            <w:pPr>
              <w:spacing w:line="360"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1.2：</w:t>
            </w:r>
            <w:r>
              <w:rPr>
                <w:rFonts w:hint="eastAsia" w:ascii="Times New Roman" w:hAnsi="Times New Roman" w:cs="Times New Roman" w:eastAsiaTheme="majorEastAsia"/>
                <w:color w:val="auto"/>
                <w:szCs w:val="21"/>
                <w:highlight w:val="none"/>
              </w:rPr>
              <w:t>量子非局域性测试，满足以下需求：半导体激光器激光泵浦源波长：405nm±1nm；纠缠光子对亮度：≥200Hz/mW；半导体激光泵浦光功率≥30mW；硅基探测器探测效率：≥40%@810nm；H，V光偏振对比度≥15：1；+，-偏振对比度≥7：1；Bell不等式破坏程度≥2.3。</w:t>
            </w:r>
          </w:p>
          <w:p w14:paraId="2C8EE4E2">
            <w:pPr>
              <w:spacing w:line="360"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1.3：</w:t>
            </w:r>
            <w:r>
              <w:rPr>
                <w:rFonts w:hint="eastAsia" w:ascii="Times New Roman" w:hAnsi="Times New Roman" w:cs="Times New Roman" w:eastAsiaTheme="majorEastAsia"/>
                <w:color w:val="auto"/>
                <w:szCs w:val="21"/>
                <w:highlight w:val="none"/>
              </w:rPr>
              <w:t>单光子量子干涉测试，满足以下需求：波长：810nm±2nm；偏振分束器消光比&gt;500:1；相干长度≥30um；干涉光子亮度&gt;800cps；单光子干涉对比度&gt;0.75。</w:t>
            </w:r>
          </w:p>
          <w:p w14:paraId="48881981">
            <w:pPr>
              <w:spacing w:line="360"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1.4：</w:t>
            </w:r>
            <w:r>
              <w:rPr>
                <w:rFonts w:hint="eastAsia" w:ascii="Times New Roman" w:hAnsi="Times New Roman" w:cs="Times New Roman" w:eastAsiaTheme="majorEastAsia"/>
                <w:color w:val="auto"/>
                <w:szCs w:val="21"/>
                <w:highlight w:val="none"/>
              </w:rPr>
              <w:t>HOM型双光子干涉测试，满足以下需求：波长：810nm±2nm；偏振分束器消光比：&gt;500：1；HOM Dip的消光比≥75%。</w:t>
            </w:r>
          </w:p>
          <w:p w14:paraId="541E27BB">
            <w:pPr>
              <w:spacing w:line="360" w:lineRule="auto"/>
              <w:rPr>
                <w:rFonts w:ascii="Times New Roman" w:hAnsi="Times New Roman" w:cs="Times New Roman" w:eastAsiaTheme="majorEastAsia"/>
                <w:color w:val="auto"/>
                <w:szCs w:val="21"/>
                <w:highlight w:val="none"/>
              </w:rPr>
            </w:pPr>
            <w:r>
              <w:rPr>
                <w:rFonts w:ascii="Times New Roman" w:hAnsi="Times New Roman" w:cs="Times New Roman" w:eastAsiaTheme="majorEastAsia"/>
                <w:color w:val="auto"/>
                <w:szCs w:val="21"/>
                <w:highlight w:val="none"/>
              </w:rPr>
              <w:t>1.5：</w:t>
            </w:r>
            <w:r>
              <w:rPr>
                <w:rFonts w:hint="eastAsia" w:ascii="Times New Roman" w:hAnsi="Times New Roman" w:cs="Times New Roman" w:eastAsiaTheme="majorEastAsia"/>
                <w:color w:val="auto"/>
                <w:szCs w:val="21"/>
                <w:highlight w:val="none"/>
              </w:rPr>
              <w:t>高阶矢量涡旋光束的产生与检测测试，满足以下需求：激光功率：＞60 mW；涡旋光束OAM值：m ≥ 2；楔角片厚度测量精度：＜1um；CCD相机分辨率：</w:t>
            </w:r>
            <w:r>
              <w:rPr>
                <w:rFonts w:hint="eastAsia" w:ascii="Times New Roman" w:hAnsi="Times New Roman" w:cs="Times New Roman" w:eastAsiaTheme="majorEastAsia"/>
                <w:color w:val="auto"/>
                <w:szCs w:val="21"/>
                <w:highlight w:val="none"/>
                <w:lang w:val="en-US" w:eastAsia="zh-CN"/>
              </w:rPr>
              <w:t>≥</w:t>
            </w:r>
            <w:r>
              <w:rPr>
                <w:rFonts w:hint="eastAsia" w:ascii="Times New Roman" w:hAnsi="Times New Roman" w:cs="Times New Roman" w:eastAsiaTheme="majorEastAsia"/>
                <w:color w:val="auto"/>
                <w:szCs w:val="21"/>
                <w:highlight w:val="none"/>
              </w:rPr>
              <w:t>1600*1200；位移台精度：</w:t>
            </w:r>
            <w:r>
              <w:rPr>
                <w:rFonts w:hint="eastAsia" w:ascii="Times New Roman" w:hAnsi="Times New Roman" w:cs="Times New Roman" w:eastAsiaTheme="majorEastAsia"/>
                <w:color w:val="auto"/>
                <w:szCs w:val="21"/>
                <w:highlight w:val="none"/>
                <w:lang w:val="en-US" w:eastAsia="zh-CN"/>
              </w:rPr>
              <w:t>不低于</w:t>
            </w:r>
            <w:r>
              <w:rPr>
                <w:rFonts w:hint="eastAsia" w:ascii="Times New Roman" w:hAnsi="Times New Roman" w:cs="Times New Roman" w:eastAsiaTheme="majorEastAsia"/>
                <w:color w:val="auto"/>
                <w:szCs w:val="21"/>
                <w:highlight w:val="none"/>
              </w:rPr>
              <w:t>10 um。</w:t>
            </w:r>
          </w:p>
          <w:p w14:paraId="1CB2A4C1">
            <w:pPr>
              <w:spacing w:line="360"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1.6：</w:t>
            </w:r>
            <w:r>
              <w:rPr>
                <w:rFonts w:hint="eastAsia" w:ascii="Times New Roman" w:hAnsi="Times New Roman" w:cs="Times New Roman" w:eastAsiaTheme="majorEastAsia"/>
                <w:color w:val="auto"/>
                <w:szCs w:val="21"/>
                <w:highlight w:val="none"/>
              </w:rPr>
              <w:t>光量子态的制备、操控及测量测试，满足以下需求：非线性晶体：PPKTP晶体；半导体激光泵浦光功率≥3mW，波长：405nm±1nm；硅基探测器探测效率：≥40%@810nm；H，V光偏振对比度≥30：1；+，-偏振对比度≥15：1；纠缠光子对亮度：≥20kHz/mW；Bell 不等式破坏程度≥2.5。</w:t>
            </w:r>
          </w:p>
          <w:p w14:paraId="6D11DCE8">
            <w:pPr>
              <w:spacing w:line="360" w:lineRule="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★1.7</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auto"/>
                <w:sz w:val="24"/>
                <w:szCs w:val="24"/>
                <w:highlight w:val="none"/>
                <w:u w:val="none"/>
              </w:rPr>
              <w:t>各功能模块节点数量≥2。</w:t>
            </w:r>
          </w:p>
          <w:p w14:paraId="556FFC09">
            <w:pPr>
              <w:spacing w:line="360" w:lineRule="auto"/>
              <w:rPr>
                <w:rFonts w:ascii="Times New Roman" w:hAnsi="Times New Roman" w:cs="Times New Roman" w:eastAsiaTheme="majorEastAsia"/>
                <w:b/>
                <w:bCs/>
                <w:color w:val="auto"/>
                <w:szCs w:val="21"/>
                <w:highlight w:val="none"/>
              </w:rPr>
            </w:pPr>
            <w:r>
              <w:rPr>
                <w:rFonts w:hint="eastAsia" w:ascii="Times New Roman" w:hAnsi="Times New Roman" w:cs="Times New Roman" w:eastAsiaTheme="majorEastAsia"/>
                <w:b/>
                <w:bCs/>
                <w:color w:val="auto"/>
                <w:szCs w:val="21"/>
                <w:highlight w:val="none"/>
              </w:rPr>
              <w:t xml:space="preserve">2 </w:t>
            </w:r>
            <w:r>
              <w:rPr>
                <w:b/>
                <w:bCs/>
                <w:color w:val="auto"/>
                <w:szCs w:val="21"/>
                <w:highlight w:val="none"/>
              </w:rPr>
              <w:t>量子通信</w:t>
            </w:r>
            <w:r>
              <w:rPr>
                <w:rFonts w:hint="eastAsia"/>
                <w:b/>
                <w:bCs/>
                <w:color w:val="auto"/>
                <w:szCs w:val="21"/>
                <w:highlight w:val="none"/>
              </w:rPr>
              <w:t>模块</w:t>
            </w:r>
          </w:p>
          <w:p w14:paraId="459A80D0">
            <w:pPr>
              <w:spacing w:line="276"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2.1：</w:t>
            </w:r>
            <w:r>
              <w:rPr>
                <w:rFonts w:hint="eastAsia" w:ascii="Times New Roman" w:hAnsi="Times New Roman" w:cs="Times New Roman" w:eastAsiaTheme="majorEastAsia"/>
                <w:color w:val="auto"/>
                <w:szCs w:val="21"/>
                <w:highlight w:val="none"/>
              </w:rPr>
              <w:t>量子保密通信测试（BB84协议），满足以下需求：能实现量子态的制备、传输与探测，量子密码协议算法的实现以及最终密钥的产生与存储等要求，编码方式：偏振编码；协议类型：BB84协议；安全密钥生成率：≥3 kbps；通信误码率：≤5%。</w:t>
            </w:r>
          </w:p>
          <w:p w14:paraId="3184BA0D">
            <w:pPr>
              <w:spacing w:line="276"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2.2：</w:t>
            </w:r>
            <w:r>
              <w:rPr>
                <w:rFonts w:hint="eastAsia" w:ascii="Times New Roman" w:hAnsi="Times New Roman" w:cs="Times New Roman" w:eastAsiaTheme="majorEastAsia"/>
                <w:color w:val="auto"/>
                <w:szCs w:val="21"/>
                <w:highlight w:val="none"/>
              </w:rPr>
              <w:t>量子随机数产生，满足以下需求：可进行量子随机数生成实验，含有随机数光路搭建模块。</w:t>
            </w:r>
          </w:p>
          <w:p w14:paraId="0EBF40C9">
            <w:pPr>
              <w:spacing w:line="360" w:lineRule="auto"/>
              <w:rPr>
                <w:rFonts w:ascii="Times New Roman" w:hAnsi="Times New Roman" w:cs="Times New Roman" w:eastAsiaTheme="majorEastAsia"/>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eastAsiaTheme="majorEastAsia"/>
                <w:color w:val="auto"/>
                <w:szCs w:val="21"/>
                <w:highlight w:val="none"/>
              </w:rPr>
              <w:t>2.3：</w:t>
            </w:r>
            <w:r>
              <w:rPr>
                <w:rFonts w:hint="eastAsia" w:ascii="Times New Roman" w:hAnsi="Times New Roman" w:cs="Times New Roman" w:eastAsiaTheme="majorEastAsia"/>
                <w:color w:val="auto"/>
                <w:szCs w:val="21"/>
                <w:highlight w:val="none"/>
              </w:rPr>
              <w:t>量子隐形传态测试，满足以下需求：能制备多量子比特的量子态、实现贝尔态测量；单路光子亮度≥1x10^5cps；纠缠光子对亮度≥5x10^3 cps；可分辨传送量子态：H、V、+、-。</w:t>
            </w:r>
          </w:p>
          <w:p w14:paraId="468884F7">
            <w:pPr>
              <w:spacing w:line="360" w:lineRule="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★2.4功能模块节点数量≥2。</w:t>
            </w:r>
          </w:p>
          <w:p w14:paraId="05F0D6C3">
            <w:pPr>
              <w:spacing w:line="360" w:lineRule="auto"/>
              <w:rPr>
                <w:b/>
                <w:bCs/>
                <w:color w:val="auto"/>
                <w:szCs w:val="21"/>
                <w:highlight w:val="none"/>
              </w:rPr>
            </w:pPr>
            <w:r>
              <w:rPr>
                <w:rFonts w:hint="eastAsia" w:ascii="Times New Roman" w:hAnsi="Times New Roman" w:cs="Times New Roman" w:eastAsiaTheme="majorEastAsia"/>
                <w:b/>
                <w:bCs/>
                <w:color w:val="auto"/>
                <w:szCs w:val="21"/>
                <w:highlight w:val="none"/>
              </w:rPr>
              <w:t xml:space="preserve">3 </w:t>
            </w:r>
            <w:r>
              <w:rPr>
                <w:b/>
                <w:bCs/>
                <w:color w:val="auto"/>
                <w:szCs w:val="21"/>
                <w:highlight w:val="none"/>
              </w:rPr>
              <w:t>量子</w:t>
            </w:r>
            <w:r>
              <w:rPr>
                <w:rFonts w:hint="eastAsia"/>
                <w:b/>
                <w:bCs/>
                <w:color w:val="auto"/>
                <w:szCs w:val="21"/>
                <w:highlight w:val="none"/>
              </w:rPr>
              <w:t>计算模块</w:t>
            </w:r>
          </w:p>
          <w:p w14:paraId="4E6F3C49">
            <w:pPr>
              <w:rPr>
                <w:rFonts w:ascii="Times New Roman" w:hAnsi="Times New Roman" w:cs="Times New Roman"/>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color w:val="auto"/>
                <w:szCs w:val="21"/>
                <w:highlight w:val="none"/>
              </w:rPr>
              <w:t>3.1：</w:t>
            </w:r>
            <w:r>
              <w:rPr>
                <w:rFonts w:ascii="Times New Roman" w:hAnsi="Times New Roman" w:cs="Times New Roman"/>
                <w:color w:val="auto"/>
                <w:kern w:val="0"/>
                <w:szCs w:val="21"/>
                <w:highlight w:val="none"/>
              </w:rPr>
              <w:t>量子自旋调控计算测试，</w:t>
            </w:r>
            <w:r>
              <w:rPr>
                <w:rFonts w:ascii="Times New Roman" w:hAnsi="Times New Roman" w:cs="Times New Roman"/>
                <w:color w:val="auto"/>
                <w:szCs w:val="21"/>
                <w:highlight w:val="none"/>
              </w:rPr>
              <w:t>满足以下需求：量子自旋调控比特：金刚石NV色心；激光功率：10 mW；磁场可调节范围：30±20 Gauss；时序控制精度5±</w:t>
            </w:r>
            <w:r>
              <w:rPr>
                <w:rFonts w:hint="eastAsia" w:ascii="Times New Roman" w:hAnsi="Times New Roman" w:cs="Times New Roman"/>
                <w:color w:val="auto"/>
                <w:szCs w:val="21"/>
                <w:highlight w:val="none"/>
              </w:rPr>
              <w:t>3</w:t>
            </w:r>
            <w:r>
              <w:rPr>
                <w:rFonts w:ascii="Times New Roman" w:hAnsi="Times New Roman" w:cs="Times New Roman"/>
                <w:color w:val="auto"/>
                <w:szCs w:val="21"/>
                <w:highlight w:val="none"/>
              </w:rPr>
              <w:t>ns。</w:t>
            </w:r>
          </w:p>
          <w:p w14:paraId="5AF82BD7">
            <w:pPr>
              <w:spacing w:before="156" w:beforeLines="50" w:after="156" w:afterLines="50"/>
              <w:rPr>
                <w:rFonts w:ascii="Times New Roman" w:hAnsi="Times New Roman" w:cs="Times New Roman"/>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color w:val="auto"/>
                <w:szCs w:val="21"/>
                <w:highlight w:val="none"/>
              </w:rPr>
              <w:t>3.2：</w:t>
            </w:r>
            <w:r>
              <w:rPr>
                <w:rFonts w:ascii="Times New Roman" w:hAnsi="Times New Roman" w:cs="Times New Roman"/>
                <w:color w:val="auto"/>
                <w:kern w:val="0"/>
                <w:szCs w:val="21"/>
                <w:highlight w:val="none"/>
              </w:rPr>
              <w:t>半导体量子计算综合平台，</w:t>
            </w:r>
            <w:r>
              <w:rPr>
                <w:rFonts w:ascii="Times New Roman" w:hAnsi="Times New Roman" w:cs="Times New Roman"/>
                <w:color w:val="auto"/>
                <w:szCs w:val="21"/>
                <w:highlight w:val="none"/>
              </w:rPr>
              <w:t>满足以下需求：</w:t>
            </w:r>
            <w:r>
              <w:rPr>
                <w:rFonts w:hint="eastAsia" w:ascii="Times New Roman" w:hAnsi="Times New Roman" w:cs="Times New Roman"/>
                <w:color w:val="auto"/>
                <w:szCs w:val="21"/>
                <w:highlight w:val="none"/>
              </w:rPr>
              <w:t>完成量子比特输运特性，以及量子比特、比特门性能等操作。</w:t>
            </w:r>
          </w:p>
          <w:p w14:paraId="0671FAD5">
            <w:pPr>
              <w:spacing w:before="156" w:beforeLines="50" w:after="156" w:afterLines="50"/>
              <w:rPr>
                <w:rFonts w:ascii="Times New Roman" w:hAnsi="Times New Roman" w:cs="Times New Roman"/>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color w:val="auto"/>
                <w:szCs w:val="21"/>
                <w:highlight w:val="none"/>
              </w:rPr>
              <w:t>3.3：</w:t>
            </w:r>
            <w:r>
              <w:rPr>
                <w:rFonts w:ascii="Times New Roman" w:hAnsi="Times New Roman" w:cs="Times New Roman"/>
                <w:color w:val="auto"/>
                <w:kern w:val="0"/>
                <w:szCs w:val="21"/>
                <w:highlight w:val="none"/>
              </w:rPr>
              <w:t>光量子计算测试，</w:t>
            </w:r>
            <w:r>
              <w:rPr>
                <w:rFonts w:ascii="Times New Roman" w:hAnsi="Times New Roman" w:cs="Times New Roman"/>
                <w:color w:val="auto"/>
                <w:szCs w:val="21"/>
                <w:highlight w:val="none"/>
              </w:rPr>
              <w:t>满足以下需求：单路光子亮度：&gt;8×10^4cps；关联光子对&gt;1x10^3cp</w:t>
            </w:r>
            <w:r>
              <w:rPr>
                <w:rFonts w:hint="eastAsia" w:ascii="Times New Roman" w:hAnsi="Times New Roman" w:cs="Times New Roman"/>
                <w:color w:val="auto"/>
                <w:szCs w:val="21"/>
                <w:highlight w:val="none"/>
              </w:rPr>
              <w:t>s</w:t>
            </w:r>
            <w:r>
              <w:rPr>
                <w:rFonts w:ascii="Times New Roman" w:hAnsi="Times New Roman" w:cs="Times New Roman"/>
                <w:color w:val="auto"/>
                <w:szCs w:val="21"/>
                <w:highlight w:val="none"/>
              </w:rPr>
              <w:t>；硅基探测器暗计数&lt;500cps；探测效率@810nm≥35%；干涉对比度：1:3~1:5；态转化效率：＞45%。</w:t>
            </w:r>
          </w:p>
          <w:p w14:paraId="2F4BF9B1">
            <w:pPr>
              <w:spacing w:before="156" w:beforeLines="50" w:after="156" w:afterLines="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量子信息科学虚拟仿真实验</w:t>
            </w:r>
            <w:r>
              <w:rPr>
                <w:rFonts w:hint="eastAsia" w:ascii="Times New Roman" w:hAnsi="Times New Roman" w:eastAsia="宋体" w:cs="Times New Roman"/>
                <w:color w:val="auto"/>
                <w:szCs w:val="21"/>
                <w:highlight w:val="none"/>
              </w:rPr>
              <w:t>测试</w:t>
            </w:r>
            <w:r>
              <w:rPr>
                <w:rFonts w:ascii="Times New Roman" w:hAnsi="Times New Roman" w:eastAsia="宋体" w:cs="Times New Roman"/>
                <w:color w:val="auto"/>
                <w:szCs w:val="21"/>
                <w:highlight w:val="none"/>
              </w:rPr>
              <w:t>，满足以下需求：量子计算虚拟仿真；量子通信与量子信息系列虚拟仿真；量子纠缠源的产生与制备虚拟仿真。</w:t>
            </w:r>
            <w:r>
              <w:rPr>
                <w:rFonts w:hint="eastAsia" w:ascii="Times New Roman" w:hAnsi="Times New Roman" w:eastAsia="宋体" w:cs="Times New Roman"/>
                <w:color w:val="auto"/>
                <w:szCs w:val="21"/>
                <w:highlight w:val="none"/>
              </w:rPr>
              <w:t>本内容</w:t>
            </w:r>
            <w:r>
              <w:rPr>
                <w:rFonts w:ascii="Times New Roman" w:hAnsi="Times New Roman" w:eastAsia="宋体" w:cs="Times New Roman"/>
                <w:color w:val="auto"/>
                <w:szCs w:val="21"/>
                <w:highlight w:val="none"/>
              </w:rPr>
              <w:t>需本地化部署。</w:t>
            </w:r>
          </w:p>
          <w:p w14:paraId="2DAF3139">
            <w:pPr>
              <w:spacing w:line="360" w:lineRule="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★3.5</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auto"/>
                <w:sz w:val="24"/>
                <w:szCs w:val="24"/>
                <w:highlight w:val="none"/>
                <w:u w:val="none"/>
              </w:rPr>
              <w:t>各功能模块节点数量≥2。</w:t>
            </w:r>
          </w:p>
          <w:p w14:paraId="7F5FFAA0">
            <w:pPr>
              <w:spacing w:line="360" w:lineRule="auto"/>
              <w:rPr>
                <w:b/>
                <w:bCs/>
                <w:color w:val="auto"/>
                <w:szCs w:val="21"/>
                <w:highlight w:val="none"/>
              </w:rPr>
            </w:pPr>
            <w:r>
              <w:rPr>
                <w:rFonts w:hint="eastAsia" w:ascii="Times New Roman" w:hAnsi="Times New Roman" w:cs="Times New Roman" w:eastAsiaTheme="majorEastAsia"/>
                <w:b/>
                <w:bCs/>
                <w:color w:val="auto"/>
                <w:szCs w:val="21"/>
                <w:highlight w:val="none"/>
              </w:rPr>
              <w:t xml:space="preserve">4 </w:t>
            </w:r>
            <w:r>
              <w:rPr>
                <w:b/>
                <w:bCs/>
                <w:color w:val="auto"/>
                <w:szCs w:val="21"/>
                <w:highlight w:val="none"/>
              </w:rPr>
              <w:t>量子</w:t>
            </w:r>
            <w:r>
              <w:rPr>
                <w:rFonts w:hint="eastAsia"/>
                <w:b/>
                <w:bCs/>
                <w:color w:val="auto"/>
                <w:szCs w:val="21"/>
                <w:highlight w:val="none"/>
              </w:rPr>
              <w:t>精密测量模块</w:t>
            </w:r>
          </w:p>
          <w:p w14:paraId="5A3B78E4">
            <w:pPr>
              <w:rPr>
                <w:rFonts w:ascii="Times New Roman" w:hAnsi="Times New Roman" w:cs="Times New Roman"/>
                <w:color w:val="auto"/>
                <w:kern w:val="0"/>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color w:val="auto"/>
                <w:szCs w:val="21"/>
                <w:highlight w:val="none"/>
              </w:rPr>
              <w:t>4.1：</w:t>
            </w:r>
            <w:r>
              <w:rPr>
                <w:rFonts w:ascii="Times New Roman" w:hAnsi="Times New Roman" w:cs="Times New Roman"/>
                <w:color w:val="auto"/>
                <w:kern w:val="0"/>
                <w:szCs w:val="21"/>
                <w:highlight w:val="none"/>
              </w:rPr>
              <w:t>磁场量子精密测量测试，</w:t>
            </w:r>
            <w:r>
              <w:rPr>
                <w:rFonts w:ascii="Times New Roman" w:hAnsi="Times New Roman" w:cs="Times New Roman"/>
                <w:color w:val="auto"/>
                <w:szCs w:val="21"/>
                <w:highlight w:val="none"/>
              </w:rPr>
              <w:t>满足以下需求：</w:t>
            </w:r>
            <w:r>
              <w:rPr>
                <w:rFonts w:ascii="Times New Roman" w:hAnsi="Times New Roman" w:cs="Times New Roman"/>
                <w:color w:val="auto"/>
                <w:kern w:val="0"/>
                <w:szCs w:val="21"/>
                <w:highlight w:val="none"/>
              </w:rPr>
              <w:t>磁场调节范围0</w:t>
            </w:r>
            <w:r>
              <w:rPr>
                <w:rFonts w:hint="eastAsia" w:ascii="Times New Roman" w:hAnsi="Times New Roman" w:cs="Times New Roman"/>
                <w:color w:val="auto"/>
                <w:kern w:val="0"/>
                <w:szCs w:val="21"/>
                <w:highlight w:val="none"/>
              </w:rPr>
              <w:t>.01</w:t>
            </w:r>
            <w:r>
              <w:rPr>
                <w:rFonts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rPr>
              <w:t>0.8</w:t>
            </w:r>
            <w:r>
              <w:rPr>
                <w:rFonts w:ascii="Times New Roman" w:hAnsi="Times New Roman" w:cs="Times New Roman"/>
                <w:color w:val="auto"/>
                <w:kern w:val="0"/>
                <w:szCs w:val="21"/>
                <w:highlight w:val="none"/>
              </w:rPr>
              <w:t>Guass；脉冲控制精度＜4us；探测器响应度：400</w:t>
            </w:r>
            <w:r>
              <w:rPr>
                <w:rFonts w:ascii="Times New Roman" w:hAnsi="Times New Roman" w:cs="Times New Roman"/>
                <w:color w:val="auto"/>
                <w:szCs w:val="21"/>
                <w:highlight w:val="none"/>
              </w:rPr>
              <w:t>±180</w:t>
            </w:r>
            <w:r>
              <w:rPr>
                <w:rFonts w:ascii="Times New Roman" w:hAnsi="Times New Roman" w:cs="Times New Roman"/>
                <w:color w:val="auto"/>
                <w:kern w:val="0"/>
                <w:szCs w:val="21"/>
                <w:highlight w:val="none"/>
              </w:rPr>
              <w:t>mA/W；灵敏度：</w:t>
            </w:r>
            <w:r>
              <w:rPr>
                <w:rFonts w:ascii="Times New Roman" w:hAnsi="Times New Roman" w:cs="Times New Roman"/>
                <w:color w:val="auto"/>
                <w:szCs w:val="21"/>
                <w:highlight w:val="none"/>
              </w:rPr>
              <w:t>&lt;1.5uT/√Hz。</w:t>
            </w:r>
          </w:p>
          <w:p w14:paraId="0DF256E9">
            <w:pPr>
              <w:spacing w:before="156" w:beforeLines="50" w:after="156" w:afterLines="50"/>
              <w:rPr>
                <w:rFonts w:ascii="Times New Roman" w:hAnsi="Times New Roman" w:cs="Times New Roman"/>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color w:val="auto"/>
                <w:szCs w:val="21"/>
                <w:highlight w:val="none"/>
              </w:rPr>
              <w:t>4.2：</w:t>
            </w:r>
            <w:r>
              <w:rPr>
                <w:rFonts w:ascii="Times New Roman" w:hAnsi="Times New Roman" w:cs="Times New Roman"/>
                <w:color w:val="auto"/>
                <w:kern w:val="0"/>
                <w:szCs w:val="21"/>
                <w:highlight w:val="none"/>
              </w:rPr>
              <w:t>量子相位估计测试，</w:t>
            </w:r>
            <w:r>
              <w:rPr>
                <w:rFonts w:ascii="Times New Roman" w:hAnsi="Times New Roman" w:cs="Times New Roman"/>
                <w:color w:val="auto"/>
                <w:szCs w:val="21"/>
                <w:highlight w:val="none"/>
              </w:rPr>
              <w:t>满足以下需求：通过对量子比特进行操作和测量，可以精确估计量子态的相位信息。</w:t>
            </w:r>
          </w:p>
          <w:p w14:paraId="70AEBD12">
            <w:pPr>
              <w:spacing w:line="360" w:lineRule="auto"/>
              <w:rPr>
                <w:rFonts w:ascii="Times New Roman" w:hAnsi="Times New Roman" w:cs="Times New Roman"/>
                <w:color w:val="auto"/>
                <w:szCs w:val="21"/>
                <w:highlight w:val="none"/>
              </w:rPr>
            </w:pPr>
            <w:r>
              <w:rPr>
                <w:rFonts w:hint="eastAsia" w:cs="宋体" w:asciiTheme="majorEastAsia" w:hAnsiTheme="majorEastAsia" w:eastAsiaTheme="majorEastAsia"/>
                <w:color w:val="auto"/>
                <w:sz w:val="24"/>
                <w:szCs w:val="24"/>
                <w:highlight w:val="none"/>
              </w:rPr>
              <w:t>●</w:t>
            </w:r>
            <w:r>
              <w:rPr>
                <w:rFonts w:ascii="Times New Roman" w:hAnsi="Times New Roman" w:cs="Times New Roman"/>
                <w:color w:val="auto"/>
                <w:szCs w:val="21"/>
                <w:highlight w:val="none"/>
              </w:rPr>
              <w:t>4.3：</w:t>
            </w:r>
            <w:r>
              <w:rPr>
                <w:rFonts w:ascii="Times New Roman" w:hAnsi="Times New Roman" w:cs="Times New Roman"/>
                <w:color w:val="auto"/>
                <w:kern w:val="0"/>
                <w:szCs w:val="21"/>
                <w:highlight w:val="none"/>
              </w:rPr>
              <w:t>光纤陀螺仪，</w:t>
            </w:r>
            <w:r>
              <w:rPr>
                <w:rFonts w:ascii="Times New Roman" w:hAnsi="Times New Roman" w:cs="Times New Roman"/>
                <w:color w:val="auto"/>
                <w:szCs w:val="21"/>
                <w:highlight w:val="none"/>
              </w:rPr>
              <w:t>满足以下需求：测量范围：±300°/s；零偏稳定性：&lt;1°/h；标度因数重复性：&lt;300ppm；数据刷新率：&gt;1Hz。</w:t>
            </w:r>
          </w:p>
          <w:p w14:paraId="36433226">
            <w:pPr>
              <w:spacing w:line="360" w:lineRule="auto"/>
              <w:rPr>
                <w:rFonts w:hint="eastAsia" w:ascii="宋体" w:hAnsi="宋体" w:eastAsia="宋体" w:cs="宋体"/>
                <w:bCs/>
                <w:color w:val="auto"/>
                <w:szCs w:val="18"/>
                <w:highlight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Cs w:val="24"/>
                <w:highlight w:val="none"/>
                <w:u w:val="none"/>
              </w:rPr>
              <w:t>4.4</w:t>
            </w:r>
            <w:r>
              <w:rPr>
                <w:rFonts w:hint="eastAsia" w:ascii="宋体" w:hAnsi="宋体" w:eastAsia="宋体" w:cs="宋体"/>
                <w:b/>
                <w:bCs/>
                <w:color w:val="auto"/>
                <w:szCs w:val="24"/>
                <w:highlight w:val="none"/>
                <w:u w:val="none"/>
                <w:lang w:eastAsia="zh-CN"/>
              </w:rPr>
              <w:t>：</w:t>
            </w:r>
            <w:r>
              <w:rPr>
                <w:rFonts w:hint="eastAsia" w:ascii="宋体" w:hAnsi="宋体" w:eastAsia="宋体" w:cs="宋体"/>
                <w:b/>
                <w:bCs/>
                <w:color w:val="auto"/>
                <w:szCs w:val="24"/>
                <w:highlight w:val="none"/>
                <w:u w:val="none"/>
              </w:rPr>
              <w:t>各功能模块节点数量≥2。</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ascii="宋体" w:hAnsi="宋体" w:cs="宋体"/>
                <w:bCs/>
                <w:color w:val="auto"/>
                <w:szCs w:val="18"/>
                <w:highlight w:val="none"/>
              </w:rPr>
            </w:pPr>
            <w:r>
              <w:rPr>
                <w:rFonts w:hint="eastAsia" w:asciiTheme="majorEastAsia" w:hAnsiTheme="majorEastAsia" w:eastAsiaTheme="majorEastAsia"/>
                <w:bCs/>
                <w:color w:val="auto"/>
                <w:sz w:val="24"/>
                <w:szCs w:val="24"/>
                <w:highlight w:val="none"/>
              </w:rPr>
              <w:t>1套</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spacing w:line="360" w:lineRule="auto"/>
              <w:jc w:val="center"/>
              <w:rPr>
                <w:rFonts w:ascii="宋体" w:hAnsi="宋体" w:eastAsia="宋体" w:cs="宋体"/>
                <w:color w:val="auto"/>
                <w:highlight w:val="none"/>
              </w:rPr>
            </w:pPr>
            <w:r>
              <w:rPr>
                <w:rFonts w:hint="eastAsia" w:asciiTheme="majorEastAsia" w:hAnsiTheme="majorEastAsia" w:eastAsiaTheme="majorEastAsia"/>
                <w:bCs/>
                <w:color w:val="auto"/>
                <w:sz w:val="24"/>
                <w:szCs w:val="24"/>
                <w:highlight w:val="none"/>
              </w:rPr>
              <w:t>工业</w:t>
            </w:r>
          </w:p>
        </w:tc>
      </w:tr>
      <w:bookmarkEnd w:id="0"/>
    </w:tbl>
    <w:p w14:paraId="5B1EBF99">
      <w:pPr>
        <w:autoSpaceDE w:val="0"/>
        <w:autoSpaceDN w:val="0"/>
        <w:adjustRightInd w:val="0"/>
        <w:spacing w:line="276" w:lineRule="auto"/>
        <w:jc w:val="lef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三、安装调试、培训</w:t>
      </w:r>
      <w:r>
        <w:rPr>
          <w:rFonts w:hint="eastAsia" w:asciiTheme="majorEastAsia" w:hAnsiTheme="majorEastAsia" w:eastAsiaTheme="majorEastAsia"/>
          <w:b/>
          <w:color w:val="auto"/>
          <w:sz w:val="24"/>
          <w:szCs w:val="24"/>
          <w:highlight w:val="none"/>
          <w:lang w:val="en-US" w:eastAsia="zh-CN"/>
        </w:rPr>
        <w:t>要求</w:t>
      </w:r>
    </w:p>
    <w:p w14:paraId="280EA46B">
      <w:pPr>
        <w:autoSpaceDE w:val="0"/>
        <w:autoSpaceDN w:val="0"/>
        <w:adjustRightInd w:val="0"/>
        <w:spacing w:before="156" w:beforeLines="50" w:after="156" w:afterLines="50" w:line="360" w:lineRule="auto"/>
        <w:ind w:firstLine="480" w:firstLineChars="200"/>
        <w:rPr>
          <w:rFonts w:ascii="Times New Roman" w:hAnsi="Times New Roman" w:cs="Times New Roman"/>
          <w:color w:val="auto"/>
          <w:szCs w:val="21"/>
          <w:highlight w:val="none"/>
        </w:rPr>
      </w:pPr>
      <w:r>
        <w:rPr>
          <w:rFonts w:asciiTheme="majorEastAsia" w:hAnsiTheme="majorEastAsia" w:eastAsiaTheme="majorEastAsia"/>
          <w:bCs/>
          <w:color w:val="auto"/>
          <w:sz w:val="24"/>
          <w:szCs w:val="24"/>
          <w:highlight w:val="none"/>
        </w:rPr>
        <w:t>采购标的相关设备需符合国家相关标准，质量合格，同时需提供设备运行、调试及安装服务</w:t>
      </w:r>
      <w:r>
        <w:rPr>
          <w:rFonts w:hint="eastAsia" w:asciiTheme="majorEastAsia" w:hAnsiTheme="majorEastAsia" w:eastAsiaTheme="majorEastAsia"/>
          <w:bCs/>
          <w:color w:val="auto"/>
          <w:sz w:val="24"/>
          <w:szCs w:val="24"/>
          <w:highlight w:val="none"/>
        </w:rPr>
        <w:t>，采用直接现场安装到位并调试运行稳定方式进行验收</w:t>
      </w:r>
      <w:r>
        <w:rPr>
          <w:rFonts w:asciiTheme="majorEastAsia" w:hAnsiTheme="majorEastAsia" w:eastAsiaTheme="majorEastAsia"/>
          <w:bCs/>
          <w:color w:val="auto"/>
          <w:sz w:val="24"/>
          <w:szCs w:val="24"/>
          <w:highlight w:val="none"/>
        </w:rPr>
        <w:t>。此外，提供不少于</w:t>
      </w:r>
      <w:r>
        <w:rPr>
          <w:rFonts w:hint="eastAsia" w:asciiTheme="majorEastAsia" w:hAnsiTheme="majorEastAsia" w:eastAsiaTheme="majorEastAsia"/>
          <w:bCs/>
          <w:color w:val="auto"/>
          <w:sz w:val="24"/>
          <w:szCs w:val="24"/>
          <w:highlight w:val="none"/>
        </w:rPr>
        <w:t>5</w:t>
      </w:r>
      <w:r>
        <w:rPr>
          <w:rFonts w:asciiTheme="majorEastAsia" w:hAnsiTheme="majorEastAsia" w:eastAsiaTheme="majorEastAsia"/>
          <w:bCs/>
          <w:color w:val="auto"/>
          <w:sz w:val="24"/>
          <w:szCs w:val="24"/>
          <w:highlight w:val="none"/>
        </w:rPr>
        <w:t>天</w:t>
      </w:r>
      <w:r>
        <w:rPr>
          <w:rFonts w:hint="eastAsia" w:asciiTheme="majorEastAsia" w:hAnsiTheme="majorEastAsia" w:eastAsiaTheme="majorEastAsia"/>
          <w:bCs/>
          <w:color w:val="auto"/>
          <w:sz w:val="24"/>
          <w:szCs w:val="24"/>
          <w:highlight w:val="none"/>
        </w:rPr>
        <w:t>的各</w:t>
      </w:r>
      <w:r>
        <w:rPr>
          <w:rFonts w:asciiTheme="majorEastAsia" w:hAnsiTheme="majorEastAsia" w:eastAsiaTheme="majorEastAsia"/>
          <w:bCs/>
          <w:color w:val="auto"/>
          <w:sz w:val="24"/>
          <w:szCs w:val="24"/>
          <w:highlight w:val="none"/>
        </w:rPr>
        <w:t>模块培训，</w:t>
      </w:r>
      <w:r>
        <w:rPr>
          <w:rFonts w:hint="eastAsia" w:asciiTheme="majorEastAsia" w:hAnsiTheme="majorEastAsia" w:eastAsiaTheme="majorEastAsia"/>
          <w:bCs/>
          <w:color w:val="auto"/>
          <w:sz w:val="24"/>
          <w:szCs w:val="24"/>
          <w:highlight w:val="none"/>
        </w:rPr>
        <w:t>提供所需的测试方案设计和测试手册，</w:t>
      </w:r>
      <w:r>
        <w:rPr>
          <w:rFonts w:asciiTheme="majorEastAsia" w:hAnsiTheme="majorEastAsia" w:eastAsiaTheme="majorEastAsia"/>
          <w:bCs/>
          <w:color w:val="auto"/>
          <w:sz w:val="24"/>
          <w:szCs w:val="24"/>
          <w:highlight w:val="none"/>
        </w:rPr>
        <w:t>确保用户能够基本掌握</w:t>
      </w:r>
      <w:r>
        <w:rPr>
          <w:rFonts w:hint="eastAsia" w:asciiTheme="majorEastAsia" w:hAnsiTheme="majorEastAsia" w:eastAsiaTheme="majorEastAsia"/>
          <w:bCs/>
          <w:color w:val="auto"/>
          <w:sz w:val="24"/>
          <w:szCs w:val="24"/>
          <w:highlight w:val="none"/>
        </w:rPr>
        <w:t>各</w:t>
      </w:r>
      <w:r>
        <w:rPr>
          <w:rFonts w:asciiTheme="majorEastAsia" w:hAnsiTheme="majorEastAsia" w:eastAsiaTheme="majorEastAsia"/>
          <w:bCs/>
          <w:color w:val="auto"/>
          <w:sz w:val="24"/>
          <w:szCs w:val="24"/>
          <w:highlight w:val="none"/>
        </w:rPr>
        <w:t>模块的正确使用和操作。</w:t>
      </w:r>
    </w:p>
    <w:p w14:paraId="3ECC646B">
      <w:pPr>
        <w:autoSpaceDE w:val="0"/>
        <w:autoSpaceDN w:val="0"/>
        <w:adjustRightInd w:val="0"/>
        <w:spacing w:line="360" w:lineRule="auto"/>
        <w:jc w:val="lef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四、报价要求</w:t>
      </w:r>
    </w:p>
    <w:p w14:paraId="5B3CEC97">
      <w:pPr>
        <w:autoSpaceDE w:val="0"/>
        <w:autoSpaceDN w:val="0"/>
        <w:adjustRightInd w:val="0"/>
        <w:spacing w:before="156" w:beforeLines="50" w:after="156" w:afterLines="50" w:line="360" w:lineRule="auto"/>
        <w:ind w:firstLine="480" w:firstLineChars="200"/>
        <w:rPr>
          <w:rFonts w:asciiTheme="majorEastAsia" w:hAnsiTheme="majorEastAsia" w:eastAsiaTheme="majorEastAsia"/>
          <w:bCs/>
          <w:color w:val="auto"/>
          <w:sz w:val="24"/>
          <w:szCs w:val="24"/>
          <w:highlight w:val="none"/>
        </w:rPr>
      </w:pPr>
      <w:r>
        <w:rPr>
          <w:rFonts w:hint="eastAsia" w:asciiTheme="majorEastAsia" w:hAnsiTheme="majorEastAsia" w:eastAsiaTheme="majorEastAsia"/>
          <w:bCs/>
          <w:color w:val="auto"/>
          <w:sz w:val="24"/>
          <w:szCs w:val="24"/>
          <w:highlight w:val="none"/>
        </w:rPr>
        <w:t>供应商投标报价应为完成本标包货物供货与安装调试所产生的所有直接费、间接费、利润和税金等一切费用（包括免费质保期内提供的服务所发生的费用）。投标分项报价表中所列货物为对应本项目需求的全部货物及所需附件购置费、包装费、运输费、人工费、保险费、安装调试费、各种税费、资料费、售后服务费及完成项目应用的全部费用。</w:t>
      </w:r>
      <w:r>
        <w:rPr>
          <w:rFonts w:hint="eastAsia" w:asciiTheme="majorEastAsia" w:hAnsiTheme="majorEastAsia" w:eastAsiaTheme="majorEastAsia"/>
          <w:bCs/>
          <w:color w:val="auto"/>
          <w:sz w:val="24"/>
          <w:szCs w:val="24"/>
          <w:highlight w:val="none"/>
          <w:lang w:val="en-US" w:eastAsia="zh-CN"/>
        </w:rPr>
        <w:t>中标后采购人不再另行支付任何费用</w:t>
      </w:r>
      <w:r>
        <w:rPr>
          <w:rFonts w:hint="eastAsia" w:asciiTheme="majorEastAsia" w:hAnsiTheme="majorEastAsia" w:eastAsiaTheme="majorEastAsia"/>
          <w:bCs/>
          <w:color w:val="auto"/>
          <w:sz w:val="24"/>
          <w:szCs w:val="24"/>
          <w:highlight w:val="none"/>
        </w:rPr>
        <w:t>。</w:t>
      </w:r>
    </w:p>
    <w:p w14:paraId="79555C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B0604020202020204"/>
    <w:charset w:val="86"/>
    <w:family w:val="script"/>
    <w:pitch w:val="default"/>
    <w:sig w:usb0="00000000" w:usb1="00000000" w:usb2="00082016" w:usb3="00000000" w:csb0="00040001" w:csb1="00000000"/>
  </w:font>
  <w:font w:name="方正黑体_GBK">
    <w:altName w:val="微软雅黑"/>
    <w:panose1 w:val="020B0604020202020204"/>
    <w:charset w:val="86"/>
    <w:family w:val="script"/>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F3C75"/>
    <w:rsid w:val="46E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left="420" w:firstLine="420" w:firstLineChars="200"/>
    </w:pPr>
    <w:rPr>
      <w:rFonts w:ascii="Times New Roman" w:cs="Times New Roman"/>
    </w:rPr>
  </w:style>
  <w:style w:type="character" w:customStyle="1" w:styleId="11">
    <w:name w:val="标题 1 字符"/>
    <w:link w:val="2"/>
    <w:qFormat/>
    <w:uiPriority w:val="9"/>
    <w:rPr>
      <w:rFonts w:eastAsia="方正小标宋_GBK"/>
      <w:bCs/>
      <w:kern w:val="44"/>
      <w:sz w:val="44"/>
      <w:szCs w:val="44"/>
    </w:r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2025-11-19T11:04:00Z</dcterms:created>
  <dc:creator>安天</dc:creator>
  <cp:lastModifiedBy>安天</cp:lastModifiedBy>
  <dcterms:modified xsi:type="dcterms:W3CDTF">2025-11-19T11:04:57Z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D183397629F34D9AB47E1CDC1375EDB6_11</vt:lpwstr>
  </property>
  <property fmtid="{D5CDD505-2E9C-101B-9397-08002B2CF9AE}" pid="4" name="KSOTemplateDocerSaveRecord">
    <vt:lpwstr>eyJoZGlkIjoiZGUxNDkwOGRhYjQwY2FkYjE0ODc4ZjJiZmU0ZGQ0MDYiLCJ1c2VySWQiOiIyODkwNDAzNDUifQ==</vt:lpwstr>
  </property>
</Properties>
</file>