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2650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color w:val="auto"/>
          <w:sz w:val="28"/>
          <w:highlight w:val="none"/>
        </w:rPr>
      </w:pPr>
      <w:bookmarkStart w:id="7" w:name="_GoBack"/>
      <w:bookmarkEnd w:id="7"/>
      <w:bookmarkStart w:id="0" w:name="_Toc28143"/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采购需求</w:t>
      </w:r>
      <w:bookmarkEnd w:id="0"/>
    </w:p>
    <w:p w14:paraId="69453CB7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4D9FD921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磋商小组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评审认可。</w:t>
      </w:r>
    </w:p>
    <w:p w14:paraId="6BDC5D6F">
      <w:pPr>
        <w:spacing w:line="360" w:lineRule="auto"/>
        <w:ind w:firstLine="435"/>
        <w:rPr>
          <w:rFonts w:hint="eastAsia"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2.下列采购需求中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（包括但不限于下列具体政策要求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：</w:t>
      </w:r>
    </w:p>
    <w:p w14:paraId="57ED1956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 w14:paraId="045EFFE5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1868E2F1">
      <w:pPr>
        <w:spacing w:line="360" w:lineRule="auto"/>
        <w:ind w:firstLine="435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3.如采购人允许采用分包方式履行合同的，应当明确可以分包履行的相关内容。</w:t>
      </w:r>
    </w:p>
    <w:p w14:paraId="51D0F1C0">
      <w:pPr>
        <w:spacing w:line="360" w:lineRule="auto"/>
        <w:ind w:firstLine="437"/>
        <w:outlineLvl w:val="2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1" w:name="_Toc21798"/>
      <w:bookmarkStart w:id="2" w:name="_Toc4148"/>
      <w:bookmarkStart w:id="3" w:name="_Hlk23621890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1"/>
      <w:bookmarkEnd w:id="2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633"/>
        <w:gridCol w:w="6125"/>
      </w:tblGrid>
      <w:tr w14:paraId="7A23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8" w:type="pct"/>
            <w:vAlign w:val="center"/>
          </w:tcPr>
          <w:p w14:paraId="756EC46D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958" w:type="pct"/>
            <w:vAlign w:val="center"/>
          </w:tcPr>
          <w:p w14:paraId="35790058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593" w:type="pct"/>
            <w:vAlign w:val="center"/>
          </w:tcPr>
          <w:p w14:paraId="208A228D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78F3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8" w:type="pct"/>
            <w:vAlign w:val="center"/>
          </w:tcPr>
          <w:p w14:paraId="4F21B9D0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958" w:type="pct"/>
            <w:vAlign w:val="center"/>
          </w:tcPr>
          <w:p w14:paraId="4A4105D1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593" w:type="pct"/>
            <w:vAlign w:val="center"/>
          </w:tcPr>
          <w:p w14:paraId="6CE6E341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采购人在合同生效后5个工作日内预付成交供应商合同款额的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%。付款前，成交供应商须开具预付款等额的“增值税发票”；在服务期满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验收合格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后，采购人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支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付成交供应商余款（合同款额的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%）。付款前，成交供应商须开具余款等额的“增值税发票”。</w:t>
            </w:r>
          </w:p>
          <w:p w14:paraId="7AC61630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</w:rPr>
              <w:t>上述要求不允许负偏离。否则，按无效响应文件处理。</w:t>
            </w:r>
          </w:p>
        </w:tc>
      </w:tr>
      <w:tr w14:paraId="528F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8" w:type="pct"/>
            <w:vAlign w:val="center"/>
          </w:tcPr>
          <w:p w14:paraId="1863FC09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958" w:type="pct"/>
            <w:vAlign w:val="center"/>
          </w:tcPr>
          <w:p w14:paraId="54474749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3593" w:type="pct"/>
            <w:vAlign w:val="center"/>
          </w:tcPr>
          <w:p w14:paraId="6E993FCE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eastAsia="zh-CN"/>
              </w:rPr>
              <w:t>安徽省商务厅。</w:t>
            </w:r>
          </w:p>
        </w:tc>
      </w:tr>
      <w:tr w14:paraId="1DEE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8" w:type="pct"/>
            <w:vAlign w:val="center"/>
          </w:tcPr>
          <w:p w14:paraId="32CE9EDE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958" w:type="pct"/>
            <w:vAlign w:val="center"/>
          </w:tcPr>
          <w:p w14:paraId="613A4F6A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3593" w:type="pct"/>
            <w:vAlign w:val="center"/>
          </w:tcPr>
          <w:p w14:paraId="77340180"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eastAsia="zh-CN"/>
              </w:rPr>
              <w:t>合同签订之日起一年。</w:t>
            </w:r>
          </w:p>
        </w:tc>
      </w:tr>
      <w:tr w14:paraId="19BE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48" w:type="pct"/>
            <w:vAlign w:val="center"/>
          </w:tcPr>
          <w:p w14:paraId="443AFEC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958" w:type="pct"/>
            <w:vAlign w:val="center"/>
          </w:tcPr>
          <w:p w14:paraId="7C1AF2FA"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593" w:type="pct"/>
            <w:vAlign w:val="center"/>
          </w:tcPr>
          <w:p w14:paraId="49EBFAFE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2025年安徽省电子商务运行监测分析服务</w:t>
            </w:r>
          </w:p>
          <w:p w14:paraId="1988DC85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所属行业：其他未列明行业</w:t>
            </w:r>
          </w:p>
        </w:tc>
      </w:tr>
    </w:tbl>
    <w:p w14:paraId="5EA25E1A">
      <w:pPr>
        <w:numPr>
          <w:ilvl w:val="0"/>
          <w:numId w:val="0"/>
        </w:numPr>
        <w:spacing w:line="360" w:lineRule="auto"/>
        <w:ind w:firstLine="482" w:firstLineChars="200"/>
        <w:outlineLvl w:val="2"/>
        <w:rPr>
          <w:rFonts w:hint="default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</w:pPr>
      <w:bookmarkStart w:id="4" w:name="_Toc16543"/>
      <w:bookmarkStart w:id="5" w:name="_Toc8753"/>
      <w:bookmarkStart w:id="6" w:name="_Hlk1646101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二、</w:t>
      </w:r>
      <w:bookmarkEnd w:id="4"/>
      <w:bookmarkEnd w:id="5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工作内容</w:t>
      </w:r>
    </w:p>
    <w:bookmarkEnd w:id="3"/>
    <w:bookmarkEnd w:id="6"/>
    <w:p w14:paraId="307D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对省市县三级电子商务运行数据进行监测，为省市县三级用户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提供分品类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（依据《网络零售监测指标规范》（SB/T 11236-2023）分类）、分月度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的网络零售相关数据查询服务，并进行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日常管理维护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15日前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对数据进行更新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。）</w:t>
      </w:r>
    </w:p>
    <w:p w14:paraId="4E53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（一）提供全省电子商务运行监测报告和全省直播电商监测报告。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全省电子商务运行监测报告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包括但不限于以下内容：全国及各省（自治区、直辖市）、安徽各市和县（市、区）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网络零售相关数据；各市分品类（依据《网络零售监测指标规范》（SB/T 11236-2023）分类）、分平台（网络零售额TOP20）、农产品（依据《网络零售监测指标规范》（SB/T 11236-2023）分类）、即时零售等网络零售相关数据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；全省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优势电商企业TOP20、优势店铺TOP20、畅销品类TOP20等网络零售相关数据；次月全省网络零售相关预测数据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全省直播电商监测报告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包括但不限于以下内容：全国及各省（自治区、直辖市）、安徽各市和县（市、区）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直播网络零售相关数据；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各市电商主播数量、直播场次、观看人次、直播销量、商品上架次数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、MCN机构数量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等相关数据；全省分品类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（依据《网络零售监测指标规范》（SB/T 11236-2023）分类）、分平台（直播网络零售额TOP10）和农产品（依据《网络零售监测指标规范》（SB/T 11236-2023）分类）的直播网络零售额、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电商主播数量、直播场次、观看人次、直播销量、商品上架次数等相关数据；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全省优势直播电商企业TOP20、直播电商店铺TOP20、电商主播TOP20、MCN机构TOP20等情况。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（每月20日前提供上一个月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监测报告，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年1月20日前提供202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年度监测报告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 w14:paraId="3CB2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）提供全省网上店铺变更监测报告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。报告包括但不限于以下内容：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变更店铺来源和去向、重点变更店铺网络零售情况、变更店铺对全省及各市网络零售影响等。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（分别于202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年7月20日和202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年1月20日前提供202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年上半年和202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年度报告。）</w:t>
      </w:r>
    </w:p>
    <w:p w14:paraId="56A5D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）提供“网上年货节”“双品网购节”“618”“双11”等热点消费时段全省网络零售数据监测报告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。报告包括但不限于以下内容：全国及各省（自治区、直辖市）、安徽各市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网络零售相关数据；全省分品类（依据《网络零售监测指标规范》（SB/T 11236-2023）分类）、分平台（网络零售额TOP20）、农产品（依据《网络零售监测指标规范》（SB/T 11236-2023）分类）、优势电商企业TOP20、优势店铺TOP20、畅销品类TOP20等网络零售相关数据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。（活动结束后1日内提供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 w14:paraId="20198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提供“十五五”安徽电商发展专题研究报告。报告包括但不限于以下内容：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详细分析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电商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或细分领域的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发展状况、存在问题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、发展趋势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，提出工作建议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问题分析透彻、全面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，工作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建议切实可行并具有一定的前瞻性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协助做好典型案例和好经验、好做法的宣传推广。</w:t>
      </w:r>
    </w:p>
    <w:p w14:paraId="3CFA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五）人员服务。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至少1人驻点服务，服务时间为国家法定工作时间，服务地点为安徽省合肥市祁门路1569号，若人员配备不到位影响服务效果，供应商将承担相应的违约责任。</w:t>
      </w:r>
    </w:p>
    <w:p w14:paraId="2463D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4"/>
          <w:highlight w:val="none"/>
          <w:lang w:eastAsia="zh-CN" w:bidi="en-US"/>
        </w:rPr>
        <w:t>三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4"/>
          <w:highlight w:val="none"/>
          <w:lang w:bidi="en-US"/>
        </w:rPr>
        <w:t>、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4"/>
          <w:highlight w:val="none"/>
          <w:lang w:eastAsia="zh-CN" w:bidi="en-US"/>
        </w:rPr>
        <w:t>其他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8"/>
          <w:szCs w:val="24"/>
          <w:highlight w:val="none"/>
          <w:lang w:bidi="en-US"/>
        </w:rPr>
        <w:t>要求</w:t>
      </w:r>
    </w:p>
    <w:p w14:paraId="38BD2D0D"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本项目形成的运行监测报告、研究报告等知识产权归采购人所有，未经许可，不允许对外发布。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2025-06-23T09:07:59Z</dcterms:created>
  <dc:creator>Administrator</dc:creator>
  <cp:lastModifiedBy>M</cp:lastModifiedBy>
  <dcterms:modified xsi:type="dcterms:W3CDTF">2025-06-23T09:08:09Z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eyJoZGlkIjoiOWEwYTUzNzRjNTY1NjAwZjc3YTBlNGQwODhjMWZhNjciLCJ1c2VySWQiOiIyOTgxMTI1OTkifQ==</vt:lpwstr>
  </property>
  <property fmtid="{D5CDD505-2E9C-101B-9397-08002B2CF9AE}" pid="4" name="ICV">
    <vt:lpwstr>B7071CBD0A014938A92E2CF843B77599_12</vt:lpwstr>
  </property>
</Properties>
</file>