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A4345">
      <w:pPr>
        <w:pStyle w:val="2"/>
        <w:widowControl/>
        <w:snapToGrid w:val="0"/>
        <w:spacing w:before="0" w:after="0" w:line="360" w:lineRule="auto"/>
        <w:jc w:val="center"/>
        <w:rPr>
          <w:rFonts w:hint="eastAsia" w:ascii="宋体" w:hAnsi="宋体"/>
          <w:highlight w:val="none"/>
        </w:rPr>
      </w:pPr>
      <w:r>
        <w:rPr>
          <w:rFonts w:hint="eastAsia" w:ascii="宋体" w:hAnsi="宋体"/>
          <w:highlight w:val="none"/>
        </w:rPr>
        <w:t>采购需求</w:t>
      </w:r>
      <w:bookmarkStart w:id="0" w:name="_Toc455587089"/>
      <w:bookmarkStart w:id="1" w:name="_Toc466024556"/>
      <w:bookmarkStart w:id="2" w:name="_Toc445554747"/>
      <w:bookmarkStart w:id="3" w:name="_Toc455587273"/>
    </w:p>
    <w:bookmarkEnd w:id="0"/>
    <w:bookmarkEnd w:id="1"/>
    <w:bookmarkEnd w:id="2"/>
    <w:bookmarkEnd w:id="3"/>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769"/>
        <w:gridCol w:w="7187"/>
      </w:tblGrid>
      <w:tr w14:paraId="1AD1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noWrap w:val="0"/>
            <w:vAlign w:val="center"/>
          </w:tcPr>
          <w:p w14:paraId="5F5267CC">
            <w:pPr>
              <w:spacing w:line="360" w:lineRule="auto"/>
              <w:jc w:val="center"/>
              <w:rPr>
                <w:rFonts w:ascii="宋体" w:hAnsi="宋体" w:cs="@仿宋_GB2312"/>
                <w:b/>
                <w:sz w:val="24"/>
                <w:highlight w:val="none"/>
              </w:rPr>
            </w:pPr>
            <w:r>
              <w:rPr>
                <w:rFonts w:hint="eastAsia" w:ascii="宋体" w:hAnsi="宋体" w:cs="@仿宋_GB2312"/>
                <w:b/>
                <w:sz w:val="24"/>
                <w:highlight w:val="none"/>
              </w:rPr>
              <w:t>序号</w:t>
            </w:r>
          </w:p>
        </w:tc>
        <w:tc>
          <w:tcPr>
            <w:tcW w:w="451" w:type="pct"/>
            <w:noWrap w:val="0"/>
            <w:vAlign w:val="center"/>
          </w:tcPr>
          <w:p w14:paraId="2C5A06FB">
            <w:pPr>
              <w:spacing w:line="360" w:lineRule="auto"/>
              <w:ind w:firstLine="435"/>
              <w:jc w:val="center"/>
              <w:rPr>
                <w:rFonts w:ascii="宋体" w:hAnsi="宋体" w:cs="@仿宋_GB2312"/>
                <w:b/>
                <w:sz w:val="24"/>
                <w:highlight w:val="none"/>
              </w:rPr>
            </w:pPr>
            <w:r>
              <w:rPr>
                <w:rFonts w:hint="eastAsia" w:ascii="宋体" w:hAnsi="宋体" w:cs="@仿宋_GB2312"/>
                <w:b/>
                <w:sz w:val="24"/>
                <w:highlight w:val="none"/>
              </w:rPr>
              <w:t>内容</w:t>
            </w:r>
          </w:p>
        </w:tc>
        <w:tc>
          <w:tcPr>
            <w:tcW w:w="4216" w:type="pct"/>
            <w:noWrap w:val="0"/>
            <w:vAlign w:val="center"/>
          </w:tcPr>
          <w:p w14:paraId="5D9CE080">
            <w:pPr>
              <w:spacing w:line="360" w:lineRule="auto"/>
              <w:ind w:firstLine="435"/>
              <w:jc w:val="center"/>
              <w:rPr>
                <w:rFonts w:ascii="宋体" w:hAnsi="宋体" w:cs="@仿宋_GB2312"/>
                <w:b/>
                <w:sz w:val="24"/>
                <w:highlight w:val="none"/>
              </w:rPr>
            </w:pPr>
            <w:r>
              <w:rPr>
                <w:rFonts w:hint="eastAsia" w:ascii="宋体" w:hAnsi="宋体" w:cs="@仿宋_GB2312"/>
                <w:b/>
                <w:sz w:val="24"/>
                <w:highlight w:val="none"/>
              </w:rPr>
              <w:t>说明和要求</w:t>
            </w:r>
          </w:p>
        </w:tc>
      </w:tr>
      <w:tr w14:paraId="2FB3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noWrap w:val="0"/>
            <w:vAlign w:val="center"/>
          </w:tcPr>
          <w:p w14:paraId="2DD2760F">
            <w:pPr>
              <w:spacing w:line="360" w:lineRule="auto"/>
              <w:jc w:val="center"/>
              <w:rPr>
                <w:rFonts w:ascii="宋体" w:hAnsi="宋体" w:cs="@仿宋_GB2312"/>
                <w:sz w:val="24"/>
                <w:highlight w:val="none"/>
              </w:rPr>
            </w:pPr>
            <w:r>
              <w:rPr>
                <w:rFonts w:hint="eastAsia" w:ascii="宋体" w:hAnsi="宋体" w:cs="@仿宋_GB2312"/>
                <w:sz w:val="24"/>
                <w:highlight w:val="none"/>
              </w:rPr>
              <w:t>1</w:t>
            </w:r>
          </w:p>
        </w:tc>
        <w:tc>
          <w:tcPr>
            <w:tcW w:w="451" w:type="pct"/>
            <w:noWrap w:val="0"/>
            <w:vAlign w:val="center"/>
          </w:tcPr>
          <w:p w14:paraId="1DA19912">
            <w:pPr>
              <w:spacing w:line="360" w:lineRule="auto"/>
              <w:jc w:val="center"/>
              <w:rPr>
                <w:rFonts w:ascii="宋体" w:hAnsi="宋体" w:cs="@仿宋_GB2312"/>
                <w:sz w:val="24"/>
                <w:highlight w:val="none"/>
              </w:rPr>
            </w:pPr>
            <w:r>
              <w:rPr>
                <w:rFonts w:hint="eastAsia" w:ascii="宋体" w:hAnsi="宋体" w:cs="@仿宋_GB2312"/>
                <w:sz w:val="24"/>
                <w:highlight w:val="none"/>
              </w:rPr>
              <w:t>人员到岗及履约要求</w:t>
            </w:r>
          </w:p>
        </w:tc>
        <w:tc>
          <w:tcPr>
            <w:tcW w:w="4216" w:type="pct"/>
            <w:noWrap w:val="0"/>
            <w:vAlign w:val="center"/>
          </w:tcPr>
          <w:p w14:paraId="53242EAA">
            <w:pPr>
              <w:spacing w:line="360" w:lineRule="auto"/>
              <w:rPr>
                <w:rFonts w:ascii="宋体" w:hAnsi="宋体" w:cs="@仿宋_GB2312"/>
                <w:sz w:val="24"/>
                <w:highlight w:val="none"/>
              </w:rPr>
            </w:pPr>
            <w:r>
              <w:rPr>
                <w:rFonts w:hint="eastAsia" w:ascii="宋体" w:hAnsi="宋体" w:cs="@仿宋_GB2312"/>
                <w:sz w:val="24"/>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4A09F90C">
            <w:pPr>
              <w:spacing w:line="360" w:lineRule="auto"/>
              <w:rPr>
                <w:rFonts w:ascii="宋体" w:hAnsi="宋体" w:cs="@仿宋_GB2312"/>
                <w:sz w:val="24"/>
                <w:highlight w:val="none"/>
              </w:rPr>
            </w:pPr>
            <w:r>
              <w:rPr>
                <w:rFonts w:hint="eastAsia" w:ascii="宋体" w:hAnsi="宋体" w:cs="@仿宋_GB2312"/>
                <w:sz w:val="24"/>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185A9805">
            <w:pPr>
              <w:spacing w:line="360" w:lineRule="auto"/>
              <w:rPr>
                <w:rFonts w:ascii="宋体" w:hAnsi="宋体" w:cs="@仿宋_GB2312"/>
                <w:sz w:val="24"/>
                <w:highlight w:val="none"/>
              </w:rPr>
            </w:pPr>
            <w:r>
              <w:rPr>
                <w:rFonts w:hint="eastAsia" w:ascii="宋体" w:hAnsi="宋体" w:cs="@仿宋_GB2312"/>
                <w:sz w:val="24"/>
                <w:highlight w:val="none"/>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1C97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noWrap w:val="0"/>
            <w:vAlign w:val="center"/>
          </w:tcPr>
          <w:p w14:paraId="2BE12373">
            <w:pPr>
              <w:spacing w:line="360" w:lineRule="auto"/>
              <w:jc w:val="center"/>
              <w:rPr>
                <w:rFonts w:ascii="宋体" w:hAnsi="宋体" w:cs="@仿宋_GB2312"/>
                <w:sz w:val="24"/>
                <w:highlight w:val="none"/>
              </w:rPr>
            </w:pPr>
            <w:r>
              <w:rPr>
                <w:rFonts w:hint="eastAsia" w:ascii="宋体" w:hAnsi="宋体" w:cs="@仿宋_GB2312"/>
                <w:sz w:val="24"/>
                <w:highlight w:val="none"/>
              </w:rPr>
              <w:t>2</w:t>
            </w:r>
          </w:p>
        </w:tc>
        <w:tc>
          <w:tcPr>
            <w:tcW w:w="451" w:type="pct"/>
            <w:noWrap w:val="0"/>
            <w:vAlign w:val="center"/>
          </w:tcPr>
          <w:p w14:paraId="393B051E">
            <w:pPr>
              <w:spacing w:line="360" w:lineRule="auto"/>
              <w:jc w:val="center"/>
              <w:rPr>
                <w:rFonts w:ascii="宋体" w:hAnsi="宋体" w:cs="@仿宋_GB2312"/>
                <w:sz w:val="24"/>
                <w:highlight w:val="none"/>
              </w:rPr>
            </w:pPr>
            <w:r>
              <w:rPr>
                <w:rFonts w:hint="eastAsia" w:ascii="宋体" w:hAnsi="宋体" w:cs="@仿宋_GB2312"/>
                <w:sz w:val="24"/>
                <w:highlight w:val="none"/>
              </w:rPr>
              <w:t>材料要求</w:t>
            </w:r>
          </w:p>
        </w:tc>
        <w:tc>
          <w:tcPr>
            <w:tcW w:w="4216" w:type="pct"/>
            <w:noWrap w:val="0"/>
            <w:vAlign w:val="center"/>
          </w:tcPr>
          <w:p w14:paraId="31710505">
            <w:pPr>
              <w:spacing w:line="360" w:lineRule="auto"/>
              <w:rPr>
                <w:rFonts w:ascii="宋体" w:hAnsi="宋体" w:cs="@仿宋_GB2312"/>
                <w:sz w:val="24"/>
                <w:highlight w:val="none"/>
              </w:rPr>
            </w:pPr>
            <w:r>
              <w:rPr>
                <w:rFonts w:hint="eastAsia" w:ascii="宋体" w:hAnsi="宋体" w:cs="@仿宋_GB2312"/>
                <w:sz w:val="24"/>
                <w:highlight w:val="none"/>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297E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noWrap w:val="0"/>
            <w:vAlign w:val="center"/>
          </w:tcPr>
          <w:p w14:paraId="38682543">
            <w:pPr>
              <w:spacing w:line="360" w:lineRule="auto"/>
              <w:jc w:val="center"/>
              <w:rPr>
                <w:rFonts w:ascii="宋体" w:hAnsi="宋体" w:cs="@仿宋_GB2312"/>
                <w:sz w:val="24"/>
                <w:highlight w:val="none"/>
              </w:rPr>
            </w:pPr>
            <w:r>
              <w:rPr>
                <w:rFonts w:hint="eastAsia" w:ascii="宋体" w:hAnsi="宋体" w:cs="@仿宋_GB2312"/>
                <w:sz w:val="24"/>
                <w:highlight w:val="none"/>
              </w:rPr>
              <w:t>3</w:t>
            </w:r>
          </w:p>
        </w:tc>
        <w:tc>
          <w:tcPr>
            <w:tcW w:w="451" w:type="pct"/>
            <w:noWrap w:val="0"/>
            <w:vAlign w:val="center"/>
          </w:tcPr>
          <w:p w14:paraId="3EC66EF7">
            <w:pPr>
              <w:spacing w:line="360" w:lineRule="auto"/>
              <w:jc w:val="center"/>
              <w:rPr>
                <w:rFonts w:ascii="宋体" w:hAnsi="宋体" w:cs="@仿宋_GB2312"/>
                <w:sz w:val="24"/>
                <w:highlight w:val="none"/>
                <w:shd w:val="clear" w:color="FFFFFF" w:fill="D9D9D9"/>
              </w:rPr>
            </w:pPr>
            <w:r>
              <w:rPr>
                <w:rFonts w:hint="eastAsia" w:ascii="宋体" w:hAnsi="宋体" w:cs="@仿宋_GB2312"/>
                <w:sz w:val="24"/>
                <w:highlight w:val="none"/>
                <w:shd w:val="clear" w:color="auto" w:fill="auto"/>
              </w:rPr>
              <w:t>工程施工重点难点</w:t>
            </w:r>
          </w:p>
        </w:tc>
        <w:tc>
          <w:tcPr>
            <w:tcW w:w="4216" w:type="pct"/>
            <w:noWrap w:val="0"/>
            <w:vAlign w:val="center"/>
          </w:tcPr>
          <w:p w14:paraId="4C97BA52">
            <w:pPr>
              <w:spacing w:line="360" w:lineRule="auto"/>
              <w:rPr>
                <w:rFonts w:hint="eastAsia" w:ascii="宋体" w:hAnsi="宋体" w:eastAsia="宋体" w:cs="@仿宋_GB2312"/>
                <w:sz w:val="24"/>
                <w:highlight w:val="none"/>
                <w:shd w:val="clear" w:color="auto" w:fill="auto"/>
                <w:lang w:val="en-US" w:eastAsia="zh-CN"/>
              </w:rPr>
            </w:pPr>
            <w:r>
              <w:rPr>
                <w:rFonts w:hint="eastAsia" w:ascii="宋体" w:hAnsi="宋体" w:cs="@仿宋_GB2312"/>
                <w:sz w:val="24"/>
                <w:highlight w:val="none"/>
                <w:shd w:val="clear" w:color="auto" w:fill="auto"/>
                <w:lang w:val="en-US" w:eastAsia="zh-CN"/>
              </w:rPr>
              <w:t>充分考虑在全国重点文物保护单位拆除工作，禁止野蛮施工和破坏性拆除。遵循预防为主，最小干预。</w:t>
            </w:r>
          </w:p>
        </w:tc>
      </w:tr>
      <w:tr w14:paraId="1B8B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noWrap w:val="0"/>
            <w:vAlign w:val="center"/>
          </w:tcPr>
          <w:p w14:paraId="630258A0">
            <w:pPr>
              <w:spacing w:line="360" w:lineRule="auto"/>
              <w:jc w:val="center"/>
              <w:rPr>
                <w:rFonts w:ascii="宋体" w:hAnsi="宋体" w:cs="@仿宋_GB2312"/>
                <w:sz w:val="24"/>
                <w:highlight w:val="none"/>
              </w:rPr>
            </w:pPr>
            <w:r>
              <w:rPr>
                <w:rFonts w:hint="eastAsia" w:ascii="宋体" w:hAnsi="宋体" w:cs="@仿宋_GB2312"/>
                <w:sz w:val="24"/>
                <w:highlight w:val="none"/>
              </w:rPr>
              <w:t>4</w:t>
            </w:r>
          </w:p>
        </w:tc>
        <w:tc>
          <w:tcPr>
            <w:tcW w:w="451" w:type="pct"/>
            <w:noWrap w:val="0"/>
            <w:vAlign w:val="center"/>
          </w:tcPr>
          <w:p w14:paraId="2926CE9F">
            <w:pPr>
              <w:spacing w:line="360" w:lineRule="auto"/>
              <w:jc w:val="center"/>
              <w:rPr>
                <w:rFonts w:ascii="宋体" w:hAnsi="宋体" w:cs="@仿宋_GB2312"/>
                <w:sz w:val="24"/>
                <w:highlight w:val="none"/>
              </w:rPr>
            </w:pPr>
            <w:r>
              <w:rPr>
                <w:rFonts w:hint="eastAsia" w:ascii="宋体" w:hAnsi="宋体" w:cs="@仿宋_GB2312"/>
                <w:sz w:val="24"/>
                <w:highlight w:val="none"/>
              </w:rPr>
              <w:t>报价须知</w:t>
            </w:r>
          </w:p>
        </w:tc>
        <w:tc>
          <w:tcPr>
            <w:tcW w:w="4216" w:type="pct"/>
            <w:noWrap w:val="0"/>
            <w:vAlign w:val="center"/>
          </w:tcPr>
          <w:p w14:paraId="47B3B5F7">
            <w:pPr>
              <w:spacing w:line="360" w:lineRule="auto"/>
              <w:rPr>
                <w:rFonts w:ascii="宋体" w:hAnsi="宋体" w:cs="@仿宋_GB2312"/>
                <w:sz w:val="24"/>
                <w:highlight w:val="none"/>
              </w:rPr>
            </w:pPr>
            <w:r>
              <w:rPr>
                <w:rFonts w:hint="eastAsia" w:ascii="宋体" w:hAnsi="宋体" w:cs="@仿宋_GB2312"/>
                <w:bCs w:val="0"/>
                <w:sz w:val="24"/>
                <w:szCs w:val="24"/>
                <w:highlight w:val="none"/>
              </w:rPr>
              <w:t>供应商最后报价均不得高于磋商文件（公告）列明的项目预算、最高投标限价（控制价），否则其响应文件将被认定为响应无效</w:t>
            </w:r>
            <w:r>
              <w:rPr>
                <w:rFonts w:hint="eastAsia" w:ascii="宋体" w:hAnsi="宋体" w:cs="@仿宋_GB2312"/>
                <w:sz w:val="24"/>
                <w:highlight w:val="none"/>
              </w:rPr>
              <w:t>。</w:t>
            </w:r>
          </w:p>
        </w:tc>
      </w:tr>
      <w:tr w14:paraId="0B57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noWrap w:val="0"/>
            <w:vAlign w:val="center"/>
          </w:tcPr>
          <w:p w14:paraId="4B161CDE">
            <w:pPr>
              <w:spacing w:line="360" w:lineRule="auto"/>
              <w:jc w:val="center"/>
              <w:rPr>
                <w:rFonts w:ascii="宋体" w:hAnsi="宋体" w:cs="@仿宋_GB2312"/>
                <w:sz w:val="24"/>
                <w:highlight w:val="none"/>
              </w:rPr>
            </w:pPr>
            <w:r>
              <w:rPr>
                <w:rFonts w:hint="eastAsia" w:ascii="宋体" w:hAnsi="宋体" w:cs="@仿宋_GB2312"/>
                <w:sz w:val="24"/>
                <w:highlight w:val="none"/>
              </w:rPr>
              <w:t>5</w:t>
            </w:r>
          </w:p>
        </w:tc>
        <w:tc>
          <w:tcPr>
            <w:tcW w:w="451" w:type="pct"/>
            <w:noWrap w:val="0"/>
            <w:vAlign w:val="center"/>
          </w:tcPr>
          <w:p w14:paraId="4406DDE7">
            <w:pPr>
              <w:spacing w:line="360" w:lineRule="auto"/>
              <w:jc w:val="center"/>
              <w:rPr>
                <w:rFonts w:ascii="宋体" w:hAnsi="宋体" w:cs="@仿宋_GB2312"/>
                <w:sz w:val="24"/>
                <w:highlight w:val="none"/>
              </w:rPr>
            </w:pPr>
            <w:r>
              <w:rPr>
                <w:rFonts w:hint="eastAsia" w:ascii="宋体" w:hAnsi="宋体" w:cs="@仿宋_GB2312"/>
                <w:sz w:val="24"/>
                <w:highlight w:val="none"/>
              </w:rPr>
              <w:t>重要说明</w:t>
            </w:r>
          </w:p>
        </w:tc>
        <w:tc>
          <w:tcPr>
            <w:tcW w:w="4216" w:type="pct"/>
            <w:noWrap w:val="0"/>
            <w:vAlign w:val="center"/>
          </w:tcPr>
          <w:p w14:paraId="1E34725B">
            <w:pPr>
              <w:spacing w:line="360" w:lineRule="auto"/>
              <w:rPr>
                <w:rFonts w:ascii="宋体" w:hAnsi="宋体" w:cs="@仿宋_GB2312"/>
                <w:sz w:val="24"/>
                <w:highlight w:val="none"/>
              </w:rPr>
            </w:pPr>
            <w:r>
              <w:rPr>
                <w:rFonts w:hint="eastAsia" w:ascii="宋体" w:hAnsi="宋体" w:cs="@仿宋_GB2312"/>
                <w:sz w:val="24"/>
                <w:highlight w:val="none"/>
              </w:rPr>
              <w:t>（1）本项目的磋商文件、工程量清单、最高投标限价（控制价）、澄清、修改、补充等相关资料均通过电子服务系统发布，请供应商自行从网上下载，供应商应当及时查看有无相关澄清、修改、补充等内容。</w:t>
            </w:r>
          </w:p>
          <w:p w14:paraId="616DF22A">
            <w:pPr>
              <w:spacing w:line="360" w:lineRule="auto"/>
              <w:rPr>
                <w:rFonts w:hint="eastAsia" w:ascii="宋体" w:hAnsi="宋体" w:cs="@仿宋_GB2312"/>
                <w:sz w:val="24"/>
                <w:highlight w:val="none"/>
              </w:rPr>
            </w:pPr>
            <w:r>
              <w:rPr>
                <w:rFonts w:hint="eastAsia" w:ascii="宋体" w:hAnsi="宋体" w:cs="@仿宋_GB2312"/>
                <w:sz w:val="24"/>
                <w:highlight w:val="none"/>
              </w:rPr>
              <w:t>（2）承包人在工程实施过程中用工行为，必须严格执行国家及地方政府的有关规定，依法签订劳动合同，并按规定及时足额支付工资。</w:t>
            </w:r>
          </w:p>
        </w:tc>
      </w:tr>
      <w:tr w14:paraId="5CEB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noWrap w:val="0"/>
            <w:vAlign w:val="center"/>
          </w:tcPr>
          <w:p w14:paraId="590EFAEB">
            <w:pPr>
              <w:spacing w:line="360" w:lineRule="auto"/>
              <w:jc w:val="center"/>
              <w:rPr>
                <w:rFonts w:ascii="宋体" w:hAnsi="宋体" w:cs="@仿宋_GB2312"/>
                <w:sz w:val="24"/>
                <w:highlight w:val="none"/>
              </w:rPr>
            </w:pPr>
            <w:r>
              <w:rPr>
                <w:rFonts w:ascii="宋体" w:hAnsi="宋体" w:cs="@仿宋_GB2312"/>
                <w:sz w:val="24"/>
                <w:highlight w:val="none"/>
              </w:rPr>
              <w:t>6</w:t>
            </w:r>
          </w:p>
        </w:tc>
        <w:tc>
          <w:tcPr>
            <w:tcW w:w="451" w:type="pct"/>
            <w:noWrap w:val="0"/>
            <w:vAlign w:val="center"/>
          </w:tcPr>
          <w:p w14:paraId="60D6F752">
            <w:pPr>
              <w:spacing w:line="360" w:lineRule="auto"/>
              <w:jc w:val="center"/>
              <w:rPr>
                <w:rFonts w:ascii="宋体" w:hAnsi="宋体" w:cs="@仿宋_GB2312"/>
                <w:sz w:val="24"/>
                <w:highlight w:val="none"/>
              </w:rPr>
            </w:pPr>
            <w:r>
              <w:rPr>
                <w:rFonts w:hint="eastAsia" w:ascii="宋体" w:hAnsi="宋体" w:cs="@仿宋_GB2312"/>
                <w:sz w:val="24"/>
                <w:highlight w:val="none"/>
              </w:rPr>
              <w:t>项目经理</w:t>
            </w:r>
          </w:p>
        </w:tc>
        <w:tc>
          <w:tcPr>
            <w:tcW w:w="4216" w:type="pct"/>
            <w:noWrap w:val="0"/>
            <w:vAlign w:val="center"/>
          </w:tcPr>
          <w:p w14:paraId="269F2277">
            <w:pPr>
              <w:spacing w:line="360" w:lineRule="auto"/>
              <w:rPr>
                <w:rFonts w:ascii="宋体" w:hAnsi="宋体" w:cs="@仿宋_GB2312"/>
                <w:sz w:val="24"/>
                <w:highlight w:val="none"/>
              </w:rPr>
            </w:pPr>
            <w:r>
              <w:rPr>
                <w:rFonts w:hint="eastAsia" w:ascii="宋体" w:hAnsi="宋体" w:cs="@仿宋_GB2312"/>
                <w:sz w:val="24"/>
                <w:highlight w:val="none"/>
                <w:lang w:val="en-US" w:eastAsia="zh-CN"/>
              </w:rPr>
              <w:t>拟任项目经理具备机电工程（专业）贰级（含以上级）建造师</w:t>
            </w:r>
            <w:bookmarkStart w:id="4" w:name="_GoBack"/>
            <w:bookmarkEnd w:id="4"/>
            <w:r>
              <w:rPr>
                <w:rFonts w:hint="eastAsia" w:ascii="宋体" w:hAnsi="宋体" w:cs="@仿宋_GB2312"/>
                <w:sz w:val="24"/>
                <w:highlight w:val="none"/>
                <w:lang w:val="en-US" w:eastAsia="zh-CN"/>
              </w:rPr>
              <w:t>资格（注册在本单位），具备有效安全生产考核（B类）证书</w:t>
            </w:r>
            <w:r>
              <w:rPr>
                <w:rFonts w:hint="eastAsia" w:ascii="宋体" w:hAnsi="宋体" w:cs="@仿宋_GB2312"/>
                <w:sz w:val="24"/>
                <w:highlight w:val="none"/>
              </w:rPr>
              <w:t>。</w:t>
            </w:r>
          </w:p>
        </w:tc>
      </w:tr>
      <w:tr w14:paraId="3F81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noWrap w:val="0"/>
            <w:vAlign w:val="center"/>
          </w:tcPr>
          <w:p w14:paraId="67209A58">
            <w:pPr>
              <w:spacing w:line="360" w:lineRule="auto"/>
              <w:jc w:val="center"/>
              <w:rPr>
                <w:rFonts w:hint="eastAsia" w:ascii="宋体" w:hAnsi="宋体" w:eastAsia="宋体" w:cs="@仿宋_GB2312"/>
                <w:sz w:val="24"/>
                <w:highlight w:val="none"/>
                <w:lang w:eastAsia="zh-CN"/>
              </w:rPr>
            </w:pPr>
            <w:r>
              <w:rPr>
                <w:rFonts w:hint="eastAsia" w:ascii="宋体" w:hAnsi="宋体" w:cs="@仿宋_GB2312"/>
                <w:sz w:val="24"/>
                <w:highlight w:val="none"/>
                <w:lang w:val="en-US" w:eastAsia="zh-CN"/>
              </w:rPr>
              <w:t>7</w:t>
            </w:r>
          </w:p>
        </w:tc>
        <w:tc>
          <w:tcPr>
            <w:tcW w:w="451" w:type="pct"/>
            <w:noWrap w:val="0"/>
            <w:vAlign w:val="center"/>
          </w:tcPr>
          <w:p w14:paraId="3772D9BE">
            <w:pPr>
              <w:spacing w:line="360" w:lineRule="auto"/>
              <w:jc w:val="center"/>
              <w:rPr>
                <w:rFonts w:ascii="宋体" w:hAnsi="宋体" w:cs="@仿宋_GB2312"/>
                <w:bCs/>
                <w:sz w:val="24"/>
                <w:szCs w:val="28"/>
                <w:highlight w:val="none"/>
              </w:rPr>
            </w:pPr>
            <w:r>
              <w:rPr>
                <w:rFonts w:hint="eastAsia" w:ascii="宋体" w:hAnsi="宋体" w:cs="@仿宋_GB2312"/>
                <w:bCs/>
                <w:sz w:val="24"/>
                <w:szCs w:val="28"/>
                <w:highlight w:val="none"/>
              </w:rPr>
              <w:t>工程量清单、图纸</w:t>
            </w:r>
          </w:p>
        </w:tc>
        <w:tc>
          <w:tcPr>
            <w:tcW w:w="4216" w:type="pct"/>
            <w:noWrap w:val="0"/>
            <w:vAlign w:val="center"/>
          </w:tcPr>
          <w:p w14:paraId="2146BBD9">
            <w:pPr>
              <w:spacing w:line="360" w:lineRule="auto"/>
              <w:jc w:val="both"/>
              <w:rPr>
                <w:rFonts w:hint="default" w:ascii="宋体" w:hAnsi="宋体" w:eastAsia="宋体" w:cs="@仿宋_GB2312"/>
                <w:b/>
                <w:bCs/>
                <w:sz w:val="24"/>
                <w:highlight w:val="none"/>
                <w:lang w:val="en-US" w:eastAsia="zh-CN"/>
              </w:rPr>
            </w:pPr>
            <w:r>
              <w:rPr>
                <w:rFonts w:hint="eastAsia" w:ascii="宋体" w:hAnsi="宋体" w:cs="@仿宋_GB2312"/>
                <w:b w:val="0"/>
                <w:bCs w:val="0"/>
                <w:sz w:val="24"/>
                <w:highlight w:val="none"/>
                <w:lang w:val="en-US" w:eastAsia="zh-CN"/>
              </w:rPr>
              <w:t>详见附件</w:t>
            </w:r>
          </w:p>
        </w:tc>
      </w:tr>
      <w:tr w14:paraId="20A5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noWrap w:val="0"/>
            <w:vAlign w:val="center"/>
          </w:tcPr>
          <w:p w14:paraId="33B67BEF">
            <w:pPr>
              <w:spacing w:line="360" w:lineRule="auto"/>
              <w:jc w:val="center"/>
              <w:rPr>
                <w:rFonts w:hint="eastAsia" w:ascii="宋体" w:hAnsi="宋体" w:eastAsia="宋体" w:cs="@仿宋_GB2312"/>
                <w:sz w:val="24"/>
                <w:highlight w:val="none"/>
                <w:lang w:eastAsia="zh-CN"/>
              </w:rPr>
            </w:pPr>
            <w:r>
              <w:rPr>
                <w:rFonts w:hint="eastAsia" w:ascii="宋体" w:hAnsi="宋体" w:cs="@仿宋_GB2312"/>
                <w:sz w:val="24"/>
                <w:highlight w:val="none"/>
                <w:lang w:val="en-US" w:eastAsia="zh-CN"/>
              </w:rPr>
              <w:t>8</w:t>
            </w:r>
          </w:p>
        </w:tc>
        <w:tc>
          <w:tcPr>
            <w:tcW w:w="451" w:type="pct"/>
            <w:noWrap w:val="0"/>
            <w:vAlign w:val="center"/>
          </w:tcPr>
          <w:p w14:paraId="3D180E48">
            <w:pPr>
              <w:spacing w:line="360" w:lineRule="auto"/>
              <w:jc w:val="center"/>
              <w:rPr>
                <w:rFonts w:hint="default" w:ascii="宋体" w:hAnsi="宋体" w:eastAsia="宋体" w:cs="@仿宋_GB2312"/>
                <w:bCs/>
                <w:sz w:val="24"/>
                <w:szCs w:val="28"/>
                <w:highlight w:val="none"/>
                <w:lang w:val="en-US" w:eastAsia="zh-CN"/>
              </w:rPr>
            </w:pPr>
            <w:r>
              <w:rPr>
                <w:rFonts w:hint="eastAsia" w:ascii="宋体" w:hAnsi="宋体" w:cs="@仿宋_GB2312"/>
                <w:bCs/>
                <w:sz w:val="24"/>
                <w:szCs w:val="28"/>
                <w:highlight w:val="none"/>
                <w:lang w:val="en-US" w:eastAsia="zh-CN"/>
              </w:rPr>
              <w:t>本项目采购标的</w:t>
            </w:r>
          </w:p>
        </w:tc>
        <w:tc>
          <w:tcPr>
            <w:tcW w:w="4216" w:type="pct"/>
            <w:noWrap w:val="0"/>
            <w:vAlign w:val="center"/>
          </w:tcPr>
          <w:p w14:paraId="3E9CFE0C">
            <w:pPr>
              <w:spacing w:line="360" w:lineRule="auto"/>
              <w:jc w:val="left"/>
              <w:rPr>
                <w:rFonts w:ascii="宋体" w:hAnsi="宋体" w:cs="@仿宋_GB2312"/>
                <w:b/>
                <w:bCs/>
                <w:sz w:val="24"/>
                <w:highlight w:val="none"/>
              </w:rPr>
            </w:pPr>
            <w:r>
              <w:rPr>
                <w:rFonts w:hint="eastAsia" w:ascii="宋体" w:hAnsi="宋体" w:cs="@仿宋_GB2312"/>
                <w:sz w:val="24"/>
                <w:highlight w:val="none"/>
              </w:rPr>
              <w:t>安徽省博物馆陈列展览大楼消防电气提升和防火门改造</w:t>
            </w:r>
            <w:r>
              <w:rPr>
                <w:rFonts w:hint="eastAsia" w:ascii="宋体" w:hAnsi="宋体" w:cs="@仿宋_GB2312"/>
                <w:sz w:val="24"/>
                <w:highlight w:val="none"/>
                <w:lang w:val="en-US" w:eastAsia="zh-CN"/>
              </w:rPr>
              <w:t>工程</w:t>
            </w:r>
          </w:p>
        </w:tc>
      </w:tr>
      <w:tr w14:paraId="6EC1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noWrap w:val="0"/>
            <w:vAlign w:val="center"/>
          </w:tcPr>
          <w:p w14:paraId="369E65F2">
            <w:pPr>
              <w:spacing w:line="360" w:lineRule="auto"/>
              <w:jc w:val="center"/>
              <w:rPr>
                <w:rFonts w:hint="eastAsia" w:ascii="宋体" w:hAnsi="宋体" w:eastAsia="宋体" w:cs="@仿宋_GB2312"/>
                <w:sz w:val="24"/>
                <w:highlight w:val="none"/>
                <w:lang w:eastAsia="zh-CN"/>
              </w:rPr>
            </w:pPr>
            <w:r>
              <w:rPr>
                <w:rFonts w:hint="eastAsia" w:ascii="宋体" w:hAnsi="宋体" w:cs="@仿宋_GB2312"/>
                <w:sz w:val="24"/>
                <w:highlight w:val="none"/>
                <w:lang w:val="en-US" w:eastAsia="zh-CN"/>
              </w:rPr>
              <w:t>9</w:t>
            </w:r>
          </w:p>
        </w:tc>
        <w:tc>
          <w:tcPr>
            <w:tcW w:w="451" w:type="pct"/>
            <w:noWrap w:val="0"/>
            <w:vAlign w:val="center"/>
          </w:tcPr>
          <w:p w14:paraId="7698F6D9">
            <w:pPr>
              <w:spacing w:line="360" w:lineRule="auto"/>
              <w:jc w:val="center"/>
              <w:rPr>
                <w:rFonts w:ascii="宋体" w:hAnsi="宋体" w:cs="@仿宋_GB2312"/>
                <w:bCs/>
                <w:kern w:val="2"/>
                <w:sz w:val="24"/>
                <w:szCs w:val="28"/>
                <w:highlight w:val="none"/>
                <w:lang w:val="en-US" w:eastAsia="zh-CN" w:bidi="ar-SA"/>
              </w:rPr>
            </w:pPr>
            <w:r>
              <w:rPr>
                <w:rFonts w:hint="eastAsia" w:ascii="宋体" w:hAnsi="宋体" w:cs="@仿宋_GB2312"/>
                <w:bCs/>
                <w:sz w:val="24"/>
                <w:szCs w:val="28"/>
                <w:highlight w:val="none"/>
              </w:rPr>
              <w:t>本项目采购标的所属行业</w:t>
            </w:r>
          </w:p>
        </w:tc>
        <w:tc>
          <w:tcPr>
            <w:tcW w:w="4216" w:type="pct"/>
            <w:noWrap w:val="0"/>
            <w:vAlign w:val="center"/>
          </w:tcPr>
          <w:p w14:paraId="618DA22E">
            <w:pPr>
              <w:spacing w:line="360" w:lineRule="auto"/>
              <w:rPr>
                <w:rFonts w:hint="eastAsia" w:ascii="宋体" w:hAnsi="宋体" w:eastAsia="宋体" w:cs="@仿宋_GB2312"/>
                <w:sz w:val="24"/>
                <w:highlight w:val="none"/>
                <w:lang w:val="en-US" w:eastAsia="zh-CN"/>
              </w:rPr>
            </w:pPr>
            <w:r>
              <w:rPr>
                <w:rFonts w:hint="eastAsia" w:ascii="宋体" w:hAnsi="宋体" w:cs="@仿宋_GB2312"/>
                <w:sz w:val="24"/>
                <w:highlight w:val="none"/>
                <w:lang w:val="en-US" w:eastAsia="zh-CN"/>
              </w:rPr>
              <w:t>建筑业</w:t>
            </w:r>
          </w:p>
        </w:tc>
      </w:tr>
      <w:tr w14:paraId="0F1E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noWrap w:val="0"/>
            <w:vAlign w:val="center"/>
          </w:tcPr>
          <w:p w14:paraId="731700B0">
            <w:pPr>
              <w:spacing w:line="360" w:lineRule="auto"/>
              <w:jc w:val="center"/>
              <w:rPr>
                <w:rFonts w:hint="default" w:ascii="宋体" w:hAnsi="宋体" w:eastAsia="宋体" w:cs="@仿宋_GB2312"/>
                <w:sz w:val="24"/>
                <w:highlight w:val="none"/>
                <w:lang w:val="en-US" w:eastAsia="zh-CN"/>
              </w:rPr>
            </w:pPr>
            <w:r>
              <w:rPr>
                <w:rFonts w:hint="eastAsia" w:ascii="宋体" w:hAnsi="宋体" w:cs="@仿宋_GB2312"/>
                <w:sz w:val="24"/>
                <w:highlight w:val="none"/>
                <w:lang w:val="en-US" w:eastAsia="zh-CN"/>
              </w:rPr>
              <w:t>10</w:t>
            </w:r>
          </w:p>
        </w:tc>
        <w:tc>
          <w:tcPr>
            <w:tcW w:w="451" w:type="pct"/>
            <w:noWrap w:val="0"/>
            <w:vAlign w:val="center"/>
          </w:tcPr>
          <w:p w14:paraId="300DF0BB">
            <w:pPr>
              <w:spacing w:line="360" w:lineRule="auto"/>
              <w:jc w:val="center"/>
              <w:rPr>
                <w:rFonts w:hint="default" w:ascii="宋体" w:hAnsi="宋体" w:eastAsia="宋体" w:cs="@仿宋_GB2312"/>
                <w:kern w:val="2"/>
                <w:sz w:val="24"/>
                <w:szCs w:val="24"/>
                <w:highlight w:val="none"/>
                <w:lang w:val="en-US" w:eastAsia="zh-CN" w:bidi="ar-SA"/>
              </w:rPr>
            </w:pPr>
            <w:r>
              <w:rPr>
                <w:rFonts w:hint="eastAsia" w:ascii="宋体" w:hAnsi="宋体" w:cs="@仿宋_GB2312"/>
                <w:sz w:val="24"/>
                <w:highlight w:val="none"/>
                <w:lang w:val="en-US" w:eastAsia="zh-CN"/>
              </w:rPr>
              <w:t>重要说明</w:t>
            </w:r>
          </w:p>
        </w:tc>
        <w:tc>
          <w:tcPr>
            <w:tcW w:w="4216" w:type="pct"/>
            <w:noWrap w:val="0"/>
            <w:vAlign w:val="center"/>
          </w:tcPr>
          <w:p w14:paraId="3590159B">
            <w:pPr>
              <w:spacing w:line="360" w:lineRule="auto"/>
              <w:jc w:val="both"/>
              <w:rPr>
                <w:rFonts w:hint="default" w:ascii="宋体" w:hAnsi="宋体" w:cs="@仿宋_GB2312"/>
                <w:bCs/>
                <w:kern w:val="2"/>
                <w:sz w:val="24"/>
                <w:szCs w:val="28"/>
                <w:highlight w:val="none"/>
                <w:lang w:val="en-US" w:eastAsia="zh-CN" w:bidi="ar-SA"/>
              </w:rPr>
            </w:pPr>
            <w:r>
              <w:rPr>
                <w:rFonts w:hint="eastAsia" w:ascii="宋体" w:hAnsi="宋体" w:cs="@仿宋_GB2312"/>
                <w:bCs/>
                <w:kern w:val="2"/>
                <w:sz w:val="24"/>
                <w:szCs w:val="28"/>
                <w:highlight w:val="none"/>
                <w:lang w:val="en-US" w:eastAsia="zh-CN" w:bidi="ar-SA"/>
              </w:rPr>
              <w:t>1、</w:t>
            </w:r>
            <w:r>
              <w:rPr>
                <w:rFonts w:hint="default" w:ascii="宋体" w:hAnsi="宋体" w:cs="@仿宋_GB2312"/>
                <w:bCs/>
                <w:kern w:val="2"/>
                <w:sz w:val="24"/>
                <w:szCs w:val="28"/>
                <w:highlight w:val="none"/>
                <w:lang w:val="en-US" w:eastAsia="zh-CN" w:bidi="ar-SA"/>
              </w:rPr>
              <w:t xml:space="preserve">政府采购政策（包括但不限于下列具体政策要求）： </w:t>
            </w:r>
          </w:p>
          <w:p w14:paraId="16A21E12">
            <w:pPr>
              <w:spacing w:line="360" w:lineRule="auto"/>
              <w:jc w:val="both"/>
              <w:rPr>
                <w:rFonts w:hint="default" w:ascii="宋体" w:hAnsi="宋体" w:cs="@仿宋_GB2312"/>
                <w:bCs/>
                <w:kern w:val="2"/>
                <w:sz w:val="24"/>
                <w:szCs w:val="28"/>
                <w:highlight w:val="none"/>
                <w:lang w:val="en-US" w:eastAsia="zh-CN" w:bidi="ar-SA"/>
              </w:rPr>
            </w:pPr>
            <w:r>
              <w:rPr>
                <w:rFonts w:hint="default" w:ascii="宋体" w:hAnsi="宋体" w:cs="@仿宋_GB2312"/>
                <w:bCs/>
                <w:kern w:val="2"/>
                <w:sz w:val="24"/>
                <w:szCs w:val="28"/>
                <w:highlight w:val="none"/>
                <w:lang w:val="en-US" w:eastAsia="zh-CN" w:bidi="ar-SA"/>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438F7F65">
            <w:pPr>
              <w:spacing w:line="360" w:lineRule="auto"/>
              <w:jc w:val="both"/>
              <w:rPr>
                <w:rFonts w:hint="default" w:ascii="宋体" w:hAnsi="宋体" w:cs="@仿宋_GB2312"/>
                <w:bCs/>
                <w:kern w:val="2"/>
                <w:sz w:val="24"/>
                <w:szCs w:val="28"/>
                <w:highlight w:val="none"/>
                <w:lang w:val="en-US" w:eastAsia="zh-CN" w:bidi="ar-SA"/>
              </w:rPr>
            </w:pPr>
            <w:r>
              <w:rPr>
                <w:rFonts w:hint="default" w:ascii="宋体" w:hAnsi="宋体" w:cs="@仿宋_GB2312"/>
                <w:bCs/>
                <w:kern w:val="2"/>
                <w:sz w:val="24"/>
                <w:szCs w:val="28"/>
                <w:highlight w:val="none"/>
                <w:lang w:val="en-US" w:eastAsia="zh-CN" w:bidi="ar-SA"/>
              </w:rPr>
              <w:t>（2）如涉及商品包装和快递包装，供应商应当执行《关于印发〈商品包装政府采购需求标准（试行）〉、〈快递包装政府采购需求标准（试行）〉的通知》（财办库〔2020〕123 号）、《安徽省财政厅关于贯彻落实政府绿色采购有关政策的通知》（皖财购〔2023〕853 号）的要求，提供符合需求标准的绿色包装、绿色运输，同时，采购人将对包装材料和运输环节作为履约验收条款进行验收。</w:t>
            </w:r>
          </w:p>
          <w:p w14:paraId="73615054">
            <w:pPr>
              <w:spacing w:line="360" w:lineRule="auto"/>
              <w:jc w:val="both"/>
              <w:rPr>
                <w:rFonts w:hint="default" w:ascii="宋体" w:hAnsi="宋体" w:cs="@仿宋_GB2312"/>
                <w:bCs/>
                <w:kern w:val="2"/>
                <w:sz w:val="24"/>
                <w:szCs w:val="28"/>
                <w:highlight w:val="none"/>
                <w:lang w:val="en-US" w:eastAsia="zh-CN" w:bidi="ar-SA"/>
              </w:rPr>
            </w:pPr>
            <w:r>
              <w:rPr>
                <w:rFonts w:hint="eastAsia" w:ascii="宋体" w:hAnsi="宋体" w:cs="@仿宋_GB2312"/>
                <w:b/>
                <w:bCs w:val="0"/>
                <w:kern w:val="2"/>
                <w:sz w:val="24"/>
                <w:szCs w:val="28"/>
                <w:highlight w:val="none"/>
                <w:lang w:val="en-US" w:eastAsia="zh-CN" w:bidi="ar-SA"/>
              </w:rPr>
              <w:t>2、本项目工程量清单中监控摄像设备属于</w:t>
            </w:r>
            <w:r>
              <w:rPr>
                <w:rFonts w:hint="default" w:ascii="宋体" w:hAnsi="宋体" w:cs="@仿宋_GB2312"/>
                <w:b/>
                <w:bCs w:val="0"/>
                <w:kern w:val="2"/>
                <w:sz w:val="24"/>
                <w:szCs w:val="28"/>
                <w:highlight w:val="none"/>
                <w:lang w:val="en-US" w:eastAsia="zh-CN" w:bidi="ar-SA"/>
              </w:rPr>
              <w:t>《节能产品政府采购品目清单》政府强制采购的节能产品</w:t>
            </w:r>
            <w:r>
              <w:rPr>
                <w:rFonts w:hint="eastAsia" w:ascii="宋体" w:hAnsi="宋体" w:cs="@仿宋_GB2312"/>
                <w:b/>
                <w:bCs w:val="0"/>
                <w:kern w:val="2"/>
                <w:sz w:val="24"/>
                <w:szCs w:val="28"/>
                <w:highlight w:val="none"/>
                <w:lang w:val="en-US" w:eastAsia="zh-CN" w:bidi="ar-SA"/>
              </w:rPr>
              <w:t>，供应商应在响应文件中提供</w:t>
            </w:r>
            <w:r>
              <w:rPr>
                <w:rFonts w:hint="default" w:ascii="宋体" w:hAnsi="宋体" w:cs="@仿宋_GB2312"/>
                <w:b/>
                <w:bCs w:val="0"/>
                <w:kern w:val="2"/>
                <w:sz w:val="24"/>
                <w:szCs w:val="28"/>
                <w:highlight w:val="none"/>
                <w:lang w:val="en-US" w:eastAsia="zh-CN" w:bidi="ar-SA"/>
              </w:rPr>
              <w:t>所投产品具有市场监管总局公布的《参与实施政府采购节能产品认证机构目录》中的认证机构出具的处于有效期内的节能产品认证证书</w:t>
            </w:r>
            <w:r>
              <w:rPr>
                <w:rFonts w:hint="eastAsia" w:ascii="宋体" w:hAnsi="宋体" w:cs="@仿宋_GB2312"/>
                <w:b/>
                <w:bCs w:val="0"/>
                <w:kern w:val="2"/>
                <w:sz w:val="24"/>
                <w:szCs w:val="28"/>
                <w:highlight w:val="none"/>
                <w:lang w:val="en-US" w:eastAsia="zh-CN" w:bidi="ar-SA"/>
              </w:rPr>
              <w:t>复制件或扫描件，否则将否决响应。</w:t>
            </w:r>
          </w:p>
        </w:tc>
      </w:tr>
      <w:tr w14:paraId="73A6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noWrap w:val="0"/>
            <w:vAlign w:val="center"/>
          </w:tcPr>
          <w:p w14:paraId="2A3F7D92">
            <w:pPr>
              <w:spacing w:line="360" w:lineRule="auto"/>
              <w:jc w:val="center"/>
              <w:rPr>
                <w:rFonts w:hint="default" w:ascii="宋体" w:hAnsi="宋体" w:cs="@仿宋_GB2312"/>
                <w:sz w:val="24"/>
                <w:highlight w:val="none"/>
                <w:lang w:val="en-US" w:eastAsia="zh-CN"/>
              </w:rPr>
            </w:pPr>
            <w:r>
              <w:rPr>
                <w:rFonts w:hint="eastAsia" w:ascii="宋体" w:hAnsi="宋体" w:cs="@仿宋_GB2312"/>
                <w:sz w:val="24"/>
                <w:highlight w:val="none"/>
                <w:lang w:val="en-US" w:eastAsia="zh-CN"/>
              </w:rPr>
              <w:t>11</w:t>
            </w:r>
          </w:p>
        </w:tc>
        <w:tc>
          <w:tcPr>
            <w:tcW w:w="451" w:type="pct"/>
            <w:noWrap w:val="0"/>
            <w:vAlign w:val="center"/>
          </w:tcPr>
          <w:p w14:paraId="17931256">
            <w:pPr>
              <w:spacing w:line="360" w:lineRule="auto"/>
              <w:jc w:val="center"/>
              <w:rPr>
                <w:rFonts w:hint="default" w:ascii="宋体" w:hAnsi="宋体" w:cs="@仿宋_GB2312"/>
                <w:sz w:val="24"/>
                <w:highlight w:val="none"/>
                <w:lang w:val="en-US" w:eastAsia="zh-CN"/>
              </w:rPr>
            </w:pPr>
            <w:r>
              <w:rPr>
                <w:rFonts w:hint="eastAsia" w:ascii="宋体" w:hAnsi="宋体" w:cs="@仿宋_GB2312"/>
                <w:sz w:val="24"/>
                <w:highlight w:val="none"/>
                <w:lang w:val="en-US" w:eastAsia="zh-CN"/>
              </w:rPr>
              <w:t>材料要求</w:t>
            </w:r>
          </w:p>
        </w:tc>
        <w:tc>
          <w:tcPr>
            <w:tcW w:w="4216" w:type="pct"/>
            <w:noWrap w:val="0"/>
            <w:vAlign w:val="center"/>
          </w:tcPr>
          <w:p w14:paraId="5BF4A713">
            <w:pPr>
              <w:spacing w:line="360" w:lineRule="auto"/>
              <w:jc w:val="center"/>
              <w:rPr>
                <w:rFonts w:hint="default" w:ascii="宋体" w:hAnsi="宋体" w:cs="@仿宋_GB2312"/>
                <w:b/>
                <w:bCs w:val="0"/>
                <w:kern w:val="2"/>
                <w:sz w:val="24"/>
                <w:szCs w:val="28"/>
                <w:highlight w:val="none"/>
                <w:lang w:val="en-US" w:eastAsia="zh-CN" w:bidi="ar-SA"/>
              </w:rPr>
            </w:pPr>
            <w:r>
              <w:rPr>
                <w:rFonts w:hint="eastAsia" w:ascii="宋体" w:hAnsi="宋体" w:cs="@仿宋_GB2312"/>
                <w:b/>
                <w:bCs w:val="0"/>
                <w:kern w:val="2"/>
                <w:sz w:val="24"/>
                <w:szCs w:val="28"/>
                <w:highlight w:val="none"/>
                <w:lang w:val="en-US" w:eastAsia="zh-CN" w:bidi="ar-SA"/>
              </w:rPr>
              <w:t>参考品牌表</w:t>
            </w:r>
          </w:p>
          <w:tbl>
            <w:tblPr>
              <w:tblStyle w:val="4"/>
              <w:tblW w:w="7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4"/>
              <w:gridCol w:w="3552"/>
            </w:tblGrid>
            <w:tr w14:paraId="28F2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14:paraId="32902BCD">
                  <w:pPr>
                    <w:numPr>
                      <w:ilvl w:val="0"/>
                      <w:numId w:val="0"/>
                    </w:numPr>
                    <w:spacing w:line="360" w:lineRule="auto"/>
                    <w:ind w:left="0" w:leftChars="0" w:firstLine="0" w:firstLineChars="0"/>
                    <w:jc w:val="center"/>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vertAlign w:val="baseline"/>
                      <w:lang w:val="en-US" w:eastAsia="zh-CN" w:bidi="ar"/>
                    </w:rPr>
                    <w:t>主要设备及材料名称</w:t>
                  </w:r>
                </w:p>
              </w:tc>
              <w:tc>
                <w:tcPr>
                  <w:tcW w:w="3528" w:type="dxa"/>
                  <w:noWrap w:val="0"/>
                  <w:vAlign w:val="top"/>
                </w:tcPr>
                <w:p w14:paraId="022DEA81">
                  <w:pPr>
                    <w:numPr>
                      <w:ilvl w:val="0"/>
                      <w:numId w:val="0"/>
                    </w:numPr>
                    <w:spacing w:line="360" w:lineRule="auto"/>
                    <w:ind w:left="0" w:leftChars="0" w:firstLine="0" w:firstLineChars="0"/>
                    <w:jc w:val="center"/>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vertAlign w:val="baseline"/>
                      <w:lang w:val="en-US" w:eastAsia="zh-CN" w:bidi="ar"/>
                    </w:rPr>
                    <w:t>参考（或相当于）品牌</w:t>
                  </w:r>
                </w:p>
              </w:tc>
            </w:tr>
            <w:tr w14:paraId="0C2D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14:paraId="58622F38">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智慧消防管理软件平台</w:t>
                  </w:r>
                </w:p>
              </w:tc>
              <w:tc>
                <w:tcPr>
                  <w:tcW w:w="3528" w:type="dxa"/>
                  <w:noWrap w:val="0"/>
                  <w:vAlign w:val="top"/>
                </w:tcPr>
                <w:p w14:paraId="7933795E">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775E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14:paraId="5FB8C7F6">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用户手持APP终端设备</w:t>
                  </w:r>
                </w:p>
              </w:tc>
              <w:tc>
                <w:tcPr>
                  <w:tcW w:w="3528" w:type="dxa"/>
                  <w:noWrap w:val="0"/>
                  <w:vAlign w:val="top"/>
                </w:tcPr>
                <w:p w14:paraId="70423A7D">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6166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14:paraId="11E29F2D">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消防用户信息传输装置</w:t>
                  </w:r>
                </w:p>
              </w:tc>
              <w:tc>
                <w:tcPr>
                  <w:tcW w:w="3528" w:type="dxa"/>
                  <w:noWrap w:val="0"/>
                  <w:vAlign w:val="top"/>
                </w:tcPr>
                <w:p w14:paraId="48C1C6BE">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0DB9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14:paraId="5FADA3A5">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无线远程液位采集终端</w:t>
                  </w:r>
                </w:p>
              </w:tc>
              <w:tc>
                <w:tcPr>
                  <w:tcW w:w="3528" w:type="dxa"/>
                  <w:noWrap w:val="0"/>
                  <w:vAlign w:val="top"/>
                </w:tcPr>
                <w:p w14:paraId="61B948B3">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3F81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8" w:type="dxa"/>
                  <w:noWrap w:val="0"/>
                  <w:vAlign w:val="top"/>
                </w:tcPr>
                <w:p w14:paraId="45822185">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无线远程压力采集终端</w:t>
                  </w:r>
                </w:p>
              </w:tc>
              <w:tc>
                <w:tcPr>
                  <w:tcW w:w="3528" w:type="dxa"/>
                  <w:noWrap w:val="0"/>
                  <w:vAlign w:val="top"/>
                </w:tcPr>
                <w:p w14:paraId="75EF6C04">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16D5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noWrap w:val="0"/>
                  <w:vAlign w:val="top"/>
                </w:tcPr>
                <w:p w14:paraId="05190878">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室内消防栓终端信息采集及检测</w:t>
                  </w:r>
                </w:p>
              </w:tc>
              <w:tc>
                <w:tcPr>
                  <w:tcW w:w="3576" w:type="dxa"/>
                  <w:noWrap w:val="0"/>
                  <w:vAlign w:val="top"/>
                </w:tcPr>
                <w:p w14:paraId="3E46D026">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3FE4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noWrap w:val="0"/>
                  <w:vAlign w:val="top"/>
                </w:tcPr>
                <w:p w14:paraId="403419E4">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室外消防栓终端信息采集及检测</w:t>
                  </w:r>
                </w:p>
              </w:tc>
              <w:tc>
                <w:tcPr>
                  <w:tcW w:w="3576" w:type="dxa"/>
                  <w:noWrap w:val="0"/>
                  <w:vAlign w:val="top"/>
                </w:tcPr>
                <w:p w14:paraId="4D1C27CD">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554A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noWrap w:val="0"/>
                  <w:vAlign w:val="top"/>
                </w:tcPr>
                <w:p w14:paraId="67B1D00F">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监控摄像设备</w:t>
                  </w:r>
                </w:p>
              </w:tc>
              <w:tc>
                <w:tcPr>
                  <w:tcW w:w="3576" w:type="dxa"/>
                  <w:noWrap w:val="0"/>
                  <w:vAlign w:val="top"/>
                </w:tcPr>
                <w:p w14:paraId="7D3A9F58">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7E47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noWrap w:val="0"/>
                  <w:vAlign w:val="top"/>
                </w:tcPr>
                <w:p w14:paraId="718AAAD2">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安消一体化平台(纯硬件平台)</w:t>
                  </w:r>
                </w:p>
              </w:tc>
              <w:tc>
                <w:tcPr>
                  <w:tcW w:w="3576" w:type="dxa"/>
                  <w:noWrap w:val="0"/>
                  <w:vAlign w:val="top"/>
                </w:tcPr>
                <w:p w14:paraId="5198F43E">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6492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noWrap w:val="0"/>
                  <w:vAlign w:val="top"/>
                </w:tcPr>
                <w:p w14:paraId="7F768FC3">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消防业务软件系统平台</w:t>
                  </w:r>
                </w:p>
              </w:tc>
              <w:tc>
                <w:tcPr>
                  <w:tcW w:w="3576" w:type="dxa"/>
                  <w:noWrap w:val="0"/>
                  <w:vAlign w:val="top"/>
                </w:tcPr>
                <w:p w14:paraId="2A6EB800">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319B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noWrap w:val="0"/>
                  <w:vAlign w:val="top"/>
                </w:tcPr>
                <w:p w14:paraId="57A2BEED">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消防智能分析软件系统平台</w:t>
                  </w:r>
                </w:p>
              </w:tc>
              <w:tc>
                <w:tcPr>
                  <w:tcW w:w="3576" w:type="dxa"/>
                  <w:noWrap w:val="0"/>
                  <w:vAlign w:val="top"/>
                </w:tcPr>
                <w:p w14:paraId="451FCA01">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5FCF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noWrap w:val="0"/>
                  <w:vAlign w:val="top"/>
                </w:tcPr>
                <w:p w14:paraId="5037B136">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消防安全用电软件系统平台</w:t>
                  </w:r>
                </w:p>
              </w:tc>
              <w:tc>
                <w:tcPr>
                  <w:tcW w:w="3576" w:type="dxa"/>
                  <w:noWrap w:val="0"/>
                  <w:vAlign w:val="top"/>
                </w:tcPr>
                <w:p w14:paraId="764C6D89">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5A7E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noWrap w:val="0"/>
                  <w:vAlign w:val="top"/>
                </w:tcPr>
                <w:p w14:paraId="61E5DFE9">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智能型二级配电箱</w:t>
                  </w:r>
                </w:p>
              </w:tc>
              <w:tc>
                <w:tcPr>
                  <w:tcW w:w="3576" w:type="dxa"/>
                  <w:noWrap w:val="0"/>
                  <w:vAlign w:val="top"/>
                </w:tcPr>
                <w:p w14:paraId="618F1387">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1EC6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noWrap w:val="0"/>
                  <w:vAlign w:val="top"/>
                </w:tcPr>
                <w:p w14:paraId="50CDE028">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智能型PZ30配电箱</w:t>
                  </w:r>
                </w:p>
              </w:tc>
              <w:tc>
                <w:tcPr>
                  <w:tcW w:w="3576" w:type="dxa"/>
                  <w:noWrap w:val="0"/>
                  <w:vAlign w:val="top"/>
                </w:tcPr>
                <w:p w14:paraId="531CD31E">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4097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noWrap w:val="0"/>
                  <w:vAlign w:val="top"/>
                </w:tcPr>
                <w:p w14:paraId="01EFE611">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智能型空调配电箱</w:t>
                  </w:r>
                </w:p>
              </w:tc>
              <w:tc>
                <w:tcPr>
                  <w:tcW w:w="3576" w:type="dxa"/>
                  <w:noWrap w:val="0"/>
                  <w:vAlign w:val="top"/>
                </w:tcPr>
                <w:p w14:paraId="211D1E24">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r w14:paraId="36A2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0" w:type="dxa"/>
                  <w:noWrap w:val="0"/>
                  <w:vAlign w:val="top"/>
                </w:tcPr>
                <w:p w14:paraId="57E0CDF2">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电气火灾监控终端设备-智慧用电主机</w:t>
                  </w:r>
                </w:p>
              </w:tc>
              <w:tc>
                <w:tcPr>
                  <w:tcW w:w="3576" w:type="dxa"/>
                  <w:noWrap w:val="0"/>
                  <w:vAlign w:val="top"/>
                </w:tcPr>
                <w:p w14:paraId="0C6C5EA2">
                  <w:pPr>
                    <w:numPr>
                      <w:ilvl w:val="0"/>
                      <w:numId w:val="0"/>
                    </w:numPr>
                    <w:spacing w:line="360" w:lineRule="auto"/>
                    <w:ind w:left="0" w:leftChars="0" w:firstLine="0" w:firstLineChars="0"/>
                    <w:rPr>
                      <w:rFonts w:hint="eastAsia" w:ascii="宋体" w:hAnsi="宋体" w:eastAsia="宋体" w:cs="宋体"/>
                      <w:i w:val="0"/>
                      <w:color w:val="000000"/>
                      <w:kern w:val="0"/>
                      <w:sz w:val="24"/>
                      <w:szCs w:val="24"/>
                      <w:u w:val="none"/>
                      <w:vertAlign w:val="baseline"/>
                      <w:lang w:val="en-US" w:eastAsia="zh-CN" w:bidi="ar"/>
                    </w:rPr>
                  </w:pPr>
                  <w:r>
                    <w:rPr>
                      <w:rFonts w:hint="eastAsia" w:ascii="宋体" w:hAnsi="宋体" w:eastAsia="宋体" w:cs="宋体"/>
                      <w:i w:val="0"/>
                      <w:color w:val="000000"/>
                      <w:kern w:val="0"/>
                      <w:sz w:val="24"/>
                      <w:szCs w:val="24"/>
                      <w:u w:val="none"/>
                      <w:lang w:val="en-US" w:eastAsia="zh-CN" w:bidi="ar"/>
                    </w:rPr>
                    <w:t>北大青鸟、鼎信、大华、海康系列产品</w:t>
                  </w:r>
                </w:p>
              </w:tc>
            </w:tr>
          </w:tbl>
          <w:p w14:paraId="3D75E9CC">
            <w:pPr>
              <w:numPr>
                <w:ilvl w:val="0"/>
                <w:numId w:val="0"/>
              </w:numPr>
              <w:spacing w:line="360" w:lineRule="auto"/>
              <w:ind w:firstLine="0" w:firstLineChars="0"/>
              <w:rPr>
                <w:rFonts w:hint="eastAsia" w:ascii="宋体" w:hAnsi="宋体" w:eastAsia="宋体" w:cs="@仿宋_GB2312"/>
                <w:sz w:val="24"/>
                <w:lang w:val="en-US" w:eastAsia="zh-CN"/>
              </w:rPr>
            </w:pPr>
            <w:r>
              <w:rPr>
                <w:rFonts w:hint="eastAsia" w:ascii="宋体" w:hAnsi="宋体" w:eastAsia="宋体" w:cs="@仿宋_GB2312"/>
                <w:sz w:val="24"/>
                <w:lang w:val="en-US" w:eastAsia="zh-CN"/>
              </w:rPr>
              <w:t xml:space="preserve">1、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 </w:t>
            </w:r>
          </w:p>
          <w:p w14:paraId="3FBDD251">
            <w:pPr>
              <w:numPr>
                <w:ilvl w:val="0"/>
                <w:numId w:val="0"/>
              </w:numPr>
              <w:spacing w:line="360" w:lineRule="auto"/>
              <w:ind w:firstLine="0" w:firstLineChars="0"/>
              <w:rPr>
                <w:rFonts w:hint="eastAsia" w:ascii="宋体" w:hAnsi="宋体" w:eastAsia="宋体" w:cs="@仿宋_GB2312"/>
                <w:color w:val="auto"/>
                <w:sz w:val="24"/>
                <w:lang w:val="en-US" w:eastAsia="zh-CN"/>
              </w:rPr>
            </w:pPr>
            <w:r>
              <w:rPr>
                <w:rFonts w:hint="eastAsia" w:ascii="宋体" w:hAnsi="宋体" w:eastAsia="宋体" w:cs="@仿宋_GB2312"/>
                <w:sz w:val="24"/>
                <w:lang w:val="en-US" w:eastAsia="zh-CN"/>
              </w:rPr>
              <w:t>2、如本项目采购人对工程质量有特殊需求的，</w:t>
            </w:r>
            <w:r>
              <w:rPr>
                <w:rFonts w:hint="eastAsia" w:ascii="宋体" w:hAnsi="宋体" w:eastAsia="宋体" w:cs="@仿宋_GB2312"/>
                <w:color w:val="auto"/>
                <w:sz w:val="24"/>
                <w:lang w:val="en-US" w:eastAsia="zh-CN"/>
              </w:rPr>
              <w:t>对主要设备及材料提供不少于三个的参考品牌，对于采购人参考品牌的材料，供应商可选用参考品牌（仅供参考）或相当于参考品牌质量标准的其它品牌；采用其它品牌的应在响应文件中提供相关技术参数证明材料供磋商小组评审，未提供相关技术参数证明材料或经磋商小组评审未通过的，成交后只能从采购人参考品牌中进行选择，价格不予调整。</w:t>
            </w:r>
          </w:p>
          <w:p w14:paraId="32C963D8">
            <w:pPr>
              <w:spacing w:line="360" w:lineRule="auto"/>
              <w:jc w:val="both"/>
              <w:rPr>
                <w:rFonts w:hint="eastAsia" w:ascii="宋体" w:hAnsi="宋体" w:cs="@仿宋_GB2312"/>
                <w:b/>
                <w:bCs w:val="0"/>
                <w:kern w:val="2"/>
                <w:sz w:val="24"/>
                <w:szCs w:val="28"/>
                <w:highlight w:val="none"/>
                <w:lang w:val="en-US" w:eastAsia="zh-CN" w:bidi="ar-SA"/>
              </w:rPr>
            </w:pPr>
            <w:r>
              <w:rPr>
                <w:rFonts w:hint="eastAsia" w:ascii="宋体" w:hAnsi="宋体" w:eastAsia="宋体" w:cs="@仿宋_GB2312"/>
                <w:color w:val="auto"/>
                <w:sz w:val="24"/>
                <w:lang w:val="en-US" w:eastAsia="zh-CN"/>
              </w:rPr>
              <w:t>3、对于采购人参考品牌的材料，供应商如认为参考品牌有限定性、唯一性、明显不在同一档次等级的或者其他异议的，应在本项目网上询问截止时间前通过电子交易系统提交。</w:t>
            </w:r>
          </w:p>
        </w:tc>
      </w:tr>
    </w:tbl>
    <w:p w14:paraId="743C94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25F43"/>
    <w:rsid w:val="3BBD5005"/>
    <w:rsid w:val="4B925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2356</Words>
  <Characters>2373</Characters>
  <Lines>0</Lines>
  <Paragraphs>0</Paragraphs>
  <TotalTime>0</TotalTime>
  <ScaleCrop>false</ScaleCrop>
  <LinksUpToDate>false</LinksUpToDate>
  <CharactersWithSpaces>2377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2026-03-27T09:55:00Z</dcterms:created>
  <dc:creator>安天</dc:creator>
  <cp:lastModifiedBy>安天</cp:lastModifiedBy>
  <dcterms:modified xsi:type="dcterms:W3CDTF">2026-03-27T11:02:28Z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A77C74DC9C85404D9E10FC59B7A31161_11</vt:lpwstr>
  </property>
  <property fmtid="{D5CDD505-2E9C-101B-9397-08002B2CF9AE}" pid="4" name="KSOTemplateDocerSaveRecord">
    <vt:lpwstr>eyJoZGlkIjoiN2YzNjBkOTgyNWQ1YTMxYzM3MzMwNWFiODNmOWIzYWMiLCJ1c2VySWQiOiIyOTgxMTI1OTkifQ==</vt:lpwstr>
  </property>
</Properties>
</file>