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9F694">
      <w:pPr>
        <w:pStyle w:val="2"/>
        <w:widowControl/>
        <w:snapToGrid w:val="0"/>
        <w:spacing w:before="0" w:after="0" w:line="360" w:lineRule="auto"/>
        <w:jc w:val="center"/>
        <w:rPr>
          <w:rFonts w:hint="eastAsia" w:ascii="宋体" w:hAnsi="宋体"/>
        </w:rPr>
      </w:pPr>
      <w:r>
        <w:rPr>
          <w:rFonts w:hint="eastAsia" w:ascii="宋体" w:hAnsi="宋体"/>
        </w:rPr>
        <w:t>采购需求</w:t>
      </w:r>
      <w:bookmarkStart w:id="0" w:name="_Toc455587089"/>
      <w:bookmarkStart w:id="1" w:name="_Toc455587273"/>
      <w:bookmarkStart w:id="2" w:name="_Toc445554747"/>
      <w:bookmarkStart w:id="3" w:name="_Toc466024556"/>
    </w:p>
    <w:bookmarkEnd w:id="0"/>
    <w:bookmarkEnd w:id="1"/>
    <w:bookmarkEnd w:id="2"/>
    <w:bookmarkEnd w:id="3"/>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473"/>
        <w:gridCol w:w="7271"/>
      </w:tblGrid>
      <w:tr w14:paraId="33C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18F7F939">
            <w:pPr>
              <w:spacing w:line="360" w:lineRule="auto"/>
              <w:jc w:val="center"/>
              <w:rPr>
                <w:rFonts w:ascii="宋体" w:hAnsi="宋体" w:cs="@仿宋_GB2312"/>
                <w:b/>
                <w:sz w:val="21"/>
                <w:szCs w:val="21"/>
              </w:rPr>
            </w:pPr>
            <w:permStart w:id="0" w:edGrp="everyone"/>
            <w:r>
              <w:rPr>
                <w:rFonts w:hint="eastAsia" w:ascii="宋体" w:hAnsi="宋体" w:cs="@仿宋_GB2312"/>
                <w:b/>
                <w:sz w:val="21"/>
                <w:szCs w:val="21"/>
              </w:rPr>
              <w:t>序号</w:t>
            </w:r>
          </w:p>
        </w:tc>
        <w:tc>
          <w:tcPr>
            <w:tcW w:w="1473" w:type="dxa"/>
            <w:noWrap w:val="0"/>
            <w:vAlign w:val="center"/>
          </w:tcPr>
          <w:p w14:paraId="239440F3">
            <w:pPr>
              <w:spacing w:line="360" w:lineRule="auto"/>
              <w:ind w:firstLine="435"/>
              <w:jc w:val="both"/>
              <w:rPr>
                <w:rFonts w:ascii="宋体" w:hAnsi="宋体" w:cs="@仿宋_GB2312"/>
                <w:b/>
                <w:sz w:val="21"/>
                <w:szCs w:val="21"/>
              </w:rPr>
            </w:pPr>
            <w:r>
              <w:rPr>
                <w:rFonts w:hint="eastAsia" w:ascii="宋体" w:hAnsi="宋体" w:cs="@仿宋_GB2312"/>
                <w:b/>
                <w:sz w:val="21"/>
                <w:szCs w:val="21"/>
              </w:rPr>
              <w:t>内容</w:t>
            </w:r>
          </w:p>
        </w:tc>
        <w:tc>
          <w:tcPr>
            <w:tcW w:w="7271" w:type="dxa"/>
            <w:noWrap w:val="0"/>
            <w:vAlign w:val="center"/>
          </w:tcPr>
          <w:p w14:paraId="229B5B61">
            <w:pPr>
              <w:spacing w:line="360" w:lineRule="auto"/>
              <w:jc w:val="center"/>
              <w:rPr>
                <w:rFonts w:ascii="宋体" w:hAnsi="宋体" w:cs="@仿宋_GB2312"/>
                <w:b/>
                <w:sz w:val="21"/>
                <w:szCs w:val="21"/>
              </w:rPr>
            </w:pPr>
            <w:r>
              <w:rPr>
                <w:rFonts w:hint="eastAsia" w:ascii="宋体" w:hAnsi="宋体" w:cs="@仿宋_GB2312"/>
                <w:b/>
                <w:sz w:val="21"/>
                <w:szCs w:val="21"/>
              </w:rPr>
              <w:t>说明和要求</w:t>
            </w:r>
          </w:p>
        </w:tc>
      </w:tr>
      <w:tr w14:paraId="7E9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0059D61B">
            <w:pPr>
              <w:spacing w:line="360" w:lineRule="auto"/>
              <w:jc w:val="center"/>
              <w:rPr>
                <w:rFonts w:ascii="宋体" w:hAnsi="宋体" w:cs="@仿宋_GB2312"/>
                <w:sz w:val="21"/>
                <w:szCs w:val="21"/>
              </w:rPr>
            </w:pPr>
            <w:r>
              <w:rPr>
                <w:rFonts w:hint="eastAsia" w:ascii="宋体" w:hAnsi="宋体" w:cs="@仿宋_GB2312"/>
                <w:sz w:val="21"/>
                <w:szCs w:val="21"/>
              </w:rPr>
              <w:t>1</w:t>
            </w:r>
          </w:p>
        </w:tc>
        <w:tc>
          <w:tcPr>
            <w:tcW w:w="1473" w:type="dxa"/>
            <w:noWrap w:val="0"/>
            <w:vAlign w:val="center"/>
          </w:tcPr>
          <w:p w14:paraId="3CDF518B">
            <w:pPr>
              <w:spacing w:line="360" w:lineRule="auto"/>
              <w:rPr>
                <w:rFonts w:ascii="宋体" w:hAnsi="宋体" w:cs="@仿宋_GB2312"/>
                <w:sz w:val="21"/>
                <w:szCs w:val="21"/>
              </w:rPr>
            </w:pPr>
            <w:r>
              <w:rPr>
                <w:rFonts w:hint="eastAsia" w:ascii="宋体" w:hAnsi="宋体" w:cs="@仿宋_GB2312"/>
                <w:sz w:val="21"/>
                <w:szCs w:val="21"/>
              </w:rPr>
              <w:t>人员到岗及履约要求</w:t>
            </w:r>
          </w:p>
        </w:tc>
        <w:tc>
          <w:tcPr>
            <w:tcW w:w="7271" w:type="dxa"/>
            <w:noWrap w:val="0"/>
            <w:vAlign w:val="center"/>
          </w:tcPr>
          <w:p w14:paraId="5A7D6223">
            <w:pPr>
              <w:spacing w:line="360" w:lineRule="auto"/>
              <w:rPr>
                <w:rFonts w:ascii="宋体" w:hAnsi="宋体" w:cs="@仿宋_GB2312"/>
                <w:sz w:val="21"/>
                <w:szCs w:val="21"/>
              </w:rPr>
            </w:pPr>
            <w:r>
              <w:rPr>
                <w:rFonts w:hint="eastAsia" w:ascii="宋体" w:hAnsi="宋体" w:cs="@仿宋_GB2312"/>
                <w:sz w:val="21"/>
                <w:szCs w:val="21"/>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12946891">
            <w:pPr>
              <w:spacing w:line="360" w:lineRule="auto"/>
              <w:rPr>
                <w:rFonts w:ascii="宋体" w:hAnsi="宋体" w:cs="@仿宋_GB2312"/>
                <w:sz w:val="21"/>
                <w:szCs w:val="21"/>
              </w:rPr>
            </w:pPr>
            <w:r>
              <w:rPr>
                <w:rFonts w:hint="eastAsia" w:ascii="宋体" w:hAnsi="宋体" w:cs="@仿宋_GB2312"/>
                <w:sz w:val="21"/>
                <w:szCs w:val="21"/>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2409DF55">
            <w:pPr>
              <w:spacing w:line="360" w:lineRule="auto"/>
              <w:rPr>
                <w:rFonts w:ascii="宋体" w:hAnsi="宋体" w:cs="@仿宋_GB2312"/>
                <w:sz w:val="21"/>
                <w:szCs w:val="21"/>
              </w:rPr>
            </w:pPr>
            <w:r>
              <w:rPr>
                <w:rFonts w:hint="eastAsia" w:ascii="宋体" w:hAnsi="宋体" w:cs="@仿宋_GB2312"/>
                <w:sz w:val="21"/>
                <w:szCs w:val="21"/>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0CE4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00EE41A2">
            <w:pPr>
              <w:spacing w:line="360" w:lineRule="auto"/>
              <w:jc w:val="center"/>
              <w:rPr>
                <w:rFonts w:ascii="宋体" w:hAnsi="宋体" w:cs="@仿宋_GB2312"/>
                <w:sz w:val="21"/>
                <w:szCs w:val="21"/>
              </w:rPr>
            </w:pPr>
            <w:r>
              <w:rPr>
                <w:rFonts w:hint="eastAsia" w:ascii="宋体" w:hAnsi="宋体" w:cs="@仿宋_GB2312"/>
                <w:sz w:val="21"/>
                <w:szCs w:val="21"/>
              </w:rPr>
              <w:t>2</w:t>
            </w:r>
          </w:p>
        </w:tc>
        <w:tc>
          <w:tcPr>
            <w:tcW w:w="1473" w:type="dxa"/>
            <w:noWrap w:val="0"/>
            <w:vAlign w:val="center"/>
          </w:tcPr>
          <w:p w14:paraId="7CB158A4">
            <w:pPr>
              <w:spacing w:line="360" w:lineRule="auto"/>
              <w:rPr>
                <w:rFonts w:ascii="宋体" w:hAnsi="宋体" w:cs="@仿宋_GB2312"/>
                <w:sz w:val="21"/>
                <w:szCs w:val="21"/>
              </w:rPr>
            </w:pPr>
            <w:r>
              <w:rPr>
                <w:rFonts w:hint="eastAsia" w:ascii="宋体" w:hAnsi="宋体" w:cs="@仿宋_GB2312"/>
                <w:sz w:val="21"/>
                <w:szCs w:val="21"/>
              </w:rPr>
              <w:t>材料要求</w:t>
            </w:r>
          </w:p>
        </w:tc>
        <w:tc>
          <w:tcPr>
            <w:tcW w:w="7271" w:type="dxa"/>
            <w:noWrap w:val="0"/>
            <w:vAlign w:val="center"/>
          </w:tcPr>
          <w:p w14:paraId="52417201">
            <w:pPr>
              <w:spacing w:line="360" w:lineRule="auto"/>
              <w:rPr>
                <w:rFonts w:ascii="宋体" w:hAnsi="宋体" w:cs="@仿宋_GB2312"/>
                <w:sz w:val="21"/>
                <w:szCs w:val="21"/>
              </w:rPr>
            </w:pPr>
            <w:r>
              <w:rPr>
                <w:rFonts w:hint="eastAsia" w:ascii="宋体" w:hAnsi="宋体" w:cs="@仿宋_GB2312"/>
                <w:sz w:val="21"/>
                <w:szCs w:val="21"/>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4F2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0A7A05CF">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3</w:t>
            </w:r>
          </w:p>
        </w:tc>
        <w:tc>
          <w:tcPr>
            <w:tcW w:w="1473" w:type="dxa"/>
            <w:noWrap w:val="0"/>
            <w:vAlign w:val="center"/>
          </w:tcPr>
          <w:p w14:paraId="75C8399A">
            <w:pPr>
              <w:spacing w:line="360" w:lineRule="auto"/>
              <w:rPr>
                <w:rFonts w:ascii="宋体" w:hAnsi="宋体" w:cs="@仿宋_GB2312"/>
                <w:sz w:val="21"/>
                <w:szCs w:val="21"/>
              </w:rPr>
            </w:pPr>
            <w:r>
              <w:rPr>
                <w:rFonts w:hint="eastAsia" w:ascii="宋体" w:hAnsi="宋体" w:cs="@仿宋_GB2312"/>
                <w:sz w:val="21"/>
                <w:szCs w:val="21"/>
              </w:rPr>
              <w:t>报价须知</w:t>
            </w:r>
          </w:p>
        </w:tc>
        <w:tc>
          <w:tcPr>
            <w:tcW w:w="7271" w:type="dxa"/>
            <w:noWrap w:val="0"/>
            <w:vAlign w:val="center"/>
          </w:tcPr>
          <w:p w14:paraId="1109302A">
            <w:pPr>
              <w:spacing w:line="360" w:lineRule="auto"/>
              <w:rPr>
                <w:rFonts w:ascii="宋体" w:hAnsi="宋体" w:cs="@仿宋_GB2312"/>
                <w:sz w:val="21"/>
                <w:szCs w:val="21"/>
              </w:rPr>
            </w:pPr>
            <w:r>
              <w:rPr>
                <w:rFonts w:ascii="宋体" w:hAnsi="宋体" w:cs="@仿宋_GB2312"/>
                <w:bCs/>
                <w:sz w:val="21"/>
                <w:szCs w:val="21"/>
              </w:rPr>
              <w:t>供应商最后报价均不得高于磋商文件（公告）列明的项目预算</w:t>
            </w:r>
            <w:r>
              <w:rPr>
                <w:rFonts w:hint="eastAsia" w:ascii="宋体" w:hAnsi="宋体" w:cs="@仿宋_GB2312"/>
                <w:bCs/>
                <w:sz w:val="21"/>
                <w:szCs w:val="21"/>
              </w:rPr>
              <w:t>、最高投标限价（控制价）</w:t>
            </w:r>
            <w:r>
              <w:rPr>
                <w:rFonts w:ascii="宋体" w:hAnsi="宋体" w:cs="@仿宋_GB2312"/>
                <w:bCs/>
                <w:sz w:val="21"/>
                <w:szCs w:val="21"/>
              </w:rPr>
              <w:t>，否则其响应文件将被认定为响应无效</w:t>
            </w:r>
            <w:r>
              <w:rPr>
                <w:rFonts w:hint="eastAsia" w:ascii="宋体" w:hAnsi="宋体" w:cs="@仿宋_GB2312"/>
                <w:sz w:val="21"/>
                <w:szCs w:val="21"/>
              </w:rPr>
              <w:t>。</w:t>
            </w:r>
          </w:p>
        </w:tc>
      </w:tr>
      <w:tr w14:paraId="6D7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5929F12E">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4</w:t>
            </w:r>
          </w:p>
        </w:tc>
        <w:tc>
          <w:tcPr>
            <w:tcW w:w="1473" w:type="dxa"/>
            <w:noWrap w:val="0"/>
            <w:vAlign w:val="center"/>
          </w:tcPr>
          <w:p w14:paraId="2A455EB5">
            <w:pPr>
              <w:spacing w:line="360" w:lineRule="auto"/>
              <w:rPr>
                <w:rFonts w:ascii="宋体" w:hAnsi="宋体" w:cs="@仿宋_GB2312"/>
                <w:color w:val="auto"/>
                <w:sz w:val="21"/>
                <w:szCs w:val="21"/>
              </w:rPr>
            </w:pPr>
            <w:r>
              <w:rPr>
                <w:rFonts w:hint="eastAsia" w:ascii="宋体" w:hAnsi="宋体" w:cs="@仿宋_GB2312"/>
                <w:color w:val="auto"/>
                <w:sz w:val="21"/>
                <w:szCs w:val="21"/>
              </w:rPr>
              <w:t>重要说明</w:t>
            </w:r>
          </w:p>
        </w:tc>
        <w:tc>
          <w:tcPr>
            <w:tcW w:w="7271" w:type="dxa"/>
            <w:noWrap w:val="0"/>
            <w:vAlign w:val="center"/>
          </w:tcPr>
          <w:p w14:paraId="172F6B50">
            <w:pPr>
              <w:spacing w:line="360" w:lineRule="auto"/>
              <w:rPr>
                <w:rFonts w:ascii="宋体" w:hAnsi="宋体" w:cs="@仿宋_GB2312"/>
                <w:color w:val="auto"/>
                <w:sz w:val="21"/>
                <w:szCs w:val="21"/>
              </w:rPr>
            </w:pPr>
            <w:r>
              <w:rPr>
                <w:rFonts w:hint="eastAsia" w:ascii="宋体" w:hAnsi="宋体" w:cs="@仿宋_GB2312"/>
                <w:color w:val="auto"/>
                <w:sz w:val="21"/>
                <w:szCs w:val="21"/>
              </w:rPr>
              <w:t>（1）本项目的磋商文件、工程量清单、最高投标限价（控制价）、澄清、修改、补充等相关资料均通过电子服务系统发布，请供应商自行从网上下载，供应商应当及时查看有无相关澄清、修改、补充等内容。</w:t>
            </w:r>
          </w:p>
          <w:p w14:paraId="4BC0426E">
            <w:pPr>
              <w:spacing w:line="360" w:lineRule="auto"/>
              <w:rPr>
                <w:rFonts w:ascii="宋体" w:hAnsi="宋体" w:cs="@仿宋_GB2312"/>
                <w:color w:val="auto"/>
                <w:sz w:val="21"/>
                <w:szCs w:val="21"/>
              </w:rPr>
            </w:pPr>
            <w:r>
              <w:rPr>
                <w:rFonts w:hint="eastAsia" w:ascii="宋体" w:hAnsi="宋体" w:cs="@仿宋_GB2312"/>
                <w:color w:val="auto"/>
                <w:sz w:val="21"/>
                <w:szCs w:val="21"/>
              </w:rPr>
              <w:t>（2）在工程项目磋商过程中，供应商最后报价与公布的最高投标限价（控制价）或项目概算相比降幅过小，或供应商最后报价明显缺乏竞争性的，磋商小组可以否决其报价。</w:t>
            </w:r>
          </w:p>
          <w:p w14:paraId="530EDEF7">
            <w:pPr>
              <w:spacing w:line="360" w:lineRule="auto"/>
              <w:rPr>
                <w:rFonts w:ascii="宋体" w:hAnsi="宋体" w:cs="@仿宋_GB2312"/>
                <w:color w:val="auto"/>
                <w:sz w:val="21"/>
                <w:szCs w:val="21"/>
              </w:rPr>
            </w:pPr>
            <w:r>
              <w:rPr>
                <w:rFonts w:hint="eastAsia" w:ascii="宋体" w:hAnsi="宋体" w:cs="@仿宋_GB2312"/>
                <w:color w:val="auto"/>
                <w:sz w:val="21"/>
                <w:szCs w:val="21"/>
              </w:rPr>
              <w:t>（3）外地建安企业磋商并成交后必须在项目所在地交纳相关税费。</w:t>
            </w:r>
          </w:p>
          <w:p w14:paraId="47540C0F">
            <w:pPr>
              <w:spacing w:line="360" w:lineRule="auto"/>
              <w:rPr>
                <w:rFonts w:hint="eastAsia" w:ascii="宋体" w:hAnsi="宋体" w:cs="@仿宋_GB2312"/>
                <w:color w:val="auto"/>
                <w:sz w:val="21"/>
                <w:szCs w:val="21"/>
              </w:rPr>
            </w:pPr>
            <w:r>
              <w:rPr>
                <w:rFonts w:hint="eastAsia" w:ascii="宋体" w:hAnsi="宋体" w:cs="@仿宋_GB2312"/>
                <w:color w:val="auto"/>
                <w:sz w:val="21"/>
                <w:szCs w:val="21"/>
              </w:rPr>
              <w:t>（4）承包人在工程实施过程中用工行为，必须严格执行国家及地方政府的有关规定，依法签订劳动合同，并按规定及时足额支付工资。</w:t>
            </w:r>
          </w:p>
        </w:tc>
      </w:tr>
      <w:tr w14:paraId="2F41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1C494B5B">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5</w:t>
            </w:r>
          </w:p>
        </w:tc>
        <w:tc>
          <w:tcPr>
            <w:tcW w:w="1473" w:type="dxa"/>
            <w:noWrap w:val="0"/>
            <w:vAlign w:val="center"/>
          </w:tcPr>
          <w:p w14:paraId="7EB00D3A">
            <w:pPr>
              <w:spacing w:line="360" w:lineRule="auto"/>
              <w:jc w:val="center"/>
              <w:rPr>
                <w:rFonts w:ascii="宋体" w:hAnsi="宋体" w:cs="@仿宋_GB2312"/>
                <w:color w:val="auto"/>
                <w:sz w:val="21"/>
                <w:szCs w:val="21"/>
              </w:rPr>
            </w:pPr>
            <w:r>
              <w:rPr>
                <w:rFonts w:hint="eastAsia" w:ascii="宋体" w:hAnsi="宋体" w:cs="@仿宋_GB2312"/>
                <w:color w:val="auto"/>
                <w:sz w:val="21"/>
                <w:szCs w:val="21"/>
              </w:rPr>
              <w:t>项目经理</w:t>
            </w:r>
          </w:p>
        </w:tc>
        <w:tc>
          <w:tcPr>
            <w:tcW w:w="7271" w:type="dxa"/>
            <w:noWrap w:val="0"/>
            <w:vAlign w:val="center"/>
          </w:tcPr>
          <w:p w14:paraId="05364B2A">
            <w:pPr>
              <w:numPr>
                <w:ilvl w:val="0"/>
                <w:numId w:val="0"/>
              </w:numPr>
              <w:spacing w:line="360" w:lineRule="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（1）</w:t>
            </w:r>
            <w:r>
              <w:rPr>
                <w:rFonts w:hint="default" w:ascii="宋体" w:hAnsi="宋体" w:cs="@仿宋_GB2312"/>
                <w:color w:val="auto"/>
                <w:sz w:val="21"/>
                <w:szCs w:val="21"/>
                <w:lang w:val="en-US" w:eastAsia="zh-CN"/>
              </w:rPr>
              <w:t>国家建设行政主管部门颁发的建筑工程专业二级及以上注册建造师资格；</w:t>
            </w:r>
          </w:p>
          <w:p w14:paraId="1FDE1296">
            <w:pPr>
              <w:numPr>
                <w:ilvl w:val="0"/>
                <w:numId w:val="0"/>
              </w:numPr>
              <w:spacing w:line="360" w:lineRule="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（2）</w:t>
            </w:r>
            <w:r>
              <w:rPr>
                <w:rFonts w:hint="default" w:ascii="宋体" w:hAnsi="宋体" w:cs="@仿宋_GB2312"/>
                <w:color w:val="auto"/>
                <w:sz w:val="21"/>
                <w:szCs w:val="21"/>
                <w:lang w:val="en-US" w:eastAsia="zh-CN"/>
              </w:rPr>
              <w:t>有效的安全生产考核合格证（B 类）；</w:t>
            </w:r>
          </w:p>
          <w:p w14:paraId="1D86115F">
            <w:pPr>
              <w:numPr>
                <w:ilvl w:val="0"/>
                <w:numId w:val="0"/>
              </w:numPr>
              <w:spacing w:line="360" w:lineRule="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（3）</w:t>
            </w:r>
            <w:r>
              <w:rPr>
                <w:rFonts w:hint="default" w:ascii="宋体" w:hAnsi="宋体" w:cs="@仿宋_GB2312"/>
                <w:color w:val="auto"/>
                <w:sz w:val="21"/>
                <w:szCs w:val="21"/>
                <w:lang w:val="en-US" w:eastAsia="zh-CN"/>
              </w:rPr>
              <w:t>目前未在其他项目上任职或虽在其他项目上任职但本项目成交后能够从该项目撤离（提供书面承诺，详见响应文件格式）。</w:t>
            </w:r>
          </w:p>
          <w:p w14:paraId="35225653">
            <w:pPr>
              <w:spacing w:line="360" w:lineRule="auto"/>
              <w:rPr>
                <w:rFonts w:hint="default" w:ascii="宋体" w:hAnsi="宋体" w:cs="@仿宋_GB2312"/>
                <w:color w:val="auto"/>
                <w:sz w:val="21"/>
                <w:szCs w:val="21"/>
                <w:lang w:val="en-US" w:eastAsia="zh-CN"/>
              </w:rPr>
            </w:pPr>
            <w:r>
              <w:rPr>
                <w:rFonts w:hint="default" w:ascii="宋体" w:hAnsi="宋体" w:cs="@仿宋_GB2312"/>
                <w:color w:val="auto"/>
                <w:sz w:val="21"/>
                <w:szCs w:val="21"/>
                <w:lang w:val="en-US" w:eastAsia="zh-CN"/>
              </w:rPr>
              <w:t>注：①提供证书扫描件；</w:t>
            </w:r>
          </w:p>
          <w:p w14:paraId="7926AB00">
            <w:pPr>
              <w:spacing w:line="360" w:lineRule="auto"/>
              <w:rPr>
                <w:rFonts w:hint="default" w:ascii="宋体" w:hAnsi="宋体" w:cs="@仿宋_GB2312"/>
                <w:color w:val="auto"/>
                <w:sz w:val="21"/>
                <w:szCs w:val="21"/>
                <w:lang w:val="en-US" w:eastAsia="zh-CN"/>
              </w:rPr>
            </w:pPr>
            <w:r>
              <w:rPr>
                <w:rFonts w:hint="default" w:ascii="宋体" w:hAnsi="宋体" w:cs="@仿宋_GB2312"/>
                <w:color w:val="auto"/>
                <w:sz w:val="21"/>
                <w:szCs w:val="21"/>
                <w:lang w:val="en-US" w:eastAsia="zh-CN"/>
              </w:rPr>
              <w:t>②同时提供2024年1</w:t>
            </w:r>
            <w:r>
              <w:rPr>
                <w:rFonts w:hint="eastAsia" w:ascii="宋体" w:hAnsi="宋体" w:cs="@仿宋_GB2312"/>
                <w:color w:val="auto"/>
                <w:sz w:val="21"/>
                <w:szCs w:val="21"/>
                <w:lang w:val="en-US" w:eastAsia="zh-CN"/>
              </w:rPr>
              <w:t>2</w:t>
            </w:r>
            <w:r>
              <w:rPr>
                <w:rFonts w:hint="default" w:ascii="宋体" w:hAnsi="宋体" w:cs="@仿宋_GB2312"/>
                <w:color w:val="auto"/>
                <w:sz w:val="21"/>
                <w:szCs w:val="21"/>
                <w:lang w:val="en-US" w:eastAsia="zh-CN"/>
              </w:rPr>
              <w:t>月-202</w:t>
            </w:r>
            <w:r>
              <w:rPr>
                <w:rFonts w:hint="eastAsia" w:ascii="宋体" w:hAnsi="宋体" w:cs="@仿宋_GB2312"/>
                <w:color w:val="auto"/>
                <w:sz w:val="21"/>
                <w:szCs w:val="21"/>
                <w:lang w:val="en-US" w:eastAsia="zh-CN"/>
              </w:rPr>
              <w:t>5</w:t>
            </w:r>
            <w:r>
              <w:rPr>
                <w:rFonts w:hint="default" w:ascii="宋体" w:hAnsi="宋体" w:cs="@仿宋_GB2312"/>
                <w:color w:val="auto"/>
                <w:sz w:val="21"/>
                <w:szCs w:val="21"/>
                <w:lang w:val="en-US" w:eastAsia="zh-CN"/>
              </w:rPr>
              <w:t>年</w:t>
            </w:r>
            <w:r>
              <w:rPr>
                <w:rFonts w:hint="eastAsia" w:ascii="宋体" w:hAnsi="宋体" w:cs="@仿宋_GB2312"/>
                <w:color w:val="auto"/>
                <w:sz w:val="21"/>
                <w:szCs w:val="21"/>
                <w:lang w:val="en-US" w:eastAsia="zh-CN"/>
              </w:rPr>
              <w:t>5</w:t>
            </w:r>
            <w:r>
              <w:rPr>
                <w:rFonts w:hint="default" w:ascii="宋体" w:hAnsi="宋体" w:cs="@仿宋_GB2312"/>
                <w:color w:val="auto"/>
                <w:sz w:val="21"/>
                <w:szCs w:val="21"/>
                <w:lang w:val="en-US" w:eastAsia="zh-CN"/>
              </w:rPr>
              <w:t>月，供应商为拟派项目经理缴纳的任意1个月的社保（任意五险之一）证明材料，否则不予认可。</w:t>
            </w:r>
          </w:p>
        </w:tc>
      </w:tr>
      <w:tr w14:paraId="695F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3150F9E8">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6</w:t>
            </w:r>
          </w:p>
        </w:tc>
        <w:tc>
          <w:tcPr>
            <w:tcW w:w="1473" w:type="dxa"/>
            <w:noWrap w:val="0"/>
            <w:vAlign w:val="center"/>
          </w:tcPr>
          <w:p w14:paraId="57B27564">
            <w:pPr>
              <w:spacing w:line="360" w:lineRule="auto"/>
              <w:jc w:val="center"/>
              <w:rPr>
                <w:rFonts w:ascii="宋体" w:hAnsi="宋体" w:cs="@仿宋_GB2312"/>
                <w:bCs/>
                <w:sz w:val="21"/>
                <w:szCs w:val="21"/>
              </w:rPr>
            </w:pPr>
            <w:r>
              <w:rPr>
                <w:rFonts w:hint="eastAsia" w:ascii="宋体" w:hAnsi="宋体" w:cs="@仿宋_GB2312"/>
                <w:bCs/>
                <w:sz w:val="21"/>
                <w:szCs w:val="21"/>
              </w:rPr>
              <w:t>工程量清单、图纸</w:t>
            </w:r>
          </w:p>
        </w:tc>
        <w:tc>
          <w:tcPr>
            <w:tcW w:w="7271" w:type="dxa"/>
            <w:noWrap w:val="0"/>
            <w:vAlign w:val="center"/>
          </w:tcPr>
          <w:p w14:paraId="1FAB101F">
            <w:pPr>
              <w:spacing w:line="360" w:lineRule="auto"/>
              <w:jc w:val="both"/>
              <w:rPr>
                <w:rFonts w:hint="default" w:ascii="宋体" w:hAnsi="宋体" w:eastAsia="宋体" w:cs="@仿宋_GB2312"/>
                <w:b/>
                <w:bCs/>
                <w:sz w:val="21"/>
                <w:szCs w:val="21"/>
                <w:lang w:val="en-US" w:eastAsia="zh-CN"/>
              </w:rPr>
            </w:pPr>
            <w:r>
              <w:rPr>
                <w:rFonts w:hint="eastAsia" w:ascii="宋体" w:hAnsi="宋体" w:cs="@仿宋_GB2312"/>
                <w:b w:val="0"/>
                <w:bCs w:val="0"/>
                <w:sz w:val="21"/>
                <w:szCs w:val="21"/>
                <w:lang w:val="en-US" w:eastAsia="zh-CN"/>
              </w:rPr>
              <w:t>详见附件</w:t>
            </w:r>
          </w:p>
        </w:tc>
      </w:tr>
      <w:tr w14:paraId="73DA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11481F85">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7</w:t>
            </w:r>
          </w:p>
        </w:tc>
        <w:tc>
          <w:tcPr>
            <w:tcW w:w="1473" w:type="dxa"/>
            <w:noWrap w:val="0"/>
            <w:vAlign w:val="center"/>
          </w:tcPr>
          <w:p w14:paraId="230518FB">
            <w:pPr>
              <w:spacing w:line="360" w:lineRule="auto"/>
              <w:jc w:val="center"/>
              <w:rPr>
                <w:rFonts w:hint="default" w:ascii="宋体" w:hAnsi="宋体" w:eastAsia="宋体" w:cs="@仿宋_GB2312"/>
                <w:bCs/>
                <w:sz w:val="21"/>
                <w:szCs w:val="21"/>
                <w:lang w:val="en-US" w:eastAsia="zh-CN"/>
              </w:rPr>
            </w:pPr>
            <w:r>
              <w:rPr>
                <w:rFonts w:hint="eastAsia" w:ascii="宋体" w:hAnsi="宋体" w:cs="@仿宋_GB2312"/>
                <w:bCs/>
                <w:sz w:val="21"/>
                <w:szCs w:val="21"/>
                <w:lang w:val="en-US" w:eastAsia="zh-CN"/>
              </w:rPr>
              <w:t>本项目采购标的</w:t>
            </w:r>
          </w:p>
        </w:tc>
        <w:tc>
          <w:tcPr>
            <w:tcW w:w="7271" w:type="dxa"/>
            <w:noWrap w:val="0"/>
            <w:vAlign w:val="center"/>
          </w:tcPr>
          <w:p w14:paraId="5DC93BAC">
            <w:pPr>
              <w:spacing w:line="360" w:lineRule="auto"/>
              <w:jc w:val="left"/>
              <w:rPr>
                <w:rFonts w:hint="eastAsia" w:ascii="宋体" w:hAnsi="宋体" w:cs="@仿宋_GB2312"/>
                <w:b w:val="0"/>
                <w:bCs w:val="0"/>
                <w:color w:val="auto"/>
                <w:sz w:val="21"/>
                <w:szCs w:val="21"/>
                <w:lang w:val="en-US" w:eastAsia="zh-CN"/>
              </w:rPr>
            </w:pPr>
            <w:r>
              <w:rPr>
                <w:rFonts w:hint="eastAsia" w:ascii="宋体" w:hAnsi="宋体" w:cs="@仿宋_GB2312"/>
                <w:b w:val="0"/>
                <w:bCs w:val="0"/>
                <w:color w:val="auto"/>
                <w:sz w:val="21"/>
                <w:szCs w:val="21"/>
                <w:lang w:val="en-US" w:eastAsia="zh-CN"/>
              </w:rPr>
              <w:t>宿舍粉刷及维修与改造</w:t>
            </w:r>
          </w:p>
          <w:p w14:paraId="60BBF693">
            <w:pPr>
              <w:spacing w:line="360" w:lineRule="auto"/>
              <w:jc w:val="left"/>
              <w:rPr>
                <w:rFonts w:ascii="宋体" w:hAnsi="宋体" w:cs="@仿宋_GB2312"/>
                <w:b/>
                <w:bCs/>
                <w:color w:val="auto"/>
                <w:sz w:val="21"/>
                <w:szCs w:val="21"/>
              </w:rPr>
            </w:pPr>
            <w:r>
              <w:rPr>
                <w:rFonts w:hint="eastAsia" w:ascii="宋体" w:hAnsi="宋体" w:cs="@仿宋_GB2312"/>
                <w:b w:val="0"/>
                <w:bCs w:val="0"/>
                <w:color w:val="auto"/>
                <w:sz w:val="21"/>
                <w:szCs w:val="21"/>
                <w:lang w:val="en-US" w:eastAsia="zh-CN"/>
              </w:rPr>
              <w:t>主要内容：包含宿舍楼所有公共区域粉刷、部分房间墙面顶面粉刷、宿舍楼卫生间局部维修改造（如局部拆除、下水管道更换、小便器安装等）。</w:t>
            </w:r>
          </w:p>
        </w:tc>
      </w:tr>
      <w:tr w14:paraId="403C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19F15A4C">
            <w:pPr>
              <w:spacing w:line="360" w:lineRule="auto"/>
              <w:jc w:val="center"/>
              <w:rPr>
                <w:rFonts w:hint="eastAsia" w:ascii="宋体" w:hAnsi="宋体" w:eastAsia="宋体" w:cs="@仿宋_GB2312"/>
                <w:sz w:val="21"/>
                <w:szCs w:val="21"/>
                <w:lang w:eastAsia="zh-CN"/>
              </w:rPr>
            </w:pPr>
            <w:r>
              <w:rPr>
                <w:rFonts w:hint="eastAsia" w:ascii="宋体" w:hAnsi="宋体" w:cs="@仿宋_GB2312"/>
                <w:sz w:val="21"/>
                <w:szCs w:val="21"/>
                <w:lang w:val="en-US" w:eastAsia="zh-CN"/>
              </w:rPr>
              <w:t>8</w:t>
            </w:r>
          </w:p>
        </w:tc>
        <w:tc>
          <w:tcPr>
            <w:tcW w:w="1473" w:type="dxa"/>
            <w:noWrap w:val="0"/>
            <w:vAlign w:val="center"/>
          </w:tcPr>
          <w:p w14:paraId="18CAAF35">
            <w:pPr>
              <w:spacing w:line="360" w:lineRule="auto"/>
              <w:jc w:val="center"/>
              <w:rPr>
                <w:rFonts w:ascii="宋体" w:hAnsi="宋体" w:cs="@仿宋_GB2312"/>
                <w:bCs/>
                <w:kern w:val="2"/>
                <w:sz w:val="21"/>
                <w:szCs w:val="21"/>
                <w:lang w:val="en-US" w:eastAsia="zh-CN" w:bidi="ar-SA"/>
              </w:rPr>
            </w:pPr>
            <w:r>
              <w:rPr>
                <w:rFonts w:hint="eastAsia" w:ascii="宋体" w:hAnsi="宋体" w:cs="@仿宋_GB2312"/>
                <w:bCs/>
                <w:sz w:val="21"/>
                <w:szCs w:val="21"/>
              </w:rPr>
              <w:t>本项目采购标的所属行业</w:t>
            </w:r>
          </w:p>
        </w:tc>
        <w:tc>
          <w:tcPr>
            <w:tcW w:w="7271" w:type="dxa"/>
            <w:noWrap w:val="0"/>
            <w:vAlign w:val="center"/>
          </w:tcPr>
          <w:p w14:paraId="01B99B0C">
            <w:pPr>
              <w:spacing w:line="360" w:lineRule="auto"/>
              <w:rPr>
                <w:rFonts w:hint="eastAsia"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建筑业</w:t>
            </w:r>
          </w:p>
        </w:tc>
      </w:tr>
      <w:tr w14:paraId="06FA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7F17E324">
            <w:pPr>
              <w:spacing w:line="360" w:lineRule="auto"/>
              <w:jc w:val="center"/>
              <w:rPr>
                <w:rFonts w:hint="default" w:ascii="宋体" w:hAnsi="宋体" w:eastAsia="宋体" w:cs="@仿宋_GB2312"/>
                <w:sz w:val="21"/>
                <w:szCs w:val="21"/>
                <w:lang w:val="en-US" w:eastAsia="zh-CN"/>
              </w:rPr>
            </w:pPr>
            <w:r>
              <w:rPr>
                <w:rFonts w:hint="eastAsia" w:ascii="宋体" w:hAnsi="宋体" w:cs="@仿宋_GB2312"/>
                <w:sz w:val="21"/>
                <w:szCs w:val="21"/>
                <w:lang w:val="en-US" w:eastAsia="zh-CN"/>
              </w:rPr>
              <w:t>9</w:t>
            </w:r>
          </w:p>
        </w:tc>
        <w:tc>
          <w:tcPr>
            <w:tcW w:w="1473" w:type="dxa"/>
            <w:noWrap w:val="0"/>
            <w:vAlign w:val="center"/>
          </w:tcPr>
          <w:p w14:paraId="574E5D57">
            <w:pPr>
              <w:spacing w:line="360" w:lineRule="auto"/>
              <w:rPr>
                <w:rFonts w:hint="default" w:ascii="宋体" w:hAnsi="宋体" w:cs="@仿宋_GB2312"/>
                <w:kern w:val="2"/>
                <w:sz w:val="21"/>
                <w:szCs w:val="21"/>
                <w:lang w:val="en-US" w:eastAsia="zh-CN" w:bidi="ar-SA"/>
              </w:rPr>
            </w:pPr>
            <w:r>
              <w:rPr>
                <w:rFonts w:hint="eastAsia" w:ascii="宋体" w:hAnsi="宋体" w:cs="@仿宋_GB2312"/>
                <w:kern w:val="2"/>
                <w:sz w:val="21"/>
                <w:szCs w:val="21"/>
                <w:lang w:val="en-US" w:eastAsia="zh-CN" w:bidi="ar-SA"/>
              </w:rPr>
              <w:t>质量保修期</w:t>
            </w:r>
          </w:p>
        </w:tc>
        <w:tc>
          <w:tcPr>
            <w:tcW w:w="7271" w:type="dxa"/>
            <w:noWrap w:val="0"/>
            <w:vAlign w:val="center"/>
          </w:tcPr>
          <w:p w14:paraId="2A73C80A">
            <w:pPr>
              <w:spacing w:line="360" w:lineRule="auto"/>
              <w:jc w:val="left"/>
              <w:rPr>
                <w:rFonts w:hint="default" w:ascii="宋体" w:hAnsi="宋体" w:eastAsia="宋体" w:cs="@仿宋_GB2312"/>
                <w:bCs/>
                <w:color w:val="auto"/>
                <w:kern w:val="2"/>
                <w:sz w:val="21"/>
                <w:szCs w:val="21"/>
                <w:lang w:val="en-US" w:eastAsia="zh-CN" w:bidi="ar-SA"/>
              </w:rPr>
            </w:pPr>
            <w:r>
              <w:rPr>
                <w:rFonts w:hint="eastAsia"/>
                <w:color w:val="auto"/>
                <w:sz w:val="21"/>
                <w:szCs w:val="21"/>
                <w:lang w:val="en-US" w:eastAsia="zh-CN"/>
              </w:rPr>
              <w:t>本项目质量保修期24个月。符合《建设工程质量管理条例》及有关规定。</w:t>
            </w:r>
          </w:p>
        </w:tc>
      </w:tr>
      <w:tr w14:paraId="7071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25A97E66">
            <w:pPr>
              <w:spacing w:line="360" w:lineRule="auto"/>
              <w:jc w:val="center"/>
              <w:rPr>
                <w:rFonts w:hint="default" w:ascii="宋体" w:hAnsi="宋体" w:cs="@仿宋_GB2312"/>
                <w:sz w:val="21"/>
                <w:szCs w:val="21"/>
                <w:lang w:val="en-US" w:eastAsia="zh-CN"/>
              </w:rPr>
            </w:pPr>
            <w:r>
              <w:rPr>
                <w:rFonts w:hint="eastAsia" w:ascii="宋体" w:hAnsi="宋体" w:cs="@仿宋_GB2312"/>
                <w:sz w:val="21"/>
                <w:szCs w:val="21"/>
                <w:lang w:val="en-US" w:eastAsia="zh-CN"/>
              </w:rPr>
              <w:t>10</w:t>
            </w:r>
          </w:p>
        </w:tc>
        <w:tc>
          <w:tcPr>
            <w:tcW w:w="1473" w:type="dxa"/>
            <w:noWrap w:val="0"/>
            <w:vAlign w:val="center"/>
          </w:tcPr>
          <w:p w14:paraId="13183D23">
            <w:pPr>
              <w:spacing w:line="360" w:lineRule="auto"/>
              <w:ind w:firstLine="210" w:firstLineChars="100"/>
              <w:rPr>
                <w:rFonts w:hint="default" w:ascii="宋体" w:hAnsi="宋体" w:eastAsia="宋体" w:cs="@仿宋_GB2312"/>
                <w:sz w:val="21"/>
                <w:szCs w:val="21"/>
                <w:lang w:val="en-US" w:eastAsia="zh-CN"/>
              </w:rPr>
            </w:pPr>
            <w:r>
              <w:rPr>
                <w:rFonts w:hint="eastAsia" w:ascii="宋体" w:hAnsi="宋体" w:cs="@仿宋_GB2312"/>
                <w:sz w:val="21"/>
                <w:szCs w:val="21"/>
                <w:lang w:val="en-US" w:eastAsia="zh-CN"/>
              </w:rPr>
              <w:t>现场踏勘</w:t>
            </w:r>
          </w:p>
        </w:tc>
        <w:tc>
          <w:tcPr>
            <w:tcW w:w="7271" w:type="dxa"/>
            <w:noWrap w:val="0"/>
            <w:vAlign w:val="center"/>
          </w:tcPr>
          <w:p w14:paraId="2F956F94">
            <w:pPr>
              <w:spacing w:line="360" w:lineRule="auto"/>
              <w:jc w:val="left"/>
              <w:rPr>
                <w:rFonts w:hint="eastAsia"/>
                <w:color w:val="auto"/>
                <w:sz w:val="21"/>
                <w:szCs w:val="21"/>
                <w:lang w:val="en-US" w:eastAsia="zh-CN"/>
              </w:rPr>
            </w:pPr>
            <w:r>
              <w:rPr>
                <w:rFonts w:hint="eastAsia"/>
                <w:color w:val="auto"/>
                <w:sz w:val="21"/>
                <w:szCs w:val="21"/>
                <w:lang w:val="en-US" w:eastAsia="zh-CN"/>
              </w:rPr>
              <w:t>本项目不组织统一踏勘，建议供应商自行前往踏勘。</w:t>
            </w:r>
          </w:p>
          <w:p w14:paraId="29388172">
            <w:pPr>
              <w:spacing w:line="360" w:lineRule="auto"/>
              <w:jc w:val="left"/>
              <w:rPr>
                <w:rFonts w:hint="default"/>
                <w:color w:val="auto"/>
                <w:sz w:val="21"/>
                <w:szCs w:val="21"/>
                <w:lang w:val="en-US" w:eastAsia="zh-CN"/>
              </w:rPr>
            </w:pPr>
            <w:r>
              <w:rPr>
                <w:rFonts w:hint="default" w:ascii="Times New Roman" w:hAnsi="Times New Roman" w:eastAsia="宋体" w:cs="Times New Roman"/>
                <w:bCs/>
                <w:color w:val="auto"/>
                <w:sz w:val="21"/>
                <w:szCs w:val="21"/>
                <w:highlight w:val="none"/>
                <w:lang w:val="en-US" w:eastAsia="zh-CN"/>
              </w:rPr>
              <w:t>注：供应商因未参加现场踏勘导致对项目实际情况不了解而影响响应文件编制、报价等不良后果由供应商自行承担，采购人不对供应商踏勘作出的判断和决策负责。</w:t>
            </w:r>
          </w:p>
        </w:tc>
      </w:tr>
      <w:tr w14:paraId="3749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center"/>
          </w:tcPr>
          <w:p w14:paraId="306F4F92">
            <w:pPr>
              <w:spacing w:line="360" w:lineRule="auto"/>
              <w:jc w:val="center"/>
              <w:rPr>
                <w:rFonts w:hint="default" w:ascii="宋体" w:hAnsi="宋体" w:cs="@仿宋_GB2312"/>
                <w:sz w:val="21"/>
                <w:szCs w:val="21"/>
                <w:lang w:val="en-US" w:eastAsia="zh-CN"/>
              </w:rPr>
            </w:pPr>
            <w:r>
              <w:rPr>
                <w:rFonts w:hint="eastAsia" w:ascii="宋体" w:hAnsi="宋体" w:cs="@仿宋_GB2312"/>
                <w:sz w:val="21"/>
                <w:szCs w:val="21"/>
                <w:lang w:val="en-US" w:eastAsia="zh-CN"/>
              </w:rPr>
              <w:t>11</w:t>
            </w:r>
          </w:p>
        </w:tc>
        <w:tc>
          <w:tcPr>
            <w:tcW w:w="1473" w:type="dxa"/>
            <w:noWrap w:val="0"/>
            <w:vAlign w:val="center"/>
          </w:tcPr>
          <w:p w14:paraId="7104915E">
            <w:pPr>
              <w:spacing w:line="360" w:lineRule="auto"/>
              <w:jc w:val="center"/>
              <w:rPr>
                <w:rFonts w:hint="default" w:ascii="宋体" w:hAnsi="宋体" w:cs="@仿宋_GB2312"/>
                <w:sz w:val="21"/>
                <w:szCs w:val="21"/>
                <w:lang w:val="en-US" w:eastAsia="zh-CN"/>
              </w:rPr>
            </w:pPr>
            <w:r>
              <w:rPr>
                <w:rFonts w:hint="eastAsia" w:ascii="宋体" w:hAnsi="宋体" w:cs="@仿宋_GB2312"/>
                <w:sz w:val="21"/>
                <w:szCs w:val="21"/>
                <w:lang w:val="en-US" w:eastAsia="zh-CN"/>
              </w:rPr>
              <w:t>其他</w:t>
            </w:r>
          </w:p>
        </w:tc>
        <w:tc>
          <w:tcPr>
            <w:tcW w:w="7271" w:type="dxa"/>
            <w:noWrap w:val="0"/>
            <w:vAlign w:val="center"/>
          </w:tcPr>
          <w:p w14:paraId="374E5277">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本项目施工所需的水、电的接入点由供应商自行踏勘现场并充分考虑确定，供应商报价时须充分考虑此部分费用及风险并含在报价中。供应商成交后，采购人不再为此承担任何费用及责任。供应商在开工前将水、电接至施工场地范围内，场内临时管线及装表等其它工作费用也由供应商自行承担。施工范围内发生的一切生产与生活用途的水费、电费按工程结算审计造价的7‰从工程款项中直接扣除。</w:t>
            </w:r>
          </w:p>
          <w:p w14:paraId="1D945CE7">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2、本项目施工期间，学校内各项交叉施工较多。供应商应充分考虑各项施工风险（包括雨季施工及工期要求），合理安排各项资源。</w:t>
            </w:r>
          </w:p>
          <w:p w14:paraId="46E8163B">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3、施工过程中做好现有房间内及过道成品保护工作，并确保施工完成后场地干净整洁，如造成污染且无法清理需进行赔偿。</w:t>
            </w:r>
          </w:p>
          <w:p w14:paraId="60126C4C">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4、施工产生的建筑垃圾及时清运出校园，严禁随意堆放及长时间堆放。</w:t>
            </w:r>
          </w:p>
          <w:p w14:paraId="5162EE02">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5、所有施工人员要做到文明施工，包括不随地乱扔杂物、烟蒂等。车辆要按照学校指定的地方有序的停放或摆放。</w:t>
            </w:r>
          </w:p>
          <w:p w14:paraId="276C5475">
            <w:pPr>
              <w:spacing w:line="360" w:lineRule="auto"/>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6、在校园内施工的单位、人员必须执行学校的有关安全管理规章制度，服从学校的安全管理。</w:t>
            </w:r>
          </w:p>
        </w:tc>
      </w:tr>
      <w:permEnd w:id="0"/>
    </w:tbl>
    <w:p w14:paraId="720072BC">
      <w:pPr>
        <w:spacing w:line="360" w:lineRule="auto"/>
        <w:ind w:firstLine="480" w:firstLineChars="200"/>
        <w:rPr>
          <w:rFonts w:ascii="等线" w:hAnsi="等线" w:eastAsia="等线"/>
          <w:sz w:val="24"/>
        </w:rPr>
        <w:sectPr>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p>
    <w:p w14:paraId="2D5F164A">
      <w:pPr>
        <w:pStyle w:val="2"/>
        <w:widowControl/>
        <w:snapToGrid w:val="0"/>
        <w:spacing w:before="0" w:after="0" w:line="360" w:lineRule="auto"/>
        <w:jc w:val="center"/>
        <w:rPr>
          <w:rFonts w:hint="eastAsia" w:ascii="宋体" w:hAnsi="宋体" w:eastAsia="仿宋"/>
          <w:sz w:val="21"/>
          <w:szCs w:val="21"/>
          <w:lang w:eastAsia="zh-CN"/>
        </w:rPr>
      </w:pPr>
      <w:r>
        <w:rPr>
          <w:rFonts w:hint="eastAsia" w:ascii="宋体" w:hAnsi="宋体" w:eastAsia="仿宋"/>
          <w:sz w:val="21"/>
          <w:szCs w:val="21"/>
          <w:lang w:val="en-US" w:eastAsia="zh-CN"/>
        </w:rPr>
        <w:t>具体点位</w:t>
      </w:r>
      <w:r>
        <w:rPr>
          <w:rFonts w:hint="eastAsia" w:ascii="宋体" w:hAnsi="宋体" w:eastAsia="仿宋"/>
          <w:sz w:val="21"/>
          <w:szCs w:val="21"/>
          <w:lang w:eastAsia="zh-CN"/>
        </w:rPr>
        <w:t>（</w:t>
      </w:r>
      <w:r>
        <w:rPr>
          <w:rFonts w:hint="default" w:ascii="宋体" w:hAnsi="宋体" w:eastAsia="仿宋"/>
          <w:sz w:val="21"/>
          <w:szCs w:val="21"/>
          <w:lang w:val="en-US" w:eastAsia="zh-CN"/>
        </w:rPr>
        <w:t>宿舍粉刷及维修与改造</w:t>
      </w:r>
      <w:r>
        <w:rPr>
          <w:rFonts w:hint="eastAsia" w:ascii="宋体" w:hAnsi="宋体" w:eastAsia="仿宋"/>
          <w:sz w:val="21"/>
          <w:szCs w:val="21"/>
          <w:lang w:val="en-US" w:eastAsia="zh-CN"/>
        </w:rPr>
        <w:t>）</w:t>
      </w:r>
    </w:p>
    <w:p w14:paraId="4AEF1981">
      <w:pPr>
        <w:rPr>
          <w:rFonts w:hint="eastAsia" w:ascii="宋体" w:hAnsi="宋体" w:eastAsia="宋体" w:cs="宋体"/>
          <w:sz w:val="21"/>
          <w:szCs w:val="21"/>
          <w:lang w:val="en-US" w:eastAsia="zh-CN"/>
        </w:rPr>
      </w:pPr>
      <w:r>
        <w:rPr>
          <w:rFonts w:hint="eastAsia" w:ascii="宋体" w:hAnsi="宋体" w:cs="宋体"/>
          <w:sz w:val="21"/>
          <w:szCs w:val="21"/>
          <w:lang w:val="en-US" w:eastAsia="zh-CN"/>
        </w:rPr>
        <w:t>一、</w:t>
      </w:r>
      <w:r>
        <w:rPr>
          <w:rFonts w:hint="default" w:ascii="宋体" w:hAnsi="宋体" w:eastAsia="宋体" w:cs="宋体"/>
          <w:sz w:val="21"/>
          <w:szCs w:val="21"/>
          <w:lang w:val="en-US" w:eastAsia="zh-CN"/>
        </w:rPr>
        <w:t>宿舍</w:t>
      </w:r>
      <w:r>
        <w:rPr>
          <w:rFonts w:hint="eastAsia" w:ascii="宋体" w:hAnsi="宋体" w:eastAsia="宋体" w:cs="宋体"/>
          <w:sz w:val="21"/>
          <w:szCs w:val="21"/>
          <w:lang w:val="en-US" w:eastAsia="zh-CN"/>
        </w:rPr>
        <w:t>粉刷区域</w:t>
      </w:r>
    </w:p>
    <w:tbl>
      <w:tblPr>
        <w:tblStyle w:val="4"/>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066"/>
        <w:gridCol w:w="5171"/>
      </w:tblGrid>
      <w:tr w14:paraId="489B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F1C530B">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楼栋</w:t>
            </w:r>
          </w:p>
        </w:tc>
        <w:tc>
          <w:tcPr>
            <w:tcW w:w="3066" w:type="dxa"/>
            <w:noWrap w:val="0"/>
            <w:vAlign w:val="top"/>
          </w:tcPr>
          <w:p w14:paraId="6578B887">
            <w:pPr>
              <w:jc w:val="cente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公共区域</w:t>
            </w:r>
          </w:p>
        </w:tc>
        <w:tc>
          <w:tcPr>
            <w:tcW w:w="5171" w:type="dxa"/>
            <w:noWrap w:val="0"/>
            <w:vAlign w:val="top"/>
          </w:tcPr>
          <w:p w14:paraId="4A92E31C">
            <w:pPr>
              <w:jc w:val="cente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具体房间（不含阳台）</w:t>
            </w:r>
          </w:p>
        </w:tc>
      </w:tr>
      <w:tr w14:paraId="0D2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7780533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A楼宿舍</w:t>
            </w:r>
          </w:p>
          <w:p w14:paraId="4ED582FF">
            <w:pP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（丹霞路校区）</w:t>
            </w:r>
          </w:p>
        </w:tc>
        <w:tc>
          <w:tcPr>
            <w:tcW w:w="3066" w:type="dxa"/>
            <w:noWrap w:val="0"/>
            <w:vAlign w:val="top"/>
          </w:tcPr>
          <w:p w14:paraId="6634C01B">
            <w:pP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一至六</w:t>
            </w:r>
            <w:r>
              <w:rPr>
                <w:rFonts w:hint="eastAsia" w:ascii="宋体" w:hAnsi="宋体" w:eastAsia="宋体" w:cs="宋体"/>
                <w:sz w:val="21"/>
                <w:szCs w:val="21"/>
                <w:lang w:val="en-US" w:eastAsia="zh-CN"/>
              </w:rPr>
              <w:t>层公共区域墙（顶）面，包含走廊、楼梯、洗漱间、卫生间等</w:t>
            </w:r>
          </w:p>
        </w:tc>
        <w:tc>
          <w:tcPr>
            <w:tcW w:w="5171" w:type="dxa"/>
            <w:noWrap w:val="0"/>
            <w:vAlign w:val="top"/>
          </w:tcPr>
          <w:p w14:paraId="3C7F2C7B">
            <w:pP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学生宿舍房间A212（墙）、A511（墙、顶）、A515（顶）、A616（墙）、A614（墙</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、A112(墙)、A214(墙)、A312(墙)、A612(墙)</w:t>
            </w:r>
          </w:p>
        </w:tc>
      </w:tr>
      <w:tr w14:paraId="551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C968D5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B楼宿舍</w:t>
            </w:r>
            <w:r>
              <w:rPr>
                <w:rFonts w:hint="eastAsia" w:ascii="宋体" w:hAnsi="宋体" w:cs="宋体"/>
                <w:sz w:val="21"/>
                <w:szCs w:val="21"/>
                <w:lang w:val="en-US" w:eastAsia="zh-CN"/>
              </w:rPr>
              <w:t>（丹霞路校区）</w:t>
            </w:r>
          </w:p>
          <w:p w14:paraId="0E68AA02">
            <w:pPr>
              <w:rPr>
                <w:rFonts w:hint="eastAsia" w:ascii="宋体" w:hAnsi="宋体" w:eastAsia="宋体" w:cs="宋体"/>
                <w:sz w:val="21"/>
                <w:szCs w:val="21"/>
                <w:vertAlign w:val="baseline"/>
                <w:lang w:val="en-US" w:eastAsia="zh-CN"/>
              </w:rPr>
            </w:pPr>
          </w:p>
        </w:tc>
        <w:tc>
          <w:tcPr>
            <w:tcW w:w="3066" w:type="dxa"/>
            <w:noWrap w:val="0"/>
            <w:vAlign w:val="top"/>
          </w:tcPr>
          <w:p w14:paraId="49E2D147">
            <w:pPr>
              <w:rPr>
                <w:rFonts w:hint="eastAsia" w:ascii="宋体" w:hAnsi="宋体" w:eastAsia="宋体" w:cs="宋体"/>
                <w:sz w:val="21"/>
                <w:szCs w:val="21"/>
                <w:lang w:val="en-US" w:eastAsia="zh-CN"/>
              </w:rPr>
            </w:pPr>
            <w:r>
              <w:rPr>
                <w:rFonts w:hint="eastAsia" w:ascii="宋体" w:hAnsi="宋体" w:cs="宋体"/>
                <w:sz w:val="21"/>
                <w:szCs w:val="21"/>
                <w:lang w:val="en-US" w:eastAsia="zh-CN"/>
              </w:rPr>
              <w:t>一至六</w:t>
            </w:r>
            <w:r>
              <w:rPr>
                <w:rFonts w:hint="eastAsia" w:ascii="宋体" w:hAnsi="宋体" w:eastAsia="宋体" w:cs="宋体"/>
                <w:sz w:val="21"/>
                <w:szCs w:val="21"/>
                <w:lang w:val="en-US" w:eastAsia="zh-CN"/>
              </w:rPr>
              <w:t>层公共区域墙（顶）面，包含走廊、楼梯、洗漱间、卫生间等</w:t>
            </w:r>
          </w:p>
        </w:tc>
        <w:tc>
          <w:tcPr>
            <w:tcW w:w="5171" w:type="dxa"/>
            <w:noWrap w:val="0"/>
            <w:vAlign w:val="top"/>
          </w:tcPr>
          <w:p w14:paraId="1680B96A">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学生宿舍房间B117（顶）、</w:t>
            </w: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lang w:val="en-US" w:eastAsia="zh-CN"/>
              </w:rPr>
              <w:t>209（顶)</w:t>
            </w:r>
            <w:r>
              <w:rPr>
                <w:rFonts w:hint="eastAsia" w:ascii="宋体" w:hAnsi="宋体" w:cs="宋体"/>
                <w:sz w:val="21"/>
                <w:szCs w:val="21"/>
                <w:highlight w:val="none"/>
                <w:lang w:val="en-US" w:eastAsia="zh-CN"/>
              </w:rPr>
              <w:t>、B110（墙）、B112(墙)、B125（墙）、B405（墙）</w:t>
            </w:r>
          </w:p>
        </w:tc>
      </w:tr>
      <w:tr w14:paraId="62D6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BC469C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C楼宿舍</w:t>
            </w:r>
            <w:r>
              <w:rPr>
                <w:rFonts w:hint="eastAsia" w:ascii="宋体" w:hAnsi="宋体" w:cs="宋体"/>
                <w:sz w:val="21"/>
                <w:szCs w:val="21"/>
                <w:lang w:val="en-US" w:eastAsia="zh-CN"/>
              </w:rPr>
              <w:t>（丹霞路校区）</w:t>
            </w:r>
          </w:p>
        </w:tc>
        <w:tc>
          <w:tcPr>
            <w:tcW w:w="3066" w:type="dxa"/>
            <w:noWrap w:val="0"/>
            <w:vAlign w:val="top"/>
          </w:tcPr>
          <w:p w14:paraId="696CAF6E">
            <w:pPr>
              <w:rPr>
                <w:rFonts w:hint="eastAsia" w:ascii="宋体" w:hAnsi="宋体" w:eastAsia="宋体" w:cs="宋体"/>
                <w:sz w:val="21"/>
                <w:szCs w:val="21"/>
                <w:lang w:val="en-US" w:eastAsia="zh-CN"/>
              </w:rPr>
            </w:pPr>
            <w:r>
              <w:rPr>
                <w:rFonts w:hint="eastAsia" w:ascii="宋体" w:hAnsi="宋体" w:cs="宋体"/>
                <w:sz w:val="21"/>
                <w:szCs w:val="21"/>
                <w:lang w:val="en-US" w:eastAsia="zh-CN"/>
              </w:rPr>
              <w:t>一至五</w:t>
            </w:r>
            <w:r>
              <w:rPr>
                <w:rFonts w:hint="eastAsia" w:ascii="宋体" w:hAnsi="宋体" w:eastAsia="宋体" w:cs="宋体"/>
                <w:sz w:val="21"/>
                <w:szCs w:val="21"/>
                <w:lang w:val="en-US" w:eastAsia="zh-CN"/>
              </w:rPr>
              <w:t>层公共区域墙（顶）面，包含走廊、楼梯、洗漱间、卫生间等</w:t>
            </w:r>
          </w:p>
        </w:tc>
        <w:tc>
          <w:tcPr>
            <w:tcW w:w="5171" w:type="dxa"/>
            <w:noWrap w:val="0"/>
            <w:vAlign w:val="top"/>
          </w:tcPr>
          <w:p w14:paraId="597B83B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学生宿舍房间114（顶）、207（墙）、208（墙）、210（墙）、213（顶）、215（顶）、212（墙）、214（墙、顶）、216（墙、顶）、311（墙）、314（墙、顶）、316（墙）、318（墙）</w:t>
            </w:r>
          </w:p>
        </w:tc>
      </w:tr>
      <w:tr w14:paraId="1347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5434414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D楼宿舍</w:t>
            </w:r>
            <w:r>
              <w:rPr>
                <w:rFonts w:hint="eastAsia" w:ascii="宋体" w:hAnsi="宋体" w:cs="宋体"/>
                <w:sz w:val="21"/>
                <w:szCs w:val="21"/>
                <w:lang w:val="en-US" w:eastAsia="zh-CN"/>
              </w:rPr>
              <w:t>（丹霞路校区）</w:t>
            </w:r>
          </w:p>
        </w:tc>
        <w:tc>
          <w:tcPr>
            <w:tcW w:w="3066" w:type="dxa"/>
            <w:noWrap w:val="0"/>
            <w:vAlign w:val="top"/>
          </w:tcPr>
          <w:p w14:paraId="2C0D568B">
            <w:pPr>
              <w:rPr>
                <w:rFonts w:hint="eastAsia" w:ascii="宋体" w:hAnsi="宋体" w:eastAsia="宋体" w:cs="宋体"/>
                <w:sz w:val="21"/>
                <w:szCs w:val="21"/>
                <w:lang w:val="en-US" w:eastAsia="zh-CN"/>
              </w:rPr>
            </w:pPr>
            <w:r>
              <w:rPr>
                <w:rFonts w:hint="eastAsia" w:ascii="宋体" w:hAnsi="宋体" w:cs="宋体"/>
                <w:sz w:val="21"/>
                <w:szCs w:val="21"/>
                <w:lang w:val="en-US" w:eastAsia="zh-CN"/>
              </w:rPr>
              <w:t>一至五</w:t>
            </w:r>
            <w:r>
              <w:rPr>
                <w:rFonts w:hint="eastAsia" w:ascii="宋体" w:hAnsi="宋体" w:eastAsia="宋体" w:cs="宋体"/>
                <w:sz w:val="21"/>
                <w:szCs w:val="21"/>
                <w:lang w:val="en-US" w:eastAsia="zh-CN"/>
              </w:rPr>
              <w:t>层公共区域墙（顶）面，包含走廊、楼梯、洗漱间、卫生间等</w:t>
            </w:r>
          </w:p>
        </w:tc>
        <w:tc>
          <w:tcPr>
            <w:tcW w:w="5171" w:type="dxa"/>
            <w:noWrap w:val="0"/>
            <w:vAlign w:val="top"/>
          </w:tcPr>
          <w:p w14:paraId="57A6DCD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学生宿舍房间D201（墙）、D312（墙、顶）、C415（墙、顶）、C418（顶）、D410（顶）</w:t>
            </w:r>
          </w:p>
        </w:tc>
      </w:tr>
      <w:tr w14:paraId="4EE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0DCD719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中专宿舍</w:t>
            </w:r>
          </w:p>
          <w:p w14:paraId="1B2EE8B0">
            <w:pP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（丹霞路校区）</w:t>
            </w:r>
          </w:p>
        </w:tc>
        <w:tc>
          <w:tcPr>
            <w:tcW w:w="3066" w:type="dxa"/>
            <w:noWrap w:val="0"/>
            <w:vAlign w:val="top"/>
          </w:tcPr>
          <w:p w14:paraId="22CE88BA">
            <w:pPr>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楼梯间墙（顶）面，</w:t>
            </w:r>
            <w:r>
              <w:rPr>
                <w:rFonts w:hint="eastAsia" w:ascii="宋体" w:hAnsi="宋体" w:cs="宋体"/>
                <w:sz w:val="21"/>
                <w:szCs w:val="21"/>
                <w:lang w:val="en-US" w:eastAsia="zh-CN"/>
              </w:rPr>
              <w:t>男生宿舍楼梯间</w:t>
            </w:r>
            <w:r>
              <w:rPr>
                <w:rFonts w:hint="eastAsia" w:ascii="宋体" w:hAnsi="宋体" w:eastAsia="宋体" w:cs="宋体"/>
                <w:sz w:val="21"/>
                <w:szCs w:val="21"/>
                <w:lang w:val="en-US" w:eastAsia="zh-CN"/>
              </w:rPr>
              <w:t>从一层到</w:t>
            </w:r>
            <w:r>
              <w:rPr>
                <w:rFonts w:hint="eastAsia" w:ascii="宋体" w:hAnsi="宋体" w:cs="宋体"/>
                <w:sz w:val="21"/>
                <w:szCs w:val="21"/>
                <w:lang w:val="en-US" w:eastAsia="zh-CN"/>
              </w:rPr>
              <w:t>四</w:t>
            </w:r>
            <w:r>
              <w:rPr>
                <w:rFonts w:hint="eastAsia" w:ascii="宋体" w:hAnsi="宋体" w:eastAsia="宋体" w:cs="宋体"/>
                <w:sz w:val="21"/>
                <w:szCs w:val="21"/>
                <w:lang w:val="en-US" w:eastAsia="zh-CN"/>
              </w:rPr>
              <w:t>层</w:t>
            </w:r>
            <w:r>
              <w:rPr>
                <w:rFonts w:hint="eastAsia" w:ascii="宋体" w:hAnsi="宋体" w:cs="宋体"/>
                <w:sz w:val="21"/>
                <w:szCs w:val="21"/>
                <w:lang w:val="en-US" w:eastAsia="zh-CN"/>
              </w:rPr>
              <w:t>，女生宿舍楼梯间</w:t>
            </w:r>
            <w:r>
              <w:rPr>
                <w:rFonts w:hint="eastAsia" w:ascii="宋体" w:hAnsi="宋体" w:eastAsia="宋体" w:cs="宋体"/>
                <w:sz w:val="21"/>
                <w:szCs w:val="21"/>
                <w:lang w:val="en-US" w:eastAsia="zh-CN"/>
              </w:rPr>
              <w:t>从一层到</w:t>
            </w:r>
            <w:r>
              <w:rPr>
                <w:rFonts w:hint="eastAsia" w:ascii="宋体" w:hAnsi="宋体" w:cs="宋体"/>
                <w:sz w:val="21"/>
                <w:szCs w:val="21"/>
                <w:lang w:val="en-US" w:eastAsia="zh-CN"/>
              </w:rPr>
              <w:t>六</w:t>
            </w:r>
            <w:r>
              <w:rPr>
                <w:rFonts w:hint="eastAsia" w:ascii="宋体" w:hAnsi="宋体" w:eastAsia="宋体" w:cs="宋体"/>
                <w:sz w:val="21"/>
                <w:szCs w:val="21"/>
                <w:lang w:val="en-US" w:eastAsia="zh-CN"/>
              </w:rPr>
              <w:t>层</w:t>
            </w:r>
            <w:r>
              <w:rPr>
                <w:rFonts w:hint="eastAsia" w:ascii="宋体" w:hAnsi="宋体" w:cs="宋体"/>
                <w:sz w:val="21"/>
                <w:szCs w:val="21"/>
                <w:lang w:val="en-US" w:eastAsia="zh-CN"/>
              </w:rPr>
              <w:t>。</w:t>
            </w:r>
          </w:p>
          <w:p w14:paraId="1D757403">
            <w:pP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四层、五层、六层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其他公共区域墙（顶）面，包含走廊、洗漱间、卫生间等。</w:t>
            </w:r>
          </w:p>
        </w:tc>
        <w:tc>
          <w:tcPr>
            <w:tcW w:w="5171" w:type="dxa"/>
            <w:noWrap w:val="0"/>
            <w:vAlign w:val="top"/>
          </w:tcPr>
          <w:p w14:paraId="4F8A8B1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学生宿舍房间413（墙、顶）、409（墙、顶）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415（墙）</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508（墙、顶）、519（顶）、513（顶）、510（墙、顶）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601（顶）、610（墙、顶）、612（顶）、613（顶）、616（顶）、618（顶）、624（顶）、626（顶）、628（顶）、630（顶）、632（顶）、641（墙）。</w:t>
            </w:r>
          </w:p>
        </w:tc>
      </w:tr>
      <w:tr w14:paraId="5439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B624B1F">
            <w:pP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综合楼（宣城路校区）</w:t>
            </w:r>
          </w:p>
        </w:tc>
        <w:tc>
          <w:tcPr>
            <w:tcW w:w="3066" w:type="dxa"/>
            <w:noWrap w:val="0"/>
            <w:vAlign w:val="top"/>
          </w:tcPr>
          <w:p w14:paraId="4089EAA1">
            <w:pPr>
              <w:rPr>
                <w:rFonts w:hint="default" w:ascii="宋体" w:hAnsi="宋体" w:eastAsia="宋体" w:cs="宋体"/>
                <w:sz w:val="21"/>
                <w:szCs w:val="21"/>
                <w:lang w:val="en-US" w:eastAsia="zh-CN"/>
              </w:rPr>
            </w:pPr>
            <w:r>
              <w:rPr>
                <w:rFonts w:hint="eastAsia" w:ascii="宋体" w:hAnsi="宋体" w:cs="宋体"/>
                <w:sz w:val="21"/>
                <w:szCs w:val="21"/>
                <w:lang w:val="en-US" w:eastAsia="zh-CN"/>
              </w:rPr>
              <w:t>二三</w:t>
            </w:r>
            <w:r>
              <w:rPr>
                <w:rFonts w:hint="eastAsia" w:ascii="宋体" w:hAnsi="宋体" w:eastAsia="宋体" w:cs="宋体"/>
                <w:sz w:val="21"/>
                <w:szCs w:val="21"/>
                <w:lang w:val="en-US" w:eastAsia="zh-CN"/>
              </w:rPr>
              <w:t>层</w:t>
            </w:r>
            <w:r>
              <w:rPr>
                <w:rFonts w:hint="eastAsia" w:ascii="宋体" w:hAnsi="宋体" w:cs="宋体"/>
                <w:sz w:val="21"/>
                <w:szCs w:val="21"/>
                <w:lang w:val="en-US" w:eastAsia="zh-CN"/>
              </w:rPr>
              <w:t>走廊</w:t>
            </w:r>
            <w:r>
              <w:rPr>
                <w:rFonts w:hint="eastAsia" w:ascii="宋体" w:hAnsi="宋体" w:eastAsia="宋体" w:cs="宋体"/>
                <w:sz w:val="21"/>
                <w:szCs w:val="21"/>
                <w:lang w:val="en-US" w:eastAsia="zh-CN"/>
              </w:rPr>
              <w:t>墙（顶）面</w:t>
            </w:r>
          </w:p>
        </w:tc>
        <w:tc>
          <w:tcPr>
            <w:tcW w:w="5171" w:type="dxa"/>
            <w:noWrap w:val="0"/>
            <w:vAlign w:val="top"/>
          </w:tcPr>
          <w:p w14:paraId="1F37DD2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宿舍201、202、203、204、205、206、207、208、210、211、212、213、215、301、302、303、304、305、306、404</w:t>
            </w:r>
          </w:p>
        </w:tc>
      </w:tr>
    </w:tbl>
    <w:p w14:paraId="631128BA">
      <w:pPr>
        <w:rPr>
          <w:rFonts w:hint="default" w:ascii="宋体" w:hAnsi="宋体" w:cs="宋体"/>
          <w:sz w:val="21"/>
          <w:szCs w:val="21"/>
          <w:lang w:val="en-US" w:eastAsia="zh-CN"/>
        </w:rPr>
      </w:pPr>
      <w:r>
        <w:rPr>
          <w:rFonts w:hint="eastAsia" w:ascii="宋体" w:hAnsi="宋体" w:cs="宋体"/>
          <w:sz w:val="21"/>
          <w:szCs w:val="21"/>
          <w:lang w:val="en-US" w:eastAsia="zh-CN"/>
        </w:rPr>
        <w:t>注：粉刷做法为铲除现有油漆面、基层处理、一遍腻子两遍乳胶漆。同时为确保施工质量，投标人可另外增加必要的施工做法，不另外增加费用。</w:t>
      </w:r>
    </w:p>
    <w:p w14:paraId="17C7DFB5">
      <w:pPr>
        <w:rPr>
          <w:rFonts w:hint="eastAsia" w:ascii="宋体" w:hAnsi="宋体" w:eastAsia="宋体" w:cs="宋体"/>
          <w:sz w:val="21"/>
          <w:szCs w:val="21"/>
          <w:lang w:val="en-US" w:eastAsia="zh-CN"/>
        </w:rPr>
      </w:pPr>
      <w:r>
        <w:rPr>
          <w:rFonts w:hint="eastAsia" w:ascii="宋体" w:hAnsi="宋体" w:cs="宋体"/>
          <w:sz w:val="21"/>
          <w:szCs w:val="21"/>
          <w:lang w:val="en-US" w:eastAsia="zh-CN"/>
        </w:rPr>
        <w:t>二、</w:t>
      </w:r>
      <w:r>
        <w:rPr>
          <w:rFonts w:hint="default" w:ascii="宋体" w:hAnsi="宋体" w:eastAsia="宋体" w:cs="宋体"/>
          <w:sz w:val="21"/>
          <w:szCs w:val="21"/>
          <w:lang w:val="en-US" w:eastAsia="zh-CN"/>
        </w:rPr>
        <w:t>维修与改造</w:t>
      </w:r>
      <w:r>
        <w:rPr>
          <w:rFonts w:hint="eastAsia" w:ascii="宋体" w:hAnsi="宋体" w:eastAsia="宋体" w:cs="宋体"/>
          <w:sz w:val="21"/>
          <w:szCs w:val="21"/>
          <w:lang w:val="en-US" w:eastAsia="zh-CN"/>
        </w:rPr>
        <w:t>区域</w:t>
      </w:r>
    </w:p>
    <w:tbl>
      <w:tblPr>
        <w:tblStyle w:val="4"/>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7856"/>
      </w:tblGrid>
      <w:tr w14:paraId="32A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top"/>
          </w:tcPr>
          <w:p w14:paraId="6ECEBC33">
            <w:pPr>
              <w:jc w:val="center"/>
              <w:rPr>
                <w:rFonts w:hint="default" w:ascii="宋体" w:hAnsi="宋体" w:cs="宋体"/>
                <w:sz w:val="21"/>
                <w:szCs w:val="21"/>
                <w:lang w:val="en-US" w:eastAsia="zh-CN"/>
              </w:rPr>
            </w:pPr>
            <w:r>
              <w:rPr>
                <w:rFonts w:hint="eastAsia" w:ascii="宋体" w:hAnsi="宋体" w:cs="宋体"/>
                <w:sz w:val="21"/>
                <w:szCs w:val="21"/>
                <w:lang w:val="en-US" w:eastAsia="zh-CN"/>
              </w:rPr>
              <w:t>楼栋</w:t>
            </w:r>
          </w:p>
        </w:tc>
        <w:tc>
          <w:tcPr>
            <w:tcW w:w="7856" w:type="dxa"/>
            <w:noWrap w:val="0"/>
            <w:vAlign w:val="top"/>
          </w:tcPr>
          <w:p w14:paraId="55DF6BC8">
            <w:pPr>
              <w:jc w:val="center"/>
              <w:rPr>
                <w:rFonts w:hint="default" w:ascii="宋体" w:hAnsi="宋体" w:cs="宋体"/>
                <w:sz w:val="21"/>
                <w:szCs w:val="21"/>
                <w:lang w:val="en-US" w:eastAsia="zh-CN"/>
              </w:rPr>
            </w:pPr>
            <w:r>
              <w:rPr>
                <w:rFonts w:hint="eastAsia" w:ascii="宋体" w:hAnsi="宋体" w:cs="宋体"/>
                <w:sz w:val="21"/>
                <w:szCs w:val="21"/>
                <w:lang w:val="en-US" w:eastAsia="zh-CN"/>
              </w:rPr>
              <w:t>维修内容</w:t>
            </w:r>
          </w:p>
        </w:tc>
      </w:tr>
      <w:tr w14:paraId="0396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top"/>
          </w:tcPr>
          <w:p w14:paraId="5AAAD8AA">
            <w:pPr>
              <w:rPr>
                <w:rFonts w:hint="eastAsia" w:ascii="宋体" w:hAnsi="宋体" w:cs="宋体"/>
                <w:sz w:val="21"/>
                <w:szCs w:val="21"/>
                <w:lang w:val="en-US" w:eastAsia="zh-CN"/>
              </w:rPr>
            </w:pPr>
            <w:r>
              <w:rPr>
                <w:rFonts w:hint="eastAsia" w:ascii="宋体" w:hAnsi="宋体" w:cs="宋体"/>
                <w:sz w:val="21"/>
                <w:szCs w:val="21"/>
                <w:lang w:val="en-US" w:eastAsia="zh-CN"/>
              </w:rPr>
              <w:t>A、B、C、D楼宿舍（丹霞路校区）</w:t>
            </w:r>
          </w:p>
        </w:tc>
        <w:tc>
          <w:tcPr>
            <w:tcW w:w="7856" w:type="dxa"/>
            <w:noWrap w:val="0"/>
            <w:vAlign w:val="top"/>
          </w:tcPr>
          <w:p w14:paraId="67AE4E3A">
            <w:pPr>
              <w:rPr>
                <w:rFonts w:hint="eastAsia" w:ascii="宋体" w:hAnsi="宋体" w:cs="宋体"/>
                <w:sz w:val="21"/>
                <w:szCs w:val="21"/>
                <w:lang w:val="en-US" w:eastAsia="zh-CN"/>
              </w:rPr>
            </w:pPr>
            <w:r>
              <w:rPr>
                <w:rFonts w:hint="eastAsia" w:ascii="宋体" w:hAnsi="宋体" w:cs="宋体"/>
                <w:sz w:val="21"/>
                <w:szCs w:val="21"/>
                <w:lang w:val="en-US" w:eastAsia="zh-CN"/>
              </w:rPr>
              <w:t>1、一层走廊设置1200mm高亚克力防护板（含收边条)。</w:t>
            </w:r>
          </w:p>
          <w:p w14:paraId="7944A5D8">
            <w:pPr>
              <w:rPr>
                <w:rFonts w:hint="default" w:ascii="宋体" w:hAnsi="宋体" w:cs="宋体"/>
                <w:sz w:val="21"/>
                <w:szCs w:val="21"/>
                <w:lang w:val="en-US" w:eastAsia="zh-CN"/>
              </w:rPr>
            </w:pPr>
            <w:r>
              <w:rPr>
                <w:rFonts w:hint="eastAsia" w:ascii="宋体" w:hAnsi="宋体" w:cs="宋体"/>
                <w:sz w:val="21"/>
                <w:szCs w:val="21"/>
                <w:lang w:val="en-US" w:eastAsia="zh-CN"/>
              </w:rPr>
              <w:t>2、男生宿舍卫生间现有点位安装小便器及拖把池，包含相应配件、管材、按压阀等。现有管道疏通，包含必要的管道更换以及相应地砖破除及恢复等。</w:t>
            </w:r>
          </w:p>
        </w:tc>
      </w:tr>
      <w:tr w14:paraId="4823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top"/>
          </w:tcPr>
          <w:p w14:paraId="284BB54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中专宿舍</w:t>
            </w:r>
            <w:r>
              <w:rPr>
                <w:rFonts w:hint="eastAsia" w:ascii="宋体" w:hAnsi="宋体" w:cs="宋体"/>
                <w:sz w:val="21"/>
                <w:szCs w:val="21"/>
                <w:lang w:val="en-US" w:eastAsia="zh-CN"/>
              </w:rPr>
              <w:t>（丹霞路校区）</w:t>
            </w:r>
          </w:p>
        </w:tc>
        <w:tc>
          <w:tcPr>
            <w:tcW w:w="7856" w:type="dxa"/>
            <w:noWrap w:val="0"/>
            <w:vAlign w:val="top"/>
          </w:tcPr>
          <w:p w14:paraId="7CE99AC4">
            <w:pPr>
              <w:rPr>
                <w:rFonts w:hint="eastAsia" w:ascii="宋体" w:hAnsi="宋体" w:cs="宋体"/>
                <w:sz w:val="21"/>
                <w:szCs w:val="21"/>
                <w:lang w:val="en-US" w:eastAsia="zh-CN"/>
              </w:rPr>
            </w:pPr>
            <w:r>
              <w:rPr>
                <w:rFonts w:hint="eastAsia" w:ascii="宋体" w:hAnsi="宋体" w:cs="宋体"/>
                <w:sz w:val="21"/>
                <w:szCs w:val="21"/>
                <w:lang w:val="en-US" w:eastAsia="zh-CN"/>
              </w:rPr>
              <w:t>1、4樘木质门更换（样式参考现有门）</w:t>
            </w:r>
          </w:p>
          <w:p w14:paraId="2ED15349">
            <w:pPr>
              <w:rPr>
                <w:rFonts w:hint="eastAsia" w:ascii="宋体" w:hAnsi="宋体" w:cs="宋体"/>
                <w:sz w:val="21"/>
                <w:szCs w:val="21"/>
                <w:lang w:val="en-US" w:eastAsia="zh-CN"/>
              </w:rPr>
            </w:pPr>
            <w:r>
              <w:rPr>
                <w:rFonts w:hint="eastAsia" w:ascii="宋体" w:hAnsi="宋体" w:cs="宋体"/>
                <w:sz w:val="21"/>
                <w:szCs w:val="21"/>
                <w:lang w:val="en-US" w:eastAsia="zh-CN"/>
              </w:rPr>
              <w:t>2、9樘走廊破损玻璃门更换（样式参考现有门）</w:t>
            </w:r>
          </w:p>
          <w:p w14:paraId="28948B36">
            <w:pPr>
              <w:rPr>
                <w:rFonts w:hint="default" w:ascii="宋体" w:hAnsi="宋体" w:cs="宋体"/>
                <w:sz w:val="21"/>
                <w:szCs w:val="21"/>
                <w:lang w:val="en-US" w:eastAsia="zh-CN"/>
              </w:rPr>
            </w:pPr>
            <w:r>
              <w:rPr>
                <w:rFonts w:hint="eastAsia" w:ascii="宋体" w:hAnsi="宋体" w:cs="宋体"/>
                <w:sz w:val="21"/>
                <w:szCs w:val="21"/>
                <w:lang w:val="en-US" w:eastAsia="zh-CN"/>
              </w:rPr>
              <w:t>3、四层男生宿舍卫生间局部改造，由投标人提供具体方案。主要内容为一半现有大便器区域隔断拆除、大便器拆除并封堵恢复地砖，安装小便器及拖把池，包含相应配件、管材、按压阀等。</w:t>
            </w:r>
          </w:p>
        </w:tc>
      </w:tr>
    </w:tbl>
    <w:p w14:paraId="54B172AD">
      <w:r>
        <w:rPr>
          <w:rFonts w:hint="eastAsia" w:ascii="宋体" w:hAnsi="宋体" w:cs="宋体"/>
          <w:sz w:val="21"/>
          <w:szCs w:val="21"/>
          <w:lang w:val="en-US" w:eastAsia="zh-CN"/>
        </w:rPr>
        <w:t>注：卫生间小便器有40组利旧安装，剩余20组小便器样式参考现有样式。</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E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2025-06-16T10:55:20Z</dcterms:created>
  <dc:creator>Administrator</dc:creator>
  <cp:lastModifiedBy>M</cp:lastModifiedBy>
  <dcterms:modified xsi:type="dcterms:W3CDTF">2025-06-16T10:55:28Z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eyJoZGlkIjoiOWEwYTUzNzRjNTY1NjAwZjc3YTBlNGQwODhjMWZhNjciLCJ1c2VySWQiOiIyOTgxMTI1OTkifQ==</vt:lpwstr>
  </property>
  <property fmtid="{D5CDD505-2E9C-101B-9397-08002B2CF9AE}" pid="4" name="ICV">
    <vt:lpwstr>EBB6096B4A484C589BDE5225AB0F4145_12</vt:lpwstr>
  </property>
</Properties>
</file>