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D8127">
      <w:pPr>
        <w:spacing w:line="360" w:lineRule="auto"/>
        <w:jc w:val="center"/>
        <w:outlineLvl w:val="0"/>
        <w:rPr>
          <w:rFonts w:asciiTheme="minorEastAsia" w:hAnsiTheme="minorEastAsia" w:eastAsiaTheme="minorEastAsia"/>
          <w:b/>
          <w:color w:val="auto"/>
          <w:sz w:val="28"/>
          <w:highlight w:val="none"/>
        </w:rPr>
      </w:pPr>
      <w:bookmarkStart w:id="2" w:name="_GoBack"/>
      <w:bookmarkEnd w:id="2"/>
      <w:bookmarkStart w:id="0" w:name="_Toc30873"/>
      <w:r>
        <w:rPr>
          <w:rFonts w:hint="eastAsia" w:asciiTheme="minorEastAsia" w:hAnsiTheme="minorEastAsia" w:eastAsiaTheme="minorEastAsia"/>
          <w:b/>
          <w:color w:val="auto"/>
          <w:sz w:val="28"/>
          <w:highlight w:val="none"/>
        </w:rPr>
        <w:t>采购需求</w:t>
      </w:r>
      <w:bookmarkEnd w:id="0"/>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174"/>
        <w:gridCol w:w="6811"/>
      </w:tblGrid>
      <w:tr w14:paraId="4E0E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14:paraId="7ED0AE7F">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688" w:type="pct"/>
            <w:vAlign w:val="center"/>
          </w:tcPr>
          <w:p w14:paraId="4CF5B897">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996" w:type="pct"/>
            <w:vAlign w:val="center"/>
          </w:tcPr>
          <w:p w14:paraId="51B292B6">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29AE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14:paraId="77ABB86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688" w:type="pct"/>
            <w:vAlign w:val="center"/>
          </w:tcPr>
          <w:p w14:paraId="28F119A6">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996" w:type="pct"/>
            <w:vAlign w:val="center"/>
          </w:tcPr>
          <w:p w14:paraId="3158174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 xml:space="preserve">1、供应商一旦成交，磋商时所报的本项目的项目经理、施工现场技术负责人、各专业负责工程师及施工机械等在整个项目施工期内必须在位，否则采购人有权终止合同。由此造成的损失，成交供应商自行承担并赔偿可能给采购人造成的损失。 </w:t>
            </w:r>
          </w:p>
          <w:p w14:paraId="11885723">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 xml:space="preserve">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 </w:t>
            </w:r>
          </w:p>
          <w:p w14:paraId="727D2B34">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3、成交供应商未能按照承诺到岗尽职的，采购人将视情况严重程度对其作出相应处理，给予警告并发出整改通知。如仍未及时整改，采购人有权责令其停工整改、直至终止合同，引进新的承包人。采购人还将停止支付工程款项，扣留任何未付的工程进度款项补偿建设单位的有关损失或工期延误的损失，并就此向承包人索赔。</w:t>
            </w:r>
          </w:p>
        </w:tc>
      </w:tr>
      <w:tr w14:paraId="064E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14:paraId="3798F7A4">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688" w:type="pct"/>
            <w:vAlign w:val="center"/>
          </w:tcPr>
          <w:p w14:paraId="55F26AE6">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996" w:type="pct"/>
            <w:vAlign w:val="center"/>
          </w:tcPr>
          <w:p w14:paraId="3AE8482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090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14:paraId="5650DF8A">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688" w:type="pct"/>
            <w:vAlign w:val="center"/>
          </w:tcPr>
          <w:p w14:paraId="0248369B">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996" w:type="pct"/>
            <w:vAlign w:val="center"/>
          </w:tcPr>
          <w:p w14:paraId="4394EB0B">
            <w:pPr>
              <w:numPr>
                <w:ilvl w:val="0"/>
                <w:numId w:val="1"/>
              </w:numPr>
              <w:spacing w:line="360" w:lineRule="auto"/>
              <w:rPr>
                <w:rFonts w:ascii="宋体" w:hAnsi="宋体" w:eastAsia="宋体" w:cs="宋体"/>
                <w:kern w:val="2"/>
                <w:sz w:val="24"/>
                <w:szCs w:val="24"/>
              </w:rPr>
            </w:pPr>
            <w:r>
              <w:rPr>
                <w:rFonts w:hint="eastAsia" w:ascii="宋体" w:hAnsi="宋体" w:eastAsia="宋体" w:cs="宋体"/>
                <w:kern w:val="2"/>
                <w:sz w:val="24"/>
                <w:szCs w:val="24"/>
                <w:lang w:val="en-US" w:eastAsia="zh-CN"/>
              </w:rPr>
              <w:t>校园楼宇</w:t>
            </w:r>
            <w:r>
              <w:rPr>
                <w:rFonts w:ascii="宋体" w:hAnsi="宋体" w:eastAsia="宋体" w:cs="宋体"/>
                <w:kern w:val="2"/>
                <w:sz w:val="24"/>
                <w:szCs w:val="24"/>
              </w:rPr>
              <w:t>师生人流密集，外墙吊篮</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脚手架等</w:t>
            </w:r>
            <w:r>
              <w:rPr>
                <w:rFonts w:ascii="宋体" w:hAnsi="宋体" w:eastAsia="宋体" w:cs="宋体"/>
                <w:kern w:val="2"/>
                <w:sz w:val="24"/>
                <w:szCs w:val="24"/>
              </w:rPr>
              <w:t>高空作业风险高，需全天候围挡隔离，严控坠物、扬尘、噪音，上下课高峰需暂停施工，现场安全值守压力大。</w:t>
            </w:r>
          </w:p>
          <w:p w14:paraId="7B2AA394">
            <w:pPr>
              <w:numPr>
                <w:ilvl w:val="0"/>
                <w:numId w:val="0"/>
              </w:numPr>
              <w:spacing w:line="360" w:lineRule="auto"/>
              <w:rPr>
                <w:rFonts w:hint="eastAsia"/>
                <w:kern w:val="2"/>
                <w:sz w:val="21"/>
                <w:szCs w:val="22"/>
                <w:lang w:val="en-US" w:eastAsia="zh-CN"/>
              </w:rPr>
            </w:pPr>
            <w:r>
              <w:rPr>
                <w:rFonts w:hint="eastAsia" w:ascii="宋体" w:hAnsi="宋体" w:eastAsia="宋体" w:cs="宋体"/>
                <w:kern w:val="2"/>
                <w:sz w:val="24"/>
                <w:szCs w:val="24"/>
                <w:lang w:val="en-US" w:eastAsia="zh-CN"/>
              </w:rPr>
              <w:t>2、</w:t>
            </w:r>
            <w:r>
              <w:rPr>
                <w:rFonts w:ascii="宋体" w:hAnsi="宋体" w:eastAsia="宋体" w:cs="宋体"/>
                <w:kern w:val="2"/>
                <w:sz w:val="24"/>
                <w:szCs w:val="24"/>
              </w:rPr>
              <w:t>高空外墙多交叉作业，材料垂直转运、废料清运易引发坠落隐患，</w:t>
            </w:r>
            <w:r>
              <w:rPr>
                <w:rFonts w:hint="eastAsia" w:ascii="宋体" w:hAnsi="宋体" w:eastAsia="宋体" w:cs="宋体"/>
                <w:kern w:val="2"/>
                <w:sz w:val="24"/>
                <w:szCs w:val="24"/>
                <w:lang w:val="en-US" w:eastAsia="zh-CN"/>
              </w:rPr>
              <w:t>食堂</w:t>
            </w:r>
            <w:r>
              <w:rPr>
                <w:rFonts w:ascii="宋体" w:hAnsi="宋体" w:eastAsia="宋体" w:cs="宋体"/>
                <w:kern w:val="2"/>
                <w:sz w:val="24"/>
                <w:szCs w:val="24"/>
              </w:rPr>
              <w:t>楼栋</w:t>
            </w:r>
            <w:r>
              <w:rPr>
                <w:rFonts w:hint="eastAsia" w:ascii="宋体" w:hAnsi="宋体" w:eastAsia="宋体" w:cs="宋体"/>
                <w:kern w:val="2"/>
                <w:sz w:val="24"/>
                <w:szCs w:val="24"/>
                <w:lang w:val="en-US" w:eastAsia="zh-CN"/>
              </w:rPr>
              <w:t>外部</w:t>
            </w:r>
            <w:r>
              <w:rPr>
                <w:rFonts w:ascii="宋体" w:hAnsi="宋体" w:eastAsia="宋体" w:cs="宋体"/>
                <w:kern w:val="2"/>
                <w:sz w:val="24"/>
                <w:szCs w:val="24"/>
              </w:rPr>
              <w:t>管线繁杂，搭设防护设施受限，临边防护搭设难度高。</w:t>
            </w:r>
          </w:p>
          <w:p w14:paraId="45210F1E">
            <w:pPr>
              <w:pStyle w:val="2"/>
              <w:spacing w:line="360" w:lineRule="auto"/>
              <w:ind w:left="0" w:leftChars="0" w:firstLine="0" w:firstLineChars="0"/>
              <w:rPr>
                <w:rFonts w:hint="eastAsia" w:ascii="宋体" w:hAnsi="宋体" w:eastAsia="宋体" w:cs="宋体"/>
                <w:b/>
                <w:bCs/>
                <w:sz w:val="24"/>
                <w:szCs w:val="24"/>
                <w:lang w:val="en-US" w:eastAsia="zh-CN" w:bidi="ar-SA"/>
              </w:rPr>
            </w:pPr>
            <w:r>
              <w:rPr>
                <w:rFonts w:hint="eastAsia"/>
                <w:b/>
                <w:bCs/>
                <w:lang w:val="en-US" w:eastAsia="zh-CN"/>
              </w:rPr>
              <w:t>3、</w:t>
            </w:r>
            <w:r>
              <w:rPr>
                <w:rFonts w:hint="eastAsia" w:ascii="宋体" w:hAnsi="宋体" w:eastAsia="宋体" w:cs="宋体"/>
                <w:b/>
                <w:bCs/>
                <w:sz w:val="24"/>
                <w:szCs w:val="24"/>
                <w:lang w:val="en-US" w:eastAsia="zh-CN" w:bidi="ar-SA"/>
              </w:rPr>
              <w:t>本项目工期紧张，开学前</w:t>
            </w:r>
            <w:r>
              <w:rPr>
                <w:rFonts w:hint="eastAsia" w:ascii="宋体" w:hAnsi="宋体" w:cs="宋体"/>
                <w:b/>
                <w:bCs/>
                <w:sz w:val="24"/>
                <w:szCs w:val="24"/>
                <w:lang w:val="en-US" w:eastAsia="zh-CN" w:bidi="ar-SA"/>
              </w:rPr>
              <w:t>必</w:t>
            </w:r>
            <w:r>
              <w:rPr>
                <w:rFonts w:hint="eastAsia" w:ascii="宋体" w:hAnsi="宋体" w:eastAsia="宋体" w:cs="宋体"/>
                <w:b/>
                <w:bCs/>
                <w:sz w:val="24"/>
                <w:szCs w:val="24"/>
                <w:lang w:val="en-US" w:eastAsia="zh-CN" w:bidi="ar-SA"/>
              </w:rPr>
              <w:t>须完成全部施工、保洁、验收及整改。</w:t>
            </w:r>
            <w:r>
              <w:rPr>
                <w:rFonts w:hint="eastAsia" w:ascii="宋体" w:hAnsi="宋体" w:cs="宋体"/>
                <w:b/>
                <w:bCs/>
                <w:sz w:val="24"/>
                <w:szCs w:val="24"/>
                <w:lang w:val="en-US" w:eastAsia="zh-CN" w:bidi="ar-SA"/>
              </w:rPr>
              <w:t>需组织多班组同时施工。</w:t>
            </w:r>
            <w:r>
              <w:rPr>
                <w:rFonts w:hint="eastAsia" w:ascii="宋体" w:hAnsi="宋体" w:eastAsia="宋体" w:cs="宋体"/>
                <w:b/>
                <w:bCs/>
                <w:sz w:val="24"/>
                <w:szCs w:val="24"/>
                <w:lang w:val="en-US" w:eastAsia="zh-CN" w:bidi="ar-SA"/>
              </w:rPr>
              <w:t>开学后校园人流量密集，禁止开展外墙高空作业、喷涂施工及大规模垃圾清运，本项目工期不予任何顺延，所有天气、高温、雷雨、校区管控、错峰施工等损耗均由中标单位自行承担。</w:t>
            </w:r>
          </w:p>
          <w:p w14:paraId="4E638CDF">
            <w:pPr>
              <w:pStyle w:val="2"/>
              <w:spacing w:line="360" w:lineRule="auto"/>
              <w:ind w:left="0" w:leftChars="0" w:firstLine="0" w:firstLineChars="0"/>
              <w:rPr>
                <w:rFonts w:hint="default" w:ascii="宋体" w:hAnsi="宋体" w:eastAsia="宋体" w:cs="宋体"/>
                <w:sz w:val="24"/>
                <w:szCs w:val="24"/>
                <w:lang w:val="en-US" w:eastAsia="zh-CN" w:bidi="ar-SA"/>
              </w:rPr>
            </w:pPr>
            <w:r>
              <w:rPr>
                <w:rFonts w:hint="eastAsia"/>
                <w:lang w:val="en-US" w:eastAsia="zh-CN"/>
              </w:rPr>
              <w:t>4、</w:t>
            </w:r>
            <w:r>
              <w:rPr>
                <w:rFonts w:hint="default" w:ascii="宋体" w:hAnsi="宋体" w:eastAsia="宋体" w:cs="宋体"/>
                <w:sz w:val="24"/>
                <w:szCs w:val="24"/>
                <w:lang w:val="en-US" w:eastAsia="zh-CN" w:bidi="ar-SA"/>
              </w:rPr>
              <w:t>校园管理要求：施工严格避开食堂就餐、校医院诊疗时段，禁止夜间、午休高噪音施工；材料运输、车辆进出严格遵守校园管理规定，不得破坏校园公共设施及绿化，损坏照价赔偿。</w:t>
            </w:r>
          </w:p>
          <w:p w14:paraId="048411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color w:val="000000"/>
                <w:kern w:val="2"/>
                <w:sz w:val="24"/>
                <w:szCs w:val="24"/>
              </w:rPr>
            </w:pPr>
            <w:r>
              <w:rPr>
                <w:rFonts w:hint="eastAsia" w:ascii="宋体" w:hAnsi="宋体" w:eastAsia="宋体" w:cs="宋体"/>
                <w:kern w:val="2"/>
                <w:sz w:val="24"/>
                <w:szCs w:val="24"/>
                <w:lang w:val="en-US" w:eastAsia="zh-CN" w:bidi="ar-SA"/>
              </w:rPr>
              <w:t>5、</w:t>
            </w:r>
            <w:r>
              <w:rPr>
                <w:color w:val="000000"/>
                <w:kern w:val="2"/>
                <w:sz w:val="24"/>
                <w:szCs w:val="24"/>
              </w:rPr>
              <w:t>原有墙面基层空鼓、起皮、渗水病害较多，铲除修补工序繁琐，温湿度变化易造成腻子开裂，保温层、面层分层施工</w:t>
            </w:r>
            <w:r>
              <w:rPr>
                <w:rFonts w:hint="eastAsia"/>
                <w:color w:val="000000"/>
                <w:kern w:val="2"/>
                <w:sz w:val="24"/>
                <w:szCs w:val="24"/>
                <w:lang w:eastAsia="zh-CN"/>
              </w:rPr>
              <w:t>，</w:t>
            </w:r>
            <w:r>
              <w:rPr>
                <w:color w:val="000000"/>
                <w:kern w:val="2"/>
                <w:sz w:val="24"/>
                <w:szCs w:val="24"/>
              </w:rPr>
              <w:t>对</w:t>
            </w:r>
            <w:r>
              <w:rPr>
                <w:rFonts w:hint="eastAsia"/>
                <w:color w:val="000000"/>
                <w:kern w:val="2"/>
                <w:sz w:val="24"/>
                <w:szCs w:val="24"/>
                <w:lang w:val="en-US" w:eastAsia="zh-CN"/>
              </w:rPr>
              <w:t>工艺</w:t>
            </w:r>
            <w:r>
              <w:rPr>
                <w:color w:val="000000"/>
                <w:kern w:val="2"/>
                <w:sz w:val="24"/>
                <w:szCs w:val="24"/>
              </w:rPr>
              <w:t>要求严苛。</w:t>
            </w:r>
          </w:p>
          <w:p w14:paraId="28A6C8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default"/>
                <w:kern w:val="2"/>
                <w:sz w:val="21"/>
                <w:szCs w:val="22"/>
                <w:lang w:val="en-US" w:eastAsia="zh-CN"/>
              </w:rPr>
            </w:pPr>
            <w:r>
              <w:rPr>
                <w:rFonts w:hint="eastAsia" w:ascii="Symbol" w:hAnsi="Symbol" w:eastAsia="宋体" w:cs="Symbol"/>
                <w:kern w:val="2"/>
                <w:sz w:val="24"/>
                <w:szCs w:val="22"/>
                <w:lang w:val="en-US" w:eastAsia="zh-CN"/>
              </w:rPr>
              <w:t>6、</w:t>
            </w:r>
            <w:r>
              <w:rPr>
                <w:color w:val="000000"/>
                <w:kern w:val="2"/>
                <w:sz w:val="24"/>
                <w:szCs w:val="24"/>
              </w:rPr>
              <w:t>外墙涂料色差控制难度大，楼栋分段施工易出现接茬色差，窗边、分格缝收口处理不到位易渗水，门窗、外墙管线成品保护极易磕碰破损。</w:t>
            </w:r>
          </w:p>
        </w:tc>
      </w:tr>
      <w:tr w14:paraId="63FE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14:paraId="5A6A7E4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688" w:type="pct"/>
            <w:vAlign w:val="center"/>
          </w:tcPr>
          <w:p w14:paraId="5D175C0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996" w:type="pct"/>
            <w:vAlign w:val="center"/>
          </w:tcPr>
          <w:p w14:paraId="4717948F">
            <w:pPr>
              <w:numPr>
                <w:ilvl w:val="0"/>
                <w:numId w:val="0"/>
              </w:numPr>
              <w:spacing w:line="360" w:lineRule="auto"/>
              <w:rPr>
                <w:rFonts w:hint="eastAsia" w:eastAsia="@微软简标宋"/>
                <w:kern w:val="2"/>
                <w:sz w:val="21"/>
                <w:szCs w:val="22"/>
                <w:highlight w:val="none"/>
                <w:lang w:eastAsia="zh-CN"/>
              </w:rPr>
            </w:pPr>
            <w:r>
              <w:rPr>
                <w:rFonts w:hint="eastAsia" w:cs="@仿宋_GB2312" w:asciiTheme="minorEastAsia" w:hAnsiTheme="minorEastAsia" w:eastAsiaTheme="minorEastAsia"/>
                <w:color w:val="auto"/>
                <w:kern w:val="2"/>
                <w:sz w:val="24"/>
                <w:szCs w:val="22"/>
                <w:highlight w:val="none"/>
              </w:rPr>
              <w:t>供应商最后报价均不得高于磋商文件（公告）列明的项目预算、最高投标限价，否则其响应文件将被认定为响应无效。</w:t>
            </w:r>
          </w:p>
        </w:tc>
      </w:tr>
      <w:tr w14:paraId="04B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14:paraId="5C128B73">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688" w:type="pct"/>
            <w:vAlign w:val="center"/>
          </w:tcPr>
          <w:p w14:paraId="764B0141">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996" w:type="pct"/>
            <w:vAlign w:val="center"/>
          </w:tcPr>
          <w:p w14:paraId="5BD8340D">
            <w:pPr>
              <w:spacing w:line="360" w:lineRule="auto"/>
              <w:rPr>
                <w:rFonts w:hint="eastAsia" w:ascii="宋体" w:hAnsi="宋体" w:eastAsia="宋体"/>
                <w:color w:val="auto"/>
                <w:kern w:val="2"/>
                <w:sz w:val="24"/>
                <w:szCs w:val="18"/>
                <w:highlight w:val="none"/>
              </w:rPr>
            </w:pP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olor w:val="auto"/>
                <w:kern w:val="2"/>
                <w:sz w:val="24"/>
                <w:szCs w:val="18"/>
                <w:highlight w:val="none"/>
              </w:rPr>
              <w:t>：</w:t>
            </w:r>
          </w:p>
          <w:p w14:paraId="1C86B261">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4D1A62F">
            <w:pPr>
              <w:spacing w:line="360" w:lineRule="auto"/>
              <w:rPr>
                <w:rFonts w:hint="default" w:cs="@仿宋_GB2312" w:asciiTheme="minorEastAsia" w:hAnsiTheme="minorEastAsia" w:eastAsiaTheme="minorEastAsia"/>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65FB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14:paraId="2C7E1ACB">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688" w:type="pct"/>
            <w:vAlign w:val="center"/>
          </w:tcPr>
          <w:p w14:paraId="7C6E060D">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项目经理</w:t>
            </w:r>
          </w:p>
        </w:tc>
        <w:tc>
          <w:tcPr>
            <w:tcW w:w="3996" w:type="pct"/>
            <w:vAlign w:val="center"/>
          </w:tcPr>
          <w:p w14:paraId="7932DE1B">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1、项目经理须为供应商在职员工并由供应商依法缴纳社保，采购人有权在合同签订后进场施工前进行核实，若发现虚假响应，将追究违约责任。</w:t>
            </w:r>
          </w:p>
          <w:p w14:paraId="7357DB33">
            <w:pPr>
              <w:spacing w:line="360" w:lineRule="auto"/>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2、项目经理资格要求：供应商拟委任项目经理须具备建筑工程专业二级及以上注册建造师资格，具备有效的安全生产考核合格证书，且目前未在其他项目上任职或虽在其他项目上任职但本项目中标后能够从该项目撤离。</w:t>
            </w:r>
          </w:p>
          <w:p w14:paraId="289BCE98">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 xml:space="preserve">注： </w:t>
            </w:r>
          </w:p>
          <w:p w14:paraId="7F29B889">
            <w:pPr>
              <w:spacing w:line="360" w:lineRule="auto"/>
              <w:rPr>
                <w:rFonts w:cs="@仿宋_GB2312" w:asciiTheme="minorEastAsia" w:hAnsiTheme="minorEastAsia" w:eastAsiaTheme="minorEastAsia"/>
                <w:color w:val="auto"/>
                <w:kern w:val="2"/>
                <w:sz w:val="24"/>
                <w:szCs w:val="22"/>
                <w:highlight w:val="yellow"/>
              </w:rPr>
            </w:pPr>
            <w:r>
              <w:rPr>
                <w:rFonts w:hint="eastAsia" w:cs="@仿宋_GB2312" w:asciiTheme="minorEastAsia" w:hAnsiTheme="minorEastAsia" w:eastAsiaTheme="minorEastAsia"/>
                <w:color w:val="auto"/>
                <w:kern w:val="2"/>
                <w:sz w:val="24"/>
                <w:szCs w:val="22"/>
                <w:highlight w:val="none"/>
                <w:lang w:val="en-US" w:eastAsia="zh-CN"/>
              </w:rPr>
              <w:t xml:space="preserve">（1）响应文件中须提供证书扫描件。 </w:t>
            </w:r>
          </w:p>
          <w:p w14:paraId="0E6460F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（2）提供供应商为项目经理缴纳的近3个月内任意一个月社保证明材料扫描件，社保证明材料详见供应商须知前附表。</w:t>
            </w:r>
          </w:p>
        </w:tc>
      </w:tr>
      <w:tr w14:paraId="1ED4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14:paraId="399967DD">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688" w:type="pct"/>
            <w:vAlign w:val="center"/>
          </w:tcPr>
          <w:p w14:paraId="2CBC270C">
            <w:pPr>
              <w:spacing w:line="360" w:lineRule="auto"/>
              <w:jc w:val="center"/>
              <w:rPr>
                <w:rFonts w:hint="eastAsia" w:cs="@仿宋_GB2312" w:asciiTheme="minorEastAsia" w:hAnsiTheme="minorEastAsia" w:eastAsiaTheme="minorEastAsia"/>
                <w:color w:val="auto"/>
                <w:kern w:val="2"/>
                <w:sz w:val="21"/>
                <w:szCs w:val="22"/>
                <w:highlight w:val="none"/>
              </w:rPr>
            </w:pPr>
            <w:r>
              <w:rPr>
                <w:rFonts w:hint="eastAsia" w:cs="@仿宋_GB2312" w:asciiTheme="minorEastAsia" w:hAnsiTheme="minorEastAsia" w:eastAsiaTheme="minorEastAsia"/>
                <w:b w:val="0"/>
                <w:color w:val="auto"/>
                <w:kern w:val="2"/>
                <w:sz w:val="24"/>
                <w:szCs w:val="22"/>
                <w:highlight w:val="none"/>
              </w:rPr>
              <w:t>本项目采购标的名称及所属行业</w:t>
            </w:r>
          </w:p>
        </w:tc>
        <w:tc>
          <w:tcPr>
            <w:tcW w:w="3996" w:type="pct"/>
            <w:vAlign w:val="center"/>
          </w:tcPr>
          <w:p w14:paraId="17BF0A28">
            <w:pPr>
              <w:spacing w:line="360" w:lineRule="auto"/>
              <w:jc w:val="left"/>
              <w:rPr>
                <w:rFonts w:hint="eastAsia" w:cs="@仿宋_GB2312" w:asciiTheme="minorEastAsia" w:hAnsiTheme="minorEastAsia" w:eastAsiaTheme="minorEastAsia"/>
                <w:color w:val="auto"/>
                <w:kern w:val="2"/>
                <w:sz w:val="21"/>
                <w:szCs w:val="22"/>
                <w:highlight w:val="none"/>
              </w:rPr>
            </w:pPr>
            <w:r>
              <w:rPr>
                <w:rFonts w:hint="eastAsia" w:cs="@仿宋_GB2312" w:asciiTheme="minorEastAsia" w:hAnsiTheme="minorEastAsia" w:eastAsiaTheme="minorEastAsia"/>
                <w:color w:val="auto"/>
                <w:kern w:val="2"/>
                <w:sz w:val="24"/>
                <w:szCs w:val="22"/>
                <w:highlight w:val="none"/>
              </w:rPr>
              <w:t>标的名称：</w:t>
            </w:r>
            <w:r>
              <w:rPr>
                <w:rFonts w:hint="eastAsia" w:cs="@仿宋_GB2312" w:asciiTheme="minorEastAsia" w:hAnsiTheme="minorEastAsia" w:eastAsiaTheme="minorEastAsia"/>
                <w:color w:val="auto"/>
                <w:kern w:val="2"/>
                <w:sz w:val="24"/>
                <w:szCs w:val="22"/>
                <w:highlight w:val="none"/>
                <w:lang w:val="en-US" w:eastAsia="zh-CN"/>
              </w:rPr>
              <w:t>安徽大学磬苑校区理工楼EFGH、梅园桔园食堂及校医院外墙饰面维修更新项目</w:t>
            </w:r>
          </w:p>
          <w:p w14:paraId="511999CE">
            <w:pPr>
              <w:spacing w:line="360" w:lineRule="auto"/>
              <w:jc w:val="left"/>
              <w:rPr>
                <w:rFonts w:hint="eastAsia" w:asciiTheme="minorHAnsi" w:hAnsiTheme="minorHAnsi"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rPr>
              <w:t>所属行业：</w:t>
            </w:r>
            <w:r>
              <w:rPr>
                <w:rFonts w:hint="eastAsia" w:cs="@仿宋_GB2312" w:asciiTheme="minorEastAsia" w:hAnsiTheme="minorEastAsia" w:eastAsiaTheme="minorEastAsia"/>
                <w:color w:val="auto"/>
                <w:kern w:val="2"/>
                <w:sz w:val="24"/>
                <w:szCs w:val="22"/>
                <w:highlight w:val="none"/>
                <w:lang w:val="en-US" w:eastAsia="zh-CN"/>
              </w:rPr>
              <w:t>建筑业</w:t>
            </w:r>
          </w:p>
        </w:tc>
      </w:tr>
      <w:tr w14:paraId="2096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14:paraId="7C8A1C23">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8</w:t>
            </w:r>
          </w:p>
        </w:tc>
        <w:tc>
          <w:tcPr>
            <w:tcW w:w="688" w:type="pct"/>
            <w:vAlign w:val="center"/>
          </w:tcPr>
          <w:p w14:paraId="4448E7DF">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付款方式</w:t>
            </w:r>
          </w:p>
        </w:tc>
        <w:tc>
          <w:tcPr>
            <w:tcW w:w="3996" w:type="pct"/>
            <w:vAlign w:val="center"/>
          </w:tcPr>
          <w:p w14:paraId="4D5F0594">
            <w:pPr>
              <w:spacing w:line="360" w:lineRule="auto"/>
              <w:jc w:val="left"/>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（1）合同签订后，</w:t>
            </w:r>
            <w:r>
              <w:rPr>
                <w:rFonts w:hint="eastAsia" w:cs="@仿宋_GB2312" w:asciiTheme="minorEastAsia" w:hAnsiTheme="minorEastAsia" w:eastAsiaTheme="minorEastAsia"/>
                <w:color w:val="auto"/>
                <w:kern w:val="2"/>
                <w:sz w:val="24"/>
                <w:szCs w:val="22"/>
                <w:highlight w:val="none"/>
                <w:lang w:val="en-US" w:eastAsia="zh-CN"/>
              </w:rPr>
              <w:t>采购人</w:t>
            </w:r>
            <w:r>
              <w:rPr>
                <w:rFonts w:hint="eastAsia" w:cs="@仿宋_GB2312" w:asciiTheme="minorEastAsia" w:hAnsiTheme="minorEastAsia" w:eastAsiaTheme="minorEastAsia"/>
                <w:color w:val="auto"/>
                <w:kern w:val="2"/>
                <w:sz w:val="24"/>
                <w:szCs w:val="22"/>
                <w:highlight w:val="none"/>
              </w:rPr>
              <w:t>向</w:t>
            </w:r>
            <w:r>
              <w:rPr>
                <w:rFonts w:hint="eastAsia" w:cs="@仿宋_GB2312" w:asciiTheme="minorEastAsia" w:hAnsiTheme="minorEastAsia" w:eastAsiaTheme="minorEastAsia"/>
                <w:color w:val="auto"/>
                <w:kern w:val="2"/>
                <w:sz w:val="24"/>
                <w:szCs w:val="22"/>
                <w:highlight w:val="none"/>
                <w:lang w:val="en-US" w:eastAsia="zh-CN"/>
              </w:rPr>
              <w:t>成交供应商</w:t>
            </w:r>
            <w:r>
              <w:rPr>
                <w:rFonts w:hint="eastAsia" w:cs="@仿宋_GB2312" w:asciiTheme="minorEastAsia" w:hAnsiTheme="minorEastAsia" w:eastAsiaTheme="minorEastAsia"/>
                <w:color w:val="auto"/>
                <w:kern w:val="2"/>
                <w:sz w:val="24"/>
                <w:szCs w:val="22"/>
                <w:highlight w:val="none"/>
              </w:rPr>
              <w:t>支付合同总价</w:t>
            </w:r>
            <w:r>
              <w:rPr>
                <w:rFonts w:hint="eastAsia" w:cs="@仿宋_GB2312" w:asciiTheme="minorEastAsia" w:hAnsiTheme="minorEastAsia" w:eastAsiaTheme="minorEastAsia"/>
                <w:color w:val="auto"/>
                <w:kern w:val="2"/>
                <w:sz w:val="24"/>
                <w:szCs w:val="22"/>
                <w:highlight w:val="none"/>
                <w:lang w:val="en-US" w:eastAsia="zh-CN"/>
              </w:rPr>
              <w:t>40</w:t>
            </w:r>
            <w:r>
              <w:rPr>
                <w:rFonts w:hint="eastAsia" w:cs="@仿宋_GB2312" w:asciiTheme="minorEastAsia" w:hAnsiTheme="minorEastAsia" w:eastAsiaTheme="minorEastAsia"/>
                <w:color w:val="auto"/>
                <w:kern w:val="2"/>
                <w:sz w:val="24"/>
                <w:szCs w:val="22"/>
                <w:highlight w:val="none"/>
              </w:rPr>
              <w:t>%的工程预付款，同时</w:t>
            </w:r>
            <w:r>
              <w:rPr>
                <w:rFonts w:hint="eastAsia" w:cs="@仿宋_GB2312" w:asciiTheme="minorEastAsia" w:hAnsiTheme="minorEastAsia" w:eastAsiaTheme="minorEastAsia"/>
                <w:color w:val="auto"/>
                <w:kern w:val="2"/>
                <w:sz w:val="24"/>
                <w:szCs w:val="22"/>
                <w:highlight w:val="none"/>
                <w:lang w:val="en-US" w:eastAsia="zh-CN"/>
              </w:rPr>
              <w:t>成交供应商</w:t>
            </w:r>
            <w:r>
              <w:rPr>
                <w:rFonts w:hint="eastAsia" w:cs="@仿宋_GB2312" w:asciiTheme="minorEastAsia" w:hAnsiTheme="minorEastAsia" w:eastAsiaTheme="minorEastAsia"/>
                <w:color w:val="auto"/>
                <w:kern w:val="2"/>
                <w:sz w:val="24"/>
                <w:szCs w:val="22"/>
                <w:highlight w:val="none"/>
              </w:rPr>
              <w:t>向</w:t>
            </w:r>
            <w:r>
              <w:rPr>
                <w:rFonts w:hint="eastAsia" w:cs="@仿宋_GB2312" w:asciiTheme="minorEastAsia" w:hAnsiTheme="minorEastAsia" w:eastAsiaTheme="minorEastAsia"/>
                <w:color w:val="auto"/>
                <w:kern w:val="2"/>
                <w:sz w:val="24"/>
                <w:szCs w:val="22"/>
                <w:highlight w:val="none"/>
                <w:lang w:val="en-US" w:eastAsia="zh-CN"/>
              </w:rPr>
              <w:t>采购人</w:t>
            </w:r>
            <w:r>
              <w:rPr>
                <w:rFonts w:hint="eastAsia" w:cs="@仿宋_GB2312" w:asciiTheme="minorEastAsia" w:hAnsiTheme="minorEastAsia" w:eastAsiaTheme="minorEastAsia"/>
                <w:color w:val="auto"/>
                <w:kern w:val="2"/>
                <w:sz w:val="24"/>
                <w:szCs w:val="22"/>
                <w:highlight w:val="none"/>
              </w:rPr>
              <w:t>提交同等金额的预付款担保（预付款担保格式见合同附件）；</w:t>
            </w:r>
          </w:p>
          <w:p w14:paraId="75F8244D">
            <w:pPr>
              <w:spacing w:line="360" w:lineRule="auto"/>
              <w:jc w:val="left"/>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w:t>
            </w:r>
            <w:r>
              <w:rPr>
                <w:rFonts w:hint="eastAsia" w:cs="@仿宋_GB2312" w:asciiTheme="minorEastAsia" w:hAnsiTheme="minorEastAsia" w:eastAsiaTheme="minorEastAsia"/>
                <w:color w:val="auto"/>
                <w:kern w:val="2"/>
                <w:sz w:val="24"/>
                <w:szCs w:val="22"/>
                <w:highlight w:val="none"/>
                <w:lang w:val="en-US" w:eastAsia="zh-CN"/>
              </w:rPr>
              <w:t>2</w:t>
            </w:r>
            <w:r>
              <w:rPr>
                <w:rFonts w:hint="eastAsia" w:cs="@仿宋_GB2312" w:asciiTheme="minorEastAsia" w:hAnsiTheme="minorEastAsia" w:eastAsiaTheme="minorEastAsia"/>
                <w:color w:val="auto"/>
                <w:kern w:val="2"/>
                <w:sz w:val="24"/>
                <w:szCs w:val="22"/>
                <w:highlight w:val="none"/>
              </w:rPr>
              <w:t>）竣工验收合格后付至已完工程量的8</w:t>
            </w:r>
            <w:r>
              <w:rPr>
                <w:rFonts w:hint="eastAsia" w:cs="@仿宋_GB2312" w:asciiTheme="minorEastAsia" w:hAnsiTheme="minorEastAsia" w:eastAsiaTheme="minorEastAsia"/>
                <w:color w:val="auto"/>
                <w:kern w:val="2"/>
                <w:sz w:val="24"/>
                <w:szCs w:val="22"/>
                <w:highlight w:val="none"/>
                <w:lang w:val="en-US" w:eastAsia="zh-CN"/>
              </w:rPr>
              <w:t>0</w:t>
            </w:r>
            <w:r>
              <w:rPr>
                <w:rFonts w:hint="eastAsia" w:cs="@仿宋_GB2312" w:asciiTheme="minorEastAsia" w:hAnsiTheme="minorEastAsia" w:eastAsiaTheme="minorEastAsia"/>
                <w:color w:val="auto"/>
                <w:kern w:val="2"/>
                <w:sz w:val="24"/>
                <w:szCs w:val="22"/>
                <w:highlight w:val="none"/>
              </w:rPr>
              <w:t>%（扣除暂列金）；结算审核后付至结算审核价的97%，余款3%作为</w:t>
            </w:r>
            <w:r>
              <w:rPr>
                <w:rFonts w:hint="eastAsia" w:cs="@仿宋_GB2312" w:asciiTheme="minorEastAsia" w:hAnsiTheme="minorEastAsia" w:eastAsiaTheme="minorEastAsia"/>
                <w:color w:val="auto"/>
                <w:kern w:val="2"/>
                <w:sz w:val="24"/>
                <w:szCs w:val="22"/>
                <w:highlight w:val="none"/>
                <w:lang w:val="en-US" w:eastAsia="zh-CN"/>
              </w:rPr>
              <w:t>工程</w:t>
            </w:r>
            <w:r>
              <w:rPr>
                <w:rFonts w:hint="eastAsia" w:cs="@仿宋_GB2312" w:asciiTheme="minorEastAsia" w:hAnsiTheme="minorEastAsia" w:eastAsiaTheme="minorEastAsia"/>
                <w:color w:val="auto"/>
                <w:kern w:val="2"/>
                <w:sz w:val="24"/>
                <w:szCs w:val="22"/>
                <w:highlight w:val="none"/>
              </w:rPr>
              <w:t>质保金，待质量缺陷责任期（2年）满且</w:t>
            </w:r>
            <w:r>
              <w:rPr>
                <w:rFonts w:hint="eastAsia" w:cs="@仿宋_GB2312" w:asciiTheme="minorEastAsia" w:hAnsiTheme="minorEastAsia" w:eastAsiaTheme="minorEastAsia"/>
                <w:color w:val="auto"/>
                <w:kern w:val="2"/>
                <w:sz w:val="24"/>
                <w:szCs w:val="22"/>
                <w:highlight w:val="none"/>
                <w:lang w:val="en-US" w:eastAsia="zh-CN"/>
              </w:rPr>
              <w:t>成交供应商</w:t>
            </w:r>
            <w:r>
              <w:rPr>
                <w:rFonts w:hint="eastAsia" w:cs="@仿宋_GB2312" w:asciiTheme="minorEastAsia" w:hAnsiTheme="minorEastAsia" w:eastAsiaTheme="minorEastAsia"/>
                <w:color w:val="auto"/>
                <w:kern w:val="2"/>
                <w:sz w:val="24"/>
                <w:szCs w:val="22"/>
                <w:highlight w:val="none"/>
              </w:rPr>
              <w:t>完全履行了保修义务质量回访合格后一次付清。</w:t>
            </w:r>
          </w:p>
          <w:p w14:paraId="46D1EDC7">
            <w:pPr>
              <w:spacing w:line="360" w:lineRule="auto"/>
              <w:jc w:val="left"/>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如</w:t>
            </w:r>
            <w:r>
              <w:rPr>
                <w:rFonts w:hint="eastAsia" w:cs="@仿宋_GB2312" w:asciiTheme="minorEastAsia" w:hAnsiTheme="minorEastAsia" w:eastAsiaTheme="minorEastAsia"/>
                <w:color w:val="auto"/>
                <w:kern w:val="2"/>
                <w:sz w:val="24"/>
                <w:szCs w:val="22"/>
                <w:highlight w:val="none"/>
                <w:lang w:val="en-US" w:eastAsia="zh-CN"/>
              </w:rPr>
              <w:t>成交供应商</w:t>
            </w:r>
            <w:r>
              <w:rPr>
                <w:rFonts w:hint="eastAsia" w:cs="@仿宋_GB2312" w:asciiTheme="minorEastAsia" w:hAnsiTheme="minorEastAsia" w:eastAsiaTheme="minorEastAsia"/>
                <w:color w:val="auto"/>
                <w:kern w:val="2"/>
                <w:sz w:val="24"/>
                <w:szCs w:val="22"/>
                <w:highlight w:val="none"/>
              </w:rPr>
              <w:t>采用“银行保函或保证保险等方式”提交等额工程质量保证金，则在工程竣工结算</w:t>
            </w:r>
            <w:r>
              <w:rPr>
                <w:rFonts w:hint="eastAsia" w:cs="@仿宋_GB2312" w:asciiTheme="minorEastAsia" w:hAnsiTheme="minorEastAsia" w:eastAsiaTheme="minorEastAsia"/>
                <w:color w:val="auto"/>
                <w:kern w:val="2"/>
                <w:sz w:val="24"/>
                <w:szCs w:val="22"/>
                <w:highlight w:val="none"/>
                <w:lang w:val="en-US" w:eastAsia="zh-CN"/>
              </w:rPr>
              <w:t>审核</w:t>
            </w:r>
            <w:r>
              <w:rPr>
                <w:rFonts w:hint="eastAsia" w:cs="@仿宋_GB2312" w:asciiTheme="minorEastAsia" w:hAnsiTheme="minorEastAsia" w:eastAsiaTheme="minorEastAsia"/>
                <w:color w:val="auto"/>
                <w:kern w:val="2"/>
                <w:sz w:val="24"/>
                <w:szCs w:val="22"/>
                <w:highlight w:val="none"/>
              </w:rPr>
              <w:t>完成后</w:t>
            </w:r>
            <w:r>
              <w:rPr>
                <w:rFonts w:hint="eastAsia" w:cs="@仿宋_GB2312" w:asciiTheme="minorEastAsia" w:hAnsiTheme="minorEastAsia" w:eastAsiaTheme="minorEastAsia"/>
                <w:color w:val="auto"/>
                <w:kern w:val="2"/>
                <w:sz w:val="24"/>
                <w:szCs w:val="22"/>
                <w:highlight w:val="none"/>
                <w:lang w:val="en-US" w:eastAsia="zh-CN"/>
              </w:rPr>
              <w:t>采购人</w:t>
            </w:r>
            <w:r>
              <w:rPr>
                <w:rFonts w:hint="eastAsia" w:cs="@仿宋_GB2312" w:asciiTheme="minorEastAsia" w:hAnsiTheme="minorEastAsia" w:eastAsiaTheme="minorEastAsia"/>
                <w:color w:val="auto"/>
                <w:kern w:val="2"/>
                <w:sz w:val="24"/>
                <w:szCs w:val="22"/>
                <w:highlight w:val="none"/>
              </w:rPr>
              <w:t>付至最终审定价款的100%。</w:t>
            </w:r>
          </w:p>
        </w:tc>
      </w:tr>
      <w:tr w14:paraId="5272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14:paraId="7D1109D0">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9</w:t>
            </w:r>
          </w:p>
        </w:tc>
        <w:tc>
          <w:tcPr>
            <w:tcW w:w="688" w:type="pct"/>
            <w:vAlign w:val="center"/>
          </w:tcPr>
          <w:p w14:paraId="50261659">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工程量清单、图纸</w:t>
            </w:r>
          </w:p>
        </w:tc>
        <w:tc>
          <w:tcPr>
            <w:tcW w:w="3996" w:type="pct"/>
            <w:vAlign w:val="center"/>
          </w:tcPr>
          <w:p w14:paraId="5C1AAEF9">
            <w:pPr>
              <w:spacing w:line="360" w:lineRule="auto"/>
              <w:jc w:val="left"/>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另附。</w:t>
            </w:r>
          </w:p>
        </w:tc>
      </w:tr>
      <w:tr w14:paraId="6770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14:paraId="18BCFB49">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10</w:t>
            </w:r>
          </w:p>
        </w:tc>
        <w:tc>
          <w:tcPr>
            <w:tcW w:w="688" w:type="pct"/>
            <w:vAlign w:val="center"/>
          </w:tcPr>
          <w:p w14:paraId="37E5CFD9">
            <w:pPr>
              <w:spacing w:line="360" w:lineRule="auto"/>
              <w:jc w:val="center"/>
              <w:rPr>
                <w:rFonts w:hint="eastAsia" w:cs="@仿宋_GB2312" w:asciiTheme="minorEastAsia" w:hAnsiTheme="minorEastAsia" w:eastAsiaTheme="minorEastAsia"/>
                <w:color w:val="auto"/>
                <w:kern w:val="2"/>
                <w:sz w:val="21"/>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其他</w:t>
            </w:r>
          </w:p>
        </w:tc>
        <w:tc>
          <w:tcPr>
            <w:tcW w:w="3996" w:type="pct"/>
            <w:vAlign w:val="center"/>
          </w:tcPr>
          <w:p w14:paraId="26CA071E">
            <w:pPr>
              <w:spacing w:line="360" w:lineRule="auto"/>
              <w:rPr>
                <w:rFonts w:hint="default" w:asciiTheme="minorEastAsia" w:hAnsiTheme="minorEastAsia" w:eastAsiaTheme="minorEastAsia"/>
                <w:b/>
                <w:bCs/>
                <w:color w:val="auto"/>
                <w:kern w:val="2"/>
                <w:sz w:val="24"/>
                <w:szCs w:val="22"/>
                <w:highlight w:val="none"/>
                <w:lang w:val="en-US"/>
              </w:rPr>
            </w:pPr>
            <w:r>
              <w:rPr>
                <w:rFonts w:hint="eastAsia" w:asciiTheme="minorEastAsia" w:hAnsiTheme="minorEastAsia" w:eastAsiaTheme="minorEastAsia"/>
                <w:b/>
                <w:bCs/>
                <w:color w:val="auto"/>
                <w:kern w:val="2"/>
                <w:sz w:val="24"/>
                <w:szCs w:val="22"/>
                <w:highlight w:val="none"/>
                <w:lang w:val="en-US" w:eastAsia="zh-CN"/>
              </w:rPr>
              <w:t>1、现场踏勘要求：投标人须自行到场踏勘，充分了解现场施工作业面、建筑外墙工程量及病害现状，投标报价包含所有人工、材料、机械、赶工费、安全防护等全部费用。理工楼EFGH东、北、南立面：若存在保温层受损、开裂、空鼓、渗漏、脱落、强度不满足要求等质量缺陷时，应先进行相应缺陷修复，涂刷界面增强材料。请投标人综合考虑报价，中标后不予调整。</w:t>
            </w:r>
          </w:p>
          <w:p w14:paraId="366E6AD4">
            <w:pPr>
              <w:spacing w:line="360" w:lineRule="auto"/>
              <w:rPr>
                <w:rFonts w:hint="eastAsia" w:asciiTheme="minorEastAsia" w:hAnsiTheme="minorEastAsia" w:eastAsiaTheme="minorEastAsia"/>
                <w:color w:val="auto"/>
                <w:kern w:val="2"/>
                <w:sz w:val="24"/>
                <w:szCs w:val="22"/>
                <w:highlight w:val="none"/>
              </w:rPr>
            </w:pPr>
            <w:r>
              <w:rPr>
                <w:rFonts w:hint="eastAsia" w:asciiTheme="minorEastAsia" w:hAnsiTheme="minorEastAsia" w:eastAsiaTheme="minorEastAsia"/>
                <w:b/>
                <w:bCs/>
                <w:color w:val="auto"/>
                <w:kern w:val="2"/>
                <w:sz w:val="24"/>
                <w:szCs w:val="22"/>
                <w:highlight w:val="none"/>
                <w:lang w:val="en-US" w:eastAsia="zh-CN"/>
              </w:rPr>
              <w:t>2、工期硬性要求：</w:t>
            </w:r>
            <w:r>
              <w:rPr>
                <w:rFonts w:hint="eastAsia" w:asciiTheme="minorEastAsia" w:hAnsiTheme="minorEastAsia" w:eastAsiaTheme="minorEastAsia"/>
                <w:color w:val="auto"/>
                <w:kern w:val="2"/>
                <w:sz w:val="24"/>
                <w:szCs w:val="22"/>
                <w:highlight w:val="none"/>
                <w:lang w:val="en-US" w:eastAsia="zh-CN"/>
              </w:rPr>
              <w:t>本项目工期紧、作业面广，利用45天，开学前必须完成全部施工、保洁、验收及整改。开学后校园人流量密集，禁止开展外墙高空作业、喷涂施工及大规模垃圾清运，本项目工期不予任何顺延，所有天气、高温、雷雨、校区管控、错峰施工等损耗均由中标单位自行承担。</w:t>
            </w:r>
            <w:r>
              <w:rPr>
                <w:rFonts w:hint="eastAsia" w:asciiTheme="minorEastAsia" w:hAnsiTheme="minorEastAsia" w:eastAsiaTheme="minorEastAsia"/>
                <w:b/>
                <w:bCs/>
                <w:color w:val="auto"/>
                <w:kern w:val="2"/>
                <w:sz w:val="24"/>
                <w:szCs w:val="22"/>
                <w:highlight w:val="none"/>
                <w:lang w:val="en-US" w:eastAsia="zh-CN"/>
              </w:rPr>
              <w:t>未在工期内完成全部施工、验收交付及整改合格的，每逾期一天按合同总价的1.5‰支付违约金，工期违约金最高不超高合同额的5%；逾期超7天，建设方有权终止合同并追责损失。违约金由采购人在进度款或竣工结算审核中一次性扣除。</w:t>
            </w:r>
          </w:p>
          <w:p w14:paraId="0F7A3D43">
            <w:pPr>
              <w:spacing w:line="360" w:lineRule="auto"/>
              <w:rPr>
                <w:rFonts w:hint="eastAsia" w:asciiTheme="minorEastAsia" w:hAnsiTheme="minorEastAsia" w:eastAsiaTheme="minorEastAsia"/>
                <w:color w:val="auto"/>
                <w:kern w:val="2"/>
                <w:sz w:val="24"/>
                <w:szCs w:val="22"/>
                <w:highlight w:val="none"/>
                <w:lang w:val="en-US" w:eastAsia="zh-CN"/>
              </w:rPr>
            </w:pPr>
            <w:r>
              <w:rPr>
                <w:rFonts w:hint="eastAsia" w:asciiTheme="minorEastAsia" w:hAnsiTheme="minorEastAsia" w:eastAsiaTheme="minorEastAsia"/>
                <w:color w:val="auto"/>
                <w:kern w:val="2"/>
                <w:sz w:val="24"/>
                <w:szCs w:val="22"/>
                <w:highlight w:val="none"/>
                <w:lang w:val="en-US" w:eastAsia="zh-CN"/>
              </w:rPr>
              <w:t>3、校园管理要求：施工严格避开食堂就餐、校医院诊疗时段，禁止夜间、午休高噪音施工；材料运输、车辆进出严格遵守校园管理规定，不得破坏校园公共设施及绿化，损坏照价赔偿。</w:t>
            </w:r>
          </w:p>
          <w:p w14:paraId="41685671">
            <w:pPr>
              <w:spacing w:line="360" w:lineRule="auto"/>
              <w:rPr>
                <w:rFonts w:hint="eastAsia" w:asciiTheme="minorEastAsia" w:hAnsiTheme="minorEastAsia" w:eastAsiaTheme="minorEastAsia"/>
                <w:color w:val="auto"/>
                <w:kern w:val="2"/>
                <w:sz w:val="24"/>
                <w:szCs w:val="22"/>
                <w:highlight w:val="none"/>
                <w:lang w:val="en-US" w:eastAsia="zh-CN"/>
              </w:rPr>
            </w:pPr>
            <w:r>
              <w:rPr>
                <w:rFonts w:hint="eastAsia" w:asciiTheme="minorEastAsia" w:hAnsiTheme="minorEastAsia" w:eastAsiaTheme="minorEastAsia"/>
                <w:color w:val="auto"/>
                <w:kern w:val="2"/>
                <w:sz w:val="24"/>
                <w:szCs w:val="22"/>
                <w:highlight w:val="none"/>
                <w:lang w:val="en-US" w:eastAsia="zh-CN"/>
              </w:rPr>
              <w:t>4、样板先行要求：大面积施工前必须制作外墙样板段，经校方验收合格、签字封样后，方可开展整体施工。</w:t>
            </w:r>
          </w:p>
          <w:p w14:paraId="0A56D9BD">
            <w:pPr>
              <w:spacing w:line="360" w:lineRule="auto"/>
              <w:jc w:val="left"/>
              <w:rPr>
                <w:rFonts w:hint="eastAsia" w:asciiTheme="minorEastAsia" w:hAnsiTheme="minorEastAsia" w:eastAsiaTheme="minorEastAsia"/>
                <w:color w:val="auto"/>
                <w:kern w:val="2"/>
                <w:sz w:val="24"/>
                <w:szCs w:val="22"/>
                <w:highlight w:val="none"/>
                <w:lang w:val="en-US" w:eastAsia="zh-CN"/>
              </w:rPr>
            </w:pPr>
            <w:r>
              <w:rPr>
                <w:rFonts w:hint="eastAsia" w:asciiTheme="minorEastAsia" w:hAnsiTheme="minorEastAsia" w:eastAsiaTheme="minorEastAsia"/>
                <w:color w:val="auto"/>
                <w:kern w:val="2"/>
                <w:sz w:val="24"/>
                <w:szCs w:val="22"/>
                <w:highlight w:val="none"/>
                <w:lang w:val="en-US" w:eastAsia="zh-CN"/>
              </w:rPr>
              <w:t>5、所有主材须为正规品牌，提供产品合格证、检测报告，进场材料须经建设方/监理核验、合格后方可使用，推荐品牌见下表。</w:t>
            </w:r>
          </w:p>
          <w:tbl>
            <w:tblPr>
              <w:tblStyle w:val="9"/>
              <w:tblW w:w="6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375"/>
              <w:gridCol w:w="3006"/>
              <w:gridCol w:w="664"/>
            </w:tblGrid>
            <w:tr w14:paraId="0F62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82" w:type="dxa"/>
                  <w:vAlign w:val="center"/>
                </w:tcPr>
                <w:p w14:paraId="636501BE">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2375" w:type="dxa"/>
                  <w:vAlign w:val="center"/>
                </w:tcPr>
                <w:p w14:paraId="66FF5B17">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材料名称</w:t>
                  </w:r>
                </w:p>
              </w:tc>
              <w:tc>
                <w:tcPr>
                  <w:tcW w:w="3006" w:type="dxa"/>
                  <w:vAlign w:val="center"/>
                </w:tcPr>
                <w:p w14:paraId="3618ECC2">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推荐品牌</w:t>
                  </w:r>
                </w:p>
              </w:tc>
              <w:tc>
                <w:tcPr>
                  <w:tcW w:w="664" w:type="dxa"/>
                  <w:vAlign w:val="center"/>
                </w:tcPr>
                <w:p w14:paraId="3F2CFF9A">
                  <w:pPr>
                    <w:spacing w:line="360" w:lineRule="auto"/>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备注</w:t>
                  </w:r>
                </w:p>
              </w:tc>
            </w:tr>
            <w:tr w14:paraId="00FE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2" w:type="dxa"/>
                  <w:vAlign w:val="center"/>
                </w:tcPr>
                <w:p w14:paraId="60EFA3F2">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１</w:t>
                  </w:r>
                </w:p>
              </w:tc>
              <w:tc>
                <w:tcPr>
                  <w:tcW w:w="2375" w:type="dxa"/>
                  <w:vAlign w:val="center"/>
                </w:tcPr>
                <w:p w14:paraId="6530108B">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外墙柔性耐水腻子</w:t>
                  </w:r>
                </w:p>
              </w:tc>
              <w:tc>
                <w:tcPr>
                  <w:tcW w:w="3006" w:type="dxa"/>
                  <w:vAlign w:val="center"/>
                </w:tcPr>
                <w:p w14:paraId="441BEFCF">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东方雨虹、科顺、西卡</w:t>
                  </w:r>
                </w:p>
                <w:p w14:paraId="375D6D5E">
                  <w:pPr>
                    <w:spacing w:line="360" w:lineRule="auto"/>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（参照或相当于）</w:t>
                  </w:r>
                </w:p>
              </w:tc>
              <w:tc>
                <w:tcPr>
                  <w:tcW w:w="664" w:type="dxa"/>
                  <w:vAlign w:val="center"/>
                </w:tcPr>
                <w:p w14:paraId="0142E972">
                  <w:pPr>
                    <w:spacing w:line="360" w:lineRule="auto"/>
                    <w:ind w:firstLine="480" w:firstLineChars="200"/>
                    <w:jc w:val="center"/>
                    <w:rPr>
                      <w:rFonts w:hint="eastAsia" w:asciiTheme="minorEastAsia" w:hAnsiTheme="minorEastAsia" w:eastAsiaTheme="minorEastAsia"/>
                      <w:color w:val="auto"/>
                      <w:sz w:val="24"/>
                      <w:highlight w:val="none"/>
                    </w:rPr>
                  </w:pPr>
                </w:p>
              </w:tc>
            </w:tr>
            <w:tr w14:paraId="1402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82" w:type="dxa"/>
                  <w:vAlign w:val="center"/>
                </w:tcPr>
                <w:p w14:paraId="2580F32C">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p>
              </w:tc>
              <w:tc>
                <w:tcPr>
                  <w:tcW w:w="2375" w:type="dxa"/>
                  <w:shd w:val="clear" w:color="auto" w:fill="auto"/>
                  <w:vAlign w:val="center"/>
                </w:tcPr>
                <w:p w14:paraId="48A0D7BD">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真石漆专用抗碱封闭底漆</w:t>
                  </w:r>
                </w:p>
              </w:tc>
              <w:tc>
                <w:tcPr>
                  <w:tcW w:w="3006" w:type="dxa"/>
                  <w:shd w:val="clear" w:color="auto" w:fill="auto"/>
                  <w:vAlign w:val="center"/>
                </w:tcPr>
                <w:p w14:paraId="1D9663AC">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东方雨虹、科顺、三棵树</w:t>
                  </w:r>
                </w:p>
                <w:p w14:paraId="30CC5FB8">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eastAsia="zh-CN"/>
                    </w:rPr>
                    <w:t>（参照或相当于）</w:t>
                  </w:r>
                </w:p>
              </w:tc>
              <w:tc>
                <w:tcPr>
                  <w:tcW w:w="664" w:type="dxa"/>
                  <w:shd w:val="clear" w:color="auto" w:fill="auto"/>
                  <w:vAlign w:val="center"/>
                </w:tcPr>
                <w:p w14:paraId="358A67B7">
                  <w:pPr>
                    <w:spacing w:line="360" w:lineRule="auto"/>
                    <w:ind w:firstLine="480" w:firstLineChars="200"/>
                    <w:jc w:val="center"/>
                    <w:rPr>
                      <w:rFonts w:hint="eastAsia" w:asciiTheme="minorEastAsia" w:hAnsiTheme="minorEastAsia" w:eastAsiaTheme="minorEastAsia"/>
                      <w:color w:val="auto"/>
                      <w:sz w:val="24"/>
                      <w:highlight w:val="none"/>
                      <w:lang w:val="en-US" w:eastAsia="zh-CN"/>
                    </w:rPr>
                  </w:pPr>
                </w:p>
              </w:tc>
            </w:tr>
            <w:tr w14:paraId="1824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82" w:type="dxa"/>
                  <w:shd w:val="clear" w:color="auto" w:fill="auto"/>
                  <w:vAlign w:val="center"/>
                </w:tcPr>
                <w:p w14:paraId="74ED6BEC">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w:t>
                  </w:r>
                </w:p>
              </w:tc>
              <w:tc>
                <w:tcPr>
                  <w:tcW w:w="2375" w:type="dxa"/>
                  <w:shd w:val="clear" w:color="auto" w:fill="auto"/>
                  <w:vAlign w:val="center"/>
                </w:tcPr>
                <w:p w14:paraId="7DB10AE9">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天然真石漆（面层主材）</w:t>
                  </w:r>
                </w:p>
              </w:tc>
              <w:tc>
                <w:tcPr>
                  <w:tcW w:w="3006" w:type="dxa"/>
                  <w:shd w:val="clear" w:color="auto" w:fill="auto"/>
                  <w:vAlign w:val="center"/>
                </w:tcPr>
                <w:p w14:paraId="7F68CE2F">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东方雨虹、科顺、铃鹿</w:t>
                  </w:r>
                </w:p>
                <w:p w14:paraId="50964C42">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eastAsia="zh-CN"/>
                    </w:rPr>
                    <w:t>（参照或相当于）</w:t>
                  </w:r>
                </w:p>
              </w:tc>
              <w:tc>
                <w:tcPr>
                  <w:tcW w:w="664" w:type="dxa"/>
                  <w:shd w:val="clear" w:color="auto" w:fill="auto"/>
                  <w:vAlign w:val="center"/>
                </w:tcPr>
                <w:p w14:paraId="3A39A2D7">
                  <w:pPr>
                    <w:spacing w:line="360" w:lineRule="auto"/>
                    <w:ind w:firstLine="480" w:firstLineChars="200"/>
                    <w:jc w:val="center"/>
                    <w:rPr>
                      <w:rFonts w:hint="eastAsia" w:asciiTheme="minorEastAsia" w:hAnsiTheme="minorEastAsia" w:eastAsiaTheme="minorEastAsia"/>
                      <w:color w:val="auto"/>
                      <w:sz w:val="24"/>
                      <w:highlight w:val="none"/>
                      <w:lang w:val="en-US" w:eastAsia="zh-CN"/>
                    </w:rPr>
                  </w:pPr>
                </w:p>
              </w:tc>
            </w:tr>
            <w:tr w14:paraId="4FF0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82" w:type="dxa"/>
                  <w:shd w:val="clear" w:color="auto" w:fill="auto"/>
                  <w:vAlign w:val="center"/>
                </w:tcPr>
                <w:p w14:paraId="2329200B">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w:t>
                  </w:r>
                </w:p>
              </w:tc>
              <w:tc>
                <w:tcPr>
                  <w:tcW w:w="2375" w:type="dxa"/>
                  <w:shd w:val="clear" w:color="auto" w:fill="auto"/>
                  <w:vAlign w:val="center"/>
                </w:tcPr>
                <w:p w14:paraId="2716EB26">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硅丙透明罩面漆</w:t>
                  </w:r>
                </w:p>
              </w:tc>
              <w:tc>
                <w:tcPr>
                  <w:tcW w:w="3006" w:type="dxa"/>
                  <w:shd w:val="clear" w:color="auto" w:fill="auto"/>
                  <w:vAlign w:val="center"/>
                </w:tcPr>
                <w:p w14:paraId="182EA89A">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东方雨虹、科顺、三棵树</w:t>
                  </w:r>
                </w:p>
                <w:p w14:paraId="55647B19">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eastAsia="zh-CN"/>
                    </w:rPr>
                    <w:t>（参照或相当于）</w:t>
                  </w:r>
                </w:p>
              </w:tc>
              <w:tc>
                <w:tcPr>
                  <w:tcW w:w="664" w:type="dxa"/>
                  <w:shd w:val="clear" w:color="auto" w:fill="auto"/>
                  <w:vAlign w:val="center"/>
                </w:tcPr>
                <w:p w14:paraId="4E908C86">
                  <w:pPr>
                    <w:spacing w:line="360" w:lineRule="auto"/>
                    <w:ind w:firstLine="480" w:firstLineChars="200"/>
                    <w:jc w:val="center"/>
                    <w:rPr>
                      <w:rFonts w:hint="eastAsia" w:asciiTheme="minorEastAsia" w:hAnsiTheme="minorEastAsia" w:eastAsiaTheme="minorEastAsia"/>
                      <w:color w:val="auto"/>
                      <w:sz w:val="24"/>
                      <w:highlight w:val="none"/>
                      <w:lang w:val="en-US" w:eastAsia="zh-CN"/>
                    </w:rPr>
                  </w:pPr>
                </w:p>
              </w:tc>
            </w:tr>
            <w:tr w14:paraId="12DB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82" w:type="dxa"/>
                  <w:shd w:val="clear" w:color="auto" w:fill="auto"/>
                  <w:vAlign w:val="center"/>
                </w:tcPr>
                <w:p w14:paraId="1F9A5F91">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w:t>
                  </w:r>
                </w:p>
              </w:tc>
              <w:tc>
                <w:tcPr>
                  <w:tcW w:w="2375" w:type="dxa"/>
                  <w:shd w:val="clear" w:color="auto" w:fill="auto"/>
                  <w:vAlign w:val="center"/>
                </w:tcPr>
                <w:p w14:paraId="7B1549EB">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中性耐候硅酮密封胶</w:t>
                  </w:r>
                </w:p>
              </w:tc>
              <w:tc>
                <w:tcPr>
                  <w:tcW w:w="3006" w:type="dxa"/>
                  <w:shd w:val="clear" w:color="auto" w:fill="auto"/>
                  <w:vAlign w:val="center"/>
                </w:tcPr>
                <w:p w14:paraId="400DDA43">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西卡、东方雨虹、硅宝</w:t>
                  </w:r>
                </w:p>
                <w:p w14:paraId="706DD8C9">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eastAsia="zh-CN"/>
                    </w:rPr>
                    <w:t>（参照或相当于）</w:t>
                  </w:r>
                </w:p>
              </w:tc>
              <w:tc>
                <w:tcPr>
                  <w:tcW w:w="664" w:type="dxa"/>
                  <w:vAlign w:val="center"/>
                </w:tcPr>
                <w:p w14:paraId="151ECE1C">
                  <w:pPr>
                    <w:spacing w:line="360" w:lineRule="auto"/>
                    <w:ind w:firstLine="480" w:firstLineChars="200"/>
                    <w:jc w:val="center"/>
                    <w:rPr>
                      <w:rFonts w:hint="eastAsia" w:asciiTheme="minorEastAsia" w:hAnsiTheme="minorEastAsia" w:eastAsiaTheme="minorEastAsia"/>
                      <w:color w:val="auto"/>
                      <w:sz w:val="24"/>
                      <w:highlight w:val="none"/>
                    </w:rPr>
                  </w:pPr>
                </w:p>
              </w:tc>
            </w:tr>
            <w:tr w14:paraId="4ACB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82" w:type="dxa"/>
                  <w:vAlign w:val="center"/>
                </w:tcPr>
                <w:p w14:paraId="68C45B12">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w:t>
                  </w:r>
                </w:p>
              </w:tc>
              <w:tc>
                <w:tcPr>
                  <w:tcW w:w="2375" w:type="dxa"/>
                  <w:shd w:val="clear" w:color="auto" w:fill="auto"/>
                  <w:vAlign w:val="center"/>
                </w:tcPr>
                <w:p w14:paraId="1F3D751A">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防水卷材、防水涂料</w:t>
                  </w:r>
                </w:p>
              </w:tc>
              <w:tc>
                <w:tcPr>
                  <w:tcW w:w="3006" w:type="dxa"/>
                  <w:shd w:val="clear" w:color="auto" w:fill="auto"/>
                  <w:vAlign w:val="center"/>
                </w:tcPr>
                <w:p w14:paraId="4AD2A5BD">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东方雨虹、北新禹王、德高</w:t>
                  </w:r>
                </w:p>
                <w:p w14:paraId="6FEA1832">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eastAsia="zh-CN"/>
                    </w:rPr>
                    <w:t>（参照或相当于）</w:t>
                  </w:r>
                </w:p>
              </w:tc>
              <w:tc>
                <w:tcPr>
                  <w:tcW w:w="664" w:type="dxa"/>
                  <w:vAlign w:val="center"/>
                </w:tcPr>
                <w:p w14:paraId="77D753A1">
                  <w:pPr>
                    <w:spacing w:line="360" w:lineRule="auto"/>
                    <w:ind w:firstLine="480" w:firstLineChars="200"/>
                    <w:jc w:val="center"/>
                    <w:rPr>
                      <w:rFonts w:hint="eastAsia" w:asciiTheme="minorEastAsia" w:hAnsiTheme="minorEastAsia" w:eastAsiaTheme="minorEastAsia"/>
                      <w:color w:val="auto"/>
                      <w:sz w:val="24"/>
                      <w:highlight w:val="none"/>
                      <w:lang w:val="en-US" w:eastAsia="zh-CN"/>
                    </w:rPr>
                  </w:pPr>
                </w:p>
              </w:tc>
            </w:tr>
          </w:tbl>
          <w:p w14:paraId="1D2EE533">
            <w:pPr>
              <w:pStyle w:val="2"/>
              <w:rPr>
                <w:rFonts w:hint="default"/>
                <w:lang w:val="en-US" w:eastAsia="zh-CN"/>
              </w:rPr>
            </w:pPr>
          </w:p>
        </w:tc>
      </w:tr>
      <w:tr w14:paraId="4482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 w:type="pct"/>
            <w:vAlign w:val="center"/>
          </w:tcPr>
          <w:p w14:paraId="04320F3D">
            <w:pPr>
              <w:spacing w:line="360" w:lineRule="auto"/>
              <w:jc w:val="center"/>
              <w:rPr>
                <w:rFonts w:hint="default"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11</w:t>
            </w:r>
          </w:p>
        </w:tc>
        <w:tc>
          <w:tcPr>
            <w:tcW w:w="688" w:type="pct"/>
            <w:vAlign w:val="center"/>
          </w:tcPr>
          <w:p w14:paraId="0D94834F">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bidi="ar"/>
              </w:rPr>
              <w:t>工程增值税税率</w:t>
            </w:r>
          </w:p>
        </w:tc>
        <w:tc>
          <w:tcPr>
            <w:tcW w:w="3996" w:type="pct"/>
            <w:vAlign w:val="center"/>
          </w:tcPr>
          <w:p w14:paraId="4389E15C">
            <w:pPr>
              <w:keepNext w:val="0"/>
              <w:keepLines w:val="0"/>
              <w:widowControl/>
              <w:suppressLineNumbers w:val="0"/>
              <w:spacing w:line="360" w:lineRule="auto"/>
              <w:jc w:val="left"/>
              <w:rPr>
                <w:rFonts w:hint="eastAsia" w:asciiTheme="minorEastAsia" w:hAnsiTheme="minorEastAsia" w:eastAsiaTheme="minorEastAsia"/>
                <w:color w:val="auto"/>
                <w:kern w:val="2"/>
                <w:sz w:val="24"/>
                <w:szCs w:val="22"/>
                <w:highlight w:val="none"/>
              </w:rPr>
            </w:pPr>
            <w:r>
              <w:rPr>
                <w:rFonts w:hint="eastAsia" w:asciiTheme="minorEastAsia" w:hAnsiTheme="minorEastAsia" w:eastAsiaTheme="minorEastAsia" w:cstheme="minorBidi"/>
                <w:color w:val="auto"/>
                <w:kern w:val="2"/>
                <w:sz w:val="24"/>
                <w:szCs w:val="22"/>
                <w:highlight w:val="none"/>
                <w:lang w:val="en-US" w:eastAsia="zh-CN" w:bidi="ar"/>
              </w:rPr>
              <w:t>工程增值税税率：9%。</w:t>
            </w:r>
          </w:p>
          <w:p w14:paraId="1F3A2544">
            <w:pPr>
              <w:keepNext w:val="0"/>
              <w:keepLines w:val="0"/>
              <w:widowControl/>
              <w:suppressLineNumbers w:val="0"/>
              <w:spacing w:line="360" w:lineRule="auto"/>
              <w:jc w:val="left"/>
              <w:rPr>
                <w:rFonts w:hint="eastAsia" w:asciiTheme="minorEastAsia" w:hAnsiTheme="minorEastAsia" w:eastAsiaTheme="minorEastAsia"/>
                <w:color w:val="auto"/>
                <w:kern w:val="2"/>
                <w:sz w:val="24"/>
                <w:szCs w:val="22"/>
                <w:highlight w:val="none"/>
              </w:rPr>
            </w:pPr>
            <w:r>
              <w:rPr>
                <w:rFonts w:hint="eastAsia" w:asciiTheme="minorEastAsia" w:hAnsiTheme="minorEastAsia" w:eastAsiaTheme="minorEastAsia" w:cstheme="minorBidi"/>
                <w:color w:val="auto"/>
                <w:kern w:val="2"/>
                <w:sz w:val="24"/>
                <w:szCs w:val="22"/>
                <w:highlight w:val="none"/>
                <w:lang w:val="en-US" w:eastAsia="zh-CN" w:bidi="ar"/>
              </w:rPr>
              <w:t xml:space="preserve">本项目涉及增值税税率调整，根据国家相关政策，如成交单位适用1%或3%征收率征收增值税（如小规模纳税人适用减征政策），则在项目成交后，成交供应商须向采购人提供符合相关优惠政策的证明材料，双方将按照以下方式对税率差进行补偿： </w:t>
            </w:r>
          </w:p>
          <w:p w14:paraId="00279E4D">
            <w:pPr>
              <w:keepNext w:val="0"/>
              <w:keepLines w:val="0"/>
              <w:widowControl/>
              <w:suppressLineNumbers w:val="0"/>
              <w:spacing w:line="360" w:lineRule="auto"/>
              <w:jc w:val="left"/>
              <w:rPr>
                <w:rFonts w:hint="eastAsia" w:asciiTheme="minorEastAsia" w:hAnsiTheme="minorEastAsia" w:eastAsiaTheme="minorEastAsia" w:cstheme="minorBidi"/>
                <w:color w:val="auto"/>
                <w:kern w:val="2"/>
                <w:sz w:val="24"/>
                <w:szCs w:val="22"/>
                <w:highlight w:val="none"/>
                <w:lang w:val="en-US" w:eastAsia="zh-CN" w:bidi="ar"/>
              </w:rPr>
            </w:pPr>
            <w:r>
              <w:rPr>
                <w:rFonts w:hint="eastAsia" w:asciiTheme="minorEastAsia" w:hAnsiTheme="minorEastAsia" w:eastAsiaTheme="minorEastAsia" w:cstheme="minorBidi"/>
                <w:color w:val="auto"/>
                <w:kern w:val="2"/>
                <w:sz w:val="24"/>
                <w:szCs w:val="22"/>
                <w:highlight w:val="none"/>
                <w:lang w:val="en-US" w:eastAsia="zh-CN" w:bidi="ar"/>
              </w:rPr>
              <w:t>（1）补偿范围：以响应报价中包含的增值税部分为基数，计算税率差额（即9%与1%或3%的差值）。</w:t>
            </w:r>
          </w:p>
          <w:p w14:paraId="0FC90D25">
            <w:pPr>
              <w:keepNext w:val="0"/>
              <w:keepLines w:val="0"/>
              <w:widowControl/>
              <w:suppressLineNumbers w:val="0"/>
              <w:spacing w:line="360" w:lineRule="auto"/>
              <w:jc w:val="left"/>
              <w:rPr>
                <w:rFonts w:hint="eastAsia" w:asciiTheme="minorEastAsia" w:hAnsiTheme="minorEastAsia" w:eastAsiaTheme="minorEastAsia" w:cstheme="minorBidi"/>
                <w:color w:val="auto"/>
                <w:kern w:val="2"/>
                <w:sz w:val="24"/>
                <w:szCs w:val="22"/>
                <w:highlight w:val="none"/>
                <w:lang w:val="en-US" w:eastAsia="zh-CN" w:bidi="ar"/>
              </w:rPr>
            </w:pPr>
            <w:r>
              <w:rPr>
                <w:rFonts w:hint="eastAsia" w:asciiTheme="minorEastAsia" w:hAnsiTheme="minorEastAsia" w:eastAsiaTheme="minorEastAsia" w:cstheme="minorBidi"/>
                <w:color w:val="auto"/>
                <w:kern w:val="2"/>
                <w:sz w:val="24"/>
                <w:szCs w:val="22"/>
                <w:highlight w:val="none"/>
                <w:lang w:val="en-US" w:eastAsia="zh-CN" w:bidi="ar"/>
              </w:rPr>
              <w:t>（2）补偿方式：在合同签订后，双方将根据实际税率差额，以书面形式确认补偿金额，并在工程款支付时一并结算。</w:t>
            </w:r>
          </w:p>
          <w:p w14:paraId="662917EF">
            <w:pPr>
              <w:spacing w:line="360" w:lineRule="auto"/>
              <w:rPr>
                <w:rFonts w:hint="eastAsia" w:asciiTheme="minorEastAsia" w:hAnsiTheme="minorEastAsia" w:eastAsiaTheme="minorEastAsia"/>
                <w:color w:val="auto"/>
                <w:kern w:val="2"/>
                <w:sz w:val="24"/>
                <w:szCs w:val="22"/>
                <w:highlight w:val="none"/>
                <w:lang w:val="en-US" w:eastAsia="zh-CN"/>
              </w:rPr>
            </w:pPr>
            <w:r>
              <w:rPr>
                <w:rFonts w:hint="eastAsia" w:asciiTheme="minorEastAsia" w:hAnsiTheme="minorEastAsia" w:eastAsiaTheme="minorEastAsia" w:cstheme="minorBidi"/>
                <w:color w:val="auto"/>
                <w:kern w:val="2"/>
                <w:sz w:val="24"/>
                <w:szCs w:val="22"/>
                <w:highlight w:val="none"/>
                <w:lang w:val="en-US" w:eastAsia="zh-CN" w:bidi="ar"/>
              </w:rPr>
              <w:t>（3）责任与义务：成交单位需提供合法有效的增值税发票，以证明其适用1%或3%税率。若因政策调整或其他原因导致税率变化，双方将根据实际情况协商调整补偿方案。</w:t>
            </w:r>
          </w:p>
        </w:tc>
      </w:tr>
    </w:tbl>
    <w:p w14:paraId="7492D033">
      <w:pPr>
        <w:spacing w:line="360" w:lineRule="auto"/>
        <w:ind w:firstLine="482" w:firstLineChars="200"/>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一、主要改造内容</w:t>
      </w:r>
    </w:p>
    <w:p w14:paraId="1DDB919B">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本项目包含所有楼栋南北立面、东西山墙（含造型及周边、屋顶附属建筑）、窗台、女儿墙、外墙分格、空调机位、梁柱外立面等全部外墙区域，主要施工内容包含但不限于：前期防护与成品保护、外墙基层整体处理、外墙真石漆整体翻新、屋面</w:t>
      </w:r>
      <w:r>
        <w:rPr>
          <w:rFonts w:hint="default" w:asciiTheme="minorEastAsia" w:hAnsiTheme="minorEastAsia" w:eastAsiaTheme="minorEastAsia"/>
          <w:color w:val="auto"/>
          <w:sz w:val="24"/>
          <w:highlight w:val="none"/>
          <w:lang w:val="en-US" w:eastAsia="zh-CN"/>
        </w:rPr>
        <w:t>局部</w:t>
      </w:r>
      <w:r>
        <w:rPr>
          <w:rFonts w:hint="eastAsia" w:asciiTheme="minorEastAsia" w:hAnsiTheme="minorEastAsia" w:eastAsiaTheme="minorEastAsia"/>
          <w:color w:val="auto"/>
          <w:sz w:val="24"/>
          <w:highlight w:val="none"/>
          <w:lang w:val="en-US" w:eastAsia="zh-CN"/>
        </w:rPr>
        <w:t>防水改造等。</w:t>
      </w:r>
    </w:p>
    <w:p w14:paraId="2969F0FC">
      <w:pPr>
        <w:numPr>
          <w:ilvl w:val="0"/>
          <w:numId w:val="2"/>
        </w:numPr>
        <w:spacing w:line="360" w:lineRule="auto"/>
        <w:ind w:firstLine="482"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项目管理要求</w:t>
      </w:r>
    </w:p>
    <w:p w14:paraId="3A4469E0">
      <w:p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1.人员管理</w:t>
      </w:r>
    </w:p>
    <w:p w14:paraId="7A673687">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（1）技术负责人须全程常驻施工现场，统筹工期、质量、安全及现场对接。</w:t>
      </w:r>
    </w:p>
    <w:p w14:paraId="477A1C0D">
      <w:pPr>
        <w:numPr>
          <w:ilvl w:val="0"/>
          <w:numId w:val="0"/>
        </w:numPr>
        <w:spacing w:line="360" w:lineRule="auto"/>
        <w:ind w:firstLine="482" w:firstLineChars="200"/>
        <w:rPr>
          <w:rFonts w:hint="default"/>
          <w:b/>
          <w:bCs/>
          <w:lang w:val="en-US"/>
        </w:rPr>
      </w:pPr>
      <w:r>
        <w:rPr>
          <w:rFonts w:hint="eastAsia" w:asciiTheme="minorEastAsia" w:hAnsiTheme="minorEastAsia" w:eastAsiaTheme="minorEastAsia"/>
          <w:b/>
          <w:bCs/>
          <w:color w:val="auto"/>
          <w:sz w:val="24"/>
          <w:highlight w:val="none"/>
          <w:lang w:val="en-US" w:eastAsia="zh-CN"/>
        </w:rPr>
        <w:t>（2）至少配备3名专职安全员常驻现场，负责高空作业、吊篮设备、施工安全、校区安全管控，每日开展安全巡查并留存记录。至少配备2名施工技术员常驻现场。</w:t>
      </w:r>
    </w:p>
    <w:p w14:paraId="06D5864B">
      <w:pPr>
        <w:numPr>
          <w:ilvl w:val="0"/>
          <w:numId w:val="0"/>
        </w:num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（3）现场管理人员全程在岗，服从学校管理、现场调度，每日上报施工进度、安全台账，严格遵守校园施工管理制度。</w:t>
      </w:r>
      <w:r>
        <w:rPr>
          <w:rFonts w:hint="eastAsia" w:asciiTheme="minorEastAsia" w:hAnsiTheme="minorEastAsia" w:eastAsiaTheme="minorEastAsia"/>
          <w:b/>
          <w:bCs/>
          <w:color w:val="auto"/>
          <w:sz w:val="24"/>
          <w:highlight w:val="none"/>
          <w:lang w:val="en-US" w:eastAsia="zh-CN"/>
        </w:rPr>
        <w:t>所有高空作业人员持证上岗，并购买足额高空作业意外伤害保险。</w:t>
      </w:r>
    </w:p>
    <w:p w14:paraId="291B6B2B">
      <w:pPr>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w:t>
      </w:r>
      <w:r>
        <w:rPr>
          <w:rFonts w:hint="eastAsia" w:cs="Times New Roman"/>
          <w:b w:val="0"/>
          <w:bCs w:val="0"/>
          <w:color w:val="auto"/>
          <w:sz w:val="24"/>
          <w:szCs w:val="24"/>
          <w:highlight w:val="none"/>
          <w:lang w:val="en-US" w:eastAsia="zh-CN"/>
        </w:rPr>
        <w:t>4</w:t>
      </w:r>
      <w:r>
        <w:rPr>
          <w:rFonts w:hint="eastAsia" w:ascii="宋体" w:hAnsi="宋体" w:eastAsia="宋体" w:cs="Times New Roman"/>
          <w:b w:val="0"/>
          <w:bCs w:val="0"/>
          <w:color w:val="auto"/>
          <w:sz w:val="24"/>
          <w:szCs w:val="24"/>
          <w:highlight w:val="none"/>
          <w:lang w:val="en-US" w:eastAsia="zh-CN"/>
        </w:rPr>
        <w:t>）在项目实施过程中，成交供应商须按响应文件配备专业人员，承诺配备的所有人员均应及时到位，未经采购人同意，成交供应商不得擅自更换或者减少上述人员。若因成交供应商原因需要更换项目人员的，需经采购人同意，更换人员资质能力不得低于原人员。若更换项目经理，成交供应商需承担</w:t>
      </w:r>
      <w:r>
        <w:rPr>
          <w:rFonts w:hint="eastAsia" w:cs="Times New Roman"/>
          <w:b w:val="0"/>
          <w:bCs w:val="0"/>
          <w:color w:val="auto"/>
          <w:sz w:val="24"/>
          <w:szCs w:val="24"/>
          <w:highlight w:val="none"/>
          <w:lang w:val="en-US" w:eastAsia="zh-CN"/>
        </w:rPr>
        <w:t>5</w:t>
      </w:r>
      <w:r>
        <w:rPr>
          <w:rFonts w:hint="eastAsia" w:ascii="宋体" w:hAnsi="宋体" w:eastAsia="宋体" w:cs="Times New Roman"/>
          <w:b w:val="0"/>
          <w:bCs w:val="0"/>
          <w:color w:val="auto"/>
          <w:sz w:val="24"/>
          <w:szCs w:val="24"/>
          <w:highlight w:val="none"/>
          <w:lang w:val="en-US" w:eastAsia="zh-CN"/>
        </w:rPr>
        <w:t>万元/人次的违约金；若更换技术负责人，成交供应商需承担</w:t>
      </w:r>
      <w:r>
        <w:rPr>
          <w:rFonts w:hint="eastAsia" w:cs="Times New Roman"/>
          <w:b w:val="0"/>
          <w:bCs w:val="0"/>
          <w:color w:val="auto"/>
          <w:sz w:val="24"/>
          <w:szCs w:val="24"/>
          <w:highlight w:val="none"/>
          <w:lang w:val="en-US" w:eastAsia="zh-CN"/>
        </w:rPr>
        <w:t>3</w:t>
      </w:r>
      <w:r>
        <w:rPr>
          <w:rFonts w:hint="eastAsia" w:ascii="宋体" w:hAnsi="宋体" w:eastAsia="宋体" w:cs="Times New Roman"/>
          <w:b w:val="0"/>
          <w:bCs w:val="0"/>
          <w:color w:val="auto"/>
          <w:sz w:val="24"/>
          <w:szCs w:val="24"/>
          <w:highlight w:val="none"/>
          <w:lang w:val="en-US" w:eastAsia="zh-CN"/>
        </w:rPr>
        <w:t>万元/人次的违约金；若更换其他成员，交供应商需承担</w:t>
      </w:r>
      <w:r>
        <w:rPr>
          <w:rFonts w:hint="eastAsia" w:cs="Times New Roman"/>
          <w:b w:val="0"/>
          <w:bCs w:val="0"/>
          <w:color w:val="auto"/>
          <w:sz w:val="24"/>
          <w:szCs w:val="24"/>
          <w:highlight w:val="none"/>
          <w:lang w:val="en-US" w:eastAsia="zh-CN"/>
        </w:rPr>
        <w:t>1</w:t>
      </w:r>
      <w:r>
        <w:rPr>
          <w:rFonts w:hint="eastAsia" w:ascii="宋体" w:hAnsi="宋体" w:eastAsia="宋体" w:cs="Times New Roman"/>
          <w:b w:val="0"/>
          <w:bCs w:val="0"/>
          <w:color w:val="auto"/>
          <w:sz w:val="24"/>
          <w:szCs w:val="24"/>
          <w:highlight w:val="none"/>
          <w:lang w:val="en-US" w:eastAsia="zh-CN"/>
        </w:rPr>
        <w:t>万元/人次的违约金。项目经理和其他履约人员每月到场时间不得少于22天，特殊情况人员外出需向采购人的项目负责人履行请假程序。若存在项目人员无故不参加会议、不到岗履职成交供应商将承担</w:t>
      </w:r>
      <w:r>
        <w:rPr>
          <w:rFonts w:hint="eastAsia" w:cs="Times New Roman"/>
          <w:b w:val="0"/>
          <w:bCs w:val="0"/>
          <w:color w:val="auto"/>
          <w:sz w:val="24"/>
          <w:szCs w:val="24"/>
          <w:highlight w:val="none"/>
          <w:lang w:val="en-US" w:eastAsia="zh-CN"/>
        </w:rPr>
        <w:t>10</w:t>
      </w:r>
      <w:r>
        <w:rPr>
          <w:rFonts w:hint="eastAsia" w:ascii="宋体" w:hAnsi="宋体" w:eastAsia="宋体" w:cs="Times New Roman"/>
          <w:b w:val="0"/>
          <w:bCs w:val="0"/>
          <w:color w:val="auto"/>
          <w:sz w:val="24"/>
          <w:szCs w:val="24"/>
          <w:highlight w:val="none"/>
          <w:lang w:val="en-US" w:eastAsia="zh-CN"/>
        </w:rPr>
        <w:t>00元/天或次的违约金。</w:t>
      </w:r>
    </w:p>
    <w:p w14:paraId="2ECF5D3D">
      <w:pPr>
        <w:spacing w:line="360" w:lineRule="auto"/>
        <w:ind w:firstLine="480" w:firstLineChars="200"/>
        <w:jc w:val="left"/>
        <w:rPr>
          <w:rFonts w:hint="eastAsia" w:asciiTheme="minorEastAsia" w:hAnsiTheme="minorEastAsia" w:eastAsiaTheme="minorEastAsia"/>
          <w:color w:val="auto"/>
          <w:sz w:val="24"/>
          <w:highlight w:val="none"/>
          <w:lang w:val="en-US" w:eastAsia="zh-CN"/>
        </w:rPr>
      </w:pPr>
      <w:r>
        <w:rPr>
          <w:rFonts w:hint="eastAsia" w:ascii="宋体" w:hAnsi="宋体" w:eastAsia="宋体" w:cs="Times New Roman"/>
          <w:b w:val="0"/>
          <w:bCs w:val="0"/>
          <w:color w:val="auto"/>
          <w:sz w:val="24"/>
          <w:szCs w:val="24"/>
          <w:highlight w:val="none"/>
          <w:lang w:val="en-US" w:eastAsia="zh-CN"/>
        </w:rPr>
        <w:t>（</w:t>
      </w:r>
      <w:r>
        <w:rPr>
          <w:rFonts w:hint="eastAsia" w:cs="Times New Roman"/>
          <w:b w:val="0"/>
          <w:bCs w:val="0"/>
          <w:color w:val="auto"/>
          <w:sz w:val="24"/>
          <w:szCs w:val="24"/>
          <w:highlight w:val="none"/>
          <w:lang w:val="en-US" w:eastAsia="zh-CN"/>
        </w:rPr>
        <w:t>5</w:t>
      </w:r>
      <w:r>
        <w:rPr>
          <w:rFonts w:hint="eastAsia" w:ascii="宋体" w:hAnsi="宋体" w:eastAsia="宋体" w:cs="Times New Roman"/>
          <w:b w:val="0"/>
          <w:bCs w:val="0"/>
          <w:color w:val="auto"/>
          <w:sz w:val="24"/>
          <w:szCs w:val="24"/>
          <w:highlight w:val="none"/>
          <w:lang w:val="en-US" w:eastAsia="zh-CN"/>
        </w:rPr>
        <w:t>）</w:t>
      </w:r>
      <w:r>
        <w:rPr>
          <w:rFonts w:hint="eastAsia" w:ascii="宋体" w:hAnsi="宋体" w:eastAsia="宋体" w:cs="Times New Roman"/>
          <w:b w:val="0"/>
          <w:bCs w:val="0"/>
          <w:color w:val="auto"/>
          <w:sz w:val="24"/>
          <w:szCs w:val="24"/>
          <w:highlight w:val="none"/>
        </w:rPr>
        <w:t>项目实施过程中，根据项目</w:t>
      </w:r>
      <w:r>
        <w:rPr>
          <w:rFonts w:hint="eastAsia" w:cs="Times New Roman"/>
          <w:b w:val="0"/>
          <w:bCs w:val="0"/>
          <w:color w:val="auto"/>
          <w:sz w:val="24"/>
          <w:szCs w:val="24"/>
          <w:highlight w:val="none"/>
          <w:lang w:val="en-US" w:eastAsia="zh-CN"/>
        </w:rPr>
        <w:t>实时</w:t>
      </w:r>
      <w:r>
        <w:rPr>
          <w:rFonts w:hint="eastAsia" w:ascii="宋体" w:hAnsi="宋体" w:eastAsia="宋体" w:cs="Times New Roman"/>
          <w:b w:val="0"/>
          <w:bCs w:val="0"/>
          <w:color w:val="auto"/>
          <w:sz w:val="24"/>
          <w:szCs w:val="24"/>
          <w:highlight w:val="none"/>
        </w:rPr>
        <w:t>情况需增加</w:t>
      </w:r>
      <w:r>
        <w:rPr>
          <w:rFonts w:hint="eastAsia" w:cs="Times New Roman"/>
          <w:b w:val="0"/>
          <w:bCs w:val="0"/>
          <w:color w:val="auto"/>
          <w:sz w:val="24"/>
          <w:szCs w:val="24"/>
          <w:highlight w:val="none"/>
          <w:lang w:val="en-US" w:eastAsia="zh-CN"/>
        </w:rPr>
        <w:t>管理</w:t>
      </w:r>
      <w:r>
        <w:rPr>
          <w:rFonts w:hint="eastAsia" w:ascii="宋体" w:hAnsi="宋体" w:eastAsia="宋体" w:cs="Times New Roman"/>
          <w:b w:val="0"/>
          <w:bCs w:val="0"/>
          <w:color w:val="auto"/>
          <w:sz w:val="24"/>
          <w:szCs w:val="24"/>
          <w:highlight w:val="none"/>
        </w:rPr>
        <w:t>人员时</w:t>
      </w:r>
      <w:r>
        <w:rPr>
          <w:rFonts w:hint="eastAsia" w:cs="Times New Roman"/>
          <w:b w:val="0"/>
          <w:bCs w:val="0"/>
          <w:color w:val="auto"/>
          <w:sz w:val="24"/>
          <w:szCs w:val="24"/>
          <w:highlight w:val="none"/>
          <w:lang w:eastAsia="zh-CN"/>
        </w:rPr>
        <w:t>，</w:t>
      </w:r>
      <w:r>
        <w:rPr>
          <w:rFonts w:hint="eastAsia" w:ascii="宋体" w:hAnsi="宋体" w:eastAsia="宋体" w:cs="Times New Roman"/>
          <w:b w:val="0"/>
          <w:bCs w:val="0"/>
          <w:color w:val="auto"/>
          <w:sz w:val="24"/>
          <w:szCs w:val="24"/>
          <w:highlight w:val="none"/>
        </w:rPr>
        <w:t>成交供应商必须积极配合建设单位增加人员</w:t>
      </w:r>
      <w:r>
        <w:rPr>
          <w:rFonts w:hint="eastAsia" w:ascii="宋体" w:hAnsi="宋体" w:eastAsia="宋体" w:cs="Times New Roman"/>
          <w:b w:val="0"/>
          <w:bCs w:val="0"/>
          <w:color w:val="auto"/>
          <w:sz w:val="24"/>
          <w:szCs w:val="24"/>
          <w:highlight w:val="none"/>
          <w:lang w:eastAsia="zh-CN"/>
        </w:rPr>
        <w:t>，</w:t>
      </w:r>
      <w:r>
        <w:rPr>
          <w:rFonts w:hint="eastAsia" w:ascii="宋体" w:hAnsi="宋体" w:eastAsia="宋体" w:cs="Times New Roman"/>
          <w:b w:val="0"/>
          <w:bCs w:val="0"/>
          <w:color w:val="auto"/>
          <w:sz w:val="24"/>
          <w:szCs w:val="24"/>
          <w:highlight w:val="none"/>
          <w:lang w:val="en-US" w:eastAsia="zh-CN"/>
        </w:rPr>
        <w:t>若不配合增加管理人员成交供应商将承担</w:t>
      </w:r>
      <w:r>
        <w:rPr>
          <w:rFonts w:hint="eastAsia" w:cs="Times New Roman"/>
          <w:b w:val="0"/>
          <w:bCs w:val="0"/>
          <w:color w:val="auto"/>
          <w:sz w:val="24"/>
          <w:szCs w:val="24"/>
          <w:highlight w:val="none"/>
          <w:lang w:val="en-US" w:eastAsia="zh-CN"/>
        </w:rPr>
        <w:t>1</w:t>
      </w:r>
      <w:r>
        <w:rPr>
          <w:rFonts w:hint="eastAsia" w:ascii="宋体" w:hAnsi="宋体" w:eastAsia="宋体" w:cs="Times New Roman"/>
          <w:b w:val="0"/>
          <w:bCs w:val="0"/>
          <w:color w:val="auto"/>
          <w:sz w:val="24"/>
          <w:szCs w:val="24"/>
          <w:highlight w:val="none"/>
          <w:lang w:val="en-US" w:eastAsia="zh-CN"/>
        </w:rPr>
        <w:t>万元/人次的违约金。</w:t>
      </w:r>
    </w:p>
    <w:p w14:paraId="5D9D594D">
      <w:pPr>
        <w:numPr>
          <w:ilvl w:val="0"/>
          <w:numId w:val="0"/>
        </w:numPr>
        <w:spacing w:line="360" w:lineRule="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2.安全管理</w:t>
      </w:r>
    </w:p>
    <w:p w14:paraId="72BC9997">
      <w:pPr>
        <w:spacing w:line="360" w:lineRule="auto"/>
        <w:ind w:firstLine="480" w:firstLineChars="200"/>
        <w:jc w:val="left"/>
        <w:rPr>
          <w:rFonts w:hint="default"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（1）成交供应商需按照要求做好项目安全教育和安全交底工作</w:t>
      </w:r>
      <w:r>
        <w:rPr>
          <w:rFonts w:hint="eastAsia" w:cs="Times New Roman"/>
          <w:b w:val="0"/>
          <w:bCs w:val="0"/>
          <w:color w:val="auto"/>
          <w:sz w:val="24"/>
          <w:szCs w:val="24"/>
          <w:highlight w:val="none"/>
          <w:lang w:val="en-US" w:eastAsia="zh-CN"/>
        </w:rPr>
        <w:t>，</w:t>
      </w:r>
      <w:r>
        <w:rPr>
          <w:rFonts w:hint="eastAsia" w:ascii="宋体" w:hAnsi="宋体" w:eastAsia="宋体" w:cs="Times New Roman"/>
          <w:b w:val="0"/>
          <w:bCs w:val="0"/>
          <w:color w:val="auto"/>
          <w:sz w:val="24"/>
          <w:szCs w:val="24"/>
          <w:highlight w:val="none"/>
          <w:lang w:val="en-US" w:eastAsia="zh-CN"/>
        </w:rPr>
        <w:t>若未完成成交供应商将承担1000元/次的违约金。</w:t>
      </w:r>
    </w:p>
    <w:p w14:paraId="68806518">
      <w:pPr>
        <w:spacing w:line="360" w:lineRule="auto"/>
        <w:ind w:firstLine="482" w:firstLineChars="200"/>
        <w:jc w:val="left"/>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（2）现场进出口位置必须配置专职人员看管、进入施工现场必须配备安全帽、马甲等</w:t>
      </w:r>
      <w:r>
        <w:rPr>
          <w:rFonts w:hint="eastAsia" w:cs="Times New Roman"/>
          <w:b/>
          <w:bCs/>
          <w:color w:val="auto"/>
          <w:sz w:val="24"/>
          <w:szCs w:val="24"/>
          <w:highlight w:val="none"/>
          <w:lang w:val="en-US" w:eastAsia="zh-CN"/>
        </w:rPr>
        <w:t>，</w:t>
      </w:r>
      <w:r>
        <w:rPr>
          <w:rFonts w:hint="eastAsia" w:ascii="宋体" w:hAnsi="宋体" w:eastAsia="宋体" w:cs="Times New Roman"/>
          <w:b/>
          <w:bCs/>
          <w:color w:val="auto"/>
          <w:sz w:val="24"/>
          <w:szCs w:val="24"/>
          <w:highlight w:val="none"/>
          <w:lang w:val="en-US" w:eastAsia="zh-CN"/>
        </w:rPr>
        <w:t>一经发现</w:t>
      </w:r>
      <w:r>
        <w:rPr>
          <w:rFonts w:hint="eastAsia" w:cs="Times New Roman"/>
          <w:b/>
          <w:bCs/>
          <w:color w:val="auto"/>
          <w:sz w:val="24"/>
          <w:szCs w:val="24"/>
          <w:highlight w:val="none"/>
          <w:lang w:val="en-US" w:eastAsia="zh-CN"/>
        </w:rPr>
        <w:t>未按规定执行</w:t>
      </w:r>
      <w:r>
        <w:rPr>
          <w:rFonts w:hint="eastAsia" w:ascii="宋体" w:hAnsi="宋体" w:eastAsia="宋体" w:cs="Times New Roman"/>
          <w:b/>
          <w:bCs/>
          <w:color w:val="auto"/>
          <w:sz w:val="24"/>
          <w:szCs w:val="24"/>
          <w:highlight w:val="none"/>
          <w:lang w:val="en-US" w:eastAsia="zh-CN"/>
        </w:rPr>
        <w:t>成交供应商将承担200元/人</w:t>
      </w:r>
      <w:r>
        <w:rPr>
          <w:rFonts w:hint="eastAsia" w:cs="Times New Roman"/>
          <w:b/>
          <w:bCs/>
          <w:color w:val="auto"/>
          <w:sz w:val="24"/>
          <w:szCs w:val="24"/>
          <w:highlight w:val="none"/>
          <w:lang w:val="en-US" w:eastAsia="zh-CN"/>
        </w:rPr>
        <w:t>.</w:t>
      </w:r>
      <w:r>
        <w:rPr>
          <w:rFonts w:hint="eastAsia" w:ascii="宋体" w:hAnsi="宋体" w:eastAsia="宋体" w:cs="Times New Roman"/>
          <w:b/>
          <w:bCs/>
          <w:color w:val="auto"/>
          <w:sz w:val="24"/>
          <w:szCs w:val="24"/>
          <w:highlight w:val="none"/>
          <w:lang w:val="en-US" w:eastAsia="zh-CN"/>
        </w:rPr>
        <w:t>次的违约金。</w:t>
      </w:r>
    </w:p>
    <w:p w14:paraId="6C2E6A47">
      <w:pPr>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w:t>
      </w:r>
      <w:r>
        <w:rPr>
          <w:rFonts w:hint="eastAsia" w:cs="Times New Roman"/>
          <w:b w:val="0"/>
          <w:bCs w:val="0"/>
          <w:color w:val="auto"/>
          <w:sz w:val="24"/>
          <w:szCs w:val="24"/>
          <w:highlight w:val="none"/>
          <w:lang w:val="en-US" w:eastAsia="zh-CN"/>
        </w:rPr>
        <w:t>3</w:t>
      </w:r>
      <w:r>
        <w:rPr>
          <w:rFonts w:hint="eastAsia" w:ascii="宋体" w:hAnsi="宋体" w:eastAsia="宋体" w:cs="Times New Roman"/>
          <w:b w:val="0"/>
          <w:bCs w:val="0"/>
          <w:color w:val="auto"/>
          <w:sz w:val="24"/>
          <w:szCs w:val="24"/>
          <w:highlight w:val="none"/>
          <w:lang w:val="en-US" w:eastAsia="zh-CN"/>
        </w:rPr>
        <w:t>）成交供应商管理人员及施工人员酒后严禁进入施工作业区。管理人员及施工人员酒后进入施工作业区的，一经发现成交供应商将承担500元/人.次的违约金。</w:t>
      </w:r>
    </w:p>
    <w:p w14:paraId="32E7959E">
      <w:pPr>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w:t>
      </w:r>
      <w:r>
        <w:rPr>
          <w:rFonts w:hint="eastAsia" w:cs="Times New Roman"/>
          <w:b w:val="0"/>
          <w:bCs w:val="0"/>
          <w:color w:val="auto"/>
          <w:sz w:val="24"/>
          <w:szCs w:val="24"/>
          <w:highlight w:val="none"/>
          <w:lang w:val="en-US" w:eastAsia="zh-CN"/>
        </w:rPr>
        <w:t>4</w:t>
      </w:r>
      <w:r>
        <w:rPr>
          <w:rFonts w:hint="eastAsia" w:ascii="宋体" w:hAnsi="宋体" w:eastAsia="宋体" w:cs="Times New Roman"/>
          <w:b w:val="0"/>
          <w:bCs w:val="0"/>
          <w:color w:val="auto"/>
          <w:sz w:val="24"/>
          <w:szCs w:val="24"/>
          <w:highlight w:val="none"/>
          <w:lang w:val="en-US" w:eastAsia="zh-CN"/>
        </w:rPr>
        <w:t xml:space="preserve">）施工临时用电需按临时用电方案实施，由专业电工接、拆电。未经专业电工私拉乱接电线的，一经发现，成交供应商将承担500元/人.次的违约金。     </w:t>
      </w:r>
    </w:p>
    <w:p w14:paraId="58C7D1FD">
      <w:pPr>
        <w:spacing w:line="360" w:lineRule="auto"/>
        <w:ind w:firstLine="482" w:firstLineChars="200"/>
        <w:jc w:val="left"/>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5</w:t>
      </w:r>
      <w:r>
        <w:rPr>
          <w:rFonts w:hint="eastAsia" w:ascii="宋体" w:hAnsi="宋体" w:eastAsia="宋体" w:cs="Times New Roman"/>
          <w:b/>
          <w:bCs/>
          <w:color w:val="auto"/>
          <w:sz w:val="24"/>
          <w:szCs w:val="24"/>
          <w:highlight w:val="none"/>
          <w:lang w:val="en-US" w:eastAsia="zh-CN"/>
        </w:rPr>
        <w:t>）专用机械设备需按操作规程由特殊工种作业人员持证上岗操作。无证操作、违规操作上述设备的，成交供应商将承担1000元/人.次的违约金。</w:t>
      </w:r>
    </w:p>
    <w:p w14:paraId="155F15BD">
      <w:pPr>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w:t>
      </w:r>
      <w:r>
        <w:rPr>
          <w:rFonts w:hint="eastAsia" w:cs="Times New Roman"/>
          <w:b w:val="0"/>
          <w:bCs w:val="0"/>
          <w:color w:val="auto"/>
          <w:sz w:val="24"/>
          <w:szCs w:val="24"/>
          <w:highlight w:val="none"/>
          <w:lang w:val="en-US" w:eastAsia="zh-CN"/>
        </w:rPr>
        <w:t>6</w:t>
      </w:r>
      <w:r>
        <w:rPr>
          <w:rFonts w:hint="eastAsia" w:ascii="宋体" w:hAnsi="宋体" w:eastAsia="宋体" w:cs="Times New Roman"/>
          <w:b w:val="0"/>
          <w:bCs w:val="0"/>
          <w:color w:val="auto"/>
          <w:sz w:val="24"/>
          <w:szCs w:val="24"/>
          <w:highlight w:val="none"/>
          <w:lang w:val="en-US" w:eastAsia="zh-CN"/>
        </w:rPr>
        <w:t>）施工现场严禁吸烟，一经发现，立即责令整改，成交供应商将承担200元/人.次的违约金。</w:t>
      </w:r>
    </w:p>
    <w:p w14:paraId="6B91BE3E">
      <w:pPr>
        <w:spacing w:line="360" w:lineRule="auto"/>
        <w:ind w:firstLine="480" w:firstLineChars="200"/>
        <w:jc w:val="left"/>
        <w:rPr>
          <w:rFonts w:hint="default"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w:t>
      </w:r>
      <w:r>
        <w:rPr>
          <w:rFonts w:hint="eastAsia" w:cs="Times New Roman"/>
          <w:b w:val="0"/>
          <w:bCs w:val="0"/>
          <w:color w:val="auto"/>
          <w:sz w:val="24"/>
          <w:szCs w:val="24"/>
          <w:highlight w:val="none"/>
          <w:lang w:val="en-US" w:eastAsia="zh-CN"/>
        </w:rPr>
        <w:t>7</w:t>
      </w:r>
      <w:r>
        <w:rPr>
          <w:rFonts w:hint="eastAsia" w:ascii="宋体" w:hAnsi="宋体" w:eastAsia="宋体" w:cs="Times New Roman"/>
          <w:b w:val="0"/>
          <w:bCs w:val="0"/>
          <w:color w:val="auto"/>
          <w:sz w:val="24"/>
          <w:szCs w:val="24"/>
          <w:highlight w:val="none"/>
          <w:lang w:val="en-US" w:eastAsia="zh-CN"/>
        </w:rPr>
        <w:t>）成交供应商在建设工程扬尘污染防治措施和费用管理上必须严格执行《合肥市建设工程扬尘污染防治暂行规定》（最新版）规定，有最新政策要求按其执行。</w:t>
      </w:r>
    </w:p>
    <w:p w14:paraId="0CE1FF2B">
      <w:pPr>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w:t>
      </w:r>
      <w:r>
        <w:rPr>
          <w:rFonts w:hint="eastAsia" w:cs="Times New Roman"/>
          <w:b w:val="0"/>
          <w:bCs w:val="0"/>
          <w:color w:val="auto"/>
          <w:sz w:val="24"/>
          <w:szCs w:val="24"/>
          <w:highlight w:val="none"/>
          <w:lang w:val="en-US" w:eastAsia="zh-CN"/>
        </w:rPr>
        <w:t>8</w:t>
      </w:r>
      <w:r>
        <w:rPr>
          <w:rFonts w:hint="eastAsia" w:ascii="宋体" w:hAnsi="宋体" w:eastAsia="宋体" w:cs="Times New Roman"/>
          <w:b w:val="0"/>
          <w:bCs w:val="0"/>
          <w:color w:val="auto"/>
          <w:sz w:val="24"/>
          <w:szCs w:val="24"/>
          <w:highlight w:val="none"/>
          <w:lang w:val="en-US" w:eastAsia="zh-CN"/>
        </w:rPr>
        <w:t>）施工现场必须设置建筑垃圾集中堆放点，建筑垃圾即运即清。施工过程中不得将建筑垃圾混入回填土中，一经发现，必须无条件整改，成交供应商将承担1000元/次的违约金。</w:t>
      </w:r>
    </w:p>
    <w:p w14:paraId="0AFC371D">
      <w:pPr>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w:t>
      </w:r>
      <w:r>
        <w:rPr>
          <w:rFonts w:hint="eastAsia" w:cs="Times New Roman"/>
          <w:b w:val="0"/>
          <w:bCs w:val="0"/>
          <w:color w:val="auto"/>
          <w:sz w:val="24"/>
          <w:szCs w:val="24"/>
          <w:highlight w:val="none"/>
          <w:lang w:val="en-US" w:eastAsia="zh-CN"/>
        </w:rPr>
        <w:t>9</w:t>
      </w:r>
      <w:r>
        <w:rPr>
          <w:rFonts w:hint="eastAsia" w:ascii="宋体" w:hAnsi="宋体" w:eastAsia="宋体" w:cs="Times New Roman"/>
          <w:b w:val="0"/>
          <w:bCs w:val="0"/>
          <w:color w:val="auto"/>
          <w:sz w:val="24"/>
          <w:szCs w:val="24"/>
          <w:highlight w:val="none"/>
          <w:lang w:val="en-US" w:eastAsia="zh-CN"/>
        </w:rPr>
        <w:t>）成交供应商须确保安全文明施工，严格执行国家、安徽省、合肥市的最新相关规定，同时遵守采购人对安全文明施工的相关要求</w:t>
      </w:r>
      <w:r>
        <w:rPr>
          <w:rFonts w:hint="eastAsia" w:cs="Times New Roman"/>
          <w:b w:val="0"/>
          <w:bCs w:val="0"/>
          <w:color w:val="auto"/>
          <w:sz w:val="24"/>
          <w:szCs w:val="24"/>
          <w:highlight w:val="none"/>
          <w:lang w:val="en-US" w:eastAsia="zh-CN"/>
        </w:rPr>
        <w:t>，</w:t>
      </w:r>
      <w:r>
        <w:rPr>
          <w:rFonts w:hint="eastAsia" w:ascii="宋体" w:hAnsi="宋体" w:eastAsia="宋体" w:cs="Times New Roman"/>
          <w:b w:val="0"/>
          <w:bCs w:val="0"/>
          <w:color w:val="auto"/>
          <w:sz w:val="24"/>
          <w:szCs w:val="24"/>
          <w:highlight w:val="none"/>
          <w:lang w:val="en-US" w:eastAsia="zh-CN"/>
        </w:rPr>
        <w:t>达不到相关规定和要求的，成交供应商将承担500元/次的违约金。</w:t>
      </w:r>
    </w:p>
    <w:p w14:paraId="446915D5">
      <w:pPr>
        <w:spacing w:line="360" w:lineRule="auto"/>
        <w:ind w:firstLine="480" w:firstLineChars="200"/>
        <w:jc w:val="left"/>
        <w:rPr>
          <w:rFonts w:hint="eastAsia"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w:t>
      </w:r>
      <w:r>
        <w:rPr>
          <w:rFonts w:hint="eastAsia" w:cs="Times New Roman"/>
          <w:b w:val="0"/>
          <w:bCs w:val="0"/>
          <w:color w:val="auto"/>
          <w:sz w:val="24"/>
          <w:szCs w:val="24"/>
          <w:highlight w:val="none"/>
          <w:lang w:val="en-US" w:eastAsia="zh-CN"/>
        </w:rPr>
        <w:t>0</w:t>
      </w:r>
      <w:r>
        <w:rPr>
          <w:rFonts w:hint="eastAsia" w:ascii="宋体" w:hAnsi="宋体" w:eastAsia="宋体" w:cs="Times New Roman"/>
          <w:b w:val="0"/>
          <w:bCs w:val="0"/>
          <w:color w:val="auto"/>
          <w:sz w:val="24"/>
          <w:szCs w:val="24"/>
          <w:highlight w:val="none"/>
          <w:lang w:val="en-US" w:eastAsia="zh-CN"/>
        </w:rPr>
        <w:t>）工程照管、正式交付前的施工过程及迎检的保洁费用含在</w:t>
      </w:r>
      <w:r>
        <w:rPr>
          <w:rFonts w:hint="eastAsia" w:cs="Times New Roman"/>
          <w:b w:val="0"/>
          <w:bCs w:val="0"/>
          <w:color w:val="auto"/>
          <w:sz w:val="24"/>
          <w:szCs w:val="24"/>
          <w:highlight w:val="none"/>
          <w:lang w:val="en-US" w:eastAsia="zh-CN"/>
        </w:rPr>
        <w:t>综合报价</w:t>
      </w:r>
      <w:r>
        <w:rPr>
          <w:rFonts w:hint="eastAsia" w:ascii="宋体" w:hAnsi="宋体" w:eastAsia="宋体" w:cs="Times New Roman"/>
          <w:b w:val="0"/>
          <w:bCs w:val="0"/>
          <w:color w:val="auto"/>
          <w:sz w:val="24"/>
          <w:szCs w:val="24"/>
          <w:highlight w:val="none"/>
          <w:lang w:val="en-US" w:eastAsia="zh-CN"/>
        </w:rPr>
        <w:t>内</w:t>
      </w:r>
      <w:r>
        <w:rPr>
          <w:rFonts w:hint="eastAsia" w:cs="Times New Roman"/>
          <w:b w:val="0"/>
          <w:bCs w:val="0"/>
          <w:color w:val="auto"/>
          <w:sz w:val="24"/>
          <w:szCs w:val="24"/>
          <w:highlight w:val="none"/>
          <w:lang w:val="en-US" w:eastAsia="zh-CN"/>
        </w:rPr>
        <w:t>。</w:t>
      </w:r>
    </w:p>
    <w:p w14:paraId="361B812E">
      <w:pPr>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w:t>
      </w:r>
      <w:r>
        <w:rPr>
          <w:rFonts w:hint="eastAsia" w:cs="Times New Roman"/>
          <w:b w:val="0"/>
          <w:bCs w:val="0"/>
          <w:color w:val="auto"/>
          <w:sz w:val="24"/>
          <w:szCs w:val="24"/>
          <w:highlight w:val="none"/>
          <w:lang w:val="en-US" w:eastAsia="zh-CN"/>
        </w:rPr>
        <w:t>1</w:t>
      </w:r>
      <w:r>
        <w:rPr>
          <w:rFonts w:hint="eastAsia" w:ascii="宋体" w:hAnsi="宋体" w:eastAsia="宋体" w:cs="Times New Roman"/>
          <w:b w:val="0"/>
          <w:bCs w:val="0"/>
          <w:color w:val="auto"/>
          <w:sz w:val="24"/>
          <w:szCs w:val="24"/>
          <w:highlight w:val="none"/>
          <w:lang w:val="en-US" w:eastAsia="zh-CN"/>
        </w:rPr>
        <w:t>）本工程若涉及超过一定规模的危险性较大的分部分项工程，针对专家论证中提出的方案优化涉及的所有费用、评审费等相关费用不单独列项，由</w:t>
      </w:r>
      <w:r>
        <w:rPr>
          <w:rFonts w:hint="eastAsia" w:cs="Times New Roman"/>
          <w:b w:val="0"/>
          <w:bCs w:val="0"/>
          <w:color w:val="auto"/>
          <w:sz w:val="24"/>
          <w:szCs w:val="24"/>
          <w:highlight w:val="none"/>
          <w:lang w:val="en-US" w:eastAsia="zh-CN"/>
        </w:rPr>
        <w:t>供应商</w:t>
      </w:r>
      <w:r>
        <w:rPr>
          <w:rFonts w:hint="eastAsia" w:ascii="宋体" w:hAnsi="宋体" w:eastAsia="宋体" w:cs="Times New Roman"/>
          <w:b w:val="0"/>
          <w:bCs w:val="0"/>
          <w:color w:val="auto"/>
          <w:sz w:val="24"/>
          <w:szCs w:val="24"/>
          <w:highlight w:val="none"/>
          <w:lang w:val="en-US" w:eastAsia="zh-CN"/>
        </w:rPr>
        <w:t>综合报价考虑，</w:t>
      </w:r>
      <w:r>
        <w:rPr>
          <w:rFonts w:hint="eastAsia" w:cs="Times New Roman"/>
          <w:b w:val="0"/>
          <w:bCs w:val="0"/>
          <w:color w:val="auto"/>
          <w:sz w:val="24"/>
          <w:szCs w:val="24"/>
          <w:highlight w:val="none"/>
          <w:lang w:val="en-US" w:eastAsia="zh-CN"/>
        </w:rPr>
        <w:t>成交后</w:t>
      </w:r>
      <w:r>
        <w:rPr>
          <w:rFonts w:hint="eastAsia" w:ascii="宋体" w:hAnsi="宋体" w:eastAsia="宋体" w:cs="Times New Roman"/>
          <w:b w:val="0"/>
          <w:bCs w:val="0"/>
          <w:color w:val="auto"/>
          <w:sz w:val="24"/>
          <w:szCs w:val="24"/>
          <w:highlight w:val="none"/>
          <w:lang w:val="en-US" w:eastAsia="zh-CN"/>
        </w:rPr>
        <w:t>不予调整。</w:t>
      </w:r>
    </w:p>
    <w:p w14:paraId="1BC9A508">
      <w:pPr>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w:t>
      </w:r>
      <w:r>
        <w:rPr>
          <w:rFonts w:hint="eastAsia" w:cs="Times New Roman"/>
          <w:b w:val="0"/>
          <w:bCs w:val="0"/>
          <w:color w:val="auto"/>
          <w:sz w:val="24"/>
          <w:szCs w:val="24"/>
          <w:highlight w:val="none"/>
          <w:lang w:val="en-US" w:eastAsia="zh-CN"/>
        </w:rPr>
        <w:t>2</w:t>
      </w:r>
      <w:r>
        <w:rPr>
          <w:rFonts w:hint="eastAsia" w:ascii="宋体" w:hAnsi="宋体" w:eastAsia="宋体" w:cs="Times New Roman"/>
          <w:b w:val="0"/>
          <w:bCs w:val="0"/>
          <w:color w:val="auto"/>
          <w:sz w:val="24"/>
          <w:szCs w:val="24"/>
          <w:highlight w:val="none"/>
          <w:lang w:val="en-US" w:eastAsia="zh-CN"/>
        </w:rPr>
        <w:t>）成交供应商若存在其他违反安全生产的行为，视情况承担500-</w:t>
      </w:r>
      <w:r>
        <w:rPr>
          <w:rFonts w:hint="eastAsia" w:cs="Times New Roman"/>
          <w:b w:val="0"/>
          <w:bCs w:val="0"/>
          <w:color w:val="auto"/>
          <w:sz w:val="24"/>
          <w:szCs w:val="24"/>
          <w:highlight w:val="none"/>
          <w:lang w:val="en-US" w:eastAsia="zh-CN"/>
        </w:rPr>
        <w:t>1</w:t>
      </w:r>
      <w:r>
        <w:rPr>
          <w:rFonts w:hint="eastAsia" w:ascii="宋体" w:hAnsi="宋体" w:eastAsia="宋体" w:cs="Times New Roman"/>
          <w:b w:val="0"/>
          <w:bCs w:val="0"/>
          <w:color w:val="auto"/>
          <w:sz w:val="24"/>
          <w:szCs w:val="24"/>
          <w:highlight w:val="none"/>
          <w:lang w:val="en-US" w:eastAsia="zh-CN"/>
        </w:rPr>
        <w:t>0000元/次的违约金。</w:t>
      </w:r>
    </w:p>
    <w:p w14:paraId="41198763">
      <w:pPr>
        <w:pStyle w:val="5"/>
        <w:spacing w:line="360" w:lineRule="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3.质量管理</w:t>
      </w:r>
    </w:p>
    <w:p w14:paraId="47960507">
      <w:pPr>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（1）成交供应商进场后必须根据采购人指令要求编制专项施工方案并报审。</w:t>
      </w:r>
    </w:p>
    <w:p w14:paraId="3FCD8F43">
      <w:pPr>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（2）成交供应商须做好对班组的技术培训和施工交底工作，要求每周做一次集中或分班组的培训交底工作。</w:t>
      </w:r>
    </w:p>
    <w:p w14:paraId="3F4B92BD">
      <w:pPr>
        <w:spacing w:line="360" w:lineRule="auto"/>
        <w:ind w:firstLine="480" w:firstLineChars="200"/>
        <w:jc w:val="left"/>
        <w:rPr>
          <w:rFonts w:hint="default"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（3）必须根据法律法规及相关要求对工程进行报验、送检；相应报验工作应提前24小时通知，未经检测合格的材料严禁用于现场施工。</w:t>
      </w:r>
    </w:p>
    <w:p w14:paraId="176233C7">
      <w:pPr>
        <w:spacing w:line="360" w:lineRule="auto"/>
        <w:ind w:firstLine="480" w:firstLineChars="200"/>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（4）隐蔽工程工序施工时，成交供应商管理人员必须在场监督，并履行质量检查和问题报告的义务。</w:t>
      </w:r>
    </w:p>
    <w:p w14:paraId="70A7E5E0">
      <w:pPr>
        <w:pStyle w:val="5"/>
        <w:spacing w:line="360" w:lineRule="auto"/>
        <w:ind w:firstLine="480" w:firstLineChars="200"/>
        <w:rPr>
          <w:rFonts w:hint="default" w:ascii="宋体" w:hAnsi="宋体" w:eastAsia="宋体" w:cs="宋体"/>
          <w:color w:val="auto"/>
          <w:sz w:val="24"/>
          <w:highlight w:val="none"/>
          <w:lang w:val="en-US"/>
        </w:rPr>
      </w:pPr>
      <w:r>
        <w:rPr>
          <w:rFonts w:hint="eastAsia" w:ascii="宋体" w:hAnsi="宋体" w:eastAsia="宋体" w:cs="宋体"/>
          <w:color w:val="auto"/>
          <w:sz w:val="24"/>
          <w:szCs w:val="24"/>
          <w:highlight w:val="none"/>
          <w:lang w:val="en-US" w:eastAsia="zh-CN" w:bidi="ar-SA"/>
        </w:rPr>
        <w:t>（6）对于违反上述质量管理事宜，视情节成交供应商将承担1000-10000元/次的违约金，并需按照采购单位要求按时按质完成整改。</w:t>
      </w:r>
    </w:p>
    <w:p w14:paraId="36536680">
      <w:pPr>
        <w:pStyle w:val="5"/>
        <w:spacing w:line="360" w:lineRule="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4.临时水电管理</w:t>
      </w:r>
    </w:p>
    <w:p w14:paraId="368FA73F">
      <w:pPr>
        <w:pStyle w:val="5"/>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cs="宋体"/>
          <w:b w:val="0"/>
          <w:bCs w:val="0"/>
          <w:color w:val="auto"/>
          <w:sz w:val="24"/>
          <w:szCs w:val="24"/>
          <w:highlight w:val="none"/>
          <w:lang w:val="en-US" w:eastAsia="zh-CN" w:bidi="ar-SA"/>
        </w:rPr>
        <w:t>（1）</w:t>
      </w:r>
      <w:r>
        <w:rPr>
          <w:rFonts w:hint="eastAsia" w:ascii="宋体" w:hAnsi="宋体" w:eastAsia="宋体" w:cs="宋体"/>
          <w:b w:val="0"/>
          <w:bCs w:val="0"/>
          <w:color w:val="auto"/>
          <w:sz w:val="24"/>
          <w:highlight w:val="none"/>
          <w:lang w:val="en-US" w:eastAsia="zh-CN"/>
        </w:rPr>
        <w:t>临时用电、用水由</w:t>
      </w:r>
      <w:r>
        <w:rPr>
          <w:rFonts w:hint="eastAsia" w:ascii="宋体" w:hAnsi="宋体" w:eastAsia="宋体" w:cs="宋体"/>
          <w:b w:val="0"/>
          <w:bCs w:val="0"/>
          <w:color w:val="auto"/>
          <w:sz w:val="24"/>
          <w:highlight w:val="none"/>
          <w:lang w:eastAsia="zh-CN"/>
        </w:rPr>
        <w:t>成交供应商</w:t>
      </w:r>
      <w:r>
        <w:rPr>
          <w:rFonts w:hint="eastAsia" w:ascii="宋体" w:hAnsi="宋体" w:eastAsia="宋体" w:cs="宋体"/>
          <w:b w:val="0"/>
          <w:bCs w:val="0"/>
          <w:color w:val="auto"/>
          <w:sz w:val="24"/>
          <w:highlight w:val="none"/>
          <w:lang w:val="en-US" w:eastAsia="zh-CN"/>
        </w:rPr>
        <w:t>报备采购人后自行接引，产生的所有费用按照结算价款的7‰计取，由采购人在最终结算支付时一并扣除，供应商在响应报价中综合考虑相关费用。项目正式投运后，临时水电相关设备、材料由成交供应商负责拆除处理（属于采购人资产的需移交给采购人）。</w:t>
      </w:r>
    </w:p>
    <w:p w14:paraId="36BA5FFA">
      <w:pPr>
        <w:pStyle w:val="5"/>
        <w:spacing w:line="360" w:lineRule="auto"/>
        <w:ind w:firstLine="480" w:firstLineChars="200"/>
        <w:rPr>
          <w:rFonts w:hint="default" w:ascii="宋体" w:hAnsi="宋体" w:eastAsia="宋体" w:cs="宋体"/>
          <w:b w:val="0"/>
          <w:bCs w:val="0"/>
          <w:color w:val="auto"/>
          <w:sz w:val="24"/>
          <w:highlight w:val="none"/>
          <w:lang w:val="en-US" w:eastAsia="zh-CN"/>
        </w:rPr>
      </w:pPr>
      <w:r>
        <w:rPr>
          <w:rFonts w:hint="eastAsia" w:cs="宋体"/>
          <w:b w:val="0"/>
          <w:bCs w:val="0"/>
          <w:color w:val="auto"/>
          <w:sz w:val="24"/>
          <w:szCs w:val="24"/>
          <w:highlight w:val="none"/>
          <w:lang w:val="en-US" w:eastAsia="zh-CN" w:bidi="ar-SA"/>
        </w:rPr>
        <w:t>（2）</w:t>
      </w:r>
      <w:r>
        <w:rPr>
          <w:rFonts w:hint="eastAsia" w:ascii="宋体" w:hAnsi="宋体" w:eastAsia="宋体" w:cs="宋体"/>
          <w:b w:val="0"/>
          <w:bCs w:val="0"/>
          <w:color w:val="auto"/>
          <w:sz w:val="24"/>
          <w:highlight w:val="none"/>
          <w:lang w:val="en-US" w:eastAsia="zh-CN"/>
        </w:rPr>
        <w:t>成交供应商临时用电、用水费用缴纳还需满足供电、供水等相关部门的要求，所有费用由成交供应商综合考虑。</w:t>
      </w:r>
    </w:p>
    <w:p w14:paraId="7D88C2DC">
      <w:pPr>
        <w:pStyle w:val="5"/>
        <w:spacing w:line="360" w:lineRule="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5.进度管理</w:t>
      </w:r>
    </w:p>
    <w:p w14:paraId="472260BF">
      <w:pPr>
        <w:pStyle w:val="2"/>
        <w:spacing w:line="360" w:lineRule="auto"/>
        <w:ind w:left="0" w:leftChars="0" w:firstLine="480" w:firstLineChars="200"/>
        <w:rPr>
          <w:rFonts w:hint="eastAsia" w:ascii="宋体" w:hAnsi="宋体" w:eastAsia="宋体" w:cs="宋体"/>
          <w:color w:val="auto"/>
          <w:sz w:val="24"/>
          <w:szCs w:val="24"/>
          <w:highlight w:val="none"/>
          <w:lang w:val="en-US" w:eastAsia="zh-CN" w:bidi="ar-SA"/>
        </w:rPr>
      </w:pPr>
      <w:r>
        <w:rPr>
          <w:rFonts w:hint="eastAsia" w:cs="宋体"/>
          <w:b w:val="0"/>
          <w:bCs w:val="0"/>
          <w:color w:val="auto"/>
          <w:sz w:val="24"/>
          <w:szCs w:val="24"/>
          <w:highlight w:val="none"/>
          <w:lang w:val="en-US" w:eastAsia="zh-CN" w:bidi="ar-SA"/>
        </w:rPr>
        <w:t>（1）</w:t>
      </w:r>
      <w:r>
        <w:rPr>
          <w:rFonts w:hint="eastAsia" w:ascii="宋体" w:hAnsi="宋体" w:eastAsia="宋体" w:cs="宋体"/>
          <w:b w:val="0"/>
          <w:bCs w:val="0"/>
          <w:color w:val="auto"/>
          <w:sz w:val="24"/>
          <w:szCs w:val="24"/>
          <w:highlight w:val="none"/>
          <w:lang w:val="en-US" w:eastAsia="zh-CN" w:bidi="ar-SA"/>
        </w:rPr>
        <w:t>本项目计划工期</w:t>
      </w:r>
      <w:r>
        <w:rPr>
          <w:rFonts w:hint="eastAsia" w:cs="宋体"/>
          <w:b w:val="0"/>
          <w:bCs w:val="0"/>
          <w:color w:val="auto"/>
          <w:sz w:val="24"/>
          <w:szCs w:val="24"/>
          <w:highlight w:val="none"/>
          <w:u w:val="single"/>
          <w:lang w:val="en-US" w:eastAsia="zh-CN" w:bidi="ar-SA"/>
        </w:rPr>
        <w:t>45</w:t>
      </w:r>
      <w:r>
        <w:rPr>
          <w:rFonts w:hint="eastAsia" w:ascii="宋体" w:hAnsi="宋体" w:eastAsia="宋体" w:cs="宋体"/>
          <w:b w:val="0"/>
          <w:bCs w:val="0"/>
          <w:color w:val="auto"/>
          <w:sz w:val="24"/>
          <w:szCs w:val="24"/>
          <w:highlight w:val="none"/>
          <w:u w:val="single"/>
          <w:lang w:val="en-US" w:eastAsia="zh-CN" w:bidi="ar-SA"/>
        </w:rPr>
        <w:t>日历天</w:t>
      </w:r>
      <w:r>
        <w:rPr>
          <w:rFonts w:hint="eastAsia" w:ascii="宋体" w:hAnsi="宋体" w:eastAsia="宋体" w:cs="宋体"/>
          <w:b w:val="0"/>
          <w:bCs w:val="0"/>
          <w:color w:val="auto"/>
          <w:sz w:val="24"/>
          <w:szCs w:val="24"/>
          <w:highlight w:val="none"/>
          <w:lang w:val="en-US" w:eastAsia="zh-CN" w:bidi="ar-SA"/>
        </w:rPr>
        <w:t>（具体开工时间以</w:t>
      </w:r>
      <w:r>
        <w:rPr>
          <w:rFonts w:hint="eastAsia" w:cs="宋体"/>
          <w:b w:val="0"/>
          <w:bCs w:val="0"/>
          <w:color w:val="auto"/>
          <w:sz w:val="24"/>
          <w:szCs w:val="24"/>
          <w:highlight w:val="none"/>
          <w:lang w:val="en-US" w:eastAsia="zh-CN" w:bidi="ar-SA"/>
        </w:rPr>
        <w:t>监理开工令</w:t>
      </w:r>
      <w:r>
        <w:rPr>
          <w:rFonts w:hint="eastAsia" w:ascii="宋体" w:hAnsi="宋体" w:eastAsia="宋体" w:cs="宋体"/>
          <w:b w:val="0"/>
          <w:bCs w:val="0"/>
          <w:color w:val="auto"/>
          <w:sz w:val="24"/>
          <w:szCs w:val="24"/>
          <w:highlight w:val="none"/>
          <w:lang w:val="en-US" w:eastAsia="zh-CN" w:bidi="ar-SA"/>
        </w:rPr>
        <w:t>为准），成交供应商需在计划工期内完成合同范围内全部施工内容。</w:t>
      </w:r>
      <w:r>
        <w:rPr>
          <w:rFonts w:hint="eastAsia" w:ascii="宋体" w:hAnsi="宋体" w:eastAsia="宋体" w:cs="宋体"/>
          <w:b/>
          <w:bCs/>
          <w:sz w:val="24"/>
          <w:szCs w:val="24"/>
          <w:lang w:val="en-US" w:eastAsia="zh-CN" w:bidi="ar-SA"/>
        </w:rPr>
        <w:t>未在工期内完成全部施工及验收交付的，每逾期一天按合同总价的1.5‰支付违约金，工期违约金最高不超高合同额的5%；逾期超7天，建设方有权终止合同并追责损失。违约金由采购人在进度款或竣工结算审核中一次性扣除。</w:t>
      </w:r>
    </w:p>
    <w:p w14:paraId="56ACD33A">
      <w:pPr>
        <w:numPr>
          <w:ilvl w:val="0"/>
          <w:numId w:val="0"/>
        </w:numPr>
        <w:spacing w:line="360" w:lineRule="auto"/>
        <w:ind w:firstLine="480" w:firstLineChars="200"/>
        <w:rPr>
          <w:rFonts w:hint="eastAsia" w:ascii="宋体" w:hAnsi="宋体" w:eastAsia="宋体" w:cs="宋体"/>
          <w:b w:val="0"/>
          <w:bCs w:val="0"/>
          <w:color w:val="auto"/>
          <w:sz w:val="24"/>
          <w:szCs w:val="24"/>
          <w:highlight w:val="none"/>
          <w:lang w:val="en-US" w:eastAsia="zh-CN" w:bidi="ar-SA"/>
        </w:rPr>
      </w:pPr>
      <w:r>
        <w:rPr>
          <w:rFonts w:hint="eastAsia" w:cs="宋体"/>
          <w:b w:val="0"/>
          <w:bCs w:val="0"/>
          <w:color w:val="auto"/>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zh-CN" w:bidi="ar-SA"/>
        </w:rPr>
        <w:t>成交供应商施工范围内的某</w:t>
      </w:r>
      <w:r>
        <w:rPr>
          <w:rFonts w:hint="eastAsia" w:cs="宋体"/>
          <w:b w:val="0"/>
          <w:bCs w:val="0"/>
          <w:color w:val="auto"/>
          <w:sz w:val="24"/>
          <w:szCs w:val="24"/>
          <w:highlight w:val="none"/>
          <w:lang w:val="en-US" w:eastAsia="zh-CN" w:bidi="ar-SA"/>
        </w:rPr>
        <w:t>单体/</w:t>
      </w:r>
      <w:r>
        <w:rPr>
          <w:rFonts w:hint="eastAsia" w:ascii="宋体" w:hAnsi="宋体" w:eastAsia="宋体" w:cs="宋体"/>
          <w:b w:val="0"/>
          <w:bCs w:val="0"/>
          <w:color w:val="auto"/>
          <w:sz w:val="24"/>
          <w:szCs w:val="24"/>
          <w:highlight w:val="none"/>
          <w:lang w:val="en-US" w:eastAsia="zh-CN" w:bidi="ar-SA"/>
        </w:rPr>
        <w:t>分部节点进度严重滞后或迟迟未施工，且未在采购人要求的期限内整改，采购人有权自行采购或安排第三方施工，并对该分部分项工程进行清算，并按照最高投标限价进行扣除；成交供应商应无条件退场并向</w:t>
      </w:r>
      <w:r>
        <w:rPr>
          <w:rFonts w:hint="eastAsia" w:cs="宋体"/>
          <w:b w:val="0"/>
          <w:bCs w:val="0"/>
          <w:color w:val="auto"/>
          <w:sz w:val="24"/>
          <w:szCs w:val="24"/>
          <w:highlight w:val="none"/>
          <w:lang w:val="en-US" w:eastAsia="zh-CN" w:bidi="ar-SA"/>
        </w:rPr>
        <w:t>采购人</w:t>
      </w:r>
      <w:r>
        <w:rPr>
          <w:rFonts w:hint="eastAsia" w:ascii="宋体" w:hAnsi="宋体" w:eastAsia="宋体" w:cs="宋体"/>
          <w:b w:val="0"/>
          <w:bCs w:val="0"/>
          <w:color w:val="auto"/>
          <w:sz w:val="24"/>
          <w:szCs w:val="24"/>
          <w:highlight w:val="none"/>
          <w:lang w:val="en-US" w:eastAsia="zh-CN" w:bidi="ar-SA"/>
        </w:rPr>
        <w:t>支付该部分合同价款15%的违约金作为管理费，且第三方施工所发生的水电费、临设费、措施费等一切费用仍由</w:t>
      </w:r>
      <w:r>
        <w:rPr>
          <w:rFonts w:hint="eastAsia" w:cs="宋体"/>
          <w:b w:val="0"/>
          <w:bCs w:val="0"/>
          <w:color w:val="auto"/>
          <w:sz w:val="24"/>
          <w:szCs w:val="24"/>
          <w:highlight w:val="none"/>
          <w:lang w:val="en-US" w:eastAsia="zh-CN" w:bidi="ar-SA"/>
        </w:rPr>
        <w:t>成交供应商</w:t>
      </w:r>
      <w:r>
        <w:rPr>
          <w:rFonts w:hint="eastAsia" w:ascii="宋体" w:hAnsi="宋体" w:eastAsia="宋体" w:cs="宋体"/>
          <w:b w:val="0"/>
          <w:bCs w:val="0"/>
          <w:color w:val="auto"/>
          <w:sz w:val="24"/>
          <w:szCs w:val="24"/>
          <w:highlight w:val="none"/>
          <w:lang w:val="en-US" w:eastAsia="zh-CN" w:bidi="ar-SA"/>
        </w:rPr>
        <w:t>承担。</w:t>
      </w:r>
    </w:p>
    <w:p w14:paraId="749EA3A5">
      <w:pPr>
        <w:pStyle w:val="5"/>
        <w:numPr>
          <w:ilvl w:val="0"/>
          <w:numId w:val="0"/>
        </w:numPr>
        <w:spacing w:line="360" w:lineRule="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6.造价管理</w:t>
      </w:r>
    </w:p>
    <w:p w14:paraId="694C1762">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w:t>
      </w:r>
      <w:r>
        <w:rPr>
          <w:rFonts w:hint="eastAsia" w:ascii="宋体" w:hAnsi="宋体" w:eastAsia="宋体" w:cs="宋体"/>
          <w:b/>
          <w:bCs/>
          <w:color w:val="auto"/>
          <w:sz w:val="24"/>
          <w:szCs w:val="24"/>
          <w:highlight w:val="none"/>
          <w:lang w:val="en-US" w:eastAsia="zh-CN" w:bidi="ar-SA"/>
        </w:rPr>
        <w:t>供应商须认真研究项目的招标文件、图纸、答疑等，并仔细踏勘现场，仔细复核清单、最高投标限价，对缺漏项、工程量偏差在开标前提出，成交后必须按图施工，不得提出此类变更。</w:t>
      </w:r>
      <w:r>
        <w:rPr>
          <w:rFonts w:hint="eastAsia" w:ascii="宋体" w:hAnsi="宋体" w:eastAsia="宋体" w:cs="宋体"/>
          <w:b w:val="0"/>
          <w:bCs w:val="0"/>
          <w:color w:val="auto"/>
          <w:sz w:val="24"/>
          <w:szCs w:val="24"/>
          <w:highlight w:val="none"/>
          <w:lang w:val="en-US" w:eastAsia="zh-CN" w:bidi="ar-SA"/>
        </w:rPr>
        <w:t xml:space="preserve">施工图与工程量清单描述不一致时，以要求更高者或采购人解释为准。 </w:t>
      </w:r>
    </w:p>
    <w:p w14:paraId="094E6171">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（2）工程签证变更参照安徽大学基建管理办法和修缮管理办法相关规定执行，签证变更金额不得突破项目暂列金。</w:t>
      </w:r>
    </w:p>
    <w:p w14:paraId="25DD52A9">
      <w:pPr>
        <w:spacing w:line="360" w:lineRule="auto"/>
        <w:ind w:firstLine="480" w:firstLineChars="200"/>
      </w:pPr>
      <w:r>
        <w:rPr>
          <w:rFonts w:hint="eastAsia" w:cs="宋体"/>
          <w:b w:val="0"/>
          <w:bCs w:val="0"/>
          <w:color w:val="auto"/>
          <w:sz w:val="24"/>
          <w:szCs w:val="24"/>
          <w:highlight w:val="none"/>
          <w:lang w:val="en-US" w:eastAsia="zh-CN" w:bidi="ar-SA"/>
        </w:rPr>
        <w:t>（3）</w:t>
      </w:r>
      <w:r>
        <w:rPr>
          <w:rFonts w:hint="eastAsia" w:ascii="宋体" w:hAnsi="宋体" w:eastAsia="宋体" w:cs="宋体"/>
          <w:b w:val="0"/>
          <w:bCs w:val="0"/>
          <w:color w:val="auto"/>
          <w:sz w:val="24"/>
          <w:szCs w:val="24"/>
          <w:highlight w:val="none"/>
          <w:lang w:val="en-US" w:eastAsia="zh-CN" w:bidi="ar-SA"/>
        </w:rPr>
        <w:t>在</w:t>
      </w:r>
      <w:r>
        <w:rPr>
          <w:rFonts w:hint="eastAsia" w:cs="宋体"/>
          <w:b w:val="0"/>
          <w:bCs w:val="0"/>
          <w:color w:val="auto"/>
          <w:sz w:val="24"/>
          <w:szCs w:val="24"/>
          <w:highlight w:val="none"/>
          <w:lang w:val="en-US" w:eastAsia="zh-CN" w:bidi="ar-SA"/>
        </w:rPr>
        <w:t>工程实施</w:t>
      </w:r>
      <w:r>
        <w:rPr>
          <w:rFonts w:hint="eastAsia" w:ascii="宋体" w:hAnsi="宋体" w:eastAsia="宋体" w:cs="宋体"/>
          <w:b w:val="0"/>
          <w:bCs w:val="0"/>
          <w:color w:val="auto"/>
          <w:sz w:val="24"/>
          <w:szCs w:val="24"/>
          <w:highlight w:val="none"/>
          <w:lang w:val="en-US" w:eastAsia="zh-CN" w:bidi="ar-SA"/>
        </w:rPr>
        <w:t>期间</w:t>
      </w:r>
      <w:r>
        <w:rPr>
          <w:rFonts w:hint="eastAsia" w:cs="宋体"/>
          <w:b w:val="0"/>
          <w:bCs w:val="0"/>
          <w:color w:val="auto"/>
          <w:sz w:val="24"/>
          <w:szCs w:val="24"/>
          <w:highlight w:val="none"/>
          <w:lang w:val="en-US" w:eastAsia="zh-CN" w:bidi="ar-SA"/>
        </w:rPr>
        <w:t>任何原因引起的</w:t>
      </w:r>
      <w:r>
        <w:rPr>
          <w:rFonts w:hint="eastAsia" w:ascii="宋体" w:hAnsi="宋体" w:eastAsia="宋体" w:cs="宋体"/>
          <w:b w:val="0"/>
          <w:bCs w:val="0"/>
          <w:color w:val="auto"/>
          <w:sz w:val="24"/>
          <w:szCs w:val="24"/>
          <w:highlight w:val="none"/>
          <w:lang w:val="en-US" w:eastAsia="zh-CN" w:bidi="ar-SA"/>
        </w:rPr>
        <w:t>人工、材料</w:t>
      </w:r>
      <w:bookmarkStart w:id="1" w:name="OLE_LINK18"/>
      <w:r>
        <w:rPr>
          <w:rFonts w:hint="eastAsia" w:cs="宋体"/>
          <w:b w:val="0"/>
          <w:bCs w:val="0"/>
          <w:color w:val="auto"/>
          <w:sz w:val="24"/>
          <w:szCs w:val="24"/>
          <w:highlight w:val="none"/>
          <w:lang w:val="en-US" w:eastAsia="zh-CN" w:bidi="ar-SA"/>
        </w:rPr>
        <w:t>、</w:t>
      </w:r>
      <w:r>
        <w:rPr>
          <w:rFonts w:hint="eastAsia" w:ascii="宋体" w:hAnsi="宋体" w:eastAsia="宋体" w:cs="宋体"/>
          <w:b w:val="0"/>
          <w:bCs w:val="0"/>
          <w:color w:val="auto"/>
          <w:sz w:val="24"/>
          <w:szCs w:val="24"/>
          <w:highlight w:val="none"/>
          <w:lang w:val="en-US" w:eastAsia="zh-CN" w:bidi="ar-SA"/>
        </w:rPr>
        <w:t>机械费价格</w:t>
      </w:r>
      <w:r>
        <w:rPr>
          <w:rFonts w:hint="eastAsia" w:cs="宋体"/>
          <w:b w:val="0"/>
          <w:bCs w:val="0"/>
          <w:color w:val="auto"/>
          <w:sz w:val="24"/>
          <w:szCs w:val="24"/>
          <w:highlight w:val="none"/>
          <w:lang w:val="en-US" w:eastAsia="zh-CN" w:bidi="ar-SA"/>
        </w:rPr>
        <w:t>均</w:t>
      </w:r>
      <w:r>
        <w:rPr>
          <w:rFonts w:hint="eastAsia" w:ascii="宋体" w:hAnsi="宋体" w:eastAsia="宋体" w:cs="宋体"/>
          <w:b w:val="0"/>
          <w:bCs w:val="0"/>
          <w:color w:val="auto"/>
          <w:sz w:val="24"/>
          <w:szCs w:val="24"/>
          <w:highlight w:val="none"/>
          <w:lang w:val="en-US" w:eastAsia="zh-CN" w:bidi="ar-SA"/>
        </w:rPr>
        <w:t>不予调整</w:t>
      </w:r>
      <w:bookmarkEnd w:id="1"/>
      <w:r>
        <w:rPr>
          <w:rFonts w:hint="eastAsia" w:ascii="宋体" w:hAnsi="宋体" w:eastAsia="宋体" w:cs="宋体"/>
          <w:b w:val="0"/>
          <w:bCs w:val="0"/>
          <w:color w:val="auto"/>
          <w:sz w:val="24"/>
          <w:szCs w:val="24"/>
          <w:highlight w:val="none"/>
          <w:lang w:val="en-US" w:eastAsia="zh-CN" w:bidi="ar-SA"/>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宋体">
    <w:panose1 w:val="02010600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7C951">
    <w:pPr>
      <w:pStyle w:val="6"/>
      <w:jc w:val="left"/>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3997C">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D3997C">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31DD">
    <w:pPr>
      <w:pStyle w:val="7"/>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w:t>
    </w:r>
    <w:r>
      <w:rPr>
        <w:rFonts w:hint="eastAsia"/>
        <w:lang w:val="en-US" w:eastAsia="zh-CN"/>
      </w:rPr>
      <w:t>磋商</w:t>
    </w:r>
    <w:r>
      <w:rPr>
        <w:rFonts w:hint="eastAsia" w:ascii="宋体" w:hAnsi="宋体" w:eastAsia="宋体"/>
      </w:rPr>
      <w:t>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78DE7C"/>
    <w:multiLevelType w:val="singleLevel"/>
    <w:tmpl w:val="DA78DE7C"/>
    <w:lvl w:ilvl="0" w:tentative="0">
      <w:start w:val="1"/>
      <w:numFmt w:val="decimal"/>
      <w:suff w:val="nothing"/>
      <w:lvlText w:val="%1、"/>
      <w:lvlJc w:val="left"/>
    </w:lvl>
  </w:abstractNum>
  <w:abstractNum w:abstractNumId="1">
    <w:nsid w:val="E9BFE0C3"/>
    <w:multiLevelType w:val="singleLevel"/>
    <w:tmpl w:val="E9BFE0C3"/>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42232"/>
    <w:rsid w:val="5D342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left="420" w:firstLine="420" w:firstLineChars="200"/>
    </w:pPr>
    <w:rPr>
      <w:rFonts w:ascii="Times New Roman" w:cs="Times New Roman"/>
    </w:rPr>
  </w:style>
  <w:style w:type="paragraph" w:styleId="3">
    <w:name w:val="Body Text Indent"/>
    <w:basedOn w:val="1"/>
    <w:next w:val="4"/>
    <w:unhideWhenUsed/>
    <w:qFormat/>
    <w:uiPriority w:val="0"/>
    <w:pPr>
      <w:spacing w:after="120"/>
      <w:ind w:left="420" w:leftChars="200"/>
    </w:pPr>
    <w:rPr>
      <w:rFonts w:asciiTheme="minorHAnsi" w:hAnsiTheme="minorHAnsi"/>
      <w:kern w:val="2"/>
      <w:sz w:val="21"/>
      <w:szCs w:val="22"/>
    </w:rPr>
  </w:style>
  <w:style w:type="paragraph" w:styleId="4">
    <w:name w:val="envelope return"/>
    <w:basedOn w:val="1"/>
    <w:qFormat/>
    <w:uiPriority w:val="99"/>
    <w:pPr>
      <w:snapToGrid w:val="0"/>
    </w:pPr>
    <w:rPr>
      <w:rFonts w:ascii="Arial" w:hAnsi="Arial" w:cs="Arial"/>
    </w:rPr>
  </w:style>
  <w:style w:type="paragraph" w:styleId="5">
    <w:name w:val="Body Text"/>
    <w:basedOn w:val="1"/>
    <w:qFormat/>
    <w:uiPriority w:val="0"/>
    <w:pPr>
      <w:spacing w:after="120"/>
    </w:pPr>
    <w:rPr>
      <w:rFonts w:ascii="@微软简标宋" w:hAnsi="@微软简标宋" w:eastAsia="@微软简标宋" w:cs="@微软简标宋"/>
      <w:szCs w:val="24"/>
      <w:lang w:val="zh-CN"/>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网格型2"/>
    <w:basedOn w:val="8"/>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2026-07-06T10:53:00Z</dcterms:created>
  <dc:creator>安天</dc:creator>
  <cp:lastModifiedBy>安天</cp:lastModifiedBy>
  <dcterms:modified xsi:type="dcterms:W3CDTF">2026-07-06T10:53:43Z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8CA5C775690D420F96ABCBFC02003B5C_11</vt:lpwstr>
  </property>
  <property fmtid="{D5CDD505-2E9C-101B-9397-08002B2CF9AE}" pid="4" name="KSOTemplateDocerSaveRecord">
    <vt:lpwstr>eyJoZGlkIjoiN2YzNjBkOTgyNWQ1YTMxYzM3MzMwNWFiODNmOWIzYWMiLCJ1c2VySWQiOiIyOTgxMTI1OTkifQ==</vt:lpwstr>
  </property>
</Properties>
</file>