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583B">
      <w:pPr>
        <w:spacing w:line="360" w:lineRule="auto"/>
        <w:jc w:val="center"/>
        <w:outlineLvl w:val="0"/>
        <w:rPr>
          <w:rFonts w:asciiTheme="minorEastAsia" w:hAnsiTheme="minorEastAsia" w:eastAsiaTheme="minorEastAsia"/>
          <w:b/>
          <w:sz w:val="28"/>
        </w:rPr>
      </w:pPr>
      <w:bookmarkStart w:id="0" w:name="_Toc30873"/>
      <w:r>
        <w:rPr>
          <w:rFonts w:hint="eastAsia" w:asciiTheme="minorEastAsia" w:hAnsiTheme="minorEastAsia" w:eastAsiaTheme="minorEastAsia"/>
          <w:b/>
          <w:sz w:val="28"/>
        </w:rPr>
        <w:t>第三章  采购需求</w:t>
      </w:r>
      <w:bookmarkEnd w:id="0"/>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2907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7EFADD">
            <w:pPr>
              <w:spacing w:line="360" w:lineRule="auto"/>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序号</w:t>
            </w:r>
          </w:p>
        </w:tc>
        <w:tc>
          <w:tcPr>
            <w:tcW w:w="749" w:type="pct"/>
            <w:vAlign w:val="center"/>
          </w:tcPr>
          <w:p w14:paraId="342011E2">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内容</w:t>
            </w:r>
          </w:p>
        </w:tc>
        <w:tc>
          <w:tcPr>
            <w:tcW w:w="3688" w:type="pct"/>
            <w:vAlign w:val="center"/>
          </w:tcPr>
          <w:p w14:paraId="280AF67B">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说明和要求</w:t>
            </w:r>
          </w:p>
        </w:tc>
      </w:tr>
      <w:tr w14:paraId="393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EEAA53D">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w:t>
            </w:r>
          </w:p>
        </w:tc>
        <w:tc>
          <w:tcPr>
            <w:tcW w:w="749" w:type="pct"/>
            <w:vAlign w:val="center"/>
          </w:tcPr>
          <w:p w14:paraId="22A4084B">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4"/>
              </w:rPr>
              <w:t>人员到岗及履约要求</w:t>
            </w:r>
          </w:p>
        </w:tc>
        <w:tc>
          <w:tcPr>
            <w:tcW w:w="3688" w:type="pct"/>
            <w:vAlign w:val="center"/>
          </w:tcPr>
          <w:p w14:paraId="1F33BEFD">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1、</w:t>
            </w:r>
            <w:r>
              <w:rPr>
                <w:rFonts w:cs="宋体" w:asciiTheme="minorHAnsi" w:hAnsiTheme="minorHAnsi" w:eastAsiaTheme="minorEastAsia"/>
                <w:kern w:val="2"/>
                <w:sz w:val="24"/>
                <w:szCs w:val="24"/>
              </w:rPr>
              <w:t>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1EA2C695">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2、</w:t>
            </w:r>
            <w:r>
              <w:rPr>
                <w:rFonts w:cs="宋体" w:asciiTheme="minorHAnsi" w:hAnsiTheme="minorHAnsi" w:eastAsiaTheme="minorEastAsia"/>
                <w:kern w:val="2"/>
                <w:sz w:val="24"/>
                <w:szCs w:val="24"/>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6474706">
            <w:pPr>
              <w:spacing w:line="360" w:lineRule="auto"/>
              <w:rPr>
                <w:rFonts w:cs="@仿宋_GB2312" w:asciiTheme="minorEastAsia" w:hAnsiTheme="minorEastAsia" w:eastAsiaTheme="minorEastAsia"/>
                <w:kern w:val="2"/>
                <w:sz w:val="24"/>
                <w:szCs w:val="22"/>
              </w:rPr>
            </w:pPr>
            <w:r>
              <w:rPr>
                <w:rFonts w:hint="eastAsia" w:cs="宋体" w:asciiTheme="minorHAnsi" w:hAnsiTheme="minorHAnsi" w:eastAsiaTheme="minorEastAsia"/>
                <w:kern w:val="2"/>
                <w:sz w:val="24"/>
                <w:szCs w:val="24"/>
              </w:rPr>
              <w:t>3、</w:t>
            </w:r>
            <w:r>
              <w:rPr>
                <w:rFonts w:cs="宋体" w:asciiTheme="minorHAnsi" w:hAnsiTheme="minorHAnsi" w:eastAsiaTheme="minorEastAsia"/>
                <w:kern w:val="2"/>
                <w:sz w:val="24"/>
                <w:szCs w:val="24"/>
              </w:rPr>
              <w:t>成交供应商未能按照承诺到岗尽职的，采购人将视情 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36C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4FF06DE">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w:t>
            </w:r>
          </w:p>
        </w:tc>
        <w:tc>
          <w:tcPr>
            <w:tcW w:w="749" w:type="pct"/>
            <w:vAlign w:val="center"/>
          </w:tcPr>
          <w:p w14:paraId="1F6A7A84">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4"/>
              </w:rPr>
              <w:t>材料要求</w:t>
            </w:r>
          </w:p>
        </w:tc>
        <w:tc>
          <w:tcPr>
            <w:tcW w:w="3688" w:type="pct"/>
            <w:vAlign w:val="center"/>
          </w:tcPr>
          <w:p w14:paraId="1C9FA00D">
            <w:pPr>
              <w:spacing w:line="360" w:lineRule="auto"/>
              <w:rPr>
                <w:rFonts w:cs="@仿宋_GB2312" w:asciiTheme="minorEastAsia" w:hAnsiTheme="minorEastAsia" w:eastAsiaTheme="minorEastAsia"/>
                <w:kern w:val="2"/>
                <w:sz w:val="24"/>
                <w:szCs w:val="22"/>
              </w:rPr>
            </w:pPr>
            <w:r>
              <w:rPr>
                <w:rFonts w:cs="宋体" w:asciiTheme="minorHAnsi" w:hAnsiTheme="minorHAnsi" w:eastAsiaTheme="minorEastAsia"/>
                <w:kern w:val="2"/>
                <w:sz w:val="24"/>
                <w:szCs w:val="24"/>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4CE2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A4DE311">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3</w:t>
            </w:r>
          </w:p>
        </w:tc>
        <w:tc>
          <w:tcPr>
            <w:tcW w:w="749" w:type="pct"/>
            <w:vAlign w:val="center"/>
          </w:tcPr>
          <w:p w14:paraId="6421DBE8">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4"/>
              </w:rPr>
              <w:t>工程施工重点难点</w:t>
            </w:r>
          </w:p>
        </w:tc>
        <w:tc>
          <w:tcPr>
            <w:tcW w:w="3688" w:type="pct"/>
            <w:vAlign w:val="center"/>
          </w:tcPr>
          <w:p w14:paraId="268440A0">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p>
        </w:tc>
      </w:tr>
      <w:tr w14:paraId="6CF5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D41969">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4</w:t>
            </w:r>
          </w:p>
        </w:tc>
        <w:tc>
          <w:tcPr>
            <w:tcW w:w="749" w:type="pct"/>
            <w:vAlign w:val="center"/>
          </w:tcPr>
          <w:p w14:paraId="630271D8">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4"/>
              </w:rPr>
              <w:t>报价须知</w:t>
            </w:r>
          </w:p>
        </w:tc>
        <w:tc>
          <w:tcPr>
            <w:tcW w:w="3688" w:type="pct"/>
            <w:vAlign w:val="center"/>
          </w:tcPr>
          <w:p w14:paraId="5209AC44">
            <w:pPr>
              <w:spacing w:line="360" w:lineRule="auto"/>
              <w:rPr>
                <w:rFonts w:eastAsia="@微软简标宋" w:asciiTheme="minorHAnsi" w:hAnsiTheme="minorHAnsi"/>
                <w:kern w:val="2"/>
                <w:sz w:val="21"/>
                <w:szCs w:val="22"/>
              </w:rPr>
            </w:pPr>
            <w:r>
              <w:rPr>
                <w:rFonts w:hint="eastAsia" w:cs="@仿宋_GB2312" w:asciiTheme="minorEastAsia" w:hAnsiTheme="minorEastAsia" w:eastAsiaTheme="minorEastAsia"/>
                <w:kern w:val="2"/>
                <w:sz w:val="24"/>
                <w:szCs w:val="24"/>
              </w:rPr>
              <w:t>供应商最后报价均不得高于磋商文件（公告）列明的项目预算、最高投标限价，否则其响应文件将被认定为响应无效。</w:t>
            </w:r>
          </w:p>
        </w:tc>
      </w:tr>
      <w:tr w14:paraId="56E2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5A20A0">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5</w:t>
            </w:r>
          </w:p>
        </w:tc>
        <w:tc>
          <w:tcPr>
            <w:tcW w:w="749" w:type="pct"/>
            <w:vAlign w:val="center"/>
          </w:tcPr>
          <w:p w14:paraId="318835BC">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4"/>
              </w:rPr>
              <w:t>重要说明</w:t>
            </w:r>
          </w:p>
        </w:tc>
        <w:tc>
          <w:tcPr>
            <w:tcW w:w="3688" w:type="pct"/>
            <w:vAlign w:val="center"/>
          </w:tcPr>
          <w:p w14:paraId="2ABA1A04">
            <w:pPr>
              <w:numPr>
                <w:ilvl w:val="0"/>
                <w:numId w:val="1"/>
              </w:numPr>
              <w:spacing w:line="360" w:lineRule="auto"/>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 xml:space="preserve">本项目的磋商文件、工程量清单、澄清、修改、补充等 相关资料均通过电子服务系统发布，请供应商自行从网上下载，供应商应当及时查看有无相关澄清、修改、补充等内容。 </w:t>
            </w:r>
          </w:p>
          <w:p w14:paraId="2BFDA9FD">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2、</w:t>
            </w:r>
            <w:r>
              <w:rPr>
                <w:rFonts w:cs="宋体" w:asciiTheme="minorHAnsi" w:hAnsiTheme="minorHAnsi" w:eastAsiaTheme="minorEastAsia"/>
                <w:kern w:val="2"/>
                <w:sz w:val="24"/>
                <w:szCs w:val="24"/>
              </w:rPr>
              <w:t>供应商在工程实施过程中用工行为，必须严格执行国家及地方政府的有关规定，依法签订劳动合同，并按规定及时足额支付工资。</w:t>
            </w:r>
          </w:p>
          <w:p w14:paraId="4D42DBFE">
            <w:pPr>
              <w:spacing w:line="360" w:lineRule="auto"/>
              <w:rPr>
                <w:rFonts w:asciiTheme="minorHAnsi" w:hAnsiTheme="minorHAnsi" w:eastAsiaTheme="minorEastAsia"/>
                <w:kern w:val="2"/>
                <w:sz w:val="24"/>
                <w:szCs w:val="24"/>
              </w:rPr>
            </w:pPr>
            <w:r>
              <w:rPr>
                <w:rFonts w:hint="eastAsia" w:cs="宋体" w:asciiTheme="minorHAnsi" w:hAnsiTheme="minorHAnsi" w:eastAsiaTheme="minorEastAsia"/>
                <w:kern w:val="2"/>
                <w:sz w:val="24"/>
                <w:szCs w:val="24"/>
              </w:rPr>
              <w:t>3、</w:t>
            </w:r>
            <w:r>
              <w:rPr>
                <w:rFonts w:cs="宋体" w:asciiTheme="minorHAnsi" w:hAnsiTheme="minorHAnsi" w:eastAsiaTheme="minorEastAsia"/>
                <w:kern w:val="2"/>
                <w:sz w:val="24"/>
                <w:szCs w:val="24"/>
              </w:rPr>
              <w:t>政府采购政策</w:t>
            </w:r>
            <w:r>
              <w:rPr>
                <w:rFonts w:hint="eastAsia" w:asciiTheme="minorHAnsi" w:hAnsiTheme="minorHAnsi" w:eastAsiaTheme="minorEastAsia"/>
                <w:kern w:val="2"/>
                <w:sz w:val="24"/>
                <w:szCs w:val="24"/>
              </w:rPr>
              <w:t>：</w:t>
            </w:r>
          </w:p>
          <w:p w14:paraId="621B3CED">
            <w:pPr>
              <w:spacing w:line="360" w:lineRule="auto"/>
              <w:rPr>
                <w:rFonts w:cs="宋体" w:asciiTheme="minorHAnsi" w:hAnsiTheme="minorHAnsi" w:eastAsiaTheme="minorEastAsia"/>
                <w:b/>
                <w:bCs/>
                <w:kern w:val="2"/>
                <w:sz w:val="24"/>
                <w:szCs w:val="24"/>
              </w:rPr>
            </w:pPr>
            <w:r>
              <w:rPr>
                <w:rFonts w:hint="eastAsia" w:cs="宋体" w:asciiTheme="minorHAnsi" w:hAnsiTheme="minorHAnsi" w:eastAsiaTheme="minorEastAsia"/>
                <w:b/>
                <w:bCs/>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2C86DC8">
            <w:pPr>
              <w:spacing w:line="360" w:lineRule="auto"/>
              <w:rPr>
                <w:rFonts w:hint="eastAsia" w:cs="宋体" w:asciiTheme="minorHAnsi" w:hAnsiTheme="minorHAnsi" w:eastAsiaTheme="minorEastAsia"/>
                <w:kern w:val="2"/>
                <w:sz w:val="24"/>
                <w:szCs w:val="24"/>
                <w:highlight w:val="none"/>
              </w:rPr>
            </w:pPr>
            <w:r>
              <w:rPr>
                <w:rFonts w:hint="eastAsia" w:cs="宋体" w:asciiTheme="minorHAnsi" w:hAnsiTheme="minorHAnsi"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w:t>
            </w:r>
            <w:r>
              <w:rPr>
                <w:rFonts w:hint="eastAsia" w:cs="宋体" w:asciiTheme="minorHAnsi" w:hAnsiTheme="minorHAnsi" w:eastAsiaTheme="minorEastAsia"/>
                <w:kern w:val="2"/>
                <w:sz w:val="24"/>
                <w:szCs w:val="24"/>
                <w:highlight w:val="none"/>
              </w:rPr>
              <w:t>时，采购人将对包装材料和运输环节作为履约验收条款进行验收。</w:t>
            </w:r>
          </w:p>
          <w:p w14:paraId="1A8A92D2">
            <w:pPr>
              <w:spacing w:line="360" w:lineRule="auto"/>
              <w:rPr>
                <w:rFonts w:hint="eastAsia" w:eastAsia="宋体" w:cs="宋体" w:asciiTheme="minorHAnsi" w:hAnsiTheme="minorHAnsi"/>
                <w:kern w:val="2"/>
                <w:sz w:val="24"/>
                <w:szCs w:val="24"/>
                <w:lang w:val="en-US" w:eastAsia="zh-CN"/>
              </w:rPr>
            </w:pPr>
            <w:r>
              <w:rPr>
                <w:rFonts w:hint="eastAsia" w:cs="宋体" w:asciiTheme="minorHAnsi" w:hAnsiTheme="minorHAnsi" w:eastAsiaTheme="minorEastAsia"/>
                <w:kern w:val="2"/>
                <w:sz w:val="24"/>
                <w:szCs w:val="24"/>
                <w:highlight w:val="none"/>
                <w:lang w:val="en-US" w:eastAsia="zh-CN"/>
              </w:rPr>
              <w:t>3、</w:t>
            </w:r>
            <w:r>
              <w:rPr>
                <w:rFonts w:ascii="宋体" w:hAnsi="宋体" w:eastAsia="宋体" w:cs="宋体"/>
                <w:kern w:val="2"/>
                <w:sz w:val="24"/>
                <w:szCs w:val="24"/>
                <w:highlight w:val="none"/>
              </w:rPr>
              <w:t>本项目所使用的水电费用由</w:t>
            </w:r>
            <w:r>
              <w:rPr>
                <w:rFonts w:hint="eastAsia" w:cs="宋体"/>
                <w:kern w:val="2"/>
                <w:sz w:val="24"/>
                <w:szCs w:val="24"/>
                <w:highlight w:val="none"/>
                <w:lang w:val="en-US" w:eastAsia="zh-CN"/>
              </w:rPr>
              <w:t>成交供应商</w:t>
            </w:r>
            <w:r>
              <w:rPr>
                <w:rFonts w:ascii="宋体" w:hAnsi="宋体" w:eastAsia="宋体" w:cs="宋体"/>
                <w:kern w:val="2"/>
                <w:sz w:val="24"/>
                <w:szCs w:val="24"/>
                <w:highlight w:val="none"/>
              </w:rPr>
              <w:t>按</w:t>
            </w:r>
            <w:r>
              <w:rPr>
                <w:rFonts w:hint="eastAsia" w:ascii="宋体" w:hAnsi="宋体" w:eastAsia="宋体" w:cs="宋体"/>
                <w:kern w:val="2"/>
                <w:sz w:val="24"/>
                <w:szCs w:val="24"/>
                <w:highlight w:val="none"/>
              </w:rPr>
              <w:t>审定金额的7</w:t>
            </w:r>
            <w:r>
              <w:rPr>
                <w:rFonts w:ascii="宋体" w:hAnsi="宋体" w:eastAsia="宋体" w:cs="宋体"/>
                <w:kern w:val="2"/>
                <w:sz w:val="24"/>
                <w:szCs w:val="24"/>
                <w:highlight w:val="none"/>
              </w:rPr>
              <w:t>‰在工程竣工结算时交至</w:t>
            </w:r>
            <w:r>
              <w:rPr>
                <w:rFonts w:hint="eastAsia" w:cs="宋体"/>
                <w:kern w:val="2"/>
                <w:sz w:val="24"/>
                <w:szCs w:val="24"/>
                <w:highlight w:val="none"/>
                <w:lang w:val="en-US" w:eastAsia="zh-CN"/>
              </w:rPr>
              <w:t>采购人</w:t>
            </w:r>
            <w:r>
              <w:rPr>
                <w:rFonts w:ascii="宋体" w:hAnsi="宋体" w:eastAsia="宋体" w:cs="宋体"/>
                <w:kern w:val="2"/>
                <w:sz w:val="24"/>
                <w:szCs w:val="24"/>
                <w:highlight w:val="none"/>
              </w:rPr>
              <w:t>指定账户</w:t>
            </w:r>
            <w:r>
              <w:rPr>
                <w:rFonts w:hint="eastAsia" w:cs="宋体"/>
                <w:kern w:val="2"/>
                <w:sz w:val="24"/>
                <w:szCs w:val="24"/>
                <w:highlight w:val="none"/>
                <w:lang w:eastAsia="zh-CN"/>
              </w:rPr>
              <w:t>。</w:t>
            </w:r>
          </w:p>
        </w:tc>
      </w:tr>
      <w:tr w14:paraId="7F9F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FF61333">
            <w:pPr>
              <w:spacing w:line="360" w:lineRule="auto"/>
              <w:jc w:val="center"/>
              <w:rPr>
                <w:rFonts w:cs="@仿宋_GB2312" w:asciiTheme="minorEastAsia" w:hAnsiTheme="minorEastAsia" w:eastAsiaTheme="minorEastAsia"/>
                <w:kern w:val="2"/>
                <w:sz w:val="24"/>
                <w:szCs w:val="22"/>
              </w:rPr>
            </w:pPr>
            <w:r>
              <w:rPr>
                <w:rFonts w:cs="@仿宋_GB2312" w:asciiTheme="minorEastAsia" w:hAnsiTheme="minorEastAsia" w:eastAsiaTheme="minorEastAsia"/>
                <w:kern w:val="2"/>
                <w:sz w:val="24"/>
                <w:szCs w:val="22"/>
              </w:rPr>
              <w:t>6</w:t>
            </w:r>
          </w:p>
        </w:tc>
        <w:tc>
          <w:tcPr>
            <w:tcW w:w="749" w:type="pct"/>
            <w:vAlign w:val="center"/>
          </w:tcPr>
          <w:p w14:paraId="74F7F8F3">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项目经理</w:t>
            </w:r>
          </w:p>
        </w:tc>
        <w:tc>
          <w:tcPr>
            <w:tcW w:w="3688" w:type="pct"/>
            <w:vAlign w:val="center"/>
          </w:tcPr>
          <w:p w14:paraId="587F67B9">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详见竞争性磋商公告。</w:t>
            </w:r>
          </w:p>
        </w:tc>
      </w:tr>
      <w:tr w14:paraId="0EA2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9181095">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7</w:t>
            </w:r>
          </w:p>
        </w:tc>
        <w:tc>
          <w:tcPr>
            <w:tcW w:w="749" w:type="pct"/>
            <w:vAlign w:val="center"/>
          </w:tcPr>
          <w:p w14:paraId="092B48B5">
            <w:pPr>
              <w:pStyle w:val="6"/>
              <w:widowControl w:val="0"/>
              <w:spacing w:before="0" w:beforeAutospacing="0" w:after="0" w:afterAutospacing="0" w:line="360" w:lineRule="auto"/>
              <w:rPr>
                <w:rFonts w:cs="@仿宋_GB2312" w:asciiTheme="minorEastAsia" w:hAnsiTheme="minorEastAsia" w:eastAsiaTheme="minorEastAsia"/>
                <w:kern w:val="2"/>
                <w:sz w:val="24"/>
              </w:rPr>
            </w:pPr>
            <w:r>
              <w:rPr>
                <w:rFonts w:hint="eastAsia" w:asciiTheme="minorHAnsi" w:hAnsiTheme="minorHAnsi" w:eastAsiaTheme="minorEastAsia"/>
                <w:b w:val="0"/>
                <w:kern w:val="2"/>
                <w:sz w:val="24"/>
              </w:rPr>
              <w:t>本项目采购标的名称及所属行业</w:t>
            </w:r>
          </w:p>
        </w:tc>
        <w:tc>
          <w:tcPr>
            <w:tcW w:w="3688" w:type="pct"/>
            <w:vAlign w:val="center"/>
          </w:tcPr>
          <w:p w14:paraId="46ABA73A">
            <w:pPr>
              <w:spacing w:line="360" w:lineRule="auto"/>
              <w:jc w:val="left"/>
              <w:rPr>
                <w:rFonts w:hint="eastAsia" w:asciiTheme="minorEastAsia" w:hAnsiTheme="minorEastAsia" w:eastAsiaTheme="minorEastAsia"/>
                <w:kern w:val="2"/>
                <w:sz w:val="24"/>
                <w:szCs w:val="22"/>
                <w:lang w:eastAsia="zh-CN"/>
              </w:rPr>
            </w:pPr>
            <w:r>
              <w:rPr>
                <w:rFonts w:hint="eastAsia" w:asciiTheme="minorEastAsia" w:hAnsiTheme="minorEastAsia" w:eastAsiaTheme="minorEastAsia"/>
                <w:kern w:val="2"/>
                <w:sz w:val="24"/>
                <w:szCs w:val="22"/>
              </w:rPr>
              <w:t>标的名称：</w:t>
            </w:r>
            <w:r>
              <w:rPr>
                <w:rFonts w:hint="eastAsia" w:cs="@仿宋_GB2312" w:asciiTheme="minorEastAsia" w:hAnsiTheme="minorEastAsia" w:eastAsiaTheme="minorEastAsia"/>
                <w:kern w:val="2"/>
                <w:sz w:val="24"/>
                <w:szCs w:val="24"/>
                <w:lang w:eastAsia="zh-CN"/>
              </w:rPr>
              <w:t>蚌埠医科大学龙子湖校区10号楼学生宿舍维修改造项目</w:t>
            </w:r>
          </w:p>
          <w:p w14:paraId="4C9CC26E">
            <w:pPr>
              <w:rPr>
                <w:rFonts w:asciiTheme="minorHAnsi" w:hAnsiTheme="minorHAnsi" w:eastAsiaTheme="minorEastAsia"/>
                <w:kern w:val="2"/>
                <w:sz w:val="24"/>
                <w:szCs w:val="22"/>
              </w:rPr>
            </w:pPr>
            <w:r>
              <w:rPr>
                <w:rFonts w:hint="eastAsia" w:asciiTheme="minorEastAsia" w:hAnsiTheme="minorEastAsia" w:eastAsiaTheme="minorEastAsia"/>
                <w:kern w:val="2"/>
                <w:sz w:val="24"/>
                <w:szCs w:val="22"/>
              </w:rPr>
              <w:t>所属行业：建筑业</w:t>
            </w:r>
          </w:p>
        </w:tc>
      </w:tr>
      <w:tr w14:paraId="1C6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C523FFF">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8</w:t>
            </w:r>
          </w:p>
        </w:tc>
        <w:tc>
          <w:tcPr>
            <w:tcW w:w="749" w:type="pct"/>
            <w:vAlign w:val="center"/>
          </w:tcPr>
          <w:p w14:paraId="76F232C9">
            <w:pPr>
              <w:spacing w:line="360" w:lineRule="auto"/>
              <w:jc w:val="center"/>
              <w:rPr>
                <w:rFonts w:cs="@仿宋_GB2312" w:asciiTheme="minorEastAsia" w:hAnsiTheme="minorEastAsia" w:eastAsiaTheme="minorEastAsia"/>
                <w:kern w:val="2"/>
                <w:sz w:val="24"/>
                <w:szCs w:val="22"/>
              </w:rPr>
            </w:pPr>
            <w:r>
              <w:rPr>
                <w:rFonts w:hint="eastAsia" w:cs="@仿宋_GB2312" w:asciiTheme="minorHAnsi" w:hAnsiTheme="minorHAnsi" w:eastAsiaTheme="minorEastAsia"/>
                <w:bCs/>
                <w:kern w:val="2"/>
                <w:sz w:val="24"/>
                <w:szCs w:val="24"/>
              </w:rPr>
              <w:t>工程量清单、图纸等</w:t>
            </w:r>
          </w:p>
        </w:tc>
        <w:tc>
          <w:tcPr>
            <w:tcW w:w="3688" w:type="pct"/>
            <w:vAlign w:val="center"/>
          </w:tcPr>
          <w:p w14:paraId="0271F9E8">
            <w:pPr>
              <w:spacing w:line="360" w:lineRule="auto"/>
              <w:rPr>
                <w:rFonts w:cs="@仿宋_GB2312" w:asciiTheme="minorEastAsia" w:hAnsiTheme="minorEastAsia" w:eastAsiaTheme="minorEastAsia"/>
                <w:kern w:val="2"/>
                <w:sz w:val="24"/>
                <w:szCs w:val="22"/>
              </w:rPr>
            </w:pPr>
            <w:r>
              <w:rPr>
                <w:rFonts w:hint="eastAsia" w:cs="宋体" w:asciiTheme="minorHAnsi" w:hAnsiTheme="minorHAnsi" w:eastAsiaTheme="minorEastAsia"/>
                <w:kern w:val="2"/>
                <w:sz w:val="24"/>
                <w:szCs w:val="24"/>
              </w:rPr>
              <w:t>详见附件。</w:t>
            </w:r>
          </w:p>
        </w:tc>
      </w:tr>
      <w:tr w14:paraId="7CFC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D961DFA">
            <w:pPr>
              <w:spacing w:line="360" w:lineRule="auto"/>
              <w:jc w:val="center"/>
              <w:rPr>
                <w:rFonts w:cs="@仿宋_GB2312" w:asciiTheme="minorEastAsia" w:hAnsiTheme="minorEastAsia" w:eastAsiaTheme="minorEastAsia"/>
                <w:kern w:val="2"/>
                <w:sz w:val="24"/>
                <w:szCs w:val="22"/>
              </w:rPr>
            </w:pPr>
            <w:bookmarkStart w:id="1" w:name="_Hlk23621890"/>
            <w:bookmarkStart w:id="2" w:name="_Toc21798"/>
            <w:bookmarkStart w:id="3" w:name="_Toc4148"/>
            <w:r>
              <w:rPr>
                <w:rFonts w:hint="eastAsia" w:cs="@仿宋_GB2312" w:asciiTheme="minorEastAsia" w:hAnsiTheme="minorEastAsia" w:eastAsiaTheme="minorEastAsia"/>
                <w:kern w:val="2"/>
                <w:sz w:val="24"/>
                <w:szCs w:val="22"/>
              </w:rPr>
              <w:t>9</w:t>
            </w:r>
          </w:p>
        </w:tc>
        <w:tc>
          <w:tcPr>
            <w:tcW w:w="749" w:type="pct"/>
            <w:shd w:val="clear" w:color="auto" w:fill="auto"/>
            <w:vAlign w:val="center"/>
          </w:tcPr>
          <w:p w14:paraId="345A39CC">
            <w:pPr>
              <w:pStyle w:val="6"/>
              <w:widowControl w:val="0"/>
              <w:spacing w:before="0" w:beforeAutospacing="0" w:after="0" w:afterAutospacing="0" w:line="360" w:lineRule="auto"/>
              <w:rPr>
                <w:rFonts w:asciiTheme="minorHAnsi" w:hAnsiTheme="minorHAnsi" w:eastAsiaTheme="minorEastAsia"/>
                <w:b w:val="0"/>
                <w:kern w:val="2"/>
                <w:sz w:val="24"/>
                <w:szCs w:val="24"/>
                <w:highlight w:val="none"/>
              </w:rPr>
            </w:pPr>
            <w:r>
              <w:rPr>
                <w:rFonts w:hint="eastAsia" w:asciiTheme="minorHAnsi" w:hAnsiTheme="minorHAnsi" w:eastAsiaTheme="minorEastAsia"/>
                <w:b w:val="0"/>
                <w:kern w:val="2"/>
                <w:sz w:val="24"/>
                <w:szCs w:val="24"/>
                <w:highlight w:val="none"/>
              </w:rPr>
              <w:t>工期</w:t>
            </w:r>
          </w:p>
        </w:tc>
        <w:tc>
          <w:tcPr>
            <w:tcW w:w="3688" w:type="pct"/>
            <w:shd w:val="clear" w:color="auto" w:fill="auto"/>
            <w:vAlign w:val="center"/>
          </w:tcPr>
          <w:p w14:paraId="45B67278">
            <w:pPr>
              <w:spacing w:line="360" w:lineRule="auto"/>
              <w:rPr>
                <w:rFonts w:cs="@仿宋_GB2312" w:asciiTheme="minorEastAsia" w:hAnsiTheme="minorEastAsia" w:eastAsiaTheme="minorEastAsia"/>
                <w:kern w:val="2"/>
                <w:sz w:val="24"/>
                <w:szCs w:val="24"/>
                <w:highlight w:val="none"/>
              </w:rPr>
            </w:pPr>
            <w:r>
              <w:rPr>
                <w:rFonts w:hint="eastAsia" w:cs="@仿宋_GB2312" w:asciiTheme="minorEastAsia" w:hAnsiTheme="minorEastAsia" w:eastAsiaTheme="minorEastAsia"/>
                <w:kern w:val="2"/>
                <w:sz w:val="24"/>
                <w:szCs w:val="24"/>
                <w:highlight w:val="none"/>
              </w:rPr>
              <w:t>80日历天（包括周末）。</w:t>
            </w:r>
          </w:p>
        </w:tc>
      </w:tr>
      <w:tr w14:paraId="2DA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83DF114">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10</w:t>
            </w:r>
          </w:p>
        </w:tc>
        <w:tc>
          <w:tcPr>
            <w:tcW w:w="749" w:type="pct"/>
            <w:shd w:val="clear" w:color="auto" w:fill="auto"/>
            <w:vAlign w:val="center"/>
          </w:tcPr>
          <w:p w14:paraId="555730AB">
            <w:pPr>
              <w:pStyle w:val="6"/>
              <w:widowControl w:val="0"/>
              <w:spacing w:before="0" w:beforeAutospacing="0" w:after="0" w:afterAutospacing="0" w:line="360" w:lineRule="auto"/>
              <w:rPr>
                <w:rFonts w:asciiTheme="minorHAnsi" w:hAnsiTheme="minorHAnsi" w:eastAsiaTheme="minorEastAsia"/>
                <w:b w:val="0"/>
                <w:kern w:val="2"/>
                <w:sz w:val="24"/>
                <w:szCs w:val="24"/>
              </w:rPr>
            </w:pPr>
            <w:r>
              <w:rPr>
                <w:rFonts w:hint="eastAsia" w:asciiTheme="minorHAnsi" w:hAnsiTheme="minorHAnsi" w:eastAsiaTheme="minorEastAsia"/>
                <w:b w:val="0"/>
                <w:kern w:val="2"/>
                <w:sz w:val="24"/>
                <w:szCs w:val="24"/>
              </w:rPr>
              <w:t>付款方式</w:t>
            </w:r>
          </w:p>
        </w:tc>
        <w:tc>
          <w:tcPr>
            <w:tcW w:w="3688" w:type="pct"/>
            <w:shd w:val="clear" w:color="auto" w:fill="auto"/>
            <w:vAlign w:val="center"/>
          </w:tcPr>
          <w:p w14:paraId="0C3E0D47">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合同签订后支付合同价款的</w:t>
            </w:r>
            <w:r>
              <w:rPr>
                <w:rFonts w:hint="eastAsia" w:cs="@仿宋_GB2312" w:asciiTheme="minorEastAsia" w:hAnsiTheme="minorEastAsia" w:eastAsiaTheme="minorEastAsia"/>
                <w:kern w:val="2"/>
                <w:sz w:val="24"/>
                <w:szCs w:val="24"/>
                <w:lang w:val="en-US" w:eastAsia="zh-CN"/>
              </w:rPr>
              <w:t>50</w:t>
            </w:r>
            <w:r>
              <w:rPr>
                <w:rFonts w:hint="eastAsia" w:cs="@仿宋_GB2312" w:asciiTheme="minorEastAsia" w:hAnsiTheme="minorEastAsia" w:eastAsiaTheme="minorEastAsia"/>
                <w:kern w:val="2"/>
                <w:sz w:val="24"/>
                <w:szCs w:val="24"/>
              </w:rPr>
              <w:t>%，同时成交供应商向采购人提交同等金额的预付款担保，竣工验收合格后支付至审定金额的100%。（结算前成交供应商可以采用“转账、银行保函、保证保险等方式”提交审定金额的3%作为工程质量保证金，质保金在缺陷责任期满无相关问题后一次性退还）。</w:t>
            </w:r>
          </w:p>
          <w:p w14:paraId="74611B5E">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注：</w:t>
            </w:r>
          </w:p>
          <w:p w14:paraId="39B73F65">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（1）成交供应商未按规定提供预付款担保的，视为放弃预付款；</w:t>
            </w:r>
          </w:p>
          <w:p w14:paraId="560C6A1F">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（2）质量保证金缴纳形式：☑转账/电汇☑支票☑汇票☑本票☑保险☑保函；</w:t>
            </w:r>
          </w:p>
          <w:p w14:paraId="6233D027">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（3）预付款担保和质量担保要求如下：</w:t>
            </w:r>
          </w:p>
          <w:p w14:paraId="1987C229">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①如采用银行保函，应为成交供应商对公账户银行出具的不可撤销、不可转让的见索即付独立保函；</w:t>
            </w:r>
          </w:p>
          <w:p w14:paraId="0B62DAC3">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②如采用担保机构担保，应为经地方金融监督管理局审查批准，依法取得融资担保业务经营许可证的融资担保机构出具的不可撤销、不可转让的见索即付独立保函；</w:t>
            </w:r>
          </w:p>
          <w:p w14:paraId="78D77FC9">
            <w:pPr>
              <w:spacing w:line="360" w:lineRule="auto"/>
              <w:rPr>
                <w:rFonts w:cs="@仿宋_GB2312" w:asciiTheme="minorEastAsia" w:hAnsiTheme="minorEastAsia" w:eastAsiaTheme="minorEastAsia"/>
                <w:kern w:val="2"/>
                <w:sz w:val="24"/>
                <w:szCs w:val="24"/>
              </w:rPr>
            </w:pPr>
            <w:r>
              <w:rPr>
                <w:rFonts w:hint="eastAsia" w:cs="@仿宋_GB2312" w:asciiTheme="minorEastAsia" w:hAnsiTheme="minorEastAsia" w:eastAsiaTheme="minorEastAsia"/>
                <w:kern w:val="2"/>
                <w:sz w:val="24"/>
                <w:szCs w:val="24"/>
              </w:rPr>
              <w:t>③如采用保证保险，应为保险机构出具的不可撤销、不可转让的见索即付保证保险；</w:t>
            </w:r>
          </w:p>
          <w:p w14:paraId="7C9E8AEC">
            <w:pPr>
              <w:spacing w:line="360" w:lineRule="auto"/>
              <w:rPr>
                <w:rFonts w:asciiTheme="minorHAnsi" w:hAnsiTheme="minorHAnsi" w:eastAsiaTheme="minorEastAsia"/>
                <w:kern w:val="2"/>
                <w:sz w:val="21"/>
                <w:szCs w:val="22"/>
              </w:rPr>
            </w:pPr>
            <w:r>
              <w:rPr>
                <w:rFonts w:hint="eastAsia" w:cs="@仿宋_GB2312" w:asciiTheme="minorEastAsia" w:hAnsiTheme="minorEastAsia" w:eastAsiaTheme="minorEastAsia"/>
                <w:kern w:val="2"/>
                <w:sz w:val="24"/>
                <w:szCs w:val="24"/>
              </w:rPr>
              <w:t>④以上各类机构出具的以担保函、保证保险承担责任的方式均须满足无条件见索即付条件，且受益人和收取单位须为采购人。</w:t>
            </w:r>
          </w:p>
        </w:tc>
      </w:tr>
    </w:tbl>
    <w:p w14:paraId="4F18CD2C">
      <w:pPr>
        <w:pStyle w:val="2"/>
      </w:pPr>
      <w:r>
        <w:rPr>
          <w:rFonts w:hint="eastAsia"/>
        </w:rPr>
        <w:t>一</w:t>
      </w:r>
      <w:bookmarkEnd w:id="1"/>
      <w:bookmarkEnd w:id="2"/>
      <w:bookmarkEnd w:id="3"/>
      <w:r>
        <w:rPr>
          <w:rFonts w:hint="eastAsia"/>
        </w:rPr>
        <w:t>、项目概况</w:t>
      </w:r>
    </w:p>
    <w:p w14:paraId="71A2BBAE">
      <w:pPr>
        <w:spacing w:line="360" w:lineRule="auto"/>
        <w:ind w:firstLine="480" w:firstLineChars="200"/>
      </w:pPr>
      <w:r>
        <w:rPr>
          <w:rFonts w:hint="eastAsia" w:cs="@仿宋_GB2312" w:asciiTheme="minorEastAsia" w:hAnsiTheme="minorEastAsia" w:eastAsiaTheme="minorEastAsia"/>
          <w:kern w:val="2"/>
          <w:sz w:val="24"/>
          <w:szCs w:val="24"/>
        </w:rPr>
        <w:t>对我校学生公寓10栋（6层砖混结构，建筑面积约9000m</w:t>
      </w:r>
      <w:r>
        <w:rPr>
          <w:rFonts w:hint="eastAsia" w:cs="@仿宋_GB2312" w:asciiTheme="minorEastAsia" w:hAnsiTheme="minorEastAsia" w:eastAsiaTheme="minorEastAsia"/>
          <w:kern w:val="2"/>
          <w:sz w:val="24"/>
          <w:szCs w:val="24"/>
          <w:vertAlign w:val="superscript"/>
        </w:rPr>
        <w:t>2</w:t>
      </w:r>
      <w:r>
        <w:rPr>
          <w:rFonts w:hint="eastAsia" w:cs="@仿宋_GB2312" w:asciiTheme="minorEastAsia" w:hAnsiTheme="minorEastAsia" w:eastAsiaTheme="minorEastAsia"/>
          <w:kern w:val="2"/>
          <w:sz w:val="24"/>
          <w:szCs w:val="24"/>
        </w:rPr>
        <w:t>）进行修缮改造，内容包括但不限于：屋面防水保温结构改造、外墙立面改造、室内墙顶面铲除粉刷、塑钢门窗改造、给排水管道更换、卫生间吊顶更换、木质防火门更换、灯具更换等。</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6DBB1"/>
    <w:multiLevelType w:val="singleLevel"/>
    <w:tmpl w:val="6ED6DB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2671A"/>
    <w:rsid w:val="2E42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网格型2"/>
    <w:basedOn w:val="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2026-07-21T11:33:00Z</dcterms:created>
  <dc:creator>  </dc:creator>
  <cp:lastModifiedBy>  </cp:lastModifiedBy>
  <dcterms:modified xsi:type="dcterms:W3CDTF">2026-07-21T11:33:46Z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58478746BCB54CF699BCBB26B749A189_11</vt:lpwstr>
  </property>
  <property fmtid="{D5CDD505-2E9C-101B-9397-08002B2CF9AE}" pid="4" name="KSOTemplateDocerSaveRecord">
    <vt:lpwstr>eyJoZGlkIjoiNGMzNjAzNDRjMDA5M2U1MmExYTVjOWQ1YmU1ZTJlYjQiLCJ1c2VySWQiOiIxOTgzNzY4NjIifQ==</vt:lpwstr>
  </property>
</Properties>
</file>