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D14">
      <w:pPr>
        <w:numPr>
          <w:ilvl w:val="0"/>
          <w:numId w:val="1"/>
        </w:numPr>
        <w:spacing w:line="360" w:lineRule="auto"/>
        <w:jc w:val="center"/>
        <w:outlineLvl w:val="0"/>
        <w:rPr>
          <w:rFonts w:hint="eastAsia" w:ascii="宋体" w:hAnsi="宋体" w:eastAsia="宋体"/>
          <w:b/>
          <w:color w:val="auto"/>
          <w:sz w:val="28"/>
        </w:rPr>
      </w:pPr>
      <w:r>
        <w:rPr>
          <w:rFonts w:hint="eastAsia" w:ascii="宋体" w:hAnsi="宋体" w:eastAsia="宋体"/>
          <w:b/>
          <w:color w:val="auto"/>
          <w:sz w:val="28"/>
        </w:rPr>
        <w:t>采购需</w:t>
      </w:r>
      <w:bookmarkStart w:id="8" w:name="_GoBack"/>
      <w:bookmarkEnd w:id="8"/>
      <w:r>
        <w:rPr>
          <w:rFonts w:hint="eastAsia" w:ascii="宋体" w:hAnsi="宋体" w:eastAsia="宋体"/>
          <w:b/>
          <w:color w:val="auto"/>
          <w:sz w:val="28"/>
        </w:rPr>
        <w:t>求</w:t>
      </w:r>
    </w:p>
    <w:p w14:paraId="64ABDEF0">
      <w:pPr>
        <w:adjustRightInd w:val="0"/>
        <w:snapToGrid w:val="0"/>
        <w:spacing w:line="360" w:lineRule="auto"/>
        <w:rPr>
          <w:rFonts w:hint="eastAsia" w:ascii="宋体" w:hAnsi="宋体" w:eastAsia="宋体"/>
          <w:b/>
          <w:color w:val="auto"/>
          <w:szCs w:val="21"/>
        </w:rPr>
      </w:pPr>
      <w:r>
        <w:rPr>
          <w:rFonts w:hint="eastAsia" w:ascii="宋体" w:hAnsi="宋体" w:eastAsia="宋体"/>
          <w:b/>
          <w:color w:val="auto"/>
          <w:szCs w:val="21"/>
        </w:rPr>
        <w:t>前注：</w:t>
      </w:r>
    </w:p>
    <w:p w14:paraId="6F49F4FB">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1.本采购需求中提出的服务方案仅为参考，如无明确限制，投标人可以进行优化，提供满足采购人实际需要的更优（或者性能实质上不低于的）服务方案，且此方案须经评标委员会评审认可。</w:t>
      </w:r>
    </w:p>
    <w:p w14:paraId="3B6319A0">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p>
    <w:p w14:paraId="266BA667">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F061FF7">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5B5313B">
      <w:pPr>
        <w:adjustRightInd w:val="0"/>
        <w:snapToGrid w:val="0"/>
        <w:spacing w:line="360" w:lineRule="auto"/>
        <w:ind w:firstLine="420" w:firstLineChars="200"/>
        <w:rPr>
          <w:rFonts w:hint="eastAsia" w:ascii="宋体" w:hAnsi="宋体" w:eastAsia="宋体"/>
          <w:bCs/>
          <w:color w:val="auto"/>
          <w:szCs w:val="21"/>
        </w:rPr>
      </w:pPr>
      <w:r>
        <w:rPr>
          <w:rFonts w:hint="eastAsia" w:ascii="宋体" w:hAnsi="宋体" w:eastAsia="宋体" w:cs="宋体"/>
          <w:color w:val="auto"/>
          <w:szCs w:val="21"/>
        </w:rPr>
        <w:t>3.如采购人允许采用分包方式履行合同的，应当明确可以分包履行的相关内容（本项目不允许分包）。</w:t>
      </w:r>
    </w:p>
    <w:p w14:paraId="4552B1BD">
      <w:pPr>
        <w:adjustRightInd w:val="0"/>
        <w:snapToGrid w:val="0"/>
        <w:spacing w:line="360" w:lineRule="auto"/>
        <w:ind w:firstLine="437"/>
        <w:outlineLvl w:val="1"/>
        <w:rPr>
          <w:rFonts w:hint="eastAsia" w:ascii="宋体" w:hAnsi="宋体" w:eastAsia="宋体"/>
          <w:b/>
          <w:color w:val="auto"/>
          <w:szCs w:val="21"/>
        </w:rPr>
      </w:pPr>
      <w:bookmarkStart w:id="0" w:name="_Toc173275127"/>
      <w:bookmarkStart w:id="1" w:name="_Toc21798"/>
      <w:bookmarkStart w:id="2" w:name="_Toc4148"/>
      <w:bookmarkStart w:id="3" w:name="_Hlk23621890"/>
      <w:r>
        <w:rPr>
          <w:rFonts w:hint="eastAsia" w:ascii="宋体" w:hAnsi="宋体" w:eastAsia="宋体"/>
          <w:b/>
          <w:color w:val="auto"/>
          <w:szCs w:val="21"/>
        </w:rPr>
        <w:t>一、采购需求前附表</w:t>
      </w:r>
      <w:bookmarkEnd w:id="0"/>
      <w:bookmarkEnd w:id="1"/>
      <w:bookmarkEnd w:id="2"/>
    </w:p>
    <w:tbl>
      <w:tblPr>
        <w:tblStyle w:val="5"/>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00"/>
        <w:gridCol w:w="6843"/>
      </w:tblGrid>
      <w:tr w14:paraId="63BC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0" w:type="pct"/>
            <w:noWrap w:val="0"/>
            <w:vAlign w:val="center"/>
          </w:tcPr>
          <w:p w14:paraId="16BB4711">
            <w:pPr>
              <w:pStyle w:val="7"/>
              <w:rPr>
                <w:rFonts w:hint="eastAsia" w:cs="@仿宋_GB2312"/>
                <w:color w:val="auto"/>
                <w:kern w:val="2"/>
              </w:rPr>
            </w:pPr>
            <w:r>
              <w:rPr>
                <w:rFonts w:hint="eastAsia" w:cs="@仿宋_GB2312"/>
                <w:b/>
                <w:bCs w:val="0"/>
                <w:color w:val="auto"/>
                <w:kern w:val="2"/>
              </w:rPr>
              <w:t>序号</w:t>
            </w:r>
          </w:p>
        </w:tc>
        <w:tc>
          <w:tcPr>
            <w:tcW w:w="958" w:type="pct"/>
            <w:noWrap w:val="0"/>
            <w:vAlign w:val="center"/>
          </w:tcPr>
          <w:p w14:paraId="665C2C8E">
            <w:pPr>
              <w:pStyle w:val="8"/>
              <w:adjustRightInd w:val="0"/>
              <w:snapToGrid w:val="0"/>
              <w:spacing w:line="300" w:lineRule="auto"/>
              <w:jc w:val="center"/>
              <w:rPr>
                <w:rFonts w:hint="eastAsia"/>
                <w:b/>
                <w:color w:val="auto"/>
                <w:sz w:val="21"/>
                <w:szCs w:val="21"/>
              </w:rPr>
            </w:pPr>
            <w:r>
              <w:rPr>
                <w:rFonts w:hint="eastAsia"/>
                <w:b/>
                <w:color w:val="auto"/>
                <w:sz w:val="21"/>
                <w:szCs w:val="21"/>
              </w:rPr>
              <w:t>条款名称</w:t>
            </w:r>
          </w:p>
        </w:tc>
        <w:tc>
          <w:tcPr>
            <w:tcW w:w="3641" w:type="pct"/>
            <w:noWrap w:val="0"/>
            <w:vAlign w:val="center"/>
          </w:tcPr>
          <w:p w14:paraId="62170001">
            <w:pPr>
              <w:pStyle w:val="8"/>
              <w:adjustRightInd w:val="0"/>
              <w:snapToGrid w:val="0"/>
              <w:spacing w:line="300" w:lineRule="auto"/>
              <w:jc w:val="center"/>
              <w:rPr>
                <w:rFonts w:hint="eastAsia"/>
                <w:b/>
                <w:color w:val="auto"/>
                <w:sz w:val="21"/>
                <w:szCs w:val="21"/>
              </w:rPr>
            </w:pPr>
            <w:r>
              <w:rPr>
                <w:rFonts w:hint="eastAsia"/>
                <w:b/>
                <w:color w:val="auto"/>
                <w:sz w:val="21"/>
                <w:szCs w:val="21"/>
              </w:rPr>
              <w:t>内容、说明与要求</w:t>
            </w:r>
          </w:p>
        </w:tc>
      </w:tr>
      <w:tr w14:paraId="070F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14:paraId="178F27EA">
            <w:pPr>
              <w:pStyle w:val="7"/>
              <w:rPr>
                <w:rFonts w:hint="eastAsia" w:cs="@仿宋_GB2312"/>
                <w:color w:val="auto"/>
                <w:kern w:val="2"/>
              </w:rPr>
            </w:pPr>
            <w:r>
              <w:rPr>
                <w:rFonts w:hint="eastAsia" w:cs="@仿宋_GB2312"/>
                <w:color w:val="auto"/>
                <w:kern w:val="2"/>
              </w:rPr>
              <w:t>1</w:t>
            </w:r>
          </w:p>
        </w:tc>
        <w:tc>
          <w:tcPr>
            <w:tcW w:w="958" w:type="pct"/>
            <w:noWrap w:val="0"/>
            <w:vAlign w:val="center"/>
          </w:tcPr>
          <w:p w14:paraId="2766D0FE">
            <w:pPr>
              <w:pStyle w:val="8"/>
              <w:adjustRightInd w:val="0"/>
              <w:snapToGrid w:val="0"/>
              <w:spacing w:line="300" w:lineRule="auto"/>
              <w:rPr>
                <w:rFonts w:hint="eastAsia"/>
                <w:color w:val="auto"/>
                <w:sz w:val="21"/>
                <w:szCs w:val="21"/>
              </w:rPr>
            </w:pPr>
            <w:r>
              <w:rPr>
                <w:rFonts w:hint="eastAsia"/>
                <w:color w:val="auto"/>
                <w:sz w:val="21"/>
                <w:szCs w:val="21"/>
              </w:rPr>
              <w:t>付款方式</w:t>
            </w:r>
          </w:p>
        </w:tc>
        <w:tc>
          <w:tcPr>
            <w:tcW w:w="3641" w:type="pct"/>
            <w:noWrap w:val="0"/>
            <w:vAlign w:val="center"/>
          </w:tcPr>
          <w:p w14:paraId="32159D75">
            <w:pPr>
              <w:pStyle w:val="8"/>
              <w:adjustRightInd w:val="0"/>
              <w:snapToGrid w:val="0"/>
              <w:spacing w:line="300" w:lineRule="auto"/>
              <w:rPr>
                <w:color w:val="auto"/>
                <w:sz w:val="21"/>
                <w:szCs w:val="21"/>
              </w:rPr>
            </w:pPr>
            <w:r>
              <w:rPr>
                <w:rFonts w:hint="eastAsia"/>
                <w:color w:val="auto"/>
                <w:sz w:val="21"/>
                <w:szCs w:val="21"/>
              </w:rPr>
              <w:t>合同生效后，付至合同价款的70%，合同期满后经采购人验收合格后支付合同剩余价款。</w:t>
            </w:r>
          </w:p>
        </w:tc>
      </w:tr>
      <w:tr w14:paraId="0C5F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0" w:type="pct"/>
            <w:noWrap w:val="0"/>
            <w:vAlign w:val="center"/>
          </w:tcPr>
          <w:p w14:paraId="31429C5C">
            <w:pPr>
              <w:pStyle w:val="7"/>
              <w:rPr>
                <w:rFonts w:hint="eastAsia" w:cs="@仿宋_GB2312"/>
                <w:color w:val="auto"/>
                <w:kern w:val="2"/>
              </w:rPr>
            </w:pPr>
            <w:r>
              <w:rPr>
                <w:rFonts w:hint="eastAsia" w:cs="@仿宋_GB2312"/>
                <w:color w:val="auto"/>
                <w:kern w:val="2"/>
              </w:rPr>
              <w:t>2</w:t>
            </w:r>
          </w:p>
        </w:tc>
        <w:tc>
          <w:tcPr>
            <w:tcW w:w="958" w:type="pct"/>
            <w:noWrap w:val="0"/>
            <w:vAlign w:val="center"/>
          </w:tcPr>
          <w:p w14:paraId="50DDCF0D">
            <w:pPr>
              <w:pStyle w:val="8"/>
              <w:adjustRightInd w:val="0"/>
              <w:snapToGrid w:val="0"/>
              <w:spacing w:line="300" w:lineRule="auto"/>
              <w:rPr>
                <w:rFonts w:hint="eastAsia"/>
                <w:color w:val="auto"/>
                <w:sz w:val="21"/>
                <w:szCs w:val="21"/>
              </w:rPr>
            </w:pPr>
            <w:r>
              <w:rPr>
                <w:rFonts w:hint="eastAsia"/>
                <w:color w:val="auto"/>
                <w:sz w:val="21"/>
                <w:szCs w:val="21"/>
              </w:rPr>
              <w:t>服务地点</w:t>
            </w:r>
          </w:p>
        </w:tc>
        <w:tc>
          <w:tcPr>
            <w:tcW w:w="3641" w:type="pct"/>
            <w:noWrap w:val="0"/>
            <w:vAlign w:val="center"/>
          </w:tcPr>
          <w:p w14:paraId="162F864D">
            <w:pPr>
              <w:pStyle w:val="8"/>
              <w:adjustRightInd w:val="0"/>
              <w:snapToGrid w:val="0"/>
              <w:spacing w:line="300" w:lineRule="auto"/>
              <w:rPr>
                <w:rFonts w:hint="eastAsia"/>
                <w:color w:val="auto"/>
                <w:sz w:val="21"/>
                <w:szCs w:val="21"/>
              </w:rPr>
            </w:pPr>
            <w:r>
              <w:rPr>
                <w:rFonts w:hint="eastAsia"/>
                <w:color w:val="auto"/>
                <w:sz w:val="21"/>
                <w:szCs w:val="21"/>
              </w:rPr>
              <w:t>安徽省重竞技运动管理中心，具体按采购人指定。</w:t>
            </w:r>
          </w:p>
        </w:tc>
      </w:tr>
      <w:tr w14:paraId="28B6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0" w:type="pct"/>
            <w:noWrap w:val="0"/>
            <w:vAlign w:val="center"/>
          </w:tcPr>
          <w:p w14:paraId="5D7D6C7B">
            <w:pPr>
              <w:pStyle w:val="7"/>
              <w:rPr>
                <w:rFonts w:hint="eastAsia" w:cs="@仿宋_GB2312"/>
                <w:color w:val="auto"/>
                <w:kern w:val="2"/>
              </w:rPr>
            </w:pPr>
            <w:r>
              <w:rPr>
                <w:rFonts w:hint="eastAsia" w:cs="@仿宋_GB2312"/>
                <w:color w:val="auto"/>
                <w:kern w:val="2"/>
              </w:rPr>
              <w:t>3</w:t>
            </w:r>
          </w:p>
        </w:tc>
        <w:tc>
          <w:tcPr>
            <w:tcW w:w="958" w:type="pct"/>
            <w:noWrap w:val="0"/>
            <w:vAlign w:val="center"/>
          </w:tcPr>
          <w:p w14:paraId="531BB850">
            <w:pPr>
              <w:pStyle w:val="8"/>
              <w:adjustRightInd w:val="0"/>
              <w:snapToGrid w:val="0"/>
              <w:spacing w:line="300" w:lineRule="auto"/>
              <w:rPr>
                <w:rFonts w:hint="eastAsia"/>
                <w:color w:val="auto"/>
                <w:sz w:val="21"/>
                <w:szCs w:val="21"/>
              </w:rPr>
            </w:pPr>
            <w:r>
              <w:rPr>
                <w:rFonts w:hint="eastAsia"/>
                <w:color w:val="auto"/>
                <w:sz w:val="21"/>
                <w:szCs w:val="21"/>
              </w:rPr>
              <w:t>服务期限</w:t>
            </w:r>
          </w:p>
        </w:tc>
        <w:tc>
          <w:tcPr>
            <w:tcW w:w="3641" w:type="pct"/>
            <w:noWrap w:val="0"/>
            <w:vAlign w:val="center"/>
          </w:tcPr>
          <w:p w14:paraId="39B4FB2F">
            <w:pPr>
              <w:pStyle w:val="8"/>
              <w:adjustRightInd w:val="0"/>
              <w:snapToGrid w:val="0"/>
              <w:spacing w:line="300" w:lineRule="auto"/>
              <w:rPr>
                <w:rFonts w:hint="eastAsia"/>
                <w:color w:val="auto"/>
                <w:sz w:val="21"/>
                <w:szCs w:val="21"/>
              </w:rPr>
            </w:pPr>
            <w:r>
              <w:rPr>
                <w:rFonts w:hint="eastAsia"/>
                <w:color w:val="auto"/>
                <w:sz w:val="21"/>
                <w:szCs w:val="21"/>
              </w:rPr>
              <w:t>自合同生效之日起，至2025年12月31日。</w:t>
            </w:r>
          </w:p>
        </w:tc>
      </w:tr>
      <w:tr w14:paraId="1322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0" w:type="pct"/>
            <w:noWrap w:val="0"/>
            <w:vAlign w:val="center"/>
          </w:tcPr>
          <w:p w14:paraId="5E7CB159">
            <w:pPr>
              <w:pStyle w:val="7"/>
              <w:rPr>
                <w:rFonts w:hint="eastAsia" w:cs="@仿宋_GB2312"/>
                <w:color w:val="auto"/>
                <w:kern w:val="2"/>
              </w:rPr>
            </w:pPr>
            <w:r>
              <w:rPr>
                <w:rFonts w:hint="eastAsia" w:cs="@仿宋_GB2312"/>
                <w:color w:val="auto"/>
                <w:kern w:val="2"/>
              </w:rPr>
              <w:t>4</w:t>
            </w:r>
          </w:p>
        </w:tc>
        <w:tc>
          <w:tcPr>
            <w:tcW w:w="958" w:type="pct"/>
            <w:noWrap w:val="0"/>
            <w:vAlign w:val="center"/>
          </w:tcPr>
          <w:p w14:paraId="21F00F74">
            <w:pPr>
              <w:pStyle w:val="8"/>
              <w:adjustRightInd w:val="0"/>
              <w:snapToGrid w:val="0"/>
              <w:spacing w:line="300" w:lineRule="auto"/>
              <w:rPr>
                <w:rFonts w:hint="eastAsia"/>
                <w:b/>
                <w:color w:val="auto"/>
                <w:sz w:val="21"/>
                <w:szCs w:val="21"/>
              </w:rPr>
            </w:pPr>
            <w:r>
              <w:rPr>
                <w:rFonts w:hint="eastAsia"/>
                <w:color w:val="auto"/>
                <w:sz w:val="21"/>
                <w:szCs w:val="21"/>
              </w:rPr>
              <w:t>本项目采购标的名称及所属行业</w:t>
            </w:r>
          </w:p>
        </w:tc>
        <w:tc>
          <w:tcPr>
            <w:tcW w:w="3641" w:type="pct"/>
            <w:noWrap w:val="0"/>
            <w:vAlign w:val="center"/>
          </w:tcPr>
          <w:p w14:paraId="76CCD8FD">
            <w:pPr>
              <w:adjustRightInd w:val="0"/>
              <w:snapToGrid w:val="0"/>
              <w:spacing w:line="300" w:lineRule="auto"/>
              <w:jc w:val="left"/>
              <w:rPr>
                <w:rFonts w:hint="eastAsia" w:ascii="宋体" w:hAnsi="宋体" w:eastAsia="宋体"/>
                <w:color w:val="auto"/>
                <w:szCs w:val="21"/>
              </w:rPr>
            </w:pPr>
            <w:r>
              <w:rPr>
                <w:rFonts w:hint="eastAsia" w:ascii="宋体" w:hAnsi="宋体" w:eastAsia="宋体"/>
                <w:color w:val="auto"/>
                <w:szCs w:val="21"/>
              </w:rPr>
              <w:t>标的名称：2025年安徽省重竞技运动管理中心劳务服务项目</w:t>
            </w:r>
          </w:p>
          <w:p w14:paraId="2BAF48F5">
            <w:pPr>
              <w:adjustRightInd w:val="0"/>
              <w:snapToGrid w:val="0"/>
              <w:spacing w:line="300" w:lineRule="auto"/>
              <w:jc w:val="left"/>
              <w:rPr>
                <w:rFonts w:hint="eastAsia" w:ascii="宋体" w:hAnsi="宋体" w:eastAsia="宋体"/>
                <w:color w:val="auto"/>
                <w:szCs w:val="21"/>
              </w:rPr>
            </w:pPr>
            <w:r>
              <w:rPr>
                <w:rFonts w:hint="eastAsia" w:ascii="宋体" w:hAnsi="宋体" w:eastAsia="宋体"/>
                <w:color w:val="auto"/>
                <w:szCs w:val="21"/>
              </w:rPr>
              <w:t>所属行业：其他未列明行业</w:t>
            </w:r>
          </w:p>
        </w:tc>
      </w:tr>
    </w:tbl>
    <w:p w14:paraId="0CCC8CEC">
      <w:pPr>
        <w:adjustRightInd w:val="0"/>
        <w:snapToGrid w:val="0"/>
        <w:spacing w:line="360" w:lineRule="auto"/>
        <w:ind w:firstLine="437"/>
        <w:outlineLvl w:val="1"/>
        <w:rPr>
          <w:rFonts w:hint="eastAsia" w:ascii="宋体" w:hAnsi="宋体" w:eastAsia="宋体"/>
          <w:b/>
          <w:color w:val="auto"/>
          <w:szCs w:val="21"/>
        </w:rPr>
      </w:pPr>
      <w:bookmarkStart w:id="4" w:name="_Toc173275128"/>
      <w:bookmarkStart w:id="5" w:name="_Toc16543"/>
      <w:bookmarkStart w:id="6" w:name="_Toc8753"/>
      <w:bookmarkStart w:id="7" w:name="_Hlk16461016"/>
      <w:r>
        <w:rPr>
          <w:rFonts w:hint="eastAsia" w:ascii="宋体" w:hAnsi="宋体" w:eastAsia="宋体"/>
          <w:b/>
          <w:color w:val="auto"/>
          <w:szCs w:val="21"/>
        </w:rPr>
        <w:t>二、</w:t>
      </w:r>
      <w:bookmarkEnd w:id="4"/>
      <w:bookmarkEnd w:id="5"/>
      <w:bookmarkEnd w:id="6"/>
      <w:r>
        <w:rPr>
          <w:rFonts w:hint="eastAsia" w:ascii="宋体" w:hAnsi="宋体" w:eastAsia="宋体"/>
          <w:b/>
          <w:color w:val="auto"/>
          <w:szCs w:val="21"/>
        </w:rPr>
        <w:t>项目概况</w:t>
      </w:r>
    </w:p>
    <w:bookmarkEnd w:id="3"/>
    <w:bookmarkEnd w:id="7"/>
    <w:p w14:paraId="66526500">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旨在为提高我中心国际式摔跤项目重点运动员运动竞技对抗能力水平，为中心备战全运会、亚运会、奥运会等国内外重大赛事等提供高水平运动训练、高水平陪练、高级技术顾问及其他相关专业服务保障和技术支持，同时还致力于为我中心教练员、运动员提供运动训练相关专业教育培训，提升各项目队运动训练专业技术水平。</w:t>
      </w:r>
    </w:p>
    <w:p w14:paraId="34304187">
      <w:pPr>
        <w:adjustRightInd w:val="0"/>
        <w:snapToGrid w:val="0"/>
        <w:spacing w:line="360" w:lineRule="auto"/>
        <w:ind w:left="437"/>
        <w:outlineLvl w:val="1"/>
        <w:rPr>
          <w:rFonts w:hint="eastAsia" w:ascii="宋体" w:hAnsi="宋体" w:eastAsia="宋体"/>
          <w:b/>
          <w:color w:val="auto"/>
          <w:szCs w:val="21"/>
        </w:rPr>
      </w:pPr>
      <w:r>
        <w:rPr>
          <w:rFonts w:hint="eastAsia" w:ascii="宋体" w:hAnsi="宋体" w:eastAsia="宋体"/>
          <w:b/>
          <w:color w:val="auto"/>
          <w:szCs w:val="21"/>
        </w:rPr>
        <w:t>三、服务需求</w:t>
      </w:r>
    </w:p>
    <w:p w14:paraId="1249A1F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 xml:space="preserve">（一）人员数量及基本要求 </w:t>
      </w:r>
    </w:p>
    <w:p w14:paraId="5ED465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1、高水平教练1人，具体要求如下：</w:t>
      </w:r>
    </w:p>
    <w:p w14:paraId="765364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（1）持有国家体育总局、国际摔跤联合会（如FILA/UWW）认证的教练资格证书。</w:t>
      </w:r>
    </w:p>
    <w:p w14:paraId="131E48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（2）具备急救（如CPR/AED）或运动损伤防护资质者优先。 </w:t>
      </w:r>
    </w:p>
    <w:p w14:paraId="274B864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（3）省级以上赛事获奖经历或职业运动员背景，熟悉竞技规则和实战场景。</w:t>
      </w:r>
    </w:p>
    <w:p w14:paraId="119989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（4）熟悉自由式、古典式摔跤（或其他流派）的核心技术体系。</w:t>
      </w:r>
    </w:p>
    <w:p w14:paraId="4A20A7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（5）5年以上执教经验，具备针对不同年龄段（青少年/成人）或水平（初级/职业）的课程设计能力，有成功培养学员参赛或获奖案例者优先。</w:t>
      </w:r>
    </w:p>
    <w:p w14:paraId="036192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（6）能清晰分解动作、示范标准技术，并根据学员体能和技能差异调整训练计划。</w:t>
      </w:r>
    </w:p>
    <w:p w14:paraId="1A8FEFB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（7）具备耐心和责任心，擅长通过语言激励或心理辅导提升学员信心，能与学员、家长（针对青少年教练）或团队管理层有效沟通。</w:t>
      </w:r>
    </w:p>
    <w:p w14:paraId="67178C8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（8）熟悉摔跤训练中的风险点（如关节保护、防摔技巧），并制定应急预案，定期检查训练场地和器材安全性。 </w:t>
      </w:r>
    </w:p>
    <w:p w14:paraId="2EEF43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（9）掌握体能训练（力量、柔韧性、耐力）、营养学及恢复方法的基础知识，能结合学员身体数据（如体脂率、肌肉量）制定个性化方案。</w:t>
      </w:r>
    </w:p>
    <w:p w14:paraId="3A97DAB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（10）遵守体育道德，尊重学员隐私，无不良执教记录（如暴力、歧视等），关注国际摔跤技术动态，定期参与教练培训或行业交流，能与其他教练、队医、管理人员配合，保障训练团队高效运作。</w:t>
      </w:r>
    </w:p>
    <w:p w14:paraId="545A67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做好安徽省国际式摔跤项目的专业技术训练、以及重点运动员的技术战术指导，与安徽省摔跤项目教练沟通执行包含体能、力量、技术全方面的训练指导，负责做好陪练人员的日常教育管理。工作时间按照训练计划安排。</w:t>
      </w:r>
    </w:p>
    <w:p w14:paraId="3A2A0040">
      <w:pPr>
        <w:numPr>
          <w:ilvl w:val="0"/>
          <w:numId w:val="2"/>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高水平陪练人员3人，具体要求如下：</w:t>
      </w:r>
    </w:p>
    <w:p w14:paraId="34EF8671">
      <w:pPr>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（1）持有正规机构颁发的摔跤资质证书（如国家体育部门认证、国际摔跤联合会资质等），确保技术规范。</w:t>
      </w:r>
    </w:p>
    <w:p w14:paraId="64346741">
      <w:pPr>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（2）省级以上赛事参赛经历或职业俱乐部背景优先，具备实战应变能力。</w:t>
      </w:r>
    </w:p>
    <w:p w14:paraId="148C9394">
      <w:pPr>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（3）熟悉自由式、古典式等不同摔跤流派，能针对学员需求调整陪练策略。</w:t>
      </w:r>
    </w:p>
    <w:p w14:paraId="1C6CA1E4">
      <w:pPr>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rPr>
        <w:t>（4）需通过基础体能测试（如深蹲、卧推、核心稳定性等），确保能承受高强度对抗。</w:t>
      </w:r>
    </w:p>
    <w:p w14:paraId="418C41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（5）做好安徽省摔跤项目重点级别运动员的陪练工作，按照队伍的训练计划，队伍的管理要求执行。工作时间按照训练计划安排。</w:t>
      </w:r>
    </w:p>
    <w:p w14:paraId="365B85A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（二）工作职责要求</w:t>
      </w:r>
    </w:p>
    <w:p w14:paraId="474BE38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1、高水平教练员工作职责要求</w:t>
      </w:r>
    </w:p>
    <w:p w14:paraId="7BFA3D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技术教学与训练规划：根据学员水平（初级/进阶/职业）设计长期（年度/季度）和短期（周/日）训练方案，明确技术、体能和心理训练目标，结合赛事周期调整训练强度（如赛前强化、赛后恢复）；分解摔跤动作（如抱摔、防守、地面控制），确保学员掌握标准技术细节，通过视频分析或实战复盘，针对性纠正学员错误动作；组织对抗训练，模拟真实比赛场景，提升学员应变能力，根据对手特点制定战术策略（如克制力量型或技巧型选手）。</w:t>
      </w:r>
    </w:p>
    <w:p w14:paraId="7EA5CB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学员管理与能力发展：评估学员身体条件（力量、柔韧性、体重等），定制差异化训练内容，针对伤病学员协调康复计划，避免过度训练；通过心理辅导帮助学员克服比赛焦虑或训练瓶颈，设定阶段性目标，通过正向反馈提升学员自信心；组织学员报名、减重（按体重级别参赛）和赛前适应性训练，现场指导比赛，实时调整战术并提供心理支持。</w:t>
      </w:r>
    </w:p>
    <w:p w14:paraId="55768F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安全与健康管理：监督训练中的安全规范（如热身、护具佩戴、场地检查），降低受伤风险，处理突发运动损伤（如关节脱位、肌肉拉伤），必要时协调医疗资源；跟踪学员体能数据（如心率、疲劳指数），调整训练负荷，指导学员进行拉伸、冰敷或营养补充以加速恢复。</w:t>
      </w:r>
    </w:p>
    <w:p w14:paraId="210CAC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（4）团队协作与职业发展：与体能教练、营养师、队医合作，优化学员综合训练方案， 向管理层汇报训练成果及学员表现，提出资源需求（如器材升级）；定期参加教练培训、技术研讨会或国际认证考核，更新知识体系，参与裁判培训或赛事组织，提升行业影响力。  </w:t>
      </w:r>
    </w:p>
    <w:p w14:paraId="70C5914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（5）其他行政职责：管理训练档案（如学员进步记录、伤病报告），维护训练器材与场地，提出采购或维修建议，参与招生宣传或公开课，展示教学成果吸引潜在学员。  </w:t>
      </w:r>
    </w:p>
    <w:p w14:paraId="1F5F23FE">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2、高水平陪练人员工作职责要求</w:t>
      </w:r>
    </w:p>
    <w:p w14:paraId="7D42157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训练配合：模拟对手：根据主练运动员的需求和训练计划，模仿不同风格、特点的对手进行实战模拟训练，帮助主练运动员适应各种比赛情况；在训练中合理控制摔跤的节奏和强度，根据主练运动员的状态和训练目标，适时调整对抗的激烈程度，确保训练效果。</w:t>
      </w:r>
    </w:p>
    <w:p w14:paraId="76CC90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技术指导：动作纠正：在陪练过程中，仔细观察主练运动员的技术动作，及时发现并指出存在的问题和错误，给予针对性的纠正和指导，帮助运动员提高技术水平；与主练运动员分享自己的摔跤经验和技术心得，共同探讨新的技术战术，促进双方技术的共同提高。</w:t>
      </w:r>
    </w:p>
    <w:p w14:paraId="59DCF01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（3）体能保障：体能训练协助：配合体能教练制定的训练计划，协助主练运动员进行体能训练，如通过特定的摔跤对抗练习或辅助训练手段，提高运动员的力量、耐力、速度等体能素质。</w:t>
      </w:r>
    </w:p>
    <w:p w14:paraId="2626384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心理支持：在训练中，尤其是当主练运动员遇到困难或挫折时，给予他们鼓励和支持，帮助他们树立信心，保持积极的训练态度和竞技状态；通过在陪练中设置各种困难和压力情境，帮助主练运动员提高心理抗压能力和应对挫折的能力，使他们在比赛中能够更好地应对各种突发情况和压力。</w:t>
      </w:r>
    </w:p>
    <w:p w14:paraId="150F2C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安全保障：在训练前，检查训练场地和器材的安全性，确保训练环境符合要求。训练中，正确佩戴防护装备，并监督主练运动员做好防护措施，避免训练过程中发生意外受伤；具备一定的急救知识和技能，在训练过程中如出现运动员受伤等突发情况，能够及时进行初步的应急处理，并迅速联系专业医疗人员进行救治。</w:t>
      </w:r>
    </w:p>
    <w:p w14:paraId="010ACBF6">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注：</w:t>
      </w:r>
      <w:r>
        <w:rPr>
          <w:rFonts w:hint="eastAsia" w:ascii="宋体" w:hAnsi="宋体" w:eastAsia="宋体" w:cs="宋体"/>
          <w:b/>
          <w:bCs/>
          <w:color w:val="auto"/>
          <w:spacing w:val="-2"/>
          <w:szCs w:val="21"/>
        </w:rPr>
        <w:t>上述</w:t>
      </w:r>
      <w:r>
        <w:rPr>
          <w:rFonts w:hint="eastAsia" w:ascii="宋体" w:hAnsi="宋体" w:eastAsia="宋体" w:cs="宋体"/>
          <w:b/>
          <w:bCs/>
          <w:color w:val="auto"/>
          <w:spacing w:val="1"/>
          <w:szCs w:val="21"/>
        </w:rPr>
        <w:t>人员要求</w:t>
      </w:r>
      <w:r>
        <w:rPr>
          <w:rFonts w:hint="eastAsia" w:ascii="宋体" w:hAnsi="宋体" w:eastAsia="宋体" w:cs="宋体"/>
          <w:b/>
          <w:bCs/>
          <w:color w:val="auto"/>
          <w:szCs w:val="21"/>
        </w:rPr>
        <w:t>进场服务前由采购人核查，</w:t>
      </w:r>
      <w:r>
        <w:rPr>
          <w:rFonts w:hint="eastAsia" w:ascii="宋体" w:hAnsi="宋体" w:eastAsia="宋体" w:cs="宋体"/>
          <w:b/>
          <w:bCs/>
          <w:color w:val="auto"/>
          <w:spacing w:val="-2"/>
          <w:szCs w:val="21"/>
        </w:rPr>
        <w:t>投标文件中无需提</w:t>
      </w:r>
      <w:r>
        <w:rPr>
          <w:rFonts w:hint="eastAsia" w:ascii="宋体" w:hAnsi="宋体" w:eastAsia="宋体" w:cs="宋体"/>
          <w:b/>
          <w:bCs/>
          <w:color w:val="auto"/>
          <w:spacing w:val="1"/>
          <w:szCs w:val="21"/>
        </w:rPr>
        <w:t>供</w:t>
      </w:r>
      <w:r>
        <w:rPr>
          <w:rFonts w:hint="eastAsia" w:ascii="宋体" w:hAnsi="宋体" w:eastAsia="宋体" w:cs="宋体"/>
          <w:b/>
          <w:bCs/>
          <w:color w:val="auto"/>
          <w:szCs w:val="21"/>
        </w:rPr>
        <w:t>证明材料。</w:t>
      </w:r>
    </w:p>
    <w:p w14:paraId="5200A9AB">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四、报价要求</w:t>
      </w:r>
    </w:p>
    <w:p w14:paraId="1B7B6446">
      <w:pPr>
        <w:pStyle w:val="4"/>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1、本项目报总价，最高限价为130万元，超出最高限价作无效标处理。</w:t>
      </w:r>
    </w:p>
    <w:p w14:paraId="7686C935">
      <w:pPr>
        <w:adjustRightInd w:val="0"/>
        <w:snapToGrid w:val="0"/>
        <w:spacing w:line="360" w:lineRule="auto"/>
        <w:ind w:firstLine="420" w:firstLineChars="200"/>
      </w:pPr>
      <w:r>
        <w:rPr>
          <w:rFonts w:hint="eastAsia" w:ascii="宋体" w:hAnsi="宋体" w:eastAsia="宋体" w:cs="宋体"/>
          <w:color w:val="auto"/>
          <w:szCs w:val="21"/>
        </w:rPr>
        <w:t>2、投标人的投标报价包括提供服务的一切成本和费用、管理费、利润和税金，以及采购合同中明示或暗示的所有责任、义务和风险，采购人后期不再另行追加项目预算。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740C060B"/>
    <w:multiLevelType w:val="singleLevel"/>
    <w:tmpl w:val="740C060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459F4"/>
    <w:rsid w:val="04945913"/>
    <w:rsid w:val="1864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645"/>
    </w:pPr>
    <w:rPr>
      <w:sz w:val="32"/>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4">
    <w:name w:val="Body Text First Indent 2"/>
    <w:basedOn w:val="2"/>
    <w:qFormat/>
    <w:uiPriority w:val="99"/>
    <w:pPr>
      <w:spacing w:after="120"/>
      <w:ind w:left="420" w:leftChars="200" w:firstLine="420" w:firstLineChars="200"/>
    </w:pPr>
    <w:rPr>
      <w:sz w:val="21"/>
    </w:rPr>
  </w:style>
  <w:style w:type="paragraph" w:customStyle="1" w:styleId="7">
    <w:name w:val="D&amp;L"/>
    <w:basedOn w:val="3"/>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8">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2025-04-10T07:30:00Z</dcterms:created>
  <dc:creator>省招</dc:creator>
  <cp:lastModifiedBy>省招</cp:lastModifiedBy>
  <dcterms:modified xsi:type="dcterms:W3CDTF">2025-04-10T07:32:11Z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E4554B2051E84ED0871C9D9B973AC2BA_11</vt:lpwstr>
  </property>
  <property fmtid="{D5CDD505-2E9C-101B-9397-08002B2CF9AE}" pid="4" name="KSOTemplateDocerSaveRecord">
    <vt:lpwstr>eyJoZGlkIjoiMDlhMjY5ZWNmMzhiNGM3ZTQ5NjcxMGU1YjI3MjRmNmIiLCJ1c2VySWQiOiIxNjE2NjM3NjA3In0=</vt:lpwstr>
  </property>
</Properties>
</file>