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CA4DE">
      <w:pPr>
        <w:pStyle w:val="2"/>
        <w:widowControl/>
        <w:numPr>
          <w:ilvl w:val="0"/>
          <w:numId w:val="1"/>
        </w:numPr>
        <w:snapToGrid w:val="0"/>
        <w:spacing w:before="0" w:after="0" w:line="360" w:lineRule="auto"/>
        <w:jc w:val="center"/>
        <w:rPr>
          <w:rFonts w:hint="eastAsia" w:ascii="宋体" w:hAnsi="宋体" w:eastAsia="仿宋"/>
          <w:color w:val="auto"/>
          <w:highlight w:val="none"/>
        </w:rPr>
      </w:pPr>
      <w:bookmarkStart w:id="0" w:name="_Toc466024555"/>
      <w:bookmarkStart w:id="1" w:name="_Toc445554746"/>
      <w:bookmarkStart w:id="2" w:name="_Toc528760026"/>
      <w:r>
        <w:rPr>
          <w:rFonts w:hint="eastAsia" w:ascii="宋体" w:hAnsi="宋体" w:eastAsia="仿宋"/>
          <w:color w:val="auto"/>
          <w:highlight w:val="none"/>
        </w:rPr>
        <w:t xml:space="preserve"> 采购需求</w:t>
      </w:r>
      <w:bookmarkEnd w:id="0"/>
      <w:bookmarkEnd w:id="1"/>
      <w:bookmarkEnd w:id="2"/>
    </w:p>
    <w:p w14:paraId="4759D3BF">
      <w:pPr>
        <w:spacing w:line="360" w:lineRule="auto"/>
        <w:ind w:firstLine="437"/>
        <w:outlineLvl w:val="1"/>
        <w:rPr>
          <w:rFonts w:ascii="宋体" w:hAnsi="宋体"/>
          <w:b/>
          <w:color w:val="auto"/>
          <w:sz w:val="24"/>
          <w:szCs w:val="18"/>
          <w:highlight w:val="none"/>
        </w:rPr>
      </w:pPr>
      <w:bookmarkStart w:id="3" w:name="_Toc32151"/>
      <w:bookmarkStart w:id="4" w:name="_Toc2554"/>
      <w:r>
        <w:rPr>
          <w:rFonts w:hint="eastAsia" w:ascii="宋体" w:hAnsi="宋体"/>
          <w:b/>
          <w:color w:val="auto"/>
          <w:sz w:val="24"/>
          <w:szCs w:val="18"/>
          <w:highlight w:val="none"/>
        </w:rPr>
        <w:t>一、采购需求前附表</w:t>
      </w:r>
      <w:bookmarkEnd w:id="3"/>
      <w:bookmarkEnd w:id="4"/>
    </w:p>
    <w:tbl>
      <w:tblPr>
        <w:tblStyle w:val="6"/>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637"/>
        <w:gridCol w:w="6248"/>
      </w:tblGrid>
      <w:tr w14:paraId="7F5A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66A9E54A">
            <w:pPr>
              <w:pStyle w:val="8"/>
              <w:rPr>
                <w:rFonts w:hint="eastAsia" w:cs="宋体"/>
                <w:color w:val="auto"/>
                <w:sz w:val="21"/>
                <w:szCs w:val="21"/>
                <w:highlight w:val="none"/>
              </w:rPr>
            </w:pPr>
            <w:r>
              <w:rPr>
                <w:rFonts w:hint="eastAsia" w:cs="宋体"/>
                <w:color w:val="auto"/>
                <w:sz w:val="21"/>
                <w:szCs w:val="21"/>
                <w:highlight w:val="none"/>
              </w:rPr>
              <w:t>序号</w:t>
            </w:r>
          </w:p>
        </w:tc>
        <w:tc>
          <w:tcPr>
            <w:tcW w:w="933" w:type="pct"/>
            <w:noWrap w:val="0"/>
            <w:vAlign w:val="center"/>
          </w:tcPr>
          <w:p w14:paraId="394DA39B">
            <w:pPr>
              <w:pStyle w:val="9"/>
              <w:rPr>
                <w:rFonts w:hint="eastAsia" w:cs="宋体"/>
                <w:color w:val="auto"/>
                <w:sz w:val="21"/>
                <w:szCs w:val="21"/>
                <w:highlight w:val="none"/>
              </w:rPr>
            </w:pPr>
            <w:r>
              <w:rPr>
                <w:rFonts w:hint="eastAsia" w:cs="宋体"/>
                <w:color w:val="auto"/>
                <w:sz w:val="21"/>
                <w:szCs w:val="21"/>
                <w:highlight w:val="none"/>
              </w:rPr>
              <w:t>条款名称</w:t>
            </w:r>
          </w:p>
        </w:tc>
        <w:tc>
          <w:tcPr>
            <w:tcW w:w="3560" w:type="pct"/>
            <w:noWrap w:val="0"/>
            <w:vAlign w:val="center"/>
          </w:tcPr>
          <w:p w14:paraId="0E9FE479">
            <w:pPr>
              <w:pStyle w:val="9"/>
              <w:rPr>
                <w:rFonts w:hint="eastAsia" w:cs="宋体"/>
                <w:color w:val="auto"/>
                <w:sz w:val="21"/>
                <w:szCs w:val="21"/>
                <w:highlight w:val="none"/>
              </w:rPr>
            </w:pPr>
            <w:r>
              <w:rPr>
                <w:rFonts w:hint="eastAsia" w:cs="宋体"/>
                <w:color w:val="auto"/>
                <w:sz w:val="21"/>
                <w:szCs w:val="21"/>
                <w:highlight w:val="none"/>
              </w:rPr>
              <w:t>内容、说明与要求</w:t>
            </w:r>
          </w:p>
        </w:tc>
      </w:tr>
      <w:tr w14:paraId="067D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506" w:type="pct"/>
            <w:noWrap w:val="0"/>
            <w:vAlign w:val="center"/>
          </w:tcPr>
          <w:p w14:paraId="2C801243">
            <w:pPr>
              <w:pStyle w:val="8"/>
              <w:rPr>
                <w:rFonts w:hint="eastAsia" w:cs="宋体"/>
                <w:color w:val="auto"/>
                <w:sz w:val="21"/>
                <w:szCs w:val="21"/>
                <w:highlight w:val="none"/>
              </w:rPr>
            </w:pPr>
            <w:r>
              <w:rPr>
                <w:rFonts w:hint="eastAsia" w:cs="宋体"/>
                <w:color w:val="auto"/>
                <w:sz w:val="21"/>
                <w:szCs w:val="21"/>
                <w:highlight w:val="none"/>
              </w:rPr>
              <w:t>1</w:t>
            </w:r>
          </w:p>
        </w:tc>
        <w:tc>
          <w:tcPr>
            <w:tcW w:w="933" w:type="pct"/>
            <w:noWrap w:val="0"/>
            <w:vAlign w:val="center"/>
          </w:tcPr>
          <w:p w14:paraId="444CF7C6">
            <w:pPr>
              <w:pStyle w:val="9"/>
              <w:rPr>
                <w:rFonts w:hint="eastAsia" w:cs="宋体"/>
                <w:color w:val="auto"/>
                <w:sz w:val="21"/>
                <w:szCs w:val="21"/>
                <w:highlight w:val="none"/>
              </w:rPr>
            </w:pPr>
            <w:r>
              <w:rPr>
                <w:rFonts w:hint="eastAsia" w:cs="宋体"/>
                <w:color w:val="auto"/>
                <w:sz w:val="21"/>
                <w:szCs w:val="21"/>
                <w:highlight w:val="none"/>
              </w:rPr>
              <w:t>付款方式</w:t>
            </w:r>
          </w:p>
        </w:tc>
        <w:tc>
          <w:tcPr>
            <w:tcW w:w="3560" w:type="pct"/>
            <w:noWrap w:val="0"/>
            <w:vAlign w:val="center"/>
          </w:tcPr>
          <w:p w14:paraId="40EB04BB">
            <w:pPr>
              <w:pStyle w:val="8"/>
              <w:jc w:val="both"/>
              <w:rPr>
                <w:rFonts w:hint="eastAsia" w:cs="宋体"/>
                <w:color w:val="auto"/>
                <w:sz w:val="21"/>
                <w:szCs w:val="21"/>
                <w:highlight w:val="none"/>
              </w:rPr>
            </w:pPr>
            <w:r>
              <w:rPr>
                <w:rFonts w:hint="eastAsia" w:cs="宋体"/>
                <w:color w:val="auto"/>
                <w:sz w:val="21"/>
                <w:szCs w:val="21"/>
                <w:highlight w:val="none"/>
              </w:rPr>
              <w:t>1、合同签订生效后，十五个日历天内中标人须向招标人提供合同价款的70%的不可撤销预付款保函（预付款保函时限不得低于一年）；预付款保函的开立银行由招标人直接在与招标人合作的现有银行（包括其系统内银行）中进行指定；如果中标人未在约定期限内向招标人提供预付款保函和履约保证金，则中标人须按中国人民银行公布的同期同类贷款利率向招标人支付逾期利息，逾期利息=招标人已支付给中标人的定金和预付款合计金额×中国人民银行公布的同期同类贷款利率。收到中标人预付款保函后 5 个工作日内招标人向中标人支付合同价款的70%作为预付款。</w:t>
            </w:r>
          </w:p>
          <w:p w14:paraId="5EFF18D7">
            <w:pPr>
              <w:pStyle w:val="8"/>
              <w:jc w:val="both"/>
              <w:rPr>
                <w:rFonts w:hint="eastAsia" w:cs="宋体"/>
                <w:color w:val="auto"/>
                <w:sz w:val="21"/>
                <w:szCs w:val="21"/>
                <w:highlight w:val="none"/>
              </w:rPr>
            </w:pPr>
            <w:r>
              <w:rPr>
                <w:rFonts w:hint="eastAsia" w:cs="宋体"/>
                <w:color w:val="auto"/>
                <w:sz w:val="21"/>
                <w:szCs w:val="21"/>
                <w:highlight w:val="none"/>
              </w:rPr>
              <w:t>2、货到后，招标人向中标人支付至合同价款的100%。如果中标人未向招标人提供全额正规发票，则中标人向招标人提供的预付款保函在此不得自动失效。</w:t>
            </w:r>
          </w:p>
          <w:p w14:paraId="27C47E9B">
            <w:pPr>
              <w:pStyle w:val="8"/>
              <w:jc w:val="both"/>
              <w:rPr>
                <w:rFonts w:hint="eastAsia" w:cs="宋体"/>
                <w:color w:val="auto"/>
                <w:sz w:val="21"/>
                <w:szCs w:val="21"/>
                <w:highlight w:val="none"/>
              </w:rPr>
            </w:pPr>
            <w:r>
              <w:rPr>
                <w:rFonts w:hint="eastAsia" w:cs="宋体"/>
                <w:color w:val="auto"/>
                <w:sz w:val="21"/>
                <w:szCs w:val="21"/>
                <w:highlight w:val="none"/>
              </w:rPr>
              <w:t>3、中标人向招标人提供的预付款保函，在货物经双方最终验收合格后方可向招标人书面提出保函退还申请，并经招标人审批同意后退还。</w:t>
            </w:r>
          </w:p>
          <w:p w14:paraId="21B59664">
            <w:pPr>
              <w:pStyle w:val="8"/>
              <w:jc w:val="both"/>
              <w:rPr>
                <w:rFonts w:hint="eastAsia" w:cs="宋体"/>
                <w:color w:val="auto"/>
                <w:sz w:val="21"/>
                <w:szCs w:val="21"/>
                <w:highlight w:val="none"/>
              </w:rPr>
            </w:pPr>
            <w:r>
              <w:rPr>
                <w:rFonts w:hint="eastAsia" w:cs="宋体"/>
                <w:color w:val="auto"/>
                <w:sz w:val="21"/>
                <w:szCs w:val="21"/>
                <w:highlight w:val="none"/>
              </w:rPr>
              <w:t>所有款项均以人民币支付。</w:t>
            </w:r>
          </w:p>
        </w:tc>
      </w:tr>
      <w:tr w14:paraId="4BCE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4375DBBB">
            <w:pPr>
              <w:pStyle w:val="8"/>
              <w:rPr>
                <w:rFonts w:hint="eastAsia" w:cs="宋体"/>
                <w:color w:val="auto"/>
                <w:sz w:val="21"/>
                <w:szCs w:val="21"/>
                <w:highlight w:val="none"/>
              </w:rPr>
            </w:pPr>
            <w:r>
              <w:rPr>
                <w:rFonts w:hint="eastAsia" w:cs="宋体"/>
                <w:color w:val="auto"/>
                <w:sz w:val="21"/>
                <w:szCs w:val="21"/>
                <w:highlight w:val="none"/>
              </w:rPr>
              <w:t>2</w:t>
            </w:r>
          </w:p>
        </w:tc>
        <w:tc>
          <w:tcPr>
            <w:tcW w:w="933" w:type="pct"/>
            <w:noWrap w:val="0"/>
            <w:vAlign w:val="center"/>
          </w:tcPr>
          <w:p w14:paraId="5026D0BA">
            <w:pPr>
              <w:pStyle w:val="9"/>
              <w:rPr>
                <w:rFonts w:hint="eastAsia" w:cs="宋体"/>
                <w:color w:val="auto"/>
                <w:sz w:val="21"/>
                <w:szCs w:val="21"/>
                <w:highlight w:val="none"/>
              </w:rPr>
            </w:pPr>
            <w:r>
              <w:rPr>
                <w:rFonts w:hint="eastAsia" w:cs="宋体"/>
                <w:color w:val="auto"/>
                <w:sz w:val="21"/>
                <w:szCs w:val="21"/>
                <w:highlight w:val="none"/>
              </w:rPr>
              <w:t>交货地点</w:t>
            </w:r>
          </w:p>
        </w:tc>
        <w:tc>
          <w:tcPr>
            <w:tcW w:w="3560" w:type="pct"/>
            <w:noWrap w:val="0"/>
            <w:vAlign w:val="center"/>
          </w:tcPr>
          <w:p w14:paraId="77095754">
            <w:pPr>
              <w:pStyle w:val="8"/>
              <w:rPr>
                <w:rFonts w:hint="eastAsia" w:cs="宋体"/>
                <w:color w:val="auto"/>
                <w:sz w:val="21"/>
                <w:szCs w:val="21"/>
                <w:highlight w:val="none"/>
              </w:rPr>
            </w:pPr>
            <w:r>
              <w:rPr>
                <w:rFonts w:hint="eastAsia" w:cs="宋体"/>
                <w:color w:val="auto"/>
                <w:sz w:val="21"/>
                <w:szCs w:val="21"/>
                <w:highlight w:val="none"/>
              </w:rPr>
              <w:t>安徽省公共卫生临床中心（安徽省传染病医院）</w:t>
            </w:r>
          </w:p>
        </w:tc>
      </w:tr>
      <w:tr w14:paraId="3F2B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506" w:type="pct"/>
            <w:noWrap w:val="0"/>
            <w:vAlign w:val="center"/>
          </w:tcPr>
          <w:p w14:paraId="7730DFC4">
            <w:pPr>
              <w:pStyle w:val="8"/>
              <w:rPr>
                <w:rFonts w:hint="eastAsia" w:cs="宋体"/>
                <w:color w:val="auto"/>
                <w:sz w:val="21"/>
                <w:szCs w:val="21"/>
                <w:highlight w:val="none"/>
              </w:rPr>
            </w:pPr>
            <w:r>
              <w:rPr>
                <w:rFonts w:hint="eastAsia" w:cs="宋体"/>
                <w:color w:val="auto"/>
                <w:sz w:val="21"/>
                <w:szCs w:val="21"/>
                <w:highlight w:val="none"/>
              </w:rPr>
              <w:t>3</w:t>
            </w:r>
          </w:p>
        </w:tc>
        <w:tc>
          <w:tcPr>
            <w:tcW w:w="933" w:type="pct"/>
            <w:noWrap w:val="0"/>
            <w:vAlign w:val="center"/>
          </w:tcPr>
          <w:p w14:paraId="58DB28A7">
            <w:pPr>
              <w:pStyle w:val="9"/>
              <w:rPr>
                <w:rFonts w:hint="eastAsia" w:cs="宋体"/>
                <w:color w:val="auto"/>
                <w:sz w:val="21"/>
                <w:szCs w:val="21"/>
                <w:highlight w:val="none"/>
              </w:rPr>
            </w:pPr>
            <w:r>
              <w:rPr>
                <w:rFonts w:hint="eastAsia" w:cs="宋体"/>
                <w:color w:val="auto"/>
                <w:sz w:val="21"/>
                <w:szCs w:val="21"/>
                <w:highlight w:val="none"/>
              </w:rPr>
              <w:t>交货期</w:t>
            </w:r>
          </w:p>
        </w:tc>
        <w:tc>
          <w:tcPr>
            <w:tcW w:w="3560" w:type="pct"/>
            <w:noWrap w:val="0"/>
            <w:vAlign w:val="center"/>
          </w:tcPr>
          <w:p w14:paraId="31EE4B35">
            <w:pPr>
              <w:pStyle w:val="8"/>
              <w:jc w:val="both"/>
              <w:rPr>
                <w:rFonts w:hint="eastAsia" w:cs="宋体"/>
                <w:color w:val="auto"/>
                <w:sz w:val="21"/>
                <w:szCs w:val="21"/>
                <w:highlight w:val="none"/>
              </w:rPr>
            </w:pPr>
            <w:r>
              <w:rPr>
                <w:rFonts w:hint="eastAsia" w:cs="宋体"/>
                <w:color w:val="auto"/>
                <w:sz w:val="21"/>
                <w:szCs w:val="21"/>
                <w:highlight w:val="none"/>
              </w:rPr>
              <w:t>合同签订后，自接到招标人通知（通知方式为书面、电子邮件、传真、短信、微信、QQ、电话等方式之中的一种）之日起，中标人在30个工作日内将产品送到招标人指定地点，并安装完毕。若交货地点或收货人或交货期变更，招标人须于原交货期截止日前3个工作日通知中标人。</w:t>
            </w:r>
          </w:p>
        </w:tc>
      </w:tr>
      <w:tr w14:paraId="2927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021076DE">
            <w:pPr>
              <w:pStyle w:val="8"/>
              <w:rPr>
                <w:rFonts w:hint="eastAsia" w:cs="宋体"/>
                <w:color w:val="auto"/>
                <w:sz w:val="21"/>
                <w:szCs w:val="21"/>
                <w:highlight w:val="none"/>
              </w:rPr>
            </w:pPr>
            <w:r>
              <w:rPr>
                <w:rFonts w:hint="eastAsia" w:cs="宋体"/>
                <w:color w:val="auto"/>
                <w:sz w:val="21"/>
                <w:szCs w:val="21"/>
                <w:highlight w:val="none"/>
              </w:rPr>
              <w:t>4</w:t>
            </w:r>
          </w:p>
        </w:tc>
        <w:tc>
          <w:tcPr>
            <w:tcW w:w="933" w:type="pct"/>
            <w:noWrap w:val="0"/>
            <w:vAlign w:val="center"/>
          </w:tcPr>
          <w:p w14:paraId="638F0DB6">
            <w:pPr>
              <w:pStyle w:val="9"/>
              <w:rPr>
                <w:rFonts w:hint="eastAsia" w:cs="宋体"/>
                <w:color w:val="auto"/>
                <w:sz w:val="21"/>
                <w:szCs w:val="21"/>
                <w:highlight w:val="none"/>
              </w:rPr>
            </w:pPr>
            <w:r>
              <w:rPr>
                <w:rFonts w:hint="eastAsia" w:cs="宋体"/>
                <w:color w:val="auto"/>
                <w:sz w:val="21"/>
                <w:szCs w:val="21"/>
                <w:highlight w:val="none"/>
              </w:rPr>
              <w:t>免费质保期</w:t>
            </w:r>
          </w:p>
        </w:tc>
        <w:tc>
          <w:tcPr>
            <w:tcW w:w="3560" w:type="pct"/>
            <w:noWrap w:val="0"/>
            <w:vAlign w:val="center"/>
          </w:tcPr>
          <w:p w14:paraId="01D61652">
            <w:pPr>
              <w:pStyle w:val="8"/>
              <w:rPr>
                <w:rFonts w:hint="eastAsia" w:cs="宋体"/>
                <w:color w:val="auto"/>
                <w:sz w:val="21"/>
                <w:szCs w:val="21"/>
                <w:highlight w:val="none"/>
              </w:rPr>
            </w:pPr>
            <w:r>
              <w:rPr>
                <w:rFonts w:hint="eastAsia" w:cs="宋体"/>
                <w:color w:val="auto"/>
                <w:sz w:val="21"/>
                <w:szCs w:val="21"/>
                <w:highlight w:val="none"/>
              </w:rPr>
              <w:t>验收合格之日起整机质保3年</w:t>
            </w:r>
          </w:p>
        </w:tc>
      </w:tr>
      <w:tr w14:paraId="07ED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6" w:type="pct"/>
            <w:noWrap w:val="0"/>
            <w:vAlign w:val="center"/>
          </w:tcPr>
          <w:p w14:paraId="33E7DF4B">
            <w:pPr>
              <w:pStyle w:val="8"/>
              <w:rPr>
                <w:rFonts w:hint="eastAsia" w:cs="宋体"/>
                <w:color w:val="auto"/>
                <w:sz w:val="21"/>
                <w:szCs w:val="21"/>
                <w:highlight w:val="none"/>
              </w:rPr>
            </w:pPr>
            <w:r>
              <w:rPr>
                <w:rFonts w:hint="eastAsia" w:cs="宋体"/>
                <w:color w:val="auto"/>
                <w:sz w:val="21"/>
                <w:szCs w:val="21"/>
                <w:highlight w:val="none"/>
              </w:rPr>
              <w:t>5</w:t>
            </w:r>
          </w:p>
        </w:tc>
        <w:tc>
          <w:tcPr>
            <w:tcW w:w="933" w:type="pct"/>
            <w:noWrap w:val="0"/>
            <w:vAlign w:val="center"/>
          </w:tcPr>
          <w:p w14:paraId="4D9B9C09">
            <w:pPr>
              <w:pStyle w:val="9"/>
              <w:rPr>
                <w:rFonts w:hint="eastAsia" w:cs="宋体"/>
                <w:color w:val="auto"/>
                <w:sz w:val="21"/>
                <w:szCs w:val="21"/>
                <w:highlight w:val="none"/>
              </w:rPr>
            </w:pPr>
            <w:r>
              <w:rPr>
                <w:rFonts w:hint="eastAsia" w:cs="宋体"/>
                <w:color w:val="auto"/>
                <w:sz w:val="21"/>
                <w:szCs w:val="21"/>
                <w:highlight w:val="none"/>
              </w:rPr>
              <w:t>所属行业</w:t>
            </w:r>
          </w:p>
        </w:tc>
        <w:tc>
          <w:tcPr>
            <w:tcW w:w="3560" w:type="pct"/>
            <w:noWrap w:val="0"/>
            <w:vAlign w:val="center"/>
          </w:tcPr>
          <w:p w14:paraId="4BEC280C">
            <w:pPr>
              <w:pStyle w:val="8"/>
              <w:rPr>
                <w:rFonts w:hint="eastAsia" w:cs="宋体"/>
                <w:color w:val="auto"/>
                <w:sz w:val="21"/>
                <w:szCs w:val="21"/>
                <w:highlight w:val="none"/>
              </w:rPr>
            </w:pPr>
            <w:r>
              <w:rPr>
                <w:rFonts w:hint="eastAsia" w:cs="宋体"/>
                <w:color w:val="auto"/>
                <w:sz w:val="21"/>
                <w:szCs w:val="21"/>
                <w:highlight w:val="none"/>
              </w:rPr>
              <w:t>工业</w:t>
            </w:r>
          </w:p>
        </w:tc>
      </w:tr>
      <w:tr w14:paraId="79C3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6" w:type="pct"/>
            <w:noWrap w:val="0"/>
            <w:vAlign w:val="center"/>
          </w:tcPr>
          <w:p w14:paraId="250E0705">
            <w:pPr>
              <w:pStyle w:val="8"/>
              <w:rPr>
                <w:rFonts w:hint="eastAsia" w:cs="宋体"/>
                <w:color w:val="auto"/>
                <w:sz w:val="21"/>
                <w:szCs w:val="21"/>
                <w:highlight w:val="none"/>
              </w:rPr>
            </w:pPr>
            <w:r>
              <w:rPr>
                <w:rFonts w:hint="eastAsia" w:cs="宋体"/>
                <w:b/>
                <w:bCs w:val="0"/>
                <w:color w:val="auto"/>
                <w:sz w:val="21"/>
                <w:szCs w:val="21"/>
                <w:highlight w:val="none"/>
              </w:rPr>
              <w:t>备注</w:t>
            </w:r>
          </w:p>
        </w:tc>
        <w:tc>
          <w:tcPr>
            <w:tcW w:w="4493" w:type="pct"/>
            <w:gridSpan w:val="2"/>
            <w:noWrap w:val="0"/>
            <w:vAlign w:val="center"/>
          </w:tcPr>
          <w:p w14:paraId="6CE9A578">
            <w:pPr>
              <w:pStyle w:val="8"/>
              <w:rPr>
                <w:rFonts w:hint="eastAsia" w:cs="宋体"/>
                <w:color w:val="auto"/>
                <w:sz w:val="21"/>
                <w:szCs w:val="21"/>
                <w:highlight w:val="none"/>
              </w:rPr>
            </w:pPr>
            <w:r>
              <w:rPr>
                <w:rFonts w:hint="eastAsia" w:cs="宋体"/>
                <w:color w:val="auto"/>
                <w:sz w:val="21"/>
                <w:szCs w:val="21"/>
                <w:highlight w:val="none"/>
              </w:rPr>
              <w:t>以上内容不允许负偏离，须实质性响应。</w:t>
            </w:r>
          </w:p>
        </w:tc>
      </w:tr>
    </w:tbl>
    <w:p w14:paraId="76171F66">
      <w:pPr>
        <w:rPr>
          <w:rFonts w:ascii="宋体" w:hAnsi="宋体"/>
          <w:b/>
          <w:bCs/>
          <w:color w:val="auto"/>
          <w:sz w:val="30"/>
          <w:szCs w:val="30"/>
          <w:highlight w:val="none"/>
        </w:rPr>
      </w:pPr>
    </w:p>
    <w:p w14:paraId="0B1A1823">
      <w:pPr>
        <w:pStyle w:val="3"/>
        <w:adjustRightInd w:val="0"/>
        <w:snapToGrid w:val="0"/>
        <w:spacing w:before="0" w:after="0" w:line="240" w:lineRule="auto"/>
        <w:jc w:val="center"/>
        <w:rPr>
          <w:rFonts w:hint="eastAsia" w:ascii="宋体" w:hAnsi="宋体"/>
          <w:bCs w:val="0"/>
          <w:color w:val="auto"/>
          <w:sz w:val="24"/>
          <w:szCs w:val="18"/>
          <w:highlight w:val="none"/>
        </w:rPr>
      </w:pPr>
    </w:p>
    <w:p w14:paraId="3D485FCF">
      <w:pPr>
        <w:pStyle w:val="10"/>
        <w:spacing w:line="360" w:lineRule="auto"/>
        <w:ind w:firstLine="0" w:firstLineChars="0"/>
        <w:rPr>
          <w:rFonts w:ascii="宋体" w:hAnsi="宋体" w:cs="Arial"/>
          <w:color w:val="auto"/>
          <w:sz w:val="24"/>
          <w:highlight w:val="none"/>
        </w:rPr>
      </w:pPr>
      <w:r>
        <w:rPr>
          <w:rFonts w:hint="eastAsia" w:ascii="宋体" w:hAnsi="宋体"/>
          <w:b/>
          <w:color w:val="auto"/>
          <w:sz w:val="24"/>
          <w:szCs w:val="18"/>
          <w:highlight w:val="none"/>
        </w:rPr>
        <w:t>二、具体技术参数及要求</w:t>
      </w:r>
    </w:p>
    <w:tbl>
      <w:tblPr>
        <w:tblStyle w:val="6"/>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4929"/>
        <w:gridCol w:w="2177"/>
      </w:tblGrid>
      <w:tr w14:paraId="5687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12" w:type="dxa"/>
            <w:noWrap w:val="0"/>
            <w:vAlign w:val="center"/>
          </w:tcPr>
          <w:p w14:paraId="244B24AD">
            <w:pPr>
              <w:pStyle w:val="9"/>
              <w:rPr>
                <w:rFonts w:hint="eastAsia" w:cs="宋体"/>
                <w:color w:val="auto"/>
                <w:sz w:val="21"/>
                <w:szCs w:val="21"/>
                <w:highlight w:val="none"/>
              </w:rPr>
            </w:pPr>
            <w:r>
              <w:rPr>
                <w:rFonts w:hint="eastAsia" w:cs="宋体"/>
                <w:color w:val="auto"/>
                <w:sz w:val="21"/>
                <w:szCs w:val="21"/>
                <w:highlight w:val="none"/>
              </w:rPr>
              <w:t>包号</w:t>
            </w:r>
          </w:p>
        </w:tc>
        <w:tc>
          <w:tcPr>
            <w:tcW w:w="4929" w:type="dxa"/>
            <w:noWrap w:val="0"/>
            <w:vAlign w:val="center"/>
          </w:tcPr>
          <w:p w14:paraId="07278922">
            <w:pPr>
              <w:pStyle w:val="9"/>
              <w:rPr>
                <w:rFonts w:hint="eastAsia" w:cs="宋体"/>
                <w:color w:val="auto"/>
                <w:sz w:val="21"/>
                <w:szCs w:val="21"/>
                <w:highlight w:val="none"/>
              </w:rPr>
            </w:pPr>
            <w:r>
              <w:rPr>
                <w:rFonts w:hint="eastAsia" w:cs="宋体"/>
                <w:color w:val="auto"/>
                <w:sz w:val="21"/>
                <w:szCs w:val="21"/>
                <w:highlight w:val="none"/>
              </w:rPr>
              <w:t>货物名称</w:t>
            </w:r>
          </w:p>
        </w:tc>
        <w:tc>
          <w:tcPr>
            <w:tcW w:w="2177" w:type="dxa"/>
            <w:noWrap w:val="0"/>
            <w:vAlign w:val="center"/>
          </w:tcPr>
          <w:p w14:paraId="79FD8FC5">
            <w:pPr>
              <w:pStyle w:val="9"/>
              <w:rPr>
                <w:rFonts w:hint="eastAsia" w:cs="宋体"/>
                <w:color w:val="auto"/>
                <w:sz w:val="21"/>
                <w:szCs w:val="21"/>
                <w:highlight w:val="none"/>
              </w:rPr>
            </w:pPr>
            <w:r>
              <w:rPr>
                <w:rFonts w:hint="eastAsia" w:cs="宋体"/>
                <w:color w:val="auto"/>
                <w:sz w:val="21"/>
                <w:szCs w:val="21"/>
                <w:highlight w:val="none"/>
              </w:rPr>
              <w:t>数量(套)</w:t>
            </w:r>
          </w:p>
        </w:tc>
      </w:tr>
      <w:tr w14:paraId="042D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12" w:type="dxa"/>
            <w:noWrap w:val="0"/>
            <w:vAlign w:val="center"/>
          </w:tcPr>
          <w:p w14:paraId="2F85CDC6">
            <w:pPr>
              <w:pStyle w:val="9"/>
              <w:rPr>
                <w:rFonts w:hint="eastAsia" w:cs="宋体"/>
                <w:color w:val="auto"/>
                <w:sz w:val="21"/>
                <w:szCs w:val="21"/>
                <w:highlight w:val="none"/>
              </w:rPr>
            </w:pPr>
            <w:r>
              <w:rPr>
                <w:rFonts w:hint="eastAsia" w:cs="宋体"/>
                <w:color w:val="auto"/>
                <w:sz w:val="21"/>
                <w:szCs w:val="21"/>
                <w:highlight w:val="none"/>
              </w:rPr>
              <w:t>01包</w:t>
            </w:r>
          </w:p>
        </w:tc>
        <w:tc>
          <w:tcPr>
            <w:tcW w:w="4929" w:type="dxa"/>
            <w:noWrap w:val="0"/>
            <w:vAlign w:val="center"/>
          </w:tcPr>
          <w:p w14:paraId="1BED10B2">
            <w:pPr>
              <w:pStyle w:val="9"/>
              <w:rPr>
                <w:rFonts w:hint="eastAsia" w:cs="宋体"/>
                <w:color w:val="auto"/>
                <w:sz w:val="21"/>
                <w:szCs w:val="21"/>
                <w:highlight w:val="none"/>
              </w:rPr>
            </w:pPr>
            <w:r>
              <w:rPr>
                <w:rFonts w:hint="eastAsia" w:cs="宋体"/>
                <w:color w:val="auto"/>
                <w:sz w:val="21"/>
                <w:szCs w:val="21"/>
                <w:highlight w:val="none"/>
              </w:rPr>
              <w:t>▲彩色多普勒超声诊断系统</w:t>
            </w:r>
          </w:p>
        </w:tc>
        <w:tc>
          <w:tcPr>
            <w:tcW w:w="2177" w:type="dxa"/>
            <w:noWrap w:val="0"/>
            <w:vAlign w:val="center"/>
          </w:tcPr>
          <w:p w14:paraId="46B5291B">
            <w:pPr>
              <w:pStyle w:val="9"/>
              <w:rPr>
                <w:rFonts w:hint="eastAsia" w:cs="宋体"/>
                <w:color w:val="auto"/>
                <w:sz w:val="21"/>
                <w:szCs w:val="21"/>
                <w:highlight w:val="none"/>
              </w:rPr>
            </w:pPr>
            <w:r>
              <w:rPr>
                <w:rFonts w:hint="eastAsia" w:cs="宋体"/>
                <w:color w:val="auto"/>
                <w:sz w:val="21"/>
                <w:szCs w:val="21"/>
                <w:highlight w:val="none"/>
              </w:rPr>
              <w:t>1</w:t>
            </w:r>
          </w:p>
        </w:tc>
      </w:tr>
    </w:tbl>
    <w:p w14:paraId="3F2FD995">
      <w:pPr>
        <w:pStyle w:val="11"/>
        <w:spacing w:line="360" w:lineRule="auto"/>
        <w:ind w:left="720" w:hanging="720" w:hangingChars="300"/>
        <w:rPr>
          <w:rFonts w:hint="eastAsia"/>
          <w:color w:val="auto"/>
          <w:sz w:val="24"/>
          <w:highlight w:val="none"/>
        </w:rPr>
      </w:pPr>
    </w:p>
    <w:p w14:paraId="19D1BBB8">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（一）设备用途及主要要求：</w:t>
      </w:r>
    </w:p>
    <w:p w14:paraId="135391BD">
      <w:pPr>
        <w:rPr>
          <w:rFonts w:hint="eastAsia" w:ascii="宋体" w:hAnsi="宋体" w:cs="宋体"/>
          <w:color w:val="auto"/>
          <w:sz w:val="24"/>
          <w:highlight w:val="none"/>
        </w:rPr>
      </w:pPr>
      <w:r>
        <w:rPr>
          <w:rFonts w:hint="eastAsia" w:ascii="宋体" w:hAnsi="宋体" w:cs="宋体"/>
          <w:color w:val="auto"/>
          <w:sz w:val="24"/>
          <w:highlight w:val="none"/>
        </w:rPr>
        <w:t>1.超高端全身彩色多普勒超声诊断系统，主要用于腹部、心脏、妇产科及胎儿检查、血管、小器官、肌肉骨骼、神经、术中、弹性、造影及介入等方面的临床诊断和科研教学工作。具备持续升级能力，可满足临床开展新技术应用的需求。</w:t>
      </w:r>
    </w:p>
    <w:p w14:paraId="354D0746">
      <w:pPr>
        <w:rPr>
          <w:rFonts w:hint="eastAsia" w:ascii="宋体" w:hAnsi="宋体" w:cs="宋体"/>
          <w:color w:val="auto"/>
          <w:sz w:val="24"/>
          <w:highlight w:val="none"/>
        </w:rPr>
      </w:pPr>
      <w:r>
        <w:rPr>
          <w:rFonts w:hint="eastAsia" w:ascii="宋体" w:hAnsi="宋体" w:cs="宋体"/>
          <w:color w:val="auto"/>
          <w:sz w:val="24"/>
          <w:highlight w:val="none"/>
        </w:rPr>
        <w:t>★2.全数字化彩色超声诊断系统主机：具备相干成像超声系统或cSound 平台超声系统或 nSIGHT 成像平台超声系统或其他不低于前述平台。</w:t>
      </w:r>
    </w:p>
    <w:p w14:paraId="5A2C4AED">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（二）</w:t>
      </w:r>
      <w:bookmarkStart w:id="5" w:name="OLE_LINK8"/>
      <w:bookmarkStart w:id="6" w:name="OLE_LINK7"/>
      <w:r>
        <w:rPr>
          <w:rFonts w:hint="eastAsia" w:ascii="宋体" w:hAnsi="宋体" w:cs="宋体"/>
          <w:color w:val="auto"/>
          <w:sz w:val="24"/>
          <w:highlight w:val="none"/>
        </w:rPr>
        <w:t>主要技术规格及系统概述：</w:t>
      </w:r>
    </w:p>
    <w:bookmarkEnd w:id="5"/>
    <w:bookmarkEnd w:id="6"/>
    <w:p w14:paraId="6D90641B">
      <w:pPr>
        <w:rPr>
          <w:rFonts w:hint="eastAsia" w:ascii="宋体" w:hAnsi="宋体" w:cs="宋体"/>
          <w:color w:val="auto"/>
          <w:sz w:val="24"/>
          <w:highlight w:val="none"/>
        </w:rPr>
      </w:pPr>
      <w:r>
        <w:rPr>
          <w:rFonts w:hint="eastAsia" w:ascii="宋体" w:hAnsi="宋体" w:cs="宋体"/>
          <w:color w:val="auto"/>
          <w:sz w:val="24"/>
          <w:highlight w:val="none"/>
        </w:rPr>
        <w:t>1.主机系统性能概括</w:t>
      </w:r>
    </w:p>
    <w:p w14:paraId="19651C2A">
      <w:pPr>
        <w:rPr>
          <w:rFonts w:hint="eastAsia" w:ascii="宋体" w:hAnsi="宋体" w:cs="宋体"/>
          <w:color w:val="auto"/>
          <w:sz w:val="24"/>
          <w:highlight w:val="none"/>
        </w:rPr>
      </w:pPr>
      <w:r>
        <w:rPr>
          <w:rFonts w:hint="eastAsia" w:ascii="宋体" w:hAnsi="宋体" w:cs="宋体"/>
          <w:color w:val="auto"/>
          <w:sz w:val="24"/>
          <w:highlight w:val="none"/>
        </w:rPr>
        <w:t>1.1.</w:t>
      </w:r>
      <w:bookmarkStart w:id="7" w:name="OLE_LINK157"/>
      <w:bookmarkStart w:id="8" w:name="OLE_LINK158"/>
      <w:r>
        <w:rPr>
          <w:rFonts w:hint="eastAsia" w:ascii="宋体" w:hAnsi="宋体" w:cs="宋体"/>
          <w:color w:val="auto"/>
          <w:sz w:val="24"/>
          <w:highlight w:val="none"/>
        </w:rPr>
        <w:t>≥22英寸液晶监视器，具备万向关节臂设计，可实现上下左右前后任意方位调节，可前后折叠。</w:t>
      </w:r>
    </w:p>
    <w:p w14:paraId="2DEDA4AE">
      <w:pPr>
        <w:rPr>
          <w:rFonts w:hint="eastAsia" w:ascii="宋体" w:hAnsi="宋体" w:cs="宋体"/>
          <w:color w:val="auto"/>
          <w:sz w:val="24"/>
          <w:highlight w:val="none"/>
        </w:rPr>
      </w:pPr>
      <w:bookmarkStart w:id="9" w:name="OLE_LINK5"/>
      <w:r>
        <w:rPr>
          <w:rFonts w:hint="eastAsia" w:ascii="宋体" w:hAnsi="宋体" w:cs="宋体"/>
          <w:color w:val="auto"/>
          <w:sz w:val="24"/>
          <w:highlight w:val="none"/>
        </w:rPr>
        <w:t>★1.2.</w:t>
      </w:r>
      <w:bookmarkEnd w:id="7"/>
      <w:bookmarkEnd w:id="8"/>
      <w:bookmarkEnd w:id="9"/>
      <w:r>
        <w:rPr>
          <w:rFonts w:hint="eastAsia" w:ascii="宋体" w:hAnsi="宋体" w:cs="宋体"/>
          <w:color w:val="auto"/>
          <w:sz w:val="24"/>
          <w:highlight w:val="none"/>
        </w:rPr>
        <w:t xml:space="preserve">液晶触摸屏≥12英寸,触摸屏与显示器可同步显示实时图像。 </w:t>
      </w:r>
    </w:p>
    <w:p w14:paraId="65251427">
      <w:pPr>
        <w:rPr>
          <w:rFonts w:hint="eastAsia" w:ascii="宋体" w:hAnsi="宋体" w:cs="宋体"/>
          <w:color w:val="auto"/>
          <w:sz w:val="24"/>
          <w:highlight w:val="none"/>
        </w:rPr>
      </w:pPr>
      <w:r>
        <w:rPr>
          <w:rFonts w:hint="eastAsia" w:ascii="宋体" w:hAnsi="宋体" w:cs="宋体"/>
          <w:color w:val="auto"/>
          <w:sz w:val="24"/>
          <w:highlight w:val="none"/>
        </w:rPr>
        <w:t>1.3.全数字化彩色超声诊断系统主机。</w:t>
      </w:r>
    </w:p>
    <w:p w14:paraId="5F5652A4">
      <w:pPr>
        <w:rPr>
          <w:rFonts w:hint="eastAsia" w:ascii="宋体" w:hAnsi="宋体" w:cs="宋体"/>
          <w:color w:val="auto"/>
          <w:sz w:val="24"/>
          <w:highlight w:val="none"/>
        </w:rPr>
      </w:pPr>
      <w:r>
        <w:rPr>
          <w:rFonts w:hint="eastAsia" w:ascii="宋体" w:hAnsi="宋体" w:cs="宋体"/>
          <w:color w:val="auto"/>
          <w:sz w:val="24"/>
          <w:highlight w:val="none"/>
        </w:rPr>
        <w:t>1.4.具备全新集束精准发射技术，全程动态聚焦发射声束。</w:t>
      </w:r>
    </w:p>
    <w:p w14:paraId="33596EAB">
      <w:pPr>
        <w:rPr>
          <w:rFonts w:hint="eastAsia" w:ascii="宋体" w:hAnsi="宋体" w:cs="宋体"/>
          <w:color w:val="auto"/>
          <w:sz w:val="24"/>
          <w:highlight w:val="none"/>
        </w:rPr>
      </w:pPr>
      <w:bookmarkStart w:id="10" w:name="OLE_LINK6"/>
      <w:bookmarkStart w:id="11" w:name="OLE_LINK9"/>
      <w:r>
        <w:rPr>
          <w:rFonts w:hint="eastAsia" w:ascii="宋体" w:hAnsi="宋体" w:cs="宋体"/>
          <w:color w:val="auto"/>
          <w:sz w:val="24"/>
          <w:highlight w:val="none"/>
        </w:rPr>
        <w:t>1.5.</w:t>
      </w:r>
      <w:bookmarkEnd w:id="10"/>
      <w:bookmarkEnd w:id="11"/>
      <w:r>
        <w:rPr>
          <w:rFonts w:hint="eastAsia" w:ascii="宋体" w:hAnsi="宋体" w:cs="宋体"/>
          <w:color w:val="auto"/>
          <w:sz w:val="24"/>
          <w:highlight w:val="none"/>
        </w:rPr>
        <w:t>具备全聚焦相干成像技术或域成像或全域聚成像技术，二维灰阶图像和彩色多普勒图像模式下均支持全聚焦模式和手动焦点调节模式。</w:t>
      </w:r>
    </w:p>
    <w:p w14:paraId="04CC4826">
      <w:pPr>
        <w:rPr>
          <w:rFonts w:hint="eastAsia" w:ascii="宋体" w:hAnsi="宋体" w:cs="宋体"/>
          <w:color w:val="auto"/>
          <w:sz w:val="24"/>
          <w:highlight w:val="none"/>
        </w:rPr>
      </w:pPr>
      <w:r>
        <w:rPr>
          <w:rFonts w:hint="eastAsia" w:ascii="宋体" w:hAnsi="宋体" w:cs="宋体"/>
          <w:color w:val="auto"/>
          <w:sz w:val="24"/>
          <w:highlight w:val="none"/>
        </w:rPr>
        <w:t>1.6.具备清澈血流技术。</w:t>
      </w:r>
    </w:p>
    <w:p w14:paraId="657DC023">
      <w:pPr>
        <w:rPr>
          <w:rFonts w:hint="eastAsia" w:ascii="宋体" w:hAnsi="宋体" w:cs="宋体"/>
          <w:color w:val="auto"/>
          <w:sz w:val="24"/>
          <w:highlight w:val="none"/>
        </w:rPr>
      </w:pPr>
      <w:r>
        <w:rPr>
          <w:rFonts w:hint="eastAsia" w:ascii="宋体" w:hAnsi="宋体" w:cs="宋体"/>
          <w:color w:val="auto"/>
          <w:sz w:val="24"/>
          <w:highlight w:val="none"/>
        </w:rPr>
        <w:t>1.7.数字化二维灰阶成像及M 型成像单元（包括灰阶M型和彩色M型）。</w:t>
      </w:r>
    </w:p>
    <w:p w14:paraId="49B1DB68">
      <w:pPr>
        <w:rPr>
          <w:rFonts w:hint="eastAsia" w:ascii="宋体" w:hAnsi="宋体" w:cs="宋体"/>
          <w:color w:val="auto"/>
          <w:sz w:val="24"/>
          <w:highlight w:val="none"/>
        </w:rPr>
      </w:pPr>
      <w:bookmarkStart w:id="12" w:name="OLE_LINK10"/>
      <w:bookmarkStart w:id="13" w:name="OLE_LINK11"/>
      <w:r>
        <w:rPr>
          <w:rFonts w:hint="eastAsia" w:ascii="宋体" w:hAnsi="宋体" w:cs="宋体"/>
          <w:color w:val="auto"/>
          <w:sz w:val="24"/>
          <w:highlight w:val="none"/>
        </w:rPr>
        <w:t>1.8.</w:t>
      </w:r>
      <w:bookmarkEnd w:id="12"/>
      <w:bookmarkEnd w:id="13"/>
      <w:r>
        <w:rPr>
          <w:rFonts w:hint="eastAsia" w:ascii="宋体" w:hAnsi="宋体" w:cs="宋体"/>
          <w:color w:val="auto"/>
          <w:sz w:val="24"/>
          <w:highlight w:val="none"/>
        </w:rPr>
        <w:t>具备自动频谱多普勒优化技术，冻结瞬间自动优化频谱为最佳图像，无需特别按键操作。</w:t>
      </w:r>
    </w:p>
    <w:p w14:paraId="7680A7D9">
      <w:pPr>
        <w:rPr>
          <w:rFonts w:hint="eastAsia" w:ascii="宋体" w:hAnsi="宋体" w:cs="宋体"/>
          <w:color w:val="auto"/>
          <w:sz w:val="24"/>
          <w:highlight w:val="none"/>
        </w:rPr>
      </w:pPr>
      <w:r>
        <w:rPr>
          <w:rFonts w:hint="eastAsia" w:ascii="宋体" w:hAnsi="宋体" w:cs="宋体"/>
          <w:color w:val="auto"/>
          <w:sz w:val="24"/>
          <w:highlight w:val="none"/>
        </w:rPr>
        <w:t>1.9.具备彩色多普勒成像技术：彩色多普勒速度图、彩色多普勒能量图。</w:t>
      </w:r>
    </w:p>
    <w:p w14:paraId="4B101096">
      <w:pPr>
        <w:rPr>
          <w:rFonts w:hint="eastAsia" w:ascii="宋体" w:hAnsi="宋体" w:cs="宋体"/>
          <w:color w:val="auto"/>
          <w:sz w:val="24"/>
          <w:highlight w:val="none"/>
        </w:rPr>
      </w:pPr>
      <w:r>
        <w:rPr>
          <w:rFonts w:hint="eastAsia" w:ascii="宋体" w:hAnsi="宋体" w:cs="宋体"/>
          <w:color w:val="auto"/>
          <w:sz w:val="24"/>
          <w:highlight w:val="none"/>
        </w:rPr>
        <w:t>1.10.具备高清放大功能。</w:t>
      </w:r>
    </w:p>
    <w:p w14:paraId="22CDA34C">
      <w:pPr>
        <w:rPr>
          <w:rFonts w:hint="eastAsia" w:ascii="宋体" w:hAnsi="宋体" w:cs="宋体"/>
          <w:color w:val="auto"/>
          <w:sz w:val="24"/>
          <w:highlight w:val="none"/>
        </w:rPr>
      </w:pPr>
      <w:r>
        <w:rPr>
          <w:rFonts w:hint="eastAsia" w:ascii="宋体" w:hAnsi="宋体" w:cs="宋体"/>
          <w:color w:val="auto"/>
          <w:sz w:val="24"/>
          <w:highlight w:val="none"/>
        </w:rPr>
        <w:t>1.11.具备空间复合成像技术。</w:t>
      </w:r>
    </w:p>
    <w:p w14:paraId="42FB21BE">
      <w:pPr>
        <w:rPr>
          <w:rFonts w:hint="eastAsia" w:ascii="宋体" w:hAnsi="宋体" w:cs="宋体"/>
          <w:color w:val="auto"/>
          <w:sz w:val="24"/>
          <w:highlight w:val="none"/>
        </w:rPr>
      </w:pPr>
      <w:bookmarkStart w:id="14" w:name="OLE_LINK12"/>
      <w:r>
        <w:rPr>
          <w:rFonts w:hint="eastAsia" w:ascii="宋体" w:hAnsi="宋体" w:cs="宋体"/>
          <w:color w:val="auto"/>
          <w:sz w:val="24"/>
          <w:highlight w:val="none"/>
        </w:rPr>
        <w:t>1.12.</w:t>
      </w:r>
      <w:bookmarkEnd w:id="14"/>
      <w:r>
        <w:rPr>
          <w:rFonts w:hint="eastAsia" w:ascii="宋体" w:hAnsi="宋体" w:cs="宋体"/>
          <w:color w:val="auto"/>
          <w:sz w:val="24"/>
          <w:highlight w:val="none"/>
        </w:rPr>
        <w:t>具备血管增强技术。</w:t>
      </w:r>
    </w:p>
    <w:p w14:paraId="570D8870">
      <w:pPr>
        <w:rPr>
          <w:rFonts w:hint="eastAsia" w:ascii="宋体" w:hAnsi="宋体" w:cs="宋体"/>
          <w:color w:val="auto"/>
          <w:sz w:val="24"/>
          <w:highlight w:val="none"/>
        </w:rPr>
      </w:pPr>
      <w:r>
        <w:rPr>
          <w:rFonts w:hint="eastAsia" w:ascii="宋体" w:hAnsi="宋体" w:cs="宋体"/>
          <w:color w:val="auto"/>
          <w:sz w:val="24"/>
          <w:highlight w:val="none"/>
        </w:rPr>
        <w:t>1.13.主机具备耦合剂加热装置。</w:t>
      </w:r>
    </w:p>
    <w:p w14:paraId="1DDDCC0C">
      <w:pPr>
        <w:rPr>
          <w:rFonts w:hint="eastAsia" w:ascii="宋体" w:hAnsi="宋体" w:cs="宋体"/>
          <w:color w:val="auto"/>
          <w:sz w:val="24"/>
          <w:highlight w:val="none"/>
        </w:rPr>
      </w:pPr>
      <w:r>
        <w:rPr>
          <w:rFonts w:hint="eastAsia" w:ascii="宋体" w:hAnsi="宋体" w:cs="宋体"/>
          <w:color w:val="auto"/>
          <w:sz w:val="24"/>
          <w:highlight w:val="none"/>
        </w:rPr>
        <w:t>1.14.术者模式：主屏幕和触摸屏实时同步显示超声图像。</w:t>
      </w:r>
    </w:p>
    <w:p w14:paraId="092645FE">
      <w:pPr>
        <w:rPr>
          <w:rFonts w:hint="eastAsia" w:ascii="宋体" w:hAnsi="宋体" w:cs="宋体"/>
          <w:color w:val="auto"/>
          <w:sz w:val="24"/>
          <w:highlight w:val="none"/>
        </w:rPr>
      </w:pPr>
      <w:r>
        <w:rPr>
          <w:rFonts w:hint="eastAsia" w:ascii="宋体" w:hAnsi="宋体" w:cs="宋体"/>
          <w:color w:val="auto"/>
          <w:sz w:val="24"/>
          <w:highlight w:val="none"/>
        </w:rPr>
        <w:t>1.15.探头内置多点触控传感器，双击探头前端任何部位，即可激活探头进入扫查</w:t>
      </w:r>
      <w:bookmarkStart w:id="15" w:name="OLE_LINK26"/>
      <w:bookmarkStart w:id="16" w:name="OLE_LINK27"/>
      <w:r>
        <w:rPr>
          <w:rFonts w:hint="eastAsia" w:ascii="宋体" w:hAnsi="宋体" w:cs="宋体"/>
          <w:color w:val="auto"/>
          <w:sz w:val="24"/>
          <w:highlight w:val="none"/>
        </w:rPr>
        <w:t>。</w:t>
      </w:r>
      <w:bookmarkEnd w:id="15"/>
      <w:bookmarkEnd w:id="16"/>
    </w:p>
    <w:p w14:paraId="53AEB3E3">
      <w:pPr>
        <w:rPr>
          <w:rFonts w:hint="eastAsia" w:ascii="宋体" w:hAnsi="宋体" w:cs="宋体"/>
          <w:color w:val="auto"/>
          <w:sz w:val="24"/>
          <w:highlight w:val="none"/>
        </w:rPr>
      </w:pPr>
      <w:r>
        <w:rPr>
          <w:rFonts w:hint="eastAsia" w:ascii="宋体" w:hAnsi="宋体" w:cs="宋体"/>
          <w:color w:val="auto"/>
          <w:sz w:val="24"/>
          <w:highlight w:val="none"/>
        </w:rPr>
        <w:t>1.16.数字化通道数≥1000万，动态范围≥330dB。</w:t>
      </w:r>
    </w:p>
    <w:p w14:paraId="1CEA9230">
      <w:pPr>
        <w:rPr>
          <w:rFonts w:hint="eastAsia" w:ascii="宋体" w:hAnsi="宋体" w:cs="宋体"/>
          <w:color w:val="auto"/>
          <w:sz w:val="24"/>
          <w:highlight w:val="none"/>
        </w:rPr>
      </w:pPr>
      <w:r>
        <w:rPr>
          <w:rFonts w:hint="eastAsia" w:ascii="宋体" w:hAnsi="宋体" w:cs="宋体"/>
          <w:color w:val="auto"/>
          <w:sz w:val="24"/>
          <w:highlight w:val="none"/>
        </w:rPr>
        <w:t>★1.17.具备逐微血流成像技术</w:t>
      </w:r>
      <w:bookmarkStart w:id="17" w:name="OLE_LINK4"/>
      <w:r>
        <w:rPr>
          <w:rFonts w:hint="eastAsia" w:ascii="宋体" w:hAnsi="宋体" w:cs="宋体"/>
          <w:color w:val="auto"/>
          <w:sz w:val="24"/>
          <w:highlight w:val="none"/>
        </w:rPr>
        <w:t>。</w:t>
      </w:r>
      <w:bookmarkEnd w:id="17"/>
    </w:p>
    <w:p w14:paraId="5DE3090B">
      <w:pPr>
        <w:rPr>
          <w:rFonts w:hint="eastAsia" w:ascii="宋体" w:hAnsi="宋体" w:cs="宋体"/>
          <w:color w:val="auto"/>
          <w:sz w:val="24"/>
          <w:highlight w:val="none"/>
        </w:rPr>
      </w:pPr>
      <w:r>
        <w:rPr>
          <w:rFonts w:hint="eastAsia" w:ascii="宋体" w:hAnsi="宋体" w:cs="宋体"/>
          <w:color w:val="auto"/>
          <w:sz w:val="24"/>
          <w:highlight w:val="none"/>
        </w:rPr>
        <w:t>2.先进成像技术</w:t>
      </w:r>
    </w:p>
    <w:p w14:paraId="4571AE4F">
      <w:pPr>
        <w:rPr>
          <w:rFonts w:hint="eastAsia" w:ascii="宋体" w:hAnsi="宋体" w:cs="宋体"/>
          <w:color w:val="auto"/>
          <w:sz w:val="24"/>
          <w:highlight w:val="none"/>
        </w:rPr>
      </w:pPr>
      <w:bookmarkStart w:id="18" w:name="OLE_LINK15"/>
      <w:r>
        <w:rPr>
          <w:rFonts w:hint="eastAsia" w:ascii="宋体" w:hAnsi="宋体" w:cs="宋体"/>
          <w:color w:val="auto"/>
          <w:sz w:val="24"/>
          <w:highlight w:val="none"/>
        </w:rPr>
        <w:t>2.1.</w:t>
      </w:r>
      <w:bookmarkEnd w:id="18"/>
      <w:r>
        <w:rPr>
          <w:rFonts w:hint="eastAsia" w:ascii="宋体" w:hAnsi="宋体" w:cs="宋体"/>
          <w:color w:val="auto"/>
          <w:sz w:val="24"/>
          <w:highlight w:val="none"/>
        </w:rPr>
        <w:t>具备多影像实时对比联合诊断技术：主机可直接获取和浏览CT/NM/MR，乳房X线/超声DICOM图像，同屏对比既往和目前的超声图像，回顾实时的、存储的、输出的图像进行对比诊断。</w:t>
      </w:r>
    </w:p>
    <w:p w14:paraId="1B9E009E">
      <w:pPr>
        <w:rPr>
          <w:rFonts w:hint="eastAsia" w:ascii="宋体" w:hAnsi="宋体" w:cs="宋体"/>
          <w:color w:val="auto"/>
          <w:sz w:val="24"/>
          <w:highlight w:val="none"/>
        </w:rPr>
      </w:pPr>
      <w:r>
        <w:rPr>
          <w:rFonts w:hint="eastAsia" w:ascii="宋体" w:hAnsi="宋体" w:cs="宋体"/>
          <w:color w:val="auto"/>
          <w:sz w:val="24"/>
          <w:highlight w:val="none"/>
        </w:rPr>
        <w:t>2.2.具备宽景成像技术，支持腹部探头、浅表探头、L型线阵探头、腔内探头、腔内容积探头在二维、彩色多普勒、能量多普勒模式下采集宽景成像。</w:t>
      </w:r>
    </w:p>
    <w:p w14:paraId="45A067A5">
      <w:pPr>
        <w:rPr>
          <w:rFonts w:hint="eastAsia" w:ascii="宋体" w:hAnsi="宋体" w:cs="宋体"/>
          <w:color w:val="auto"/>
          <w:sz w:val="24"/>
          <w:highlight w:val="none"/>
        </w:rPr>
      </w:pPr>
      <w:r>
        <w:rPr>
          <w:rFonts w:hint="eastAsia" w:ascii="宋体" w:hAnsi="宋体" w:cs="宋体"/>
          <w:color w:val="auto"/>
          <w:sz w:val="24"/>
          <w:highlight w:val="none"/>
        </w:rPr>
        <w:t>2.3.具备超声造影成像技术。</w:t>
      </w:r>
    </w:p>
    <w:p w14:paraId="00EE42E7">
      <w:pPr>
        <w:rPr>
          <w:rFonts w:hint="eastAsia" w:ascii="宋体" w:hAnsi="宋体" w:cs="宋体"/>
          <w:color w:val="auto"/>
          <w:sz w:val="24"/>
          <w:highlight w:val="none"/>
        </w:rPr>
      </w:pPr>
      <w:r>
        <w:rPr>
          <w:rFonts w:hint="eastAsia" w:ascii="宋体" w:hAnsi="宋体" w:cs="宋体"/>
          <w:color w:val="auto"/>
          <w:sz w:val="24"/>
          <w:highlight w:val="none"/>
        </w:rPr>
        <w:t>2.4.具备实时应变弹性成像技术。</w:t>
      </w:r>
    </w:p>
    <w:p w14:paraId="29800921">
      <w:pPr>
        <w:rPr>
          <w:rFonts w:hint="eastAsia" w:ascii="宋体" w:hAnsi="宋体" w:cs="宋体"/>
          <w:color w:val="auto"/>
          <w:sz w:val="24"/>
          <w:highlight w:val="none"/>
        </w:rPr>
      </w:pPr>
      <w:bookmarkStart w:id="19" w:name="OLE_LINK17"/>
      <w:bookmarkStart w:id="20" w:name="OLE_LINK16"/>
      <w:r>
        <w:rPr>
          <w:rFonts w:hint="eastAsia" w:ascii="宋体" w:hAnsi="宋体" w:cs="宋体"/>
          <w:color w:val="auto"/>
          <w:sz w:val="24"/>
          <w:highlight w:val="none"/>
        </w:rPr>
        <w:t>2.5.</w:t>
      </w:r>
      <w:bookmarkEnd w:id="19"/>
      <w:bookmarkEnd w:id="20"/>
      <w:r>
        <w:rPr>
          <w:rFonts w:hint="eastAsia" w:ascii="宋体" w:hAnsi="宋体" w:cs="宋体"/>
          <w:color w:val="auto"/>
          <w:sz w:val="24"/>
          <w:highlight w:val="none"/>
        </w:rPr>
        <w:t>具备两种剪切波模式（点式剪切波pSwe和二维剪切波SWE）。</w:t>
      </w:r>
    </w:p>
    <w:p w14:paraId="10A79109">
      <w:pPr>
        <w:rPr>
          <w:rFonts w:hint="eastAsia" w:ascii="宋体" w:hAnsi="宋体" w:cs="宋体"/>
          <w:color w:val="auto"/>
          <w:sz w:val="24"/>
          <w:highlight w:val="none"/>
        </w:rPr>
      </w:pPr>
      <w:r>
        <w:rPr>
          <w:rFonts w:hint="eastAsia" w:ascii="宋体" w:hAnsi="宋体" w:cs="宋体"/>
          <w:color w:val="auto"/>
          <w:sz w:val="24"/>
          <w:highlight w:val="none"/>
        </w:rPr>
        <w:t>2.6.具备自动点式剪切波诊断肝脏纤维化功能。</w:t>
      </w:r>
    </w:p>
    <w:p w14:paraId="264855C1">
      <w:pPr>
        <w:rPr>
          <w:rFonts w:hint="eastAsia" w:ascii="宋体" w:hAnsi="宋体" w:cs="宋体"/>
          <w:color w:val="auto"/>
          <w:sz w:val="24"/>
          <w:highlight w:val="none"/>
        </w:rPr>
      </w:pPr>
      <w:r>
        <w:rPr>
          <w:rFonts w:hint="eastAsia" w:ascii="宋体" w:hAnsi="宋体" w:cs="宋体"/>
          <w:color w:val="auto"/>
          <w:sz w:val="24"/>
          <w:highlight w:val="none"/>
        </w:rPr>
        <w:t>★2.7.超声衍生脂肪分数或脂肪肝衰减系数功能:肝脏脂肪定量测量工具,测量选定感兴趣区域的组织，以及计算用于评估脂肪肝疾病的超声定量脂肪分数指数,每个标签的测量值≥20个测量结果在扫查界面直接显示测值并以%为单位，可一键同时完成肝脏硬度测定和肝脏脂肪定量测量。</w:t>
      </w:r>
    </w:p>
    <w:p w14:paraId="72DEFCF6">
      <w:pPr>
        <w:rPr>
          <w:rFonts w:hint="eastAsia" w:ascii="宋体" w:hAnsi="宋体" w:cs="宋体"/>
          <w:color w:val="auto"/>
          <w:sz w:val="24"/>
          <w:highlight w:val="none"/>
        </w:rPr>
      </w:pPr>
      <w:r>
        <w:rPr>
          <w:rFonts w:hint="eastAsia" w:ascii="宋体" w:hAnsi="宋体" w:cs="宋体"/>
          <w:color w:val="auto"/>
          <w:sz w:val="24"/>
          <w:highlight w:val="none"/>
        </w:rPr>
        <w:t>3.测量和分析：(B型、M型、D型、彩色模式)</w:t>
      </w:r>
    </w:p>
    <w:p w14:paraId="7D06CB8C">
      <w:pPr>
        <w:rPr>
          <w:rFonts w:hint="eastAsia" w:ascii="宋体" w:hAnsi="宋体" w:cs="宋体"/>
          <w:color w:val="auto"/>
          <w:sz w:val="24"/>
          <w:highlight w:val="none"/>
        </w:rPr>
      </w:pPr>
      <w:bookmarkStart w:id="21" w:name="OLE_LINK18"/>
      <w:bookmarkStart w:id="22" w:name="OLE_LINK19"/>
      <w:r>
        <w:rPr>
          <w:rFonts w:hint="eastAsia" w:ascii="宋体" w:hAnsi="宋体" w:cs="宋体"/>
          <w:color w:val="auto"/>
          <w:sz w:val="24"/>
          <w:highlight w:val="none"/>
        </w:rPr>
        <w:t>3.1.</w:t>
      </w:r>
      <w:bookmarkEnd w:id="21"/>
      <w:bookmarkEnd w:id="22"/>
      <w:r>
        <w:rPr>
          <w:rFonts w:hint="eastAsia" w:ascii="宋体" w:hAnsi="宋体" w:cs="宋体"/>
          <w:color w:val="auto"/>
          <w:sz w:val="24"/>
          <w:highlight w:val="none"/>
        </w:rPr>
        <w:t>一般测量：距离、面积、周长等。</w:t>
      </w:r>
    </w:p>
    <w:p w14:paraId="3684C199">
      <w:pPr>
        <w:rPr>
          <w:rFonts w:hint="eastAsia" w:ascii="宋体" w:hAnsi="宋体" w:cs="宋体"/>
          <w:color w:val="auto"/>
          <w:sz w:val="24"/>
          <w:highlight w:val="none"/>
        </w:rPr>
      </w:pPr>
      <w:r>
        <w:rPr>
          <w:rFonts w:hint="eastAsia" w:ascii="宋体" w:hAnsi="宋体" w:cs="宋体"/>
          <w:color w:val="auto"/>
          <w:sz w:val="24"/>
          <w:highlight w:val="none"/>
        </w:rPr>
        <w:t>3.2.妇科测量和计算。</w:t>
      </w:r>
    </w:p>
    <w:p w14:paraId="059983FB">
      <w:pPr>
        <w:rPr>
          <w:rFonts w:hint="eastAsia" w:ascii="宋体" w:hAnsi="宋体" w:cs="宋体"/>
          <w:color w:val="auto"/>
          <w:sz w:val="24"/>
          <w:highlight w:val="none"/>
        </w:rPr>
      </w:pPr>
      <w:r>
        <w:rPr>
          <w:rFonts w:hint="eastAsia" w:ascii="宋体" w:hAnsi="宋体" w:cs="宋体"/>
          <w:color w:val="auto"/>
          <w:sz w:val="24"/>
          <w:highlight w:val="none"/>
        </w:rPr>
        <w:t>3.3.自动产科测量：具备包括双顶径、头围、前后腹径、经腹直径、股骨长度、顶臀长度、肱骨长度和枕额径8种参数。</w:t>
      </w:r>
    </w:p>
    <w:p w14:paraId="642A32AB">
      <w:pPr>
        <w:rPr>
          <w:rFonts w:hint="eastAsia" w:ascii="宋体" w:hAnsi="宋体" w:cs="宋体"/>
          <w:color w:val="auto"/>
          <w:sz w:val="24"/>
          <w:highlight w:val="none"/>
        </w:rPr>
      </w:pPr>
      <w:r>
        <w:rPr>
          <w:rFonts w:hint="eastAsia" w:ascii="宋体" w:hAnsi="宋体" w:cs="宋体"/>
          <w:color w:val="auto"/>
          <w:sz w:val="24"/>
          <w:highlight w:val="none"/>
        </w:rPr>
        <w:t>3.4.外周血管测量和计算。</w:t>
      </w:r>
    </w:p>
    <w:p w14:paraId="4FE1E88F">
      <w:pPr>
        <w:rPr>
          <w:rFonts w:hint="eastAsia" w:ascii="宋体" w:hAnsi="宋体" w:cs="宋体"/>
          <w:color w:val="auto"/>
          <w:sz w:val="24"/>
          <w:highlight w:val="none"/>
        </w:rPr>
      </w:pPr>
      <w:r>
        <w:rPr>
          <w:rFonts w:hint="eastAsia" w:ascii="宋体" w:hAnsi="宋体" w:cs="宋体"/>
          <w:color w:val="auto"/>
          <w:sz w:val="24"/>
          <w:highlight w:val="none"/>
        </w:rPr>
        <w:t>3.5.心脏功能测量和计算。</w:t>
      </w:r>
    </w:p>
    <w:p w14:paraId="1D5B1C35">
      <w:pPr>
        <w:rPr>
          <w:rFonts w:hint="eastAsia" w:ascii="宋体" w:hAnsi="宋体" w:cs="宋体"/>
          <w:color w:val="auto"/>
          <w:sz w:val="24"/>
          <w:highlight w:val="none"/>
        </w:rPr>
      </w:pPr>
      <w:r>
        <w:rPr>
          <w:rFonts w:hint="eastAsia" w:ascii="宋体" w:hAnsi="宋体" w:cs="宋体"/>
          <w:color w:val="auto"/>
          <w:sz w:val="24"/>
          <w:highlight w:val="none"/>
        </w:rPr>
        <w:t>3.6.泌尿科测量和计算。</w:t>
      </w:r>
    </w:p>
    <w:p w14:paraId="25DD1AEA">
      <w:pPr>
        <w:rPr>
          <w:rFonts w:hint="eastAsia" w:ascii="宋体" w:hAnsi="宋体" w:cs="宋体"/>
          <w:color w:val="auto"/>
          <w:sz w:val="24"/>
          <w:highlight w:val="none"/>
        </w:rPr>
      </w:pPr>
      <w:r>
        <w:rPr>
          <w:rFonts w:hint="eastAsia" w:ascii="宋体" w:hAnsi="宋体" w:cs="宋体"/>
          <w:color w:val="auto"/>
          <w:sz w:val="24"/>
          <w:highlight w:val="none"/>
        </w:rPr>
        <w:t>4.图像存储、(电影)回放重现及病案管理单元</w:t>
      </w:r>
    </w:p>
    <w:p w14:paraId="414B8C6B">
      <w:pPr>
        <w:rPr>
          <w:rFonts w:hint="eastAsia" w:ascii="宋体" w:hAnsi="宋体" w:cs="宋体"/>
          <w:color w:val="auto"/>
          <w:sz w:val="24"/>
          <w:highlight w:val="none"/>
        </w:rPr>
      </w:pPr>
      <w:bookmarkStart w:id="23" w:name="OLE_LINK20"/>
      <w:bookmarkStart w:id="24" w:name="OLE_LINK21"/>
      <w:r>
        <w:rPr>
          <w:rFonts w:hint="eastAsia" w:ascii="宋体" w:hAnsi="宋体" w:cs="宋体"/>
          <w:color w:val="auto"/>
          <w:sz w:val="24"/>
          <w:highlight w:val="none"/>
        </w:rPr>
        <w:t>4.1.</w:t>
      </w:r>
      <w:bookmarkEnd w:id="23"/>
      <w:bookmarkEnd w:id="24"/>
      <w:r>
        <w:rPr>
          <w:rFonts w:hint="eastAsia" w:ascii="宋体" w:hAnsi="宋体" w:cs="宋体"/>
          <w:color w:val="auto"/>
          <w:sz w:val="24"/>
          <w:highlight w:val="none"/>
        </w:rPr>
        <w:t>硬盘容量≥960GB。</w:t>
      </w:r>
    </w:p>
    <w:p w14:paraId="388E79C1">
      <w:pPr>
        <w:rPr>
          <w:rFonts w:hint="eastAsia" w:ascii="宋体" w:hAnsi="宋体" w:cs="宋体"/>
          <w:color w:val="auto"/>
          <w:sz w:val="24"/>
          <w:highlight w:val="none"/>
        </w:rPr>
      </w:pPr>
      <w:r>
        <w:rPr>
          <w:rFonts w:hint="eastAsia" w:ascii="宋体" w:hAnsi="宋体" w:cs="宋体"/>
          <w:color w:val="auto"/>
          <w:sz w:val="24"/>
          <w:highlight w:val="none"/>
        </w:rPr>
        <w:t>4.2.USB接口</w:t>
      </w:r>
      <w:bookmarkStart w:id="25" w:name="OLE_LINK36"/>
      <w:bookmarkStart w:id="26" w:name="OLE_LINK37"/>
      <w:r>
        <w:rPr>
          <w:rFonts w:hint="eastAsia" w:ascii="宋体" w:hAnsi="宋体" w:cs="宋体"/>
          <w:color w:val="auto"/>
          <w:sz w:val="24"/>
          <w:highlight w:val="none"/>
        </w:rPr>
        <w:t>≥</w:t>
      </w:r>
      <w:bookmarkEnd w:id="25"/>
      <w:bookmarkEnd w:id="26"/>
      <w:r>
        <w:rPr>
          <w:rFonts w:hint="eastAsia" w:ascii="宋体" w:hAnsi="宋体" w:cs="宋体"/>
          <w:color w:val="auto"/>
          <w:sz w:val="24"/>
          <w:highlight w:val="none"/>
        </w:rPr>
        <w:t>8个，其中触摸屏上≥2个</w:t>
      </w:r>
      <w:bookmarkStart w:id="27" w:name="OLE_LINK39"/>
      <w:bookmarkStart w:id="28" w:name="OLE_LINK38"/>
      <w:bookmarkStart w:id="29" w:name="OLE_LINK40"/>
      <w:r>
        <w:rPr>
          <w:rFonts w:hint="eastAsia" w:ascii="宋体" w:hAnsi="宋体" w:cs="宋体"/>
          <w:color w:val="auto"/>
          <w:sz w:val="24"/>
          <w:highlight w:val="none"/>
        </w:rPr>
        <w:t>。</w:t>
      </w:r>
      <w:bookmarkEnd w:id="27"/>
      <w:bookmarkEnd w:id="28"/>
      <w:bookmarkEnd w:id="29"/>
    </w:p>
    <w:p w14:paraId="1F771C95">
      <w:pPr>
        <w:rPr>
          <w:rFonts w:hint="eastAsia" w:ascii="宋体" w:hAnsi="宋体" w:cs="宋体"/>
          <w:color w:val="auto"/>
          <w:sz w:val="24"/>
          <w:highlight w:val="none"/>
        </w:rPr>
      </w:pPr>
      <w:r>
        <w:rPr>
          <w:rFonts w:hint="eastAsia" w:ascii="宋体" w:hAnsi="宋体" w:cs="宋体"/>
          <w:color w:val="auto"/>
          <w:sz w:val="24"/>
          <w:highlight w:val="none"/>
        </w:rPr>
        <w:t>5.输入/输出信号。</w:t>
      </w:r>
    </w:p>
    <w:p w14:paraId="05203647">
      <w:pPr>
        <w:rPr>
          <w:rFonts w:hint="eastAsia" w:ascii="宋体" w:hAnsi="宋体" w:cs="宋体"/>
          <w:color w:val="auto"/>
          <w:sz w:val="24"/>
          <w:highlight w:val="none"/>
        </w:rPr>
      </w:pPr>
      <w:bookmarkStart w:id="30" w:name="OLE_LINK22"/>
      <w:bookmarkStart w:id="31" w:name="OLE_LINK23"/>
      <w:r>
        <w:rPr>
          <w:rFonts w:hint="eastAsia" w:ascii="宋体" w:hAnsi="宋体" w:cs="宋体"/>
          <w:color w:val="auto"/>
          <w:sz w:val="24"/>
          <w:highlight w:val="none"/>
        </w:rPr>
        <w:t>5.1.</w:t>
      </w:r>
      <w:bookmarkEnd w:id="30"/>
      <w:bookmarkEnd w:id="31"/>
      <w:r>
        <w:rPr>
          <w:rFonts w:hint="eastAsia" w:ascii="宋体" w:hAnsi="宋体" w:cs="宋体"/>
          <w:color w:val="auto"/>
          <w:sz w:val="24"/>
          <w:highlight w:val="none"/>
        </w:rPr>
        <w:t>输入：USB。</w:t>
      </w:r>
    </w:p>
    <w:p w14:paraId="5D58F353">
      <w:pPr>
        <w:rPr>
          <w:rFonts w:hint="eastAsia" w:ascii="宋体" w:hAnsi="宋体" w:cs="宋体"/>
          <w:color w:val="auto"/>
          <w:sz w:val="24"/>
          <w:highlight w:val="none"/>
        </w:rPr>
      </w:pPr>
      <w:r>
        <w:rPr>
          <w:rFonts w:hint="eastAsia" w:ascii="宋体" w:hAnsi="宋体" w:cs="宋体"/>
          <w:color w:val="auto"/>
          <w:sz w:val="24"/>
          <w:highlight w:val="none"/>
        </w:rPr>
        <w:t>5.2.输出：高清、USB输出。</w:t>
      </w:r>
    </w:p>
    <w:p w14:paraId="65A40D12">
      <w:pPr>
        <w:rPr>
          <w:rFonts w:hint="eastAsia" w:ascii="宋体" w:hAnsi="宋体" w:cs="宋体"/>
          <w:color w:val="auto"/>
          <w:sz w:val="24"/>
          <w:highlight w:val="none"/>
        </w:rPr>
      </w:pPr>
      <w:r>
        <w:rPr>
          <w:rFonts w:hint="eastAsia" w:ascii="宋体" w:hAnsi="宋体" w:cs="宋体"/>
          <w:color w:val="auto"/>
          <w:sz w:val="24"/>
          <w:highlight w:val="none"/>
        </w:rPr>
        <w:t>6.连通性：医学数字图像和通信DICOM 3.0版接口部件。</w:t>
      </w:r>
    </w:p>
    <w:p w14:paraId="5EEC5EEB">
      <w:pPr>
        <w:rPr>
          <w:rFonts w:hint="eastAsia" w:ascii="宋体" w:hAnsi="宋体" w:cs="宋体"/>
          <w:color w:val="auto"/>
          <w:sz w:val="24"/>
          <w:highlight w:val="none"/>
        </w:rPr>
      </w:pPr>
      <w:r>
        <w:rPr>
          <w:rFonts w:hint="eastAsia" w:ascii="宋体" w:hAnsi="宋体" w:cs="宋体"/>
          <w:color w:val="auto"/>
          <w:sz w:val="24"/>
          <w:highlight w:val="none"/>
        </w:rPr>
        <w:t>7.系统通用功能</w:t>
      </w:r>
    </w:p>
    <w:p w14:paraId="36A30B8F">
      <w:pPr>
        <w:rPr>
          <w:rFonts w:hint="eastAsia" w:ascii="宋体" w:hAnsi="宋体" w:cs="宋体"/>
          <w:color w:val="auto"/>
          <w:sz w:val="24"/>
          <w:highlight w:val="none"/>
        </w:rPr>
      </w:pPr>
      <w:r>
        <w:rPr>
          <w:rFonts w:hint="eastAsia" w:ascii="宋体" w:hAnsi="宋体" w:cs="宋体"/>
          <w:color w:val="auto"/>
          <w:sz w:val="24"/>
          <w:highlight w:val="none"/>
        </w:rPr>
        <w:t>★7.1.探头接口选择≥4个，全部激活相互通用。</w:t>
      </w:r>
    </w:p>
    <w:p w14:paraId="4B07969A">
      <w:pPr>
        <w:rPr>
          <w:rFonts w:hint="eastAsia" w:ascii="宋体" w:hAnsi="宋体" w:cs="宋体"/>
          <w:color w:val="auto"/>
          <w:sz w:val="24"/>
          <w:highlight w:val="none"/>
        </w:rPr>
      </w:pPr>
      <w:r>
        <w:rPr>
          <w:rFonts w:hint="eastAsia" w:ascii="宋体" w:hAnsi="宋体" w:cs="宋体"/>
          <w:color w:val="auto"/>
          <w:sz w:val="24"/>
          <w:highlight w:val="none"/>
        </w:rPr>
        <w:t>8.探头规格</w:t>
      </w:r>
    </w:p>
    <w:p w14:paraId="0759E4D1">
      <w:pPr>
        <w:rPr>
          <w:rFonts w:hint="eastAsia" w:ascii="宋体" w:hAnsi="宋体" w:cs="宋体"/>
          <w:color w:val="auto"/>
          <w:sz w:val="24"/>
          <w:highlight w:val="none"/>
        </w:rPr>
      </w:pPr>
      <w:bookmarkStart w:id="32" w:name="OLE_LINK29"/>
      <w:bookmarkStart w:id="33" w:name="OLE_LINK28"/>
      <w:r>
        <w:rPr>
          <w:rFonts w:hint="eastAsia" w:ascii="宋体" w:hAnsi="宋体" w:cs="宋体"/>
          <w:color w:val="auto"/>
          <w:sz w:val="24"/>
          <w:highlight w:val="none"/>
        </w:rPr>
        <w:t>8.1.</w:t>
      </w:r>
      <w:bookmarkEnd w:id="32"/>
      <w:bookmarkEnd w:id="33"/>
      <w:r>
        <w:rPr>
          <w:rFonts w:hint="eastAsia" w:ascii="宋体" w:hAnsi="宋体" w:cs="宋体"/>
          <w:color w:val="auto"/>
          <w:sz w:val="24"/>
          <w:highlight w:val="none"/>
        </w:rPr>
        <w:t>频率：无针式宽频、多频可变频成像探头，最高频率≥21MHz，从1MHz 到21MHz。</w:t>
      </w:r>
    </w:p>
    <w:p w14:paraId="66777ECF">
      <w:pPr>
        <w:rPr>
          <w:rFonts w:hint="eastAsia" w:ascii="宋体" w:hAnsi="宋体" w:cs="宋体"/>
          <w:color w:val="auto"/>
          <w:sz w:val="24"/>
          <w:highlight w:val="none"/>
        </w:rPr>
      </w:pPr>
      <w:r>
        <w:rPr>
          <w:rFonts w:hint="eastAsia" w:ascii="宋体" w:hAnsi="宋体" w:cs="宋体"/>
          <w:color w:val="auto"/>
          <w:sz w:val="24"/>
          <w:highlight w:val="none"/>
        </w:rPr>
        <w:t>8.2.变频探头基波中心频率可选择≥3种，多普勒可选不同频率。</w:t>
      </w:r>
    </w:p>
    <w:p w14:paraId="09F6BE57">
      <w:pPr>
        <w:rPr>
          <w:rFonts w:hint="eastAsia" w:ascii="宋体" w:hAnsi="宋体" w:cs="宋体"/>
          <w:color w:val="auto"/>
          <w:sz w:val="24"/>
          <w:highlight w:val="none"/>
        </w:rPr>
      </w:pPr>
      <w:r>
        <w:rPr>
          <w:rFonts w:hint="eastAsia" w:ascii="宋体" w:hAnsi="宋体" w:cs="宋体"/>
          <w:color w:val="auto"/>
          <w:sz w:val="24"/>
          <w:highlight w:val="none"/>
        </w:rPr>
        <w:t>★8.3.标配腹部凸阵探头有效最大探测深度≥40cm。</w:t>
      </w:r>
    </w:p>
    <w:p w14:paraId="7DF8B558">
      <w:pPr>
        <w:rPr>
          <w:rFonts w:hint="eastAsia" w:ascii="宋体" w:hAnsi="宋体" w:cs="宋体"/>
          <w:color w:val="auto"/>
          <w:sz w:val="24"/>
          <w:highlight w:val="none"/>
        </w:rPr>
      </w:pPr>
      <w:bookmarkStart w:id="34" w:name="OLE_LINK31"/>
      <w:bookmarkStart w:id="35" w:name="OLE_LINK30"/>
      <w:r>
        <w:rPr>
          <w:rFonts w:hint="eastAsia" w:ascii="宋体" w:hAnsi="宋体" w:cs="宋体"/>
          <w:color w:val="auto"/>
          <w:sz w:val="24"/>
          <w:highlight w:val="none"/>
        </w:rPr>
        <w:t>8.4.</w:t>
      </w:r>
      <w:bookmarkEnd w:id="34"/>
      <w:bookmarkEnd w:id="35"/>
      <w:r>
        <w:rPr>
          <w:rFonts w:hint="eastAsia" w:ascii="宋体" w:hAnsi="宋体" w:cs="宋体"/>
          <w:color w:val="auto"/>
          <w:sz w:val="24"/>
          <w:highlight w:val="none"/>
        </w:rPr>
        <w:t>探头及探头频率：</w:t>
      </w:r>
    </w:p>
    <w:p w14:paraId="50E1827F">
      <w:pPr>
        <w:rPr>
          <w:rFonts w:hint="eastAsia" w:ascii="宋体" w:hAnsi="宋体" w:cs="宋体"/>
          <w:color w:val="auto"/>
          <w:sz w:val="24"/>
          <w:highlight w:val="none"/>
        </w:rPr>
      </w:pPr>
      <w:r>
        <w:rPr>
          <w:rFonts w:hint="eastAsia" w:ascii="宋体" w:hAnsi="宋体" w:cs="宋体"/>
          <w:color w:val="auto"/>
          <w:sz w:val="24"/>
          <w:highlight w:val="none"/>
        </w:rPr>
        <w:t>★8.4.1.配备探头≥4把。</w:t>
      </w:r>
    </w:p>
    <w:p w14:paraId="0554025C">
      <w:pPr>
        <w:rPr>
          <w:rFonts w:hint="eastAsia" w:ascii="宋体" w:hAnsi="宋体" w:cs="宋体"/>
          <w:color w:val="auto"/>
          <w:sz w:val="24"/>
          <w:highlight w:val="none"/>
        </w:rPr>
      </w:pPr>
      <w:r>
        <w:rPr>
          <w:rFonts w:hint="eastAsia" w:ascii="宋体" w:hAnsi="宋体" w:cs="宋体"/>
          <w:color w:val="auto"/>
          <w:sz w:val="24"/>
          <w:highlight w:val="none"/>
        </w:rPr>
        <w:t>8.4.2.单晶体腹部凸阵探头：1.0-5.5 MHz。</w:t>
      </w:r>
    </w:p>
    <w:p w14:paraId="162FC753">
      <w:pPr>
        <w:rPr>
          <w:rFonts w:hint="eastAsia" w:ascii="宋体" w:hAnsi="宋体" w:cs="宋体"/>
          <w:color w:val="auto"/>
          <w:sz w:val="24"/>
          <w:highlight w:val="none"/>
        </w:rPr>
      </w:pPr>
      <w:r>
        <w:rPr>
          <w:rFonts w:hint="eastAsia" w:ascii="宋体" w:hAnsi="宋体" w:cs="宋体"/>
          <w:color w:val="auto"/>
          <w:sz w:val="24"/>
          <w:highlight w:val="none"/>
        </w:rPr>
        <w:t>8.4.3.血管高频线阵探头：3.0-9.0MHz。</w:t>
      </w:r>
    </w:p>
    <w:p w14:paraId="2BAF4BEC">
      <w:pPr>
        <w:rPr>
          <w:rFonts w:hint="eastAsia" w:ascii="宋体" w:hAnsi="宋体" w:cs="宋体"/>
          <w:color w:val="auto"/>
          <w:sz w:val="24"/>
          <w:highlight w:val="none"/>
        </w:rPr>
      </w:pPr>
      <w:r>
        <w:rPr>
          <w:rFonts w:hint="eastAsia" w:ascii="宋体" w:hAnsi="宋体" w:cs="宋体"/>
          <w:color w:val="auto"/>
          <w:sz w:val="24"/>
          <w:highlight w:val="none"/>
        </w:rPr>
        <w:t>8.4.4.超高频线阵探头；5.0-18.0 MHz。</w:t>
      </w:r>
    </w:p>
    <w:p w14:paraId="3431F45B">
      <w:pPr>
        <w:rPr>
          <w:rFonts w:hint="eastAsia" w:ascii="宋体" w:hAnsi="宋体" w:cs="宋体"/>
          <w:color w:val="auto"/>
          <w:sz w:val="24"/>
          <w:highlight w:val="none"/>
        </w:rPr>
      </w:pPr>
      <w:r>
        <w:rPr>
          <w:rFonts w:hint="eastAsia" w:ascii="宋体" w:hAnsi="宋体" w:cs="宋体"/>
          <w:color w:val="auto"/>
          <w:sz w:val="24"/>
          <w:highlight w:val="none"/>
        </w:rPr>
        <w:t>8.4.5.单晶体相控阵探头：1.1-5.0MHz。</w:t>
      </w:r>
    </w:p>
    <w:p w14:paraId="5E7CC9DC">
      <w:pPr>
        <w:rPr>
          <w:rFonts w:hint="eastAsia" w:ascii="宋体" w:hAnsi="宋体" w:cs="宋体"/>
          <w:color w:val="auto"/>
          <w:sz w:val="24"/>
          <w:highlight w:val="none"/>
        </w:rPr>
      </w:pPr>
      <w:r>
        <w:rPr>
          <w:rFonts w:hint="eastAsia" w:ascii="宋体" w:hAnsi="宋体" w:cs="宋体"/>
          <w:color w:val="auto"/>
          <w:sz w:val="24"/>
          <w:highlight w:val="none"/>
        </w:rPr>
        <w:t>9.二维灰阶显像主要参数</w:t>
      </w:r>
    </w:p>
    <w:p w14:paraId="6D7C02CF">
      <w:pPr>
        <w:rPr>
          <w:rFonts w:hint="eastAsia" w:ascii="宋体" w:hAnsi="宋体" w:cs="宋体"/>
          <w:color w:val="auto"/>
          <w:sz w:val="24"/>
          <w:highlight w:val="none"/>
        </w:rPr>
      </w:pPr>
      <w:bookmarkStart w:id="36" w:name="OLE_LINK33"/>
      <w:bookmarkStart w:id="37" w:name="OLE_LINK32"/>
      <w:r>
        <w:rPr>
          <w:rFonts w:hint="eastAsia" w:ascii="宋体" w:hAnsi="宋体" w:cs="宋体"/>
          <w:color w:val="auto"/>
          <w:sz w:val="24"/>
          <w:highlight w:val="none"/>
        </w:rPr>
        <w:t>9.1.</w:t>
      </w:r>
      <w:bookmarkEnd w:id="36"/>
      <w:bookmarkEnd w:id="37"/>
      <w:r>
        <w:rPr>
          <w:rFonts w:hint="eastAsia" w:ascii="宋体" w:hAnsi="宋体" w:cs="宋体"/>
          <w:color w:val="auto"/>
          <w:sz w:val="24"/>
          <w:highlight w:val="none"/>
        </w:rPr>
        <w:t>扫描线：二维图像每帧图像线密度≥512。</w:t>
      </w:r>
    </w:p>
    <w:p w14:paraId="35E9ABD6">
      <w:pPr>
        <w:rPr>
          <w:rFonts w:hint="eastAsia" w:ascii="宋体" w:hAnsi="宋体" w:cs="宋体"/>
          <w:color w:val="auto"/>
          <w:sz w:val="24"/>
          <w:highlight w:val="none"/>
        </w:rPr>
      </w:pPr>
      <w:r>
        <w:rPr>
          <w:rFonts w:hint="eastAsia" w:ascii="宋体" w:hAnsi="宋体" w:cs="宋体"/>
          <w:color w:val="auto"/>
          <w:sz w:val="24"/>
          <w:highlight w:val="none"/>
        </w:rPr>
        <w:t>9.2.成像速率：凸阵探头，全视野，18cm深度时，在最高线密度下，帧速率≥30帧/秒；相控阵探头，扫描角度85°，18cm深度时，在最高线密度下，帧速率≥45帧/秒。</w:t>
      </w:r>
    </w:p>
    <w:p w14:paraId="5319C4EE">
      <w:pPr>
        <w:rPr>
          <w:rFonts w:hint="eastAsia" w:ascii="宋体" w:hAnsi="宋体" w:cs="宋体"/>
          <w:color w:val="auto"/>
          <w:sz w:val="24"/>
          <w:highlight w:val="none"/>
        </w:rPr>
      </w:pPr>
      <w:r>
        <w:rPr>
          <w:rFonts w:hint="eastAsia" w:ascii="宋体" w:hAnsi="宋体" w:cs="宋体"/>
          <w:color w:val="auto"/>
          <w:sz w:val="24"/>
          <w:highlight w:val="none"/>
        </w:rPr>
        <w:t>10.频谱多普勒</w:t>
      </w:r>
    </w:p>
    <w:p w14:paraId="476C088C">
      <w:pPr>
        <w:rPr>
          <w:rFonts w:hint="eastAsia" w:ascii="宋体" w:hAnsi="宋体" w:cs="宋体"/>
          <w:color w:val="auto"/>
          <w:sz w:val="24"/>
          <w:highlight w:val="none"/>
        </w:rPr>
      </w:pPr>
      <w:bookmarkStart w:id="38" w:name="OLE_LINK34"/>
      <w:bookmarkStart w:id="39" w:name="OLE_LINK35"/>
      <w:r>
        <w:rPr>
          <w:rFonts w:hint="eastAsia" w:ascii="宋体" w:hAnsi="宋体" w:cs="宋体"/>
          <w:color w:val="auto"/>
          <w:sz w:val="24"/>
          <w:highlight w:val="none"/>
        </w:rPr>
        <w:t>10.1.</w:t>
      </w:r>
      <w:bookmarkEnd w:id="38"/>
      <w:bookmarkEnd w:id="39"/>
      <w:r>
        <w:rPr>
          <w:rFonts w:hint="eastAsia" w:ascii="宋体" w:hAnsi="宋体" w:cs="宋体"/>
          <w:color w:val="auto"/>
          <w:sz w:val="24"/>
          <w:highlight w:val="none"/>
        </w:rPr>
        <w:t>显示模式：脉冲多普勒 PWD、连续多普勒 CWD和高脉冲重复频率 HPRF。</w:t>
      </w:r>
    </w:p>
    <w:p w14:paraId="10608302">
      <w:pPr>
        <w:rPr>
          <w:rFonts w:hint="eastAsia" w:ascii="宋体" w:hAnsi="宋体" w:cs="宋体"/>
          <w:color w:val="auto"/>
          <w:sz w:val="24"/>
          <w:highlight w:val="none"/>
        </w:rPr>
      </w:pPr>
      <w:r>
        <w:rPr>
          <w:rFonts w:hint="eastAsia" w:ascii="宋体" w:hAnsi="宋体" w:cs="宋体"/>
          <w:color w:val="auto"/>
          <w:sz w:val="24"/>
          <w:highlight w:val="none"/>
        </w:rPr>
        <w:t>10.2.频谱多普勒：可选中心频率≥2个。</w:t>
      </w:r>
    </w:p>
    <w:p w14:paraId="4830EE7C">
      <w:pPr>
        <w:rPr>
          <w:rFonts w:hint="eastAsia" w:ascii="宋体" w:hAnsi="宋体" w:cs="宋体"/>
          <w:color w:val="auto"/>
          <w:sz w:val="24"/>
          <w:highlight w:val="none"/>
        </w:rPr>
      </w:pPr>
      <w:r>
        <w:rPr>
          <w:rFonts w:hint="eastAsia" w:ascii="宋体" w:hAnsi="宋体" w:cs="宋体"/>
          <w:color w:val="auto"/>
          <w:sz w:val="24"/>
          <w:highlight w:val="none"/>
        </w:rPr>
        <w:t>★10.3.频谱多普勒取样容积：0.05cm- 3.0cm。</w:t>
      </w:r>
    </w:p>
    <w:p w14:paraId="180702E8">
      <w:pPr>
        <w:rPr>
          <w:rFonts w:hint="eastAsia" w:ascii="宋体" w:hAnsi="宋体" w:cs="宋体"/>
          <w:color w:val="auto"/>
          <w:sz w:val="24"/>
          <w:highlight w:val="none"/>
        </w:rPr>
      </w:pPr>
      <w:r>
        <w:rPr>
          <w:rFonts w:hint="eastAsia" w:ascii="宋体" w:hAnsi="宋体" w:cs="宋体"/>
          <w:color w:val="auto"/>
          <w:sz w:val="24"/>
          <w:highlight w:val="none"/>
        </w:rPr>
        <w:t>11.彩色多普勒</w:t>
      </w:r>
    </w:p>
    <w:p w14:paraId="0CC55546">
      <w:pPr>
        <w:rPr>
          <w:rFonts w:hint="eastAsia" w:ascii="宋体" w:hAnsi="宋体" w:cs="宋体"/>
          <w:color w:val="auto"/>
          <w:sz w:val="24"/>
          <w:highlight w:val="none"/>
        </w:rPr>
      </w:pPr>
      <w:r>
        <w:rPr>
          <w:rFonts w:hint="eastAsia" w:ascii="宋体" w:hAnsi="宋体" w:cs="宋体"/>
          <w:color w:val="auto"/>
          <w:sz w:val="24"/>
          <w:highlight w:val="none"/>
        </w:rPr>
        <w:t>11.1.扫描速度：凸阵探头，全视野，18cm深度时，在最高线密度下，帧速率≥10帧/秒；成人相控阵探头，扫描角度85°，18cm深度时，帧速率≥10帧/秒。</w:t>
      </w:r>
    </w:p>
    <w:p w14:paraId="64D2D626">
      <w:pPr>
        <w:rPr>
          <w:rFonts w:hint="eastAsia" w:ascii="宋体" w:hAnsi="宋体" w:cs="宋体"/>
          <w:color w:val="auto"/>
          <w:sz w:val="24"/>
          <w:highlight w:val="none"/>
        </w:rPr>
      </w:pPr>
      <w:r>
        <w:rPr>
          <w:rFonts w:hint="eastAsia" w:ascii="宋体" w:hAnsi="宋体" w:cs="宋体"/>
          <w:color w:val="auto"/>
          <w:sz w:val="24"/>
          <w:highlight w:val="none"/>
        </w:rPr>
        <w:t>11.2.显示位置调整：线阵扫描感兴趣的图像范围：-30°～+30°。</w:t>
      </w:r>
    </w:p>
    <w:p w14:paraId="3F06F141">
      <w:pPr>
        <w:rPr>
          <w:rFonts w:hint="eastAsia" w:ascii="宋体" w:hAnsi="宋体" w:cs="宋体"/>
          <w:color w:val="auto"/>
          <w:sz w:val="24"/>
          <w:highlight w:val="none"/>
        </w:rPr>
      </w:pPr>
      <w:r>
        <w:rPr>
          <w:rFonts w:hint="eastAsia" w:ascii="宋体" w:hAnsi="宋体" w:cs="宋体"/>
          <w:color w:val="auto"/>
          <w:sz w:val="24"/>
          <w:highlight w:val="none"/>
        </w:rPr>
        <w:t xml:space="preserve">12.配备图文工作站1套（包括电脑、激光打印机及配套软件，具体需求根据临床需要），并须与医院网络互联互通，费用包含在投标总价中。 </w:t>
      </w:r>
    </w:p>
    <w:p w14:paraId="2EA4A654">
      <w:pPr>
        <w:rPr>
          <w:rFonts w:hint="eastAsia" w:ascii="宋体" w:hAnsi="宋体" w:cs="宋体"/>
          <w:color w:val="auto"/>
          <w:sz w:val="24"/>
          <w:highlight w:val="none"/>
        </w:rPr>
      </w:pPr>
    </w:p>
    <w:p w14:paraId="702BE6BD">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b/>
          <w:color w:val="auto"/>
          <w:sz w:val="24"/>
          <w:szCs w:val="18"/>
          <w:highlight w:val="none"/>
        </w:rPr>
        <w:t>三、</w:t>
      </w:r>
      <w:r>
        <w:rPr>
          <w:rFonts w:hint="eastAsia" w:ascii="宋体" w:hAnsi="宋体" w:cs="宋体"/>
          <w:b/>
          <w:bCs/>
          <w:color w:val="auto"/>
          <w:sz w:val="24"/>
          <w:highlight w:val="none"/>
        </w:rPr>
        <w:t>其它要求：</w:t>
      </w:r>
    </w:p>
    <w:p w14:paraId="5604BA6E">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（一）备品备件及专用工具</w:t>
      </w:r>
    </w:p>
    <w:p w14:paraId="5BE1A5D8">
      <w:pPr>
        <w:adjustRightInd w:val="0"/>
        <w:snapToGrid w:val="0"/>
        <w:spacing w:line="360" w:lineRule="auto"/>
        <w:ind w:firstLine="480" w:firstLineChars="200"/>
        <w:rPr>
          <w:rFonts w:ascii="宋体" w:hAnsi="宋体" w:cs="宋体"/>
          <w:color w:val="auto"/>
          <w:sz w:val="24"/>
          <w:highlight w:val="none"/>
        </w:rPr>
      </w:pPr>
      <w:bookmarkStart w:id="40" w:name="_Toc455587093"/>
      <w:bookmarkStart w:id="41" w:name="_Toc455587277"/>
      <w:bookmarkStart w:id="42" w:name="_Toc445554752"/>
      <w:r>
        <w:rPr>
          <w:rFonts w:hint="eastAsia" w:ascii="宋体" w:hAnsi="宋体" w:cs="宋体"/>
          <w:color w:val="auto"/>
          <w:sz w:val="24"/>
          <w:highlight w:val="none"/>
        </w:rPr>
        <w:t>1、备品备件：中标人提供能够满足质量保证期内的设备维修要求的备品备件，备品备件应是新品。</w:t>
      </w:r>
    </w:p>
    <w:p w14:paraId="596554B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2、专用工具：中标人提供设备安装、调试、验收、维修、保养所必要的专用工具、仪器、仪表等工具。</w:t>
      </w:r>
    </w:p>
    <w:bookmarkEnd w:id="40"/>
    <w:bookmarkEnd w:id="41"/>
    <w:bookmarkEnd w:id="42"/>
    <w:p w14:paraId="2AC7B556">
      <w:pPr>
        <w:adjustRightInd w:val="0"/>
        <w:snapToGrid w:val="0"/>
        <w:spacing w:line="360" w:lineRule="auto"/>
        <w:ind w:firstLine="482" w:firstLineChars="200"/>
        <w:rPr>
          <w:rFonts w:ascii="宋体" w:hAnsi="宋体" w:cs="宋体"/>
          <w:b/>
          <w:bCs/>
          <w:color w:val="auto"/>
          <w:sz w:val="24"/>
          <w:highlight w:val="none"/>
        </w:rPr>
      </w:pPr>
      <w:bookmarkStart w:id="43" w:name="_Toc532199625"/>
      <w:bookmarkStart w:id="44" w:name="_Toc445554753"/>
      <w:bookmarkStart w:id="45" w:name="_Toc455587278"/>
      <w:bookmarkStart w:id="46" w:name="_Toc455587094"/>
      <w:r>
        <w:rPr>
          <w:rFonts w:hint="eastAsia" w:ascii="宋体" w:hAnsi="宋体" w:cs="宋体"/>
          <w:b/>
          <w:bCs/>
          <w:color w:val="auto"/>
          <w:sz w:val="24"/>
          <w:highlight w:val="none"/>
        </w:rPr>
        <w:t>（二）安装调试、验收试验及质量保证</w:t>
      </w:r>
      <w:bookmarkEnd w:id="43"/>
    </w:p>
    <w:p w14:paraId="6C6B8A1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1、中标人在设备安装地点负责安装、调试。</w:t>
      </w:r>
    </w:p>
    <w:p w14:paraId="2071B7D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2、具体设备验收标准和程序按采购人要求执行，下列验收程序可参照执行：</w:t>
      </w:r>
    </w:p>
    <w:p w14:paraId="58FAF1A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验收分为预验收和最终验收。</w:t>
      </w:r>
    </w:p>
    <w:p w14:paraId="1563427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5997D36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00C7B5C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中标人应根据采购人使用单位的技术要求提供相应的产品。由中标人所提供的设备部件间的连线和插接件均应视为设备内部器件，包含在相应的设备之中。</w:t>
      </w:r>
    </w:p>
    <w:p w14:paraId="0559268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 运行测试及最终验收。在系统安装、调试结束后，采购人对其进行全面的测试，对测试中暴露出来的问题，中标人应及时进行整改，系统最终测试完毕经验收合格后，采购人应向中标人签发最终验收证明。</w:t>
      </w:r>
    </w:p>
    <w:p w14:paraId="38023B6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6BA983F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3、如设备在验收时有一个或多个指标未能达到要求而属于中标人责任时，则中标人自费采取有效措施，在规定时间内使之达到保证指标。如在规定的时间内仍达不到合格标准时，则中标人应向采购人赔偿。</w:t>
      </w:r>
    </w:p>
    <w:bookmarkEnd w:id="44"/>
    <w:bookmarkEnd w:id="45"/>
    <w:bookmarkEnd w:id="46"/>
    <w:p w14:paraId="14D2A218">
      <w:pPr>
        <w:adjustRightInd w:val="0"/>
        <w:snapToGrid w:val="0"/>
        <w:spacing w:line="360" w:lineRule="auto"/>
        <w:ind w:firstLine="482" w:firstLineChars="200"/>
        <w:rPr>
          <w:rFonts w:ascii="宋体" w:hAnsi="宋体" w:cs="宋体"/>
          <w:b/>
          <w:bCs/>
          <w:color w:val="auto"/>
          <w:sz w:val="24"/>
          <w:highlight w:val="none"/>
        </w:rPr>
      </w:pPr>
      <w:bookmarkStart w:id="47" w:name="_Toc532199626"/>
      <w:r>
        <w:rPr>
          <w:rFonts w:hint="eastAsia" w:ascii="宋体" w:hAnsi="宋体" w:cs="宋体"/>
          <w:b/>
          <w:bCs/>
          <w:color w:val="auto"/>
          <w:sz w:val="24"/>
          <w:highlight w:val="none"/>
        </w:rPr>
        <w:t>（三）包装运输</w:t>
      </w:r>
      <w:bookmarkEnd w:id="47"/>
    </w:p>
    <w:p w14:paraId="56614CF3">
      <w:pPr>
        <w:adjustRightInd w:val="0"/>
        <w:snapToGrid w:val="0"/>
        <w:spacing w:line="360" w:lineRule="auto"/>
        <w:ind w:firstLine="480" w:firstLineChars="200"/>
        <w:rPr>
          <w:rFonts w:ascii="宋体" w:hAnsi="宋体" w:cs="宋体"/>
          <w:color w:val="auto"/>
          <w:sz w:val="24"/>
          <w:highlight w:val="none"/>
        </w:rPr>
      </w:pPr>
      <w:bookmarkStart w:id="48" w:name="_Toc455587095"/>
      <w:bookmarkStart w:id="49" w:name="_Toc445554754"/>
      <w:bookmarkStart w:id="50" w:name="_Toc455587279"/>
      <w:r>
        <w:rPr>
          <w:rFonts w:hint="eastAsia" w:ascii="宋体" w:hAnsi="宋体" w:cs="宋体"/>
          <w:color w:val="auto"/>
          <w:sz w:val="24"/>
          <w:highlight w:val="none"/>
        </w:rPr>
        <w:t>1、中标人负责设备包装、办理运输和保险，将设备安全运抵交货地点。</w:t>
      </w:r>
    </w:p>
    <w:p w14:paraId="4447955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2、设备制造完成并通过试验后应及时包装，否则应得到切实的保护，确保其不受污损。</w:t>
      </w:r>
    </w:p>
    <w:p w14:paraId="72FF5AE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3、在包装箱外应标明采购人的订货号、发货号。</w:t>
      </w:r>
    </w:p>
    <w:p w14:paraId="27A0BF7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4、各种包装应能确保各零部件在运输过程中不致遭到损坏、丢失、变形、受潮和腐蚀。</w:t>
      </w:r>
    </w:p>
    <w:p w14:paraId="5985671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5、包装箱上应有明显的包装储运图示标志。</w:t>
      </w:r>
    </w:p>
    <w:p w14:paraId="77C7B0B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6、整体产品或分别运输的部件都要适应运输和装载的要求。</w:t>
      </w:r>
    </w:p>
    <w:p w14:paraId="314D53C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7、随产品提供的技术资料应完整无缺。</w:t>
      </w:r>
    </w:p>
    <w:p w14:paraId="360AA839">
      <w:pPr>
        <w:adjustRightInd w:val="0"/>
        <w:snapToGrid w:val="0"/>
        <w:spacing w:line="360" w:lineRule="auto"/>
        <w:ind w:firstLine="482" w:firstLineChars="200"/>
        <w:rPr>
          <w:rFonts w:ascii="宋体" w:hAnsi="宋体" w:cs="宋体"/>
          <w:b/>
          <w:bCs/>
          <w:color w:val="auto"/>
          <w:sz w:val="24"/>
          <w:highlight w:val="none"/>
        </w:rPr>
      </w:pPr>
      <w:bookmarkStart w:id="51" w:name="_Toc532199627"/>
      <w:r>
        <w:rPr>
          <w:rFonts w:hint="eastAsia" w:ascii="宋体" w:hAnsi="宋体" w:cs="宋体"/>
          <w:b/>
          <w:bCs/>
          <w:color w:val="auto"/>
          <w:sz w:val="24"/>
          <w:highlight w:val="none"/>
        </w:rPr>
        <w:t>（四）技术培训</w:t>
      </w:r>
      <w:bookmarkEnd w:id="48"/>
      <w:bookmarkEnd w:id="49"/>
      <w:bookmarkEnd w:id="50"/>
      <w:bookmarkEnd w:id="51"/>
    </w:p>
    <w:p w14:paraId="6D161A1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1、为使合同设备能正常安装和运行，由中标人提供相应的技术培训，并免收采购人培训费用。培训内容应与工程进度相一致。</w:t>
      </w:r>
    </w:p>
    <w:p w14:paraId="67BE29E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2、培训的时间、人数、地点等具体内容由买卖双方商定，内容至少包括：设备原理、使用、维护、运行操作、常见故障处理等。</w:t>
      </w:r>
    </w:p>
    <w:p w14:paraId="741B625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3、采购清单里有特别规定的，以采购清单中的需求为准。</w:t>
      </w:r>
    </w:p>
    <w:p w14:paraId="364C26D6">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（五）质保及售后服务</w:t>
      </w:r>
    </w:p>
    <w:p w14:paraId="1D0F9B9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1、自双方签订《验收报告》起进入免费质保期。</w:t>
      </w:r>
    </w:p>
    <w:p w14:paraId="3101653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p w14:paraId="0A376F1A">
      <w:pPr>
        <w:adjustRightInd w:val="0"/>
        <w:snapToGrid w:val="0"/>
        <w:spacing w:line="360" w:lineRule="auto"/>
        <w:ind w:firstLine="480" w:firstLineChars="200"/>
        <w:rPr>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、质保期内，中标人（供应商）免费提供硬件保修服务和软件升级服务。普通国产设备，</w:t>
      </w:r>
      <w:r>
        <w:rPr>
          <w:rFonts w:hint="eastAsia" w:ascii="宋体" w:hAnsi="宋体" w:cs="宋体"/>
          <w:color w:val="auto"/>
          <w:sz w:val="24"/>
          <w:highlight w:val="none"/>
        </w:rPr>
        <w:t>质保期限</w:t>
      </w:r>
      <w:r>
        <w:rPr>
          <w:rFonts w:ascii="宋体" w:hAnsi="宋体" w:cs="宋体"/>
          <w:color w:val="auto"/>
          <w:sz w:val="24"/>
          <w:highlight w:val="none"/>
        </w:rPr>
        <w:t>内，原生产厂提供全机免费保修。</w:t>
      </w:r>
    </w:p>
    <w:p w14:paraId="06F73888">
      <w:pPr>
        <w:pStyle w:val="4"/>
        <w:rPr>
          <w:color w:val="auto"/>
          <w:highlight w:val="none"/>
        </w:rPr>
      </w:pPr>
    </w:p>
    <w:p w14:paraId="1C82E96C">
      <w:r>
        <w:rPr>
          <w:rFonts w:hint="eastAsia" w:ascii="宋体" w:hAnsi="宋体" w:cs="宋体"/>
          <w:color w:val="auto"/>
          <w:kern w:val="2"/>
          <w:sz w:val="24"/>
          <w:szCs w:val="24"/>
          <w:highlight w:val="none"/>
        </w:rPr>
        <w:t>注：本章中标注“▲”的产品为核心产品；标注★参数为重要技术</w:t>
      </w:r>
      <w:r>
        <w:rPr>
          <w:rFonts w:hint="eastAsia" w:ascii="宋体" w:hAnsi="宋体" w:cs="宋体"/>
          <w:color w:val="auto"/>
          <w:kern w:val="2"/>
          <w:sz w:val="24"/>
          <w:szCs w:val="24"/>
          <w:highlight w:val="none"/>
          <w:lang w:eastAsia="zh-Hans"/>
        </w:rPr>
        <w:t>参数</w:t>
      </w:r>
      <w:r>
        <w:rPr>
          <w:rFonts w:hint="eastAsia" w:ascii="宋体" w:hAnsi="宋体" w:cs="宋体"/>
          <w:color w:val="auto"/>
          <w:kern w:val="2"/>
          <w:sz w:val="24"/>
          <w:szCs w:val="24"/>
          <w:highlight w:val="none"/>
        </w:rPr>
        <w:t>评分项；本采购需求中的“三）、其它要求”不作为技术参数，不作为“技术参数或要求的响应性（40分）”的评分因素。</w:t>
      </w:r>
      <w:bookmarkStart w:id="52" w:name="_GoBack"/>
      <w:bookmarkEnd w:id="52"/>
      <w:r>
        <w:rPr>
          <w:rFonts w:hint="eastAsia" w:ascii="宋体" w:hAnsi="宋体" w:cs="宋体"/>
          <w:color w:val="auto"/>
          <w:sz w:val="21"/>
          <w:szCs w:val="21"/>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0C7BC"/>
    <w:multiLevelType w:val="singleLevel"/>
    <w:tmpl w:val="E030C7BC"/>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B5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annotation text"/>
    <w:basedOn w:val="1"/>
    <w:semiHidden/>
    <w:uiPriority w:val="0"/>
    <w:pPr>
      <w:jc w:val="left"/>
    </w:p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8">
    <w:name w:val="D&amp;L"/>
    <w:basedOn w:val="5"/>
    <w:qFormat/>
    <w:uiPriority w:val="0"/>
    <w:pPr>
      <w:widowControl w:val="0"/>
      <w:pBdr>
        <w:bottom w:val="none" w:color="auto" w:sz="0" w:space="0"/>
      </w:pBdr>
      <w:snapToGrid/>
      <w:jc w:val="center"/>
    </w:pPr>
    <w:rPr>
      <w:rFonts w:ascii="宋体" w:hAnsi="宋体" w:cs="@仿宋_GB2312"/>
      <w:bCs/>
      <w:kern w:val="2"/>
      <w:sz w:val="24"/>
      <w:szCs w:val="20"/>
    </w:rPr>
  </w:style>
  <w:style w:type="paragraph" w:customStyle="1" w:styleId="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10">
    <w:name w:val="List Paragraph1"/>
    <w:basedOn w:val="1"/>
    <w:qFormat/>
    <w:uiPriority w:val="0"/>
    <w:pPr>
      <w:spacing w:before="0" w:after="0" w:line="240" w:lineRule="auto"/>
      <w:ind w:firstLine="420" w:firstLineChars="200"/>
    </w:pPr>
    <w:rPr>
      <w:rFonts w:ascii="Calibri" w:hAnsi="Calibri" w:eastAsia="宋体" w:cs="Times New Roman"/>
    </w:rPr>
  </w:style>
  <w:style w:type="paragraph" w:customStyle="1" w:styleId="11">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2025-07-03T09:50:22Z</dcterms:created>
  <dc:creator>ASUS</dc:creator>
  <cp:lastModifiedBy>Archer</cp:lastModifiedBy>
  <dcterms:modified xsi:type="dcterms:W3CDTF">2025-07-03T09:51:12Z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eyJoZGlkIjoiZWNmMjU1NjA1NjQyZGRkYjMyMGNiYjkxZjFkYmMxMTMiLCJ1c2VySWQiOiI1MzU4NDk1ODUifQ==</vt:lpwstr>
  </property>
  <property fmtid="{D5CDD505-2E9C-101B-9397-08002B2CF9AE}" pid="4" name="ICV">
    <vt:lpwstr>2DBFBA7D58854BE2A5B1603C179FC654_12</vt:lpwstr>
  </property>
</Properties>
</file>