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BFDB9">
      <w:pPr>
        <w:pStyle w:val="2"/>
        <w:widowControl/>
        <w:snapToGrid w:val="0"/>
        <w:spacing w:before="0" w:after="0" w:line="360" w:lineRule="auto"/>
        <w:jc w:val="center"/>
        <w:rPr>
          <w:rFonts w:hint="eastAsia" w:ascii="宋体" w:hAnsi="宋体" w:eastAsia="仿宋"/>
          <w:color w:val="000000"/>
          <w:highlight w:val="none"/>
        </w:rPr>
      </w:pPr>
      <w:bookmarkStart w:id="0" w:name="_Toc28978"/>
      <w:bookmarkStart w:id="1" w:name="_Toc445554746"/>
      <w:bookmarkStart w:id="2" w:name="_Toc466024555"/>
      <w:r>
        <w:rPr>
          <w:rFonts w:hint="eastAsia" w:ascii="宋体" w:hAnsi="宋体" w:eastAsia="仿宋"/>
          <w:color w:val="000000"/>
          <w:highlight w:val="none"/>
        </w:rPr>
        <w:t>采购需求</w:t>
      </w:r>
      <w:bookmarkEnd w:id="0"/>
      <w:bookmarkEnd w:id="1"/>
      <w:bookmarkEnd w:id="2"/>
    </w:p>
    <w:p w14:paraId="4EACC562">
      <w:pPr>
        <w:pStyle w:val="3"/>
        <w:rPr>
          <w:rStyle w:val="8"/>
          <w:rFonts w:ascii="宋体" w:hAnsi="宋体" w:eastAsia="仿宋"/>
          <w:b/>
          <w:bCs/>
          <w:color w:val="000000"/>
          <w:sz w:val="24"/>
          <w:szCs w:val="24"/>
          <w:highlight w:val="none"/>
        </w:rPr>
      </w:pPr>
      <w:bookmarkStart w:id="3" w:name="_Toc455587273"/>
      <w:bookmarkStart w:id="4" w:name="_Toc466024556"/>
      <w:bookmarkStart w:id="5" w:name="_Toc455587089"/>
      <w:bookmarkStart w:id="6" w:name="_Toc445554747"/>
      <w:r>
        <w:rPr>
          <w:rStyle w:val="8"/>
          <w:rFonts w:hint="eastAsia" w:ascii="宋体" w:hAnsi="宋体" w:eastAsia="仿宋"/>
          <w:b/>
          <w:bCs/>
          <w:color w:val="000000"/>
          <w:sz w:val="24"/>
          <w:szCs w:val="24"/>
          <w:highlight w:val="none"/>
        </w:rPr>
        <w:t xml:space="preserve">1. </w:t>
      </w:r>
      <w:bookmarkEnd w:id="3"/>
      <w:bookmarkEnd w:id="4"/>
      <w:bookmarkEnd w:id="5"/>
      <w:r>
        <w:rPr>
          <w:rStyle w:val="8"/>
          <w:rFonts w:hint="eastAsia" w:ascii="宋体" w:hAnsi="宋体" w:eastAsia="仿宋"/>
          <w:b/>
          <w:bCs/>
          <w:color w:val="000000"/>
          <w:sz w:val="24"/>
          <w:szCs w:val="24"/>
          <w:highlight w:val="none"/>
        </w:rPr>
        <w:t>总体说明</w:t>
      </w:r>
      <w:bookmarkStart w:id="13" w:name="_GoBack"/>
      <w:bookmarkEnd w:id="13"/>
    </w:p>
    <w:p w14:paraId="73647D62">
      <w:pPr>
        <w:widowControl/>
        <w:tabs>
          <w:tab w:val="left" w:pos="1406"/>
        </w:tabs>
        <w:snapToGrid w:val="0"/>
        <w:spacing w:line="360" w:lineRule="auto"/>
        <w:ind w:firstLine="480" w:firstLineChars="200"/>
        <w:rPr>
          <w:rFonts w:hint="eastAsia" w:ascii="宋体" w:hAnsi="宋体" w:eastAsia="仿宋"/>
          <w:color w:val="000000"/>
          <w:sz w:val="24"/>
          <w:highlight w:val="none"/>
        </w:rPr>
      </w:pPr>
      <w:r>
        <w:rPr>
          <w:rFonts w:hint="eastAsia" w:ascii="宋体" w:hAnsi="宋体" w:eastAsia="仿宋"/>
          <w:color w:val="000000"/>
          <w:sz w:val="24"/>
          <w:highlight w:val="none"/>
        </w:rPr>
        <w:t>1.1 本章所提出的技术要求是对本次采购的基本要求，并未涉及所有技术细节，也未充分引述有关标准、规范的全部条款。供应商应保证除了满足本技术要求外，还应符合中国国家、行业、地方或</w:t>
      </w:r>
      <w:r>
        <w:rPr>
          <w:rFonts w:hint="eastAsia" w:ascii="仿宋" w:hAnsi="仿宋" w:eastAsia="仿宋" w:cs="仿宋"/>
          <w:color w:val="000000"/>
          <w:sz w:val="24"/>
          <w:highlight w:val="none"/>
        </w:rPr>
        <w:t>服务提供商</w:t>
      </w:r>
      <w:r>
        <w:rPr>
          <w:rFonts w:hint="eastAsia" w:ascii="宋体" w:hAnsi="宋体" w:eastAsia="仿宋"/>
          <w:color w:val="000000"/>
          <w:sz w:val="24"/>
          <w:highlight w:val="none"/>
        </w:rPr>
        <w:t>所在国的有关强制性标准、规范。当上述标准、规范的有关规定之间存在差异时，应以要求高的为准。</w:t>
      </w:r>
    </w:p>
    <w:p w14:paraId="743B3DC0">
      <w:pPr>
        <w:widowControl/>
        <w:tabs>
          <w:tab w:val="left" w:pos="1406"/>
        </w:tabs>
        <w:snapToGrid w:val="0"/>
        <w:spacing w:line="360" w:lineRule="auto"/>
        <w:ind w:firstLine="480" w:firstLineChars="200"/>
        <w:rPr>
          <w:rFonts w:hint="eastAsia" w:ascii="宋体" w:hAnsi="宋体" w:eastAsia="仿宋"/>
          <w:color w:val="000000"/>
          <w:sz w:val="24"/>
          <w:highlight w:val="none"/>
        </w:rPr>
      </w:pPr>
      <w:r>
        <w:rPr>
          <w:rFonts w:hint="eastAsia" w:ascii="宋体" w:hAnsi="宋体" w:eastAsia="仿宋"/>
          <w:color w:val="000000"/>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3EE5E6A9">
      <w:pPr>
        <w:widowControl/>
        <w:tabs>
          <w:tab w:val="left" w:pos="1406"/>
        </w:tabs>
        <w:snapToGrid w:val="0"/>
        <w:spacing w:line="360" w:lineRule="auto"/>
        <w:ind w:firstLine="480" w:firstLineChars="200"/>
        <w:rPr>
          <w:rFonts w:ascii="宋体" w:hAnsi="宋体" w:eastAsia="仿宋"/>
          <w:color w:val="000000"/>
          <w:sz w:val="24"/>
          <w:highlight w:val="none"/>
        </w:rPr>
      </w:pPr>
      <w:r>
        <w:rPr>
          <w:rFonts w:hint="eastAsia" w:ascii="宋体" w:hAnsi="宋体" w:eastAsia="仿宋"/>
          <w:color w:val="000000"/>
          <w:sz w:val="24"/>
          <w:highlight w:val="none"/>
        </w:rPr>
        <w:t>1.3 对于标注“※”条款（如有）的规定见第二章供应商须知前附表第6.2.3项；实质性变动的内容，须经采购人代表确认。</w:t>
      </w:r>
    </w:p>
    <w:p w14:paraId="0BA03BF7">
      <w:pPr>
        <w:pStyle w:val="3"/>
        <w:rPr>
          <w:rFonts w:hint="eastAsia" w:ascii="仿宋" w:hAnsi="仿宋" w:eastAsia="仿宋" w:cs="仿宋"/>
          <w:color w:val="000000"/>
          <w:sz w:val="24"/>
          <w:szCs w:val="24"/>
          <w:highlight w:val="none"/>
        </w:rPr>
      </w:pPr>
      <w:r>
        <w:rPr>
          <w:rFonts w:hint="eastAsia" w:ascii="宋体" w:hAnsi="宋体" w:eastAsia="仿宋"/>
          <w:color w:val="000000"/>
          <w:sz w:val="24"/>
          <w:highlight w:val="none"/>
        </w:rPr>
        <w:t>2.</w:t>
      </w:r>
      <w:r>
        <w:rPr>
          <w:rFonts w:ascii="宋体" w:hAnsi="宋体" w:eastAsia="仿宋"/>
          <w:color w:val="000000"/>
          <w:sz w:val="24"/>
          <w:highlight w:val="none"/>
        </w:rPr>
        <w:t xml:space="preserve"> </w:t>
      </w:r>
      <w:r>
        <w:rPr>
          <w:rFonts w:hint="eastAsia" w:ascii="仿宋" w:hAnsi="仿宋" w:eastAsia="仿宋" w:cs="仿宋"/>
          <w:color w:val="000000"/>
          <w:sz w:val="24"/>
          <w:szCs w:val="24"/>
          <w:highlight w:val="none"/>
        </w:rPr>
        <w:t>项目概况及总体要求</w:t>
      </w:r>
    </w:p>
    <w:p w14:paraId="26071F75">
      <w:pPr>
        <w:spacing w:before="120" w:after="120" w:line="360" w:lineRule="auto"/>
        <w:ind w:firstLine="482" w:firstLineChars="200"/>
        <w:textAlignment w:val="baseline"/>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 项目概况</w:t>
      </w:r>
    </w:p>
    <w:p w14:paraId="794D586E">
      <w:pPr>
        <w:widowControl/>
        <w:tabs>
          <w:tab w:val="left" w:pos="1406"/>
        </w:tabs>
        <w:snapToGrid w:val="0"/>
        <w:spacing w:line="360" w:lineRule="auto"/>
        <w:ind w:firstLine="480" w:firstLineChars="200"/>
        <w:rPr>
          <w:rFonts w:hint="eastAsia" w:ascii="宋体" w:hAnsi="宋体" w:eastAsia="仿宋"/>
          <w:color w:val="000000"/>
          <w:sz w:val="24"/>
          <w:highlight w:val="none"/>
          <w:lang w:eastAsia="zh-CN"/>
        </w:rPr>
      </w:pPr>
      <w:r>
        <w:rPr>
          <w:rFonts w:hint="eastAsia" w:ascii="宋体" w:hAnsi="宋体" w:eastAsia="仿宋"/>
          <w:color w:val="000000"/>
          <w:sz w:val="24"/>
          <w:highlight w:val="none"/>
          <w:lang w:eastAsia="zh-CN"/>
        </w:rPr>
        <w:t>安徽省公共卫生临床中心（安徽省传染病医院）明德楼医疗专项机电改造工程</w:t>
      </w:r>
    </w:p>
    <w:p w14:paraId="73C74285">
      <w:pPr>
        <w:spacing w:before="120" w:after="120" w:line="360" w:lineRule="auto"/>
        <w:ind w:firstLine="482" w:firstLineChars="200"/>
        <w:textAlignment w:val="baseline"/>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 施工范围</w:t>
      </w:r>
    </w:p>
    <w:p w14:paraId="38442E45">
      <w:pPr>
        <w:spacing w:before="120" w:after="120" w:line="360" w:lineRule="auto"/>
        <w:ind w:firstLine="480" w:firstLineChars="200"/>
        <w:textAlignment w:val="baseline"/>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工程内容涉及对原有部分配电箱的扩容改造、新增配电箱的施工以及对医疗专项区域内消防工程的施工完善，同时要求以上施工内容能与明德楼原有相关系统保持兼容及协调联动。</w:t>
      </w:r>
    </w:p>
    <w:p w14:paraId="1EF4D36B">
      <w:pPr>
        <w:pStyle w:val="9"/>
        <w:ind w:firstLine="482"/>
        <w:rPr>
          <w:rFonts w:ascii="宋体" w:hAnsi="宋体" w:eastAsia="仿宋"/>
          <w:color w:val="000000"/>
          <w:sz w:val="24"/>
          <w:highlight w:val="none"/>
        </w:rPr>
      </w:pPr>
      <w:r>
        <w:rPr>
          <w:rFonts w:hint="eastAsia" w:ascii="仿宋" w:hAnsi="仿宋" w:eastAsia="仿宋" w:cs="仿宋"/>
          <w:b/>
          <w:bCs/>
          <w:color w:val="000000"/>
          <w:sz w:val="24"/>
          <w:highlight w:val="none"/>
        </w:rPr>
        <w:t>2.3 采购包（标段）划分</w:t>
      </w:r>
    </w:p>
    <w:p w14:paraId="6AD0FA80">
      <w:pPr>
        <w:spacing w:before="120" w:after="120" w:line="360" w:lineRule="auto"/>
        <w:ind w:firstLine="480" w:firstLineChars="200"/>
        <w:textAlignment w:val="baseline"/>
        <w:rPr>
          <w:rFonts w:hint="eastAsia" w:ascii="宋体" w:hAnsi="宋体" w:eastAsia="仿宋"/>
          <w:color w:val="000000"/>
          <w:sz w:val="24"/>
          <w:highlight w:val="none"/>
        </w:rPr>
      </w:pPr>
      <w:r>
        <w:rPr>
          <w:rFonts w:hint="eastAsia" w:ascii="宋体" w:hAnsi="宋体" w:eastAsia="仿宋"/>
          <w:color w:val="000000"/>
          <w:sz w:val="24"/>
          <w:highlight w:val="none"/>
        </w:rPr>
        <w:t>1个包</w:t>
      </w:r>
    </w:p>
    <w:p w14:paraId="598F7AC0">
      <w:pPr>
        <w:pStyle w:val="9"/>
        <w:ind w:firstLine="482"/>
        <w:rPr>
          <w:rFonts w:ascii="宋体" w:hAnsi="宋体" w:eastAsia="仿宋"/>
          <w:color w:val="000000"/>
          <w:sz w:val="24"/>
          <w:highlight w:val="none"/>
        </w:rPr>
      </w:pPr>
      <w:r>
        <w:rPr>
          <w:rFonts w:hint="eastAsia" w:ascii="仿宋" w:hAnsi="仿宋" w:eastAsia="仿宋" w:cs="仿宋"/>
          <w:b/>
          <w:bCs/>
          <w:color w:val="000000"/>
          <w:sz w:val="24"/>
          <w:highlight w:val="none"/>
        </w:rPr>
        <w:t>2.4 其他要求</w:t>
      </w:r>
    </w:p>
    <w:p w14:paraId="3994622B">
      <w:pPr>
        <w:spacing w:before="120" w:after="120" w:line="360" w:lineRule="auto"/>
        <w:ind w:firstLine="480" w:firstLineChars="200"/>
        <w:textAlignment w:val="baseline"/>
        <w:rPr>
          <w:rFonts w:hint="eastAsia" w:ascii="宋体" w:hAnsi="宋体" w:eastAsia="仿宋"/>
          <w:color w:val="000000"/>
          <w:sz w:val="24"/>
          <w:highlight w:val="none"/>
        </w:rPr>
      </w:pPr>
      <w:r>
        <w:rPr>
          <w:rFonts w:hint="eastAsia" w:ascii="宋体" w:hAnsi="宋体" w:eastAsia="仿宋"/>
          <w:color w:val="000000"/>
          <w:sz w:val="24"/>
          <w:highlight w:val="none"/>
        </w:rPr>
        <w:t>详见图纸、工程量清单及清单补遗。</w:t>
      </w:r>
    </w:p>
    <w:p w14:paraId="69172353">
      <w:pPr>
        <w:spacing w:before="120" w:after="120" w:line="360" w:lineRule="auto"/>
        <w:ind w:firstLine="482" w:firstLineChars="200"/>
        <w:textAlignment w:val="baseline"/>
        <w:rPr>
          <w:rStyle w:val="8"/>
          <w:rFonts w:hint="eastAsia" w:ascii="宋体" w:hAnsi="宋体" w:eastAsia="仿宋"/>
          <w:color w:val="000000"/>
          <w:sz w:val="24"/>
          <w:szCs w:val="24"/>
          <w:highlight w:val="none"/>
        </w:rPr>
      </w:pPr>
      <w:r>
        <w:rPr>
          <w:rStyle w:val="8"/>
          <w:rFonts w:hint="eastAsia" w:ascii="宋体" w:hAnsi="宋体" w:eastAsia="仿宋"/>
          <w:color w:val="000000"/>
          <w:sz w:val="24"/>
          <w:szCs w:val="24"/>
          <w:highlight w:val="none"/>
        </w:rPr>
        <w:t>3. 商务要求</w:t>
      </w:r>
    </w:p>
    <w:p w14:paraId="0018DAFF">
      <w:pPr>
        <w:rPr>
          <w:rFonts w:hint="eastAsia" w:ascii="仿宋" w:hAnsi="仿宋" w:eastAsia="仿宋" w:cs="仿宋"/>
          <w:b/>
          <w:bCs/>
          <w:color w:val="000000"/>
          <w:sz w:val="24"/>
          <w:szCs w:val="32"/>
          <w:highlight w:val="none"/>
        </w:rPr>
      </w:pPr>
      <w:r>
        <w:rPr>
          <w:rStyle w:val="8"/>
          <w:rFonts w:hint="eastAsia" w:ascii="宋体" w:hAnsi="宋体" w:eastAsia="仿宋"/>
          <w:color w:val="000000"/>
          <w:sz w:val="24"/>
          <w:szCs w:val="24"/>
          <w:highlight w:val="none"/>
        </w:rPr>
        <w:t>除非有特别说明，本条为实质性要求。</w:t>
      </w:r>
    </w:p>
    <w:tbl>
      <w:tblPr>
        <w:tblStyle w:val="6"/>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8025"/>
      </w:tblGrid>
      <w:tr w14:paraId="7FE6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top"/>
          </w:tcPr>
          <w:p w14:paraId="15C93BAB">
            <w:pPr>
              <w:widowControl/>
              <w:jc w:val="left"/>
              <w:rPr>
                <w:rFonts w:hint="eastAsia" w:ascii="宋体" w:hAnsi="宋体" w:eastAsia="仿宋"/>
                <w:color w:val="000000"/>
                <w:sz w:val="24"/>
                <w:highlight w:val="none"/>
              </w:rPr>
            </w:pPr>
            <w:r>
              <w:rPr>
                <w:rFonts w:hint="eastAsia" w:ascii="宋体" w:hAnsi="宋体" w:eastAsia="仿宋"/>
                <w:color w:val="000000"/>
                <w:sz w:val="24"/>
                <w:highlight w:val="none"/>
              </w:rPr>
              <w:t>合同履行期限（工期）</w:t>
            </w:r>
          </w:p>
        </w:tc>
        <w:tc>
          <w:tcPr>
            <w:tcW w:w="8025" w:type="dxa"/>
            <w:noWrap w:val="0"/>
            <w:vAlign w:val="top"/>
          </w:tcPr>
          <w:p w14:paraId="629AE734">
            <w:pPr>
              <w:widowControl/>
              <w:adjustRightInd w:val="0"/>
              <w:snapToGrid w:val="0"/>
              <w:spacing w:line="288" w:lineRule="auto"/>
              <w:rPr>
                <w:rFonts w:hint="eastAsia" w:ascii="宋体" w:hAnsi="宋体" w:eastAsia="仿宋" w:cs="Calibri"/>
                <w:color w:val="000000"/>
                <w:sz w:val="24"/>
                <w:highlight w:val="none"/>
              </w:rPr>
            </w:pPr>
            <w:r>
              <w:rPr>
                <w:rFonts w:hint="eastAsia" w:ascii="宋体" w:hAnsi="宋体" w:eastAsia="仿宋" w:cs="Calibri"/>
                <w:color w:val="000000"/>
                <w:sz w:val="24"/>
                <w:highlight w:val="none"/>
              </w:rPr>
              <w:t>自进场开工之日起60日历天内完成合同规定内容</w:t>
            </w:r>
          </w:p>
          <w:p w14:paraId="2ADF84B9">
            <w:pPr>
              <w:widowControl/>
              <w:adjustRightInd w:val="0"/>
              <w:snapToGrid w:val="0"/>
              <w:spacing w:line="288" w:lineRule="auto"/>
              <w:rPr>
                <w:rFonts w:hint="eastAsia" w:ascii="楷体" w:hAnsi="楷体" w:eastAsia="仿宋" w:cs="Calibri"/>
                <w:color w:val="000000"/>
                <w:sz w:val="24"/>
                <w:highlight w:val="none"/>
              </w:rPr>
            </w:pPr>
            <w:r>
              <w:rPr>
                <w:rFonts w:hint="eastAsia" w:ascii="宋体" w:hAnsi="宋体" w:eastAsia="仿宋" w:cs="Calibri"/>
                <w:color w:val="000000"/>
                <w:sz w:val="24"/>
                <w:highlight w:val="none"/>
              </w:rPr>
              <w:t>是否接受负偏离：</w:t>
            </w:r>
            <w:r>
              <w:rPr>
                <w:rFonts w:hint="eastAsia" w:ascii="楷体" w:hAnsi="楷体" w:eastAsia="仿宋" w:cs="Calibri"/>
                <w:color w:val="000000"/>
                <w:sz w:val="24"/>
                <w:highlight w:val="none"/>
              </w:rPr>
              <w:t>☑不接受</w:t>
            </w:r>
          </w:p>
          <w:p w14:paraId="4F0F8FDB">
            <w:pPr>
              <w:pStyle w:val="9"/>
              <w:ind w:firstLine="480"/>
              <w:rPr>
                <w:rFonts w:hint="eastAsia" w:ascii="楷体" w:hAnsi="楷体" w:eastAsia="仿宋" w:cs="Calibri"/>
                <w:color w:val="000000"/>
                <w:sz w:val="24"/>
                <w:highlight w:val="none"/>
              </w:rPr>
            </w:pPr>
            <w:r>
              <w:rPr>
                <w:rFonts w:hint="eastAsia" w:ascii="楷体" w:hAnsi="楷体" w:eastAsia="仿宋" w:cs="Calibri"/>
                <w:color w:val="000000"/>
                <w:sz w:val="24"/>
                <w:highlight w:val="none"/>
              </w:rPr>
              <w:t xml:space="preserve">            □接受：</w:t>
            </w:r>
          </w:p>
          <w:p w14:paraId="22E56123">
            <w:pPr>
              <w:pStyle w:val="9"/>
              <w:ind w:firstLine="2160" w:firstLineChars="900"/>
              <w:rPr>
                <w:rFonts w:hint="eastAsia" w:ascii="宋体" w:hAnsi="宋体" w:eastAsia="仿宋"/>
                <w:color w:val="000000"/>
                <w:sz w:val="24"/>
                <w:highlight w:val="none"/>
              </w:rPr>
            </w:pPr>
            <w:r>
              <w:rPr>
                <w:rFonts w:hint="eastAsia" w:ascii="楷体" w:hAnsi="楷体" w:eastAsia="仿宋" w:cs="Calibri"/>
                <w:color w:val="000000"/>
                <w:sz w:val="24"/>
                <w:highlight w:val="none"/>
              </w:rPr>
              <w:t>允许偏离的幅度：/</w:t>
            </w:r>
          </w:p>
        </w:tc>
      </w:tr>
      <w:tr w14:paraId="48EF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top"/>
          </w:tcPr>
          <w:p w14:paraId="7C500C67">
            <w:pPr>
              <w:widowControl/>
              <w:jc w:val="left"/>
              <w:rPr>
                <w:rFonts w:ascii="宋体" w:hAnsi="宋体" w:eastAsia="仿宋"/>
                <w:color w:val="000000"/>
                <w:sz w:val="24"/>
                <w:highlight w:val="none"/>
              </w:rPr>
            </w:pPr>
            <w:r>
              <w:rPr>
                <w:rFonts w:hint="eastAsia" w:ascii="宋体" w:hAnsi="宋体" w:eastAsia="仿宋"/>
                <w:color w:val="000000"/>
                <w:sz w:val="24"/>
                <w:highlight w:val="none"/>
              </w:rPr>
              <w:t>工程地点</w:t>
            </w:r>
          </w:p>
        </w:tc>
        <w:tc>
          <w:tcPr>
            <w:tcW w:w="8025" w:type="dxa"/>
            <w:noWrap w:val="0"/>
            <w:vAlign w:val="top"/>
          </w:tcPr>
          <w:p w14:paraId="76B37067">
            <w:pPr>
              <w:pStyle w:val="9"/>
              <w:ind w:firstLine="0" w:firstLineChars="0"/>
              <w:rPr>
                <w:rFonts w:hint="eastAsia" w:ascii="宋体" w:hAnsi="宋体" w:eastAsia="仿宋"/>
                <w:color w:val="000000"/>
                <w:sz w:val="24"/>
                <w:highlight w:val="none"/>
              </w:rPr>
            </w:pPr>
            <w:r>
              <w:rPr>
                <w:rFonts w:hint="eastAsia" w:ascii="仿宋" w:hAnsi="仿宋" w:eastAsia="仿宋" w:cs="仿宋"/>
                <w:iCs/>
                <w:color w:val="000000"/>
                <w:sz w:val="24"/>
                <w:highlight w:val="none"/>
              </w:rPr>
              <w:t>安徽省合肥市淮海大道100号，安徽省公共卫生临床中心</w:t>
            </w:r>
          </w:p>
        </w:tc>
      </w:tr>
      <w:tr w14:paraId="4459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top"/>
          </w:tcPr>
          <w:p w14:paraId="2F652C4F">
            <w:pPr>
              <w:pStyle w:val="9"/>
              <w:ind w:firstLine="0" w:firstLineChars="0"/>
              <w:rPr>
                <w:rFonts w:ascii="宋体" w:hAnsi="宋体" w:eastAsia="仿宋"/>
                <w:color w:val="000000"/>
                <w:sz w:val="24"/>
                <w:highlight w:val="none"/>
              </w:rPr>
            </w:pPr>
            <w:r>
              <w:rPr>
                <w:rFonts w:hint="eastAsia" w:ascii="宋体" w:hAnsi="宋体" w:eastAsia="仿宋"/>
                <w:color w:val="000000"/>
                <w:sz w:val="24"/>
                <w:highlight w:val="none"/>
              </w:rPr>
              <w:t>付款方式</w:t>
            </w:r>
          </w:p>
        </w:tc>
        <w:tc>
          <w:tcPr>
            <w:tcW w:w="8025" w:type="dxa"/>
            <w:noWrap w:val="0"/>
            <w:vAlign w:val="top"/>
          </w:tcPr>
          <w:p w14:paraId="335B044E">
            <w:pPr>
              <w:widowControl/>
              <w:adjustRightInd w:val="0"/>
              <w:snapToGrid w:val="0"/>
              <w:spacing w:line="288" w:lineRule="auto"/>
              <w:jc w:val="left"/>
              <w:rPr>
                <w:rFonts w:hint="eastAsia" w:ascii="宋体" w:hAnsi="宋体" w:eastAsia="仿宋" w:cs="Calibri"/>
                <w:color w:val="000000"/>
                <w:sz w:val="24"/>
                <w:highlight w:val="none"/>
              </w:rPr>
            </w:pPr>
            <w:r>
              <w:rPr>
                <w:rFonts w:hint="eastAsia" w:ascii="宋体" w:hAnsi="宋体" w:eastAsia="仿宋" w:cs="Calibri"/>
                <w:b/>
                <w:bCs/>
                <w:color w:val="000000"/>
                <w:sz w:val="24"/>
                <w:highlight w:val="none"/>
              </w:rPr>
              <w:t>预付款支付方式：</w:t>
            </w:r>
          </w:p>
          <w:p w14:paraId="4E705F56">
            <w:pPr>
              <w:adjustRightInd w:val="0"/>
              <w:spacing w:line="360" w:lineRule="auto"/>
              <w:ind w:firstLine="480" w:firstLineChars="200"/>
              <w:jc w:val="left"/>
              <w:rPr>
                <w:rFonts w:hint="eastAsia" w:ascii="Times New Roman" w:hAnsi="Times New Roman" w:eastAsia="仿宋"/>
                <w:color w:val="000000"/>
                <w:sz w:val="24"/>
                <w:highlight w:val="none"/>
              </w:rPr>
            </w:pPr>
            <w:r>
              <w:rPr>
                <w:rFonts w:hint="eastAsia" w:ascii="Times New Roman" w:hAnsi="Times New Roman" w:eastAsia="仿宋"/>
                <w:color w:val="000000"/>
                <w:sz w:val="24"/>
                <w:highlight w:val="none"/>
              </w:rPr>
              <w:t>本工程预付款比例：合同总价的50%。发包人支付预付款7天前承包人提供不可撤销的预付款保函（形式为电子保函或纸质保函（纸质银行保函、纸质担保机构担保、纸质保证保险）），保函在项目验收前不得撤销。</w:t>
            </w:r>
          </w:p>
          <w:p w14:paraId="78DE3113">
            <w:pPr>
              <w:adjustRightInd w:val="0"/>
              <w:spacing w:line="360" w:lineRule="auto"/>
              <w:ind w:firstLine="480" w:firstLineChars="200"/>
              <w:jc w:val="left"/>
              <w:rPr>
                <w:rFonts w:hint="eastAsia" w:ascii="Times New Roman" w:hAnsi="Times New Roman" w:eastAsia="仿宋"/>
                <w:bCs/>
                <w:color w:val="000000"/>
                <w:sz w:val="24"/>
                <w:highlight w:val="none"/>
              </w:rPr>
            </w:pPr>
            <w:r>
              <w:rPr>
                <w:rFonts w:hint="eastAsia" w:ascii="Times New Roman" w:hAnsi="Times New Roman" w:eastAsia="仿宋"/>
                <w:color w:val="000000"/>
                <w:sz w:val="24"/>
                <w:highlight w:val="none"/>
              </w:rPr>
              <w:t>扣回时间及方式：第二个月工程进度款开始扣回预付款，抵扣完成前不再另行支付工程进度款。</w:t>
            </w:r>
          </w:p>
          <w:p w14:paraId="0486C6C9">
            <w:pPr>
              <w:adjustRightInd w:val="0"/>
              <w:spacing w:line="360" w:lineRule="auto"/>
              <w:jc w:val="left"/>
              <w:rPr>
                <w:rFonts w:ascii="Times New Roman" w:hAnsi="Times New Roman" w:eastAsia="仿宋"/>
                <w:color w:val="000000"/>
                <w:sz w:val="24"/>
                <w:highlight w:val="none"/>
              </w:rPr>
            </w:pPr>
            <w:r>
              <w:rPr>
                <w:rFonts w:ascii="Times New Roman" w:hAnsi="Times New Roman" w:eastAsia="仿宋"/>
                <w:b/>
                <w:bCs/>
                <w:color w:val="000000"/>
                <w:sz w:val="24"/>
                <w:highlight w:val="none"/>
              </w:rPr>
              <w:t>预付款担保</w:t>
            </w:r>
          </w:p>
          <w:p w14:paraId="614BCF71">
            <w:pPr>
              <w:adjustRightInd w:val="0"/>
              <w:spacing w:line="360" w:lineRule="auto"/>
              <w:ind w:firstLine="480" w:firstLineChars="200"/>
              <w:jc w:val="left"/>
              <w:rPr>
                <w:rFonts w:hint="eastAsia" w:ascii="Times New Roman" w:hAnsi="Times New Roman" w:eastAsia="仿宋"/>
                <w:color w:val="000000"/>
                <w:sz w:val="24"/>
                <w:highlight w:val="none"/>
              </w:rPr>
            </w:pPr>
            <w:r>
              <w:rPr>
                <w:rFonts w:hint="eastAsia" w:ascii="Times New Roman" w:hAnsi="Times New Roman" w:eastAsia="仿宋"/>
                <w:color w:val="000000"/>
                <w:sz w:val="24"/>
                <w:highlight w:val="none"/>
              </w:rPr>
              <w:t>承包人提交预付款担保的期限：发包人支付预付款7天前。</w:t>
            </w:r>
          </w:p>
          <w:p w14:paraId="0C1D78A8">
            <w:pPr>
              <w:adjustRightInd w:val="0"/>
              <w:spacing w:line="360" w:lineRule="auto"/>
              <w:ind w:firstLine="480" w:firstLineChars="200"/>
              <w:jc w:val="left"/>
              <w:rPr>
                <w:rFonts w:hint="eastAsia" w:ascii="宋体" w:hAnsi="宋体" w:eastAsia="仿宋" w:cs="Calibri"/>
                <w:color w:val="000000"/>
                <w:sz w:val="24"/>
                <w:highlight w:val="none"/>
              </w:rPr>
            </w:pPr>
            <w:r>
              <w:rPr>
                <w:rFonts w:hint="eastAsia" w:ascii="Times New Roman" w:hAnsi="Times New Roman" w:eastAsia="仿宋"/>
                <w:color w:val="000000"/>
                <w:sz w:val="24"/>
                <w:highlight w:val="none"/>
              </w:rPr>
              <w:t>预付款担保的形式为：电子保函、纸质保函（纸质银行保函、纸质担保机构担保、纸质保证保险）。</w:t>
            </w:r>
          </w:p>
          <w:p w14:paraId="18E27839">
            <w:pPr>
              <w:widowControl/>
              <w:adjustRightInd w:val="0"/>
              <w:snapToGrid w:val="0"/>
              <w:spacing w:line="288" w:lineRule="auto"/>
              <w:jc w:val="left"/>
              <w:rPr>
                <w:rFonts w:hint="eastAsia" w:ascii="宋体" w:hAnsi="宋体" w:cs="宋体"/>
                <w:color w:val="000000"/>
                <w:sz w:val="24"/>
                <w:highlight w:val="none"/>
              </w:rPr>
            </w:pPr>
            <w:r>
              <w:rPr>
                <w:rFonts w:ascii="Times New Roman" w:hAnsi="Times New Roman" w:eastAsia="仿宋"/>
                <w:b/>
                <w:bCs/>
                <w:color w:val="000000"/>
                <w:sz w:val="24"/>
                <w:highlight w:val="none"/>
              </w:rPr>
              <w:t>付款周期</w:t>
            </w:r>
          </w:p>
          <w:p w14:paraId="1E0FCB8E">
            <w:pPr>
              <w:adjustRightInd w:val="0"/>
              <w:spacing w:line="360" w:lineRule="auto"/>
              <w:ind w:firstLine="480" w:firstLineChars="200"/>
              <w:jc w:val="left"/>
              <w:rPr>
                <w:rFonts w:hint="eastAsia" w:ascii="Times New Roman" w:hAnsi="Times New Roman" w:eastAsia="仿宋"/>
                <w:color w:val="000000"/>
                <w:sz w:val="24"/>
                <w:highlight w:val="none"/>
              </w:rPr>
            </w:pPr>
            <w:r>
              <w:rPr>
                <w:rFonts w:hint="eastAsia" w:ascii="Times New Roman" w:hAnsi="Times New Roman" w:eastAsia="仿宋"/>
                <w:color w:val="000000"/>
                <w:sz w:val="24"/>
                <w:highlight w:val="none"/>
              </w:rPr>
              <w:t>工程款按月支付，每月发包人经审核承包人所报工程量后支付合格工程量应付价款的85%；预付款部分按扣回条款相应扣回；付至合同总价的85％时停止支付；工程变更部分在竣工结算审核批准后支付；工程竣工验收并经竣工结算审核结束后30日内，发包人支付到工程竣工结算总价的97%；余款3%作为工程质量保证金，在自工程竣工验收合格之日起24个月后30日内如承包人无工程质量问题则由发包人向承包人一次性支付。</w:t>
            </w:r>
          </w:p>
          <w:p w14:paraId="6AF7E211">
            <w:pPr>
              <w:adjustRightInd w:val="0"/>
              <w:spacing w:line="360" w:lineRule="auto"/>
              <w:ind w:firstLine="480" w:firstLineChars="200"/>
              <w:jc w:val="left"/>
              <w:rPr>
                <w:color w:val="000000"/>
                <w:highlight w:val="none"/>
              </w:rPr>
            </w:pPr>
            <w:r>
              <w:rPr>
                <w:rFonts w:hint="eastAsia" w:ascii="Times New Roman" w:hAnsi="Times New Roman" w:eastAsia="仿宋"/>
                <w:color w:val="000000"/>
                <w:sz w:val="24"/>
                <w:highlight w:val="none"/>
              </w:rPr>
              <w:t>发包人支付工程款（进度款），均通过银行转账方式。付款前，承包人应向发包人开具同等金额有效的建安工程发票，否则，发包人不予付款。</w:t>
            </w:r>
          </w:p>
          <w:p w14:paraId="3D598DE3">
            <w:pPr>
              <w:widowControl/>
              <w:adjustRightInd w:val="0"/>
              <w:snapToGrid w:val="0"/>
              <w:spacing w:line="288" w:lineRule="auto"/>
              <w:rPr>
                <w:rFonts w:hint="eastAsia" w:ascii="楷体" w:hAnsi="楷体" w:eastAsia="仿宋" w:cs="Calibri"/>
                <w:color w:val="000000"/>
                <w:sz w:val="24"/>
                <w:highlight w:val="none"/>
              </w:rPr>
            </w:pPr>
            <w:r>
              <w:rPr>
                <w:rFonts w:hint="eastAsia" w:ascii="宋体" w:hAnsi="宋体" w:eastAsia="仿宋" w:cs="Calibri"/>
                <w:color w:val="000000"/>
                <w:sz w:val="24"/>
                <w:highlight w:val="none"/>
              </w:rPr>
              <w:t>是否接受负偏离：</w:t>
            </w:r>
            <w:r>
              <w:rPr>
                <w:rFonts w:hint="eastAsia" w:ascii="楷体" w:hAnsi="楷体" w:eastAsia="仿宋" w:cs="Calibri"/>
                <w:color w:val="000000"/>
                <w:sz w:val="24"/>
                <w:highlight w:val="none"/>
              </w:rPr>
              <w:t>☑不接受</w:t>
            </w:r>
          </w:p>
          <w:p w14:paraId="6C981393">
            <w:pPr>
              <w:widowControl/>
              <w:adjustRightInd w:val="0"/>
              <w:snapToGrid w:val="0"/>
              <w:spacing w:line="288" w:lineRule="auto"/>
              <w:rPr>
                <w:rFonts w:hint="eastAsia" w:ascii="楷体" w:hAnsi="楷体" w:eastAsia="仿宋" w:cs="Calibri"/>
                <w:color w:val="000000"/>
                <w:sz w:val="24"/>
                <w:highlight w:val="none"/>
              </w:rPr>
            </w:pPr>
            <w:r>
              <w:rPr>
                <w:rFonts w:hint="eastAsia" w:ascii="楷体" w:hAnsi="楷体" w:eastAsia="仿宋" w:cs="Calibri"/>
                <w:color w:val="000000"/>
                <w:sz w:val="24"/>
                <w:highlight w:val="none"/>
              </w:rPr>
              <w:t xml:space="preserve">                □接受：</w:t>
            </w:r>
          </w:p>
          <w:p w14:paraId="4F6592A6">
            <w:pPr>
              <w:widowControl/>
              <w:adjustRightInd w:val="0"/>
              <w:snapToGrid w:val="0"/>
              <w:spacing w:line="288" w:lineRule="auto"/>
              <w:ind w:firstLine="1920" w:firstLineChars="800"/>
              <w:rPr>
                <w:rFonts w:hint="eastAsia" w:ascii="宋体" w:hAnsi="宋体" w:eastAsia="仿宋"/>
                <w:color w:val="000000"/>
                <w:sz w:val="24"/>
                <w:highlight w:val="none"/>
              </w:rPr>
            </w:pPr>
            <w:r>
              <w:rPr>
                <w:rFonts w:hint="eastAsia" w:ascii="楷体" w:hAnsi="楷体" w:eastAsia="仿宋" w:cs="Calibri"/>
                <w:color w:val="000000"/>
                <w:sz w:val="24"/>
                <w:highlight w:val="none"/>
              </w:rPr>
              <w:t>允许偏离的幅度：</w:t>
            </w:r>
            <w:r>
              <w:rPr>
                <w:rFonts w:hint="eastAsia" w:ascii="仿宋" w:hAnsi="仿宋" w:eastAsia="仿宋" w:cs="仿宋"/>
                <w:iCs/>
                <w:color w:val="000000"/>
                <w:sz w:val="24"/>
                <w:highlight w:val="none"/>
              </w:rPr>
              <w:t>/</w:t>
            </w:r>
          </w:p>
        </w:tc>
      </w:tr>
      <w:tr w14:paraId="66B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center"/>
          </w:tcPr>
          <w:p w14:paraId="4F805ACF">
            <w:pPr>
              <w:pStyle w:val="10"/>
              <w:widowControl w:val="0"/>
              <w:spacing w:before="0" w:beforeAutospacing="0" w:after="0" w:afterAutospacing="0"/>
              <w:rPr>
                <w:rFonts w:ascii="宋体" w:hAnsi="宋体" w:eastAsia="仿宋"/>
                <w:color w:val="000000"/>
                <w:sz w:val="24"/>
                <w:highlight w:val="none"/>
              </w:rPr>
            </w:pPr>
            <w:r>
              <w:rPr>
                <w:rFonts w:hint="eastAsia" w:ascii="宋体" w:hAnsi="宋体" w:eastAsia="仿宋" w:cs="Calibri"/>
                <w:b w:val="0"/>
                <w:bCs w:val="0"/>
                <w:color w:val="000000"/>
                <w:kern w:val="2"/>
                <w:sz w:val="24"/>
                <w:szCs w:val="24"/>
                <w:highlight w:val="none"/>
              </w:rPr>
              <w:t>本项目采购标的所属行业</w:t>
            </w:r>
          </w:p>
        </w:tc>
        <w:tc>
          <w:tcPr>
            <w:tcW w:w="8025" w:type="dxa"/>
            <w:noWrap w:val="0"/>
            <w:vAlign w:val="center"/>
          </w:tcPr>
          <w:p w14:paraId="1466DD9B">
            <w:pPr>
              <w:rPr>
                <w:rFonts w:hint="eastAsia" w:ascii="宋体" w:hAnsi="宋体" w:eastAsia="仿宋"/>
                <w:color w:val="000000"/>
                <w:sz w:val="24"/>
                <w:highlight w:val="none"/>
              </w:rPr>
            </w:pPr>
            <w:r>
              <w:rPr>
                <w:rFonts w:hint="eastAsia" w:ascii="宋体" w:hAnsi="宋体" w:eastAsia="仿宋" w:cs="Calibri"/>
                <w:color w:val="000000"/>
                <w:sz w:val="24"/>
                <w:highlight w:val="none"/>
              </w:rPr>
              <w:t>所属行业：</w:t>
            </w:r>
            <w:r>
              <w:rPr>
                <w:rFonts w:hint="eastAsia" w:ascii="仿宋" w:hAnsi="仿宋" w:eastAsia="仿宋" w:cs="仿宋"/>
                <w:iCs/>
                <w:color w:val="000000"/>
                <w:sz w:val="24"/>
                <w:highlight w:val="none"/>
              </w:rPr>
              <w:t>建筑业</w:t>
            </w:r>
          </w:p>
        </w:tc>
      </w:tr>
      <w:tr w14:paraId="5147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center"/>
          </w:tcPr>
          <w:p w14:paraId="4B21B7EE">
            <w:pPr>
              <w:pStyle w:val="9"/>
              <w:ind w:firstLine="0" w:firstLineChars="0"/>
              <w:jc w:val="center"/>
              <w:rPr>
                <w:rFonts w:hint="eastAsia" w:ascii="宋体" w:hAnsi="宋体" w:eastAsia="仿宋" w:cs="Calibri"/>
                <w:b/>
                <w:bCs/>
                <w:color w:val="000000"/>
                <w:sz w:val="24"/>
                <w:highlight w:val="none"/>
              </w:rPr>
            </w:pPr>
            <w:r>
              <w:rPr>
                <w:rFonts w:hint="eastAsia" w:ascii="宋体" w:hAnsi="宋体" w:eastAsia="仿宋"/>
                <w:color w:val="000000"/>
                <w:sz w:val="24"/>
                <w:highlight w:val="none"/>
              </w:rPr>
              <w:t>质量保证期</w:t>
            </w:r>
          </w:p>
        </w:tc>
        <w:tc>
          <w:tcPr>
            <w:tcW w:w="8025" w:type="dxa"/>
            <w:noWrap w:val="0"/>
            <w:vAlign w:val="top"/>
          </w:tcPr>
          <w:p w14:paraId="5895A78D">
            <w:pPr>
              <w:pStyle w:val="5"/>
              <w:ind w:left="0" w:leftChars="0" w:firstLine="0" w:firstLineChars="0"/>
              <w:jc w:val="left"/>
              <w:rPr>
                <w:rFonts w:hint="eastAsia" w:ascii="宋体" w:hAnsi="宋体" w:eastAsia="仿宋"/>
                <w:color w:val="000000"/>
                <w:sz w:val="24"/>
                <w:highlight w:val="none"/>
              </w:rPr>
            </w:pPr>
            <w:r>
              <w:rPr>
                <w:rFonts w:hint="eastAsia" w:ascii="宋体" w:hAnsi="宋体" w:eastAsia="仿宋"/>
                <w:color w:val="000000"/>
                <w:sz w:val="24"/>
                <w:highlight w:val="none"/>
              </w:rPr>
              <w:t>质量保修期的起算日为竣工验收合格之日，双方根据《建设工程质量管理条例》及有关规定，约定本工程的质量保修期如下：</w:t>
            </w:r>
          </w:p>
          <w:p w14:paraId="03A18A13">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⑴地基基础工程和主体结构工程为设计文件规定的该工程合理使用年限；</w:t>
            </w:r>
          </w:p>
          <w:p w14:paraId="6C0CE675">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⑵屋面防水工程、有防水要求的卫生间、房间和外墙面的防渗漏为5年；</w:t>
            </w:r>
          </w:p>
          <w:p w14:paraId="520812B2">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⑶装修工程为4年；</w:t>
            </w:r>
          </w:p>
          <w:p w14:paraId="140EDF93">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⑷电气管线、给排水管道、设备安装工程为4年；</w:t>
            </w:r>
          </w:p>
          <w:p w14:paraId="019A3CE7">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⑸供热与供冷系统为2个采暖期、供冷期；</w:t>
            </w:r>
          </w:p>
          <w:p w14:paraId="0C5F4BF9">
            <w:pPr>
              <w:pStyle w:val="5"/>
              <w:ind w:left="480" w:leftChars="0" w:hanging="480"/>
              <w:rPr>
                <w:rFonts w:hint="eastAsia" w:ascii="宋体" w:hAnsi="宋体" w:eastAsia="仿宋"/>
                <w:color w:val="000000"/>
                <w:sz w:val="24"/>
                <w:highlight w:val="none"/>
              </w:rPr>
            </w:pPr>
            <w:r>
              <w:rPr>
                <w:rFonts w:hint="eastAsia" w:ascii="宋体" w:hAnsi="宋体" w:eastAsia="仿宋"/>
                <w:color w:val="000000"/>
                <w:sz w:val="24"/>
                <w:highlight w:val="none"/>
              </w:rPr>
              <w:t>⑹其他项目保修期限约定如下：不少于4年。</w:t>
            </w:r>
          </w:p>
          <w:p w14:paraId="69273A58">
            <w:pPr>
              <w:pStyle w:val="5"/>
              <w:ind w:left="480" w:leftChars="0" w:hanging="480"/>
              <w:rPr>
                <w:rFonts w:hint="eastAsia" w:ascii="宋体" w:hAnsi="宋体" w:eastAsia="仿宋" w:cs="Calibri"/>
                <w:color w:val="000000"/>
                <w:sz w:val="24"/>
                <w:highlight w:val="none"/>
              </w:rPr>
            </w:pPr>
            <w:r>
              <w:rPr>
                <w:rFonts w:hint="eastAsia" w:ascii="宋体" w:hAnsi="宋体" w:eastAsia="仿宋"/>
                <w:color w:val="000000"/>
                <w:sz w:val="24"/>
                <w:highlight w:val="none"/>
              </w:rPr>
              <w:t>以上项目，如国家规定高于上述保修期年限的则按国家相关标准执行。</w:t>
            </w:r>
          </w:p>
        </w:tc>
      </w:tr>
    </w:tbl>
    <w:p w14:paraId="02308EA4">
      <w:pPr>
        <w:pStyle w:val="4"/>
        <w:widowControl/>
        <w:snapToGrid w:val="0"/>
        <w:spacing w:line="360" w:lineRule="auto"/>
        <w:rPr>
          <w:rStyle w:val="8"/>
          <w:rFonts w:hint="eastAsia" w:ascii="宋体" w:hAnsi="宋体" w:eastAsia="仿宋"/>
          <w:color w:val="000000"/>
          <w:sz w:val="24"/>
          <w:szCs w:val="24"/>
          <w:highlight w:val="none"/>
        </w:rPr>
      </w:pPr>
    </w:p>
    <w:bookmarkEnd w:id="6"/>
    <w:p w14:paraId="3FCBB844">
      <w:pPr>
        <w:pStyle w:val="4"/>
        <w:widowControl/>
        <w:snapToGrid w:val="0"/>
        <w:spacing w:line="360" w:lineRule="auto"/>
        <w:outlineLvl w:val="1"/>
        <w:rPr>
          <w:rStyle w:val="8"/>
          <w:rFonts w:hint="eastAsia" w:ascii="宋体" w:hAnsi="宋体" w:eastAsia="仿宋"/>
          <w:color w:val="000000"/>
          <w:sz w:val="24"/>
          <w:szCs w:val="24"/>
          <w:highlight w:val="none"/>
        </w:rPr>
      </w:pPr>
      <w:bookmarkStart w:id="7" w:name="_Toc445554749"/>
      <w:bookmarkStart w:id="8" w:name="_Toc455587091"/>
      <w:bookmarkStart w:id="9" w:name="_Toc466024558"/>
      <w:bookmarkStart w:id="10" w:name="_Toc455587275"/>
      <w:r>
        <w:rPr>
          <w:rStyle w:val="8"/>
          <w:rFonts w:hint="eastAsia" w:ascii="宋体" w:hAnsi="宋体" w:eastAsia="仿宋"/>
          <w:color w:val="000000"/>
          <w:sz w:val="24"/>
          <w:szCs w:val="24"/>
          <w:highlight w:val="none"/>
        </w:rPr>
        <w:t>4. 技术要求</w:t>
      </w:r>
      <w:bookmarkEnd w:id="7"/>
      <w:bookmarkEnd w:id="8"/>
      <w:bookmarkEnd w:id="9"/>
      <w:bookmarkEnd w:id="10"/>
    </w:p>
    <w:p w14:paraId="67DEB9A1">
      <w:pPr>
        <w:widowControl/>
        <w:snapToGrid w:val="0"/>
        <w:spacing w:line="360" w:lineRule="auto"/>
        <w:ind w:firstLine="480" w:firstLineChars="200"/>
        <w:rPr>
          <w:rFonts w:hint="eastAsia" w:ascii="宋体" w:hAnsi="宋体" w:eastAsia="仿宋"/>
          <w:b/>
          <w:bCs/>
          <w:color w:val="000000"/>
          <w:sz w:val="24"/>
          <w:highlight w:val="none"/>
        </w:rPr>
      </w:pPr>
      <w:r>
        <w:rPr>
          <w:rFonts w:hint="eastAsia" w:ascii="宋体" w:hAnsi="宋体" w:eastAsia="仿宋"/>
          <w:color w:val="000000"/>
          <w:sz w:val="24"/>
          <w:szCs w:val="21"/>
          <w:highlight w:val="none"/>
        </w:rPr>
        <w:t>详见图纸、工程量清单及清单补遗。</w:t>
      </w:r>
    </w:p>
    <w:p w14:paraId="39F2E55A">
      <w:pPr>
        <w:pStyle w:val="4"/>
        <w:widowControl/>
        <w:snapToGrid w:val="0"/>
        <w:spacing w:line="360" w:lineRule="auto"/>
        <w:ind w:firstLine="482" w:firstLineChars="200"/>
        <w:rPr>
          <w:rFonts w:hint="eastAsia" w:hAnsi="宋体" w:eastAsia="仿宋"/>
          <w:b/>
          <w:bCs/>
          <w:color w:val="000000"/>
          <w:sz w:val="24"/>
          <w:szCs w:val="24"/>
          <w:highlight w:val="none"/>
        </w:rPr>
      </w:pPr>
    </w:p>
    <w:p w14:paraId="49CA7B57">
      <w:pPr>
        <w:pStyle w:val="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 报价要求</w:t>
      </w:r>
    </w:p>
    <w:p w14:paraId="4A7F8F2F">
      <w:pPr>
        <w:adjustRightIn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5.1 工程量清单和最高限价的编制依据和说明</w:t>
      </w:r>
    </w:p>
    <w:p w14:paraId="3A69CFDF">
      <w:pPr>
        <w:adjustRightIn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5.1.1 工程量清单编制的主要依据</w:t>
      </w:r>
    </w:p>
    <w:p w14:paraId="64E7224A">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1</w:t>
      </w:r>
      <w:r>
        <w:rPr>
          <w:rFonts w:hint="eastAsia" w:ascii="仿宋" w:hAnsi="仿宋" w:eastAsia="仿宋" w:cs="仿宋"/>
          <w:snapToGrid w:val="0"/>
          <w:color w:val="000000"/>
          <w:kern w:val="0"/>
          <w:sz w:val="24"/>
          <w:highlight w:val="none"/>
        </w:rPr>
        <w:t>）现行计价依据：2018版安徽省建设工程计价依据（含修编版）、安徽省建设工程计价依据动态调整（第1期）；</w:t>
      </w:r>
    </w:p>
    <w:p w14:paraId="6DB1BF4D">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2</w:t>
      </w:r>
      <w:r>
        <w:rPr>
          <w:rFonts w:hint="eastAsia" w:ascii="仿宋" w:hAnsi="仿宋" w:eastAsia="仿宋" w:cs="仿宋"/>
          <w:snapToGrid w:val="0"/>
          <w:color w:val="000000"/>
          <w:kern w:val="0"/>
          <w:sz w:val="24"/>
          <w:highlight w:val="none"/>
        </w:rPr>
        <w:t>）建设工程设计文件及相关资料；</w:t>
      </w:r>
    </w:p>
    <w:p w14:paraId="46DE8E9D">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3</w:t>
      </w:r>
      <w:r>
        <w:rPr>
          <w:rFonts w:hint="eastAsia" w:ascii="仿宋" w:hAnsi="仿宋" w:eastAsia="仿宋" w:cs="仿宋"/>
          <w:snapToGrid w:val="0"/>
          <w:color w:val="000000"/>
          <w:kern w:val="0"/>
          <w:sz w:val="24"/>
          <w:highlight w:val="none"/>
        </w:rPr>
        <w:t>）与建设工程有关的标准、规范、技术资料；</w:t>
      </w:r>
    </w:p>
    <w:p w14:paraId="59C38E60">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4</w:t>
      </w:r>
      <w:r>
        <w:rPr>
          <w:rFonts w:hint="eastAsia" w:ascii="仿宋" w:hAnsi="仿宋" w:eastAsia="仿宋" w:cs="仿宋"/>
          <w:snapToGrid w:val="0"/>
          <w:color w:val="000000"/>
          <w:kern w:val="0"/>
          <w:sz w:val="24"/>
          <w:highlight w:val="none"/>
        </w:rPr>
        <w:t>）项目的采购文件；</w:t>
      </w:r>
    </w:p>
    <w:p w14:paraId="4B6B9F5C">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5</w:t>
      </w:r>
      <w:r>
        <w:rPr>
          <w:rFonts w:hint="eastAsia" w:ascii="仿宋" w:hAnsi="仿宋" w:eastAsia="仿宋" w:cs="仿宋"/>
          <w:snapToGrid w:val="0"/>
          <w:color w:val="000000"/>
          <w:kern w:val="0"/>
          <w:sz w:val="24"/>
          <w:highlight w:val="none"/>
        </w:rPr>
        <w:t>）施工现场情况、地勘水文资料、工程特点及常规施工方案；</w:t>
      </w:r>
    </w:p>
    <w:p w14:paraId="4DD1A8B2">
      <w:pPr>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5.1.2 最高限价编制的主要依据</w:t>
      </w:r>
    </w:p>
    <w:p w14:paraId="1FB98362">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1</w:t>
      </w:r>
      <w:r>
        <w:rPr>
          <w:rFonts w:hint="eastAsia" w:ascii="仿宋" w:hAnsi="仿宋" w:eastAsia="仿宋" w:cs="仿宋"/>
          <w:snapToGrid w:val="0"/>
          <w:color w:val="000000"/>
          <w:kern w:val="0"/>
          <w:sz w:val="24"/>
          <w:highlight w:val="none"/>
        </w:rPr>
        <w:t>）现行计价依据：2018版安徽省建设工程计价依据（含修编版）、安徽省建设工程计价依据动态调整（第1期）；</w:t>
      </w:r>
    </w:p>
    <w:p w14:paraId="69D00455">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2</w:t>
      </w:r>
      <w:r>
        <w:rPr>
          <w:rFonts w:hint="eastAsia" w:ascii="仿宋" w:hAnsi="仿宋" w:eastAsia="仿宋" w:cs="仿宋"/>
          <w:snapToGrid w:val="0"/>
          <w:color w:val="000000"/>
          <w:kern w:val="0"/>
          <w:sz w:val="24"/>
          <w:highlight w:val="none"/>
        </w:rPr>
        <w:t>）建设工程设计文件及相关资料；</w:t>
      </w:r>
    </w:p>
    <w:p w14:paraId="3C46B5EB">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3</w:t>
      </w:r>
      <w:r>
        <w:rPr>
          <w:rFonts w:hint="eastAsia" w:ascii="仿宋" w:hAnsi="仿宋" w:eastAsia="仿宋" w:cs="仿宋"/>
          <w:snapToGrid w:val="0"/>
          <w:color w:val="000000"/>
          <w:kern w:val="0"/>
          <w:sz w:val="24"/>
          <w:highlight w:val="none"/>
        </w:rPr>
        <w:t>）项目的采购文件及工程量清单及其答疑、澄清、修改；</w:t>
      </w:r>
    </w:p>
    <w:p w14:paraId="146D166A">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4</w:t>
      </w:r>
      <w:r>
        <w:rPr>
          <w:rFonts w:hint="eastAsia" w:ascii="仿宋" w:hAnsi="仿宋" w:eastAsia="仿宋" w:cs="仿宋"/>
          <w:snapToGrid w:val="0"/>
          <w:color w:val="000000"/>
          <w:kern w:val="0"/>
          <w:sz w:val="24"/>
          <w:highlight w:val="none"/>
        </w:rPr>
        <w:t>）与建设工程有关的标准、规范、技术资料；</w:t>
      </w:r>
    </w:p>
    <w:p w14:paraId="01E97302">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5</w:t>
      </w:r>
      <w:r>
        <w:rPr>
          <w:rFonts w:hint="eastAsia" w:ascii="仿宋" w:hAnsi="仿宋" w:eastAsia="仿宋" w:cs="仿宋"/>
          <w:snapToGrid w:val="0"/>
          <w:color w:val="000000"/>
          <w:kern w:val="0"/>
          <w:sz w:val="24"/>
          <w:highlight w:val="none"/>
        </w:rPr>
        <w:t>）施工现场情况、工程特点及常规施工方案；</w:t>
      </w:r>
    </w:p>
    <w:p w14:paraId="59522B46">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6</w:t>
      </w:r>
      <w:r>
        <w:rPr>
          <w:rFonts w:hint="eastAsia" w:ascii="仿宋" w:hAnsi="仿宋" w:eastAsia="仿宋" w:cs="仿宋"/>
          <w:snapToGrid w:val="0"/>
          <w:color w:val="000000"/>
          <w:kern w:val="0"/>
          <w:sz w:val="24"/>
          <w:highlight w:val="none"/>
        </w:rPr>
        <w:t>）工程造价管理机构发布的工程造价信息。</w:t>
      </w:r>
    </w:p>
    <w:p w14:paraId="63C86F4C">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7</w:t>
      </w:r>
      <w:r>
        <w:rPr>
          <w:rFonts w:hint="eastAsia" w:ascii="仿宋" w:hAnsi="仿宋" w:eastAsia="仿宋" w:cs="仿宋"/>
          <w:snapToGrid w:val="0"/>
          <w:color w:val="000000"/>
          <w:kern w:val="0"/>
          <w:sz w:val="24"/>
          <w:highlight w:val="none"/>
        </w:rPr>
        <w:t>）其他相关材料。</w:t>
      </w:r>
    </w:p>
    <w:p w14:paraId="4D2DD612">
      <w:pPr>
        <w:autoSpaceDE w:val="0"/>
        <w:autoSpaceDN w:val="0"/>
        <w:adjustRightIn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5.1.3 分部分项工程量清单费按本采购文件的分部分项工程量清单的特征描述及有关要求，结合本章第5.1.2项编制依据确定。</w:t>
      </w:r>
    </w:p>
    <w:p w14:paraId="7E474161">
      <w:pPr>
        <w:autoSpaceDE w:val="0"/>
        <w:autoSpaceDN w:val="0"/>
        <w:adjustRightIn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（1）综合单价中人工和施工机械台班单价按省级工程造价管理机构公布的单价计算。</w:t>
      </w:r>
    </w:p>
    <w:p w14:paraId="4A21CD0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（2）综合单价中材料单价按省级和工程所在地的市级工程造价管理机构发布的当期市场信息以及本采购文件规定的暂定价、市场调查价格计算。</w:t>
      </w:r>
    </w:p>
    <w:p w14:paraId="4033C4A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（3）本采购文件中列有材料、设备暂估价的，按暂估价综合单价。</w:t>
      </w:r>
    </w:p>
    <w:p w14:paraId="32EC6D4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（4）综合单价中人工、材料和施工机械台班消耗量均按国家和省的定额消耗量计算。</w:t>
      </w:r>
    </w:p>
    <w:p w14:paraId="31E93EE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（5）综合单价中管理费、利润为可竞争性费用，其费率按国家和省、市的定额规定标准计取。</w:t>
      </w:r>
    </w:p>
    <w:p w14:paraId="3C9A872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（6）综合单价中应包括采购文件约定的应由供应商承担的风险范围及其费用，风险按本采购文件约定计算。</w:t>
      </w:r>
    </w:p>
    <w:p w14:paraId="7097D40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5.1.4 措施项目清单费按本采购文件中的措施项目清单，应根据拟定的采购文件和常规施工方案以及计价规范的规定确定。对于施工机械设备的选型根据工程特点和施工条件，本着经济实用、先进高效的原则确定。其中不可竞争性的措施费用严格按照国家和省的有关规定计算。竞争性的措施费用依据项目具体情况进行合理确定。</w:t>
      </w:r>
    </w:p>
    <w:p w14:paraId="111849F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5.1.5 其他项目费用应按照下列规定计价：</w:t>
      </w:r>
    </w:p>
    <w:p w14:paraId="576C138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（1）暂列金额、专业工程暂估价应按工程量清单中列出的金额填写；</w:t>
      </w:r>
    </w:p>
    <w:p w14:paraId="7E10B6D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（2）暂估价中的材料、工程设备单价应按工程量清单列出的单价计入工程单价。</w:t>
      </w:r>
    </w:p>
    <w:p w14:paraId="6749470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（3）零星工作项目按采购人在零星工作项目表中列出的人工、材料、机械数量，结合本章第5.1.2项编制依据的要求确定综合单价并计算人工、材料、机械费用； </w:t>
      </w:r>
    </w:p>
    <w:p w14:paraId="306FEDF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（4）总包服务费应根据采购文件列出的内容和要求估算。</w:t>
      </w:r>
    </w:p>
    <w:p w14:paraId="71FDD0D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5.1.6 不可竞争费（含安全文明施工费、环境保护税）、税金按本采购文件中的不可竞争费（含安全文明施工费、环境保护税）、税金项目清单，结合本章第5.1.2项编制依据的要求编制。不可竞争性费用应严格按国家、省、市的有关规定及工程量清单、采购文件规定计取，不得降低标准。</w:t>
      </w:r>
    </w:p>
    <w:p w14:paraId="34B7E90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5.1.7 工程量清单的核实与调整</w:t>
      </w:r>
    </w:p>
    <w:p w14:paraId="567C6B1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工程在发放工程量清单、最高限价后，供应商应对工程量清单和最高限价等数据进行复核。如供应商认为数据有误，可在提交首次响应文件截止时间前按疑问提交时限要求书面提出。如在规定时间内未提出书面异议的，工程量清单和最高限价将作为判定响应报价是否低于成本价的依据之一（工程量清单或最高限价出现重大错误除外）。</w:t>
      </w:r>
    </w:p>
    <w:p w14:paraId="0538A98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若供应商未按规定的时间前对清单和最高限价未提出相关书面异议，视同认可工程量清单和最高限价编制合理。成交后，供应商应按其报价完成采购范围和图纸内的全部内容，不得以工程量清单和最高限价编制存在数量偏差、缺漏项或者不合理提出各种形式的索赔。</w:t>
      </w:r>
    </w:p>
    <w:p w14:paraId="40A251B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（2）供应商成交后，合同价为固定总价，除经批准的设计变更、经济签证外，其它工程造价增减均不予调整合同价格。</w:t>
      </w:r>
    </w:p>
    <w:p w14:paraId="7FD40A2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提交首次响应文件截止时间前，供应商应认真对照设计图纸等文件核对采购人提供的工程量清单，发现工程量存在项目划分误差、计量单位误差、数量误差、缺漏项的，必须在采购文件规定的时间内向采购人提出异议或修正要求，否则采购人可不予答复。</w:t>
      </w:r>
    </w:p>
    <w:p w14:paraId="4D68A04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采购人对异议或修正要求应进行核实，确认工程量单项子目误差在±3%（含±3%）以内的，采购人可不予调整工程量，供应商应将其误差考虑在综合单价内；若有单项子目工程量误差超过±3%的，采购人应进行修正并重新公布工程量清单和最高限价（如需）；</w:t>
      </w:r>
    </w:p>
    <w:p w14:paraId="0715CDB7">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供应商在前规定时间内未对工程量清单和最高限价提出异议的，将被视为已对照图纸等资料复核过工程量清单和最高限价，并对其中存在的误差已全部考虑在报价中，成交后，采购人不再对工程量清单的项目和数量进行调整。供应商必须按其报价完成采购文件规定范围内的设计图纸规定的所有工程项目。</w:t>
      </w:r>
    </w:p>
    <w:p w14:paraId="59491D8B">
      <w:pPr>
        <w:spacing w:line="360" w:lineRule="auto"/>
        <w:ind w:firstLine="482" w:firstLineChars="200"/>
        <w:rPr>
          <w:rFonts w:hint="eastAsia" w:ascii="仿宋" w:hAnsi="仿宋" w:eastAsia="仿宋" w:cs="仿宋"/>
          <w:b/>
          <w:color w:val="000000"/>
          <w:sz w:val="24"/>
          <w:highlight w:val="none"/>
        </w:rPr>
      </w:pPr>
    </w:p>
    <w:p w14:paraId="3A55F61D">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5.2 响应报价的编制依据</w:t>
      </w:r>
    </w:p>
    <w:p w14:paraId="40C1330D">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1</w:t>
      </w:r>
      <w:r>
        <w:rPr>
          <w:rFonts w:hint="eastAsia" w:ascii="仿宋" w:hAnsi="仿宋" w:eastAsia="仿宋" w:cs="仿宋"/>
          <w:snapToGrid w:val="0"/>
          <w:color w:val="000000"/>
          <w:kern w:val="0"/>
          <w:sz w:val="24"/>
          <w:highlight w:val="none"/>
        </w:rPr>
        <w:t>）现行计价依据：2018版安徽省建设工程计价依据（含修编版）、安徽省建设工程计价依据动态调整（第1期）；</w:t>
      </w:r>
    </w:p>
    <w:p w14:paraId="510A4F01">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2</w:t>
      </w:r>
      <w:r>
        <w:rPr>
          <w:rFonts w:hint="eastAsia" w:ascii="仿宋" w:hAnsi="仿宋" w:eastAsia="仿宋" w:cs="仿宋"/>
          <w:snapToGrid w:val="0"/>
          <w:color w:val="000000"/>
          <w:kern w:val="0"/>
          <w:sz w:val="24"/>
          <w:highlight w:val="none"/>
        </w:rPr>
        <w:t>）建设工程设计文件及相关资料；</w:t>
      </w:r>
    </w:p>
    <w:p w14:paraId="1E7B0A61">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3</w:t>
      </w:r>
      <w:r>
        <w:rPr>
          <w:rFonts w:hint="eastAsia" w:ascii="仿宋" w:hAnsi="仿宋" w:eastAsia="仿宋" w:cs="仿宋"/>
          <w:snapToGrid w:val="0"/>
          <w:color w:val="000000"/>
          <w:kern w:val="0"/>
          <w:sz w:val="24"/>
          <w:highlight w:val="none"/>
        </w:rPr>
        <w:t>）采购文件及工程量清单及其答疑、澄清、修改；</w:t>
      </w:r>
    </w:p>
    <w:p w14:paraId="35F438AD">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4</w:t>
      </w:r>
      <w:r>
        <w:rPr>
          <w:rFonts w:hint="eastAsia" w:ascii="仿宋" w:hAnsi="仿宋" w:eastAsia="仿宋" w:cs="仿宋"/>
          <w:snapToGrid w:val="0"/>
          <w:color w:val="000000"/>
          <w:kern w:val="0"/>
          <w:sz w:val="24"/>
          <w:highlight w:val="none"/>
        </w:rPr>
        <w:t>）与建设工程有关的标准、规范、技术资料；</w:t>
      </w:r>
    </w:p>
    <w:p w14:paraId="27E9BD8F">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5</w:t>
      </w:r>
      <w:r>
        <w:rPr>
          <w:rFonts w:hint="eastAsia" w:ascii="仿宋" w:hAnsi="仿宋" w:eastAsia="仿宋" w:cs="仿宋"/>
          <w:snapToGrid w:val="0"/>
          <w:color w:val="000000"/>
          <w:kern w:val="0"/>
          <w:sz w:val="24"/>
          <w:highlight w:val="none"/>
        </w:rPr>
        <w:t>）施工现场情况、工程特点及响应文件中拟定的施工组织设计。</w:t>
      </w:r>
    </w:p>
    <w:p w14:paraId="5CF2C3EA">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6</w:t>
      </w:r>
      <w:r>
        <w:rPr>
          <w:rFonts w:hint="eastAsia" w:ascii="仿宋" w:hAnsi="仿宋" w:eastAsia="仿宋" w:cs="仿宋"/>
          <w:snapToGrid w:val="0"/>
          <w:color w:val="000000"/>
          <w:kern w:val="0"/>
          <w:sz w:val="24"/>
          <w:highlight w:val="none"/>
        </w:rPr>
        <w:t>）市场价格信息，或参照工程造价管理机构发布的工程造价信息。</w:t>
      </w:r>
    </w:p>
    <w:p w14:paraId="6E0030ED">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7</w:t>
      </w:r>
      <w:r>
        <w:rPr>
          <w:rFonts w:hint="eastAsia" w:ascii="仿宋" w:hAnsi="仿宋" w:eastAsia="仿宋" w:cs="仿宋"/>
          <w:snapToGrid w:val="0"/>
          <w:color w:val="000000"/>
          <w:kern w:val="0"/>
          <w:sz w:val="24"/>
          <w:highlight w:val="none"/>
        </w:rPr>
        <w:t>）合同执行期间由供应商承担的风险因素。</w:t>
      </w:r>
    </w:p>
    <w:p w14:paraId="575B383F">
      <w:pPr>
        <w:autoSpaceDE w:val="0"/>
        <w:autoSpaceDN w:val="0"/>
        <w:adjustRightInd w:val="0"/>
        <w:spacing w:line="360" w:lineRule="auto"/>
        <w:ind w:firstLine="480" w:firstLineChars="200"/>
        <w:rPr>
          <w:rFonts w:hint="eastAsia" w:ascii="仿宋" w:hAnsi="仿宋" w:eastAsia="仿宋" w:cs="仿宋"/>
          <w:snapToGrid w:val="0"/>
          <w:color w:val="000000"/>
          <w:kern w:val="0"/>
          <w:sz w:val="24"/>
          <w:highlight w:val="none"/>
        </w:rPr>
      </w:pPr>
      <w:r>
        <w:rPr>
          <w:rFonts w:hint="eastAsia" w:ascii="仿宋" w:hAnsi="仿宋" w:eastAsia="仿宋" w:cs="仿宋"/>
          <w:snapToGrid w:val="0"/>
          <w:color w:val="000000"/>
          <w:kern w:val="0"/>
          <w:sz w:val="24"/>
          <w:highlight w:val="none"/>
        </w:rPr>
        <w:t>（</w:t>
      </w:r>
      <w:r>
        <w:rPr>
          <w:rFonts w:ascii="仿宋" w:hAnsi="仿宋" w:eastAsia="仿宋" w:cs="仿宋"/>
          <w:snapToGrid w:val="0"/>
          <w:color w:val="000000"/>
          <w:kern w:val="0"/>
          <w:sz w:val="24"/>
          <w:highlight w:val="none"/>
        </w:rPr>
        <w:t>8</w:t>
      </w:r>
      <w:r>
        <w:rPr>
          <w:rFonts w:hint="eastAsia" w:ascii="仿宋" w:hAnsi="仿宋" w:eastAsia="仿宋" w:cs="仿宋"/>
          <w:snapToGrid w:val="0"/>
          <w:color w:val="000000"/>
          <w:kern w:val="0"/>
          <w:sz w:val="24"/>
          <w:highlight w:val="none"/>
        </w:rPr>
        <w:t>）其他相关资料。</w:t>
      </w:r>
    </w:p>
    <w:p w14:paraId="0B6DA109">
      <w:pPr>
        <w:spacing w:line="360" w:lineRule="auto"/>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5.3 响应报价的编制要求</w:t>
      </w:r>
    </w:p>
    <w:p w14:paraId="2648FC55">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5.3.1 供应商应仔细阅读采购文件，了解采购项目的全部工程内容。供应商的响应报价应是采购文件所确定的采购范围内全部工程内容的价格体现，但其响应报价不得低于供应商个别成本价。供应商不得以自有机械闲置、自有材料为由等不计成本地进行报价。</w:t>
      </w:r>
    </w:p>
    <w:p w14:paraId="7E3F5913">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5.3.2 除非采购人对采购文件予以澄清、修改，否则供应商应按采购人提供的工程量清单中列出的工程项目和工程量逐项填报综合单价和合价。供应商不得在工程量清单中任意增删、修改清单项目与工程量及项目排列顺序。</w:t>
      </w:r>
    </w:p>
    <w:p w14:paraId="172F4EA9">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5.3.3 为满足工程建设标准和技术规范要求所发生的费用应包括在响应报价中。响应报价为供应商在响应文件中提出的各项支付金额的总和。</w:t>
      </w:r>
      <w:r>
        <w:rPr>
          <w:rFonts w:hint="eastAsia" w:ascii="仿宋" w:hAnsi="仿宋" w:eastAsia="仿宋" w:cs="仿宋"/>
          <w:color w:val="000000"/>
          <w:sz w:val="24"/>
          <w:szCs w:val="24"/>
          <w:highlight w:val="none"/>
        </w:rPr>
        <w:t>除不可竞争费用外，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508937A7">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5.3.4 关于工程所需的材料和设备的供应方式和报价等要求：</w:t>
      </w:r>
    </w:p>
    <w:p w14:paraId="77E3C131">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（1）本工程使用的设备材料，除图纸、采购文件及补充答疑文件明确注明甲供或甲定乙供外，均由承包方采购供应；</w:t>
      </w:r>
      <w:r>
        <w:rPr>
          <w:rFonts w:hint="eastAsia" w:ascii="仿宋" w:hAnsi="仿宋" w:eastAsia="仿宋" w:cs="仿宋"/>
          <w:bCs/>
          <w:color w:val="000000"/>
          <w:sz w:val="24"/>
          <w:szCs w:val="24"/>
          <w:highlight w:val="none"/>
        </w:rPr>
        <w:t>设备材料采购前，其厂家、规格、型号、质量须报采购人、监理单位认可及批准方可采购，同时设备材料进场也须经采购人、监理方认可后方可使用。如果供应商采购的设备、材料不符合设计图纸、技术规范、标准、参考品牌及采购人的要求，采购人将有权同监理单位等共同确定设备材料的品牌、厂家、规格、型号、质量，并交由施工单位采购，若采购人确定的设备材料品牌及产品的价格超过响应报价中的价格，则按响应文件中的报价进行结算，若采购人确定的设备材料品牌及产品的价格低于响应报价中的价格，则按采购人确定的品牌价格进行结算，供应商一旦递交响应文件，视为无条件的同意及执行此项条款的要求。施工过程中违反规定的，视为违约，因此影响工期的总工期不顺延，同时由此造成的其他一切损失由承包人自行承担。</w:t>
      </w:r>
    </w:p>
    <w:p w14:paraId="5F082922">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除甲供材、实行暂定价的材料和合同约定价格可调的材料（如有）以外，由供应商自行采购的材料确定报价时应充分考虑材料价格上涨等市场风险因素，成交后不作调整。综合单价中的材料费应包括材料运杂费、运输损耗费、采购及保管费，材料的试验检验费由供应商考虑在综合费中。</w:t>
      </w:r>
    </w:p>
    <w:p w14:paraId="4A86C4BC">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（3）结算时实行暂定价的材料和设备的价差仅计取税金，不再计取其他费用。</w:t>
      </w:r>
    </w:p>
    <w:p w14:paraId="7D32C131">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5.3.5 本项目施工所需的水、电的接入点由供应商自行踏勘现场并充分考虑确定，供应商报价时须充分考虑此部分费用及风险并含在报价中。供应商成交后，采购人不再为此承担任何费用及责任。</w:t>
      </w:r>
      <w:r>
        <w:rPr>
          <w:rFonts w:hint="eastAsia" w:ascii="仿宋" w:hAnsi="仿宋" w:eastAsia="仿宋" w:cs="仿宋"/>
          <w:bCs/>
          <w:color w:val="000000"/>
          <w:sz w:val="24"/>
          <w:szCs w:val="24"/>
          <w:highlight w:val="none"/>
        </w:rPr>
        <w:t>供应商在开工前将水、电接至施工场地范围内，场内临时管线及装表等其它工作费用也由供应商自行承担。</w:t>
      </w:r>
    </w:p>
    <w:p w14:paraId="2EC73213">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5.3.6 分部分项工程量清单费根据采购文件中的工程量清单项目及项目特征描述等确定综合单价。其中综合单价是指完成一个规定清单项目所需的人工费、材料和工程设备费、施工机具使用费和企业管理费、利润以及合同规定的供应商承担的风险费用。</w:t>
      </w:r>
    </w:p>
    <w:p w14:paraId="7BC182B4">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5.3.7 措施项目清单费根据采购文件中的工程量清单措施项目，结合本章第5.1款编制依据确定。供应商对采购人所列的措施项目可根据工程实际情况结合施工组织设计进行增补，其中不可竞争性的措施费用严格按照采购文件规定计算，不得降低标准。</w:t>
      </w:r>
    </w:p>
    <w:p w14:paraId="0A9441C1">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5.3.8 其他项目清单费应按照采购文件规定报价。其中暂列金额（预留金）、暂估价、暂定价、材料购置费用等均为估算金额。编制响应报价时计入总价，工程竣工后应按供应商实际完成的工程内容结算。</w:t>
      </w:r>
    </w:p>
    <w:p w14:paraId="2290BF1B">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5.3.9 总承包管理及配合服务费：按专业分包工程结算价款的</w:t>
      </w:r>
      <w:r>
        <w:rPr>
          <w:rFonts w:hint="eastAsia" w:ascii="仿宋" w:hAnsi="仿宋" w:eastAsia="仿宋" w:cs="仿宋"/>
          <w:color w:val="000000"/>
          <w:sz w:val="24"/>
          <w:szCs w:val="24"/>
          <w:highlight w:val="none"/>
          <w:u w:val="single"/>
        </w:rPr>
        <w:t xml:space="preserve">  / % </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u w:val="single"/>
        </w:rPr>
        <w:t xml:space="preserve">  专业工程承包人  </w:t>
      </w:r>
      <w:r>
        <w:rPr>
          <w:rFonts w:hint="eastAsia" w:ascii="仿宋" w:hAnsi="仿宋" w:eastAsia="仿宋" w:cs="仿宋"/>
          <w:color w:val="000000"/>
          <w:sz w:val="24"/>
          <w:szCs w:val="24"/>
          <w:highlight w:val="none"/>
        </w:rPr>
        <w:t>向总包单位支付。成交后，供应商不得就上述费用提出更高要求及异议，也不得以其他任何因素为由，拒绝向专业工程承包人提供总承包管理及配合服务，否则视为承包人违约。</w:t>
      </w:r>
    </w:p>
    <w:p w14:paraId="726DB16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5.3.10 税金应采用增值税模式，供应商依据现行文件要求计取增值税，不得降低标准。</w:t>
      </w:r>
    </w:p>
    <w:p w14:paraId="0BAAB08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5.3.11 供应商的响应报价由不可竞争费用和可竞争费用构成。不可竞争费用（规费）不得低于下表有关费用标准，报价时不得降低标准。</w:t>
      </w:r>
    </w:p>
    <w:p w14:paraId="3BCCC708">
      <w:pPr>
        <w:snapToGrid w:val="0"/>
        <w:spacing w:before="120" w:beforeLines="5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（1）建筑工程不可竞争费费率（见下表）</w:t>
      </w:r>
    </w:p>
    <w:p w14:paraId="516106F5">
      <w:pPr>
        <w:snapToGrid w:val="0"/>
        <w:spacing w:line="360" w:lineRule="auto"/>
        <w:rPr>
          <w:rFonts w:hint="eastAsia" w:ascii="仿宋" w:hAnsi="仿宋" w:eastAsia="仿宋" w:cs="仿宋"/>
          <w:color w:val="000000"/>
          <w:sz w:val="24"/>
          <w:highlight w:val="none"/>
        </w:rPr>
      </w:pPr>
      <w:r>
        <w:rPr>
          <w:color w:val="000000"/>
          <w:highlight w:val="none"/>
        </w:rPr>
        <w:fldChar w:fldCharType="begin"/>
      </w:r>
      <w:r>
        <w:rPr>
          <w:rFonts w:hint="eastAsia"/>
          <w:color w:val="000000"/>
          <w:highlight w:val="none"/>
        </w:rPr>
        <w:instrText xml:space="preserve"> INCLUDEPICTURE "../AppData/Local/Temp/企业微信截图_17325073262048.png" \* MERGEFORMAT </w:instrText>
      </w:r>
      <w:r>
        <w:rPr>
          <w:color w:val="000000"/>
          <w:highlight w:val="none"/>
        </w:rPr>
        <w:fldChar w:fldCharType="separate"/>
      </w:r>
      <w:r>
        <w:rPr>
          <w:color w:val="000000"/>
          <w:highlight w:val="none"/>
        </w:rPr>
        <w:drawing>
          <wp:inline distT="0" distB="0" distL="114300" distR="114300">
            <wp:extent cx="5875655" cy="2553970"/>
            <wp:effectExtent l="0" t="0" r="4445" b="11430"/>
            <wp:docPr id="1" name="图片 1" descr="企业微信截图_1732507326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7325073262048"/>
                    <pic:cNvPicPr>
                      <a:picLocks noChangeAspect="1"/>
                    </pic:cNvPicPr>
                  </pic:nvPicPr>
                  <pic:blipFill>
                    <a:blip r:embed="rId4"/>
                    <a:stretch>
                      <a:fillRect/>
                    </a:stretch>
                  </pic:blipFill>
                  <pic:spPr>
                    <a:xfrm>
                      <a:off x="0" y="0"/>
                      <a:ext cx="5875655" cy="2553970"/>
                    </a:xfrm>
                    <a:prstGeom prst="rect">
                      <a:avLst/>
                    </a:prstGeom>
                    <a:noFill/>
                    <a:ln>
                      <a:noFill/>
                    </a:ln>
                  </pic:spPr>
                </pic:pic>
              </a:graphicData>
            </a:graphic>
          </wp:inline>
        </w:drawing>
      </w:r>
      <w:r>
        <w:rPr>
          <w:color w:val="000000"/>
          <w:highlight w:val="none"/>
        </w:rPr>
        <w:fldChar w:fldCharType="end"/>
      </w:r>
    </w:p>
    <w:p w14:paraId="4FEB6343">
      <w:pPr>
        <w:snapToGrid w:val="0"/>
        <w:spacing w:before="120" w:beforeLines="5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（2）工程税金税率：采用一般计税方法计算增值税，根据安徽省建设工程造价管理总站《关于调整我省现行建设工程计价依据增值税税率的通知》（造价〔2019〕7号）规定，税金税率为9%。</w:t>
      </w:r>
    </w:p>
    <w:p w14:paraId="41942974">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（3）采购文件中明确的由采购人自行采购的材料、设备费用。</w:t>
      </w:r>
    </w:p>
    <w:p w14:paraId="3CECCD98">
      <w:pPr>
        <w:pStyle w:val="4"/>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（4）暂列金额（预留金）、暂定价、暂估价：详见工程量清单。</w:t>
      </w:r>
    </w:p>
    <w:p w14:paraId="4543EEBE">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（5）法规规章、上级文件规定的其他不可竞争费用。</w:t>
      </w:r>
    </w:p>
    <w:p w14:paraId="3074ACC2">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5.3.12 可竞争费用包括：</w:t>
      </w:r>
    </w:p>
    <w:p w14:paraId="217F293F">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（1）人工费、材料费、机械费用；</w:t>
      </w:r>
    </w:p>
    <w:p w14:paraId="478C43A5">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（2）管理费；</w:t>
      </w:r>
    </w:p>
    <w:p w14:paraId="0A3C5AF8">
      <w:pPr>
        <w:pStyle w:val="4"/>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（3）利润；</w:t>
      </w:r>
    </w:p>
    <w:p w14:paraId="08DD1C44">
      <w:pPr>
        <w:pStyle w:val="4"/>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（4）措施费（规定的不可竞争费用除外）。</w:t>
      </w:r>
    </w:p>
    <w:p w14:paraId="4D0BE90D">
      <w:pPr>
        <w:pStyle w:val="3"/>
        <w:rPr>
          <w:rFonts w:hint="eastAsia" w:ascii="仿宋" w:hAnsi="仿宋" w:eastAsia="仿宋" w:cs="仿宋"/>
          <w:color w:val="000000"/>
          <w:sz w:val="24"/>
          <w:szCs w:val="24"/>
          <w:highlight w:val="none"/>
        </w:rPr>
      </w:pPr>
      <w:bookmarkStart w:id="11" w:name="_Toc527541657"/>
      <w:r>
        <w:rPr>
          <w:rFonts w:hint="eastAsia" w:ascii="仿宋" w:hAnsi="仿宋" w:eastAsia="仿宋" w:cs="仿宋"/>
          <w:color w:val="000000"/>
          <w:sz w:val="24"/>
          <w:szCs w:val="24"/>
          <w:highlight w:val="none"/>
        </w:rPr>
        <w:t>6. 工程量清单</w:t>
      </w:r>
    </w:p>
    <w:p w14:paraId="163CDFDE">
      <w:pPr>
        <w:pStyle w:val="11"/>
        <w:snapToGrid w:val="0"/>
        <w:spacing w:line="24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另行发放。</w:t>
      </w:r>
    </w:p>
    <w:p w14:paraId="4A226228">
      <w:pPr>
        <w:pStyle w:val="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bookmarkEnd w:id="11"/>
      <w:bookmarkStart w:id="12" w:name="_Toc527541659"/>
      <w:r>
        <w:rPr>
          <w:rFonts w:hint="eastAsia" w:ascii="仿宋" w:hAnsi="仿宋" w:eastAsia="仿宋" w:cs="仿宋"/>
          <w:color w:val="000000"/>
          <w:sz w:val="24"/>
          <w:szCs w:val="24"/>
          <w:highlight w:val="none"/>
        </w:rPr>
        <w:t>图纸</w:t>
      </w:r>
      <w:bookmarkEnd w:id="12"/>
    </w:p>
    <w:p w14:paraId="3191C5B5">
      <w:pPr>
        <w:pStyle w:val="11"/>
        <w:snapToGrid w:val="0"/>
        <w:spacing w:line="24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另行发放。</w:t>
      </w:r>
    </w:p>
    <w:p w14:paraId="262CC9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7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table of figures"/>
    <w:basedOn w:val="1"/>
    <w:next w:val="1"/>
    <w:unhideWhenUsed/>
    <w:qFormat/>
    <w:uiPriority w:val="99"/>
    <w:pPr>
      <w:ind w:left="200" w:leftChars="200" w:hanging="200" w:hangingChars="200"/>
    </w:p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 w:type="paragraph" w:customStyle="1" w:styleId="11">
    <w:name w:val="正文2"/>
    <w:qFormat/>
    <w:uiPriority w:val="0"/>
    <w:pPr>
      <w:widowControl w:val="0"/>
      <w:adjustRightInd w:val="0"/>
      <w:spacing w:line="312" w:lineRule="atLeast"/>
      <w:jc w:val="both"/>
      <w:textAlignment w:val="baseline"/>
    </w:pPr>
    <w:rPr>
      <w:rFonts w:ascii="宋体" w:hAnsi="Times New Roman" w:eastAsia="楷体" w:cs="Times New Roman"/>
      <w:b/>
      <w:color w:val="0000FF"/>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2025-09-05T08:34:17Z</dcterms:created>
  <dc:creator>hw</dc:creator>
  <cp:lastModifiedBy>小俞</cp:lastModifiedBy>
  <dcterms:modified xsi:type="dcterms:W3CDTF">2025-09-05T08:34:45Z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eyJoZGlkIjoiODViY2JkMjU3NGYzZTEwMzZmMGFkZWViYmNkYWU3NDIiLCJ1c2VySWQiOiIyODQyMDI3NDcifQ==</vt:lpwstr>
  </property>
  <property fmtid="{D5CDD505-2E9C-101B-9397-08002B2CF9AE}" pid="4" name="ICV">
    <vt:lpwstr>A1E7DE7EA14A4C0487D3032768C50BFF_12</vt:lpwstr>
  </property>
</Properties>
</file>