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81CF6">
      <w:pPr>
        <w:spacing w:line="360" w:lineRule="auto"/>
        <w:jc w:val="center"/>
        <w:rPr>
          <w:rFonts w:hint="eastAsia" w:ascii="方正小标宋_GBK" w:hAnsi="方正小标宋_GBK" w:eastAsia="方正小标宋_GBK" w:cs="方正小标宋_GBK"/>
          <w:kern w:val="44"/>
          <w:sz w:val="44"/>
          <w:szCs w:val="44"/>
          <w:highlight w:val="none"/>
        </w:rPr>
      </w:pPr>
      <w:r>
        <w:rPr>
          <w:rFonts w:hint="eastAsia" w:ascii="方正小标宋_GBK" w:hAnsi="方正小标宋_GBK" w:eastAsia="方正小标宋_GBK" w:cs="方正小标宋_GBK"/>
          <w:kern w:val="44"/>
          <w:sz w:val="44"/>
          <w:szCs w:val="44"/>
          <w:highlight w:val="none"/>
        </w:rPr>
        <w:t>采购需求</w:t>
      </w:r>
    </w:p>
    <w:p w14:paraId="539A0AF6">
      <w:pPr>
        <w:spacing w:line="360" w:lineRule="auto"/>
        <w:rPr>
          <w:rFonts w:hint="eastAsia" w:ascii="宋体" w:hAnsi="宋体" w:eastAsia="宋体"/>
          <w:b/>
          <w:sz w:val="24"/>
          <w:highlight w:val="none"/>
        </w:rPr>
      </w:pPr>
      <w:r>
        <w:rPr>
          <w:rFonts w:hint="eastAsia" w:ascii="宋体" w:hAnsi="宋体" w:eastAsia="宋体"/>
          <w:b/>
          <w:sz w:val="24"/>
          <w:highlight w:val="none"/>
        </w:rPr>
        <w:t>前注：</w:t>
      </w:r>
    </w:p>
    <w:p w14:paraId="31DA463B">
      <w:pPr>
        <w:spacing w:line="360" w:lineRule="auto"/>
        <w:ind w:firstLine="435"/>
        <w:rPr>
          <w:rFonts w:hint="eastAsia" w:ascii="宋体" w:hAnsi="宋体" w:eastAsia="宋体" w:cs="宋体"/>
          <w:sz w:val="24"/>
          <w:szCs w:val="18"/>
          <w:highlight w:val="none"/>
        </w:rPr>
      </w:pPr>
      <w:bookmarkStart w:id="0" w:name="_Hlk16461016"/>
      <w:r>
        <w:rPr>
          <w:rFonts w:hint="eastAsia" w:ascii="宋体" w:hAnsi="宋体" w:eastAsia="宋体" w:cs="宋体"/>
          <w:sz w:val="24"/>
          <w:highlight w:val="none"/>
        </w:rPr>
        <w:t>1.</w:t>
      </w:r>
      <w:r>
        <w:rPr>
          <w:rFonts w:hint="eastAsia" w:ascii="宋体" w:hAnsi="宋体" w:eastAsia="宋体" w:cs="宋体"/>
          <w:sz w:val="24"/>
          <w:szCs w:val="18"/>
          <w:highlight w:val="none"/>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619FF2AB">
      <w:pPr>
        <w:spacing w:line="360" w:lineRule="auto"/>
        <w:ind w:firstLine="435"/>
        <w:rPr>
          <w:rFonts w:hint="eastAsia" w:ascii="宋体" w:hAnsi="宋体" w:eastAsia="宋体" w:cs="宋体"/>
          <w:sz w:val="24"/>
          <w:szCs w:val="18"/>
          <w:highlight w:val="none"/>
        </w:rPr>
      </w:pPr>
      <w:r>
        <w:rPr>
          <w:rFonts w:hint="eastAsia" w:ascii="宋体" w:hAnsi="宋体" w:eastAsia="宋体" w:cs="宋体"/>
          <w:sz w:val="24"/>
          <w:szCs w:val="18"/>
          <w:highlight w:val="none"/>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6BBBE517">
      <w:pPr>
        <w:spacing w:line="360" w:lineRule="auto"/>
        <w:ind w:firstLine="480" w:firstLineChars="200"/>
        <w:jc w:val="left"/>
        <w:rPr>
          <w:rFonts w:hint="eastAsia" w:ascii="宋体" w:hAnsi="宋体" w:eastAsia="宋体" w:cs="宋体"/>
          <w:sz w:val="24"/>
          <w:szCs w:val="18"/>
          <w:highlight w:val="none"/>
        </w:rPr>
      </w:pPr>
      <w:r>
        <w:rPr>
          <w:rFonts w:hint="eastAsia" w:ascii="宋体" w:hAnsi="宋体" w:eastAsia="宋体" w:cs="宋体"/>
          <w:sz w:val="24"/>
          <w:szCs w:val="18"/>
          <w:highlight w:val="none"/>
        </w:rPr>
        <w:t>3.下列采购需求中：标注</w:t>
      </w:r>
      <w:r>
        <w:rPr>
          <w:rFonts w:ascii="宋体" w:hAnsi="宋体" w:eastAsia="宋体" w:cs="宋体"/>
          <w:sz w:val="24"/>
          <w:szCs w:val="24"/>
          <w:highlight w:val="none"/>
        </w:rPr>
        <w:t>▲</w:t>
      </w:r>
      <w:r>
        <w:rPr>
          <w:rFonts w:hint="eastAsia" w:ascii="宋体" w:hAnsi="宋体" w:eastAsia="宋体" w:cs="宋体"/>
          <w:sz w:val="24"/>
          <w:szCs w:val="18"/>
          <w:highlight w:val="none"/>
        </w:rPr>
        <w:t>的产品（核心产品），投标人在投标文件《主要中标标的承诺函》中填写名称、品牌、规格、型号、数量、单价等信息。</w:t>
      </w:r>
    </w:p>
    <w:p w14:paraId="6725D0CA">
      <w:pPr>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sz w:val="24"/>
          <w:szCs w:val="24"/>
          <w:highlight w:val="none"/>
        </w:rPr>
        <w:t xml:space="preserve">4、中小企业认定标准：根据工业和信息化部、国家统计局、国家发展和改革委员会、财政部《关于印发中小企业划型标准规定的通知》（工信部联企业〔2011〕300号）认定企业类型标准，本项目按照 </w:t>
      </w:r>
      <w:r>
        <w:rPr>
          <w:rFonts w:hint="eastAsia" w:ascii="宋体" w:hAnsi="宋体" w:eastAsia="宋体" w:cs="宋体"/>
          <w:b/>
          <w:bCs/>
          <w:color w:val="000000"/>
          <w:sz w:val="24"/>
          <w:szCs w:val="24"/>
          <w:highlight w:val="none"/>
          <w:u w:val="single"/>
        </w:rPr>
        <w:t xml:space="preserve">工业 </w:t>
      </w:r>
      <w:r>
        <w:rPr>
          <w:rFonts w:hint="eastAsia" w:ascii="宋体" w:hAnsi="宋体" w:eastAsia="宋体" w:cs="宋体"/>
          <w:b/>
          <w:bCs/>
          <w:color w:val="000000"/>
          <w:sz w:val="24"/>
          <w:szCs w:val="24"/>
          <w:highlight w:val="none"/>
        </w:rPr>
        <w:t>行业认定企业类型标准。</w:t>
      </w:r>
    </w:p>
    <w:p w14:paraId="63BF1DAC">
      <w:pPr>
        <w:pStyle w:val="3"/>
        <w:ind w:firstLine="560"/>
        <w:rPr>
          <w:rFonts w:hint="eastAsia" w:ascii="宋体" w:hAnsi="宋体" w:eastAsia="宋体"/>
          <w:highlight w:val="none"/>
        </w:rPr>
      </w:pPr>
      <w:bookmarkStart w:id="1" w:name="_Toc337877615"/>
      <w:bookmarkStart w:id="2" w:name="_Toc1064185329"/>
      <w:bookmarkStart w:id="3" w:name="_Toc1899401549"/>
      <w:bookmarkStart w:id="4" w:name="_Toc382548620"/>
      <w:bookmarkStart w:id="5" w:name="_Toc292361325"/>
      <w:bookmarkStart w:id="6" w:name="_Toc2025078090"/>
      <w:bookmarkStart w:id="7" w:name="_Toc1452677390"/>
      <w:bookmarkStart w:id="8" w:name="_Toc1437377518_WPSOffice_Level2"/>
      <w:r>
        <w:rPr>
          <w:rFonts w:hint="eastAsia" w:ascii="宋体" w:hAnsi="宋体" w:eastAsia="宋体"/>
          <w:highlight w:val="none"/>
        </w:rPr>
        <w:t>一、采购需求前附表</w:t>
      </w:r>
      <w:bookmarkEnd w:id="1"/>
      <w:bookmarkEnd w:id="2"/>
      <w:bookmarkEnd w:id="3"/>
      <w:bookmarkEnd w:id="4"/>
      <w:bookmarkEnd w:id="5"/>
      <w:bookmarkEnd w:id="6"/>
      <w:bookmarkEnd w:id="7"/>
      <w:bookmarkEnd w:id="8"/>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900"/>
        <w:gridCol w:w="5698"/>
      </w:tblGrid>
      <w:tr w14:paraId="49B5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6D8126AF">
            <w:pPr>
              <w:pStyle w:val="21"/>
              <w:pBdr>
                <w:bottom w:val="none" w:color="auto" w:sz="0" w:space="0"/>
              </w:pBdr>
              <w:tabs>
                <w:tab w:val="clear" w:pos="4153"/>
                <w:tab w:val="clear" w:pos="8306"/>
              </w:tabs>
              <w:adjustRightInd/>
              <w:spacing w:line="240" w:lineRule="auto"/>
              <w:textAlignment w:val="auto"/>
              <w:rPr>
                <w:rFonts w:hint="eastAsia" w:ascii="宋体" w:hAnsi="宋体" w:eastAsia="宋体" w:cs="宋体"/>
                <w:b/>
                <w:kern w:val="2"/>
                <w:highlight w:val="none"/>
              </w:rPr>
            </w:pPr>
            <w:r>
              <w:rPr>
                <w:rFonts w:hint="eastAsia" w:ascii="宋体" w:hAnsi="宋体" w:eastAsia="宋体" w:cs="宋体"/>
                <w:b/>
                <w:kern w:val="2"/>
                <w:highlight w:val="none"/>
              </w:rPr>
              <w:t>序号</w:t>
            </w:r>
          </w:p>
        </w:tc>
        <w:tc>
          <w:tcPr>
            <w:tcW w:w="1900" w:type="dxa"/>
            <w:vAlign w:val="center"/>
          </w:tcPr>
          <w:p w14:paraId="2D02B096">
            <w:pPr>
              <w:pStyle w:val="22"/>
              <w:widowControl w:val="0"/>
              <w:spacing w:before="0" w:beforeAutospacing="0" w:after="0" w:afterAutospacing="0" w:line="360" w:lineRule="auto"/>
              <w:rPr>
                <w:rFonts w:hint="eastAsia" w:ascii="宋体" w:hAnsi="宋体" w:eastAsia="宋体" w:cs="宋体"/>
                <w:bCs w:val="0"/>
                <w:sz w:val="24"/>
                <w:highlight w:val="none"/>
              </w:rPr>
            </w:pPr>
            <w:r>
              <w:rPr>
                <w:rFonts w:hint="eastAsia" w:ascii="宋体" w:hAnsi="宋体" w:eastAsia="宋体" w:cs="宋体"/>
                <w:bCs w:val="0"/>
                <w:sz w:val="24"/>
                <w:highlight w:val="none"/>
              </w:rPr>
              <w:t>条款名称</w:t>
            </w:r>
          </w:p>
        </w:tc>
        <w:tc>
          <w:tcPr>
            <w:tcW w:w="5698" w:type="dxa"/>
            <w:vAlign w:val="center"/>
          </w:tcPr>
          <w:p w14:paraId="685B35E3">
            <w:pPr>
              <w:pStyle w:val="22"/>
              <w:widowControl w:val="0"/>
              <w:spacing w:before="0" w:beforeAutospacing="0" w:after="0" w:afterAutospacing="0" w:line="360" w:lineRule="auto"/>
              <w:rPr>
                <w:rFonts w:hint="eastAsia" w:ascii="宋体" w:hAnsi="宋体" w:eastAsia="宋体" w:cs="宋体"/>
                <w:bCs w:val="0"/>
                <w:sz w:val="24"/>
                <w:highlight w:val="none"/>
              </w:rPr>
            </w:pPr>
            <w:r>
              <w:rPr>
                <w:rFonts w:hint="eastAsia" w:ascii="宋体" w:hAnsi="宋体" w:eastAsia="宋体" w:cs="宋体"/>
                <w:bCs w:val="0"/>
                <w:sz w:val="24"/>
                <w:highlight w:val="none"/>
              </w:rPr>
              <w:t>内容、说明与要求</w:t>
            </w:r>
          </w:p>
        </w:tc>
      </w:tr>
      <w:tr w14:paraId="7715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71B21BD3">
            <w:pPr>
              <w:pStyle w:val="21"/>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highlight w:val="none"/>
              </w:rPr>
            </w:pPr>
            <w:r>
              <w:rPr>
                <w:rFonts w:hint="eastAsia" w:ascii="宋体" w:hAnsi="宋体" w:eastAsia="宋体" w:cs="宋体"/>
                <w:bCs/>
                <w:kern w:val="2"/>
                <w:highlight w:val="none"/>
              </w:rPr>
              <w:t>1</w:t>
            </w:r>
          </w:p>
        </w:tc>
        <w:tc>
          <w:tcPr>
            <w:tcW w:w="1900" w:type="dxa"/>
            <w:vAlign w:val="center"/>
          </w:tcPr>
          <w:p w14:paraId="1B4621D8">
            <w:pPr>
              <w:pStyle w:val="22"/>
              <w:widowControl w:val="0"/>
              <w:spacing w:before="0" w:beforeAutospacing="0" w:after="0" w:afterAutospacing="0" w:line="360" w:lineRule="auto"/>
              <w:rPr>
                <w:rFonts w:hint="eastAsia" w:ascii="宋体" w:hAnsi="宋体" w:eastAsia="宋体" w:cs="宋体"/>
                <w:b w:val="0"/>
                <w:sz w:val="24"/>
                <w:highlight w:val="none"/>
              </w:rPr>
            </w:pPr>
            <w:r>
              <w:rPr>
                <w:rFonts w:hint="eastAsia" w:ascii="宋体" w:hAnsi="宋体" w:eastAsia="宋体" w:cs="宋体"/>
                <w:b w:val="0"/>
                <w:sz w:val="24"/>
                <w:highlight w:val="none"/>
              </w:rPr>
              <w:t>付款方式</w:t>
            </w:r>
          </w:p>
        </w:tc>
        <w:tc>
          <w:tcPr>
            <w:tcW w:w="5698" w:type="dxa"/>
            <w:vAlign w:val="center"/>
          </w:tcPr>
          <w:p w14:paraId="238F9ACF">
            <w:pPr>
              <w:pStyle w:val="22"/>
              <w:widowControl w:val="0"/>
              <w:spacing w:before="0" w:beforeAutospacing="0" w:after="0" w:afterAutospacing="0" w:line="360" w:lineRule="auto"/>
              <w:jc w:val="left"/>
              <w:rPr>
                <w:rFonts w:hint="eastAsia" w:ascii="宋体" w:hAnsi="宋体" w:eastAsia="宋体" w:cs="宋体"/>
                <w:b w:val="0"/>
                <w:sz w:val="24"/>
                <w:highlight w:val="none"/>
              </w:rPr>
            </w:pPr>
            <w:r>
              <w:rPr>
                <w:rFonts w:hint="eastAsia" w:ascii="宋体" w:hAnsi="宋体" w:eastAsia="宋体" w:cs="宋体"/>
                <w:b w:val="0"/>
                <w:sz w:val="24"/>
                <w:highlight w:val="none"/>
              </w:rPr>
              <w:t>合同签订生效并具备实施条件后支付合同款的</w:t>
            </w:r>
            <w:r>
              <w:rPr>
                <w:rFonts w:hint="eastAsia" w:ascii="宋体" w:hAnsi="宋体" w:eastAsia="宋体" w:cs="宋体"/>
                <w:b w:val="0"/>
                <w:sz w:val="24"/>
                <w:highlight w:val="none"/>
                <w:lang w:val="en-US" w:eastAsia="zh-CN"/>
              </w:rPr>
              <w:t>7</w:t>
            </w:r>
            <w:r>
              <w:rPr>
                <w:rFonts w:hint="eastAsia" w:ascii="宋体" w:hAnsi="宋体" w:eastAsia="宋体" w:cs="宋体"/>
                <w:b w:val="0"/>
                <w:sz w:val="24"/>
                <w:highlight w:val="none"/>
              </w:rPr>
              <w:t>0%为预付款，供货安装调试完成后，经验收合格付清剩余</w:t>
            </w:r>
            <w:r>
              <w:rPr>
                <w:rFonts w:hint="eastAsia" w:ascii="宋体" w:hAnsi="宋体" w:eastAsia="宋体" w:cs="宋体"/>
                <w:b w:val="0"/>
                <w:sz w:val="24"/>
                <w:highlight w:val="none"/>
                <w:lang w:val="en-US" w:eastAsia="zh-CN"/>
              </w:rPr>
              <w:t>3</w:t>
            </w:r>
            <w:r>
              <w:rPr>
                <w:rFonts w:hint="eastAsia" w:ascii="宋体" w:hAnsi="宋体" w:eastAsia="宋体" w:cs="宋体"/>
                <w:b w:val="0"/>
                <w:sz w:val="24"/>
                <w:highlight w:val="none"/>
              </w:rPr>
              <w:t>0%合同款。（供货人须提供增值税专用发票）</w:t>
            </w:r>
          </w:p>
        </w:tc>
      </w:tr>
      <w:tr w14:paraId="2315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5B202CE2">
            <w:pPr>
              <w:pStyle w:val="21"/>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highlight w:val="none"/>
              </w:rPr>
            </w:pPr>
            <w:r>
              <w:rPr>
                <w:rFonts w:hint="eastAsia" w:ascii="宋体" w:hAnsi="宋体" w:eastAsia="宋体" w:cs="宋体"/>
                <w:bCs/>
                <w:kern w:val="2"/>
                <w:highlight w:val="none"/>
              </w:rPr>
              <w:t>2</w:t>
            </w:r>
          </w:p>
        </w:tc>
        <w:tc>
          <w:tcPr>
            <w:tcW w:w="1900" w:type="dxa"/>
            <w:vAlign w:val="center"/>
          </w:tcPr>
          <w:p w14:paraId="07D1519F">
            <w:pPr>
              <w:pStyle w:val="22"/>
              <w:widowControl w:val="0"/>
              <w:spacing w:before="0" w:beforeAutospacing="0" w:after="0" w:afterAutospacing="0" w:line="360" w:lineRule="auto"/>
              <w:rPr>
                <w:rFonts w:hint="eastAsia" w:ascii="宋体" w:hAnsi="宋体" w:eastAsia="宋体" w:cs="宋体"/>
                <w:b w:val="0"/>
                <w:sz w:val="24"/>
                <w:highlight w:val="none"/>
              </w:rPr>
            </w:pPr>
            <w:r>
              <w:rPr>
                <w:rFonts w:hint="eastAsia" w:ascii="宋体" w:hAnsi="宋体" w:eastAsia="宋体" w:cs="宋体"/>
                <w:b w:val="0"/>
                <w:sz w:val="24"/>
                <w:highlight w:val="none"/>
              </w:rPr>
              <w:t>供货及安装地点</w:t>
            </w:r>
          </w:p>
        </w:tc>
        <w:tc>
          <w:tcPr>
            <w:tcW w:w="5698" w:type="dxa"/>
            <w:vAlign w:val="center"/>
          </w:tcPr>
          <w:p w14:paraId="69240A9A">
            <w:pPr>
              <w:pStyle w:val="22"/>
              <w:widowControl w:val="0"/>
              <w:spacing w:before="0" w:beforeAutospacing="0" w:after="0" w:afterAutospacing="0" w:line="360" w:lineRule="auto"/>
              <w:jc w:val="left"/>
              <w:rPr>
                <w:rFonts w:hint="eastAsia" w:ascii="宋体" w:hAnsi="宋体" w:eastAsia="宋体" w:cs="宋体"/>
                <w:b w:val="0"/>
                <w:sz w:val="24"/>
                <w:highlight w:val="none"/>
              </w:rPr>
            </w:pPr>
            <w:r>
              <w:rPr>
                <w:rFonts w:hint="eastAsia" w:ascii="宋体" w:hAnsi="宋体" w:eastAsia="宋体" w:cs="宋体"/>
                <w:b w:val="0"/>
                <w:sz w:val="24"/>
                <w:highlight w:val="none"/>
              </w:rPr>
              <w:t>铜陵学院或采购人指定地点</w:t>
            </w:r>
          </w:p>
        </w:tc>
      </w:tr>
      <w:tr w14:paraId="343C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0C488053">
            <w:pPr>
              <w:pStyle w:val="21"/>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highlight w:val="none"/>
              </w:rPr>
            </w:pPr>
            <w:r>
              <w:rPr>
                <w:rFonts w:hint="eastAsia" w:ascii="宋体" w:hAnsi="宋体" w:eastAsia="宋体" w:cs="宋体"/>
                <w:bCs/>
                <w:kern w:val="2"/>
                <w:highlight w:val="none"/>
              </w:rPr>
              <w:t>3</w:t>
            </w:r>
          </w:p>
        </w:tc>
        <w:tc>
          <w:tcPr>
            <w:tcW w:w="1900" w:type="dxa"/>
            <w:vAlign w:val="center"/>
          </w:tcPr>
          <w:p w14:paraId="5FB9D805">
            <w:pPr>
              <w:pStyle w:val="22"/>
              <w:widowControl w:val="0"/>
              <w:spacing w:before="0" w:beforeAutospacing="0" w:after="0" w:afterAutospacing="0" w:line="360" w:lineRule="auto"/>
              <w:rPr>
                <w:rFonts w:hint="eastAsia" w:ascii="宋体" w:hAnsi="宋体" w:eastAsia="宋体" w:cs="宋体"/>
                <w:b w:val="0"/>
                <w:sz w:val="24"/>
                <w:highlight w:val="none"/>
              </w:rPr>
            </w:pPr>
            <w:r>
              <w:rPr>
                <w:rFonts w:hint="eastAsia" w:ascii="宋体" w:hAnsi="宋体" w:eastAsia="宋体" w:cs="宋体"/>
                <w:b w:val="0"/>
                <w:sz w:val="24"/>
                <w:highlight w:val="none"/>
              </w:rPr>
              <w:t>供货及安装期限</w:t>
            </w:r>
          </w:p>
        </w:tc>
        <w:tc>
          <w:tcPr>
            <w:tcW w:w="5698" w:type="dxa"/>
            <w:vAlign w:val="center"/>
          </w:tcPr>
          <w:p w14:paraId="6967CA7A">
            <w:pPr>
              <w:pStyle w:val="22"/>
              <w:widowControl w:val="0"/>
              <w:spacing w:before="0" w:beforeAutospacing="0" w:after="0" w:afterAutospacing="0" w:line="360" w:lineRule="auto"/>
              <w:jc w:val="both"/>
              <w:rPr>
                <w:rFonts w:hint="eastAsia" w:ascii="宋体" w:hAnsi="宋体" w:eastAsia="宋体" w:cs="宋体"/>
                <w:b w:val="0"/>
                <w:sz w:val="24"/>
                <w:highlight w:val="none"/>
              </w:rPr>
            </w:pPr>
            <w:r>
              <w:rPr>
                <w:rFonts w:hint="eastAsia" w:ascii="宋体" w:hAnsi="宋体" w:eastAsia="宋体" w:cs="宋体"/>
                <w:b w:val="0"/>
                <w:sz w:val="24"/>
                <w:highlight w:val="none"/>
              </w:rPr>
              <w:t>合同签订后</w:t>
            </w:r>
            <w:r>
              <w:rPr>
                <w:rFonts w:ascii="宋体" w:hAnsi="宋体" w:eastAsia="宋体" w:cs="宋体"/>
                <w:b w:val="0"/>
                <w:sz w:val="24"/>
                <w:highlight w:val="none"/>
              </w:rPr>
              <w:t>90</w:t>
            </w:r>
            <w:r>
              <w:rPr>
                <w:rFonts w:hint="eastAsia" w:ascii="宋体" w:hAnsi="宋体" w:eastAsia="宋体" w:cs="宋体"/>
                <w:b w:val="0"/>
                <w:sz w:val="24"/>
                <w:highlight w:val="none"/>
              </w:rPr>
              <w:t>个日历天内供货安装调试验收完毕。</w:t>
            </w:r>
          </w:p>
        </w:tc>
      </w:tr>
      <w:tr w14:paraId="41B6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vAlign w:val="center"/>
          </w:tcPr>
          <w:p w14:paraId="04535460">
            <w:pPr>
              <w:pStyle w:val="21"/>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highlight w:val="none"/>
              </w:rPr>
            </w:pPr>
            <w:r>
              <w:rPr>
                <w:rFonts w:hint="eastAsia" w:ascii="宋体" w:hAnsi="宋体" w:eastAsia="宋体" w:cs="宋体"/>
                <w:bCs/>
                <w:kern w:val="2"/>
                <w:highlight w:val="none"/>
              </w:rPr>
              <w:t>4</w:t>
            </w:r>
          </w:p>
        </w:tc>
        <w:tc>
          <w:tcPr>
            <w:tcW w:w="1900" w:type="dxa"/>
            <w:vAlign w:val="center"/>
          </w:tcPr>
          <w:p w14:paraId="555935E5">
            <w:pPr>
              <w:pStyle w:val="22"/>
              <w:widowControl w:val="0"/>
              <w:spacing w:before="0" w:beforeAutospacing="0" w:after="0" w:afterAutospacing="0" w:line="360" w:lineRule="auto"/>
              <w:rPr>
                <w:rFonts w:hint="eastAsia" w:ascii="宋体" w:hAnsi="宋体" w:eastAsia="宋体" w:cs="宋体"/>
                <w:b w:val="0"/>
                <w:sz w:val="24"/>
                <w:highlight w:val="none"/>
              </w:rPr>
            </w:pPr>
            <w:r>
              <w:rPr>
                <w:rFonts w:hint="eastAsia" w:ascii="宋体" w:hAnsi="宋体" w:eastAsia="宋体" w:cs="宋体"/>
                <w:b w:val="0"/>
                <w:sz w:val="24"/>
                <w:highlight w:val="none"/>
              </w:rPr>
              <w:t>质保期</w:t>
            </w:r>
          </w:p>
        </w:tc>
        <w:tc>
          <w:tcPr>
            <w:tcW w:w="5698" w:type="dxa"/>
            <w:vAlign w:val="center"/>
          </w:tcPr>
          <w:p w14:paraId="45B2E2FE">
            <w:pPr>
              <w:pStyle w:val="22"/>
              <w:widowControl w:val="0"/>
              <w:spacing w:before="0" w:beforeAutospacing="0" w:after="0" w:afterAutospacing="0" w:line="360" w:lineRule="auto"/>
              <w:jc w:val="left"/>
              <w:rPr>
                <w:rFonts w:hint="eastAsia" w:ascii="宋体" w:hAnsi="宋体" w:eastAsia="宋体" w:cs="宋体"/>
                <w:b w:val="0"/>
                <w:sz w:val="24"/>
                <w:highlight w:val="none"/>
              </w:rPr>
            </w:pPr>
            <w:r>
              <w:rPr>
                <w:rFonts w:hint="eastAsia" w:ascii="宋体" w:hAnsi="宋体" w:eastAsia="宋体" w:cs="宋体"/>
                <w:b w:val="0"/>
                <w:sz w:val="24"/>
                <w:highlight w:val="none"/>
              </w:rPr>
              <w:t>自验收合格之日起3年。</w:t>
            </w:r>
          </w:p>
        </w:tc>
      </w:tr>
    </w:tbl>
    <w:p w14:paraId="3B0EB3FE">
      <w:pPr>
        <w:pStyle w:val="3"/>
        <w:ind w:firstLine="560"/>
        <w:rPr>
          <w:rFonts w:hint="eastAsia" w:ascii="宋体" w:hAnsi="宋体" w:eastAsia="宋体"/>
          <w:highlight w:val="none"/>
        </w:rPr>
      </w:pPr>
      <w:bookmarkStart w:id="9" w:name="_Toc369119811"/>
      <w:bookmarkStart w:id="10" w:name="_Toc1693477008"/>
      <w:bookmarkStart w:id="11" w:name="_Toc58935147"/>
      <w:bookmarkStart w:id="12" w:name="_Toc1191965283_WPSOffice_Level2"/>
      <w:bookmarkStart w:id="13" w:name="_Toc1715351726"/>
      <w:bookmarkStart w:id="14" w:name="_Toc717369146"/>
      <w:bookmarkStart w:id="15" w:name="_Toc626387511"/>
      <w:bookmarkStart w:id="16" w:name="_Toc302804901"/>
      <w:r>
        <w:rPr>
          <w:rFonts w:hint="eastAsia"/>
          <w:highlight w:val="none"/>
        </w:rPr>
        <w:br w:type="page"/>
      </w:r>
      <w:r>
        <w:rPr>
          <w:rFonts w:hint="eastAsia" w:ascii="宋体" w:hAnsi="宋体" w:eastAsia="宋体"/>
          <w:highlight w:val="none"/>
        </w:rPr>
        <w:t>二、采购需求</w:t>
      </w:r>
      <w:bookmarkEnd w:id="9"/>
      <w:bookmarkEnd w:id="10"/>
      <w:bookmarkEnd w:id="11"/>
      <w:bookmarkEnd w:id="12"/>
      <w:bookmarkEnd w:id="13"/>
      <w:bookmarkEnd w:id="14"/>
      <w:bookmarkEnd w:id="15"/>
      <w:bookmarkEnd w:id="16"/>
    </w:p>
    <w:p w14:paraId="0C6568AC">
      <w:pPr>
        <w:adjustRightInd w:val="0"/>
        <w:snapToGrid w:val="0"/>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（一）项目基本情况</w:t>
      </w:r>
    </w:p>
    <w:p w14:paraId="483DAEE5">
      <w:pPr>
        <w:widowControl/>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拟建设的激光增材再制造实验室，主要依托安徽省铜基新材料产业共性技术研究中心绿色低碳制造及智能制造方向、高端铜基新材料关键技术安徽省联合学科重点实验室高端铜及铜合金表面处理关键技术方向，同时可以为材料科学与工程获安徽省应用型高峰培育学科，材料与化工硕士专业学位点提供强有力的支撑，另外将为申请获批安徽省激光增材再制造技术与装备工程研究中心创造直接条件，实验室也为先进材料成形及增材制造安徽省高校优秀科研创新团队提供硬件条件。实验室虽然是科研实验室，也可以用于增材制造工程及相关专业的教学实验、实训，实验室设置在实验楼C楼1楼，属于机械工程和材料科学与工程的交叉学科，主要承担激光增材制造、激光熔覆、激光再制造等机理、工艺研究及产学研服务等方面的科研任务。</w:t>
      </w:r>
    </w:p>
    <w:p w14:paraId="5445298C">
      <w:pPr>
        <w:widowControl/>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（1）为相关平台、高峰学科、硕士点建设提供支撑</w:t>
      </w:r>
    </w:p>
    <w:p w14:paraId="1B50A4F0">
      <w:pPr>
        <w:widowControl/>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自2022年以来学院先后获批了安徽省铜基新材料产业共性技术研究中心、高端铜基新材料关键技术安徽省联合学科重点实验室、材料科学与工程获安徽省应用型高峰培育学科，机械工程学院还承担材料与化工硕士专业学位点的建设任务，不管是已有科研平台、高峰培育学科还是硕士点建设，增材制造及表面工程都是作为一个主要支撑方向，另外2023年申请了安徽省激光增材再制造技术与装备工程研究中心，虽然进入了答辩环节，但由于实验室建设、前期积累等方面原因，遗憾没能最终获批，因此有必要加强增材制造及表面工程方向的实验室建设，不仅可以支撑已有的科研平台，也为高峰培育学科、硕士点建设提供强有力的支撑，更为后期获批安徽省激光增材再制造技术与装备工程研究中心提供硬件基础，有助于形成具有自主知识产权的激光增材再制造加工关键技术，助力铜陵市及安徽省相关产业高质量转型，构建面向“双碳”目标的循环经济体系。</w:t>
      </w:r>
    </w:p>
    <w:p w14:paraId="578788A6">
      <w:pPr>
        <w:widowControl/>
        <w:adjustRightInd w:val="0"/>
        <w:snapToGrid w:val="0"/>
        <w:spacing w:line="360" w:lineRule="auto"/>
        <w:ind w:firstLine="480" w:firstLineChars="200"/>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rPr>
        <w:t>（2）为增材制造工程专业和先进材料成形及增材制造科研创新团队提供硬件基础学院增材制造工程专业2022年开始招生，为全国第二批设置增材制造工程专业高校，激光增材再制造实验室的建设，不仅可以为增材制造工程专业提供教学实验室，也可以为增材制造工程专业教研室和先进材料成形及增材制造科研创新团队提供平台，使相关教师可以教学科研并重，依托科研助力教学。</w:t>
      </w:r>
    </w:p>
    <w:p w14:paraId="24EB9C1B">
      <w:pPr>
        <w:pStyle w:val="15"/>
        <w:spacing w:beforeLines="100" w:afterLines="100"/>
        <w:ind w:left="482"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（二）货物需求说明</w:t>
      </w:r>
    </w:p>
    <w:tbl>
      <w:tblPr>
        <w:tblStyle w:val="16"/>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1233"/>
        <w:gridCol w:w="5775"/>
      </w:tblGrid>
      <w:tr w14:paraId="4F03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714" w:type="dxa"/>
            <w:vAlign w:val="center"/>
          </w:tcPr>
          <w:p w14:paraId="3DBAED9F">
            <w:pPr>
              <w:widowControl/>
              <w:spacing w:line="440" w:lineRule="exact"/>
              <w:jc w:val="center"/>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标识重要性</w:t>
            </w:r>
          </w:p>
        </w:tc>
        <w:tc>
          <w:tcPr>
            <w:tcW w:w="1233" w:type="dxa"/>
            <w:vAlign w:val="center"/>
          </w:tcPr>
          <w:p w14:paraId="0AEAD590">
            <w:pPr>
              <w:widowControl/>
              <w:spacing w:line="440" w:lineRule="exact"/>
              <w:jc w:val="center"/>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标识符号</w:t>
            </w:r>
          </w:p>
        </w:tc>
        <w:tc>
          <w:tcPr>
            <w:tcW w:w="5775" w:type="dxa"/>
            <w:vAlign w:val="center"/>
          </w:tcPr>
          <w:p w14:paraId="0BD86DAF">
            <w:pPr>
              <w:widowControl/>
              <w:spacing w:line="440" w:lineRule="exact"/>
              <w:jc w:val="center"/>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代表意思</w:t>
            </w:r>
          </w:p>
        </w:tc>
      </w:tr>
      <w:tr w14:paraId="3BC7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14:paraId="66E855C9">
            <w:pPr>
              <w:widowControl/>
              <w:spacing w:line="44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重要指标项</w:t>
            </w:r>
          </w:p>
        </w:tc>
        <w:tc>
          <w:tcPr>
            <w:tcW w:w="1233" w:type="dxa"/>
            <w:vAlign w:val="center"/>
          </w:tcPr>
          <w:p w14:paraId="5D786ACF">
            <w:pPr>
              <w:widowControl/>
              <w:spacing w:line="44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5775" w:type="dxa"/>
            <w:vAlign w:val="center"/>
          </w:tcPr>
          <w:p w14:paraId="56C45A12">
            <w:pPr>
              <w:widowControl/>
              <w:spacing w:line="440" w:lineRule="exact"/>
              <w:ind w:firstLine="480" w:firstLineChars="200"/>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作为评分项，详见“第四章评标方法和标准”中评分细则。</w:t>
            </w:r>
          </w:p>
        </w:tc>
      </w:tr>
      <w:tr w14:paraId="52FE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14:paraId="0C4BBEB0">
            <w:pPr>
              <w:widowControl/>
              <w:spacing w:line="44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一般技术指标（无标识项）</w:t>
            </w:r>
          </w:p>
        </w:tc>
        <w:tc>
          <w:tcPr>
            <w:tcW w:w="1233" w:type="dxa"/>
            <w:vAlign w:val="center"/>
          </w:tcPr>
          <w:p w14:paraId="7A36670D">
            <w:pPr>
              <w:widowControl/>
              <w:spacing w:line="44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c>
          <w:tcPr>
            <w:tcW w:w="5775" w:type="dxa"/>
            <w:vAlign w:val="center"/>
          </w:tcPr>
          <w:p w14:paraId="0EF26DA3">
            <w:pPr>
              <w:widowControl/>
              <w:spacing w:line="440" w:lineRule="exact"/>
              <w:ind w:firstLine="480" w:firstLineChars="200"/>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作为评分项，详见“第四章评标方法和标准”中评分细则。</w:t>
            </w:r>
          </w:p>
        </w:tc>
      </w:tr>
    </w:tbl>
    <w:p w14:paraId="71F8952A">
      <w:pPr>
        <w:pStyle w:val="15"/>
        <w:spacing w:beforeLines="100" w:afterLines="100"/>
        <w:ind w:left="482"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（三）采购需求清单</w:t>
      </w:r>
    </w:p>
    <w:tbl>
      <w:tblPr>
        <w:tblStyle w:val="16"/>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
        <w:gridCol w:w="803"/>
        <w:gridCol w:w="5387"/>
        <w:gridCol w:w="567"/>
        <w:gridCol w:w="567"/>
        <w:gridCol w:w="745"/>
      </w:tblGrid>
      <w:tr w14:paraId="06C8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dxa"/>
            <w:vAlign w:val="center"/>
          </w:tcPr>
          <w:p w14:paraId="08279538">
            <w:pPr>
              <w:adjustRightInd w:val="0"/>
              <w:snapToGrid w:val="0"/>
              <w:spacing w:line="300" w:lineRule="auto"/>
              <w:jc w:val="center"/>
              <w:rPr>
                <w:rFonts w:hint="eastAsia" w:ascii="宋体" w:hAnsi="宋体" w:eastAsia="宋体" w:cs="Times New Roman"/>
                <w:sz w:val="24"/>
                <w:szCs w:val="24"/>
                <w:highlight w:val="none"/>
              </w:rPr>
            </w:pPr>
            <w:bookmarkStart w:id="17" w:name="_Toc13384869"/>
            <w:bookmarkStart w:id="18" w:name="_Toc49042126"/>
            <w:bookmarkStart w:id="19" w:name="_Toc1061105159_WPSOffice_Level2"/>
            <w:bookmarkStart w:id="20" w:name="_Toc1520309192"/>
            <w:bookmarkStart w:id="21" w:name="_Toc1101062245"/>
            <w:bookmarkStart w:id="22" w:name="_Toc1814319857"/>
            <w:bookmarkStart w:id="23" w:name="_Toc1900587714"/>
            <w:bookmarkStart w:id="24" w:name="_Toc902728931"/>
            <w:r>
              <w:rPr>
                <w:rFonts w:hint="eastAsia" w:ascii="宋体" w:hAnsi="宋体" w:eastAsia="宋体" w:cs="Times New Roman"/>
                <w:sz w:val="24"/>
                <w:szCs w:val="24"/>
                <w:highlight w:val="none"/>
              </w:rPr>
              <w:t>序号</w:t>
            </w:r>
          </w:p>
        </w:tc>
        <w:tc>
          <w:tcPr>
            <w:tcW w:w="803" w:type="dxa"/>
            <w:vAlign w:val="center"/>
          </w:tcPr>
          <w:p w14:paraId="2DAF92D6">
            <w:pPr>
              <w:adjustRightInd w:val="0"/>
              <w:snapToGrid w:val="0"/>
              <w:spacing w:line="300" w:lineRule="auto"/>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品目名称</w:t>
            </w:r>
          </w:p>
        </w:tc>
        <w:tc>
          <w:tcPr>
            <w:tcW w:w="5387" w:type="dxa"/>
            <w:vAlign w:val="center"/>
          </w:tcPr>
          <w:p w14:paraId="2A5FE1C0">
            <w:pPr>
              <w:adjustRightInd w:val="0"/>
              <w:snapToGrid w:val="0"/>
              <w:spacing w:line="300" w:lineRule="auto"/>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技术</w:t>
            </w:r>
            <w:r>
              <w:rPr>
                <w:rFonts w:ascii="宋体" w:hAnsi="宋体" w:eastAsia="宋体" w:cs="Times New Roman"/>
                <w:sz w:val="24"/>
                <w:szCs w:val="24"/>
                <w:highlight w:val="none"/>
              </w:rPr>
              <w:t>参数要求</w:t>
            </w:r>
          </w:p>
        </w:tc>
        <w:tc>
          <w:tcPr>
            <w:tcW w:w="567" w:type="dxa"/>
            <w:vAlign w:val="center"/>
          </w:tcPr>
          <w:p w14:paraId="604F9791">
            <w:pPr>
              <w:adjustRightInd w:val="0"/>
              <w:snapToGrid w:val="0"/>
              <w:spacing w:line="300" w:lineRule="auto"/>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数量</w:t>
            </w:r>
          </w:p>
        </w:tc>
        <w:tc>
          <w:tcPr>
            <w:tcW w:w="567" w:type="dxa"/>
            <w:vAlign w:val="center"/>
          </w:tcPr>
          <w:p w14:paraId="77914011">
            <w:pPr>
              <w:adjustRightInd w:val="0"/>
              <w:snapToGrid w:val="0"/>
              <w:spacing w:line="300" w:lineRule="auto"/>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单位</w:t>
            </w:r>
          </w:p>
        </w:tc>
        <w:tc>
          <w:tcPr>
            <w:tcW w:w="745" w:type="dxa"/>
            <w:vAlign w:val="center"/>
          </w:tcPr>
          <w:p w14:paraId="42BC0A68">
            <w:pPr>
              <w:adjustRightInd w:val="0"/>
              <w:snapToGrid w:val="0"/>
              <w:spacing w:line="300" w:lineRule="auto"/>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备注</w:t>
            </w:r>
          </w:p>
        </w:tc>
      </w:tr>
      <w:tr w14:paraId="1C5F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dxa"/>
            <w:vAlign w:val="center"/>
          </w:tcPr>
          <w:p w14:paraId="556498CC">
            <w:pPr>
              <w:adjustRightInd w:val="0"/>
              <w:snapToGrid w:val="0"/>
              <w:spacing w:line="300" w:lineRule="auto"/>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w:t>
            </w:r>
          </w:p>
        </w:tc>
        <w:tc>
          <w:tcPr>
            <w:tcW w:w="803" w:type="dxa"/>
            <w:vAlign w:val="center"/>
          </w:tcPr>
          <w:p w14:paraId="71CEF0A0">
            <w:pPr>
              <w:adjustRightInd w:val="0"/>
              <w:snapToGrid w:val="0"/>
              <w:spacing w:line="300" w:lineRule="auto"/>
              <w:jc w:val="center"/>
              <w:rPr>
                <w:rFonts w:hint="eastAsia" w:ascii="宋体" w:hAnsi="宋体" w:eastAsia="宋体" w:cs="Times New Roman"/>
                <w:sz w:val="24"/>
                <w:szCs w:val="24"/>
                <w:highlight w:val="none"/>
              </w:rPr>
            </w:pPr>
            <w:r>
              <w:rPr>
                <w:rFonts w:ascii="宋体" w:hAnsi="宋体" w:eastAsia="宋体" w:cs="宋体"/>
                <w:sz w:val="24"/>
                <w:szCs w:val="24"/>
                <w:highlight w:val="none"/>
              </w:rPr>
              <w:t>▲</w:t>
            </w:r>
            <w:r>
              <w:rPr>
                <w:rFonts w:hint="eastAsia" w:ascii="宋体" w:hAnsi="宋体" w:eastAsia="宋体" w:cs="宋体"/>
                <w:kern w:val="0"/>
                <w:sz w:val="24"/>
                <w:szCs w:val="24"/>
                <w:highlight w:val="none"/>
              </w:rPr>
              <w:t>多功能激光熔覆工作站</w:t>
            </w:r>
          </w:p>
        </w:tc>
        <w:tc>
          <w:tcPr>
            <w:tcW w:w="5387" w:type="dxa"/>
            <w:vAlign w:val="center"/>
          </w:tcPr>
          <w:p w14:paraId="6F8A96DC">
            <w:pPr>
              <w:numPr>
                <w:ilvl w:val="0"/>
                <w:numId w:val="2"/>
              </w:numPr>
              <w:spacing w:line="300" w:lineRule="auto"/>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设备采用模块化设计，以高功率激光能量发生器作为载能束热源，依托：</w:t>
            </w:r>
          </w:p>
          <w:p w14:paraId="0A7002A9">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6轴工业机器人和2轴成形平台等构成的激光增材制造功能模块；2）移动式机器人和回转平台等构成的激光熔覆功能模块；3）便携式激光增材修复功能模块，实现铁基、镍基、铝合金、钛合金等材质大尺寸金属零构件的增材制造和损伤零构件的高性能修复再制造。</w:t>
            </w:r>
          </w:p>
          <w:p w14:paraId="107C2AC0">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2、激光器系统1套，由激光器、操作光纤、水冷机等部件构成。</w:t>
            </w:r>
          </w:p>
          <w:p w14:paraId="72A309E8">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 xml:space="preserve">2.1 </w:t>
            </w:r>
            <w:r>
              <w:rPr>
                <w:rFonts w:hint="eastAsia" w:ascii="Times New Roman" w:hAnsi="Times New Roman" w:eastAsia="宋体" w:cs="Times New Roman"/>
                <w:sz w:val="24"/>
                <w:szCs w:val="24"/>
                <w:highlight w:val="none"/>
              </w:rPr>
              <w:t>激光器1套，最大输出激光功率≥6KW，中心波长9</w:t>
            </w:r>
            <w:r>
              <w:rPr>
                <w:rFonts w:ascii="Times New Roman" w:hAnsi="Times New Roman" w:eastAsia="宋体" w:cs="Times New Roman"/>
                <w:sz w:val="24"/>
                <w:szCs w:val="24"/>
                <w:highlight w:val="none"/>
              </w:rPr>
              <w:t>00-</w:t>
            </w:r>
            <w:r>
              <w:rPr>
                <w:rFonts w:hint="eastAsia" w:ascii="Times New Roman" w:hAnsi="Times New Roman" w:eastAsia="宋体" w:cs="Times New Roman"/>
                <w:sz w:val="24"/>
                <w:szCs w:val="24"/>
                <w:highlight w:val="none"/>
              </w:rPr>
              <w:t>1080nm，功率稳定性≤</w:t>
            </w:r>
            <w:r>
              <w:rPr>
                <w:rFonts w:ascii="Times New Roman" w:hAnsi="Times New Roman" w:eastAsia="宋体" w:cs="Times New Roman"/>
                <w:sz w:val="24"/>
                <w:szCs w:val="24"/>
                <w:highlight w:val="none"/>
              </w:rPr>
              <w:t>±2 %</w:t>
            </w:r>
            <w:r>
              <w:rPr>
                <w:rFonts w:hint="eastAsia" w:ascii="Times New Roman" w:hAnsi="Times New Roman" w:eastAsia="宋体" w:cs="Times New Roman"/>
                <w:sz w:val="24"/>
                <w:szCs w:val="24"/>
                <w:highlight w:val="none"/>
              </w:rPr>
              <w:t>，配置一分二光闸，可两路输出。</w:t>
            </w:r>
          </w:p>
          <w:p w14:paraId="62A0B918">
            <w:pPr>
              <w:spacing w:line="300" w:lineRule="auto"/>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2.2  </w:t>
            </w:r>
            <w:r>
              <w:rPr>
                <w:rFonts w:hint="eastAsia" w:ascii="Times New Roman" w:hAnsi="Times New Roman" w:eastAsia="宋体" w:cs="Times New Roman"/>
                <w:sz w:val="24"/>
                <w:szCs w:val="24"/>
                <w:highlight w:val="none"/>
              </w:rPr>
              <w:t>传输光纤2根，芯径6</w:t>
            </w:r>
            <w:r>
              <w:rPr>
                <w:rFonts w:ascii="Times New Roman" w:hAnsi="Times New Roman" w:eastAsia="宋体" w:cs="Times New Roman"/>
                <w:sz w:val="24"/>
                <w:szCs w:val="24"/>
                <w:highlight w:val="none"/>
              </w:rPr>
              <w:t>00</w:t>
            </w:r>
            <w:r>
              <w:rPr>
                <w:rFonts w:hint="eastAsia" w:ascii="Times New Roman" w:hAnsi="Times New Roman" w:eastAsia="宋体" w:cs="Times New Roman"/>
                <w:sz w:val="24"/>
                <w:szCs w:val="24"/>
                <w:highlight w:val="none"/>
              </w:rPr>
              <w:t>um或</w:t>
            </w:r>
            <w:r>
              <w:rPr>
                <w:rFonts w:ascii="Times New Roman" w:hAnsi="Times New Roman" w:eastAsia="宋体" w:cs="Times New Roman"/>
                <w:sz w:val="24"/>
                <w:szCs w:val="24"/>
                <w:highlight w:val="none"/>
              </w:rPr>
              <w:t>1000</w:t>
            </w:r>
            <w:r>
              <w:rPr>
                <w:rFonts w:hint="eastAsia" w:ascii="Times New Roman" w:hAnsi="Times New Roman" w:eastAsia="宋体" w:cs="Times New Roman"/>
                <w:sz w:val="24"/>
                <w:szCs w:val="24"/>
                <w:highlight w:val="none"/>
              </w:rPr>
              <w:t>um，长度≥</w:t>
            </w:r>
            <w:r>
              <w:rPr>
                <w:rFonts w:ascii="Times New Roman" w:hAnsi="Times New Roman" w:eastAsia="宋体" w:cs="Times New Roman"/>
                <w:sz w:val="24"/>
                <w:szCs w:val="24"/>
                <w:highlight w:val="none"/>
              </w:rPr>
              <w:t>20</w:t>
            </w:r>
            <w:r>
              <w:rPr>
                <w:rFonts w:hint="eastAsia" w:ascii="Times New Roman" w:hAnsi="Times New Roman" w:eastAsia="宋体" w:cs="Times New Roman"/>
                <w:sz w:val="24"/>
                <w:szCs w:val="24"/>
                <w:highlight w:val="none"/>
              </w:rPr>
              <w:t>m。</w:t>
            </w:r>
          </w:p>
          <w:p w14:paraId="089A285A">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w:t>
            </w:r>
            <w:r>
              <w:rPr>
                <w:rFonts w:ascii="Times New Roman" w:hAnsi="Times New Roman" w:eastAsia="宋体" w:cs="Times New Roman"/>
                <w:sz w:val="24"/>
                <w:szCs w:val="24"/>
                <w:highlight w:val="none"/>
              </w:rPr>
              <w:t xml:space="preserve">.3  </w:t>
            </w:r>
            <w:r>
              <w:rPr>
                <w:rFonts w:hint="eastAsia" w:ascii="Times New Roman" w:hAnsi="Times New Roman" w:eastAsia="宋体" w:cs="Times New Roman"/>
                <w:sz w:val="24"/>
                <w:szCs w:val="24"/>
                <w:highlight w:val="none"/>
              </w:rPr>
              <w:t>配套水冷机1套。</w:t>
            </w:r>
          </w:p>
          <w:p w14:paraId="2ED55469">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3、激光增材制造功能模块，由激光加工头、送粉器、6轴工业机器人、2轴成形平台、增材成形控制系统等部件构成。</w:t>
            </w:r>
          </w:p>
          <w:p w14:paraId="53834432">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w:t>
            </w:r>
            <w:r>
              <w:rPr>
                <w:rFonts w:ascii="Times New Roman" w:hAnsi="Times New Roman" w:eastAsia="宋体" w:cs="Times New Roman"/>
                <w:sz w:val="24"/>
                <w:szCs w:val="24"/>
                <w:highlight w:val="none"/>
              </w:rPr>
              <w:t xml:space="preserve">.1  </w:t>
            </w:r>
            <w:r>
              <w:rPr>
                <w:rFonts w:hint="eastAsia" w:ascii="Times New Roman" w:hAnsi="Times New Roman" w:eastAsia="宋体" w:cs="Times New Roman"/>
                <w:sz w:val="24"/>
                <w:szCs w:val="24"/>
                <w:highlight w:val="none"/>
              </w:rPr>
              <w:t>激光加工头2套：</w:t>
            </w:r>
          </w:p>
          <w:p w14:paraId="02578B64">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1）圆光斑激光加工头1套，采用三路或四路或环形粉嘴，最大承受激光功率≥6KW，最小焦点光斑≥Φ2.5</w:t>
            </w:r>
            <w:r>
              <w:rPr>
                <w:rFonts w:ascii="Times New Roman" w:hAnsi="Times New Roman" w:eastAsia="宋体" w:cs="Times New Roman"/>
                <w:sz w:val="24"/>
                <w:szCs w:val="24"/>
                <w:highlight w:val="none"/>
              </w:rPr>
              <w:t>mm</w:t>
            </w:r>
            <w:r>
              <w:rPr>
                <w:rFonts w:hint="eastAsia" w:ascii="Times New Roman" w:hAnsi="Times New Roman" w:eastAsia="宋体" w:cs="Times New Roman"/>
                <w:sz w:val="24"/>
                <w:szCs w:val="24"/>
                <w:highlight w:val="none"/>
              </w:rPr>
              <w:t>，适用于铁基、镍基、钴基等材料增材制造；</w:t>
            </w:r>
          </w:p>
          <w:p w14:paraId="5183E8ED">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2）自保护激光加工头1套，采用三路或四路或环形粉嘴，最大承受激光功率≥6KW，最小焦点光斑≥Φ2.5</w:t>
            </w:r>
            <w:r>
              <w:rPr>
                <w:rFonts w:ascii="Times New Roman" w:hAnsi="Times New Roman" w:eastAsia="宋体" w:cs="Times New Roman"/>
                <w:sz w:val="24"/>
                <w:szCs w:val="24"/>
                <w:highlight w:val="none"/>
              </w:rPr>
              <w:t>mm</w:t>
            </w:r>
            <w:r>
              <w:rPr>
                <w:rFonts w:hint="eastAsia" w:ascii="Times New Roman" w:hAnsi="Times New Roman" w:eastAsia="宋体" w:cs="Times New Roman"/>
                <w:sz w:val="24"/>
                <w:szCs w:val="24"/>
                <w:highlight w:val="none"/>
              </w:rPr>
              <w:t>，具备惰性气氛自保护功能，适用于铝合金、钛合金等材料大尺寸结构件空气环境下直接增材成形制造。</w:t>
            </w:r>
          </w:p>
          <w:p w14:paraId="16E3200F">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w:t>
            </w:r>
            <w:r>
              <w:rPr>
                <w:rFonts w:ascii="Times New Roman" w:hAnsi="Times New Roman" w:eastAsia="宋体" w:cs="Times New Roman"/>
                <w:sz w:val="24"/>
                <w:szCs w:val="24"/>
                <w:highlight w:val="none"/>
              </w:rPr>
              <w:t xml:space="preserve">.2  </w:t>
            </w:r>
            <w:r>
              <w:rPr>
                <w:rFonts w:hint="eastAsia" w:ascii="Times New Roman" w:hAnsi="Times New Roman" w:eastAsia="宋体" w:cs="Times New Roman"/>
                <w:sz w:val="24"/>
                <w:szCs w:val="24"/>
                <w:highlight w:val="none"/>
              </w:rPr>
              <w:t>送粉器2套，载气式双料仓送粉器，粉桶容积≥1.</w:t>
            </w:r>
            <w:r>
              <w:rPr>
                <w:rFonts w:ascii="Times New Roman" w:hAnsi="Times New Roman" w:eastAsia="宋体" w:cs="Times New Roman"/>
                <w:sz w:val="24"/>
                <w:szCs w:val="24"/>
                <w:highlight w:val="none"/>
              </w:rPr>
              <w:t>5</w:t>
            </w:r>
            <w:r>
              <w:rPr>
                <w:rFonts w:hint="eastAsia" w:ascii="Times New Roman" w:hAnsi="Times New Roman" w:eastAsia="宋体" w:cs="Times New Roman"/>
                <w:sz w:val="24"/>
                <w:szCs w:val="24"/>
                <w:highlight w:val="none"/>
              </w:rPr>
              <w:t>L/桶，送粉粒度20-250um，送粉量0.4-300g/min（铁基粉），送粉误差≤±1%，送粉距离≥</w:t>
            </w:r>
            <w:r>
              <w:rPr>
                <w:rFonts w:ascii="Times New Roman" w:hAnsi="Times New Roman" w:eastAsia="宋体" w:cs="Times New Roman"/>
                <w:sz w:val="24"/>
                <w:szCs w:val="24"/>
                <w:highlight w:val="none"/>
              </w:rPr>
              <w:t>15m</w:t>
            </w:r>
            <w:r>
              <w:rPr>
                <w:rFonts w:hint="eastAsia" w:ascii="Times New Roman" w:hAnsi="Times New Roman" w:eastAsia="宋体" w:cs="Times New Roman"/>
                <w:sz w:val="24"/>
                <w:szCs w:val="24"/>
                <w:highlight w:val="none"/>
              </w:rPr>
              <w:t>，可不停机续粉。</w:t>
            </w:r>
          </w:p>
          <w:p w14:paraId="4F8C1CD7">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w:t>
            </w:r>
            <w:r>
              <w:rPr>
                <w:rFonts w:ascii="Times New Roman" w:hAnsi="Times New Roman" w:eastAsia="宋体" w:cs="Times New Roman"/>
                <w:sz w:val="24"/>
                <w:szCs w:val="24"/>
                <w:highlight w:val="none"/>
              </w:rPr>
              <w:t xml:space="preserve">.3  </w:t>
            </w:r>
            <w:r>
              <w:rPr>
                <w:rFonts w:hint="eastAsia" w:ascii="Times New Roman" w:hAnsi="Times New Roman" w:eastAsia="宋体" w:cs="Times New Roman"/>
                <w:sz w:val="24"/>
                <w:szCs w:val="24"/>
                <w:highlight w:val="none"/>
              </w:rPr>
              <w:t>6轴工业机器人1套，轴数6轴，有效负载≥</w:t>
            </w:r>
            <w:r>
              <w:rPr>
                <w:rFonts w:ascii="Times New Roman" w:hAnsi="Times New Roman" w:eastAsia="宋体" w:cs="Times New Roman"/>
                <w:sz w:val="24"/>
                <w:szCs w:val="24"/>
                <w:highlight w:val="none"/>
              </w:rPr>
              <w:t>50</w:t>
            </w:r>
            <w:r>
              <w:rPr>
                <w:rFonts w:hint="eastAsia" w:ascii="Times New Roman" w:hAnsi="Times New Roman" w:eastAsia="宋体" w:cs="Times New Roman"/>
                <w:sz w:val="24"/>
                <w:szCs w:val="24"/>
                <w:highlight w:val="none"/>
              </w:rPr>
              <w:t>kg，臂展≥</w:t>
            </w:r>
            <w:r>
              <w:rPr>
                <w:rFonts w:ascii="Times New Roman" w:hAnsi="Times New Roman" w:eastAsia="宋体" w:cs="Times New Roman"/>
                <w:sz w:val="24"/>
                <w:szCs w:val="24"/>
                <w:highlight w:val="none"/>
              </w:rPr>
              <w:t>2100</w:t>
            </w:r>
            <w:r>
              <w:rPr>
                <w:rFonts w:hint="eastAsia" w:ascii="Times New Roman" w:hAnsi="Times New Roman" w:eastAsia="宋体" w:cs="Times New Roman"/>
                <w:sz w:val="24"/>
                <w:szCs w:val="24"/>
                <w:highlight w:val="none"/>
              </w:rPr>
              <w:t>mm，重复定位精度≤±0</w:t>
            </w:r>
            <w:r>
              <w:rPr>
                <w:rFonts w:ascii="Times New Roman" w:hAnsi="Times New Roman" w:eastAsia="宋体" w:cs="Times New Roman"/>
                <w:sz w:val="24"/>
                <w:szCs w:val="24"/>
                <w:highlight w:val="none"/>
              </w:rPr>
              <w:t>.06 mm</w:t>
            </w:r>
            <w:r>
              <w:rPr>
                <w:rFonts w:hint="eastAsia" w:ascii="Times New Roman" w:hAnsi="Times New Roman" w:eastAsia="宋体" w:cs="Times New Roman"/>
                <w:sz w:val="24"/>
                <w:szCs w:val="24"/>
                <w:highlight w:val="none"/>
              </w:rPr>
              <w:t>。</w:t>
            </w:r>
          </w:p>
          <w:p w14:paraId="7A64C4AA">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 xml:space="preserve">3.4  </w:t>
            </w:r>
            <w:r>
              <w:rPr>
                <w:rFonts w:hint="eastAsia" w:ascii="Times New Roman" w:hAnsi="Times New Roman" w:eastAsia="宋体" w:cs="Times New Roman"/>
                <w:sz w:val="24"/>
                <w:szCs w:val="24"/>
                <w:highlight w:val="none"/>
              </w:rPr>
              <w:t>2轴成形平台1套，采用铸造</w:t>
            </w:r>
            <w:r>
              <w:rPr>
                <w:rFonts w:hint="eastAsia" w:ascii="宋体" w:hAnsi="宋体" w:eastAsia="宋体" w:cs="宋体"/>
                <w:sz w:val="24"/>
                <w:szCs w:val="24"/>
                <w:highlight w:val="none"/>
              </w:rPr>
              <w:t>或焊接</w:t>
            </w:r>
            <w:r>
              <w:rPr>
                <w:rFonts w:hint="eastAsia" w:ascii="Times New Roman" w:hAnsi="Times New Roman" w:eastAsia="宋体" w:cs="Times New Roman"/>
                <w:sz w:val="24"/>
                <w:szCs w:val="24"/>
                <w:highlight w:val="none"/>
              </w:rPr>
              <w:t>型主体结构，由机器人系统控制实现8轴协调联动，旋转</w:t>
            </w:r>
            <w:r>
              <w:rPr>
                <w:rFonts w:ascii="Times New Roman" w:hAnsi="Times New Roman" w:eastAsia="宋体" w:cs="Times New Roman"/>
                <w:sz w:val="24"/>
                <w:szCs w:val="24"/>
                <w:highlight w:val="none"/>
              </w:rPr>
              <w:t>n×</w:t>
            </w:r>
            <w:r>
              <w:rPr>
                <w:rFonts w:hint="eastAsia" w:ascii="Times New Roman" w:hAnsi="Times New Roman" w:eastAsia="宋体" w:cs="Times New Roman"/>
                <w:sz w:val="24"/>
                <w:szCs w:val="24"/>
                <w:highlight w:val="none"/>
              </w:rPr>
              <w:t>360°，翻转</w:t>
            </w:r>
            <w:r>
              <w:rPr>
                <w:rFonts w:hint="eastAsia" w:ascii="Times New Roman" w:hAnsi="Times New Roman" w:eastAsia="等线" w:cs="Times New Roman"/>
                <w:sz w:val="24"/>
                <w:szCs w:val="24"/>
                <w:highlight w:val="none"/>
              </w:rPr>
              <w:t>0-</w:t>
            </w:r>
            <w:r>
              <w:rPr>
                <w:rFonts w:ascii="Times New Roman" w:hAnsi="Times New Roman" w:eastAsia="宋体" w:cs="Times New Roman"/>
                <w:sz w:val="24"/>
                <w:szCs w:val="24"/>
                <w:highlight w:val="none"/>
              </w:rPr>
              <w:t>90</w:t>
            </w:r>
            <w:r>
              <w:rPr>
                <w:rFonts w:hint="eastAsia" w:ascii="Times New Roman" w:hAnsi="Times New Roman" w:eastAsia="宋体" w:cs="Times New Roman"/>
                <w:sz w:val="24"/>
                <w:szCs w:val="24"/>
                <w:highlight w:val="none"/>
              </w:rPr>
              <w:t>°，卡盘最大可装夹直径≥Φ4</w:t>
            </w:r>
            <w:r>
              <w:rPr>
                <w:rFonts w:ascii="Times New Roman" w:hAnsi="Times New Roman" w:eastAsia="宋体" w:cs="Times New Roman"/>
                <w:sz w:val="24"/>
                <w:szCs w:val="24"/>
                <w:highlight w:val="none"/>
              </w:rPr>
              <w:t>00</w:t>
            </w:r>
            <w:r>
              <w:rPr>
                <w:rFonts w:hint="eastAsia" w:ascii="Times New Roman" w:hAnsi="Times New Roman" w:eastAsia="宋体" w:cs="Times New Roman"/>
                <w:sz w:val="24"/>
                <w:szCs w:val="24"/>
                <w:highlight w:val="none"/>
              </w:rPr>
              <w:t>mm，水平最大载重≥</w:t>
            </w:r>
            <w:r>
              <w:rPr>
                <w:rFonts w:ascii="Times New Roman" w:hAnsi="Times New Roman" w:eastAsia="宋体" w:cs="Times New Roman"/>
                <w:sz w:val="24"/>
                <w:szCs w:val="24"/>
                <w:highlight w:val="none"/>
              </w:rPr>
              <w:t>4</w:t>
            </w:r>
            <w:r>
              <w:rPr>
                <w:rFonts w:hint="eastAsia" w:ascii="Times New Roman" w:hAnsi="Times New Roman" w:eastAsia="宋体" w:cs="Times New Roman"/>
                <w:sz w:val="24"/>
                <w:szCs w:val="24"/>
                <w:highlight w:val="none"/>
              </w:rPr>
              <w:t>00kg。</w:t>
            </w:r>
          </w:p>
          <w:p w14:paraId="2AEB144E">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w:t>
            </w:r>
            <w:r>
              <w:rPr>
                <w:rFonts w:ascii="Times New Roman" w:hAnsi="Times New Roman" w:eastAsia="宋体" w:cs="Times New Roman"/>
                <w:sz w:val="24"/>
                <w:szCs w:val="24"/>
                <w:highlight w:val="none"/>
              </w:rPr>
              <w:t xml:space="preserve">.5  </w:t>
            </w:r>
            <w:r>
              <w:rPr>
                <w:rFonts w:hint="eastAsia" w:ascii="Times New Roman" w:hAnsi="Times New Roman" w:eastAsia="宋体" w:cs="Times New Roman"/>
                <w:sz w:val="24"/>
                <w:szCs w:val="24"/>
                <w:highlight w:val="none"/>
              </w:rPr>
              <w:t>增材成形控制系统1套，实现激光器、送粉器、机器人和成形平台等的集中控制。</w:t>
            </w:r>
          </w:p>
          <w:p w14:paraId="465431E6">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4、激光熔覆功能模块，由激光加工头、送粉器、移动机器人、回转平台、平面平台、控制系统等部件构成。</w:t>
            </w:r>
          </w:p>
          <w:p w14:paraId="3263423E">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 xml:space="preserve">4.1 </w:t>
            </w:r>
            <w:r>
              <w:rPr>
                <w:rFonts w:hint="eastAsia" w:ascii="Times New Roman" w:hAnsi="Times New Roman" w:eastAsia="宋体" w:cs="Times New Roman"/>
                <w:sz w:val="24"/>
                <w:szCs w:val="24"/>
                <w:highlight w:val="none"/>
              </w:rPr>
              <w:t>激光加工头2套：</w:t>
            </w:r>
          </w:p>
          <w:p w14:paraId="5F082AEE">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1）矩形光斑激光加工头，配置矩形宽带粉嘴，最大承受激光功率≥6KW，最小焦点光斑≥19*3.7</w:t>
            </w:r>
            <w:r>
              <w:rPr>
                <w:rFonts w:ascii="Times New Roman" w:hAnsi="Times New Roman" w:eastAsia="宋体" w:cs="Times New Roman"/>
                <w:sz w:val="24"/>
                <w:szCs w:val="24"/>
                <w:highlight w:val="none"/>
              </w:rPr>
              <w:t>mm</w:t>
            </w:r>
            <w:r>
              <w:rPr>
                <w:rFonts w:hint="eastAsia" w:ascii="Times New Roman" w:hAnsi="Times New Roman" w:eastAsia="宋体" w:cs="Times New Roman"/>
                <w:sz w:val="24"/>
                <w:szCs w:val="24"/>
                <w:highlight w:val="none"/>
              </w:rPr>
              <w:t>；</w:t>
            </w:r>
          </w:p>
          <w:p w14:paraId="3982D675">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2）内孔激光加工头，最小适用孔径≤Φ4</w:t>
            </w:r>
            <w:r>
              <w:rPr>
                <w:rFonts w:ascii="Times New Roman" w:hAnsi="Times New Roman" w:eastAsia="宋体" w:cs="Times New Roman"/>
                <w:sz w:val="24"/>
                <w:szCs w:val="24"/>
                <w:highlight w:val="none"/>
              </w:rPr>
              <w:t>0</w:t>
            </w:r>
            <w:r>
              <w:rPr>
                <w:rFonts w:hint="eastAsia" w:ascii="Times New Roman" w:hAnsi="Times New Roman" w:eastAsia="宋体" w:cs="Times New Roman"/>
                <w:sz w:val="24"/>
                <w:szCs w:val="24"/>
                <w:highlight w:val="none"/>
              </w:rPr>
              <w:t>mm，适用深度≥</w:t>
            </w:r>
            <w:r>
              <w:rPr>
                <w:rFonts w:ascii="Times New Roman" w:hAnsi="Times New Roman" w:eastAsia="宋体" w:cs="Times New Roman"/>
                <w:sz w:val="24"/>
                <w:szCs w:val="24"/>
                <w:highlight w:val="none"/>
              </w:rPr>
              <w:t>1800</w:t>
            </w:r>
            <w:r>
              <w:rPr>
                <w:rFonts w:hint="eastAsia" w:ascii="Times New Roman" w:hAnsi="Times New Roman" w:eastAsia="宋体" w:cs="Times New Roman"/>
                <w:sz w:val="24"/>
                <w:szCs w:val="24"/>
                <w:highlight w:val="none"/>
              </w:rPr>
              <w:t>mm，最大承受激光功率≥</w:t>
            </w: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KW，连续可调焦点光斑，</w:t>
            </w:r>
          </w:p>
          <w:p w14:paraId="56A4C874">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尺寸Φ</w:t>
            </w:r>
            <w:r>
              <w:rPr>
                <w:rFonts w:ascii="Times New Roman" w:hAnsi="Times New Roman" w:eastAsia="宋体" w:cs="Times New Roman"/>
                <w:sz w:val="24"/>
                <w:szCs w:val="24"/>
                <w:highlight w:val="none"/>
              </w:rPr>
              <w:t>1.2mm-2.5mm</w:t>
            </w:r>
            <w:r>
              <w:rPr>
                <w:rFonts w:hint="eastAsia" w:ascii="Times New Roman" w:hAnsi="Times New Roman" w:eastAsia="宋体" w:cs="Times New Roman"/>
                <w:sz w:val="24"/>
                <w:szCs w:val="24"/>
                <w:highlight w:val="none"/>
              </w:rPr>
              <w:t>，匹配实时视觉监控，满足盲孔和通孔内壁熔覆要求。</w:t>
            </w:r>
          </w:p>
          <w:p w14:paraId="5D78E8B4">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w:t>
            </w: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移动机器人1套，采用模块化、集成化设计，满足不同工位、不同地点的激光熔覆作业，作业过程中系统稳定性强，不发生移动。机器人轴数6轴，有效负载≥</w:t>
            </w:r>
            <w:r>
              <w:rPr>
                <w:rFonts w:ascii="Times New Roman" w:hAnsi="Times New Roman" w:eastAsia="宋体" w:cs="Times New Roman"/>
                <w:sz w:val="24"/>
                <w:szCs w:val="24"/>
                <w:highlight w:val="none"/>
              </w:rPr>
              <w:t>20</w:t>
            </w:r>
            <w:r>
              <w:rPr>
                <w:rFonts w:hint="eastAsia" w:ascii="Times New Roman" w:hAnsi="Times New Roman" w:eastAsia="宋体" w:cs="Times New Roman"/>
                <w:sz w:val="24"/>
                <w:szCs w:val="24"/>
                <w:highlight w:val="none"/>
              </w:rPr>
              <w:t>kg，臂展≥</w:t>
            </w: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6</w:t>
            </w:r>
            <w:r>
              <w:rPr>
                <w:rFonts w:ascii="Times New Roman" w:hAnsi="Times New Roman" w:eastAsia="宋体" w:cs="Times New Roman"/>
                <w:sz w:val="24"/>
                <w:szCs w:val="24"/>
                <w:highlight w:val="none"/>
              </w:rPr>
              <w:t>00</w:t>
            </w:r>
            <w:r>
              <w:rPr>
                <w:rFonts w:hint="eastAsia" w:ascii="Times New Roman" w:hAnsi="Times New Roman" w:eastAsia="宋体" w:cs="Times New Roman"/>
                <w:sz w:val="24"/>
                <w:szCs w:val="24"/>
                <w:highlight w:val="none"/>
              </w:rPr>
              <w:t>mm，重复定位精度≤±0</w:t>
            </w:r>
            <w:r>
              <w:rPr>
                <w:rFonts w:ascii="Times New Roman" w:hAnsi="Times New Roman" w:eastAsia="宋体" w:cs="Times New Roman"/>
                <w:sz w:val="24"/>
                <w:szCs w:val="24"/>
                <w:highlight w:val="none"/>
              </w:rPr>
              <w:t>.06 mm</w:t>
            </w:r>
            <w:r>
              <w:rPr>
                <w:rFonts w:hint="eastAsia" w:ascii="Times New Roman" w:hAnsi="Times New Roman" w:eastAsia="宋体" w:cs="Times New Roman"/>
                <w:sz w:val="24"/>
                <w:szCs w:val="24"/>
                <w:highlight w:val="none"/>
              </w:rPr>
              <w:t>。移动</w:t>
            </w:r>
            <w:r>
              <w:rPr>
                <w:rFonts w:hint="eastAsia" w:ascii="宋体" w:hAnsi="宋体" w:eastAsia="宋体" w:cs="宋体"/>
                <w:sz w:val="24"/>
                <w:szCs w:val="24"/>
                <w:highlight w:val="none"/>
              </w:rPr>
              <w:t>平台</w:t>
            </w:r>
            <w:r>
              <w:rPr>
                <w:rFonts w:hint="eastAsia" w:ascii="Times New Roman" w:hAnsi="Times New Roman" w:eastAsia="宋体" w:cs="Times New Roman"/>
                <w:sz w:val="24"/>
                <w:szCs w:val="24"/>
                <w:highlight w:val="none"/>
              </w:rPr>
              <w:t>采用麦克纳母轮式结构，结构紧凑，外形尺寸（长</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宽</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高）≤1600mm</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900</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800mm，承载≥800kg，最大移动速度≥0.3m/s，可原地转向，运动灵活。</w:t>
            </w:r>
          </w:p>
          <w:p w14:paraId="65E69BC2">
            <w:pPr>
              <w:spacing w:line="300" w:lineRule="auto"/>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w:t>
            </w:r>
            <w:r>
              <w:rPr>
                <w:rFonts w:hint="eastAsia" w:ascii="Times New Roman" w:hAnsi="Times New Roman" w:eastAsia="宋体" w:cs="Times New Roman"/>
                <w:sz w:val="24"/>
                <w:szCs w:val="24"/>
                <w:highlight w:val="none"/>
              </w:rPr>
              <w:t>3回转平台1套，采用铸造型或焊接型主体结构，中心高≥4</w:t>
            </w:r>
            <w:r>
              <w:rPr>
                <w:rFonts w:ascii="Times New Roman" w:hAnsi="Times New Roman" w:eastAsia="宋体" w:cs="Times New Roman"/>
                <w:sz w:val="24"/>
                <w:szCs w:val="24"/>
                <w:highlight w:val="none"/>
              </w:rPr>
              <w:t>00</w:t>
            </w:r>
            <w:r>
              <w:rPr>
                <w:rFonts w:hint="eastAsia" w:ascii="Times New Roman" w:hAnsi="Times New Roman" w:eastAsia="宋体" w:cs="Times New Roman"/>
                <w:sz w:val="24"/>
                <w:szCs w:val="24"/>
                <w:highlight w:val="none"/>
              </w:rPr>
              <w:t>mm，转速</w:t>
            </w:r>
            <w:r>
              <w:rPr>
                <w:rFonts w:ascii="Times New Roman" w:hAnsi="Times New Roman" w:eastAsia="宋体" w:cs="Times New Roman"/>
                <w:sz w:val="24"/>
                <w:szCs w:val="24"/>
                <w:highlight w:val="none"/>
              </w:rPr>
              <w:t>0.1-50</w:t>
            </w:r>
            <w:r>
              <w:rPr>
                <w:rFonts w:hint="eastAsia" w:ascii="Times New Roman" w:hAnsi="Times New Roman" w:eastAsia="宋体" w:cs="Times New Roman"/>
                <w:sz w:val="24"/>
                <w:szCs w:val="24"/>
                <w:highlight w:val="none"/>
              </w:rPr>
              <w:t>rpm，卡盘最大可装夹直径≥Φ400mm，最大装夹工件长度≥2000mm，负载≥2000kg。</w:t>
            </w:r>
          </w:p>
          <w:p w14:paraId="2E7E3159">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4平面平台1套，尺寸（长*宽）</w:t>
            </w:r>
            <w:r>
              <w:rPr>
                <w:rFonts w:ascii="Times New Roman" w:hAnsi="Times New Roman" w:eastAsia="宋体" w:cs="Times New Roman"/>
                <w:sz w:val="24"/>
                <w:szCs w:val="24"/>
                <w:highlight w:val="none"/>
              </w:rPr>
              <w:t>2000×1000mm</w:t>
            </w:r>
            <w:r>
              <w:rPr>
                <w:rFonts w:hint="eastAsia" w:ascii="Times New Roman" w:hAnsi="Times New Roman" w:eastAsia="宋体" w:cs="Times New Roman"/>
                <w:sz w:val="24"/>
                <w:szCs w:val="24"/>
                <w:highlight w:val="none"/>
              </w:rPr>
              <w:t>。</w:t>
            </w:r>
          </w:p>
          <w:p w14:paraId="59387865">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5控制系统1套，实现激光器、移动机器人等的集中控制，与移动机器人集成设计。</w:t>
            </w:r>
          </w:p>
          <w:p w14:paraId="6B95036A">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5、便携式激光增材修复功能模块，采用模块化箱组式设计，单箱体重量≤25kg，体积≤600</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450</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300mm，可单人手提周转，箱体数量≤2个。</w:t>
            </w:r>
          </w:p>
          <w:p w14:paraId="6DF6B021">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5.1 激光载能束输出能量密度≥50J/cm</w:t>
            </w:r>
            <w:r>
              <w:rPr>
                <w:rFonts w:hint="eastAsia" w:ascii="Times New Roman" w:hAnsi="Times New Roman" w:eastAsia="宋体" w:cs="Times New Roman"/>
                <w:sz w:val="24"/>
                <w:szCs w:val="24"/>
                <w:highlight w:val="none"/>
                <w:vertAlign w:val="superscript"/>
              </w:rPr>
              <w:t>3</w:t>
            </w:r>
            <w:r>
              <w:rPr>
                <w:rFonts w:hint="eastAsia" w:ascii="Times New Roman" w:hAnsi="Times New Roman" w:eastAsia="宋体" w:cs="Times New Roman"/>
                <w:sz w:val="24"/>
                <w:szCs w:val="24"/>
                <w:highlight w:val="none"/>
              </w:rPr>
              <w:t>，异质材料修复界面性能良好，电偶腐蚀性低（铁基类材料电位差≤0.5V），修复层对基体稀释率≤12%；</w:t>
            </w:r>
          </w:p>
          <w:p w14:paraId="0E9162A0">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5.2 执行模块</w:t>
            </w:r>
            <w:r>
              <w:rPr>
                <w:rFonts w:hint="eastAsia" w:ascii="宋体" w:hAnsi="宋体" w:eastAsia="宋体" w:cs="宋体"/>
                <w:sz w:val="24"/>
                <w:szCs w:val="24"/>
                <w:highlight w:val="none"/>
              </w:rPr>
              <w:t>质量</w:t>
            </w:r>
            <w:r>
              <w:rPr>
                <w:rFonts w:hint="eastAsia" w:ascii="Times New Roman" w:hAnsi="Times New Roman" w:eastAsia="宋体" w:cs="Times New Roman"/>
                <w:sz w:val="24"/>
                <w:szCs w:val="24"/>
                <w:highlight w:val="none"/>
              </w:rPr>
              <w:t>≤1.</w:t>
            </w:r>
            <w:r>
              <w:rPr>
                <w:rFonts w:hint="eastAsia" w:ascii="Times New Roman" w:hAnsi="Times New Roman" w:eastAsia="等线" w:cs="Times New Roman"/>
                <w:sz w:val="24"/>
                <w:szCs w:val="24"/>
                <w:highlight w:val="none"/>
              </w:rPr>
              <w:t>2</w:t>
            </w:r>
            <w:r>
              <w:rPr>
                <w:rFonts w:hint="eastAsia" w:ascii="Times New Roman" w:hAnsi="Times New Roman" w:eastAsia="宋体" w:cs="Times New Roman"/>
                <w:sz w:val="24"/>
                <w:szCs w:val="24"/>
                <w:highlight w:val="none"/>
              </w:rPr>
              <w:t>kg，尺寸≤Φ40</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300mm，</w:t>
            </w:r>
            <w:r>
              <w:rPr>
                <w:rFonts w:hint="eastAsia" w:ascii="宋体" w:hAnsi="宋体" w:eastAsia="宋体" w:cs="宋体"/>
                <w:sz w:val="24"/>
                <w:szCs w:val="24"/>
                <w:highlight w:val="none"/>
              </w:rPr>
              <w:t>圆柱状</w:t>
            </w:r>
            <w:r>
              <w:rPr>
                <w:rFonts w:hint="eastAsia" w:ascii="Times New Roman" w:hAnsi="Times New Roman" w:eastAsia="宋体" w:cs="Times New Roman"/>
                <w:sz w:val="24"/>
                <w:szCs w:val="24"/>
                <w:highlight w:val="none"/>
              </w:rPr>
              <w:t>笔式结构，可人工书写式作业，单道作业宽度≥Φ3.0mm；</w:t>
            </w:r>
          </w:p>
          <w:p w14:paraId="35A2B9D5">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5.3 工艺模块质量≤5kg，控制模块实现系统集中控制。</w:t>
            </w:r>
          </w:p>
          <w:p w14:paraId="2C5859D8">
            <w:pPr>
              <w:spacing w:line="300" w:lineRule="auto"/>
              <w:jc w:val="left"/>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w:t>
            </w:r>
            <w:r>
              <w:rPr>
                <w:rFonts w:hint="eastAsia" w:ascii="Times New Roman" w:hAnsi="Times New Roman" w:eastAsia="宋体" w:cs="Times New Roman"/>
                <w:sz w:val="24"/>
                <w:szCs w:val="24"/>
                <w:highlight w:val="none"/>
              </w:rPr>
              <w:t>6、数据处理软件1套</w:t>
            </w:r>
          </w:p>
          <w:p w14:paraId="14F010CE">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具备模型导入、模型运算、分层切片、路径规划等功能，所生成加工代码与本设备系统中的机器人、成形平台相兼容，软件具备</w:t>
            </w:r>
            <w:r>
              <w:rPr>
                <w:rFonts w:ascii="Times New Roman" w:hAnsi="Times New Roman" w:eastAsia="宋体" w:cs="Times New Roman"/>
                <w:sz w:val="24"/>
                <w:szCs w:val="24"/>
                <w:highlight w:val="none"/>
              </w:rPr>
              <w:t>二次开发</w:t>
            </w:r>
            <w:r>
              <w:rPr>
                <w:rFonts w:hint="eastAsia" w:ascii="Times New Roman" w:hAnsi="Times New Roman" w:eastAsia="宋体" w:cs="Times New Roman"/>
                <w:sz w:val="24"/>
                <w:szCs w:val="24"/>
                <w:highlight w:val="none"/>
              </w:rPr>
              <w:t>接口。</w:t>
            </w:r>
          </w:p>
          <w:p w14:paraId="2DDF708B">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7、配套的周边设备和配件若干。</w:t>
            </w:r>
          </w:p>
          <w:p w14:paraId="00A5CA44">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7</w:t>
            </w: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稳压电源、粉末烘干箱、安全防护装置等。</w:t>
            </w:r>
          </w:p>
          <w:p w14:paraId="66971DAC">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7</w:t>
            </w: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足够数量的保护镜片、防护眼镜、送粉管等备品备件和专用工具。</w:t>
            </w:r>
          </w:p>
          <w:p w14:paraId="515221E7">
            <w:pPr>
              <w:spacing w:line="300" w:lineRule="auto"/>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★7</w:t>
            </w:r>
            <w:r>
              <w:rPr>
                <w:rFonts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rPr>
              <w:t>增材制造用TA</w:t>
            </w:r>
            <w:r>
              <w:rPr>
                <w:rFonts w:ascii="Times New Roman" w:hAnsi="Times New Roman" w:eastAsia="宋体" w:cs="Times New Roman"/>
                <w:sz w:val="24"/>
                <w:szCs w:val="24"/>
                <w:highlight w:val="none"/>
              </w:rPr>
              <w:t>15</w:t>
            </w:r>
            <w:r>
              <w:rPr>
                <w:rFonts w:hint="eastAsia" w:ascii="Times New Roman" w:hAnsi="Times New Roman" w:eastAsia="宋体" w:cs="Times New Roman"/>
                <w:sz w:val="24"/>
                <w:szCs w:val="24"/>
                <w:highlight w:val="none"/>
              </w:rPr>
              <w:t>粉末5</w:t>
            </w:r>
            <w:r>
              <w:rPr>
                <w:rFonts w:ascii="Times New Roman" w:hAnsi="Times New Roman" w:eastAsia="宋体" w:cs="Times New Roman"/>
                <w:sz w:val="24"/>
                <w:szCs w:val="24"/>
                <w:highlight w:val="none"/>
              </w:rPr>
              <w:t>00</w:t>
            </w:r>
            <w:r>
              <w:rPr>
                <w:rFonts w:hint="eastAsia" w:ascii="Times New Roman" w:hAnsi="Times New Roman" w:eastAsia="宋体" w:cs="Times New Roman"/>
                <w:sz w:val="24"/>
                <w:szCs w:val="24"/>
                <w:highlight w:val="none"/>
              </w:rPr>
              <w:t>kg，激光熔覆用耐海洋环境腐蚀（中性盐雾1</w:t>
            </w:r>
            <w:r>
              <w:rPr>
                <w:rFonts w:ascii="Times New Roman" w:hAnsi="Times New Roman" w:eastAsia="宋体" w:cs="Times New Roman"/>
                <w:sz w:val="24"/>
                <w:szCs w:val="24"/>
                <w:highlight w:val="none"/>
              </w:rPr>
              <w:t>0000</w:t>
            </w:r>
            <w:r>
              <w:rPr>
                <w:rFonts w:hint="eastAsia" w:ascii="Times New Roman" w:hAnsi="Times New Roman" w:eastAsia="宋体" w:cs="Times New Roman"/>
                <w:sz w:val="24"/>
                <w:szCs w:val="24"/>
                <w:highlight w:val="none"/>
              </w:rPr>
              <w:t>h）合金粉末1</w:t>
            </w:r>
            <w:r>
              <w:rPr>
                <w:rFonts w:ascii="Times New Roman" w:hAnsi="Times New Roman" w:eastAsia="宋体" w:cs="Times New Roman"/>
                <w:sz w:val="24"/>
                <w:szCs w:val="24"/>
                <w:highlight w:val="none"/>
              </w:rPr>
              <w:t>00</w:t>
            </w:r>
            <w:r>
              <w:rPr>
                <w:rFonts w:hint="eastAsia" w:ascii="Times New Roman" w:hAnsi="Times New Roman" w:eastAsia="宋体" w:cs="Times New Roman"/>
                <w:sz w:val="24"/>
                <w:szCs w:val="24"/>
                <w:highlight w:val="none"/>
              </w:rPr>
              <w:t>kg，激光熔覆用耐高温（1</w:t>
            </w:r>
            <w:r>
              <w:rPr>
                <w:rFonts w:ascii="Times New Roman" w:hAnsi="Times New Roman" w:eastAsia="宋体" w:cs="Times New Roman"/>
                <w:sz w:val="24"/>
                <w:szCs w:val="24"/>
                <w:highlight w:val="none"/>
              </w:rPr>
              <w:t>300</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C</w:t>
            </w:r>
            <w:r>
              <w:rPr>
                <w:rFonts w:hint="eastAsia" w:ascii="Times New Roman" w:hAnsi="Times New Roman" w:eastAsia="宋体" w:cs="Times New Roman"/>
                <w:sz w:val="24"/>
                <w:szCs w:val="24"/>
                <w:highlight w:val="none"/>
              </w:rPr>
              <w:t>）金属基复合粉末1</w:t>
            </w:r>
            <w:r>
              <w:rPr>
                <w:rFonts w:ascii="Times New Roman" w:hAnsi="Times New Roman" w:eastAsia="宋体" w:cs="Times New Roman"/>
                <w:sz w:val="24"/>
                <w:szCs w:val="24"/>
                <w:highlight w:val="none"/>
              </w:rPr>
              <w:t>00</w:t>
            </w:r>
            <w:r>
              <w:rPr>
                <w:rFonts w:hint="eastAsia" w:ascii="Times New Roman" w:hAnsi="Times New Roman" w:eastAsia="宋体" w:cs="Times New Roman"/>
                <w:sz w:val="24"/>
                <w:szCs w:val="24"/>
                <w:highlight w:val="none"/>
              </w:rPr>
              <w:t>kg。</w:t>
            </w:r>
          </w:p>
          <w:p w14:paraId="324AE243">
            <w:pPr>
              <w:adjustRightInd w:val="0"/>
              <w:snapToGrid w:val="0"/>
              <w:spacing w:line="300" w:lineRule="auto"/>
              <w:jc w:val="left"/>
              <w:rPr>
                <w:rFonts w:hint="eastAsia" w:ascii="宋体" w:hAnsi="宋体" w:eastAsia="宋体" w:cs="Courier New"/>
                <w:sz w:val="24"/>
                <w:szCs w:val="24"/>
                <w:highlight w:val="none"/>
              </w:rPr>
            </w:pPr>
            <w:r>
              <w:rPr>
                <w:rFonts w:hint="eastAsia" w:ascii="Calibri" w:hAnsi="Calibri" w:eastAsia="宋体" w:cs="Times New Roman"/>
                <w:sz w:val="24"/>
                <w:szCs w:val="24"/>
                <w:highlight w:val="none"/>
              </w:rPr>
              <w:t>★</w:t>
            </w:r>
            <w:r>
              <w:rPr>
                <w:rFonts w:ascii="Times New Roman" w:hAnsi="Times New Roman" w:eastAsia="宋体" w:cs="Times New Roman"/>
                <w:sz w:val="24"/>
                <w:szCs w:val="24"/>
                <w:highlight w:val="none"/>
              </w:rPr>
              <w:t>7.4激光熔覆工艺数据管理软件系统1套，可实现工艺数据的录入、查询、存储、调用、管理等，内含但不限于耐海洋环境腐蚀（中性盐雾10000h）合金激光熔覆工艺、耐高温（1300°C）金属基复合材料激光熔覆工艺、硼钨系金属基耐磨合金激光熔覆工艺等工艺数据包，相关工艺成熟稳定。</w:t>
            </w:r>
          </w:p>
        </w:tc>
        <w:tc>
          <w:tcPr>
            <w:tcW w:w="567" w:type="dxa"/>
            <w:vAlign w:val="center"/>
          </w:tcPr>
          <w:p w14:paraId="6B4D3A49">
            <w:pPr>
              <w:adjustRightInd w:val="0"/>
              <w:snapToGrid w:val="0"/>
              <w:spacing w:line="300" w:lineRule="auto"/>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w:t>
            </w:r>
          </w:p>
        </w:tc>
        <w:tc>
          <w:tcPr>
            <w:tcW w:w="567" w:type="dxa"/>
            <w:vAlign w:val="center"/>
          </w:tcPr>
          <w:p w14:paraId="57BBBAF3">
            <w:pPr>
              <w:adjustRightInd w:val="0"/>
              <w:snapToGrid w:val="0"/>
              <w:spacing w:line="300" w:lineRule="auto"/>
              <w:jc w:val="center"/>
              <w:rPr>
                <w:rFonts w:hint="eastAsia" w:ascii="宋体" w:hAnsi="宋体" w:eastAsia="宋体" w:cs="Times New Roman"/>
                <w:sz w:val="24"/>
                <w:szCs w:val="24"/>
                <w:highlight w:val="none"/>
              </w:rPr>
            </w:pPr>
            <w:r>
              <w:rPr>
                <w:rFonts w:hint="eastAsia" w:ascii="Times New Roman" w:hAnsi="Times New Roman" w:eastAsia="宋体" w:cs="Times New Roman"/>
                <w:sz w:val="24"/>
                <w:szCs w:val="24"/>
                <w:highlight w:val="none"/>
              </w:rPr>
              <w:t>套</w:t>
            </w:r>
          </w:p>
        </w:tc>
        <w:tc>
          <w:tcPr>
            <w:tcW w:w="745" w:type="dxa"/>
            <w:vAlign w:val="center"/>
          </w:tcPr>
          <w:p w14:paraId="4ACB0F30">
            <w:pPr>
              <w:adjustRightInd w:val="0"/>
              <w:snapToGrid w:val="0"/>
              <w:spacing w:line="300" w:lineRule="auto"/>
              <w:jc w:val="center"/>
              <w:rPr>
                <w:rFonts w:hint="eastAsia" w:ascii="宋体" w:hAnsi="宋体" w:eastAsia="宋体" w:cs="Times New Roman"/>
                <w:sz w:val="24"/>
                <w:szCs w:val="24"/>
                <w:highlight w:val="none"/>
              </w:rPr>
            </w:pPr>
          </w:p>
        </w:tc>
      </w:tr>
      <w:tr w14:paraId="5D05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dxa"/>
            <w:vAlign w:val="center"/>
          </w:tcPr>
          <w:p w14:paraId="3EB6BB2D">
            <w:pPr>
              <w:adjustRightInd w:val="0"/>
              <w:snapToGrid w:val="0"/>
              <w:spacing w:line="300" w:lineRule="auto"/>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w:t>
            </w:r>
          </w:p>
        </w:tc>
        <w:tc>
          <w:tcPr>
            <w:tcW w:w="803" w:type="dxa"/>
            <w:vAlign w:val="center"/>
          </w:tcPr>
          <w:p w14:paraId="02623D39">
            <w:pPr>
              <w:spacing w:line="300" w:lineRule="auto"/>
              <w:jc w:val="center"/>
              <w:rPr>
                <w:rFonts w:hint="eastAsia" w:ascii="宋体" w:hAnsi="宋体" w:eastAsia="宋体" w:cs="Times New Roman"/>
                <w:sz w:val="24"/>
                <w:szCs w:val="24"/>
                <w:highlight w:val="none"/>
              </w:rPr>
            </w:pPr>
            <w:r>
              <w:rPr>
                <w:rFonts w:hint="eastAsia" w:ascii="宋体" w:hAnsi="宋体" w:eastAsia="宋体" w:cs="宋体"/>
                <w:sz w:val="24"/>
                <w:szCs w:val="24"/>
                <w:highlight w:val="none"/>
              </w:rPr>
              <w:t>其它</w:t>
            </w:r>
          </w:p>
        </w:tc>
        <w:tc>
          <w:tcPr>
            <w:tcW w:w="5387" w:type="dxa"/>
            <w:vAlign w:val="center"/>
          </w:tcPr>
          <w:p w14:paraId="5E91583A">
            <w:pPr>
              <w:widowControl/>
              <w:spacing w:line="300" w:lineRule="auto"/>
              <w:jc w:val="left"/>
              <w:rPr>
                <w:rFonts w:hint="eastAsia" w:ascii="宋体" w:hAnsi="宋体" w:eastAsia="宋体" w:cs="Courier New"/>
                <w:sz w:val="24"/>
                <w:szCs w:val="24"/>
                <w:highlight w:val="none"/>
              </w:rPr>
            </w:pPr>
            <w:r>
              <w:rPr>
                <w:rFonts w:hint="eastAsia" w:ascii="宋体" w:hAnsi="宋体" w:eastAsia="宋体" w:cs="宋体"/>
                <w:sz w:val="24"/>
                <w:szCs w:val="24"/>
                <w:highlight w:val="none"/>
              </w:rPr>
              <w:t>供应商需提供包含但不限于本项目建设所需的实验室环境改造、辅材、零配件、管线，仪器设备吊运、安装、调试、培训、垃圾清运以及相关费用。（包含在设备总价中）</w:t>
            </w:r>
          </w:p>
        </w:tc>
        <w:tc>
          <w:tcPr>
            <w:tcW w:w="567" w:type="dxa"/>
            <w:vAlign w:val="center"/>
          </w:tcPr>
          <w:p w14:paraId="16A9303E">
            <w:pPr>
              <w:spacing w:line="300" w:lineRule="auto"/>
              <w:jc w:val="center"/>
              <w:rPr>
                <w:rFonts w:hint="eastAsia" w:ascii="宋体" w:hAnsi="宋体" w:eastAsia="宋体" w:cs="Times New Roman"/>
                <w:sz w:val="24"/>
                <w:szCs w:val="24"/>
                <w:highlight w:val="none"/>
              </w:rPr>
            </w:pPr>
            <w:r>
              <w:rPr>
                <w:rFonts w:hint="eastAsia" w:ascii="宋体" w:hAnsi="宋体" w:eastAsia="宋体" w:cs="宋体"/>
                <w:sz w:val="24"/>
                <w:szCs w:val="24"/>
                <w:highlight w:val="none"/>
              </w:rPr>
              <w:t>1</w:t>
            </w:r>
          </w:p>
        </w:tc>
        <w:tc>
          <w:tcPr>
            <w:tcW w:w="567" w:type="dxa"/>
            <w:vAlign w:val="center"/>
          </w:tcPr>
          <w:p w14:paraId="45CDAAA9">
            <w:pPr>
              <w:spacing w:line="300" w:lineRule="auto"/>
              <w:jc w:val="center"/>
              <w:rPr>
                <w:rFonts w:hint="eastAsia" w:ascii="宋体" w:hAnsi="宋体" w:eastAsia="宋体" w:cs="Times New Roman"/>
                <w:sz w:val="24"/>
                <w:szCs w:val="24"/>
                <w:highlight w:val="none"/>
              </w:rPr>
            </w:pPr>
            <w:r>
              <w:rPr>
                <w:rFonts w:hint="eastAsia" w:ascii="宋体" w:hAnsi="宋体" w:eastAsia="宋体" w:cs="宋体"/>
                <w:sz w:val="24"/>
                <w:szCs w:val="24"/>
                <w:highlight w:val="none"/>
              </w:rPr>
              <w:t>套</w:t>
            </w:r>
          </w:p>
        </w:tc>
        <w:tc>
          <w:tcPr>
            <w:tcW w:w="745" w:type="dxa"/>
            <w:vAlign w:val="center"/>
          </w:tcPr>
          <w:p w14:paraId="60C7D53E">
            <w:pPr>
              <w:widowControl/>
              <w:spacing w:line="300" w:lineRule="auto"/>
              <w:jc w:val="left"/>
              <w:rPr>
                <w:rFonts w:hint="eastAsia" w:ascii="宋体" w:hAnsi="宋体" w:eastAsia="宋体" w:cs="Times New Roman"/>
                <w:sz w:val="24"/>
                <w:szCs w:val="24"/>
                <w:highlight w:val="none"/>
              </w:rPr>
            </w:pPr>
          </w:p>
        </w:tc>
      </w:tr>
    </w:tbl>
    <w:p w14:paraId="0DF945C8">
      <w:pPr>
        <w:spacing w:line="360" w:lineRule="auto"/>
        <w:ind w:firstLine="482" w:firstLineChars="200"/>
        <w:rPr>
          <w:rFonts w:hint="eastAsia" w:ascii="宋体" w:hAnsi="宋体" w:eastAsia="宋体"/>
          <w:b/>
          <w:bCs w:val="0"/>
          <w:color w:val="000000" w:themeColor="text1"/>
          <w:sz w:val="24"/>
          <w:szCs w:val="18"/>
          <w:highlight w:val="none"/>
          <w:lang w:val="zh-CN"/>
          <w14:textFill>
            <w14:solidFill>
              <w14:schemeClr w14:val="tx1"/>
            </w14:solidFill>
          </w14:textFill>
        </w:rPr>
      </w:pPr>
      <w:r>
        <w:rPr>
          <w:rFonts w:hint="eastAsia" w:ascii="宋体" w:hAnsi="宋体" w:eastAsia="宋体"/>
          <w:b/>
          <w:bCs w:val="0"/>
          <w:sz w:val="24"/>
          <w:szCs w:val="18"/>
          <w:highlight w:val="none"/>
          <w:lang w:val="zh-CN"/>
        </w:rPr>
        <w:t>备注：</w:t>
      </w:r>
      <w:r>
        <w:rPr>
          <w:rFonts w:hint="eastAsia" w:ascii="宋体" w:hAnsi="宋体" w:eastAsia="宋体"/>
          <w:b/>
          <w:bCs w:val="0"/>
          <w:color w:val="000000" w:themeColor="text1"/>
          <w:sz w:val="24"/>
          <w:szCs w:val="18"/>
          <w:highlight w:val="none"/>
          <w:lang w:val="zh-CN"/>
          <w14:textFill>
            <w14:solidFill>
              <w14:schemeClr w14:val="tx1"/>
            </w14:solidFill>
          </w14:textFill>
        </w:rPr>
        <w:t>以上评分项参数必须提供证明材料，否则相应项不得分（证明材料包括：产品彩页、产品说明书、官方网站宣传图、产品自检报告或第三方检测报告中的任意一种）。</w:t>
      </w:r>
    </w:p>
    <w:p w14:paraId="1B0BBB6D">
      <w:pPr>
        <w:spacing w:line="360" w:lineRule="auto"/>
        <w:ind w:firstLine="560" w:firstLineChars="200"/>
        <w:rPr>
          <w:rFonts w:hint="eastAsia" w:ascii="宋体" w:hAnsi="宋体" w:eastAsia="宋体" w:cs="Arial"/>
          <w:bCs/>
          <w:sz w:val="28"/>
          <w:szCs w:val="32"/>
          <w:highlight w:val="none"/>
        </w:rPr>
      </w:pPr>
      <w:r>
        <w:rPr>
          <w:rFonts w:hint="eastAsia" w:ascii="宋体" w:hAnsi="宋体" w:eastAsia="宋体" w:cs="Arial"/>
          <w:bCs/>
          <w:sz w:val="28"/>
          <w:szCs w:val="32"/>
          <w:highlight w:val="none"/>
        </w:rPr>
        <w:t>三、质保期及售后服务要求</w:t>
      </w:r>
    </w:p>
    <w:p w14:paraId="48A4F6CF">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1、质保期：本项目质保期3年（自验收合格之日起算）。</w:t>
      </w:r>
      <w:r>
        <w:rPr>
          <w:rFonts w:hint="eastAsia" w:ascii="宋体" w:hAnsi="宋体" w:eastAsia="宋体" w:cs="宋体"/>
          <w:b/>
          <w:bCs w:val="0"/>
          <w:sz w:val="24"/>
          <w:szCs w:val="24"/>
          <w:highlight w:val="none"/>
        </w:rPr>
        <w:t>投标时提供承诺函，格式自拟。</w:t>
      </w:r>
    </w:p>
    <w:p w14:paraId="711AB600">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2、售后服务要求：</w:t>
      </w:r>
    </w:p>
    <w:p w14:paraId="650E786A">
      <w:pPr>
        <w:adjustRightInd w:val="0"/>
        <w:snapToGrid w:val="0"/>
        <w:spacing w:line="420" w:lineRule="exact"/>
        <w:ind w:firstLine="480" w:firstLineChars="200"/>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（1）设备验收交付前，供应商按使用方需求现场提供同类型设备供使用方免费使用；设备验收交付后，供应商委派1-2名技术人员在使用方现场进行不低于1个月的辅助研发和培训。</w:t>
      </w:r>
      <w:r>
        <w:rPr>
          <w:rFonts w:hint="eastAsia" w:ascii="宋体" w:hAnsi="宋体" w:eastAsia="宋体" w:cs="宋体"/>
          <w:b/>
          <w:bCs w:val="0"/>
          <w:sz w:val="24"/>
          <w:szCs w:val="24"/>
          <w:highlight w:val="none"/>
        </w:rPr>
        <w:t>投标时提供承诺函，格式自拟。</w:t>
      </w:r>
    </w:p>
    <w:p w14:paraId="3DE81BE0">
      <w:pPr>
        <w:spacing w:line="360" w:lineRule="auto"/>
        <w:ind w:firstLine="480" w:firstLineChars="200"/>
        <w:rPr>
          <w:rFonts w:hint="eastAsia" w:ascii="宋体" w:hAnsi="宋体" w:eastAsia="宋体" w:cs="Arial"/>
          <w:bCs/>
          <w:sz w:val="28"/>
          <w:szCs w:val="32"/>
          <w:highlight w:val="none"/>
        </w:rPr>
      </w:pPr>
      <w:r>
        <w:rPr>
          <w:rFonts w:hint="eastAsia" w:ascii="宋体" w:hAnsi="宋体" w:eastAsia="宋体" w:cs="Times New Roman"/>
          <w:sz w:val="24"/>
          <w:szCs w:val="24"/>
          <w:highlight w:val="none"/>
        </w:rPr>
        <w:t>（2）包括所有标的（品目）的服务要求</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标的报修后，供应商8小时内要响应，24小时内要上门服务。</w:t>
      </w:r>
    </w:p>
    <w:p w14:paraId="03656EAE">
      <w:pPr>
        <w:spacing w:line="360" w:lineRule="auto"/>
        <w:ind w:firstLine="560" w:firstLineChars="200"/>
        <w:rPr>
          <w:rFonts w:hint="eastAsia" w:ascii="宋体" w:hAnsi="宋体" w:eastAsia="宋体"/>
          <w:highlight w:val="none"/>
        </w:rPr>
      </w:pPr>
      <w:r>
        <w:rPr>
          <w:rFonts w:hint="eastAsia" w:ascii="宋体" w:hAnsi="宋体" w:eastAsia="宋体" w:cs="Arial"/>
          <w:bCs/>
          <w:sz w:val="28"/>
          <w:szCs w:val="32"/>
          <w:highlight w:val="none"/>
        </w:rPr>
        <w:t>四、报价要求</w:t>
      </w:r>
      <w:bookmarkEnd w:id="17"/>
      <w:bookmarkEnd w:id="18"/>
      <w:bookmarkEnd w:id="19"/>
      <w:bookmarkEnd w:id="20"/>
      <w:bookmarkEnd w:id="21"/>
      <w:bookmarkEnd w:id="22"/>
      <w:bookmarkEnd w:id="23"/>
      <w:bookmarkEnd w:id="24"/>
    </w:p>
    <w:p w14:paraId="1E1A1024">
      <w:pPr>
        <w:spacing w:line="360" w:lineRule="auto"/>
        <w:ind w:firstLine="480" w:firstLineChars="200"/>
      </w:pPr>
      <w:r>
        <w:rPr>
          <w:rFonts w:hint="eastAsia" w:ascii="宋体" w:hAnsi="宋体" w:eastAsia="宋体"/>
          <w:bCs/>
          <w:sz w:val="24"/>
          <w:szCs w:val="18"/>
          <w:highlight w:val="none"/>
          <w:lang w:val="zh-CN"/>
        </w:rPr>
        <w:t>本项目报总价，</w:t>
      </w:r>
      <w:r>
        <w:rPr>
          <w:rFonts w:hint="eastAsia" w:ascii="宋体" w:hAnsi="宋体" w:eastAsia="宋体" w:cs="宋体"/>
          <w:bCs/>
          <w:sz w:val="24"/>
          <w:szCs w:val="24"/>
          <w:highlight w:val="none"/>
        </w:rPr>
        <w:t>供应商报价包括但不限于设备供货、本项目建设所需的实验室环境改造、辅材、零配件、管线，仪器设备吊运、安装、调试、培训、垃圾清运、人员培训及资料归档、售后服务、利润、税金、风险等完成本项目的所有工作内容所需的一切费用。</w:t>
      </w:r>
      <w:r>
        <w:rPr>
          <w:rFonts w:hint="eastAsia" w:ascii="宋体" w:hAnsi="宋体" w:eastAsia="宋体"/>
          <w:bCs/>
          <w:sz w:val="24"/>
          <w:szCs w:val="18"/>
          <w:highlight w:val="none"/>
          <w:lang w:val="zh-CN"/>
        </w:rPr>
        <w:t>中标后采购人不再另行支付任何费用，投标分项报价表中须明确列出所投产品所含货物名称、品牌、型号规格、原产地及生产厂商，否则可能导致投标无效。</w:t>
      </w:r>
      <w:bookmarkEnd w:id="0"/>
      <w:bookmarkStart w:id="25" w:name="_GoBack"/>
      <w:bookmarkEnd w:id="25"/>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altName w:val="微软雅黑"/>
    <w:panose1 w:val="00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82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5FB5D">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13BF0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C13BF0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9736F"/>
    <w:multiLevelType w:val="multilevel"/>
    <w:tmpl w:val="45C9736F"/>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1">
    <w:nsid w:val="6CC6D7CF"/>
    <w:multiLevelType w:val="singleLevel"/>
    <w:tmpl w:val="6CC6D7C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01084"/>
    <w:rsid w:val="1022456F"/>
    <w:rsid w:val="16874C3D"/>
    <w:rsid w:val="22144664"/>
    <w:rsid w:val="2C0C4C08"/>
    <w:rsid w:val="43301084"/>
    <w:rsid w:val="45407DD5"/>
    <w:rsid w:val="45E1078B"/>
    <w:rsid w:val="51AC698D"/>
    <w:rsid w:val="5DA472CE"/>
    <w:rsid w:val="5F6B2A93"/>
    <w:rsid w:val="625434A1"/>
    <w:rsid w:val="6B7B7A57"/>
    <w:rsid w:val="7706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link w:val="20"/>
    <w:semiHidden/>
    <w:unhideWhenUsed/>
    <w:qFormat/>
    <w:uiPriority w:val="0"/>
    <w:pPr>
      <w:keepNext/>
      <w:keepLines/>
      <w:numPr>
        <w:ilvl w:val="1"/>
        <w:numId w:val="1"/>
      </w:numPr>
      <w:spacing w:before="50" w:beforeLines="50" w:after="50" w:afterLines="50" w:line="360" w:lineRule="auto"/>
      <w:ind w:left="575" w:hanging="575"/>
      <w:outlineLvl w:val="1"/>
    </w:pPr>
    <w:rPr>
      <w:rFonts w:ascii="宋体" w:hAnsi="宋体" w:eastAsia="宋体" w:cs="Calibri"/>
      <w:b/>
      <w:sz w:val="30"/>
      <w:szCs w:val="28"/>
    </w:rPr>
  </w:style>
  <w:style w:type="paragraph" w:styleId="4">
    <w:name w:val="heading 3"/>
    <w:basedOn w:val="1"/>
    <w:next w:val="1"/>
    <w:link w:val="19"/>
    <w:semiHidden/>
    <w:unhideWhenUsed/>
    <w:qFormat/>
    <w:uiPriority w:val="0"/>
    <w:pPr>
      <w:keepNext/>
      <w:keepLines/>
      <w:numPr>
        <w:ilvl w:val="2"/>
        <w:numId w:val="1"/>
      </w:numPr>
      <w:spacing w:before="120" w:after="240"/>
      <w:ind w:left="720" w:hanging="720"/>
      <w:jc w:val="left"/>
      <w:outlineLvl w:val="2"/>
    </w:pPr>
    <w:rPr>
      <w:rFonts w:ascii="Times New Roman" w:hAnsi="Times New Roman" w:eastAsia="宋体" w:cs="Times New Roman"/>
      <w:b/>
      <w:bCs/>
      <w:sz w:val="30"/>
      <w:szCs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link w:val="18"/>
    <w:semiHidden/>
    <w:unhideWhenUsed/>
    <w:qFormat/>
    <w:uiPriority w:val="0"/>
    <w:pPr>
      <w:keepNext/>
      <w:numPr>
        <w:ilvl w:val="4"/>
        <w:numId w:val="1"/>
      </w:numPr>
      <w:spacing w:before="50" w:beforeLines="50" w:after="50" w:afterLines="50" w:line="360" w:lineRule="auto"/>
      <w:ind w:left="1008" w:leftChars="0" w:right="105" w:rightChars="50" w:hanging="1008"/>
      <w:outlineLvl w:val="4"/>
    </w:pPr>
    <w:rPr>
      <w:rFonts w:ascii="宋体" w:hAnsi="宋体" w:eastAsia="宋体"/>
      <w:b/>
      <w:bCs/>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Body Text Indent"/>
    <w:basedOn w:val="1"/>
    <w:next w:val="12"/>
    <w:unhideWhenUsed/>
    <w:qFormat/>
    <w:uiPriority w:val="99"/>
    <w:pPr>
      <w:ind w:firstLine="645"/>
    </w:pPr>
    <w:rPr>
      <w:rFonts w:ascii="楷体_GB2312" w:eastAsia="楷体_GB2312"/>
      <w:sz w:val="32"/>
    </w:rPr>
  </w:style>
  <w:style w:type="paragraph" w:styleId="12">
    <w:name w:val="envelope return"/>
    <w:basedOn w:val="1"/>
    <w:qFormat/>
    <w:uiPriority w:val="99"/>
    <w:pPr>
      <w:snapToGrid w:val="0"/>
    </w:pPr>
    <w:rPr>
      <w:rFonts w:ascii="Arial" w:hAnsi="Arial" w:cs="Arial"/>
    </w:rPr>
  </w:style>
  <w:style w:type="paragraph" w:styleId="13">
    <w:name w:val="footer"/>
    <w:basedOn w:val="1"/>
    <w:uiPriority w:val="0"/>
    <w:pPr>
      <w:tabs>
        <w:tab w:val="center" w:pos="4153"/>
        <w:tab w:val="right" w:pos="8306"/>
      </w:tabs>
      <w:snapToGrid w:val="0"/>
      <w:jc w:val="left"/>
    </w:pPr>
    <w:rPr>
      <w:sz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2"/>
    <w:basedOn w:val="11"/>
    <w:unhideWhenUsed/>
    <w:qFormat/>
    <w:uiPriority w:val="99"/>
    <w:pPr>
      <w:ind w:left="420" w:firstLine="420" w:firstLineChars="200"/>
    </w:pPr>
    <w:rPr>
      <w:rFonts w:ascii="Times New Roman" w:cs="Times New Roman"/>
    </w:rPr>
  </w:style>
  <w:style w:type="character" w:customStyle="1" w:styleId="18">
    <w:name w:val="标题 5 字符"/>
    <w:link w:val="6"/>
    <w:qFormat/>
    <w:uiPriority w:val="0"/>
    <w:rPr>
      <w:rFonts w:ascii="宋体" w:hAnsi="宋体" w:eastAsia="宋体"/>
      <w:b/>
      <w:bCs/>
      <w:kern w:val="2"/>
      <w:sz w:val="28"/>
      <w:lang w:val="en-US" w:eastAsia="zh-CN" w:bidi="ar-SA"/>
    </w:rPr>
  </w:style>
  <w:style w:type="character" w:customStyle="1" w:styleId="19">
    <w:name w:val="标题 3 Char"/>
    <w:link w:val="4"/>
    <w:qFormat/>
    <w:uiPriority w:val="0"/>
    <w:rPr>
      <w:rFonts w:ascii="Times New Roman" w:hAnsi="Times New Roman" w:eastAsia="宋体" w:cs="Times New Roman"/>
      <w:kern w:val="2"/>
      <w:sz w:val="28"/>
      <w:szCs w:val="20"/>
      <w:lang w:val="en-US" w:eastAsia="zh-CN" w:bidi="ar-SA"/>
    </w:rPr>
  </w:style>
  <w:style w:type="character" w:customStyle="1" w:styleId="20">
    <w:name w:val="标题 2 字符"/>
    <w:link w:val="3"/>
    <w:qFormat/>
    <w:uiPriority w:val="0"/>
    <w:rPr>
      <w:rFonts w:ascii="宋体" w:hAnsi="宋体" w:eastAsia="宋体" w:cs="Calibri"/>
      <w:b/>
      <w:kern w:val="2"/>
      <w:sz w:val="30"/>
      <w:szCs w:val="28"/>
      <w:lang w:val="en-US" w:eastAsia="zh-CN" w:bidi="ar-SA"/>
    </w:rPr>
  </w:style>
  <w:style w:type="paragraph" w:customStyle="1" w:styleId="21">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2">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2025-07-01T09:08:00Z</dcterms:created>
  <dc:creator>校对-金伟</dc:creator>
  <cp:lastModifiedBy>校对-金伟</cp:lastModifiedBy>
  <dcterms:modified xsi:type="dcterms:W3CDTF">2025-07-01T09:08:30Z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8A40D0E562D6449B8AFF5EFF6164737C_11</vt:lpwstr>
  </property>
  <property fmtid="{D5CDD505-2E9C-101B-9397-08002B2CF9AE}" pid="4" name="KSOTemplateDocerSaveRecord">
    <vt:lpwstr>eyJoZGlkIjoiMWI2ZjQ3YjUwYjEzZmEyNjg2M2Q2MGI1Y2FlZGYzMmUiLCJ1c2VySWQiOiIyNDExODYwMjUifQ==</vt:lpwstr>
  </property>
</Properties>
</file>