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napToGrid w:val="0"/>
        <w:spacing w:before="0" w:after="0" w:line="360" w:lineRule="auto"/>
        <w:jc w:val="center"/>
        <w:rPr>
          <w:rFonts w:hint="eastAsia" w:ascii="宋体" w:hAnsi="宋体" w:eastAsia="仿宋"/>
        </w:rPr>
      </w:pPr>
      <w:bookmarkStart w:id="0" w:name="_Toc24366"/>
      <w:bookmarkStart w:id="1" w:name="_Toc466024555"/>
      <w:bookmarkStart w:id="2" w:name="_Toc445554746"/>
      <w:bookmarkStart w:id="34" w:name="_GoBack"/>
      <w:bookmarkEnd w:id="34"/>
      <w:r>
        <w:rPr>
          <w:rFonts w:hint="eastAsia" w:ascii="宋体" w:hAnsi="宋体" w:eastAsia="仿宋"/>
        </w:rPr>
        <w:t>采购需求</w:t>
      </w:r>
      <w:bookmarkEnd w:id="0"/>
      <w:bookmarkEnd w:id="1"/>
      <w:bookmarkEnd w:id="2"/>
    </w:p>
    <w:p>
      <w:pPr>
        <w:pStyle w:val="3"/>
        <w:spacing w:line="240" w:lineRule="auto"/>
        <w:rPr>
          <w:rFonts w:hint="eastAsia" w:ascii="仿宋" w:hAnsi="仿宋" w:eastAsia="仿宋" w:cs="仿宋"/>
          <w:sz w:val="24"/>
          <w:szCs w:val="24"/>
        </w:rPr>
      </w:pPr>
      <w:bookmarkStart w:id="3" w:name="_Toc466024556"/>
      <w:bookmarkStart w:id="4" w:name="_Toc455587089"/>
      <w:bookmarkStart w:id="5" w:name="_Toc445554747"/>
      <w:bookmarkStart w:id="6" w:name="_Toc455587273"/>
      <w:r>
        <w:rPr>
          <w:rFonts w:hint="eastAsia" w:ascii="仿宋" w:hAnsi="仿宋" w:eastAsia="仿宋" w:cs="仿宋"/>
          <w:sz w:val="24"/>
          <w:szCs w:val="24"/>
        </w:rPr>
        <w:t>一、总则</w:t>
      </w:r>
    </w:p>
    <w:p>
      <w:pPr>
        <w:widowControl/>
        <w:tabs>
          <w:tab w:val="left" w:pos="1406"/>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1.1 本章所提出的技术要求是对本次招标服务的基本要求，并未涉及所有技术细节，也未充分引述有关标准、规范的全部条款。投标人应保证其提供的服务除了满足本技术要求外，还应符合中国国家、行业、地方或服务提供商所在国的有关强制性标准、规范。当上述标准、规范的有关规定之间存在差异时，应以要求高的为准。</w:t>
      </w:r>
    </w:p>
    <w:p>
      <w:pPr>
        <w:widowControl/>
        <w:tabs>
          <w:tab w:val="left" w:pos="1406"/>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pPr>
        <w:widowControl/>
        <w:tabs>
          <w:tab w:val="left" w:pos="1406"/>
        </w:tabs>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1.3 除非有特别说明，本章中所列的具体参数或参数范围，均理解为招标人可接受的最低要求。</w:t>
      </w:r>
    </w:p>
    <w:p>
      <w:pPr>
        <w:pStyle w:val="3"/>
        <w:spacing w:line="240" w:lineRule="auto"/>
        <w:rPr>
          <w:rFonts w:hint="eastAsia" w:ascii="仿宋" w:hAnsi="仿宋" w:eastAsia="仿宋" w:cs="仿宋"/>
          <w:sz w:val="24"/>
          <w:szCs w:val="24"/>
        </w:rPr>
      </w:pPr>
      <w:r>
        <w:rPr>
          <w:rFonts w:hint="eastAsia" w:ascii="仿宋" w:hAnsi="仿宋" w:eastAsia="仿宋" w:cs="仿宋"/>
          <w:sz w:val="24"/>
          <w:szCs w:val="24"/>
        </w:rPr>
        <w:t>二、项目概况</w:t>
      </w:r>
    </w:p>
    <w:p>
      <w:pPr>
        <w:adjustRightInd w:val="0"/>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2.1 目的：验证矿化体深部延伸，同时用于物探异常查证，实施安徽省当涂县查联村铁矿普查机械岩心钻探。</w:t>
      </w:r>
    </w:p>
    <w:p>
      <w:pPr>
        <w:spacing w:line="480" w:lineRule="exact"/>
        <w:ind w:firstLine="459" w:firstLineChars="198"/>
        <w:rPr>
          <w:rFonts w:hint="eastAsia" w:ascii="仿宋" w:hAnsi="仿宋" w:eastAsia="仿宋" w:cs="仿宋"/>
          <w:spacing w:val="-4"/>
          <w:sz w:val="24"/>
        </w:rPr>
      </w:pPr>
      <w:r>
        <w:rPr>
          <w:rFonts w:hint="eastAsia" w:ascii="仿宋" w:hAnsi="仿宋" w:eastAsia="仿宋" w:cs="仿宋"/>
          <w:spacing w:val="-4"/>
          <w:sz w:val="24"/>
        </w:rPr>
        <w:t>2.2 本查区设计钻探工作量6800米，具体信息见表2-1，为科学有效施工，实现勘查目标，钻孔预计分3个批次施工：</w:t>
      </w:r>
    </w:p>
    <w:p>
      <w:pPr>
        <w:ind w:left="629" w:hanging="629"/>
        <w:jc w:val="center"/>
        <w:rPr>
          <w:rFonts w:hint="eastAsia" w:ascii="仿宋" w:hAnsi="仿宋" w:eastAsia="仿宋" w:cs="仿宋"/>
          <w:b/>
          <w:bCs/>
          <w:szCs w:val="21"/>
        </w:rPr>
      </w:pPr>
      <w:r>
        <w:rPr>
          <w:rFonts w:hint="eastAsia" w:ascii="仿宋" w:hAnsi="仿宋" w:eastAsia="仿宋" w:cs="仿宋"/>
          <w:b/>
          <w:bCs/>
          <w:szCs w:val="21"/>
        </w:rPr>
        <w:t>表2-1    设计钻孔施工批次及工作量</w:t>
      </w:r>
    </w:p>
    <w:tbl>
      <w:tblPr>
        <w:tblStyle w:val="4"/>
        <w:tblW w:w="3475" w:type="pct"/>
        <w:jc w:val="center"/>
        <w:tblLayout w:type="autofit"/>
        <w:tblCellMar>
          <w:top w:w="0" w:type="dxa"/>
          <w:left w:w="108" w:type="dxa"/>
          <w:bottom w:w="0" w:type="dxa"/>
          <w:right w:w="108" w:type="dxa"/>
        </w:tblCellMar>
      </w:tblPr>
      <w:tblGrid>
        <w:gridCol w:w="1790"/>
        <w:gridCol w:w="1527"/>
        <w:gridCol w:w="1120"/>
        <w:gridCol w:w="1486"/>
      </w:tblGrid>
      <w:tr>
        <w:tblPrEx>
          <w:tblCellMar>
            <w:top w:w="0" w:type="dxa"/>
            <w:left w:w="108" w:type="dxa"/>
            <w:bottom w:w="0" w:type="dxa"/>
            <w:right w:w="108" w:type="dxa"/>
          </w:tblCellMar>
        </w:tblPrEx>
        <w:trPr>
          <w:trHeight w:val="277"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ind w:left="632" w:hanging="632"/>
              <w:jc w:val="center"/>
              <w:textAlignment w:val="center"/>
              <w:rPr>
                <w:rFonts w:hint="eastAsia" w:ascii="仿宋" w:hAnsi="仿宋" w:eastAsia="仿宋" w:cs="仿宋"/>
                <w:b/>
                <w:bCs/>
                <w:szCs w:val="21"/>
              </w:rPr>
            </w:pPr>
            <w:r>
              <w:rPr>
                <w:rFonts w:hint="eastAsia" w:ascii="仿宋" w:hAnsi="仿宋" w:eastAsia="仿宋" w:cs="仿宋"/>
                <w:b/>
                <w:bCs/>
                <w:color w:val="000000"/>
                <w:kern w:val="0"/>
                <w:szCs w:val="21"/>
                <w:lang w:bidi="ar"/>
              </w:rPr>
              <w:t>工程号</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ind w:left="632" w:hanging="632"/>
              <w:jc w:val="center"/>
              <w:textAlignment w:val="center"/>
              <w:rPr>
                <w:rFonts w:hint="eastAsia" w:ascii="仿宋" w:hAnsi="仿宋" w:eastAsia="仿宋" w:cs="仿宋"/>
                <w:b/>
                <w:bCs/>
                <w:szCs w:val="21"/>
              </w:rPr>
            </w:pPr>
            <w:r>
              <w:rPr>
                <w:rFonts w:hint="eastAsia" w:ascii="仿宋" w:hAnsi="仿宋" w:eastAsia="仿宋" w:cs="仿宋"/>
                <w:b/>
                <w:bCs/>
                <w:color w:val="000000"/>
                <w:kern w:val="0"/>
                <w:szCs w:val="21"/>
                <w:lang w:bidi="ar"/>
              </w:rPr>
              <w:t>孔深/m</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ind w:left="632" w:hanging="632"/>
              <w:jc w:val="center"/>
              <w:textAlignment w:val="center"/>
              <w:rPr>
                <w:rFonts w:hint="eastAsia" w:ascii="仿宋" w:hAnsi="仿宋" w:eastAsia="仿宋" w:cs="仿宋"/>
                <w:b/>
                <w:bCs/>
                <w:szCs w:val="21"/>
              </w:rPr>
            </w:pPr>
            <w:r>
              <w:rPr>
                <w:rFonts w:hint="eastAsia" w:ascii="仿宋" w:hAnsi="仿宋" w:eastAsia="仿宋" w:cs="仿宋"/>
                <w:b/>
                <w:bCs/>
                <w:color w:val="000000"/>
                <w:kern w:val="0"/>
                <w:szCs w:val="21"/>
                <w:lang w:bidi="ar"/>
              </w:rPr>
              <w:t>类型</w:t>
            </w:r>
          </w:p>
        </w:tc>
        <w:tc>
          <w:tcPr>
            <w:tcW w:w="1254" w:type="pct"/>
            <w:tcBorders>
              <w:top w:val="single" w:color="000000" w:sz="4" w:space="0"/>
              <w:left w:val="single" w:color="000000" w:sz="4" w:space="0"/>
              <w:bottom w:val="single" w:color="000000" w:sz="4" w:space="0"/>
              <w:right w:val="single" w:color="000000" w:sz="4" w:space="0"/>
            </w:tcBorders>
            <w:noWrap/>
            <w:vAlign w:val="center"/>
          </w:tcPr>
          <w:p>
            <w:pPr>
              <w:widowControl/>
              <w:ind w:left="632" w:hanging="632"/>
              <w:jc w:val="center"/>
              <w:textAlignment w:val="center"/>
              <w:rPr>
                <w:rFonts w:hint="eastAsia" w:ascii="仿宋" w:hAnsi="仿宋" w:eastAsia="仿宋" w:cs="仿宋"/>
                <w:b/>
                <w:bCs/>
                <w:szCs w:val="21"/>
              </w:rPr>
            </w:pPr>
            <w:r>
              <w:rPr>
                <w:rFonts w:hint="eastAsia" w:ascii="仿宋" w:hAnsi="仿宋" w:eastAsia="仿宋" w:cs="仿宋"/>
                <w:b/>
                <w:bCs/>
                <w:color w:val="000000"/>
                <w:kern w:val="0"/>
                <w:szCs w:val="21"/>
                <w:lang w:bidi="ar"/>
              </w:rPr>
              <w:t>批次</w:t>
            </w:r>
          </w:p>
        </w:tc>
      </w:tr>
      <w:tr>
        <w:tblPrEx>
          <w:tblCellMar>
            <w:top w:w="0" w:type="dxa"/>
            <w:left w:w="108" w:type="dxa"/>
            <w:bottom w:w="0" w:type="dxa"/>
            <w:right w:w="108" w:type="dxa"/>
          </w:tblCellMar>
        </w:tblPrEx>
        <w:trPr>
          <w:trHeight w:val="282"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ZK73102</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1200</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第一批</w:t>
            </w:r>
          </w:p>
        </w:tc>
      </w:tr>
      <w:tr>
        <w:tblPrEx>
          <w:tblCellMar>
            <w:top w:w="0" w:type="dxa"/>
            <w:left w:w="108" w:type="dxa"/>
            <w:bottom w:w="0" w:type="dxa"/>
            <w:right w:w="108" w:type="dxa"/>
          </w:tblCellMar>
        </w:tblPrEx>
        <w:trPr>
          <w:trHeight w:val="267"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ZK71042</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1000</w:t>
            </w:r>
          </w:p>
        </w:tc>
        <w:tc>
          <w:tcPr>
            <w:tcW w:w="945" w:type="pct"/>
            <w:tcBorders>
              <w:top w:val="single" w:color="000000" w:sz="4" w:space="0"/>
              <w:left w:val="single" w:color="000000" w:sz="4" w:space="0"/>
              <w:bottom w:val="single" w:color="000000" w:sz="4" w:space="0"/>
              <w:right w:val="single" w:color="auto"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auto"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第一批</w:t>
            </w:r>
          </w:p>
        </w:tc>
      </w:tr>
      <w:tr>
        <w:tblPrEx>
          <w:tblCellMar>
            <w:top w:w="0" w:type="dxa"/>
            <w:left w:w="108" w:type="dxa"/>
            <w:bottom w:w="0" w:type="dxa"/>
            <w:right w:w="108" w:type="dxa"/>
          </w:tblCellMar>
        </w:tblPrEx>
        <w:trPr>
          <w:trHeight w:val="252"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ZK73041</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800</w:t>
            </w:r>
          </w:p>
        </w:tc>
        <w:tc>
          <w:tcPr>
            <w:tcW w:w="945" w:type="pct"/>
            <w:tcBorders>
              <w:top w:val="single" w:color="000000" w:sz="4" w:space="0"/>
              <w:left w:val="single" w:color="000000" w:sz="4" w:space="0"/>
              <w:bottom w:val="single" w:color="000000" w:sz="4" w:space="0"/>
              <w:right w:val="single" w:color="auto"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auto"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第二批</w:t>
            </w:r>
          </w:p>
        </w:tc>
      </w:tr>
      <w:tr>
        <w:tblPrEx>
          <w:tblCellMar>
            <w:top w:w="0" w:type="dxa"/>
            <w:left w:w="108" w:type="dxa"/>
            <w:bottom w:w="0" w:type="dxa"/>
            <w:right w:w="108" w:type="dxa"/>
          </w:tblCellMar>
        </w:tblPrEx>
        <w:trPr>
          <w:trHeight w:val="90"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ZK301</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800</w:t>
            </w:r>
          </w:p>
        </w:tc>
        <w:tc>
          <w:tcPr>
            <w:tcW w:w="945" w:type="pct"/>
            <w:tcBorders>
              <w:top w:val="single" w:color="000000" w:sz="4" w:space="0"/>
              <w:left w:val="single" w:color="000000" w:sz="4" w:space="0"/>
              <w:bottom w:val="single" w:color="000000" w:sz="4" w:space="0"/>
              <w:right w:val="single" w:color="auto"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auto"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color w:val="000000"/>
                <w:kern w:val="0"/>
                <w:szCs w:val="21"/>
                <w:lang w:bidi="ar"/>
              </w:rPr>
            </w:pPr>
            <w:r>
              <w:rPr>
                <w:rFonts w:hint="eastAsia" w:ascii="仿宋" w:hAnsi="仿宋" w:eastAsia="仿宋" w:cs="仿宋"/>
                <w:color w:val="000000"/>
                <w:kern w:val="0"/>
                <w:szCs w:val="21"/>
                <w:lang w:bidi="ar"/>
              </w:rPr>
              <w:t>第二批</w:t>
            </w:r>
          </w:p>
        </w:tc>
      </w:tr>
      <w:tr>
        <w:tblPrEx>
          <w:tblCellMar>
            <w:top w:w="0" w:type="dxa"/>
            <w:left w:w="108" w:type="dxa"/>
            <w:bottom w:w="0" w:type="dxa"/>
            <w:right w:w="108" w:type="dxa"/>
          </w:tblCellMar>
        </w:tblPrEx>
        <w:trPr>
          <w:trHeight w:val="232" w:hRule="atLeast"/>
          <w:jc w:val="center"/>
        </w:trPr>
        <w:tc>
          <w:tcPr>
            <w:tcW w:w="1511"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ZK71111</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1000</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第二批</w:t>
            </w:r>
          </w:p>
        </w:tc>
      </w:tr>
      <w:tr>
        <w:tblPrEx>
          <w:tblCellMar>
            <w:top w:w="0" w:type="dxa"/>
            <w:left w:w="108" w:type="dxa"/>
            <w:bottom w:w="0" w:type="dxa"/>
            <w:right w:w="108" w:type="dxa"/>
          </w:tblCellMar>
        </w:tblPrEx>
        <w:trPr>
          <w:trHeight w:val="237" w:hRule="atLeast"/>
          <w:jc w:val="center"/>
        </w:trPr>
        <w:tc>
          <w:tcPr>
            <w:tcW w:w="151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机动孔2孔</w:t>
            </w:r>
          </w:p>
        </w:tc>
        <w:tc>
          <w:tcPr>
            <w:tcW w:w="1289"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2000</w:t>
            </w:r>
          </w:p>
        </w:tc>
        <w:tc>
          <w:tcPr>
            <w:tcW w:w="945"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直孔</w:t>
            </w:r>
          </w:p>
        </w:tc>
        <w:tc>
          <w:tcPr>
            <w:tcW w:w="1254" w:type="pct"/>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0" w:hanging="630"/>
              <w:jc w:val="center"/>
              <w:textAlignment w:val="center"/>
              <w:rPr>
                <w:rFonts w:hint="eastAsia" w:ascii="仿宋" w:hAnsi="仿宋" w:eastAsia="仿宋" w:cs="仿宋"/>
                <w:szCs w:val="21"/>
              </w:rPr>
            </w:pPr>
            <w:r>
              <w:rPr>
                <w:rFonts w:hint="eastAsia" w:ascii="仿宋" w:hAnsi="仿宋" w:eastAsia="仿宋" w:cs="仿宋"/>
                <w:color w:val="000000"/>
                <w:kern w:val="0"/>
                <w:szCs w:val="21"/>
                <w:lang w:bidi="ar"/>
              </w:rPr>
              <w:t>第三批</w:t>
            </w:r>
          </w:p>
        </w:tc>
      </w:tr>
      <w:tr>
        <w:tblPrEx>
          <w:tblCellMar>
            <w:top w:w="0" w:type="dxa"/>
            <w:left w:w="108" w:type="dxa"/>
            <w:bottom w:w="0" w:type="dxa"/>
            <w:right w:w="108" w:type="dxa"/>
          </w:tblCellMar>
        </w:tblPrEx>
        <w:trPr>
          <w:trHeight w:val="227" w:hRule="atLeast"/>
          <w:jc w:val="center"/>
        </w:trPr>
        <w:tc>
          <w:tcPr>
            <w:tcW w:w="1511" w:type="pct"/>
            <w:tcBorders>
              <w:top w:val="single" w:color="000000" w:sz="4" w:space="0"/>
              <w:left w:val="single" w:color="000000" w:sz="4" w:space="0"/>
              <w:bottom w:val="single" w:color="000000" w:sz="4" w:space="0"/>
              <w:right w:val="single" w:color="000000" w:sz="4" w:space="0"/>
            </w:tcBorders>
            <w:noWrap w:val="0"/>
            <w:vAlign w:val="center"/>
          </w:tcPr>
          <w:p>
            <w:pPr>
              <w:widowControl/>
              <w:adjustRightInd w:val="0"/>
              <w:snapToGrid w:val="0"/>
              <w:ind w:left="632" w:hanging="632"/>
              <w:jc w:val="center"/>
              <w:textAlignment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Cs w:val="21"/>
                <w:lang w:bidi="ar"/>
              </w:rPr>
              <w:t>合计/7孔</w:t>
            </w:r>
          </w:p>
        </w:tc>
        <w:tc>
          <w:tcPr>
            <w:tcW w:w="3488" w:type="pct"/>
            <w:gridSpan w:val="3"/>
            <w:tcBorders>
              <w:top w:val="single" w:color="000000" w:sz="4" w:space="0"/>
              <w:left w:val="single" w:color="000000" w:sz="4" w:space="0"/>
              <w:bottom w:val="single" w:color="000000" w:sz="4" w:space="0"/>
              <w:right w:val="single" w:color="000000" w:sz="4" w:space="0"/>
            </w:tcBorders>
            <w:noWrap/>
            <w:vAlign w:val="center"/>
          </w:tcPr>
          <w:p>
            <w:pPr>
              <w:widowControl/>
              <w:adjustRightInd w:val="0"/>
              <w:snapToGrid w:val="0"/>
              <w:ind w:left="632" w:hanging="632"/>
              <w:jc w:val="center"/>
              <w:textAlignment w:val="center"/>
              <w:rPr>
                <w:rFonts w:hint="eastAsia" w:ascii="仿宋" w:hAnsi="仿宋" w:eastAsia="仿宋" w:cs="仿宋"/>
                <w:color w:val="000000"/>
                <w:kern w:val="0"/>
                <w:szCs w:val="21"/>
                <w:lang w:bidi="ar"/>
              </w:rPr>
            </w:pPr>
            <w:r>
              <w:rPr>
                <w:rFonts w:hint="eastAsia" w:ascii="仿宋" w:hAnsi="仿宋" w:eastAsia="仿宋" w:cs="仿宋"/>
                <w:b/>
                <w:bCs/>
                <w:color w:val="000000"/>
                <w:kern w:val="0"/>
                <w:szCs w:val="21"/>
                <w:lang w:bidi="ar"/>
              </w:rPr>
              <w:t>6800米</w:t>
            </w:r>
          </w:p>
        </w:tc>
      </w:tr>
    </w:tbl>
    <w:p>
      <w:pPr>
        <w:snapToGrid w:val="0"/>
        <w:spacing w:line="360" w:lineRule="auto"/>
        <w:ind w:firstLine="480" w:firstLineChars="200"/>
        <w:jc w:val="left"/>
        <w:rPr>
          <w:rFonts w:hint="eastAsia" w:ascii="仿宋" w:hAnsi="仿宋" w:eastAsia="仿宋" w:cs="仿宋"/>
          <w:sz w:val="24"/>
        </w:rPr>
      </w:pPr>
      <w:r>
        <w:rPr>
          <w:rFonts w:hint="eastAsia" w:ascii="仿宋" w:hAnsi="仿宋" w:eastAsia="仿宋" w:cs="仿宋"/>
          <w:color w:val="000000"/>
          <w:sz w:val="24"/>
        </w:rPr>
        <w:t>2.3 孔位现场给定，设计孔深采购人有权根据需要进行变更和适当调整，最终工作量以采购人验收合格的工作量为准。第一批钻孔外的其他批次钻孔经采购人主管部门论证通过后再进行布置并施工。</w:t>
      </w:r>
    </w:p>
    <w:p>
      <w:pPr>
        <w:pStyle w:val="3"/>
        <w:rPr>
          <w:rFonts w:ascii="宋体" w:hAnsi="宋体" w:eastAsia="仿宋"/>
          <w:sz w:val="24"/>
        </w:rPr>
      </w:pPr>
      <w:r>
        <w:rPr>
          <w:rFonts w:hint="eastAsia" w:ascii="宋体" w:hAnsi="宋体" w:eastAsia="仿宋"/>
          <w:sz w:val="24"/>
        </w:rPr>
        <w:t>3</w:t>
      </w:r>
      <w:r>
        <w:rPr>
          <w:rFonts w:ascii="宋体" w:hAnsi="宋体" w:eastAsia="仿宋"/>
          <w:sz w:val="24"/>
        </w:rPr>
        <w:t>. 商务要求</w:t>
      </w:r>
    </w:p>
    <w:p>
      <w:pPr>
        <w:rPr>
          <w:rFonts w:hint="eastAsia" w:ascii="仿宋" w:hAnsi="仿宋" w:eastAsia="仿宋" w:cs="仿宋"/>
          <w:b/>
          <w:bCs/>
          <w:sz w:val="24"/>
          <w:szCs w:val="32"/>
        </w:rPr>
      </w:pPr>
      <w:r>
        <w:rPr>
          <w:rFonts w:hint="eastAsia" w:ascii="仿宋" w:hAnsi="仿宋" w:eastAsia="仿宋" w:cs="仿宋"/>
          <w:b/>
          <w:bCs/>
          <w:sz w:val="24"/>
          <w:szCs w:val="32"/>
        </w:rPr>
        <w:t>除非有特别说明，本条为实质性要求。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pPr>
              <w:widowControl/>
              <w:jc w:val="left"/>
              <w:rPr>
                <w:rFonts w:hint="eastAsia" w:ascii="宋体" w:hAnsi="宋体" w:eastAsia="仿宋"/>
                <w:sz w:val="24"/>
              </w:rPr>
            </w:pPr>
            <w:r>
              <w:rPr>
                <w:rFonts w:hint="eastAsia" w:ascii="宋体" w:hAnsi="宋体" w:eastAsia="仿宋"/>
                <w:sz w:val="24"/>
              </w:rPr>
              <w:t>交付（实施）的时间（期限）</w:t>
            </w:r>
          </w:p>
        </w:tc>
        <w:tc>
          <w:tcPr>
            <w:tcW w:w="7479" w:type="dxa"/>
            <w:noWrap w:val="0"/>
            <w:vAlign w:val="top"/>
          </w:tcPr>
          <w:p>
            <w:pPr>
              <w:widowControl/>
              <w:adjustRightInd w:val="0"/>
              <w:snapToGrid w:val="0"/>
              <w:spacing w:line="288" w:lineRule="auto"/>
              <w:ind w:firstLine="480" w:firstLineChars="200"/>
              <w:rPr>
                <w:rFonts w:ascii="楷体" w:hAnsi="楷体" w:eastAsia="仿宋" w:cs="Calibri"/>
                <w:sz w:val="24"/>
              </w:rPr>
            </w:pPr>
            <w:r>
              <w:rPr>
                <w:rFonts w:hint="eastAsia" w:ascii="楷体" w:hAnsi="楷体" w:eastAsia="仿宋" w:cs="Calibri"/>
                <w:sz w:val="24"/>
              </w:rPr>
              <w:t>合同签订后5个日历天内进场，第一批钻孔（2孔预计2200m）须于2026年4月30日前完成，其他批次钻孔根据实际情况在采购人下达通知书后1-3个月内完成。</w:t>
            </w:r>
          </w:p>
          <w:p>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pPr>
              <w:pStyle w:val="6"/>
              <w:ind w:firstLine="480"/>
              <w:rPr>
                <w:rFonts w:hint="eastAsia" w:ascii="楷体" w:hAnsi="楷体" w:eastAsia="仿宋" w:cs="Calibri"/>
                <w:sz w:val="24"/>
              </w:rPr>
            </w:pPr>
            <w:r>
              <w:rPr>
                <w:rFonts w:hint="eastAsia" w:ascii="楷体" w:hAnsi="楷体" w:eastAsia="仿宋" w:cs="Calibri"/>
                <w:sz w:val="24"/>
              </w:rPr>
              <w:t xml:space="preserve">            □接受：</w:t>
            </w:r>
          </w:p>
          <w:p>
            <w:pPr>
              <w:pStyle w:val="6"/>
              <w:ind w:firstLine="2160" w:firstLineChars="900"/>
              <w:rPr>
                <w:rFonts w:hint="eastAsia" w:ascii="宋体" w:hAnsi="宋体" w:eastAsia="仿宋"/>
                <w:sz w:val="24"/>
              </w:rPr>
            </w:pPr>
            <w:r>
              <w:rPr>
                <w:rFonts w:hint="eastAsia" w:ascii="楷体" w:hAnsi="楷体" w:eastAsia="仿宋" w:cs="Calibri"/>
                <w:sz w:val="24"/>
              </w:rPr>
              <w:t>允许偏离的幅度：</w:t>
            </w:r>
            <w:r>
              <w:rPr>
                <w:rFonts w:hint="eastAsia" w:ascii="宋体" w:hAnsi="宋体" w:eastAsia="仿宋" w:cs="Calibri"/>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2375" w:type="dxa"/>
            <w:noWrap w:val="0"/>
            <w:vAlign w:val="top"/>
          </w:tcPr>
          <w:p>
            <w:pPr>
              <w:widowControl/>
              <w:jc w:val="left"/>
              <w:rPr>
                <w:rFonts w:hint="eastAsia" w:ascii="宋体" w:hAnsi="宋体" w:eastAsia="仿宋"/>
                <w:sz w:val="24"/>
              </w:rPr>
            </w:pPr>
            <w:r>
              <w:rPr>
                <w:rFonts w:hint="eastAsia" w:ascii="宋体" w:hAnsi="宋体" w:eastAsia="仿宋"/>
                <w:sz w:val="24"/>
              </w:rPr>
              <w:t>交付（实施）的地点（范围）</w:t>
            </w:r>
          </w:p>
        </w:tc>
        <w:tc>
          <w:tcPr>
            <w:tcW w:w="7479" w:type="dxa"/>
            <w:noWrap w:val="0"/>
            <w:vAlign w:val="top"/>
          </w:tcPr>
          <w:p>
            <w:pPr>
              <w:pStyle w:val="6"/>
              <w:ind w:firstLine="0" w:firstLineChars="0"/>
              <w:rPr>
                <w:rFonts w:ascii="宋体" w:hAnsi="宋体" w:eastAsia="仿宋"/>
                <w:sz w:val="24"/>
              </w:rPr>
            </w:pPr>
            <w:r>
              <w:rPr>
                <w:rFonts w:ascii="宋体" w:hAnsi="宋体" w:eastAsia="仿宋"/>
                <w:sz w:val="24"/>
              </w:rPr>
              <w:t>安徽省马鞍山市当涂县境内，采购人指定地点。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pPr>
              <w:pStyle w:val="6"/>
              <w:ind w:firstLine="0" w:firstLineChars="0"/>
              <w:rPr>
                <w:rFonts w:ascii="宋体" w:hAnsi="宋体" w:eastAsia="仿宋"/>
                <w:sz w:val="24"/>
              </w:rPr>
            </w:pPr>
            <w:r>
              <w:rPr>
                <w:rFonts w:hint="eastAsia" w:ascii="宋体" w:hAnsi="宋体" w:eastAsia="仿宋"/>
                <w:sz w:val="24"/>
              </w:rPr>
              <w:t>付款方式</w:t>
            </w:r>
          </w:p>
        </w:tc>
        <w:tc>
          <w:tcPr>
            <w:tcW w:w="7479" w:type="dxa"/>
            <w:noWrap w:val="0"/>
            <w:vAlign w:val="top"/>
          </w:tcPr>
          <w:p>
            <w:pPr>
              <w:widowControl/>
              <w:adjustRightInd w:val="0"/>
              <w:snapToGrid w:val="0"/>
              <w:spacing w:line="288" w:lineRule="auto"/>
              <w:rPr>
                <w:rFonts w:hint="eastAsia" w:ascii="宋体" w:hAnsi="宋体" w:eastAsia="仿宋" w:cs="Calibri"/>
                <w:sz w:val="24"/>
              </w:rPr>
            </w:pPr>
            <w:r>
              <w:rPr>
                <w:rFonts w:hint="eastAsia" w:ascii="宋体" w:hAnsi="宋体" w:eastAsia="仿宋"/>
                <w:sz w:val="24"/>
              </w:rPr>
              <w:t>付款</w:t>
            </w:r>
            <w:r>
              <w:rPr>
                <w:rFonts w:hint="eastAsia" w:ascii="宋体" w:hAnsi="宋体" w:eastAsia="仿宋" w:cs="Calibri"/>
                <w:sz w:val="24"/>
              </w:rPr>
              <w:t>方式：</w:t>
            </w:r>
          </w:p>
          <w:p>
            <w:pPr>
              <w:widowControl/>
              <w:adjustRightInd w:val="0"/>
              <w:snapToGrid w:val="0"/>
              <w:spacing w:line="288" w:lineRule="auto"/>
              <w:rPr>
                <w:rFonts w:hint="eastAsia" w:ascii="楷体" w:hAnsi="楷体" w:eastAsia="仿宋" w:cs="Calibri"/>
                <w:sz w:val="24"/>
              </w:rPr>
            </w:pPr>
            <w:r>
              <w:rPr>
                <w:rFonts w:hint="eastAsia" w:ascii="楷体" w:hAnsi="楷体" w:eastAsia="仿宋" w:cs="Calibri"/>
                <w:sz w:val="24"/>
              </w:rPr>
              <w:t>1、野外工作结束，经</w:t>
            </w:r>
            <w:r>
              <w:rPr>
                <w:rFonts w:hint="eastAsia" w:ascii="宋体" w:hAnsi="宋体" w:eastAsia="仿宋"/>
                <w:sz w:val="24"/>
              </w:rPr>
              <w:t>采购人</w:t>
            </w:r>
            <w:r>
              <w:rPr>
                <w:rFonts w:hint="eastAsia" w:ascii="楷体" w:hAnsi="楷体" w:eastAsia="仿宋" w:cs="Calibri"/>
                <w:sz w:val="24"/>
              </w:rPr>
              <w:t>验收合规后，中标人将岩芯样、班报表等资料交付</w:t>
            </w:r>
            <w:r>
              <w:rPr>
                <w:rFonts w:hint="eastAsia" w:ascii="宋体" w:hAnsi="宋体" w:eastAsia="仿宋"/>
                <w:sz w:val="24"/>
              </w:rPr>
              <w:t>采购人</w:t>
            </w:r>
            <w:r>
              <w:rPr>
                <w:rFonts w:hint="eastAsia" w:ascii="楷体" w:hAnsi="楷体" w:eastAsia="仿宋" w:cs="Calibri"/>
                <w:sz w:val="24"/>
              </w:rPr>
              <w:t>，并提供相应的增值税专用发票后10日内，</w:t>
            </w:r>
            <w:r>
              <w:rPr>
                <w:rFonts w:hint="eastAsia" w:ascii="宋体" w:hAnsi="宋体" w:eastAsia="仿宋"/>
                <w:sz w:val="24"/>
              </w:rPr>
              <w:t>采购人</w:t>
            </w:r>
            <w:r>
              <w:rPr>
                <w:rFonts w:hint="eastAsia" w:ascii="楷体" w:hAnsi="楷体" w:eastAsia="仿宋" w:cs="Calibri"/>
                <w:sz w:val="24"/>
              </w:rPr>
              <w:t>向中标人</w:t>
            </w:r>
            <w:r>
              <w:rPr>
                <w:rFonts w:ascii="Times New Roman" w:hAnsi="Times New Roman" w:eastAsia="仿宋"/>
                <w:iCs/>
                <w:sz w:val="24"/>
              </w:rPr>
              <w:t>支付至合同总额的</w:t>
            </w:r>
            <w:r>
              <w:rPr>
                <w:rFonts w:hint="eastAsia" w:ascii="Times New Roman" w:hAnsi="Times New Roman" w:eastAsia="仿宋"/>
                <w:iCs/>
                <w:sz w:val="24"/>
              </w:rPr>
              <w:t>7</w:t>
            </w:r>
            <w:r>
              <w:rPr>
                <w:rFonts w:ascii="Times New Roman" w:hAnsi="Times New Roman" w:eastAsia="仿宋"/>
                <w:iCs/>
                <w:sz w:val="24"/>
              </w:rPr>
              <w:t>0%</w:t>
            </w:r>
            <w:r>
              <w:rPr>
                <w:rFonts w:hint="eastAsia" w:ascii="楷体" w:hAnsi="楷体" w:eastAsia="仿宋" w:cs="Calibri"/>
                <w:sz w:val="24"/>
              </w:rPr>
              <w:t>；</w:t>
            </w:r>
          </w:p>
          <w:p>
            <w:pPr>
              <w:widowControl/>
              <w:adjustRightInd w:val="0"/>
              <w:snapToGrid w:val="0"/>
              <w:spacing w:line="288" w:lineRule="auto"/>
              <w:rPr>
                <w:rFonts w:hint="eastAsia" w:ascii="楷体" w:hAnsi="楷体" w:eastAsia="仿宋" w:cs="Calibri"/>
                <w:sz w:val="24"/>
              </w:rPr>
            </w:pPr>
            <w:r>
              <w:rPr>
                <w:rFonts w:hint="eastAsia" w:ascii="楷体" w:hAnsi="楷体" w:eastAsia="仿宋" w:cs="Calibri"/>
                <w:sz w:val="24"/>
              </w:rPr>
              <w:t>2、在勘查项目通过主管单位钻孔野外验收后10日内，</w:t>
            </w:r>
            <w:r>
              <w:rPr>
                <w:rFonts w:hint="eastAsia" w:ascii="宋体" w:hAnsi="宋体" w:eastAsia="仿宋"/>
                <w:sz w:val="24"/>
              </w:rPr>
              <w:t>采购人</w:t>
            </w:r>
            <w:r>
              <w:rPr>
                <w:rFonts w:hint="eastAsia" w:ascii="楷体" w:hAnsi="楷体" w:eastAsia="仿宋" w:cs="Calibri"/>
                <w:sz w:val="24"/>
              </w:rPr>
              <w:t>向中标人支付至合同总额的100%；</w:t>
            </w:r>
          </w:p>
          <w:p>
            <w:pPr>
              <w:widowControl/>
              <w:adjustRightInd w:val="0"/>
              <w:snapToGrid w:val="0"/>
              <w:spacing w:line="288" w:lineRule="auto"/>
              <w:rPr>
                <w:rFonts w:hint="eastAsia" w:ascii="宋体" w:hAnsi="宋体" w:eastAsia="仿宋" w:cs="Calibri"/>
                <w:sz w:val="24"/>
              </w:rPr>
            </w:pPr>
            <w:r>
              <w:rPr>
                <w:rFonts w:hint="eastAsia" w:ascii="楷体" w:hAnsi="楷体" w:eastAsia="仿宋" w:cs="Calibri"/>
                <w:sz w:val="24"/>
              </w:rPr>
              <w:t>注：最终结算金额根据双方书面验收的实际工作量乘以成交综合单价计算（最终结算金额=成交综合单价×通过验收总进尺米数）。</w:t>
            </w:r>
          </w:p>
          <w:p>
            <w:pPr>
              <w:widowControl/>
              <w:adjustRightInd w:val="0"/>
              <w:snapToGrid w:val="0"/>
              <w:spacing w:line="288" w:lineRule="auto"/>
              <w:rPr>
                <w:rFonts w:hint="eastAsia" w:ascii="楷体" w:hAnsi="楷体" w:eastAsia="仿宋" w:cs="Calibri"/>
                <w:sz w:val="24"/>
              </w:rPr>
            </w:pPr>
            <w:r>
              <w:rPr>
                <w:rFonts w:hint="eastAsia" w:ascii="宋体" w:hAnsi="宋体" w:eastAsia="仿宋" w:cs="Calibri"/>
                <w:sz w:val="24"/>
              </w:rPr>
              <w:t>是否接受负偏离：</w:t>
            </w:r>
            <w:r>
              <w:rPr>
                <w:rFonts w:hint="eastAsia" w:ascii="楷体" w:hAnsi="楷体" w:eastAsia="仿宋" w:cs="Calibri"/>
                <w:sz w:val="24"/>
              </w:rPr>
              <w:t>☑不接受</w:t>
            </w:r>
          </w:p>
          <w:p>
            <w:pPr>
              <w:widowControl/>
              <w:adjustRightInd w:val="0"/>
              <w:snapToGrid w:val="0"/>
              <w:spacing w:line="288" w:lineRule="auto"/>
              <w:rPr>
                <w:rFonts w:hint="eastAsia" w:ascii="楷体" w:hAnsi="楷体" w:eastAsia="仿宋" w:cs="Calibri"/>
                <w:sz w:val="24"/>
              </w:rPr>
            </w:pPr>
            <w:r>
              <w:rPr>
                <w:rFonts w:hint="eastAsia" w:ascii="楷体" w:hAnsi="楷体" w:eastAsia="仿宋" w:cs="Calibri"/>
                <w:sz w:val="24"/>
              </w:rPr>
              <w:t xml:space="preserve">                □接受：</w:t>
            </w:r>
          </w:p>
          <w:p>
            <w:pPr>
              <w:widowControl/>
              <w:adjustRightInd w:val="0"/>
              <w:snapToGrid w:val="0"/>
              <w:spacing w:line="288" w:lineRule="auto"/>
              <w:ind w:firstLine="1920" w:firstLineChars="800"/>
              <w:rPr>
                <w:rFonts w:ascii="宋体" w:hAnsi="宋体" w:eastAsia="仿宋"/>
                <w:sz w:val="24"/>
              </w:rPr>
            </w:pPr>
            <w:r>
              <w:rPr>
                <w:rFonts w:hint="eastAsia" w:ascii="楷体" w:hAnsi="楷体" w:eastAsia="仿宋" w:cs="Calibri"/>
                <w:sz w:val="24"/>
              </w:rPr>
              <w:t>允许偏离的幅度：</w:t>
            </w:r>
            <w:r>
              <w:rPr>
                <w:rFonts w:hint="eastAsia" w:ascii="仿宋" w:hAnsi="仿宋" w:eastAsia="仿宋" w:cs="仿宋"/>
                <w:i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pPr>
              <w:pStyle w:val="7"/>
              <w:widowControl w:val="0"/>
              <w:spacing w:before="0" w:beforeAutospacing="0" w:after="0" w:afterAutospacing="0"/>
              <w:rPr>
                <w:rFonts w:ascii="宋体" w:hAnsi="宋体" w:eastAsia="仿宋"/>
                <w:sz w:val="24"/>
              </w:rPr>
            </w:pPr>
            <w:r>
              <w:rPr>
                <w:rFonts w:hint="eastAsia" w:ascii="宋体" w:hAnsi="宋体" w:eastAsia="仿宋" w:cs="Calibri"/>
                <w:b w:val="0"/>
                <w:bCs w:val="0"/>
                <w:kern w:val="2"/>
                <w:sz w:val="24"/>
                <w:szCs w:val="24"/>
              </w:rPr>
              <w:t>本项目采购标的所属行业</w:t>
            </w:r>
          </w:p>
        </w:tc>
        <w:tc>
          <w:tcPr>
            <w:tcW w:w="7479" w:type="dxa"/>
            <w:noWrap w:val="0"/>
            <w:vAlign w:val="center"/>
          </w:tcPr>
          <w:p>
            <w:pPr>
              <w:rPr>
                <w:rFonts w:ascii="宋体" w:hAnsi="宋体" w:eastAsia="仿宋"/>
                <w:sz w:val="24"/>
              </w:rPr>
            </w:pPr>
            <w:r>
              <w:rPr>
                <w:rFonts w:hint="eastAsia" w:ascii="宋体" w:hAnsi="宋体" w:eastAsia="仿宋" w:cs="Calibri"/>
                <w:sz w:val="24"/>
              </w:rPr>
              <w:t>所属行业：</w:t>
            </w:r>
            <w:r>
              <w:rPr>
                <w:rFonts w:hint="eastAsia" w:ascii="仿宋" w:hAnsi="仿宋" w:eastAsia="仿宋" w:cs="仿宋"/>
                <w:iCs/>
                <w:sz w:val="24"/>
              </w:rPr>
              <w:t>其他未列明行业</w:t>
            </w:r>
          </w:p>
        </w:tc>
      </w:tr>
    </w:tbl>
    <w:p>
      <w:pPr>
        <w:pStyle w:val="6"/>
        <w:ind w:firstLine="480"/>
        <w:rPr>
          <w:rFonts w:ascii="宋体" w:hAnsi="宋体" w:eastAsia="仿宋"/>
          <w:sz w:val="24"/>
        </w:rPr>
      </w:pPr>
    </w:p>
    <w:p>
      <w:pPr>
        <w:pStyle w:val="3"/>
        <w:spacing w:line="240" w:lineRule="auto"/>
        <w:rPr>
          <w:rFonts w:ascii="仿宋" w:hAnsi="仿宋" w:eastAsia="仿宋" w:cs="仿宋"/>
          <w:sz w:val="21"/>
          <w:szCs w:val="21"/>
        </w:rPr>
      </w:pPr>
      <w:r>
        <w:rPr>
          <w:rFonts w:hint="eastAsia" w:ascii="仿宋" w:hAnsi="仿宋" w:eastAsia="仿宋" w:cs="仿宋"/>
          <w:sz w:val="21"/>
          <w:szCs w:val="21"/>
        </w:rPr>
        <w:t>4、服务需求</w:t>
      </w:r>
    </w:p>
    <w:p>
      <w:pPr>
        <w:adjustRightInd w:val="0"/>
        <w:snapToGrid w:val="0"/>
        <w:spacing w:line="400" w:lineRule="exact"/>
        <w:ind w:firstLine="422" w:firstLineChars="200"/>
        <w:rPr>
          <w:rFonts w:ascii="仿宋" w:hAnsi="仿宋" w:eastAsia="仿宋" w:cs="仿宋"/>
          <w:szCs w:val="21"/>
        </w:rPr>
      </w:pPr>
      <w:r>
        <w:rPr>
          <w:rFonts w:hint="eastAsia" w:ascii="仿宋" w:hAnsi="仿宋" w:eastAsia="仿宋" w:cs="仿宋"/>
          <w:b/>
          <w:bCs/>
          <w:szCs w:val="21"/>
        </w:rPr>
        <w:t>4.1 执行标准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本项目钻探工作严格按国家和行业有关规范、规程的要求实施。具体执行的各项工作标准、规范如下：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（1）《地质岩心钻探规程》DZ/T 0227-2010；</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（2）《地质勘探安全规程》AQ 2004-2005；</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（3）《绿色地质勘查工作规范》DZ/T 0374-2021；</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（4）执行ISO9001质量管理体系的有关文件，建立三级质量监控体系。</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具体质量要求如下：</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1、钻孔开孔及钻孔结构：</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钻孔开孔的位置、倾角、方位角由甲方给定。如因地面条件或其它原因，需要变动时，必须经设计批准部门的同意。钻孔开孔孔径φ108mm、终孔口径φ75mm。</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2、岩矿心采取率与整理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矿心及矿体顶底板各5米范围内采取率平均大于85%。岩心平均采取率大于80%。岩心和矿心须清洗干净，按自上而下顺序装箱。长度大于5厘米的岩矿心用油漆编号。松散岩矿心小心排放。岩心箱要牢固，箱外侧用红漆标明岩心箱序号、孔深、回次号，每回次应填放岩心牌，妥善保管岩心。</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（1）根据各工区地质条件、岩矿层的物理机械性质，正确地选择取心工艺、取样器具、钻进参数和冲洗液类型。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（2）取心工具应妥善保管，使用前要认真检查，用后要清洗检查、注润滑油脂。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（3）在破碎地层中钻进时，应适当控制回次进尺长度和回次进尺时间。</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（4）钻进回次进尺长度不得超过岩心管长度。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（5）在矿层、矿层顶底板和重要标志层中，岩、矿心没有采取上来时，要专程捞取，必须钻进捞取时进尺不得超过0.5米。</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（6）退岩心时要细心，不得重敲、猛打，尽量避免人为破碎并防止上下次序颠倒。</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3、校正孔深及误差</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钻具总长度必须使用钢尺丈量，直孔每钻进100米、斜孔每钻进50米、见主矿层前后、下套管前及终孔后，均要丈量一次钻具，校正孔深，孔深误差不得超过1‰。若超差，查明原因及时在下一回次中消除。</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（1）机台使用的标尺应保持两端平齐，刻度准确、清楚，并定期校正。</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（2）丈量机上余尺时钻柱应停止回转，基准点要一致，并应准确丈量，及时记录。</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（3）要用钢卷尺丈量下入孔内钻具的长度，并准确记录数据，如果误差在允许范围内且数值较大，可在相邻的回次内消除。</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（4）处理事故后应校正孔深。</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4、钻孔弯曲度测量</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直孔每钻进100米采样仪器测量一次钻孔顶角和方位角，斜孔每钻进50米采样仪器测量一次钻孔顶角和方位角。钻孔换径或见主矿体时，均应加测顶角和方位角。</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钻孔顶角弯曲度，一般要求：金刚石钻进直孔每百米不超过1度，斜孔每百米不超过0.5度。孔斜超差时应及时采取补救措施。</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（1）考虑本工作区局部发育磁铁矿化，所以本矿区测斜装备必须采用不受磁性干扰的测斜仪器测量。</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钻孔孔斜测量，钻孔顶角在0.5°～3°之间应提供参考性方位角，钻孔顶角大于3°的应提供准确的钻孔方位角。测斜仪器下孔前必须在校验台上校正仪器测量精度，并做好原始记录，误差超出允许范围，严禁下孔测量。</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（3）严格控制钻塔和设备的安装，地表机械设备应经过检验，稳固可靠。确保安装质量，保证“天车、回转器、孔口”三点一线。</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（4）在易斜岩层施工，应根据地层、见矿深度等条件合理设计开孔角度和弯曲强度，已掌握钻孔自然弯曲规律的工区应设计初级定向孔。</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（5）合理选择钻具结构和级配，尽量采用满眼钻进。</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（6）开孔应选择锋利的钻头，钻杆不得有偏摆，钻压要均匀，要随钻孔加深加长岩心管。</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（7）遇到片岩地层、倾斜岩层、破碎带、软硬互层时，应使用锋利的钻头和长、直、重、厚、刚的钻具。根据实际情况或采用液动冲击回转钻进。</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（8）扩孔时要带内导正器，换径时要带外导正器。粗径钻具要用综合式异径接头连接，其中心线应一致。</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（9）换径时导正管长度要大于4米，第一回次的小径岩心管长度要小于1米。</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5、简易水文观测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施工过程中，要严格按设计及时观测孔内水位、回次消耗量及其他应测项目，水位观测的基准点应一致，读数要准确，不任意割接测绳。 </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（1）使用清水或无固相冲洗液的钻孔中，每班至少观测水位1～2回次。绳索钻进每次观测应在提内管后、下内管前各测一次水位，间隔时间应大于5分钟。</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（2）实测中的每个钻进回次应根据水源箱水位、泥浆池液位变化和冲洗液补充量，计算此回次冲洗液消耗量。</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（3）钻进中遇到涌水、漏水、涌砂、掉块、坍塌、缩径、逸气、裂隙、溶洞及钻柱坠落等异常现象时，应及时记录其深度。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（4）在地下水自流钻孔中，根据水文地质要求接高孔口管或安装测试装置测量水头高度和涌水量。</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（5）孔内发现热水，应测量孔口温度。</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6、原始班报表</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现场用钢笔或中性笔及时填写原始报表，做到真实、齐全、准确、整洁，字迹清楚，交接班班长和机长要亲笔签字，不得代签，终孔后按统一格式装订成册。</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（1）各班应指定专人在现场及时填写钻探原始班报表，及时地填写好各项数据，记录员须头脑清晰、记录完整、字迹工整、避免涂改，不允许下班后追记、补记。</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 xml:space="preserve">（2）钻探班报表内容要齐全，包括钻探孔深、回次进尺、回次岩心长度、纯钻进时间、取心时间、孔深校正、弯曲度测量、简易水文观测、加减钻杆和钻杆立根、机具、钻进中掉钻位置（溶洞长度）、钻头类型及口径、班报表表头数据、终孔稳定水位观测及时记录、钻孔封孔内容填写等。  </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钻进中各项作业时间与记录内容须吻合，前后一致，填写无差错。</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（3）班长、机长（或综合记录员）要及时校对原始记录，发现错误立即修正。</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7、封孔</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（1）钻孔临近终孔前，根据《地质岩心钻探规程》和项目设计要求，需封闭的钻孔，由地质方面作出应封孔段设计，探矿方面作好封孔施工技术设计，经批准后，交机台执行。</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（2）封孔施工设计必须详细、具体、便于机台执行，如架桥位置、材料、规格、数量，封孔材料(包括附加剂)名称、水灰比、顶替水量，封孔物注入方法等均应在设计中写明。</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（3）封孔材料应在项目设计中明确，一般要用P.O32.5号以上普通硅酸盐水泥，对已失效或存在结块的水泥严禁使用。</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（4）封孔所用水泥数量应仔细计算、充分考虑孔径、超径、孔壁漏失、地表损失量。浆液在注入中，在与孔内水接触后必然有一部分被稀释不能凝固。因此，浆液注入长度，一定要大于要求的长度。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（5）矿层不厚，矿层与矿层，矿层与含水层较近时，可一并封闭，孔较浅而封闭层又较多的小口径钻孔，可全孔封闭。</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封孔施工中，选用有一定强度的架桥材料做隔离塞，并将其牢固地固定在预定孔深；采用泵送、钻杆和注送器注入水泥浆；水泥浆下端出口距离底部应小于0.5米；注浆过程应连续完成，封闭长度5米内不得提动钻具；要准确计算替浆的清水用量，替浆水量不得过多或过少；机长或钻探技术人员必须在场指挥。</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8、岩（矿）心管理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加强岩（矿）心的管理，使用强度达到要求的木制或塑料制岩心箱，岩心箱应注明矿区名称+钻孔号+起止深度+起止回次号；应对完整岩心、岩矿心编号，劈样后的残留岩矿心应重新编号；岩心牌用塑封防潮湿；取样牌宜用木牌，在岩心箱隔板上以箭头指示起止位置。岩心资料应按照国家有关规定予以汇交和妥善保管。</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（1）钻机在施工过程中所取岩矿心由钻机机长管理。钻孔结束后，运回野外住地临时库房存放，或移交给项目组管理。现场岩矿心应摆放整齐、岩心箱垛高不得超过1.5m，岩心箱必须质地坚固，便于搬运。</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岩矿心转运途中应有专人负责，岩心箱应加盖保护，以防翻到。岩矿心入库均需办理入库手续，填写入库验收单，验收时应根据入库验收单对照实物资料逐箱核对，检验后在验收单上签署意见，凡验收不合格的，库管人员不予签字，待差错消除后再办理正式入库手续。</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9、绿色勘查</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探施工以绿色发展理念为引领，以科学管理和先进技术为手段，通过运用先进的勘查手段、方法、设备和工艺，最大限度地减少对附近居民以及生态环境的扰动（含噪音污染），并对扰动的生态环境进行修复，已达到绿色勘查的目的。</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（1）场地清理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①地质勘查工作结束后，及时撤除施工场地和项目驻地的设备、不再使用的临建房屋及水电管线等各项设施，回收各种宜传牌、标示牌、警示牌、防滑防压网、土工布，清理干净场地内固体废弃物及生活垃圾。</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②施工现场清理出的固体废弃物，按照GB18599规定处置；项且驻地及现场清理出的生活垃圾，按照GB50869规定处置；对现场不能处置的有毒有害废物应外运至特定处置场所进行处理。</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（2）路场施工与复原</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①新开路线充分利用现有的公路、村道、居民区通道及农耕道等；避开植被生长区，采取对生态环境扰动较小的运输方式。驻地优先就近租用当地民居或公共建筑物；临时新建项目驻地，要做到最小控制建设面积和对生态环境造成的最小扰动；</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②新建道路一般根据勘查设计要求尽量恢复至原地形地貌，尽可能与周边自然环境相协调。能复绿的地段，应满足复垦复绿的要求，场地平整不应产生新的挖损和压占破坏，新建道路经有关方面批准可保留的可不复原。</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③钻孔施工产生的池、沟等，用开挖堆放的土石进行分层回填，按后挖的土石先填、先挖的土石后填的顺序进行回填并夯实底部基岩碎石，再回填平整底土，达到勘查设计中环境修复措施要求。斜坡沟槽回填时，应分段进行，自下而上用袋装土石依次堆码回填，避免产生滑动及洪水冲蚀，必要时做好围挡措施。</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（3）场地覆土</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①植被覆盖区，施工场地开挖前对扰动范围内的草皮进行人工剥离，存放于底部铺有腐殖土的临时存放场，并适时进行洒水养护；能移植的林木，做到合理移植并用于复绿。开挖出的土石做到装袋砌筑边坡，有序堆放；耕地、园地等有作物覆盖的场地，耕作层、覆土层及适宜复垦的土壤层，做到集中收集存放管理，并作为后期恢复覆土。</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②损毁土地复原后，应将开挖前的表土均匀覆盖在底土之上，草地、林地有效覆上厚度大于20cm；耕地、园地有效覆土厚度大于40cm，确保覆土厚度及土质能满足植被正常生长需要。</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③仅压占但未受到挖损，污染的场地，可采取深翻，松土、培土等方式使表土达到复垦要求。</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（4）钻探施工过程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钻探施工采用的方法、技术、工艺和设备应按绿色勘查设计要求实施，主要如下：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①根据地质勘查工作需要选用易于搬运、安装和拆卸、占地面积小的钻探设备；</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②在满足地质勘查目的前提下，采用先进的钻探工艺；</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③在植被覆盖区钻探施工时，人行道、运输通道、操作场地和油料存放库架设木板或铁丝网等防滑、防压设施；</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④施工操作场地、材料物资存放场地等地面铺设防渗材料；</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⑤为避免现场开挖，钻井液循环系统采用移动式泥浆箱及管道；</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⑥钻探施工冲洗液使用泥浆时，采用优质环保浆液；</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⑦施工中产生的废料、生活垃圾、钻孔渣土等固体废弃物做到及时清理，分类存储，回收利用，按相关管理规定进行现场处置及外运处置。</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（5）复垦复绿</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①耕地复垦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采用深翻、松土及覆土换填等方法对耕地进行复垦，复垦后耕地坡度和有效土层厚度及土壤质量应满足当地农作物耕种条件，并移交土地使用人自行耕作及管理。复垦耕地质量应符合TD/T1036等相关要求。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②林地复绿</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移植的林木应全部回植，未成活的应进行补植，无法移植的应种植，新种植的林木应结合当地气候环境条件，选择适宜的品种，种植的坑穴规格及其施工等应符合林木种植相关标准要求。复垦林地质量应符合TD/T1036等相关标准要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③草地复绿</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依靠自然能力无法自我恢复的地区，剥离的草皮应全部复植。将原剥离的根系腐殖土铺垫在覆盖的表土上，再将剥离养护的植被依次紧凑铺平复植。植被复植后应适当浇水养护，确保与开挖前状态基本一致。复绿草地质量符合TD/T1036等相关标准要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④自然修复能力强的地区，可以自然恢复为主，人工修复为辅。</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(6)资料整编</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及时收集临时道路、勘查施工场地、项目驻地、垃圾存放坑、污水沉淀池等工程同一地点、同一角度施工前、施工完、恢复后有效对比影像图片资料；绿色勘查相关资料做到真实、齐全、规范。</w:t>
      </w:r>
    </w:p>
    <w:p>
      <w:pPr>
        <w:pStyle w:val="3"/>
        <w:spacing w:line="240" w:lineRule="auto"/>
        <w:rPr>
          <w:rFonts w:hint="eastAsia" w:ascii="仿宋" w:hAnsi="仿宋" w:eastAsia="仿宋" w:cs="仿宋"/>
          <w:sz w:val="21"/>
          <w:szCs w:val="21"/>
        </w:rPr>
      </w:pPr>
      <w:r>
        <w:rPr>
          <w:rFonts w:hint="eastAsia" w:ascii="仿宋" w:hAnsi="仿宋" w:eastAsia="仿宋" w:cs="仿宋"/>
          <w:sz w:val="21"/>
          <w:szCs w:val="21"/>
        </w:rPr>
        <w:t>五、报价要求</w:t>
      </w:r>
    </w:p>
    <w:p>
      <w:pPr>
        <w:adjustRightInd w:val="0"/>
        <w:snapToGrid w:val="0"/>
        <w:spacing w:line="400" w:lineRule="exact"/>
        <w:ind w:firstLine="420" w:firstLineChars="200"/>
        <w:rPr>
          <w:rFonts w:ascii="仿宋" w:hAnsi="仿宋" w:eastAsia="仿宋" w:cs="仿宋"/>
          <w:szCs w:val="21"/>
        </w:rPr>
      </w:pPr>
      <w:r>
        <w:rPr>
          <w:rFonts w:hint="eastAsia" w:ascii="仿宋" w:hAnsi="仿宋" w:eastAsia="仿宋" w:cs="仿宋"/>
          <w:szCs w:val="21"/>
        </w:rPr>
        <w:t>本项目报响应单价，包含但不限于设备进出场、搬迁安装、青苗、林木、林地、噪音、耕地赔偿，修理道路，场地清理，机台平整及完工后复土复绿、安全及其管理、外部协调等提供的一切成本和费用、管理费、利润和税金，以及采购合同中明示或暗示的所有责任、义务和风险。响应单价不予调整，采购人后期不再追加任何费用。</w:t>
      </w:r>
    </w:p>
    <w:p>
      <w:pPr>
        <w:pStyle w:val="3"/>
        <w:spacing w:line="240" w:lineRule="auto"/>
        <w:rPr>
          <w:rFonts w:hint="eastAsia" w:ascii="仿宋" w:hAnsi="仿宋" w:eastAsia="仿宋" w:cs="仿宋"/>
          <w:sz w:val="21"/>
          <w:szCs w:val="21"/>
        </w:rPr>
      </w:pPr>
      <w:r>
        <w:rPr>
          <w:rFonts w:hint="eastAsia" w:ascii="仿宋" w:hAnsi="仿宋" w:eastAsia="仿宋" w:cs="仿宋"/>
          <w:sz w:val="21"/>
          <w:szCs w:val="21"/>
        </w:rPr>
        <w:t>六、安全管理要求</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6.1 安全管理要求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贯彻执行国家和当地的法律、法规、制度和标准；组织制定、修订、审查安全技术规程、安全鉴定及劳保用品标准，并监督执行。</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接受甲方及业主方现场安全检查，指导班组安全工作，发现违章，及时制止；负责编制各岗位安全操作规程等</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项目现场设置安全员1名。现场需定期召开安全生产工作会议，分析安全生产动态，及时解决安全生产存在的问题，负责安全教育等相关工作。</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每年(施工前或每季度)负责组织一次全体员工的安全培训考核等工作。</w:t>
      </w:r>
    </w:p>
    <w:p>
      <w:pPr>
        <w:adjustRightInd w:val="0"/>
        <w:snapToGrid w:val="0"/>
        <w:spacing w:line="400" w:lineRule="exact"/>
        <w:ind w:firstLine="422" w:firstLineChars="200"/>
        <w:rPr>
          <w:rFonts w:hint="eastAsia" w:ascii="仿宋" w:hAnsi="仿宋" w:eastAsia="仿宋" w:cs="仿宋"/>
          <w:b/>
          <w:bCs/>
          <w:szCs w:val="21"/>
        </w:rPr>
      </w:pPr>
      <w:r>
        <w:rPr>
          <w:rFonts w:hint="eastAsia" w:ascii="仿宋" w:hAnsi="仿宋" w:eastAsia="仿宋" w:cs="仿宋"/>
          <w:b/>
          <w:bCs/>
          <w:szCs w:val="21"/>
        </w:rPr>
        <w:t>6.2 安全生产管理规定</w:t>
      </w:r>
      <w:bookmarkStart w:id="7" w:name="_Toc398819685"/>
      <w:bookmarkStart w:id="8" w:name="_Toc193260003"/>
      <w:bookmarkStart w:id="9" w:name="_Toc194141892"/>
      <w:bookmarkStart w:id="10" w:name="_Toc141995097"/>
      <w:bookmarkStart w:id="11" w:name="_Toc141995036"/>
      <w:bookmarkStart w:id="12" w:name="_Toc2106"/>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1、安全</w:t>
      </w:r>
      <w:bookmarkEnd w:id="7"/>
      <w:bookmarkEnd w:id="8"/>
      <w:bookmarkEnd w:id="9"/>
      <w:r>
        <w:rPr>
          <w:rFonts w:hint="eastAsia" w:ascii="仿宋" w:hAnsi="仿宋" w:eastAsia="仿宋" w:cs="仿宋"/>
          <w:szCs w:val="21"/>
        </w:rPr>
        <w:t>管理</w:t>
      </w:r>
      <w:bookmarkEnd w:id="10"/>
      <w:bookmarkEnd w:id="11"/>
      <w:bookmarkEnd w:id="12"/>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（1）认真贯彻“安全第一，预防为主、综合治理”的方针，搞好安全防范教育。</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（2）贯彻执行《安全生产法》及局、院制定的安全生产有关规定；认真执行《安全操作规程》，落实《安全生产奖惩办法》。</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（3）建立以机长为中心的安全责任制，设机台兼职安全员，经常性对职工进行安全教育，并建立安全日志，各岗位员工必须严格遵守劳动纪律，严格执行《地质勘探安全规程》和有关规定。</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（4）做好开孔前安全验收，施工中的安全检查，操作中的安全防范，施工后的安全评比工作。</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（5）严格实行安全例会制度，每周一次。</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（6）落实安全检查的严肃性，不走过场。熟悉安全工作条例、法规，遵守操作规程，严禁违章作业。</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（7）严格执行交接班制度，上一班处理的要给接班的交代清楚。接班后要对机械设备检查，禁止设备带病运转。</w:t>
      </w:r>
    </w:p>
    <w:p>
      <w:pPr>
        <w:adjustRightInd w:val="0"/>
        <w:snapToGrid w:val="0"/>
        <w:spacing w:line="400" w:lineRule="exact"/>
        <w:ind w:firstLine="420" w:firstLineChars="200"/>
        <w:rPr>
          <w:rFonts w:hint="eastAsia" w:ascii="仿宋" w:hAnsi="仿宋" w:eastAsia="仿宋" w:cs="仿宋"/>
          <w:szCs w:val="21"/>
        </w:rPr>
      </w:pPr>
      <w:bookmarkStart w:id="13" w:name="_Toc17318"/>
      <w:bookmarkStart w:id="14" w:name="_Toc141995037"/>
      <w:bookmarkStart w:id="15" w:name="_Toc141995098"/>
      <w:r>
        <w:rPr>
          <w:rFonts w:hint="eastAsia" w:ascii="仿宋" w:hAnsi="仿宋" w:eastAsia="仿宋" w:cs="仿宋"/>
          <w:szCs w:val="21"/>
        </w:rPr>
        <w:t>2、安全教育</w:t>
      </w:r>
      <w:bookmarkEnd w:id="13"/>
      <w:bookmarkEnd w:id="14"/>
      <w:bookmarkEnd w:id="15"/>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项目开工前组织一次全员安全教育活动，安全教育内容：国家以及有关部门的法律、法规，施工现场的安全情况及措施等。项目部所有施工人员及管理人员必须经安全教育。项目组长、安全员持建设部门颁发的安全培训合格证上岗；</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（2）项目部每周开展一次全员安全教育活动，针对一周来的安全生产情况，强调关键部位，布置下一周安全生产任务。</w:t>
      </w:r>
    </w:p>
    <w:p>
      <w:pPr>
        <w:adjustRightInd w:val="0"/>
        <w:snapToGrid w:val="0"/>
        <w:spacing w:line="400" w:lineRule="exact"/>
        <w:ind w:firstLine="420" w:firstLineChars="200"/>
        <w:rPr>
          <w:rFonts w:hint="eastAsia" w:ascii="仿宋" w:hAnsi="仿宋" w:eastAsia="仿宋" w:cs="仿宋"/>
          <w:szCs w:val="21"/>
        </w:rPr>
      </w:pPr>
      <w:bookmarkStart w:id="16" w:name="_Toc1770"/>
      <w:bookmarkStart w:id="17" w:name="_Toc141995038"/>
      <w:bookmarkStart w:id="18" w:name="_Toc141995099"/>
      <w:r>
        <w:rPr>
          <w:rFonts w:hint="eastAsia" w:ascii="仿宋" w:hAnsi="仿宋" w:eastAsia="仿宋" w:cs="仿宋"/>
          <w:szCs w:val="21"/>
        </w:rPr>
        <w:t>3、安全检查及隐患整改</w:t>
      </w:r>
      <w:bookmarkEnd w:id="16"/>
      <w:bookmarkEnd w:id="17"/>
      <w:bookmarkEnd w:id="18"/>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根据单位安全检查制度的规定，项目部每天对施工工地进行一次全面检查，检查的内容主要包括：井口、孔壁、库房、各种机械设备、防护设施、个人防护等。参检人员由项目组长、技术负责、安全员和有关人员组成。项目部安全员每天对施工工地进行一次全面检查，检查的主要内容：个人防护、井口、孔壁、制度执行情况等；</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（2）检查结果应及时在安全台帐中如实记载。对检查出的事故隐患，要定人、定时进行整改，一时不能整改的除及时上报外，应采取有效的防护措施，没有防护措施的，不得继续施工。</w:t>
      </w:r>
    </w:p>
    <w:p>
      <w:pPr>
        <w:adjustRightInd w:val="0"/>
        <w:snapToGrid w:val="0"/>
        <w:spacing w:line="400" w:lineRule="exact"/>
        <w:ind w:firstLine="420" w:firstLineChars="200"/>
        <w:rPr>
          <w:rFonts w:hint="eastAsia" w:ascii="仿宋" w:hAnsi="仿宋" w:eastAsia="仿宋" w:cs="仿宋"/>
          <w:szCs w:val="21"/>
        </w:rPr>
      </w:pPr>
      <w:bookmarkStart w:id="19" w:name="_Toc141995100"/>
      <w:bookmarkStart w:id="20" w:name="_Toc26492"/>
      <w:bookmarkStart w:id="21" w:name="_Toc141995039"/>
      <w:r>
        <w:rPr>
          <w:rFonts w:hint="eastAsia" w:ascii="仿宋" w:hAnsi="仿宋" w:eastAsia="仿宋" w:cs="仿宋"/>
          <w:szCs w:val="21"/>
        </w:rPr>
        <w:t>4、班组安全活动</w:t>
      </w:r>
      <w:bookmarkEnd w:id="19"/>
      <w:bookmarkEnd w:id="20"/>
      <w:bookmarkEnd w:id="21"/>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(1)按单位有关要求开展班组安全活动。活动内容按单位和项目部要求进行，也可根据班组工作内容自定；</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(2)班组安全活动不少于两次；</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(3)班组安全活动要记录齐全。无记录、视未开展此项活动。</w:t>
      </w:r>
    </w:p>
    <w:p>
      <w:pPr>
        <w:adjustRightInd w:val="0"/>
        <w:snapToGrid w:val="0"/>
        <w:spacing w:line="400" w:lineRule="exact"/>
        <w:ind w:firstLine="420" w:firstLineChars="200"/>
        <w:rPr>
          <w:rFonts w:hint="eastAsia" w:ascii="仿宋" w:hAnsi="仿宋" w:eastAsia="仿宋" w:cs="仿宋"/>
          <w:szCs w:val="21"/>
        </w:rPr>
      </w:pPr>
      <w:bookmarkStart w:id="22" w:name="_Toc26076"/>
      <w:bookmarkStart w:id="23" w:name="_Toc141995101"/>
      <w:bookmarkStart w:id="24" w:name="_Toc141995040"/>
      <w:r>
        <w:rPr>
          <w:rFonts w:hint="eastAsia" w:ascii="仿宋" w:hAnsi="仿宋" w:eastAsia="仿宋" w:cs="仿宋"/>
          <w:szCs w:val="21"/>
        </w:rPr>
        <w:t>5、设备管理</w:t>
      </w:r>
      <w:bookmarkEnd w:id="22"/>
      <w:bookmarkEnd w:id="23"/>
      <w:bookmarkEnd w:id="24"/>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项目部对项目施工设备安全负责，对设备进行定期的和经常性的维修保养，做到所使用的设备处在良好的状态。</w:t>
      </w:r>
    </w:p>
    <w:p>
      <w:pPr>
        <w:adjustRightInd w:val="0"/>
        <w:snapToGrid w:val="0"/>
        <w:spacing w:line="400" w:lineRule="exact"/>
        <w:ind w:firstLine="420" w:firstLineChars="200"/>
        <w:rPr>
          <w:rFonts w:hint="eastAsia" w:ascii="仿宋" w:hAnsi="仿宋" w:eastAsia="仿宋" w:cs="仿宋"/>
          <w:szCs w:val="21"/>
        </w:rPr>
      </w:pPr>
      <w:bookmarkStart w:id="25" w:name="_Toc27882"/>
      <w:bookmarkStart w:id="26" w:name="_Toc141995041"/>
      <w:bookmarkStart w:id="27" w:name="_Toc141995102"/>
      <w:r>
        <w:rPr>
          <w:rFonts w:hint="eastAsia" w:ascii="仿宋" w:hAnsi="仿宋" w:eastAsia="仿宋" w:cs="仿宋"/>
          <w:szCs w:val="21"/>
        </w:rPr>
        <w:t>6、安全用电措施</w:t>
      </w:r>
      <w:bookmarkEnd w:id="25"/>
      <w:bookmarkEnd w:id="26"/>
      <w:bookmarkEnd w:id="27"/>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（1）施工现场的一切电源、电路的安装和拆除必须由持证上岗的电工操作；</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（2）电器必须接地、接零和使用漏电保护器，严禁保护零线与工作零线混接；</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（3）实行三相五线制、三级配电二级保护，孔上电缆必须架空2.0m</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以上，严禁电线拖地和埋压土中。</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（4）电缆、电线必须有防磨损、防潮、防断等措施；照明采用24V低压照明灯；</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（5）严格实行“一机、一闸、一漏、一箱”，并做到闸具完好无损，漏电保护、闸具、熔断器配备齐全。</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（6）安保装置参数与设备容量相匹配，安装符合要求；</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（7）施工现场使用的电气开关设施应有防雨、防潮措施，照明和动力电分别安装漏电保护置；</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（8）照明线路布置规范，不得乱拉线路和私接电，严禁在宿舍使用大功率电热设备；</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（9）施工现场电气设备安装规范，符合要求，位置适宜，便于操作，并配有门锁；</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（10）用电安全与经济利益挂钩，对违反用电安全的人和事要重罚，做到奖罚分明。</w:t>
      </w:r>
    </w:p>
    <w:p>
      <w:pPr>
        <w:adjustRightInd w:val="0"/>
        <w:snapToGrid w:val="0"/>
        <w:spacing w:line="400" w:lineRule="exact"/>
        <w:ind w:firstLine="420" w:firstLineChars="200"/>
        <w:rPr>
          <w:rFonts w:hint="eastAsia" w:ascii="仿宋" w:hAnsi="仿宋" w:eastAsia="仿宋" w:cs="仿宋"/>
          <w:szCs w:val="21"/>
        </w:rPr>
      </w:pPr>
      <w:bookmarkStart w:id="28" w:name="_Toc141995042"/>
      <w:bookmarkStart w:id="29" w:name="_Toc27107"/>
      <w:bookmarkStart w:id="30" w:name="_Toc141995103"/>
      <w:r>
        <w:rPr>
          <w:rFonts w:hint="eastAsia" w:ascii="仿宋" w:hAnsi="仿宋" w:eastAsia="仿宋" w:cs="仿宋"/>
          <w:szCs w:val="21"/>
        </w:rPr>
        <w:t>7、登高作业措施</w:t>
      </w:r>
      <w:bookmarkEnd w:id="28"/>
      <w:bookmarkEnd w:id="29"/>
      <w:bookmarkEnd w:id="30"/>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(1)架设钻塔时，架塔人员必须配带安全带、安全帽，现场有专人指挥、调度，施工人员必须服从指挥、调度。其它无关人员不得进入施工现场。</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(2)钻进过程中，在塔上作业人员，必须配带安全带、安全帽，必须接受操作班长的指挥。</w:t>
      </w:r>
    </w:p>
    <w:p>
      <w:pPr>
        <w:adjustRightInd w:val="0"/>
        <w:snapToGrid w:val="0"/>
        <w:spacing w:line="400" w:lineRule="exact"/>
        <w:ind w:firstLine="420" w:firstLineChars="200"/>
        <w:rPr>
          <w:rFonts w:hint="eastAsia" w:ascii="仿宋" w:hAnsi="仿宋" w:eastAsia="仿宋" w:cs="仿宋"/>
          <w:szCs w:val="21"/>
        </w:rPr>
      </w:pPr>
      <w:bookmarkStart w:id="31" w:name="_Toc12921"/>
      <w:bookmarkStart w:id="32" w:name="_Toc141995043"/>
      <w:bookmarkStart w:id="33" w:name="_Toc141995104"/>
      <w:r>
        <w:rPr>
          <w:rFonts w:hint="eastAsia" w:ascii="仿宋" w:hAnsi="仿宋" w:eastAsia="仿宋" w:cs="仿宋"/>
          <w:szCs w:val="21"/>
        </w:rPr>
        <w:t>8、钻探安全操作</w:t>
      </w:r>
      <w:bookmarkEnd w:id="31"/>
      <w:bookmarkEnd w:id="32"/>
      <w:bookmarkEnd w:id="33"/>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（1）钻机机场地基应平整、坚固、稳定、适用。</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钻塔安装与拆卸前，应对钻塔构件、工具、绳索、挑杆和起落架等进行严格检查。安装、拆卸钻塔应在机长的统一指挥下进行，作业人员要合格安排，严格按钻探操作规程进行作业，塔上塔下不得同时作业，塔上作业应系好安全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（3）各种机械设备安装应稳固、周正水平；各种防护设施、安全装置应齐全完好，外露的转动部位应设置可靠的防护罩或者防护栏杆；各种电气设备安装在干燥、清洁、通风良好的地方。</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（4）升降机的制动装置、离合装置、提引器、游动滑车、拧管机和拧卸工具等应灵活可靠。</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（5）操作升降机应平稳，严禁升降过程中触摸钢丝绳。</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（6）提引器、提引钩，应有安全连锁装置；提落钻杆或钻具，提引器切口应朝下。</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（7）钻具处于悬吊状态时，禁止用手探摸悬吊钻具内的岩心或探视管内岩心。</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（8）机械转动时，禁止进行机械部件的擦洗、拆卸和维修；禁止跨越传动皮带、转动部位或从其上方传递物件；禁止戴手套挂皮带或打蜡；禁止用铁器拨、卸、挂传动中皮带。</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（9）钻进时，禁止用手扶持高压胶管或水龙头。修理高压胶管或水龙头应停机。水龙头高压胶管，应设防缠绕、防坠安全装置和导向绳。</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（10）操作拧管机和垫叉、扭叉，应由一人操作；发生跑钻时，禁止抢插垫叉或强行抓跑钻杆。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（11）禁止同时使用升降机、千斤顶或吊锤起拨孔内事故钻具；禁止超设备限定负荷强行起拔孔内事故钻具。</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（12）活动工作台应安装制动、防坠、防窜、行程限制、安全挂钩、手动定位器等安全装置。</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（13）钻塔绷绳应采用直径12.5mm以上钢丝绳。绷绳安装应牢固、对称；绷绳与水平面夹角应小于45°；地锚深度应大于1m。</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（14）雷雨季节，落雷区钻塔应安装避雷针或其他防雷措施。</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15）机场动力配电箱与照明配电箱，应分别设置；机台安装JMB-2000行灯变压器，机台照明全部更换成36V安全照明灯泡，每台钻机应独立设置开关箱，实行“一机一闸一漏电保护器”，并实行两级漏电保护装置；移动式配电箱、开关箱应安装在固定支架上，并有防潮、防雨、防晒措施。</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（16）机场电气设备，应采用保护接地，接地电阻应小于4欧姆。</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（17）机场照明应使用防水灯具；照明灯炮，应距离塔布表面30mm以上。</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（18）机场应配备足够的灭火器材，专人管理，禁止明火直接加热机油及烘烤柴油机油底壳。</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（19）钢丝绳定期检查，超出规定要求，及时更换；经常检查提升系统，如绳卡、螺丝等；施工现场应清洁，工具摆放整齐，无杂乱现象，做到安全文明生产。</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（20）施工现场应设置安全标语，危险部位应设安全警示牌。</w:t>
      </w:r>
    </w:p>
    <w:p>
      <w:pPr>
        <w:adjustRightInd w:val="0"/>
        <w:snapToGrid w:val="0"/>
        <w:spacing w:line="400" w:lineRule="exact"/>
        <w:ind w:firstLine="420" w:firstLineChars="200"/>
        <w:rPr>
          <w:rFonts w:hint="eastAsia" w:ascii="仿宋" w:hAnsi="仿宋" w:eastAsia="仿宋" w:cs="仿宋"/>
          <w:szCs w:val="21"/>
        </w:rPr>
      </w:pPr>
      <w:r>
        <w:rPr>
          <w:rFonts w:hint="eastAsia" w:ascii="仿宋" w:hAnsi="仿宋" w:eastAsia="仿宋" w:cs="仿宋"/>
          <w:szCs w:val="21"/>
        </w:rPr>
        <w:t>施工中为了搞好安全工作，钻机机长兼机台安全员，班长负责本班的安全工作，发现隐患，即时整改，接受业主和上级安全部门的监督检查，杜绝各类事故的发生。</w:t>
      </w:r>
    </w:p>
    <w:p>
      <w:pPr>
        <w:pStyle w:val="3"/>
        <w:spacing w:line="240" w:lineRule="auto"/>
        <w:rPr>
          <w:rFonts w:hint="eastAsia" w:ascii="仿宋" w:hAnsi="仿宋" w:eastAsia="仿宋" w:cs="仿宋"/>
          <w:sz w:val="21"/>
          <w:szCs w:val="21"/>
        </w:rPr>
      </w:pPr>
      <w:r>
        <w:rPr>
          <w:rFonts w:hint="eastAsia" w:ascii="仿宋" w:hAnsi="仿宋" w:eastAsia="仿宋" w:cs="仿宋"/>
          <w:sz w:val="21"/>
          <w:szCs w:val="21"/>
        </w:rPr>
        <w:t>七、其他要求</w:t>
      </w:r>
    </w:p>
    <w:p>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1.本项目须严格执行《地质岩心钻探规程》【DZ/T0227-2010】、《地质勘查钻探岩矿心管理通则》【DZ/T0032-1992】等国内现行技术规范、技术规程的标准和要求，开展地质勘查钻孔施工工作。</w:t>
      </w:r>
    </w:p>
    <w:p>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2.按采购人要求进场，开展野外钻探时需按相关法规开展工作。</w:t>
      </w:r>
    </w:p>
    <w:p>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3.配合采购人现场地质编录、采样、测井等相关工作。</w:t>
      </w:r>
    </w:p>
    <w:p>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4.项目最终结算以双方验收的实际工作量乘以相应的成交单价计算，付款前成交供应商须提供等额增值税发票。</w:t>
      </w:r>
    </w:p>
    <w:p>
      <w:pPr>
        <w:adjustRightInd w:val="0"/>
        <w:snapToGrid w:val="0"/>
        <w:spacing w:line="400" w:lineRule="exact"/>
        <w:ind w:firstLine="420" w:firstLineChars="200"/>
        <w:jc w:val="left"/>
        <w:rPr>
          <w:rFonts w:hint="eastAsia" w:ascii="仿宋" w:hAnsi="仿宋" w:eastAsia="仿宋" w:cs="仿宋"/>
          <w:szCs w:val="21"/>
        </w:rPr>
      </w:pPr>
      <w:r>
        <w:rPr>
          <w:rFonts w:hint="eastAsia" w:ascii="仿宋" w:hAnsi="仿宋" w:eastAsia="仿宋" w:cs="仿宋"/>
          <w:szCs w:val="21"/>
        </w:rPr>
        <w:t>5.本合同所涉及的单价均为含税单价，所有应交税费均由乙方承担。</w:t>
      </w:r>
    </w:p>
    <w:p>
      <w:pPr>
        <w:widowControl/>
        <w:adjustRightInd w:val="0"/>
        <w:snapToGrid w:val="0"/>
        <w:spacing w:line="400" w:lineRule="exact"/>
        <w:ind w:firstLine="420" w:firstLineChars="200"/>
        <w:jc w:val="left"/>
        <w:rPr>
          <w:rFonts w:hint="eastAsia" w:ascii="仿宋" w:hAnsi="仿宋" w:eastAsia="仿宋" w:cs="仿宋"/>
          <w:sz w:val="24"/>
        </w:rPr>
      </w:pPr>
      <w:r>
        <w:rPr>
          <w:rFonts w:hint="eastAsia" w:ascii="仿宋" w:hAnsi="仿宋" w:eastAsia="仿宋" w:cs="仿宋"/>
          <w:szCs w:val="21"/>
        </w:rPr>
        <w:t>6.本项目履约保证金在全部工程通过采购人及上级主管部门的野外验收后30日内退还；工期每延迟1天扣除履约保证金5000元，质量不符合要求的履约保证金不予返还。</w:t>
      </w:r>
    </w:p>
    <w:bookmarkEnd w:id="3"/>
    <w:bookmarkEnd w:id="4"/>
    <w:bookmarkEnd w:id="5"/>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8154F4"/>
    <w:rsid w:val="10A02655"/>
    <w:rsid w:val="1B114E9C"/>
    <w:rsid w:val="4E815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6">
    <w:name w:val="列出段落1"/>
    <w:basedOn w:val="1"/>
    <w:autoRedefine/>
    <w:qFormat/>
    <w:uiPriority w:val="0"/>
    <w:pPr>
      <w:ind w:firstLine="420" w:firstLineChars="200"/>
    </w:pPr>
  </w:style>
  <w:style w:type="paragraph" w:customStyle="1" w:styleId="7">
    <w:name w:val="xl31"/>
    <w:basedOn w:val="1"/>
    <w:autoRedefine/>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2026-03-02T01:40:00Z</dcterms:created>
  <dc:creator>初审</dc:creator>
  <cp:lastModifiedBy>卜</cp:lastModifiedBy>
  <dcterms:modified xsi:type="dcterms:W3CDTF">2026-03-02T05:52:31Z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086164D0D051495A8114D29C15B77337_13</vt:lpwstr>
  </property>
  <property fmtid="{D5CDD505-2E9C-101B-9397-08002B2CF9AE}" pid="4" name="KSOTemplateDocerSaveRecord">
    <vt:lpwstr>eyJoZGlkIjoiY2ViNDMyYzRhZDUzYWU3NjU4MTE1MTgyN2RjZTgxNDYiLCJ1c2VySWQiOiIxMzU3MzcxODQzIn0=</vt:lpwstr>
  </property>
</Properties>
</file>