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F90F6">
      <w:pPr>
        <w:spacing w:line="360" w:lineRule="auto"/>
        <w:rPr>
          <w:rFonts w:hint="eastAsia" w:asciiTheme="minorEastAsia" w:hAnsiTheme="minorEastAsia" w:eastAsiaTheme="minorEastAsia"/>
          <w:b/>
          <w:color w:val="auto"/>
          <w:sz w:val="24"/>
          <w:highlight w:val="none"/>
        </w:rPr>
      </w:pPr>
      <w:bookmarkStart w:id="66" w:name="_GoBack"/>
      <w:r>
        <w:rPr>
          <w:rFonts w:hint="eastAsia" w:asciiTheme="minorEastAsia" w:hAnsiTheme="minorEastAsia" w:eastAsiaTheme="minorEastAsia"/>
          <w:b/>
          <w:color w:val="auto"/>
          <w:sz w:val="24"/>
          <w:highlight w:val="none"/>
        </w:rPr>
        <w:t>前注：</w:t>
      </w:r>
    </w:p>
    <w:p w14:paraId="6D5D67A0">
      <w:pPr>
        <w:spacing w:line="360" w:lineRule="auto"/>
        <w:ind w:firstLine="435"/>
        <w:rPr>
          <w:rFonts w:hint="eastAsia"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4F16FBEC">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18"/>
          <w:highlight w:val="none"/>
        </w:rPr>
        <w:t>：</w:t>
      </w:r>
    </w:p>
    <w:p w14:paraId="72960C1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538F74ED">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6A7B72D">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rPr>
        <w:t>3.</w:t>
      </w:r>
      <w:r>
        <w:rPr>
          <w:rFonts w:hint="eastAsia" w:ascii="宋体" w:hAnsi="宋体" w:eastAsia="宋体"/>
          <w:color w:val="auto"/>
          <w:sz w:val="24"/>
          <w:szCs w:val="18"/>
          <w:highlight w:val="none"/>
        </w:rPr>
        <w:t>如采购人允许采用分包方式履行合同的，应当明确可以分包履行的相关内容。</w:t>
      </w:r>
    </w:p>
    <w:p w14:paraId="0E18F44D">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4.下列采购需求中：标注▲的产品为核心产品（主要中标标的）。</w:t>
      </w:r>
    </w:p>
    <w:p w14:paraId="47AEE350">
      <w:pPr>
        <w:spacing w:line="360" w:lineRule="auto"/>
        <w:ind w:firstLine="437"/>
        <w:outlineLvl w:val="1"/>
        <w:rPr>
          <w:rFonts w:hint="eastAsia" w:ascii="宋体" w:hAnsi="宋体" w:eastAsia="宋体"/>
          <w:b/>
          <w:color w:val="auto"/>
          <w:sz w:val="24"/>
          <w:szCs w:val="18"/>
          <w:highlight w:val="none"/>
        </w:rPr>
      </w:pPr>
      <w:bookmarkStart w:id="0" w:name="_Toc5252"/>
      <w:bookmarkStart w:id="1" w:name="_Toc32151"/>
      <w:bookmarkStart w:id="2" w:name="_Toc2554"/>
      <w:r>
        <w:rPr>
          <w:rFonts w:hint="eastAsia" w:ascii="宋体" w:hAnsi="宋体" w:eastAsia="宋体"/>
          <w:b/>
          <w:color w:val="auto"/>
          <w:sz w:val="24"/>
          <w:szCs w:val="18"/>
          <w:highlight w:val="none"/>
        </w:rPr>
        <w:t>一、项目概况</w:t>
      </w:r>
      <w:bookmarkEnd w:id="0"/>
    </w:p>
    <w:p w14:paraId="3EDCE2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项目以合规溯源为核心，搭建标准化、智能化、高安全的多基地可视化体系，实现全实验室覆盖、视频全过程可追溯；统一全院采集、传输、存储、权限全套技术标准；设置差异化录像策略降低运维成本，配套分层权限管控规范访问流程，整体系统符合实验室认可、3C 认证、监督抽查全部合规审查要求，同时预留扩容拓展能力适配后续业务发展。</w:t>
      </w:r>
    </w:p>
    <w:p w14:paraId="0197893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项目整体视频点位合计 294路（新建238路，利旧纳管56路），包含全新点位建设、原有监控设备利旧、所有点位统一平台纳管三大部分，覆盖三大基地全部实验室、试验大厅、样品仓储、样品流转、前台收样等关键区域。主要建设内容如下：</w:t>
      </w:r>
    </w:p>
    <w:p w14:paraId="066728B3">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点位新建工作。统一配置标准化固定高清摄像机与便携式移动摄像机，固定设备覆盖各类常态化试验区域，移动设备用于临时抽检、非常规试验、新增作业区域补录，所有前端设备统一成像、编码、校时标准，从源头保障视频取证画质合规统一。</w:t>
      </w:r>
    </w:p>
    <w:p w14:paraId="64200F37">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（2）完成存量设备利旧与统一纳管。院内现有两套可视化存储系统及 56 路原有摄像头全部利旧复用，将新旧所有视频点位接入同一套可视化管理平台，实现硬件设备、录像数据、管理权限一体化统筹，解决原有系统各自独立、无法跨基地查阅溯源的管理痛点。</w:t>
      </w:r>
    </w:p>
    <w:p w14:paraId="32644F5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差异化设备供电方式。须根据不同区域采用不同的供电方式：针对样品及仓库等区域，实现24小时不间断录制点位，采用集中POE供电方式，全程稳定供电，保障设备全天候持续在线、正常录像；针对仅试验作业时段录制的实验室，对实验室供电进行专项改造，摄像头接入改造后的单独供电线路，由试验人员进行录像开启和关闭控制，进行试验时开启摄像头电源开始进行录像，结束试验时关闭摄像头电源停止录像。</w:t>
      </w:r>
    </w:p>
    <w:p w14:paraId="01ED07F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（4）搭建分层系统架构与属地化存储体系。搭建前端采集、网络传输、存储处理、应用管理四层一体化架构，搭建独立隔离监控专网。</w:t>
      </w:r>
    </w:p>
    <w:p w14:paraId="499B0D1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三大基地分别部署本地可视化存储并与现有两套可视化存储实现统一使用和管理，所有视频数据本地存储、不上云端，同时实现可视化点位的权限管控，同步完成布线施工、供电改造、软硬件部署、系统联调等全套集成实施工作。</w:t>
      </w:r>
    </w:p>
    <w:p w14:paraId="4B84DB50">
      <w:pPr>
        <w:spacing w:line="360" w:lineRule="auto"/>
        <w:ind w:firstLine="437"/>
        <w:outlineLvl w:val="1"/>
        <w:rPr>
          <w:rFonts w:hint="eastAsia" w:ascii="宋体" w:hAnsi="宋体" w:eastAsia="宋体"/>
          <w:b/>
          <w:color w:val="auto"/>
          <w:sz w:val="24"/>
          <w:szCs w:val="18"/>
          <w:highlight w:val="none"/>
        </w:rPr>
      </w:pPr>
      <w:bookmarkStart w:id="3" w:name="_Toc24004"/>
      <w:r>
        <w:rPr>
          <w:rFonts w:hint="eastAsia" w:ascii="宋体" w:hAnsi="宋体" w:eastAsia="宋体"/>
          <w:b/>
          <w:color w:val="auto"/>
          <w:sz w:val="24"/>
          <w:szCs w:val="18"/>
          <w:highlight w:val="none"/>
        </w:rPr>
        <w:t>二、采购需求前附表</w:t>
      </w:r>
      <w:bookmarkEnd w:id="1"/>
      <w:bookmarkEnd w:id="2"/>
      <w:bookmarkEnd w:id="3"/>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0FF8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A585A35">
            <w:pPr>
              <w:pStyle w:val="6"/>
              <w:pBdr>
                <w:bottom w:val="none" w:color="auto" w:sz="0" w:space="0"/>
              </w:pBdr>
              <w:tabs>
                <w:tab w:val="clear" w:pos="4153"/>
                <w:tab w:val="clear" w:pos="8306"/>
              </w:tabs>
              <w:adjustRightInd/>
              <w:spacing w:line="240" w:lineRule="auto"/>
              <w:textAlignment w:val="auto"/>
              <w:rPr>
                <w:rFonts w:hint="eastAsia" w:ascii="宋体" w:hAnsi="宋体" w:eastAsia="宋体"/>
                <w:b/>
                <w:color w:val="auto"/>
                <w:kern w:val="2"/>
                <w:szCs w:val="24"/>
                <w:highlight w:val="none"/>
              </w:rPr>
            </w:pPr>
            <w:r>
              <w:rPr>
                <w:rFonts w:hint="eastAsia" w:ascii="宋体" w:hAnsi="宋体" w:eastAsia="宋体"/>
                <w:b/>
                <w:color w:val="auto"/>
                <w:kern w:val="2"/>
                <w:szCs w:val="24"/>
                <w:highlight w:val="none"/>
              </w:rPr>
              <w:t>序号</w:t>
            </w:r>
          </w:p>
        </w:tc>
        <w:tc>
          <w:tcPr>
            <w:tcW w:w="1192" w:type="pct"/>
            <w:vAlign w:val="center"/>
          </w:tcPr>
          <w:p w14:paraId="254BA4F8">
            <w:pPr>
              <w:pStyle w:val="7"/>
              <w:widowControl w:val="0"/>
              <w:spacing w:before="0" w:beforeAutospacing="0" w:after="0" w:afterAutospacing="0" w:line="360" w:lineRule="auto"/>
              <w:rPr>
                <w:rFonts w:hint="eastAsia" w:ascii="宋体" w:hAnsi="宋体" w:eastAsia="宋体"/>
                <w:bCs w:val="0"/>
                <w:color w:val="auto"/>
                <w:sz w:val="24"/>
                <w:szCs w:val="24"/>
                <w:highlight w:val="none"/>
              </w:rPr>
            </w:pPr>
            <w:r>
              <w:rPr>
                <w:rFonts w:hint="eastAsia" w:ascii="宋体" w:hAnsi="宋体" w:eastAsia="宋体"/>
                <w:bCs w:val="0"/>
                <w:color w:val="auto"/>
                <w:sz w:val="24"/>
                <w:szCs w:val="24"/>
                <w:highlight w:val="none"/>
              </w:rPr>
              <w:t>条款名称</w:t>
            </w:r>
          </w:p>
        </w:tc>
        <w:tc>
          <w:tcPr>
            <w:tcW w:w="3217" w:type="pct"/>
            <w:vAlign w:val="center"/>
          </w:tcPr>
          <w:p w14:paraId="2E44E51D">
            <w:pPr>
              <w:pStyle w:val="7"/>
              <w:widowControl w:val="0"/>
              <w:spacing w:before="0" w:beforeAutospacing="0" w:after="0" w:afterAutospacing="0" w:line="360" w:lineRule="auto"/>
              <w:rPr>
                <w:rFonts w:hint="eastAsia" w:ascii="宋体" w:hAnsi="宋体" w:eastAsia="宋体"/>
                <w:bCs w:val="0"/>
                <w:color w:val="auto"/>
                <w:sz w:val="24"/>
                <w:szCs w:val="24"/>
                <w:highlight w:val="none"/>
              </w:rPr>
            </w:pPr>
            <w:r>
              <w:rPr>
                <w:rFonts w:hint="eastAsia" w:ascii="宋体" w:hAnsi="宋体" w:eastAsia="宋体"/>
                <w:bCs w:val="0"/>
                <w:color w:val="auto"/>
                <w:sz w:val="24"/>
                <w:szCs w:val="24"/>
                <w:highlight w:val="none"/>
              </w:rPr>
              <w:t>内容、说明与要求</w:t>
            </w:r>
          </w:p>
        </w:tc>
      </w:tr>
      <w:tr w14:paraId="65AC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DEE918">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szCs w:val="24"/>
                <w:highlight w:val="none"/>
              </w:rPr>
            </w:pPr>
            <w:r>
              <w:rPr>
                <w:rFonts w:hint="eastAsia" w:ascii="宋体" w:hAnsi="宋体" w:eastAsia="宋体"/>
                <w:bCs/>
                <w:color w:val="auto"/>
                <w:kern w:val="2"/>
                <w:szCs w:val="24"/>
                <w:highlight w:val="none"/>
              </w:rPr>
              <w:t>1</w:t>
            </w:r>
          </w:p>
        </w:tc>
        <w:tc>
          <w:tcPr>
            <w:tcW w:w="1192" w:type="pct"/>
            <w:vAlign w:val="center"/>
          </w:tcPr>
          <w:p w14:paraId="42ED1D25">
            <w:pPr>
              <w:pStyle w:val="7"/>
              <w:widowControl w:val="0"/>
              <w:adjustRightInd w:val="0"/>
              <w:snapToGrid w:val="0"/>
              <w:spacing w:before="0" w:beforeAutospacing="0" w:after="0" w:afterAutospacing="0" w:line="300" w:lineRule="auto"/>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付款方式</w:t>
            </w:r>
          </w:p>
        </w:tc>
        <w:tc>
          <w:tcPr>
            <w:tcW w:w="3217" w:type="pct"/>
            <w:vAlign w:val="center"/>
          </w:tcPr>
          <w:p w14:paraId="3E8031EA">
            <w:pPr>
              <w:pStyle w:val="7"/>
              <w:widowControl w:val="0"/>
              <w:adjustRightInd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ascii="宋体" w:hAnsi="宋体" w:eastAsia="宋体"/>
                <w:b w:val="0"/>
                <w:color w:val="auto"/>
                <w:sz w:val="24"/>
                <w:szCs w:val="24"/>
                <w:highlight w:val="none"/>
              </w:rPr>
              <w:t>合同签订后，中标人完成全部货物供货，采购人支付合同总金额的</w:t>
            </w:r>
            <w:r>
              <w:rPr>
                <w:rFonts w:hint="eastAsia" w:ascii="宋体" w:hAnsi="宋体" w:eastAsia="宋体"/>
                <w:b w:val="0"/>
                <w:color w:val="auto"/>
                <w:sz w:val="24"/>
                <w:szCs w:val="24"/>
                <w:highlight w:val="none"/>
              </w:rPr>
              <w:t>4</w:t>
            </w:r>
            <w:r>
              <w:rPr>
                <w:rFonts w:ascii="宋体" w:hAnsi="宋体" w:eastAsia="宋体"/>
                <w:b w:val="0"/>
                <w:color w:val="auto"/>
                <w:sz w:val="24"/>
                <w:szCs w:val="24"/>
                <w:highlight w:val="none"/>
              </w:rPr>
              <w:t>0%</w:t>
            </w:r>
            <w:r>
              <w:rPr>
                <w:rFonts w:hint="eastAsia" w:ascii="宋体" w:hAnsi="宋体" w:eastAsia="宋体"/>
                <w:b w:val="0"/>
                <w:color w:val="auto"/>
                <w:sz w:val="24"/>
                <w:szCs w:val="24"/>
                <w:highlight w:val="none"/>
              </w:rPr>
              <w:t>（中标人须提供等额预付款担保），项目经验收合格且相关资料齐备己移交后，一次性付清合同价款。</w:t>
            </w:r>
          </w:p>
          <w:p w14:paraId="54E785B9">
            <w:pPr>
              <w:pStyle w:val="7"/>
              <w:widowControl w:val="0"/>
              <w:adjustRightInd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注：</w:t>
            </w:r>
          </w:p>
          <w:p w14:paraId="6C63F05F">
            <w:pPr>
              <w:pStyle w:val="7"/>
              <w:widowControl w:val="0"/>
              <w:adjustRightInd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（1）中标人未按规定提供预付款担保的，视为放弃预付款；</w:t>
            </w:r>
          </w:p>
          <w:p w14:paraId="4D21DF69">
            <w:pPr>
              <w:pStyle w:val="7"/>
              <w:widowControl w:val="0"/>
              <w:adjustRightInd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（2）预付款担保要求：如采用银行保函、担保机构出具的保函（担保机构担保）均须满足无条件见索即付条件。</w:t>
            </w:r>
          </w:p>
        </w:tc>
      </w:tr>
      <w:tr w14:paraId="0244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1B5E736">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szCs w:val="24"/>
                <w:highlight w:val="none"/>
              </w:rPr>
            </w:pPr>
            <w:r>
              <w:rPr>
                <w:rFonts w:hint="eastAsia" w:ascii="宋体" w:hAnsi="宋体" w:eastAsia="宋体"/>
                <w:bCs/>
                <w:color w:val="auto"/>
                <w:kern w:val="2"/>
                <w:szCs w:val="24"/>
                <w:highlight w:val="none"/>
              </w:rPr>
              <w:t>2</w:t>
            </w:r>
          </w:p>
        </w:tc>
        <w:tc>
          <w:tcPr>
            <w:tcW w:w="1192" w:type="pct"/>
            <w:vAlign w:val="center"/>
          </w:tcPr>
          <w:p w14:paraId="2A3C9A39">
            <w:pPr>
              <w:pStyle w:val="7"/>
              <w:widowControl w:val="0"/>
              <w:adjustRightInd w:val="0"/>
              <w:snapToGrid w:val="0"/>
              <w:spacing w:before="0" w:beforeAutospacing="0" w:after="0" w:afterAutospacing="0" w:line="300" w:lineRule="auto"/>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供货及安装地点</w:t>
            </w:r>
          </w:p>
        </w:tc>
        <w:tc>
          <w:tcPr>
            <w:tcW w:w="3217" w:type="pct"/>
            <w:vAlign w:val="center"/>
          </w:tcPr>
          <w:p w14:paraId="290BA8BD">
            <w:pPr>
              <w:pStyle w:val="7"/>
              <w:widowControl w:val="0"/>
              <w:adjustRightInd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安徽省产品质量监督检验研究院，具体按采购人指定地点。</w:t>
            </w:r>
          </w:p>
        </w:tc>
      </w:tr>
      <w:tr w14:paraId="7BC8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9CDA30F">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szCs w:val="24"/>
                <w:highlight w:val="none"/>
              </w:rPr>
            </w:pPr>
            <w:r>
              <w:rPr>
                <w:rFonts w:hint="eastAsia" w:ascii="宋体" w:hAnsi="宋体" w:eastAsia="宋体"/>
                <w:bCs/>
                <w:color w:val="auto"/>
                <w:kern w:val="2"/>
                <w:szCs w:val="24"/>
                <w:highlight w:val="none"/>
              </w:rPr>
              <w:t>3</w:t>
            </w:r>
          </w:p>
        </w:tc>
        <w:tc>
          <w:tcPr>
            <w:tcW w:w="1192" w:type="pct"/>
            <w:vAlign w:val="center"/>
          </w:tcPr>
          <w:p w14:paraId="16F67CD4">
            <w:pPr>
              <w:pStyle w:val="7"/>
              <w:widowControl w:val="0"/>
              <w:adjustRightInd w:val="0"/>
              <w:snapToGrid w:val="0"/>
              <w:spacing w:before="0" w:beforeAutospacing="0" w:after="0" w:afterAutospacing="0" w:line="300" w:lineRule="auto"/>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供货及安装期限</w:t>
            </w:r>
          </w:p>
        </w:tc>
        <w:tc>
          <w:tcPr>
            <w:tcW w:w="3217" w:type="pct"/>
            <w:vAlign w:val="center"/>
          </w:tcPr>
          <w:p w14:paraId="08BBCA54">
            <w:pPr>
              <w:pStyle w:val="7"/>
              <w:widowControl w:val="0"/>
              <w:adjustRightInd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合同生效之日起，50个日历日内完成供货、安装、调试、培训等所有工作内容。</w:t>
            </w:r>
          </w:p>
        </w:tc>
      </w:tr>
      <w:tr w14:paraId="50AB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A1B52CF">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szCs w:val="24"/>
                <w:highlight w:val="none"/>
              </w:rPr>
            </w:pPr>
            <w:r>
              <w:rPr>
                <w:rFonts w:hint="eastAsia" w:ascii="宋体" w:hAnsi="宋体" w:eastAsia="宋体"/>
                <w:bCs/>
                <w:color w:val="auto"/>
                <w:kern w:val="2"/>
                <w:szCs w:val="24"/>
                <w:highlight w:val="none"/>
              </w:rPr>
              <w:t>4</w:t>
            </w:r>
          </w:p>
        </w:tc>
        <w:tc>
          <w:tcPr>
            <w:tcW w:w="1192" w:type="pct"/>
            <w:vAlign w:val="center"/>
          </w:tcPr>
          <w:p w14:paraId="504F47E4">
            <w:pPr>
              <w:pStyle w:val="7"/>
              <w:widowControl w:val="0"/>
              <w:adjustRightInd w:val="0"/>
              <w:snapToGrid w:val="0"/>
              <w:spacing w:before="0" w:beforeAutospacing="0" w:after="0" w:afterAutospacing="0" w:line="300" w:lineRule="auto"/>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免费质保期</w:t>
            </w:r>
          </w:p>
        </w:tc>
        <w:tc>
          <w:tcPr>
            <w:tcW w:w="3217" w:type="pct"/>
            <w:vAlign w:val="center"/>
          </w:tcPr>
          <w:p w14:paraId="13050A49">
            <w:pPr>
              <w:pStyle w:val="7"/>
              <w:widowControl w:val="0"/>
              <w:adjustRightInd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1.除硬盘之外：货物需求清单中未明确的，免费质保期为自验收合格之日起3年；货物需求清单中明确的，免费质保期按货物需求清单执行。</w:t>
            </w:r>
          </w:p>
          <w:p w14:paraId="5BBDFE41">
            <w:pPr>
              <w:pStyle w:val="7"/>
              <w:widowControl w:val="0"/>
              <w:adjustRightInd w:val="0"/>
              <w:snapToGrid w:val="0"/>
              <w:spacing w:before="0" w:beforeAutospacing="0" w:after="0" w:afterAutospacing="0" w:line="300" w:lineRule="auto"/>
              <w:jc w:val="both"/>
              <w:rPr>
                <w:rFonts w:hint="eastAsia" w:ascii="宋体" w:hAnsi="宋体" w:eastAsia="宋体"/>
                <w:b w:val="0"/>
                <w:color w:val="auto"/>
                <w:sz w:val="24"/>
                <w:szCs w:val="24"/>
                <w:highlight w:val="none"/>
              </w:rPr>
            </w:pPr>
            <w:r>
              <w:rPr>
                <w:rFonts w:hint="eastAsia" w:ascii="宋体" w:hAnsi="宋体" w:eastAsia="宋体"/>
                <w:b w:val="0"/>
                <w:color w:val="auto"/>
                <w:sz w:val="24"/>
                <w:szCs w:val="24"/>
                <w:highlight w:val="none"/>
              </w:rPr>
              <w:t>2.硬盘：货物需求清单中所有硬盘免费质保期为自验收合格之日起5年。</w:t>
            </w:r>
          </w:p>
        </w:tc>
      </w:tr>
    </w:tbl>
    <w:p w14:paraId="6CAFD287">
      <w:pPr>
        <w:spacing w:line="360" w:lineRule="auto"/>
        <w:ind w:firstLine="437"/>
        <w:outlineLvl w:val="1"/>
        <w:rPr>
          <w:rFonts w:hint="eastAsia" w:ascii="宋体" w:hAnsi="宋体" w:eastAsia="宋体"/>
          <w:b/>
          <w:bCs/>
          <w:color w:val="auto"/>
          <w:sz w:val="24"/>
          <w:szCs w:val="18"/>
          <w:highlight w:val="none"/>
        </w:rPr>
      </w:pPr>
      <w:bookmarkStart w:id="4" w:name="_Toc5944"/>
      <w:bookmarkStart w:id="5" w:name="_Toc7671"/>
      <w:bookmarkStart w:id="6" w:name="_Toc28874"/>
      <w:r>
        <w:rPr>
          <w:rFonts w:hint="eastAsia" w:ascii="宋体" w:hAnsi="宋体" w:eastAsia="宋体"/>
          <w:b/>
          <w:bCs/>
          <w:color w:val="auto"/>
          <w:sz w:val="24"/>
          <w:szCs w:val="18"/>
          <w:highlight w:val="none"/>
        </w:rPr>
        <w:t>三、</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4"/>
      <w:bookmarkEnd w:id="5"/>
      <w:bookmarkEnd w:id="6"/>
    </w:p>
    <w:p w14:paraId="2564D2BF">
      <w:pPr>
        <w:widowControl/>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4D1F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B786093">
            <w:pPr>
              <w:spacing w:line="30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vAlign w:val="center"/>
          </w:tcPr>
          <w:p w14:paraId="6913931B">
            <w:pPr>
              <w:spacing w:line="30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363" w:type="dxa"/>
            <w:vAlign w:val="center"/>
          </w:tcPr>
          <w:p w14:paraId="3D5E64E6">
            <w:pPr>
              <w:spacing w:line="30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6CD6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2263C65C">
            <w:pPr>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核心指标项</w:t>
            </w:r>
          </w:p>
        </w:tc>
        <w:tc>
          <w:tcPr>
            <w:tcW w:w="1365" w:type="dxa"/>
            <w:vAlign w:val="center"/>
          </w:tcPr>
          <w:p w14:paraId="0F7BCC7F">
            <w:pPr>
              <w:wordWrap w:val="0"/>
              <w:adjustRightInd w:val="0"/>
              <w:snapToGrid w:val="0"/>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tc>
        <w:tc>
          <w:tcPr>
            <w:tcW w:w="5363" w:type="dxa"/>
            <w:vAlign w:val="center"/>
          </w:tcPr>
          <w:p w14:paraId="07585AB9">
            <w:pPr>
              <w:wordWrap w:val="0"/>
              <w:adjustRightInd w:val="0"/>
              <w:snapToGrid w:val="0"/>
              <w:spacing w:line="300"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符合性审查项，该指标项负偏离或未响应的，</w:t>
            </w:r>
            <w:r>
              <w:rPr>
                <w:rFonts w:hint="eastAsia" w:ascii="宋体" w:hAnsi="宋体" w:eastAsia="宋体" w:cs="宋体"/>
                <w:b/>
                <w:color w:val="auto"/>
                <w:sz w:val="24"/>
                <w:szCs w:val="24"/>
                <w:highlight w:val="none"/>
              </w:rPr>
              <w:t>投标无效</w:t>
            </w:r>
            <w:r>
              <w:rPr>
                <w:rFonts w:hint="eastAsia" w:ascii="宋体" w:hAnsi="宋体" w:eastAsia="宋体" w:cs="宋体"/>
                <w:bCs/>
                <w:color w:val="auto"/>
                <w:sz w:val="24"/>
                <w:szCs w:val="24"/>
                <w:highlight w:val="none"/>
              </w:rPr>
              <w:t>。</w:t>
            </w:r>
          </w:p>
        </w:tc>
      </w:tr>
      <w:tr w14:paraId="13BD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09D777D7">
            <w:pPr>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重要指标项</w:t>
            </w:r>
          </w:p>
        </w:tc>
        <w:tc>
          <w:tcPr>
            <w:tcW w:w="1365" w:type="dxa"/>
            <w:vAlign w:val="center"/>
          </w:tcPr>
          <w:p w14:paraId="7CC6EDD9">
            <w:pPr>
              <w:wordWrap w:val="0"/>
              <w:adjustRightInd w:val="0"/>
              <w:snapToGrid w:val="0"/>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p>
        </w:tc>
        <w:tc>
          <w:tcPr>
            <w:tcW w:w="5363" w:type="dxa"/>
            <w:vAlign w:val="center"/>
          </w:tcPr>
          <w:p w14:paraId="32BB82FF">
            <w:pPr>
              <w:wordWrap w:val="0"/>
              <w:adjustRightInd w:val="0"/>
              <w:snapToGrid w:val="0"/>
              <w:spacing w:line="300"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评分项，</w:t>
            </w:r>
            <w:r>
              <w:rPr>
                <w:rFonts w:hint="eastAsia" w:ascii="宋体" w:hAnsi="宋体" w:eastAsia="宋体" w:cs="宋体"/>
                <w:color w:val="auto"/>
                <w:sz w:val="24"/>
                <w:szCs w:val="24"/>
                <w:highlight w:val="none"/>
                <w:lang w:bidi="ar"/>
              </w:rPr>
              <w:t>详见评标办法和标准。</w:t>
            </w:r>
          </w:p>
        </w:tc>
      </w:tr>
      <w:tr w14:paraId="6C8B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vAlign w:val="center"/>
          </w:tcPr>
          <w:p w14:paraId="49C3B75D">
            <w:pPr>
              <w:spacing w:line="30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365" w:type="dxa"/>
            <w:vAlign w:val="center"/>
          </w:tcPr>
          <w:p w14:paraId="098653E4">
            <w:pPr>
              <w:wordWrap w:val="0"/>
              <w:adjustRightInd w:val="0"/>
              <w:snapToGrid w:val="0"/>
              <w:spacing w:line="300" w:lineRule="auto"/>
              <w:jc w:val="center"/>
              <w:rPr>
                <w:rFonts w:hint="eastAsia" w:ascii="宋体" w:hAnsi="宋体" w:eastAsia="宋体" w:cs="宋体"/>
                <w:bCs/>
                <w:color w:val="auto"/>
                <w:sz w:val="24"/>
                <w:szCs w:val="24"/>
                <w:highlight w:val="none"/>
              </w:rPr>
            </w:pPr>
          </w:p>
        </w:tc>
        <w:tc>
          <w:tcPr>
            <w:tcW w:w="5363" w:type="dxa"/>
            <w:vAlign w:val="center"/>
          </w:tcPr>
          <w:p w14:paraId="78E60B1A">
            <w:pPr>
              <w:adjustRightInd w:val="0"/>
              <w:snapToGrid w:val="0"/>
              <w:spacing w:line="300" w:lineRule="auto"/>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符合性审查项，该指标项最大允许负偏离</w:t>
            </w:r>
            <w:r>
              <w:rPr>
                <w:rFonts w:hint="eastAsia" w:ascii="宋体" w:hAnsi="宋体" w:eastAsia="宋体" w:cs="宋体"/>
                <w:b/>
                <w:bCs w:val="0"/>
                <w:color w:val="auto"/>
                <w:sz w:val="24"/>
                <w:szCs w:val="24"/>
                <w:highlight w:val="none"/>
                <w:u w:val="single"/>
              </w:rPr>
              <w:t>3</w:t>
            </w:r>
            <w:r>
              <w:rPr>
                <w:rFonts w:hint="eastAsia" w:ascii="宋体" w:hAnsi="宋体" w:eastAsia="宋体" w:cs="宋体"/>
                <w:b/>
                <w:bCs w:val="0"/>
                <w:color w:val="auto"/>
                <w:sz w:val="24"/>
                <w:szCs w:val="24"/>
                <w:highlight w:val="none"/>
              </w:rPr>
              <w:t>项，超过最大允许负偏离项数的，投标无效。</w:t>
            </w:r>
          </w:p>
        </w:tc>
      </w:tr>
      <w:tr w14:paraId="1EA1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37990BAB">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9EBE16D">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（1）如某项标识中包含多条技术参数或要求，则该项标识所含内容均需满足或优于采购文件要求，否则不予认可。</w:t>
            </w:r>
          </w:p>
          <w:p w14:paraId="486AB168">
            <w:pPr>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（2）所属行业中标注“/”的品目，无须在《中小企业声明函》中列明。</w:t>
            </w:r>
          </w:p>
          <w:p w14:paraId="0DB1DDA1">
            <w:pPr>
              <w:spacing w:line="300" w:lineRule="auto"/>
              <w:jc w:val="left"/>
              <w:rPr>
                <w:rFonts w:hint="eastAsia"/>
                <w:color w:val="auto"/>
                <w:highlight w:val="none"/>
              </w:rPr>
            </w:pPr>
            <w:r>
              <w:rPr>
                <w:rFonts w:ascii="宋体" w:hAnsi="宋体" w:eastAsia="宋体" w:cs="宋体"/>
                <w:color w:val="auto"/>
                <w:sz w:val="24"/>
                <w:szCs w:val="24"/>
                <w:highlight w:val="none"/>
              </w:rPr>
              <w:t>（3）下述技术参数所涉及的具体物理尺寸：货物需求清单中明确允许偏离范围的，按货物需求清单要求执行；货物需求清单中未明确允许偏离范围的，允许±5%偏离。</w:t>
            </w:r>
          </w:p>
        </w:tc>
      </w:tr>
    </w:tbl>
    <w:p w14:paraId="6F09A8A9">
      <w:pPr>
        <w:widowControl/>
        <w:snapToGrid w:val="0"/>
        <w:spacing w:line="360" w:lineRule="auto"/>
        <w:ind w:firstLine="482" w:firstLineChars="200"/>
        <w:outlineLvl w:val="2"/>
        <w:rPr>
          <w:rFonts w:hint="eastAsia" w:ascii="宋体" w:hAnsi="宋体" w:eastAsia="宋体"/>
          <w:b/>
          <w:bCs/>
          <w:color w:val="auto"/>
          <w:sz w:val="24"/>
          <w:szCs w:val="18"/>
          <w:highlight w:val="none"/>
        </w:rPr>
      </w:pPr>
      <w:r>
        <w:rPr>
          <w:rFonts w:hint="eastAsia" w:ascii="宋体" w:hAnsi="宋体" w:eastAsia="宋体" w:cs="宋体"/>
          <w:b/>
          <w:bCs/>
          <w:color w:val="auto"/>
          <w:sz w:val="24"/>
          <w:szCs w:val="24"/>
          <w:highlight w:val="none"/>
        </w:rPr>
        <w:t>（二）货物需求清单</w:t>
      </w:r>
    </w:p>
    <w:tbl>
      <w:tblPr>
        <w:tblStyle w:val="4"/>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249"/>
        <w:gridCol w:w="4637"/>
        <w:gridCol w:w="1083"/>
        <w:gridCol w:w="813"/>
      </w:tblGrid>
      <w:tr w14:paraId="4ADC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66818B84">
            <w:pPr>
              <w:spacing w:line="360" w:lineRule="auto"/>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序号</w:t>
            </w:r>
          </w:p>
        </w:tc>
        <w:tc>
          <w:tcPr>
            <w:tcW w:w="730" w:type="pct"/>
            <w:vAlign w:val="center"/>
          </w:tcPr>
          <w:p w14:paraId="6AECB82B">
            <w:pPr>
              <w:spacing w:line="360" w:lineRule="auto"/>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货物名称</w:t>
            </w:r>
          </w:p>
        </w:tc>
        <w:tc>
          <w:tcPr>
            <w:tcW w:w="2710" w:type="pct"/>
            <w:vAlign w:val="center"/>
          </w:tcPr>
          <w:p w14:paraId="7B62414A">
            <w:pPr>
              <w:spacing w:line="360" w:lineRule="auto"/>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技术参数及要求</w:t>
            </w:r>
          </w:p>
        </w:tc>
        <w:tc>
          <w:tcPr>
            <w:tcW w:w="633" w:type="pct"/>
            <w:vAlign w:val="center"/>
          </w:tcPr>
          <w:p w14:paraId="54F4A6D9">
            <w:pPr>
              <w:spacing w:line="360" w:lineRule="auto"/>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数量</w:t>
            </w:r>
          </w:p>
          <w:p w14:paraId="22199E99">
            <w:pPr>
              <w:spacing w:line="360" w:lineRule="auto"/>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（台/套）</w:t>
            </w:r>
          </w:p>
        </w:tc>
        <w:tc>
          <w:tcPr>
            <w:tcW w:w="475" w:type="pct"/>
            <w:vAlign w:val="center"/>
          </w:tcPr>
          <w:p w14:paraId="0EC86BB8">
            <w:pPr>
              <w:spacing w:line="360" w:lineRule="auto"/>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所属</w:t>
            </w:r>
          </w:p>
          <w:p w14:paraId="33D23DD0">
            <w:pPr>
              <w:spacing w:line="360" w:lineRule="auto"/>
              <w:jc w:val="center"/>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行业</w:t>
            </w:r>
          </w:p>
        </w:tc>
      </w:tr>
      <w:tr w14:paraId="3A53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1" w:type="pct"/>
            <w:vAlign w:val="center"/>
          </w:tcPr>
          <w:p w14:paraId="2B198C96">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w:t>
            </w:r>
          </w:p>
        </w:tc>
        <w:tc>
          <w:tcPr>
            <w:tcW w:w="730" w:type="pct"/>
            <w:vAlign w:val="center"/>
          </w:tcPr>
          <w:p w14:paraId="660BF219">
            <w:pPr>
              <w:widowControl/>
              <w:spacing w:line="300" w:lineRule="auto"/>
              <w:jc w:val="center"/>
              <w:textAlignment w:val="center"/>
              <w:rPr>
                <w:rFonts w:hint="eastAsia" w:ascii="宋体" w:hAnsi="宋体" w:eastAsia="宋体"/>
                <w:bCs/>
                <w:color w:val="auto"/>
                <w:sz w:val="24"/>
                <w:szCs w:val="24"/>
                <w:highlight w:val="none"/>
              </w:rPr>
            </w:pPr>
            <w:r>
              <w:rPr>
                <w:rFonts w:hint="eastAsia" w:cs="宋体" w:asciiTheme="majorEastAsia" w:hAnsiTheme="majorEastAsia" w:eastAsiaTheme="majorEastAsia"/>
                <w:color w:val="auto"/>
                <w:sz w:val="24"/>
                <w:szCs w:val="24"/>
                <w:highlight w:val="none"/>
              </w:rPr>
              <w:t>固定式高清网络摄像头</w:t>
            </w:r>
          </w:p>
        </w:tc>
        <w:tc>
          <w:tcPr>
            <w:tcW w:w="2710" w:type="pct"/>
            <w:vAlign w:val="center"/>
          </w:tcPr>
          <w:p w14:paraId="4DB6C224">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1、半球型网络摄像机，最大分辨率不低于 2560×1440。</w:t>
            </w:r>
          </w:p>
          <w:p w14:paraId="146F82F1">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2、设备内置集成 CPU、GPU、NPU 一体化芯片，芯片数量不少于1颗。</w:t>
            </w:r>
          </w:p>
          <w:p w14:paraId="1E408B1D">
            <w:pPr>
              <w:widowControl/>
              <w:spacing w:line="300" w:lineRule="auto"/>
              <w:jc w:val="left"/>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★3、补光灯灯杯采用双层透镜结构，外表平面柔光层，配置复眼式微透镜阵列，呈六边形阵列纹路；下层为束光层，采用鳞甲透镜，透镜内壁布设鳞甲阵列纹路</w:t>
            </w:r>
            <w:r>
              <w:rPr>
                <w:rFonts w:hint="eastAsia" w:asciiTheme="majorEastAsia" w:hAnsiTheme="majorEastAsia" w:eastAsiaTheme="majorEastAsia"/>
                <w:b/>
                <w:bCs/>
                <w:color w:val="auto"/>
                <w:sz w:val="24"/>
                <w:szCs w:val="24"/>
                <w:highlight w:val="none"/>
              </w:rPr>
              <w:t>（投标文件中提供第三方检测机构出具的检测报告扫描件）。</w:t>
            </w:r>
          </w:p>
          <w:p w14:paraId="4634305D">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4、补光灯点亮工作后，输出光照区域呈椭圆形；光线分布均匀，不得出现波纹状、圆环状、麻点状、条纹状及各类不规则亮斑。</w:t>
            </w:r>
          </w:p>
          <w:p w14:paraId="568F2CCA">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5、具备日夜场景自适应能力，设备在日间、夜间环境条件下均可输出彩色图像；夜间自动开启补光模式时，夜间成像清晰度不低于白天图像清晰度的95%。</w:t>
            </w:r>
          </w:p>
          <w:p w14:paraId="6E2F48EC">
            <w:pPr>
              <w:widowControl/>
              <w:spacing w:line="300" w:lineRule="auto"/>
              <w:jc w:val="left"/>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★6、支持 AI 图像质量提升功能，面向低照度监控环境，可对预览视频画面内人脸、人体等目标及画面全域区域的曝光、亮度、色彩饱和度、对比度、锐度等参数实现自动调节</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40696DF0">
            <w:pPr>
              <w:widowControl/>
              <w:spacing w:line="300" w:lineRule="auto"/>
              <w:jc w:val="left"/>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★7、支持对 H.264、H.265 编码视频进行 AI 编码，开启 AI 编码功能时，视频编码格式、分辨率、帧率保持不变</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71F1130E">
            <w:pPr>
              <w:widowControl/>
              <w:spacing w:line="300" w:lineRule="auto"/>
              <w:jc w:val="left"/>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★8、支持大模型 AI 编码功能，可维持可视场景目标图像质量，通过背景虚化减少码率</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47A33485">
            <w:pPr>
              <w:widowControl/>
              <w:spacing w:line="300" w:lineRule="auto"/>
              <w:jc w:val="left"/>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★9、同一监控场景中，AI 编码功能 24 小时运行后，对比常规 H.265 编码，在目标清晰度无明显降低的情况下，码率节约率≥50%</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7D9DB0E4">
            <w:pPr>
              <w:widowControl/>
              <w:spacing w:line="300" w:lineRule="auto"/>
              <w:jc w:val="left"/>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10、支持智能文搜功能开启与关闭控制；功能启用时，设备可上传场景目标图片及目标相关信息，信息包含目标出现时间、目标类别、目标在监控视场内位置。</w:t>
            </w:r>
          </w:p>
        </w:tc>
        <w:tc>
          <w:tcPr>
            <w:tcW w:w="633" w:type="pct"/>
            <w:vAlign w:val="center"/>
          </w:tcPr>
          <w:p w14:paraId="318F6DA4">
            <w:pPr>
              <w:widowControl/>
              <w:spacing w:line="300" w:lineRule="auto"/>
              <w:jc w:val="center"/>
              <w:textAlignment w:val="center"/>
              <w:rPr>
                <w:rFonts w:hint="eastAsia" w:ascii="宋体" w:hAnsi="宋体" w:eastAsia="宋体"/>
                <w:bCs/>
                <w:color w:val="auto"/>
                <w:sz w:val="24"/>
                <w:szCs w:val="24"/>
                <w:highlight w:val="none"/>
              </w:rPr>
            </w:pPr>
            <w:r>
              <w:rPr>
                <w:rFonts w:hint="eastAsia" w:cs="宋体" w:asciiTheme="majorEastAsia" w:hAnsiTheme="majorEastAsia" w:eastAsiaTheme="majorEastAsia"/>
                <w:color w:val="auto"/>
                <w:sz w:val="24"/>
                <w:szCs w:val="24"/>
                <w:highlight w:val="none"/>
              </w:rPr>
              <w:t>231</w:t>
            </w:r>
          </w:p>
        </w:tc>
        <w:tc>
          <w:tcPr>
            <w:tcW w:w="475" w:type="pct"/>
            <w:vAlign w:val="center"/>
          </w:tcPr>
          <w:p w14:paraId="3A274E51">
            <w:pPr>
              <w:spacing w:line="360" w:lineRule="auto"/>
              <w:jc w:val="cente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工业</w:t>
            </w:r>
          </w:p>
        </w:tc>
      </w:tr>
      <w:tr w14:paraId="4335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49ABA4FD">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w:t>
            </w:r>
          </w:p>
        </w:tc>
        <w:tc>
          <w:tcPr>
            <w:tcW w:w="730" w:type="pct"/>
            <w:vAlign w:val="center"/>
          </w:tcPr>
          <w:p w14:paraId="075FDFBE">
            <w:pPr>
              <w:widowControl/>
              <w:spacing w:line="300" w:lineRule="auto"/>
              <w:jc w:val="center"/>
              <w:textAlignment w:val="center"/>
              <w:rPr>
                <w:rFonts w:hint="eastAsia" w:ascii="宋体" w:hAnsi="宋体" w:eastAsia="宋体"/>
                <w:bCs/>
                <w:color w:val="auto"/>
                <w:sz w:val="24"/>
                <w:szCs w:val="24"/>
                <w:highlight w:val="none"/>
              </w:rPr>
            </w:pPr>
            <w:r>
              <w:rPr>
                <w:rFonts w:hint="eastAsia" w:cs="宋体" w:asciiTheme="majorEastAsia" w:hAnsiTheme="majorEastAsia" w:eastAsiaTheme="majorEastAsia"/>
                <w:color w:val="auto"/>
                <w:sz w:val="24"/>
                <w:szCs w:val="24"/>
                <w:highlight w:val="none"/>
              </w:rPr>
              <w:t>移动式高清网络摄像头</w:t>
            </w:r>
          </w:p>
        </w:tc>
        <w:tc>
          <w:tcPr>
            <w:tcW w:w="2710" w:type="pct"/>
            <w:vAlign w:val="center"/>
          </w:tcPr>
          <w:p w14:paraId="0173526C">
            <w:pPr>
              <w:widowControl/>
              <w:spacing w:line="300" w:lineRule="auto"/>
              <w:jc w:val="left"/>
              <w:rPr>
                <w:rFonts w:hint="eastAsia" w:asciiTheme="majorEastAsia" w:hAnsiTheme="majorEastAsia" w:eastAsiaTheme="majorEastAsia"/>
                <w:color w:val="auto"/>
                <w:kern w:val="0"/>
                <w:sz w:val="24"/>
                <w:szCs w:val="24"/>
                <w:highlight w:val="none"/>
              </w:rPr>
            </w:pPr>
            <w:r>
              <w:rPr>
                <w:rFonts w:hint="eastAsia" w:asciiTheme="majorEastAsia" w:hAnsiTheme="majorEastAsia" w:eastAsiaTheme="majorEastAsia"/>
                <w:color w:val="auto"/>
                <w:kern w:val="0"/>
                <w:sz w:val="24"/>
                <w:szCs w:val="24"/>
                <w:highlight w:val="none"/>
              </w:rPr>
              <w:t>1、移动式便携小球摄像头，支持三脚架、壁装、磁吸多种安装方式，本次须配备包含三脚架的整套设备；</w:t>
            </w:r>
          </w:p>
          <w:p w14:paraId="20222061">
            <w:pPr>
              <w:widowControl/>
              <w:spacing w:line="300" w:lineRule="auto"/>
              <w:jc w:val="left"/>
              <w:rPr>
                <w:rFonts w:hint="eastAsia" w:asciiTheme="majorEastAsia" w:hAnsiTheme="majorEastAsia" w:eastAsiaTheme="majorEastAsia"/>
                <w:color w:val="auto"/>
                <w:kern w:val="0"/>
                <w:sz w:val="24"/>
                <w:szCs w:val="24"/>
                <w:highlight w:val="none"/>
              </w:rPr>
            </w:pPr>
            <w:r>
              <w:rPr>
                <w:rFonts w:hint="eastAsia" w:asciiTheme="majorEastAsia" w:hAnsiTheme="majorEastAsia" w:eastAsiaTheme="majorEastAsia"/>
                <w:color w:val="auto"/>
                <w:kern w:val="0"/>
                <w:sz w:val="24"/>
                <w:szCs w:val="24"/>
                <w:highlight w:val="none"/>
              </w:rPr>
              <w:t>2、摄像头分辨率不低于1080P；</w:t>
            </w:r>
          </w:p>
          <w:p w14:paraId="7A5A09DB">
            <w:pPr>
              <w:widowControl/>
              <w:wordWrap w:val="0"/>
              <w:spacing w:line="300" w:lineRule="auto"/>
              <w:rPr>
                <w:rFonts w:hint="eastAsia" w:asciiTheme="majorEastAsia" w:hAnsiTheme="majorEastAsia" w:eastAsiaTheme="majorEastAsia"/>
                <w:color w:val="auto"/>
                <w:kern w:val="0"/>
                <w:sz w:val="24"/>
                <w:szCs w:val="24"/>
                <w:highlight w:val="none"/>
              </w:rPr>
            </w:pPr>
            <w:r>
              <w:rPr>
                <w:rFonts w:hint="eastAsia" w:asciiTheme="majorEastAsia" w:hAnsiTheme="majorEastAsia" w:eastAsiaTheme="majorEastAsia"/>
                <w:color w:val="auto"/>
                <w:kern w:val="0"/>
                <w:sz w:val="24"/>
                <w:szCs w:val="24"/>
                <w:highlight w:val="none"/>
              </w:rPr>
              <w:t>3、支持水平、垂直云台控制，水平旋转角 0°-355°，垂直旋转角度 -2.5°-52.5°；</w:t>
            </w:r>
          </w:p>
          <w:p w14:paraId="18365E7A">
            <w:pPr>
              <w:widowControl/>
              <w:spacing w:line="300" w:lineRule="auto"/>
              <w:jc w:val="left"/>
              <w:rPr>
                <w:rFonts w:hint="eastAsia" w:asciiTheme="majorEastAsia" w:hAnsiTheme="majorEastAsia" w:eastAsiaTheme="majorEastAsia"/>
                <w:color w:val="auto"/>
                <w:kern w:val="0"/>
                <w:sz w:val="24"/>
                <w:szCs w:val="24"/>
                <w:highlight w:val="none"/>
              </w:rPr>
            </w:pPr>
            <w:r>
              <w:rPr>
                <w:rFonts w:hint="eastAsia" w:asciiTheme="majorEastAsia" w:hAnsiTheme="majorEastAsia" w:eastAsiaTheme="majorEastAsia"/>
                <w:color w:val="auto"/>
                <w:kern w:val="0"/>
                <w:sz w:val="24"/>
                <w:szCs w:val="24"/>
                <w:highlight w:val="none"/>
              </w:rPr>
              <w:t>4、支持自动日夜切换、自动彩转黑，搭载红外补光，红外补光距离≥10m可看清人体轮廓；</w:t>
            </w:r>
          </w:p>
          <w:p w14:paraId="4123C193">
            <w:pPr>
              <w:widowControl/>
              <w:spacing w:line="300" w:lineRule="auto"/>
              <w:jc w:val="left"/>
              <w:rPr>
                <w:rFonts w:hint="eastAsia" w:asciiTheme="majorEastAsia" w:hAnsiTheme="majorEastAsia" w:eastAsiaTheme="majorEastAsia"/>
                <w:color w:val="auto"/>
                <w:kern w:val="0"/>
                <w:sz w:val="24"/>
                <w:szCs w:val="24"/>
                <w:highlight w:val="none"/>
              </w:rPr>
            </w:pPr>
            <w:r>
              <w:rPr>
                <w:rFonts w:hint="eastAsia" w:asciiTheme="majorEastAsia" w:hAnsiTheme="majorEastAsia" w:eastAsiaTheme="majorEastAsia"/>
                <w:color w:val="auto"/>
                <w:kern w:val="0"/>
                <w:sz w:val="24"/>
                <w:szCs w:val="24"/>
                <w:highlight w:val="none"/>
              </w:rPr>
              <w:t>5、内置 MIC、扬声器，支持双向语音对讲；</w:t>
            </w:r>
          </w:p>
          <w:p w14:paraId="69CD4AD6">
            <w:pPr>
              <w:widowControl/>
              <w:wordWrap w:val="0"/>
              <w:spacing w:line="300" w:lineRule="auto"/>
              <w:rPr>
                <w:rFonts w:hint="eastAsia" w:asciiTheme="majorEastAsia" w:hAnsiTheme="majorEastAsia" w:eastAsiaTheme="majorEastAsia"/>
                <w:color w:val="auto"/>
                <w:kern w:val="0"/>
                <w:sz w:val="24"/>
                <w:szCs w:val="24"/>
                <w:highlight w:val="none"/>
              </w:rPr>
            </w:pPr>
            <w:r>
              <w:rPr>
                <w:rFonts w:hint="eastAsia" w:asciiTheme="majorEastAsia" w:hAnsiTheme="majorEastAsia" w:eastAsiaTheme="majorEastAsia"/>
                <w:color w:val="auto"/>
                <w:kern w:val="0"/>
                <w:sz w:val="24"/>
                <w:szCs w:val="24"/>
                <w:highlight w:val="none"/>
              </w:rPr>
              <w:t>6、视频压缩标准支持 H.264、H.265、MJPEG；</w:t>
            </w:r>
          </w:p>
          <w:p w14:paraId="6AC12B02">
            <w:pPr>
              <w:widowControl/>
              <w:spacing w:line="300" w:lineRule="auto"/>
              <w:jc w:val="left"/>
              <w:rPr>
                <w:rFonts w:hint="eastAsia" w:asciiTheme="majorEastAsia" w:hAnsiTheme="majorEastAsia" w:eastAsiaTheme="majorEastAsia"/>
                <w:color w:val="auto"/>
                <w:kern w:val="0"/>
                <w:sz w:val="24"/>
                <w:szCs w:val="24"/>
                <w:highlight w:val="none"/>
              </w:rPr>
            </w:pPr>
            <w:r>
              <w:rPr>
                <w:rFonts w:hint="eastAsia" w:asciiTheme="majorEastAsia" w:hAnsiTheme="majorEastAsia" w:eastAsiaTheme="majorEastAsia"/>
                <w:color w:val="auto"/>
                <w:kern w:val="0"/>
                <w:sz w:val="24"/>
                <w:szCs w:val="24"/>
                <w:highlight w:val="none"/>
              </w:rPr>
              <w:t>7、支持Wi-Fi，兼容 802.11b/g/n/ac 协议；</w:t>
            </w:r>
          </w:p>
          <w:p w14:paraId="2EF5EBB8">
            <w:pPr>
              <w:widowControl/>
              <w:spacing w:line="300" w:lineRule="auto"/>
              <w:jc w:val="left"/>
              <w:rPr>
                <w:rFonts w:hint="eastAsia" w:asciiTheme="majorEastAsia" w:hAnsiTheme="majorEastAsia" w:eastAsiaTheme="majorEastAsia"/>
                <w:color w:val="auto"/>
                <w:kern w:val="0"/>
                <w:sz w:val="24"/>
                <w:szCs w:val="24"/>
                <w:highlight w:val="none"/>
              </w:rPr>
            </w:pPr>
            <w:r>
              <w:rPr>
                <w:rFonts w:hint="eastAsia" w:asciiTheme="majorEastAsia" w:hAnsiTheme="majorEastAsia" w:eastAsiaTheme="majorEastAsia"/>
                <w:color w:val="auto"/>
                <w:kern w:val="0"/>
                <w:sz w:val="24"/>
                <w:szCs w:val="24"/>
                <w:highlight w:val="none"/>
              </w:rPr>
              <w:t>8、支持锂电池供电及外接电源两种模式；配置锂离子电池，电池容量≥3300mAh；配备充电指示灯、电源按键；</w:t>
            </w:r>
          </w:p>
          <w:p w14:paraId="3741782A">
            <w:pPr>
              <w:widowControl/>
              <w:spacing w:line="300" w:lineRule="auto"/>
              <w:jc w:val="left"/>
              <w:rPr>
                <w:rFonts w:hint="eastAsia" w:asciiTheme="majorEastAsia" w:hAnsiTheme="majorEastAsia" w:eastAsiaTheme="majorEastAsia"/>
                <w:color w:val="auto"/>
                <w:kern w:val="0"/>
                <w:sz w:val="24"/>
                <w:szCs w:val="24"/>
                <w:highlight w:val="none"/>
              </w:rPr>
            </w:pPr>
            <w:r>
              <w:rPr>
                <w:rFonts w:hint="eastAsia" w:asciiTheme="majorEastAsia" w:hAnsiTheme="majorEastAsia" w:eastAsiaTheme="majorEastAsia"/>
                <w:color w:val="auto"/>
                <w:kern w:val="0"/>
                <w:sz w:val="24"/>
                <w:szCs w:val="24"/>
                <w:highlight w:val="none"/>
              </w:rPr>
              <w:t>9、支持TF卡扩展存储，最大支持≥512GB；外部接口配置RJ45、USB Type-C、SIM卡槽；</w:t>
            </w:r>
          </w:p>
          <w:p w14:paraId="69DE1C6D">
            <w:pPr>
              <w:widowControl/>
              <w:spacing w:line="300" w:lineRule="auto"/>
              <w:jc w:val="left"/>
              <w:rPr>
                <w:rFonts w:hint="eastAsia" w:asciiTheme="majorEastAsia" w:hAnsiTheme="majorEastAsia" w:eastAsiaTheme="majorEastAsia"/>
                <w:color w:val="auto"/>
                <w:kern w:val="0"/>
                <w:sz w:val="24"/>
                <w:szCs w:val="24"/>
                <w:highlight w:val="none"/>
              </w:rPr>
            </w:pPr>
            <w:r>
              <w:rPr>
                <w:rFonts w:hint="eastAsia" w:asciiTheme="majorEastAsia" w:hAnsiTheme="majorEastAsia" w:eastAsiaTheme="majorEastAsia"/>
                <w:color w:val="auto"/>
                <w:kern w:val="0"/>
                <w:sz w:val="24"/>
                <w:szCs w:val="24"/>
                <w:highlight w:val="none"/>
              </w:rPr>
              <w:t>10、支持一键连接 APP，可通过手机查看实时监控画面；</w:t>
            </w:r>
          </w:p>
          <w:p w14:paraId="2347E490">
            <w:pPr>
              <w:widowControl/>
              <w:spacing w:line="300" w:lineRule="auto"/>
              <w:jc w:val="left"/>
              <w:rPr>
                <w:rFonts w:hint="eastAsia" w:ascii="宋体" w:hAnsi="宋体" w:eastAsia="宋体"/>
                <w:bCs/>
                <w:color w:val="auto"/>
                <w:sz w:val="24"/>
                <w:szCs w:val="24"/>
                <w:highlight w:val="none"/>
              </w:rPr>
            </w:pPr>
            <w:r>
              <w:rPr>
                <w:rFonts w:hint="eastAsia" w:asciiTheme="majorEastAsia" w:hAnsiTheme="majorEastAsia" w:eastAsiaTheme="majorEastAsia"/>
                <w:color w:val="auto"/>
                <w:kern w:val="0"/>
                <w:sz w:val="24"/>
                <w:szCs w:val="24"/>
                <w:highlight w:val="none"/>
              </w:rPr>
              <w:t>11、设备用于实验室各类临时试验可视化场景，须接入院内无线网络，录制视频统一上传至可视化存储系统，能实现集中存储、统一管理。</w:t>
            </w:r>
          </w:p>
        </w:tc>
        <w:tc>
          <w:tcPr>
            <w:tcW w:w="633" w:type="pct"/>
            <w:vAlign w:val="center"/>
          </w:tcPr>
          <w:p w14:paraId="31B06C18">
            <w:pPr>
              <w:widowControl/>
              <w:spacing w:line="300" w:lineRule="auto"/>
              <w:jc w:val="center"/>
              <w:textAlignment w:val="center"/>
              <w:rPr>
                <w:rFonts w:hint="eastAsia" w:ascii="宋体" w:hAnsi="宋体" w:eastAsia="宋体"/>
                <w:bCs/>
                <w:color w:val="auto"/>
                <w:sz w:val="24"/>
                <w:szCs w:val="24"/>
                <w:highlight w:val="none"/>
              </w:rPr>
            </w:pPr>
            <w:r>
              <w:rPr>
                <w:rFonts w:hint="eastAsia" w:cs="宋体" w:asciiTheme="majorEastAsia" w:hAnsiTheme="majorEastAsia" w:eastAsiaTheme="majorEastAsia"/>
                <w:color w:val="auto"/>
                <w:sz w:val="24"/>
                <w:szCs w:val="24"/>
                <w:highlight w:val="none"/>
              </w:rPr>
              <w:t>7</w:t>
            </w:r>
          </w:p>
        </w:tc>
        <w:tc>
          <w:tcPr>
            <w:tcW w:w="475" w:type="pct"/>
            <w:vAlign w:val="center"/>
          </w:tcPr>
          <w:p w14:paraId="720AEA0A">
            <w:pPr>
              <w:spacing w:line="360" w:lineRule="auto"/>
              <w:jc w:val="cente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工业</w:t>
            </w:r>
          </w:p>
        </w:tc>
      </w:tr>
      <w:tr w14:paraId="366D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1" w:type="pct"/>
            <w:vAlign w:val="center"/>
          </w:tcPr>
          <w:p w14:paraId="432EF34E">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w:t>
            </w:r>
          </w:p>
        </w:tc>
        <w:tc>
          <w:tcPr>
            <w:tcW w:w="730" w:type="pct"/>
            <w:vAlign w:val="center"/>
          </w:tcPr>
          <w:p w14:paraId="2015A822">
            <w:pPr>
              <w:widowControl/>
              <w:spacing w:line="300" w:lineRule="auto"/>
              <w:jc w:val="center"/>
              <w:textAlignment w:val="center"/>
              <w:rPr>
                <w:rFonts w:hint="eastAsia" w:ascii="宋体" w:hAnsi="宋体" w:eastAsia="宋体"/>
                <w:bCs/>
                <w:color w:val="auto"/>
                <w:sz w:val="24"/>
                <w:szCs w:val="24"/>
                <w:highlight w:val="none"/>
              </w:rPr>
            </w:pPr>
            <w:r>
              <w:rPr>
                <w:rFonts w:hint="eastAsia" w:cs="宋体" w:asciiTheme="majorEastAsia" w:hAnsiTheme="majorEastAsia" w:eastAsiaTheme="majorEastAsia"/>
                <w:color w:val="auto"/>
                <w:sz w:val="24"/>
                <w:szCs w:val="24"/>
                <w:highlight w:val="none"/>
              </w:rPr>
              <w:t>可视化存储</w:t>
            </w:r>
          </w:p>
        </w:tc>
        <w:tc>
          <w:tcPr>
            <w:tcW w:w="2710" w:type="pct"/>
            <w:vAlign w:val="center"/>
          </w:tcPr>
          <w:p w14:paraId="2B0F1600">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1、配置≥1个RS232串口/CONSOLE接口，≥1个VGA接口，≥1个HDMI接口，≥2个USB2.0接口，≥2个USB3.0接口，≥3个2.5G网口，≥1个2.5G管理网口，≥1个Esata接口，采用可热插拔1+1AC220V电源。</w:t>
            </w:r>
          </w:p>
          <w:p w14:paraId="4603DB1C">
            <w:pPr>
              <w:widowControl/>
              <w:spacing w:line="300" w:lineRule="auto"/>
              <w:jc w:val="left"/>
              <w:textAlignment w:val="top"/>
              <w:rPr>
                <w:rFonts w:hint="eastAsia" w:asciiTheme="majorEastAsia" w:hAnsiTheme="majorEastAsia" w:eastAsiaTheme="majorEastAsia"/>
                <w:b/>
                <w:bCs/>
                <w:color w:val="auto"/>
                <w:sz w:val="24"/>
                <w:szCs w:val="24"/>
                <w:highlight w:val="none"/>
              </w:rPr>
            </w:pPr>
            <w:r>
              <w:rPr>
                <w:rFonts w:hint="eastAsia" w:ascii="宋体" w:hAnsi="Calibri" w:cs="宋体"/>
                <w:b/>
                <w:bCs/>
                <w:color w:val="auto"/>
                <w:kern w:val="0"/>
                <w:sz w:val="24"/>
                <w:szCs w:val="24"/>
                <w:highlight w:val="none"/>
              </w:rPr>
              <w:t>■</w:t>
            </w:r>
            <w:r>
              <w:rPr>
                <w:rFonts w:hint="eastAsia" w:asciiTheme="majorEastAsia" w:hAnsiTheme="majorEastAsia" w:eastAsiaTheme="majorEastAsia"/>
                <w:color w:val="auto"/>
                <w:sz w:val="24"/>
                <w:szCs w:val="24"/>
                <w:highlight w:val="none"/>
              </w:rPr>
              <w:t>2、配置≥64位多核处理器，配置≥8GB内存，内置EMMC系统盘，支持最大可配置48块；支持≥3个风扇，可热插拔冗余温控调速风扇。本次要求配置≥22块3.5英寸16TB硬盘，硬盘具体要求如下：（1）接口类型：SATA；（2）转速：7200RPM；（3）平均读写功率（W）：6.4W；（4）缓存：512MB；（5）标称容量：16TB；（6）刻录技术：CMR；（7）接口传输速率（最大值）：6.0Gb/s；（8）MTBF：2500000小时</w:t>
            </w:r>
            <w:r>
              <w:rPr>
                <w:rFonts w:hint="eastAsia" w:asciiTheme="majorEastAsia" w:hAnsiTheme="majorEastAsia" w:eastAsiaTheme="majorEastAsia"/>
                <w:b/>
                <w:bCs/>
                <w:color w:val="auto"/>
                <w:sz w:val="24"/>
                <w:szCs w:val="24"/>
                <w:highlight w:val="none"/>
              </w:rPr>
              <w:t>（投标文件中须提供承诺函）</w:t>
            </w:r>
            <w:r>
              <w:rPr>
                <w:rFonts w:hint="eastAsia" w:asciiTheme="majorEastAsia" w:hAnsiTheme="majorEastAsia" w:eastAsiaTheme="majorEastAsia"/>
                <w:color w:val="auto"/>
                <w:sz w:val="24"/>
                <w:szCs w:val="24"/>
                <w:highlight w:val="none"/>
              </w:rPr>
              <w:t>。</w:t>
            </w:r>
          </w:p>
          <w:p w14:paraId="0912CC9C">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3、支持通过IE浏览器可视化配置RAID0、RAID1、RAID5、RAID6、RAID10、RAID50多种阵列模式；具备RAID即建即用功能，阵列创建完成后，拔除任意一块硬盘，设备仍可正常进行数据读写业务。</w:t>
            </w:r>
          </w:p>
          <w:p w14:paraId="7E49E875">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4、支持 RAID 内丢失 2 块（含）以上硬盘且至少保留 1 块正常磁盘时，无需等待丢失盘恢复即可正常读写留存硬盘内数据；同时支持 RAID 内单块硬盘故障后，通过更换硬盘或热备盘替换实现自动 RAID 重构，RAID 处于降级或重构状态时不影响数据写入。</w:t>
            </w:r>
          </w:p>
          <w:p w14:paraId="789EC391">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5、</w:t>
            </w:r>
            <w:r>
              <w:rPr>
                <w:rFonts w:asciiTheme="majorEastAsia" w:hAnsiTheme="majorEastAsia" w:eastAsiaTheme="majorEastAsia"/>
                <w:color w:val="auto"/>
                <w:sz w:val="24"/>
                <w:szCs w:val="24"/>
                <w:highlight w:val="none"/>
              </w:rPr>
              <w:t>支持在录像存储过程中嵌入专属校验特殊字段，有效防止录像文件被篡改、伪造，确保监控录像数据的原始性与完整性；支持对录像任意时间点添加自定义标签，可通过标签快速完成录像查询、回放及下载操作。</w:t>
            </w:r>
          </w:p>
          <w:p w14:paraId="36D1CEDA">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6、</w:t>
            </w:r>
            <w:r>
              <w:rPr>
                <w:rFonts w:asciiTheme="majorEastAsia" w:hAnsiTheme="majorEastAsia" w:eastAsiaTheme="majorEastAsia"/>
                <w:color w:val="auto"/>
                <w:sz w:val="24"/>
                <w:szCs w:val="24"/>
                <w:highlight w:val="none"/>
              </w:rPr>
              <w:t>支持适配接入MPEG4、H.264、H.265、SVAC多种编码格式的前端视频设备，最大支持4096×2160分辨率视频录像的接收与存储。</w:t>
            </w:r>
          </w:p>
          <w:p w14:paraId="6F0BB32A">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7、</w:t>
            </w:r>
            <w:r>
              <w:rPr>
                <w:rFonts w:asciiTheme="majorEastAsia" w:hAnsiTheme="majorEastAsia" w:eastAsiaTheme="majorEastAsia"/>
                <w:color w:val="auto"/>
                <w:sz w:val="24"/>
                <w:szCs w:val="24"/>
                <w:highlight w:val="none"/>
              </w:rPr>
              <w:t>设备支持创建最大</w:t>
            </w:r>
            <w:r>
              <w:rPr>
                <w:rFonts w:hint="eastAsia" w:asciiTheme="majorEastAsia" w:hAnsiTheme="majorEastAsia" w:eastAsiaTheme="majorEastAsia"/>
                <w:color w:val="auto"/>
                <w:sz w:val="24"/>
                <w:szCs w:val="24"/>
                <w:highlight w:val="none"/>
              </w:rPr>
              <w:t>≥</w:t>
            </w:r>
            <w:r>
              <w:rPr>
                <w:rFonts w:asciiTheme="majorEastAsia" w:hAnsiTheme="majorEastAsia" w:eastAsiaTheme="majorEastAsia"/>
                <w:color w:val="auto"/>
                <w:sz w:val="24"/>
                <w:szCs w:val="24"/>
                <w:highlight w:val="none"/>
              </w:rPr>
              <w:t>7个独立录像池，可根据业务需求灵活、自由划分各录像池存储空间容量</w:t>
            </w:r>
            <w:r>
              <w:rPr>
                <w:rFonts w:hint="eastAsia" w:asciiTheme="majorEastAsia" w:hAnsiTheme="majorEastAsia" w:eastAsiaTheme="majorEastAsia"/>
                <w:color w:val="auto"/>
                <w:sz w:val="24"/>
                <w:szCs w:val="24"/>
                <w:highlight w:val="none"/>
              </w:rPr>
              <w:t>。</w:t>
            </w:r>
          </w:p>
          <w:p w14:paraId="4005E9E3">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8、支持</w:t>
            </w:r>
            <w:r>
              <w:rPr>
                <w:rFonts w:asciiTheme="majorEastAsia" w:hAnsiTheme="majorEastAsia" w:eastAsiaTheme="majorEastAsia"/>
                <w:color w:val="auto"/>
                <w:sz w:val="24"/>
                <w:szCs w:val="24"/>
                <w:highlight w:val="none"/>
              </w:rPr>
              <w:t>一键配置部署功能，可一键完成网络参数、系统时间、磁盘阵列、存储池的初始化配置；部署完成后，添加监控通道并关联对应存储池，可快速启用录像业务。</w:t>
            </w:r>
          </w:p>
          <w:p w14:paraId="5CC100B6">
            <w:pPr>
              <w:widowControl/>
              <w:spacing w:line="300" w:lineRule="auto"/>
              <w:jc w:val="left"/>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9、</w:t>
            </w:r>
            <w:r>
              <w:rPr>
                <w:rFonts w:asciiTheme="majorEastAsia" w:hAnsiTheme="majorEastAsia" w:eastAsiaTheme="majorEastAsia"/>
                <w:color w:val="auto"/>
                <w:sz w:val="24"/>
                <w:szCs w:val="24"/>
                <w:highlight w:val="none"/>
              </w:rPr>
              <w:t>支持视频警戒区域智能侦测，当监测到警戒区域内出现移动目标时，设备可主动输出报警提示信息，并自动触发联动录像，留存现场视频数据。</w:t>
            </w:r>
          </w:p>
        </w:tc>
        <w:tc>
          <w:tcPr>
            <w:tcW w:w="633" w:type="pct"/>
            <w:vAlign w:val="center"/>
          </w:tcPr>
          <w:p w14:paraId="5F92DC52">
            <w:pPr>
              <w:widowControl/>
              <w:spacing w:line="300" w:lineRule="auto"/>
              <w:jc w:val="center"/>
              <w:textAlignment w:val="center"/>
              <w:rPr>
                <w:rFonts w:hint="eastAsia" w:ascii="宋体" w:hAnsi="宋体" w:eastAsia="宋体"/>
                <w:bCs/>
                <w:color w:val="auto"/>
                <w:sz w:val="24"/>
                <w:szCs w:val="24"/>
                <w:highlight w:val="none"/>
              </w:rPr>
            </w:pPr>
            <w:r>
              <w:rPr>
                <w:rFonts w:hint="eastAsia" w:cs="宋体" w:asciiTheme="majorEastAsia" w:hAnsiTheme="majorEastAsia" w:eastAsiaTheme="majorEastAsia"/>
                <w:color w:val="auto"/>
                <w:sz w:val="24"/>
                <w:szCs w:val="24"/>
                <w:highlight w:val="none"/>
              </w:rPr>
              <w:t>3</w:t>
            </w:r>
          </w:p>
        </w:tc>
        <w:tc>
          <w:tcPr>
            <w:tcW w:w="475" w:type="pct"/>
            <w:vAlign w:val="center"/>
          </w:tcPr>
          <w:p w14:paraId="225E845F">
            <w:pPr>
              <w:spacing w:line="360" w:lineRule="auto"/>
              <w:jc w:val="cente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工业</w:t>
            </w:r>
          </w:p>
        </w:tc>
      </w:tr>
      <w:tr w14:paraId="3F9B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31244212">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w:t>
            </w:r>
          </w:p>
        </w:tc>
        <w:tc>
          <w:tcPr>
            <w:tcW w:w="730" w:type="pct"/>
            <w:vAlign w:val="center"/>
          </w:tcPr>
          <w:p w14:paraId="41161122">
            <w:pPr>
              <w:widowControl/>
              <w:spacing w:line="300" w:lineRule="auto"/>
              <w:jc w:val="left"/>
              <w:textAlignment w:val="center"/>
              <w:rPr>
                <w:rFonts w:hint="eastAsia" w:ascii="宋体" w:hAnsi="宋体" w:eastAsia="宋体"/>
                <w:bCs/>
                <w:color w:val="auto"/>
                <w:sz w:val="24"/>
                <w:szCs w:val="24"/>
                <w:highlight w:val="none"/>
              </w:rPr>
            </w:pPr>
            <w:r>
              <w:rPr>
                <w:rFonts w:hint="eastAsia" w:asciiTheme="majorEastAsia" w:hAnsiTheme="majorEastAsia" w:eastAsiaTheme="majorEastAsia"/>
                <w:b/>
                <w:color w:val="auto"/>
                <w:sz w:val="24"/>
                <w:szCs w:val="24"/>
                <w:highlight w:val="none"/>
              </w:rPr>
              <w:t>▲</w:t>
            </w:r>
            <w:r>
              <w:rPr>
                <w:rFonts w:hint="eastAsia" w:cs="宋体" w:asciiTheme="majorEastAsia" w:hAnsiTheme="majorEastAsia" w:eastAsiaTheme="majorEastAsia"/>
                <w:color w:val="auto"/>
                <w:kern w:val="0"/>
                <w:sz w:val="24"/>
                <w:szCs w:val="24"/>
                <w:highlight w:val="none"/>
                <w:lang w:bidi="ar"/>
              </w:rPr>
              <w:t>可视化统一管理平台</w:t>
            </w:r>
          </w:p>
        </w:tc>
        <w:tc>
          <w:tcPr>
            <w:tcW w:w="2710" w:type="pct"/>
            <w:vAlign w:val="center"/>
          </w:tcPr>
          <w:p w14:paraId="70040F26">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一、系统管理功能：</w:t>
            </w:r>
          </w:p>
          <w:p w14:paraId="298190A8">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1、基础功能：</w:t>
            </w:r>
          </w:p>
          <w:p w14:paraId="004090C4">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（1）支持门户首页自定义配置，可自定义快捷入口、菜单内容及页面元素；支持门户展示信息个性化设置，包含页面LOGO图标替换、网站标题修改、外部链接新增与配置。</w:t>
            </w:r>
          </w:p>
          <w:p w14:paraId="54E575EE">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（2）具备一体化综合管理能力，支持统一认证鉴权、应用管理、菜单管理、用户管理、角色管理、组织管理、资源管理等基础管控功能。</w:t>
            </w:r>
          </w:p>
          <w:p w14:paraId="097AEC47">
            <w:pPr>
              <w:widowControl/>
              <w:spacing w:line="300" w:lineRule="auto"/>
              <w:jc w:val="left"/>
              <w:textAlignment w:val="top"/>
              <w:rPr>
                <w:rFonts w:hint="eastAsia" w:asciiTheme="majorEastAsia" w:hAnsiTheme="majorEastAsia" w:eastAsiaTheme="majorEastAsia"/>
                <w:b/>
                <w:bCs/>
                <w:color w:val="auto"/>
                <w:sz w:val="24"/>
                <w:szCs w:val="24"/>
                <w:highlight w:val="none"/>
              </w:rPr>
            </w:pPr>
            <w:r>
              <w:rPr>
                <w:rFonts w:hint="eastAsia" w:ascii="宋体" w:hAnsi="Calibri" w:cs="宋体"/>
                <w:b/>
                <w:bCs/>
                <w:color w:val="auto"/>
                <w:kern w:val="0"/>
                <w:sz w:val="24"/>
                <w:szCs w:val="24"/>
                <w:highlight w:val="none"/>
              </w:rPr>
              <w:t>■</w:t>
            </w:r>
            <w:r>
              <w:rPr>
                <w:rFonts w:hint="eastAsia" w:asciiTheme="majorEastAsia" w:hAnsiTheme="majorEastAsia" w:eastAsiaTheme="majorEastAsia"/>
                <w:color w:val="auto"/>
                <w:sz w:val="24"/>
                <w:szCs w:val="24"/>
                <w:highlight w:val="none"/>
              </w:rPr>
              <w:t>（3）支持精细化权限管控，可实现菜单权限、组织权限、区域权限、资源权限、功能操作权限的分级分配与管理</w:t>
            </w:r>
            <w:r>
              <w:rPr>
                <w:rFonts w:hint="eastAsia" w:asciiTheme="majorEastAsia" w:hAnsiTheme="majorEastAsia" w:eastAsiaTheme="majorEastAsia"/>
                <w:b/>
                <w:bCs/>
                <w:color w:val="auto"/>
                <w:sz w:val="24"/>
                <w:szCs w:val="24"/>
                <w:highlight w:val="none"/>
              </w:rPr>
              <w:t>（投标文件中提供承诺函）</w:t>
            </w:r>
            <w:r>
              <w:rPr>
                <w:rFonts w:hint="eastAsia" w:asciiTheme="majorEastAsia" w:hAnsiTheme="majorEastAsia" w:eastAsiaTheme="majorEastAsia"/>
                <w:color w:val="auto"/>
                <w:sz w:val="24"/>
                <w:szCs w:val="24"/>
                <w:highlight w:val="none"/>
              </w:rPr>
              <w:t>。</w:t>
            </w:r>
          </w:p>
          <w:p w14:paraId="5125705D">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（4）支持全域资源统一管控，可对组织、区域、设备、人员、卡片等各类业务资源进行集中化管理。</w:t>
            </w:r>
          </w:p>
          <w:p w14:paraId="7967D992">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（5）具备完善的用户安全管理机制，支持账户绑定MAC地址及IP地址，可配置账户密码有效期；支持Web端、PC客户端、移动端多端登录管理，可自定义密码、PKI等多种认证方式。</w:t>
            </w:r>
          </w:p>
          <w:p w14:paraId="1E53B6D8">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（6）支持NTP网络校时服务，可对平台服务器及前端接入设备进行统一时间校准，保障全网设备时间同步。</w:t>
            </w:r>
          </w:p>
          <w:p w14:paraId="65ABC8DF">
            <w:pPr>
              <w:widowControl/>
              <w:wordWrap w:val="0"/>
              <w:spacing w:line="300" w:lineRule="auto"/>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（7）具备数据、服务统一开放能力，支持标准化接口对外提供业务数据与服务支撑。</w:t>
            </w:r>
          </w:p>
          <w:p w14:paraId="01111DD1">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（8）支持系统运行状态全方位监测，可实现运行服务监控、服务数据统计、运行数据报告生成、服务运行概览解析等运维功能。</w:t>
            </w:r>
          </w:p>
          <w:p w14:paraId="6DFCE71B">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2、事件中心：</w:t>
            </w:r>
          </w:p>
          <w:p w14:paraId="04BD6590">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事件联动管理：支持事件联动规则的新增、删除、修改、查询全流程管理，可自定义联动规则模板；内置全天候、工作日、周末及自定义时间规则计划模板；支持视频事件、入侵报警事件、IO事件、紧急报警事件等多类报警事件联动配置；提供7种高级联动规则模板，可配置指定时间段内多事件触发、多动作并发执行的复杂联动场景。</w:t>
            </w:r>
          </w:p>
          <w:p w14:paraId="4304DCCD">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事件检索管理：支持自定义报警事件存储周期，最长可存储36个月报警数据；支持按区域、位置、事件源、事件等级、发生时间、事件状态等多维度检索报警事件；支持查看事件详情、关联抓图及录像信息，可对报警事件进行标记、处置、导出归档操作。</w:t>
            </w:r>
          </w:p>
          <w:p w14:paraId="43E18E58">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二、视频管理功能：</w:t>
            </w:r>
          </w:p>
          <w:p w14:paraId="43E4634E">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1、视频预览</w:t>
            </w:r>
          </w:p>
          <w:p w14:paraId="626A635C">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（1）支持实时视频预览，具备预览窗口布局切换、画面自适应缩放、全屏预览切换能力。</w:t>
            </w:r>
          </w:p>
          <w:p w14:paraId="77420999">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（2）集成多样化预览操作能力，支持云台控制、实时抓图、紧急录像、即时回放、主子码流切换、音频开关、辅屏预览、双向对讲、语音广播、报警输出控制等功能。</w:t>
            </w:r>
          </w:p>
          <w:p w14:paraId="0FDDE8E4">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（3）支持智能规则可视化展示，可实时预览前端设备已配置的智能分析规则状态。</w:t>
            </w:r>
          </w:p>
          <w:p w14:paraId="079D05B6">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（4）支持资源视图管理，可自定义公有、私有资源视图组，实现监控点分组管理、视频画面轮巡等个性化配置。</w:t>
            </w:r>
          </w:p>
          <w:p w14:paraId="6F32034F">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（5）支持全景视频实时预览，适配全景监控设备画面展示需求。</w:t>
            </w:r>
          </w:p>
          <w:p w14:paraId="70D3A97D">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2、录像回放</w:t>
            </w:r>
          </w:p>
          <w:p w14:paraId="1D75E27A">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（1）支持录像计划配置管理，可自定义实时录像计划、录像回传计划，适配不同场景存储需求。</w:t>
            </w:r>
          </w:p>
          <w:p w14:paraId="611C0493">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（2）具备完善的录像回放能力，支持多画面同步/异步回放切换、超高倍速回放、分段回放，同时支持录像下载、剪辑、标签标记、锁定、回放抓图等配套操作。</w:t>
            </w:r>
          </w:p>
          <w:p w14:paraId="210C8252">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3、图片监控</w:t>
            </w:r>
          </w:p>
          <w:p w14:paraId="75B0C151">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（1）支持视频预览与图片监控模式一键切换，可独立实现图片实时监控业务。</w:t>
            </w:r>
          </w:p>
          <w:p w14:paraId="63166C37">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（2）支持抓拍图片检索回放，可按监控点位、时间段精准查询对应抓拍图片。</w:t>
            </w:r>
          </w:p>
          <w:p w14:paraId="2134C52D">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（3）支持图片自动轮播，可自定义调节自动播放速度。</w:t>
            </w:r>
          </w:p>
          <w:p w14:paraId="421695D4">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（4）支持抓拍图片下载留存。</w:t>
            </w:r>
          </w:p>
          <w:p w14:paraId="0B00CC33">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4、视频上墙</w:t>
            </w:r>
          </w:p>
          <w:p w14:paraId="59A05089">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（1）支持电视墙场景精细化管理，可完成场景窗口布局配置、场景切换计划、轮巡计划的自定义配置与运维管理。</w:t>
            </w:r>
          </w:p>
          <w:p w14:paraId="49A96CA0">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（2）支持电视墙一键上墙、场景快速切换、电视墙模式切换、监控点上下墙、画面轮巡启停等全流程上墙控制操作。</w:t>
            </w:r>
          </w:p>
          <w:p w14:paraId="56FBE7A9">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5、视频事件：支持视频事件智能布撤防，可依托计划模板定时布防；支持移动侦测、视频丢失、视频遮挡、报警输入、报警输出等多类视频异常事件检测告警；</w:t>
            </w:r>
          </w:p>
          <w:p w14:paraId="2A5232F3">
            <w:pPr>
              <w:widowControl/>
              <w:spacing w:line="300" w:lineRule="auto"/>
              <w:jc w:val="left"/>
              <w:rPr>
                <w:rFonts w:hint="eastAsia" w:ascii="宋体" w:hAnsi="宋体" w:cs="宋体"/>
                <w:color w:val="auto"/>
                <w:kern w:val="0"/>
                <w:sz w:val="24"/>
                <w:szCs w:val="24"/>
                <w:highlight w:val="none"/>
              </w:rPr>
            </w:pPr>
            <w:r>
              <w:rPr>
                <w:rFonts w:hint="eastAsia" w:asciiTheme="majorEastAsia" w:hAnsiTheme="majorEastAsia" w:eastAsiaTheme="majorEastAsia"/>
                <w:color w:val="auto"/>
                <w:sz w:val="24"/>
                <w:szCs w:val="24"/>
                <w:highlight w:val="none"/>
              </w:rPr>
              <w:t>6、事件录像管理：</w:t>
            </w:r>
            <w:r>
              <w:rPr>
                <w:rFonts w:asciiTheme="majorEastAsia" w:hAnsiTheme="majorEastAsia" w:eastAsiaTheme="majorEastAsia"/>
                <w:color w:val="auto"/>
                <w:sz w:val="24"/>
                <w:szCs w:val="24"/>
                <w:highlight w:val="none"/>
              </w:rPr>
              <w:t>支持事件录像存储策略自定义配置，可实现事件录像的精准检索、在线回放、批量下载等全生命周期管理。</w:t>
            </w:r>
          </w:p>
          <w:p w14:paraId="2C7F58A0">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三、视频管理功能</w:t>
            </w:r>
          </w:p>
          <w:p w14:paraId="1809C738">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1、支持监控摄像机、编码设备、存储设备、解码设备等物联设备在线状态、工作状态、硬盘状态、指标采集。</w:t>
            </w:r>
          </w:p>
          <w:p w14:paraId="2CEC7B4F">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2、支持监控点通道的在线状态、录制状态、录像完整性、录像保存天数指标检测。</w:t>
            </w:r>
          </w:p>
          <w:p w14:paraId="44DB767B">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3、支持告警信息统计展现。并支持对监控点、编码设备、解码设备、视频综合矩阵、NVR/CVR、云储存告警阈值进行配置。</w:t>
            </w:r>
          </w:p>
          <w:p w14:paraId="08D88733">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4、提供视频运维报表统计能力，包含区域综合排名统计、录像完整性统计、录像存储达标统计、在线状态统计、离线时长统计报表。</w:t>
            </w:r>
          </w:p>
          <w:p w14:paraId="5519AC92">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5、支持巡检计划配置，可以按照类型和资源以及自定义的巡检周期进行巡检计划配置。</w:t>
            </w:r>
          </w:p>
          <w:p w14:paraId="6ED3697A">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宋体" w:hAnsi="Calibri" w:cs="宋体"/>
                <w:b/>
                <w:bCs/>
                <w:color w:val="auto"/>
                <w:kern w:val="0"/>
                <w:sz w:val="24"/>
                <w:szCs w:val="24"/>
                <w:highlight w:val="none"/>
              </w:rPr>
              <w:t>■</w:t>
            </w:r>
            <w:r>
              <w:rPr>
                <w:rFonts w:hint="eastAsia" w:asciiTheme="majorEastAsia" w:hAnsiTheme="majorEastAsia" w:eastAsiaTheme="majorEastAsia"/>
                <w:color w:val="auto"/>
                <w:sz w:val="24"/>
                <w:szCs w:val="24"/>
                <w:highlight w:val="none"/>
              </w:rPr>
              <w:t>四、支持平台跨域视频联网对接，基于通用视频标准协议实现上下级域、外域平台互联互通，支持跨域视频资源推送与业务管控</w:t>
            </w:r>
            <w:r>
              <w:rPr>
                <w:rFonts w:hint="eastAsia" w:asciiTheme="majorEastAsia" w:hAnsiTheme="majorEastAsia" w:eastAsiaTheme="majorEastAsia"/>
                <w:b/>
                <w:bCs/>
                <w:color w:val="auto"/>
                <w:sz w:val="24"/>
                <w:szCs w:val="24"/>
                <w:highlight w:val="none"/>
              </w:rPr>
              <w:t>（投标文件中须提供承诺函，承诺内容应包含以下1-4项）</w:t>
            </w:r>
            <w:r>
              <w:rPr>
                <w:rFonts w:hint="eastAsia" w:asciiTheme="majorEastAsia" w:hAnsiTheme="majorEastAsia" w:eastAsiaTheme="majorEastAsia"/>
                <w:color w:val="auto"/>
                <w:sz w:val="24"/>
                <w:szCs w:val="24"/>
                <w:highlight w:val="none"/>
              </w:rPr>
              <w:t>。</w:t>
            </w:r>
          </w:p>
          <w:p w14:paraId="2CDF2297">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1、支持上下级域注册与管理，实现多平台数据级联对接，完成全域视频资源互联互通。</w:t>
            </w:r>
          </w:p>
          <w:p w14:paraId="20BE82E1">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2、支持跨域资源自动同步，保障上下级平台视频点位资源信息一致。</w:t>
            </w:r>
          </w:p>
          <w:p w14:paraId="07A069F1">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3、支持级联视频点位实时预览、录像回放、录像下载、双向语音对讲等基础视频业务。</w:t>
            </w:r>
          </w:p>
          <w:p w14:paraId="2FB61490">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4、支持对级联远端设备进行远程操作与功能控制，实现全域设备统一管控。</w:t>
            </w:r>
          </w:p>
          <w:p w14:paraId="652F8429">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五、硬件配置要求：</w:t>
            </w:r>
          </w:p>
          <w:p w14:paraId="1D88A1FB">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1、CPU：配置≥1颗 C86架构处理器，核数≥8核，频率≥3.0GHz，末级缓存容量≥16 MB，线程数≥16线程，支持内存的最高速率≥3200 MHz，通道数≥2，位宽≥64，热设计功耗≥65W；</w:t>
            </w:r>
          </w:p>
          <w:p w14:paraId="57BDADFE">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2、内存：配置≥64G DDR4，≥4根内存插槽，最大支持扩展至256GB；</w:t>
            </w:r>
          </w:p>
          <w:p w14:paraId="05A094FB">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3、硬盘：配置≥2块1.2TB 10K 2.5英寸 SAS盘；</w:t>
            </w:r>
          </w:p>
          <w:p w14:paraId="46F6DD8D">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4、阵列卡：配置≥1块SAS_HBA卡，支持RAID 0/1/10；</w:t>
            </w:r>
          </w:p>
          <w:p w14:paraId="2DFFECE5">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5、PCIE扩展：支持≥4个PCIE插槽；</w:t>
            </w:r>
          </w:p>
          <w:p w14:paraId="042FED43">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6、网口：板载≥2个千兆电口，支持选配10GbE、25GbE SFP+等多种网络接口；</w:t>
            </w:r>
          </w:p>
          <w:p w14:paraId="23E3FEB9">
            <w:pPr>
              <w:widowControl/>
              <w:spacing w:line="300" w:lineRule="auto"/>
              <w:jc w:val="left"/>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7、其他接口：≥1个千兆RJ-45管理接口，≥7个USB 3.0接口；</w:t>
            </w:r>
          </w:p>
          <w:p w14:paraId="7582E47B">
            <w:pPr>
              <w:widowControl/>
              <w:spacing w:line="300" w:lineRule="auto"/>
              <w:jc w:val="left"/>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8、电源：配置360W高效单电源。</w:t>
            </w:r>
          </w:p>
        </w:tc>
        <w:tc>
          <w:tcPr>
            <w:tcW w:w="633" w:type="pct"/>
            <w:vAlign w:val="center"/>
          </w:tcPr>
          <w:p w14:paraId="03CC04F1">
            <w:pPr>
              <w:widowControl/>
              <w:spacing w:line="300" w:lineRule="auto"/>
              <w:jc w:val="center"/>
              <w:textAlignment w:val="center"/>
              <w:rPr>
                <w:rFonts w:hint="eastAsia" w:ascii="宋体" w:hAnsi="宋体" w:eastAsia="宋体"/>
                <w:bCs/>
                <w:color w:val="auto"/>
                <w:sz w:val="24"/>
                <w:szCs w:val="24"/>
                <w:highlight w:val="none"/>
              </w:rPr>
            </w:pPr>
            <w:r>
              <w:rPr>
                <w:rFonts w:hint="eastAsia" w:cs="宋体" w:asciiTheme="majorEastAsia" w:hAnsiTheme="majorEastAsia" w:eastAsiaTheme="majorEastAsia"/>
                <w:color w:val="auto"/>
                <w:sz w:val="24"/>
                <w:szCs w:val="24"/>
                <w:highlight w:val="none"/>
              </w:rPr>
              <w:t>1</w:t>
            </w:r>
          </w:p>
        </w:tc>
        <w:tc>
          <w:tcPr>
            <w:tcW w:w="475" w:type="pct"/>
            <w:shd w:val="clear" w:color="auto" w:fill="auto"/>
            <w:vAlign w:val="center"/>
          </w:tcPr>
          <w:p w14:paraId="18D75646">
            <w:pPr>
              <w:spacing w:line="360" w:lineRule="auto"/>
              <w:jc w:val="cente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工业</w:t>
            </w:r>
          </w:p>
        </w:tc>
      </w:tr>
      <w:tr w14:paraId="7F6F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7614390A">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5</w:t>
            </w:r>
          </w:p>
        </w:tc>
        <w:tc>
          <w:tcPr>
            <w:tcW w:w="730" w:type="pct"/>
            <w:vAlign w:val="center"/>
          </w:tcPr>
          <w:p w14:paraId="0CB001A3">
            <w:pPr>
              <w:widowControl/>
              <w:spacing w:line="300" w:lineRule="auto"/>
              <w:jc w:val="center"/>
              <w:textAlignment w:val="center"/>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POE交换机</w:t>
            </w:r>
          </w:p>
        </w:tc>
        <w:tc>
          <w:tcPr>
            <w:tcW w:w="2710" w:type="pct"/>
            <w:vAlign w:val="center"/>
          </w:tcPr>
          <w:p w14:paraId="097C5CF2">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1、交换机千兆PoE电口数量≥24，千兆光口数量≥2。</w:t>
            </w:r>
          </w:p>
          <w:p w14:paraId="060D0E9D">
            <w:pPr>
              <w:widowControl/>
              <w:wordWrap w:val="0"/>
              <w:spacing w:line="300" w:lineRule="auto"/>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2、交换容量≥56Gbps，转发性能≥41.67Mpps。</w:t>
            </w:r>
          </w:p>
          <w:p w14:paraId="6FE4DD18">
            <w:pPr>
              <w:widowControl/>
              <w:wordWrap w:val="0"/>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支持通过管理平台和手机APP展示并管理交换机的拓扑，交换机支持不同拓扑连接方式，包括网线连接、光纤连接、无线连接，支持在网络拓扑中展示交换机详情，包括基本信息、交换机性能使用信息、交换机面板状态、端口信息。</w:t>
            </w:r>
          </w:p>
          <w:p w14:paraId="4DC7F4F5">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4、支持通过管理平台和手机APP对交换机进行远程控制、状态查看、远程升级和远程重启。</w:t>
            </w:r>
          </w:p>
          <w:p w14:paraId="465E9934">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5、支持通过管理平台和手机APP在交换机网络断开、电源故障、端口故障等异常情况时，能实时显示交换机告警内容。</w:t>
            </w:r>
          </w:p>
          <w:p w14:paraId="3E233F25">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6、支持通过管理平台和手机APP对交换机的端口进行速率、流控、使能配置及实时收发速率、峰值收发速率统计。</w:t>
            </w:r>
          </w:p>
          <w:p w14:paraId="22174D2F">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7、支持通过管理平台和手机APP对交换机的VLAN功能进行配置。</w:t>
            </w:r>
          </w:p>
          <w:p w14:paraId="7711EB38">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8、支持通过管理平台和手机APP对交换机进行准入配置，识别接入终端并进行终端准入管控，阻止异常终端接入。</w:t>
            </w:r>
          </w:p>
          <w:p w14:paraId="10C29BCB">
            <w:pPr>
              <w:widowControl/>
              <w:spacing w:line="300" w:lineRule="auto"/>
              <w:jc w:val="left"/>
              <w:textAlignment w:val="top"/>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★9、支持管理平台、手机 APP 双端 POE 功率管理，可监控整机 / 端口功率、启停 POE 功能；自适应 802.3af/at 供电标准，整机最大输出功率≥370W，具备 POE 过载/过压保护，支持 POE 上下电功率管理及 POE 看门狗功能</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531CCFAB">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10、支持链路聚合、QoS、STP/RSTP、端口镜像、端口隔离、风暴抑制功能，支持SNMP管理、LLDP功能，支持SNMP管理、LLDP功能。</w:t>
            </w:r>
          </w:p>
          <w:p w14:paraId="403AE6BD">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11、浪涌（冲击）抗扰度符合GB/T17626.5。</w:t>
            </w:r>
          </w:p>
          <w:p w14:paraId="3BDDE8D3">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12、支持工作温度范围覆盖0℃-45℃。</w:t>
            </w:r>
          </w:p>
          <w:p w14:paraId="23F0A82E">
            <w:pPr>
              <w:widowControl/>
              <w:spacing w:line="300" w:lineRule="auto"/>
              <w:jc w:val="left"/>
              <w:textAlignment w:val="top"/>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★13、支持64Bytes-1518Bytes下均能线速转发</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tc>
        <w:tc>
          <w:tcPr>
            <w:tcW w:w="633" w:type="pct"/>
            <w:vAlign w:val="center"/>
          </w:tcPr>
          <w:p w14:paraId="2B0CB50A">
            <w:pPr>
              <w:widowControl/>
              <w:spacing w:line="300" w:lineRule="auto"/>
              <w:jc w:val="center"/>
              <w:textAlignment w:val="center"/>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5</w:t>
            </w:r>
          </w:p>
        </w:tc>
        <w:tc>
          <w:tcPr>
            <w:tcW w:w="475" w:type="pct"/>
            <w:vAlign w:val="center"/>
          </w:tcPr>
          <w:p w14:paraId="088C600E">
            <w:pPr>
              <w:spacing w:line="360" w:lineRule="auto"/>
              <w:jc w:val="cente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工业</w:t>
            </w:r>
          </w:p>
        </w:tc>
      </w:tr>
      <w:tr w14:paraId="3B3D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451" w:type="pct"/>
            <w:vAlign w:val="center"/>
          </w:tcPr>
          <w:p w14:paraId="6F8219D8">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6</w:t>
            </w:r>
          </w:p>
        </w:tc>
        <w:tc>
          <w:tcPr>
            <w:tcW w:w="730" w:type="pct"/>
            <w:vAlign w:val="center"/>
          </w:tcPr>
          <w:p w14:paraId="5ED84D76">
            <w:pPr>
              <w:widowControl/>
              <w:spacing w:line="300" w:lineRule="auto"/>
              <w:jc w:val="center"/>
              <w:textAlignment w:val="center"/>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交换机</w:t>
            </w:r>
          </w:p>
        </w:tc>
        <w:tc>
          <w:tcPr>
            <w:tcW w:w="2710" w:type="pct"/>
            <w:vAlign w:val="center"/>
          </w:tcPr>
          <w:p w14:paraId="6F14817D">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1、交换机千兆电口数量≥24，千兆光口数量≥2。</w:t>
            </w:r>
          </w:p>
          <w:p w14:paraId="526697CF">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2、交换容量≥56 Gbps，转发性能≥41.67 Mpps。</w:t>
            </w:r>
          </w:p>
          <w:p w14:paraId="4CBA1E23">
            <w:pPr>
              <w:widowControl/>
              <w:spacing w:line="300" w:lineRule="auto"/>
              <w:jc w:val="left"/>
              <w:textAlignment w:val="top"/>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3、支持通过管理平台和手机APP展示并管理交换机的拓扑，交换机支持不同拓扑连接方式，包括网线连接、光纤连接、无线连接，支持在网络拓扑中展示交换机详情，包括基本信息、交换机性能使用信息、交换机面板状态、端口信息</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7654D127">
            <w:pPr>
              <w:widowControl/>
              <w:spacing w:line="300" w:lineRule="auto"/>
              <w:jc w:val="left"/>
              <w:textAlignment w:val="top"/>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★4、支持通过管理平台和手机APP对交换机进行远程控制、状态查看、远程升级和远程重启</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3BC08DE2">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5、支持通过管理平台和手机APP在交换机网络断开、电源故障、端口故障等异常情况时，能实时显示交换机告警内容。</w:t>
            </w:r>
          </w:p>
          <w:p w14:paraId="08D2EBDC">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6、支持通过管理平台和手机APP对交换机的端口进行速率、流控、使能配置及实时收发速率、峰值收发速率统计。</w:t>
            </w:r>
          </w:p>
          <w:p w14:paraId="3FD3087F">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7、支持通过管理平台和手机APP对交换机的VLAN功能进行配置。</w:t>
            </w:r>
          </w:p>
          <w:p w14:paraId="62964152">
            <w:pPr>
              <w:widowControl/>
              <w:spacing w:line="300" w:lineRule="auto"/>
              <w:jc w:val="left"/>
              <w:textAlignment w:val="top"/>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★8、支持通过管理平台和手机APP对交换机进行准入配置，识别接入终端并进行终端准入管控，阻止异常终端接入</w:t>
            </w:r>
            <w:r>
              <w:rPr>
                <w:rFonts w:hint="eastAsia" w:asciiTheme="majorEastAsia" w:hAnsiTheme="majorEastAsia" w:eastAsiaTheme="majorEastAsia"/>
                <w:b/>
                <w:bCs/>
                <w:color w:val="auto"/>
                <w:sz w:val="24"/>
                <w:szCs w:val="24"/>
                <w:highlight w:val="none"/>
              </w:rPr>
              <w:t>（投标文件中须提供第三方检测机构出具的检测报告扫描件）</w:t>
            </w:r>
            <w:r>
              <w:rPr>
                <w:rFonts w:hint="eastAsia" w:asciiTheme="majorEastAsia" w:hAnsiTheme="majorEastAsia" w:eastAsiaTheme="majorEastAsia"/>
                <w:color w:val="auto"/>
                <w:sz w:val="24"/>
                <w:szCs w:val="24"/>
                <w:highlight w:val="none"/>
              </w:rPr>
              <w:t>。</w:t>
            </w:r>
          </w:p>
          <w:p w14:paraId="40E830EA">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9、支持链路聚合、QoS、STP/RSTP、端口镜像、端口隔离、风暴抑制功能，支持SNMP管理、LLDP功能。</w:t>
            </w:r>
          </w:p>
          <w:p w14:paraId="6DB12553">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10、浪涌（冲击）抗扰度符合GB/T17626.5。</w:t>
            </w:r>
          </w:p>
          <w:p w14:paraId="1065DCCB">
            <w:pPr>
              <w:widowControl/>
              <w:spacing w:line="300" w:lineRule="auto"/>
              <w:jc w:val="left"/>
              <w:textAlignment w:val="top"/>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11、支持工作温度范围覆盖0℃-45℃。</w:t>
            </w:r>
          </w:p>
        </w:tc>
        <w:tc>
          <w:tcPr>
            <w:tcW w:w="633" w:type="pct"/>
            <w:vAlign w:val="center"/>
          </w:tcPr>
          <w:p w14:paraId="68A0CB79">
            <w:pPr>
              <w:widowControl/>
              <w:spacing w:line="300" w:lineRule="auto"/>
              <w:jc w:val="center"/>
              <w:textAlignment w:val="center"/>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16</w:t>
            </w:r>
          </w:p>
        </w:tc>
        <w:tc>
          <w:tcPr>
            <w:tcW w:w="475" w:type="pct"/>
            <w:vAlign w:val="center"/>
          </w:tcPr>
          <w:p w14:paraId="5DBCC796">
            <w:pPr>
              <w:spacing w:line="360" w:lineRule="auto"/>
              <w:jc w:val="cente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工业</w:t>
            </w:r>
          </w:p>
        </w:tc>
      </w:tr>
      <w:tr w14:paraId="6EFD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51" w:type="pct"/>
            <w:vAlign w:val="center"/>
          </w:tcPr>
          <w:p w14:paraId="21B8DD1A">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7</w:t>
            </w:r>
          </w:p>
        </w:tc>
        <w:tc>
          <w:tcPr>
            <w:tcW w:w="730" w:type="pct"/>
            <w:vAlign w:val="center"/>
          </w:tcPr>
          <w:p w14:paraId="5C814172">
            <w:pPr>
              <w:widowControl/>
              <w:spacing w:line="300" w:lineRule="auto"/>
              <w:jc w:val="center"/>
              <w:textAlignment w:val="center"/>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无线AP</w:t>
            </w:r>
          </w:p>
        </w:tc>
        <w:tc>
          <w:tcPr>
            <w:tcW w:w="2710" w:type="pct"/>
            <w:vAlign w:val="center"/>
          </w:tcPr>
          <w:p w14:paraId="66CDE449">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1、802.11ax 协议，兼容802.11a/b/g/n/ac协议，支持2.4G和5G同时工作；</w:t>
            </w:r>
          </w:p>
          <w:p w14:paraId="0AD1A2BA">
            <w:pPr>
              <w:widowControl/>
              <w:wordWrap w:val="0"/>
              <w:spacing w:line="300" w:lineRule="auto"/>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2、整机采用三射频设计，2.4G最大传输速率≥570Mbps，5G最大传输速率≥3269Mbps，整机最大传输速率≥3.843Gbps;</w:t>
            </w:r>
          </w:p>
          <w:p w14:paraId="21E658E6">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3、千兆以太网口≥1个，并需提供1个RJ-45 Console管理口,USB接口≥1个，可拓展物联网模块使用，可外接U盘；</w:t>
            </w:r>
          </w:p>
          <w:p w14:paraId="7886C1FC">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4、支持802.3at标准的PoE供电和本地电源适配器供电两种方式；</w:t>
            </w:r>
          </w:p>
          <w:p w14:paraId="42B69686">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★5、整机支持不低于200台无线终端同时接入进行流畅视频点播</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25D2E160">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6、单射频接入人数最高支持≥512，整机最大接入人数≥1044；</w:t>
            </w:r>
          </w:p>
          <w:p w14:paraId="53CB778E">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★7、支持自定义网络质量指标阈值进行编辑，包括网络地址、接入时间、DHCP请求时间、DNS解析平均时延、网关平均时延、网络丢包率，并以时光轴的方式进行展示具体时间点的检测情况</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1F00D631">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8、AP支持集中转发和本地转发两种数据转发模式，同一个AP上基于SSID选择本地转发或者集中转发；</w:t>
            </w:r>
          </w:p>
          <w:p w14:paraId="1F9E6425">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9、支持AP零配置，支持二三层发现、DHCP Option43、DNS域名等多种AC自动发现机制；</w:t>
            </w:r>
          </w:p>
          <w:p w14:paraId="406A0267">
            <w:pPr>
              <w:widowControl/>
              <w:spacing w:line="300" w:lineRule="auto"/>
              <w:jc w:val="left"/>
              <w:textAlignment w:val="top"/>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★10、记录内网终端流量访问路径、识别异常终端访问行为、呈现全网异常访问趋势、下发策略阻断风险终端访问动作的全周期东西向流量安全可视化管控</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40A63037">
            <w:pPr>
              <w:widowControl/>
              <w:spacing w:line="300" w:lineRule="auto"/>
              <w:jc w:val="left"/>
              <w:textAlignment w:val="top"/>
              <w:rPr>
                <w:rFonts w:hint="eastAsia" w:ascii="宋体" w:hAnsi="宋体" w:eastAsia="宋体"/>
                <w:bCs/>
                <w:color w:val="auto"/>
                <w:sz w:val="24"/>
                <w:szCs w:val="24"/>
                <w:highlight w:val="none"/>
              </w:rPr>
            </w:pPr>
            <w:r>
              <w:rPr>
                <w:rFonts w:hint="eastAsia" w:ascii="宋体" w:hAnsi="Calibri" w:cs="宋体"/>
                <w:b/>
                <w:bCs/>
                <w:color w:val="auto"/>
                <w:kern w:val="0"/>
                <w:sz w:val="24"/>
                <w:szCs w:val="24"/>
                <w:highlight w:val="none"/>
              </w:rPr>
              <w:t>■</w:t>
            </w:r>
            <w:r>
              <w:rPr>
                <w:rFonts w:asciiTheme="majorEastAsia" w:hAnsiTheme="majorEastAsia" w:eastAsiaTheme="majorEastAsia"/>
                <w:color w:val="auto"/>
                <w:sz w:val="24"/>
                <w:szCs w:val="24"/>
                <w:highlight w:val="none"/>
              </w:rPr>
              <w:t>11</w:t>
            </w:r>
            <w:r>
              <w:rPr>
                <w:rFonts w:hint="eastAsia" w:asciiTheme="majorEastAsia" w:hAnsiTheme="majorEastAsia" w:eastAsiaTheme="majorEastAsia"/>
                <w:color w:val="auto"/>
                <w:sz w:val="24"/>
                <w:szCs w:val="24"/>
                <w:highlight w:val="none"/>
              </w:rPr>
              <w:t>、本次新增无线</w:t>
            </w:r>
            <w:r>
              <w:rPr>
                <w:rFonts w:asciiTheme="majorEastAsia" w:hAnsiTheme="majorEastAsia" w:eastAsiaTheme="majorEastAsia"/>
                <w:color w:val="auto"/>
                <w:sz w:val="24"/>
                <w:szCs w:val="24"/>
                <w:highlight w:val="none"/>
              </w:rPr>
              <w:t>AP</w:t>
            </w:r>
            <w:r>
              <w:rPr>
                <w:rFonts w:hint="eastAsia" w:asciiTheme="majorEastAsia" w:hAnsiTheme="majorEastAsia" w:eastAsiaTheme="majorEastAsia"/>
                <w:color w:val="auto"/>
                <w:sz w:val="24"/>
                <w:szCs w:val="24"/>
                <w:highlight w:val="none"/>
              </w:rPr>
              <w:t>须统一接入采购人现有无线控制器（现有无线控制器品牌为信锐），能实现统一管理，同时与现有无线网络实现无缝漫游，提供配套</w:t>
            </w:r>
            <w:r>
              <w:rPr>
                <w:rFonts w:hint="eastAsia" w:asciiTheme="majorEastAsia" w:hAnsiTheme="majorEastAsia" w:eastAsiaTheme="majorEastAsia"/>
                <w:color w:val="auto"/>
                <w:sz w:val="24"/>
                <w:szCs w:val="24"/>
                <w:highlight w:val="none"/>
              </w:rPr>
              <w:t>无线AP管理授权</w:t>
            </w:r>
            <w:r>
              <w:rPr>
                <w:rFonts w:hint="eastAsia" w:asciiTheme="majorEastAsia" w:hAnsiTheme="majorEastAsia" w:eastAsiaTheme="majorEastAsia"/>
                <w:b/>
                <w:bCs/>
                <w:color w:val="auto"/>
                <w:sz w:val="24"/>
                <w:szCs w:val="24"/>
                <w:highlight w:val="none"/>
              </w:rPr>
              <w:t>（投标文件中提供承诺函）</w:t>
            </w:r>
            <w:r>
              <w:rPr>
                <w:rFonts w:hint="eastAsia" w:asciiTheme="majorEastAsia" w:hAnsiTheme="majorEastAsia" w:eastAsiaTheme="majorEastAsia"/>
                <w:color w:val="auto"/>
                <w:sz w:val="24"/>
                <w:szCs w:val="24"/>
                <w:highlight w:val="none"/>
              </w:rPr>
              <w:t>。</w:t>
            </w:r>
          </w:p>
        </w:tc>
        <w:tc>
          <w:tcPr>
            <w:tcW w:w="633" w:type="pct"/>
            <w:vAlign w:val="center"/>
          </w:tcPr>
          <w:p w14:paraId="3B4E1254">
            <w:pPr>
              <w:widowControl/>
              <w:spacing w:line="300" w:lineRule="auto"/>
              <w:jc w:val="center"/>
              <w:textAlignment w:val="center"/>
              <w:rPr>
                <w:rFonts w:hint="eastAsia" w:ascii="宋体" w:hAnsi="宋体" w:eastAsia="宋体"/>
                <w:bCs/>
                <w:color w:val="auto"/>
                <w:sz w:val="24"/>
                <w:szCs w:val="24"/>
                <w:highlight w:val="none"/>
              </w:rPr>
            </w:pPr>
            <w:r>
              <w:rPr>
                <w:rFonts w:hint="eastAsia" w:cs="宋体" w:asciiTheme="majorEastAsia" w:hAnsiTheme="majorEastAsia" w:eastAsiaTheme="majorEastAsia"/>
                <w:color w:val="auto"/>
                <w:sz w:val="24"/>
                <w:szCs w:val="24"/>
                <w:highlight w:val="none"/>
              </w:rPr>
              <w:t>10</w:t>
            </w:r>
          </w:p>
        </w:tc>
        <w:tc>
          <w:tcPr>
            <w:tcW w:w="475" w:type="pct"/>
            <w:vAlign w:val="center"/>
          </w:tcPr>
          <w:p w14:paraId="460C0075">
            <w:pPr>
              <w:spacing w:line="360" w:lineRule="auto"/>
              <w:jc w:val="cente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工业</w:t>
            </w:r>
          </w:p>
        </w:tc>
      </w:tr>
      <w:tr w14:paraId="1EA8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54A45F26">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8</w:t>
            </w:r>
          </w:p>
        </w:tc>
        <w:tc>
          <w:tcPr>
            <w:tcW w:w="730" w:type="pct"/>
            <w:vAlign w:val="center"/>
          </w:tcPr>
          <w:p w14:paraId="75A90C5C">
            <w:pPr>
              <w:widowControl/>
              <w:spacing w:line="300" w:lineRule="auto"/>
              <w:jc w:val="center"/>
              <w:textAlignment w:val="center"/>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统一设备管理平台</w:t>
            </w:r>
          </w:p>
        </w:tc>
        <w:tc>
          <w:tcPr>
            <w:tcW w:w="2710" w:type="pct"/>
            <w:vAlign w:val="center"/>
          </w:tcPr>
          <w:p w14:paraId="770E4EF4">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1、支持统一管理网络设备和物联设备。设备类型包括：</w:t>
            </w:r>
          </w:p>
          <w:p w14:paraId="2EA3FF60">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（1）网络设备：支持对交换机、AC/AP等设备类型进行管理；</w:t>
            </w:r>
          </w:p>
          <w:p w14:paraId="325E007D">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（2）物联设备：支持对摄像头、NVR、DVR、门禁设备、显示屏、解码设备、服务器等设备类型进行管理；</w:t>
            </w:r>
          </w:p>
          <w:p w14:paraId="2EA36755">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★（3）支持用户自定义设备类型，并上传自定义图标进行拓扑图显示</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1B7DF4FA">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2、支持网络及物联设备统一拓扑显示：</w:t>
            </w:r>
          </w:p>
          <w:p w14:paraId="22BFB562">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（1）支持对包括交换机、AC/AP等网络设备和摄像头、NVR、DVR、门禁设备、报警设备、音频设备、解码设备、服务器等物联设备自动生成拓扑图并统一显示；</w:t>
            </w:r>
          </w:p>
          <w:p w14:paraId="4D81A18D">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（2）链路类型支持网线、光纤、WLAN、RS-485电线等；</w:t>
            </w:r>
          </w:p>
          <w:p w14:paraId="5ABD832B">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★（3）拓扑图支持显示门禁设备下挂的读卡器、报警设备下挂的探测器，呈现连接/端口状态</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1B7CB335">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（4）拓扑图支持显示非网管型或未纳管的网管型交换机，并进行设备名称、MAC地址、设备型号、设备序列号、IP地址信息的补齐；</w:t>
            </w:r>
          </w:p>
          <w:p w14:paraId="5031A7D5">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3、支持基于拓扑图进行链路诊断：</w:t>
            </w:r>
          </w:p>
          <w:p w14:paraId="0F4956B7">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（1）支持在拓扑中选择要诊断的两个路径设备，仅呈现这个两个设备间的链路信息；</w:t>
            </w:r>
          </w:p>
          <w:p w14:paraId="00C662E3">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★（2）支持查看链路中各个设备的网络状态、实时速率、带宽利用率、告警等运行状态，并可进行任意节点间ping检测、线缆质量诊断、光模块DDM诊断、端口丢包&amp;错误包数据和趋势统计分析等</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p>
          <w:p w14:paraId="5C918FE3">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4、支持基于拓扑图进行监控和配置管理摄像头：</w:t>
            </w:r>
          </w:p>
          <w:p w14:paraId="3B91B1D5">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（1）支持实时画面预览，查看视频帧率、分辨率、码流格式、码率信息；云台相机，支持进行云台控制；</w:t>
            </w:r>
          </w:p>
          <w:p w14:paraId="1D5AA55F">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★（2）支持查看摄像头视频质量状态，可识别出图像模糊、亮度异常、图像偏色、雪花干扰、条纹干扰等23类画面质量异常</w:t>
            </w:r>
            <w:r>
              <w:rPr>
                <w:rFonts w:hint="eastAsia" w:asciiTheme="majorEastAsia" w:hAnsiTheme="majorEastAsia" w:eastAsiaTheme="majorEastAsia"/>
                <w:b/>
                <w:bCs/>
                <w:color w:val="auto"/>
                <w:sz w:val="24"/>
                <w:szCs w:val="24"/>
                <w:highlight w:val="none"/>
              </w:rPr>
              <w:t>（投标文件中提供第三方检测机构出具的检测报告扫描件）</w:t>
            </w:r>
            <w:r>
              <w:rPr>
                <w:rFonts w:hint="eastAsia" w:asciiTheme="majorEastAsia" w:hAnsiTheme="majorEastAsia" w:eastAsiaTheme="majorEastAsia"/>
                <w:color w:val="auto"/>
                <w:sz w:val="24"/>
                <w:szCs w:val="24"/>
                <w:highlight w:val="none"/>
              </w:rPr>
              <w:t>；</w:t>
            </w:r>
            <w:r>
              <w:rPr>
                <w:rFonts w:hint="eastAsia" w:asciiTheme="majorEastAsia" w:hAnsiTheme="majorEastAsia" w:eastAsiaTheme="majorEastAsia"/>
                <w:b/>
                <w:bCs/>
                <w:color w:val="auto"/>
                <w:sz w:val="24"/>
                <w:szCs w:val="24"/>
                <w:highlight w:val="none"/>
              </w:rPr>
              <w:t xml:space="preserve"> </w:t>
            </w:r>
          </w:p>
          <w:p w14:paraId="24FBAE92">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（3）支持视频流畅度状态检测；</w:t>
            </w:r>
          </w:p>
          <w:p w14:paraId="450D3678">
            <w:pPr>
              <w:widowControl/>
              <w:spacing w:line="300" w:lineRule="auto"/>
              <w:jc w:val="left"/>
              <w:textAlignment w:val="top"/>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（4）支持视频参数配置，包括码流类型、视频类型、分辨率、码率类型、图像质量、视频帧率、码率上限、视频编码、编码复杂度、I帧间隔、SVC以及码流平滑度等参数配置。</w:t>
            </w:r>
          </w:p>
        </w:tc>
        <w:tc>
          <w:tcPr>
            <w:tcW w:w="633" w:type="pct"/>
            <w:vAlign w:val="center"/>
          </w:tcPr>
          <w:p w14:paraId="2AB13502">
            <w:pPr>
              <w:widowControl/>
              <w:spacing w:line="300" w:lineRule="auto"/>
              <w:jc w:val="center"/>
              <w:textAlignment w:val="center"/>
              <w:rPr>
                <w:rFonts w:hint="eastAsia" w:ascii="宋体" w:hAnsi="宋体" w:eastAsia="宋体"/>
                <w:bCs/>
                <w:color w:val="auto"/>
                <w:sz w:val="24"/>
                <w:szCs w:val="24"/>
                <w:highlight w:val="none"/>
              </w:rPr>
            </w:pPr>
            <w:r>
              <w:rPr>
                <w:rFonts w:hint="eastAsia" w:cs="宋体" w:asciiTheme="majorEastAsia" w:hAnsiTheme="majorEastAsia" w:eastAsiaTheme="majorEastAsia"/>
                <w:color w:val="auto"/>
                <w:sz w:val="24"/>
                <w:szCs w:val="24"/>
                <w:highlight w:val="none"/>
              </w:rPr>
              <w:t>1</w:t>
            </w:r>
          </w:p>
        </w:tc>
        <w:tc>
          <w:tcPr>
            <w:tcW w:w="475" w:type="pct"/>
            <w:vAlign w:val="center"/>
          </w:tcPr>
          <w:p w14:paraId="115F2E48">
            <w:pPr>
              <w:spacing w:line="360" w:lineRule="auto"/>
              <w:jc w:val="cente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软件和信息技术服务业</w:t>
            </w:r>
          </w:p>
        </w:tc>
      </w:tr>
      <w:tr w14:paraId="5540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26167DB6">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9</w:t>
            </w:r>
          </w:p>
        </w:tc>
        <w:tc>
          <w:tcPr>
            <w:tcW w:w="730" w:type="pct"/>
            <w:vAlign w:val="center"/>
          </w:tcPr>
          <w:p w14:paraId="06453643">
            <w:pPr>
              <w:widowControl/>
              <w:spacing w:line="300" w:lineRule="auto"/>
              <w:jc w:val="center"/>
              <w:textAlignment w:val="center"/>
              <w:rPr>
                <w:rFonts w:hint="eastAsia" w:ascii="宋体" w:hAnsi="宋体" w:eastAsia="宋体"/>
                <w:bCs/>
                <w:color w:val="auto"/>
                <w:sz w:val="24"/>
                <w:szCs w:val="24"/>
                <w:highlight w:val="none"/>
              </w:rPr>
            </w:pPr>
            <w:r>
              <w:rPr>
                <w:rFonts w:hint="eastAsia" w:cs="宋体" w:asciiTheme="majorEastAsia" w:hAnsiTheme="majorEastAsia" w:eastAsiaTheme="majorEastAsia"/>
                <w:color w:val="auto"/>
                <w:sz w:val="24"/>
                <w:szCs w:val="24"/>
                <w:highlight w:val="none"/>
              </w:rPr>
              <w:t xml:space="preserve"> 备份一体机</w:t>
            </w:r>
          </w:p>
        </w:tc>
        <w:tc>
          <w:tcPr>
            <w:tcW w:w="2710" w:type="pct"/>
            <w:vAlign w:val="center"/>
          </w:tcPr>
          <w:p w14:paraId="7E809094">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1、2U机架高度，不低于1颗12核心处理器，不低于32GB内存，不低于2个1Gbps iSCSI主机接口，不低于5块8TB企业级 7.2K SATA 硬盘，支持SAS/SATA/SSD硬盘，热插拔双冗余电源。</w:t>
            </w:r>
          </w:p>
          <w:p w14:paraId="316ACBB5">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2、提供集中统一的备份管理平台，包含客户端保护、虚拟化保护、NAS保护、CDM保护、备份管理、恢复管理、客户端管理、存储管理、日志管理、归档管理等，并支持集中管理全部客户端主机的数据备份、恢复、CDM、虚拟化无代理、瞬时恢复、远程复制、数据查询、数据清理等操作。</w:t>
            </w:r>
          </w:p>
          <w:p w14:paraId="51BA247C">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支持对虚拟服务器、物理服务实现操作系统的整体定时备份。本次配置不少于30TB容量授权，在容量授权范围内，不限制虚拟化无代理备份服务器、物理服务器及虚拟机数量，不限制虚拟化分钟级快速接管虚拟机数量，不</w:t>
            </w:r>
            <w:r>
              <w:rPr>
                <w:rFonts w:hint="eastAsia" w:asciiTheme="majorEastAsia" w:hAnsiTheme="majorEastAsia" w:eastAsiaTheme="majorEastAsia"/>
                <w:color w:val="auto"/>
                <w:sz w:val="24"/>
                <w:szCs w:val="24"/>
                <w:highlight w:val="none"/>
              </w:rPr>
              <w:t>限制操作系统和数据库数量，不限制CDM客户端数量的备份和恢复功能。</w:t>
            </w:r>
          </w:p>
          <w:p w14:paraId="38E0ABDC">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4、支持各类通用操作系统</w:t>
            </w:r>
            <w:r>
              <w:rPr>
                <w:rFonts w:asciiTheme="majorEastAsia" w:hAnsiTheme="majorEastAsia" w:eastAsiaTheme="majorEastAsia"/>
                <w:color w:val="auto"/>
                <w:sz w:val="24"/>
                <w:szCs w:val="24"/>
                <w:highlight w:val="none"/>
              </w:rPr>
              <w:t>符合安全可靠测评的国产服务器操作系统</w:t>
            </w:r>
            <w:r>
              <w:rPr>
                <w:rFonts w:hint="eastAsia" w:asciiTheme="majorEastAsia" w:hAnsiTheme="majorEastAsia" w:eastAsiaTheme="majorEastAsia"/>
                <w:color w:val="auto"/>
                <w:sz w:val="24"/>
                <w:szCs w:val="24"/>
                <w:highlight w:val="none"/>
              </w:rPr>
              <w:t>等国产化操作系统定时备份和恢复功能。</w:t>
            </w:r>
          </w:p>
          <w:p w14:paraId="0D075415">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5、支持对主流数据库和应用进行在线备份保护，创建配置过程中全部采用图形化向导式完成，无需编写任何的脚本。</w:t>
            </w:r>
          </w:p>
          <w:p w14:paraId="77BFF305">
            <w:pPr>
              <w:widowControl/>
              <w:spacing w:line="300" w:lineRule="auto"/>
              <w:jc w:val="left"/>
              <w:textAlignment w:val="top"/>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6、支持主流数据库及集群高可用环境下，内置数据库坏块告警、数据库故障检查/校验机制，可针对进行数据库数据文件逻辑、物理坏块检测或检查所有数据库是否损坏，一旦查到数据库损坏或逻辑坏块，系统自动根据告警机制将告警日志信息以发送邮件形式，通知设备管理员</w:t>
            </w:r>
            <w:r>
              <w:rPr>
                <w:rFonts w:hint="eastAsia" w:asciiTheme="majorEastAsia" w:hAnsiTheme="majorEastAsia" w:eastAsiaTheme="majorEastAsia"/>
                <w:b/>
                <w:bCs/>
                <w:color w:val="auto"/>
                <w:sz w:val="24"/>
                <w:szCs w:val="24"/>
                <w:highlight w:val="none"/>
              </w:rPr>
              <w:t>（投标文件中提供数据库坏块告警、数据库故障检查功能截图证明）</w:t>
            </w:r>
            <w:r>
              <w:rPr>
                <w:rFonts w:hint="eastAsia" w:asciiTheme="majorEastAsia" w:hAnsiTheme="majorEastAsia" w:eastAsiaTheme="majorEastAsia"/>
                <w:color w:val="auto"/>
                <w:sz w:val="24"/>
                <w:szCs w:val="24"/>
                <w:highlight w:val="none"/>
              </w:rPr>
              <w:t>。</w:t>
            </w:r>
          </w:p>
          <w:p w14:paraId="66237BB5">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7、支持提供各类通用操作系统文件</w:t>
            </w:r>
            <w:r>
              <w:rPr>
                <w:rFonts w:hint="eastAsia" w:asciiTheme="majorEastAsia" w:hAnsiTheme="majorEastAsia" w:eastAsiaTheme="majorEastAsia"/>
                <w:color w:val="auto"/>
                <w:sz w:val="24"/>
                <w:szCs w:val="24"/>
                <w:highlight w:val="none"/>
              </w:rPr>
              <w:t>系统在线备份与恢复功能，可提供以整盘或分区、目录或单一文件为单位进行数据备份；支持整盘或分区恢复及单文件、单目录级别的细粒度备份与恢复。</w:t>
            </w:r>
          </w:p>
          <w:p w14:paraId="2D44A609">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8、支持对主流虚拟化平台的在线备份，支持虚拟机全备份、CBT/RCT块级增量备份。</w:t>
            </w:r>
          </w:p>
          <w:p w14:paraId="277159F0">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★9、支持虚拟机备份磁盘排除功能，可在备份虚拟机时展开虚拟机磁盘信息，去掉冗余磁盘进行备份减少需要备份的数据量</w:t>
            </w:r>
            <w:r>
              <w:rPr>
                <w:rFonts w:hint="eastAsia" w:asciiTheme="majorEastAsia" w:hAnsiTheme="majorEastAsia" w:eastAsiaTheme="majorEastAsia"/>
                <w:b/>
                <w:bCs/>
                <w:color w:val="auto"/>
                <w:sz w:val="24"/>
                <w:szCs w:val="24"/>
                <w:highlight w:val="none"/>
              </w:rPr>
              <w:t>（投标文件中提供磁盘排除功能截图证明）</w:t>
            </w:r>
            <w:r>
              <w:rPr>
                <w:rFonts w:hint="eastAsia" w:asciiTheme="majorEastAsia" w:hAnsiTheme="majorEastAsia" w:eastAsiaTheme="majorEastAsia"/>
                <w:color w:val="auto"/>
                <w:sz w:val="24"/>
                <w:szCs w:val="24"/>
                <w:highlight w:val="none"/>
              </w:rPr>
              <w:t>。</w:t>
            </w:r>
          </w:p>
          <w:p w14:paraId="393E60AB">
            <w:pPr>
              <w:widowControl/>
              <w:spacing w:line="300" w:lineRule="auto"/>
              <w:jc w:val="left"/>
              <w:textAlignment w:val="top"/>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★10、支持虚拟机同平台及跨平台瞬时恢复功能，可支持同时启动多个时间点数据副本瞬时恢复至同平台或异构平台，用于备份数据演练、验证、应急接管，而无需真实恢复故障虚拟机进行验证</w:t>
            </w:r>
            <w:r>
              <w:rPr>
                <w:rFonts w:hint="eastAsia" w:asciiTheme="majorEastAsia" w:hAnsiTheme="majorEastAsia" w:eastAsiaTheme="majorEastAsia"/>
                <w:b/>
                <w:bCs/>
                <w:color w:val="auto"/>
                <w:sz w:val="24"/>
                <w:szCs w:val="24"/>
                <w:highlight w:val="none"/>
              </w:rPr>
              <w:t>（投标文件中提供瞬时恢复功能截图证明）</w:t>
            </w:r>
            <w:r>
              <w:rPr>
                <w:rFonts w:hint="eastAsia" w:asciiTheme="majorEastAsia" w:hAnsiTheme="majorEastAsia" w:eastAsiaTheme="majorEastAsia"/>
                <w:color w:val="auto"/>
                <w:sz w:val="24"/>
                <w:szCs w:val="24"/>
                <w:highlight w:val="none"/>
              </w:rPr>
              <w:t>。</w:t>
            </w:r>
          </w:p>
          <w:p w14:paraId="3CB0EB7A">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★11、支持对主流虚拟化平台跨平台恢复，可跨平台迁移恢复至任意品牌虚拟化，同时支持直接挂载备份副本即可实现虚拟机的快速恢复</w:t>
            </w:r>
            <w:r>
              <w:rPr>
                <w:rFonts w:hint="eastAsia" w:asciiTheme="majorEastAsia" w:hAnsiTheme="majorEastAsia" w:eastAsiaTheme="majorEastAsia"/>
                <w:b/>
                <w:bCs/>
                <w:color w:val="auto"/>
                <w:sz w:val="24"/>
                <w:szCs w:val="24"/>
                <w:highlight w:val="none"/>
              </w:rPr>
              <w:t>（投标文件中提供多品牌虚拟化跨平台恢复功能截图证明）</w:t>
            </w:r>
            <w:r>
              <w:rPr>
                <w:rFonts w:hint="eastAsia" w:asciiTheme="majorEastAsia" w:hAnsiTheme="majorEastAsia" w:eastAsiaTheme="majorEastAsia"/>
                <w:color w:val="auto"/>
                <w:sz w:val="24"/>
                <w:szCs w:val="24"/>
                <w:highlight w:val="none"/>
              </w:rPr>
              <w:t>。</w:t>
            </w:r>
          </w:p>
          <w:p w14:paraId="50461078">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12、支持虚拟化环境下的细粒度恢复功能，无需进行整机恢复，即可快速找回虚拟主机内某单一文件或</w:t>
            </w:r>
            <w:r>
              <w:rPr>
                <w:rFonts w:hint="eastAsia" w:asciiTheme="majorEastAsia" w:hAnsiTheme="majorEastAsia" w:eastAsiaTheme="majorEastAsia"/>
                <w:color w:val="auto"/>
                <w:sz w:val="24"/>
                <w:szCs w:val="24"/>
                <w:highlight w:val="none"/>
              </w:rPr>
              <w:t>文件夹，节省恢复效率。</w:t>
            </w:r>
          </w:p>
          <w:p w14:paraId="1C4C6A47">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13、支持操作系统备份和裸机恢复功能，支持各类通用操作系统</w:t>
            </w:r>
            <w:r>
              <w:rPr>
                <w:rFonts w:asciiTheme="majorEastAsia" w:hAnsiTheme="majorEastAsia" w:eastAsiaTheme="majorEastAsia"/>
                <w:color w:val="auto"/>
                <w:sz w:val="24"/>
                <w:szCs w:val="24"/>
                <w:highlight w:val="none"/>
              </w:rPr>
              <w:t>、符合安全可靠测评的国产</w:t>
            </w:r>
            <w:r>
              <w:rPr>
                <w:rFonts w:hint="eastAsia" w:asciiTheme="majorEastAsia" w:hAnsiTheme="majorEastAsia" w:eastAsiaTheme="majorEastAsia"/>
                <w:color w:val="auto"/>
                <w:sz w:val="24"/>
                <w:szCs w:val="24"/>
                <w:highlight w:val="none"/>
              </w:rPr>
              <w:t>操作系统在线备份，可快速从裸机状态直接恢复操作系统，无需重新安装操作系统、驱动程序和应用软件。</w:t>
            </w:r>
          </w:p>
          <w:p w14:paraId="73DDE953">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14、支持提供副本数据管理功能，兼容各类通用操作系统下的主流数据库，在对生产数据进行数据一致性处理后，以</w:t>
            </w:r>
            <w:r>
              <w:rPr>
                <w:rFonts w:hint="eastAsia" w:asciiTheme="majorEastAsia" w:hAnsiTheme="majorEastAsia" w:eastAsiaTheme="majorEastAsia"/>
                <w:color w:val="auto"/>
                <w:sz w:val="24"/>
                <w:szCs w:val="24"/>
                <w:highlight w:val="none"/>
              </w:rPr>
              <w:t>原生格式进行数据备份、存储，不进行任何的格式转换处理，可在分钟级别时间内对任意数据量大小的副本数据，通过iSCSI或者FC的方式快速挂载，挂载后的数据副本可用于应急、软件开发测试、备份数据有效性验证、恢复演练等场景。</w:t>
            </w:r>
          </w:p>
          <w:p w14:paraId="0D02A51E">
            <w:pPr>
              <w:widowControl/>
              <w:spacing w:line="300" w:lineRule="auto"/>
              <w:jc w:val="left"/>
              <w:textAlignment w:val="top"/>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15、支持对备份数据进行加密传输和存储，支持提供AES256、SM4等多种加密传输功能，提升传输过程以及存储的安全性。在备份任务开启加密功能后，在执行备份任务过程中备份客户端将生产端数据，在Client端先行加密，再传送给备份设备，确保备份数据传输过程中无泄密风险</w:t>
            </w:r>
            <w:r>
              <w:rPr>
                <w:rFonts w:hint="eastAsia" w:asciiTheme="majorEastAsia" w:hAnsiTheme="majorEastAsia" w:eastAsiaTheme="majorEastAsia"/>
                <w:b/>
                <w:bCs/>
                <w:color w:val="auto"/>
                <w:sz w:val="24"/>
                <w:szCs w:val="24"/>
                <w:highlight w:val="none"/>
              </w:rPr>
              <w:t>（投标文件中须提供多种加密传输功能截图证明支持AES256、SM4等多种加密）</w:t>
            </w:r>
            <w:r>
              <w:rPr>
                <w:rFonts w:hint="eastAsia" w:asciiTheme="majorEastAsia" w:hAnsiTheme="majorEastAsia" w:eastAsiaTheme="majorEastAsia"/>
                <w:color w:val="auto"/>
                <w:sz w:val="24"/>
                <w:szCs w:val="24"/>
                <w:highlight w:val="none"/>
              </w:rPr>
              <w:t>。</w:t>
            </w:r>
          </w:p>
          <w:p w14:paraId="1FDFB2BF">
            <w:pPr>
              <w:widowControl/>
              <w:spacing w:line="300" w:lineRule="auto"/>
              <w:jc w:val="left"/>
              <w:textAlignment w:val="top"/>
              <w:rPr>
                <w:rFonts w:hint="eastAsia" w:asciiTheme="majorEastAsia" w:hAnsiTheme="majorEastAsia" w:eastAsiaTheme="majorEastAsia"/>
                <w:b/>
                <w:bCs/>
                <w:color w:val="auto"/>
                <w:sz w:val="24"/>
                <w:szCs w:val="24"/>
                <w:highlight w:val="none"/>
              </w:rPr>
            </w:pPr>
            <w:r>
              <w:rPr>
                <w:rFonts w:hint="eastAsia" w:asciiTheme="majorEastAsia" w:hAnsiTheme="majorEastAsia" w:eastAsiaTheme="majorEastAsia"/>
                <w:color w:val="auto"/>
                <w:sz w:val="24"/>
                <w:szCs w:val="24"/>
                <w:highlight w:val="none"/>
              </w:rPr>
              <w:t>★16、支持普通和三权分立多种用户访问控制模式，可根据实际需求进行普通模式和三权分立模式随时切换；普通用户模式包含管理员和操作员两种访问角色类型；三权分立模式包含审计员、安全员、管理员、操作员四种访问角色类型</w:t>
            </w:r>
            <w:r>
              <w:rPr>
                <w:rFonts w:hint="eastAsia" w:asciiTheme="majorEastAsia" w:hAnsiTheme="majorEastAsia" w:eastAsiaTheme="majorEastAsia"/>
                <w:b/>
                <w:bCs/>
                <w:color w:val="auto"/>
                <w:sz w:val="24"/>
                <w:szCs w:val="24"/>
                <w:highlight w:val="none"/>
              </w:rPr>
              <w:t>（投标文件中提供多种用户访问机制管理功能截图证明）</w:t>
            </w:r>
            <w:r>
              <w:rPr>
                <w:rFonts w:hint="eastAsia" w:asciiTheme="majorEastAsia" w:hAnsiTheme="majorEastAsia" w:eastAsiaTheme="majorEastAsia"/>
                <w:color w:val="auto"/>
                <w:sz w:val="24"/>
                <w:szCs w:val="24"/>
                <w:highlight w:val="none"/>
              </w:rPr>
              <w:t>。</w:t>
            </w:r>
          </w:p>
          <w:p w14:paraId="509D7BA5">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★17、支持可指定操作员分配客户端、存储空间、授权数量、授权类型等管理资源。不同操作员分配到资源相互独立，完全隔离，任意操作员进行备份与恢复操作，均不影响其他操作员管理</w:t>
            </w:r>
            <w:r>
              <w:rPr>
                <w:rFonts w:hint="eastAsia" w:asciiTheme="majorEastAsia" w:hAnsiTheme="majorEastAsia" w:eastAsiaTheme="majorEastAsia"/>
                <w:b/>
                <w:bCs/>
                <w:color w:val="auto"/>
                <w:sz w:val="24"/>
                <w:szCs w:val="24"/>
                <w:highlight w:val="none"/>
              </w:rPr>
              <w:t>（投标文件中提供多个操作员相互独立管理操作截图证明）</w:t>
            </w:r>
            <w:r>
              <w:rPr>
                <w:rFonts w:hint="eastAsia" w:asciiTheme="majorEastAsia" w:hAnsiTheme="majorEastAsia" w:eastAsiaTheme="majorEastAsia"/>
                <w:color w:val="auto"/>
                <w:sz w:val="24"/>
                <w:szCs w:val="24"/>
                <w:highlight w:val="none"/>
              </w:rPr>
              <w:t>。</w:t>
            </w:r>
          </w:p>
          <w:p w14:paraId="34B81240">
            <w:pPr>
              <w:widowControl/>
              <w:spacing w:line="300" w:lineRule="auto"/>
              <w:jc w:val="left"/>
              <w:textAlignment w:val="top"/>
              <w:rPr>
                <w:rFonts w:hint="eastAsia"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18、支持提供自定义安全备份模式，可根据实际业务需提供普通模式、自动模式、定时模式、混合模式等多种可选安全模式，在触发安全模式时，备份数据存储区的访问路径被断开禁用，可以有效防止备份数据被加密或恶意删除，提高备份系统的安全性。</w:t>
            </w:r>
          </w:p>
          <w:p w14:paraId="7D58CEB1">
            <w:pPr>
              <w:widowControl/>
              <w:spacing w:line="300" w:lineRule="auto"/>
              <w:jc w:val="left"/>
              <w:textAlignment w:val="top"/>
              <w:rPr>
                <w:rFonts w:hint="eastAsia" w:ascii="宋体" w:hAnsi="宋体" w:eastAsia="宋体"/>
                <w:bCs/>
                <w:color w:val="auto"/>
                <w:sz w:val="24"/>
                <w:szCs w:val="24"/>
                <w:highlight w:val="none"/>
              </w:rPr>
            </w:pPr>
            <w:r>
              <w:rPr>
                <w:rFonts w:hint="eastAsia" w:asciiTheme="majorEastAsia" w:hAnsiTheme="majorEastAsia" w:eastAsiaTheme="majorEastAsia"/>
                <w:color w:val="auto"/>
                <w:sz w:val="24"/>
                <w:szCs w:val="24"/>
                <w:highlight w:val="none"/>
              </w:rPr>
              <w:t>19、支持IP限制，提供设置允许访问IP/IP段或禁止访问IP/IP段，供指定地址段对备份系统的合法访问，杜绝除传输备份数据流之外一切网络访问的可能。</w:t>
            </w:r>
          </w:p>
        </w:tc>
        <w:tc>
          <w:tcPr>
            <w:tcW w:w="633" w:type="pct"/>
            <w:vAlign w:val="center"/>
          </w:tcPr>
          <w:p w14:paraId="21BF8054">
            <w:pPr>
              <w:widowControl/>
              <w:spacing w:line="300" w:lineRule="auto"/>
              <w:jc w:val="center"/>
              <w:textAlignment w:val="center"/>
              <w:rPr>
                <w:rFonts w:hint="eastAsia" w:ascii="宋体" w:hAnsi="宋体" w:eastAsia="宋体"/>
                <w:bCs/>
                <w:color w:val="auto"/>
                <w:sz w:val="24"/>
                <w:szCs w:val="24"/>
                <w:highlight w:val="none"/>
              </w:rPr>
            </w:pPr>
            <w:r>
              <w:rPr>
                <w:rFonts w:hint="eastAsia" w:cs="宋体" w:asciiTheme="majorEastAsia" w:hAnsiTheme="majorEastAsia" w:eastAsiaTheme="majorEastAsia"/>
                <w:color w:val="auto"/>
                <w:sz w:val="24"/>
                <w:szCs w:val="24"/>
                <w:highlight w:val="none"/>
              </w:rPr>
              <w:t>1</w:t>
            </w:r>
          </w:p>
        </w:tc>
        <w:tc>
          <w:tcPr>
            <w:tcW w:w="475" w:type="pct"/>
            <w:vAlign w:val="center"/>
          </w:tcPr>
          <w:p w14:paraId="082C6409">
            <w:pPr>
              <w:spacing w:line="360" w:lineRule="auto"/>
              <w:jc w:val="center"/>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工业</w:t>
            </w:r>
          </w:p>
        </w:tc>
      </w:tr>
    </w:tbl>
    <w:p w14:paraId="58BD149F">
      <w:pPr>
        <w:spacing w:line="360" w:lineRule="auto"/>
        <w:ind w:firstLine="437"/>
        <w:outlineLvl w:val="1"/>
        <w:rPr>
          <w:rFonts w:hint="eastAsia" w:ascii="宋体" w:hAnsi="宋体" w:eastAsia="宋体"/>
          <w:b/>
          <w:bCs/>
          <w:color w:val="auto"/>
          <w:sz w:val="24"/>
          <w:szCs w:val="18"/>
          <w:highlight w:val="none"/>
        </w:rPr>
      </w:pPr>
      <w:bookmarkStart w:id="7" w:name="_Toc24977"/>
      <w:bookmarkStart w:id="8" w:name="_Toc7421"/>
      <w:bookmarkStart w:id="9" w:name="_Toc4843"/>
      <w:r>
        <w:rPr>
          <w:rFonts w:hint="eastAsia" w:ascii="宋体" w:hAnsi="宋体" w:eastAsia="宋体"/>
          <w:b/>
          <w:bCs/>
          <w:color w:val="auto"/>
          <w:sz w:val="24"/>
          <w:szCs w:val="18"/>
          <w:highlight w:val="none"/>
        </w:rPr>
        <w:t>四、安装要求</w:t>
      </w:r>
      <w:bookmarkEnd w:id="7"/>
    </w:p>
    <w:p w14:paraId="5751CEA2">
      <w:pPr>
        <w:spacing w:line="360" w:lineRule="auto"/>
        <w:ind w:firstLine="435"/>
        <w:rPr>
          <w:rFonts w:hint="eastAsia" w:asciiTheme="minorEastAsia" w:hAnsiTheme="minorEastAsia" w:eastAsiaTheme="minorEastAsia"/>
          <w:color w:val="auto"/>
          <w:sz w:val="24"/>
          <w:highlight w:val="none"/>
        </w:rPr>
      </w:pPr>
      <w:bookmarkStart w:id="10" w:name="_Toc28452"/>
      <w:r>
        <w:rPr>
          <w:rFonts w:hint="eastAsia" w:asciiTheme="minorEastAsia" w:hAnsiTheme="minorEastAsia" w:eastAsiaTheme="minorEastAsia"/>
          <w:color w:val="auto"/>
          <w:sz w:val="24"/>
          <w:highlight w:val="none"/>
        </w:rPr>
        <w:t>（一）施工及施工材料要求：</w:t>
      </w:r>
      <w:bookmarkEnd w:id="10"/>
    </w:p>
    <w:p w14:paraId="5D2FA95F">
      <w:pPr>
        <w:spacing w:line="360" w:lineRule="auto"/>
        <w:ind w:firstLine="435"/>
        <w:rPr>
          <w:rFonts w:hint="eastAsia" w:asciiTheme="minorEastAsia" w:hAnsiTheme="minorEastAsia" w:eastAsiaTheme="minorEastAsia"/>
          <w:color w:val="auto"/>
          <w:sz w:val="24"/>
          <w:highlight w:val="none"/>
        </w:rPr>
      </w:pPr>
      <w:bookmarkStart w:id="11" w:name="_Toc20073"/>
      <w:r>
        <w:rPr>
          <w:rFonts w:hint="eastAsia" w:asciiTheme="minorEastAsia" w:hAnsiTheme="minorEastAsia" w:eastAsiaTheme="minorEastAsia"/>
          <w:color w:val="auto"/>
          <w:sz w:val="24"/>
          <w:highlight w:val="none"/>
        </w:rPr>
        <w:t>1.本项目投标人须完成本项目全部集成施工内容，包含但不限于项目区域内网线布设、光纤敷设、线管安装、电路优化改造等全部施工内容，所有施工涉及的辅材由投标人统一供货、安装及调试。</w:t>
      </w:r>
      <w:bookmarkEnd w:id="11"/>
    </w:p>
    <w:p w14:paraId="2D75CA61">
      <w:pPr>
        <w:spacing w:line="360" w:lineRule="auto"/>
        <w:ind w:firstLine="435"/>
        <w:rPr>
          <w:rFonts w:hint="eastAsia" w:asciiTheme="minorEastAsia" w:hAnsiTheme="minorEastAsia" w:eastAsiaTheme="minorEastAsia"/>
          <w:color w:val="auto"/>
          <w:sz w:val="24"/>
          <w:highlight w:val="none"/>
        </w:rPr>
      </w:pPr>
      <w:bookmarkStart w:id="12" w:name="_Toc24975"/>
      <w:r>
        <w:rPr>
          <w:rFonts w:hint="eastAsia" w:asciiTheme="minorEastAsia" w:hAnsiTheme="minorEastAsia" w:eastAsiaTheme="minorEastAsia"/>
          <w:color w:val="auto"/>
          <w:sz w:val="24"/>
          <w:highlight w:val="none"/>
        </w:rPr>
        <w:t>2.本次涉及到所有摄像头点位的供电施工，中标人须根据不同区域采用不同的供电方式：</w:t>
      </w:r>
      <w:bookmarkEnd w:id="12"/>
    </w:p>
    <w:p w14:paraId="6C62B0F9">
      <w:pPr>
        <w:spacing w:line="360" w:lineRule="auto"/>
        <w:ind w:firstLine="435"/>
        <w:rPr>
          <w:rFonts w:hint="eastAsia" w:asciiTheme="minorEastAsia" w:hAnsiTheme="minorEastAsia" w:eastAsiaTheme="minorEastAsia"/>
          <w:color w:val="auto"/>
          <w:sz w:val="24"/>
          <w:highlight w:val="none"/>
        </w:rPr>
      </w:pPr>
      <w:bookmarkStart w:id="13" w:name="_Toc31335"/>
      <w:r>
        <w:rPr>
          <w:rFonts w:hint="eastAsia" w:asciiTheme="minorEastAsia" w:hAnsiTheme="minorEastAsia" w:eastAsiaTheme="minorEastAsia"/>
          <w:color w:val="auto"/>
          <w:sz w:val="24"/>
          <w:highlight w:val="none"/>
        </w:rPr>
        <w:t>（1）针对样品及仓库等区域，实现24小时不间断录制点位，采用集中POE供电方式，全程稳定供电，保障设备全天候持续在线、正常录像。</w:t>
      </w:r>
      <w:bookmarkEnd w:id="13"/>
    </w:p>
    <w:p w14:paraId="5159B15D">
      <w:pPr>
        <w:spacing w:line="360" w:lineRule="auto"/>
        <w:ind w:firstLine="435"/>
        <w:rPr>
          <w:rFonts w:hint="eastAsia" w:asciiTheme="minorEastAsia" w:hAnsiTheme="minorEastAsia" w:eastAsiaTheme="minorEastAsia"/>
          <w:color w:val="auto"/>
          <w:sz w:val="24"/>
          <w:highlight w:val="none"/>
        </w:rPr>
      </w:pPr>
      <w:bookmarkStart w:id="14" w:name="_Toc18804"/>
      <w:r>
        <w:rPr>
          <w:rFonts w:hint="eastAsia" w:asciiTheme="minorEastAsia" w:hAnsiTheme="minorEastAsia" w:eastAsiaTheme="minorEastAsia"/>
          <w:color w:val="auto"/>
          <w:sz w:val="24"/>
          <w:highlight w:val="none"/>
        </w:rPr>
        <w:t>（2）针对仅试验作业时段录制的实验室，对实验室供电进行专项改造，摄像头接入改造后的单独供电线路，由试验人员进行录像开启和关闭控制，进行试验时开启摄像头电源开始进行录像，结束试验时关闭摄像头电源停止录像。</w:t>
      </w:r>
      <w:bookmarkEnd w:id="14"/>
    </w:p>
    <w:p w14:paraId="43EC2170">
      <w:pPr>
        <w:spacing w:line="360" w:lineRule="auto"/>
        <w:ind w:firstLine="435"/>
        <w:rPr>
          <w:rFonts w:hint="eastAsia" w:asciiTheme="minorEastAsia" w:hAnsiTheme="minorEastAsia" w:eastAsiaTheme="minorEastAsia"/>
          <w:color w:val="auto"/>
          <w:sz w:val="24"/>
          <w:highlight w:val="none"/>
        </w:rPr>
      </w:pPr>
      <w:bookmarkStart w:id="15" w:name="_Toc7745"/>
      <w:r>
        <w:rPr>
          <w:rFonts w:hint="eastAsia" w:asciiTheme="minorEastAsia" w:hAnsiTheme="minorEastAsia" w:eastAsiaTheme="minorEastAsia"/>
          <w:color w:val="auto"/>
          <w:sz w:val="24"/>
          <w:highlight w:val="none"/>
        </w:rPr>
        <w:t>3.所需辅材包含六类网线、光纤、阻燃线管、强电线缆、电路空开等辅材等全套配套材料。所有施工、辅材供货、安装调试等所有费用均包含在本次报价内。</w:t>
      </w:r>
      <w:bookmarkEnd w:id="15"/>
    </w:p>
    <w:p w14:paraId="2EABEEA7">
      <w:pPr>
        <w:spacing w:line="360" w:lineRule="auto"/>
        <w:ind w:firstLine="435"/>
        <w:rPr>
          <w:rFonts w:hint="eastAsia" w:asciiTheme="minorEastAsia" w:hAnsiTheme="minorEastAsia" w:eastAsiaTheme="minorEastAsia"/>
          <w:color w:val="auto"/>
          <w:sz w:val="24"/>
          <w:highlight w:val="none"/>
        </w:rPr>
      </w:pPr>
      <w:bookmarkStart w:id="16" w:name="_Toc28141"/>
      <w:r>
        <w:rPr>
          <w:rFonts w:hint="eastAsia" w:asciiTheme="minorEastAsia" w:hAnsiTheme="minorEastAsia" w:eastAsiaTheme="minorEastAsia"/>
          <w:color w:val="auto"/>
          <w:sz w:val="24"/>
          <w:highlight w:val="none"/>
        </w:rPr>
        <w:t>（二）统一纳管调试服务要求：</w:t>
      </w:r>
      <w:bookmarkEnd w:id="16"/>
    </w:p>
    <w:p w14:paraId="525AF849">
      <w:pPr>
        <w:spacing w:line="360" w:lineRule="auto"/>
        <w:ind w:firstLine="435"/>
        <w:rPr>
          <w:rFonts w:hint="eastAsia" w:ascii="宋体" w:hAnsi="宋体" w:eastAsia="宋体"/>
          <w:color w:val="auto"/>
          <w:sz w:val="24"/>
          <w:szCs w:val="18"/>
          <w:highlight w:val="none"/>
        </w:rPr>
      </w:pPr>
      <w:bookmarkStart w:id="17" w:name="_Toc6366"/>
      <w:r>
        <w:rPr>
          <w:rFonts w:hint="eastAsia" w:asciiTheme="minorEastAsia" w:hAnsiTheme="minorEastAsia" w:eastAsiaTheme="minorEastAsia"/>
          <w:color w:val="auto"/>
          <w:sz w:val="24"/>
          <w:highlight w:val="none"/>
        </w:rPr>
        <w:t>本项目需对现场实验室存量设备进行全数利旧复用，中标人须完成设备检</w:t>
      </w:r>
      <w:r>
        <w:rPr>
          <w:rFonts w:hint="eastAsia" w:ascii="宋体" w:hAnsi="宋体" w:eastAsia="宋体"/>
          <w:color w:val="auto"/>
          <w:sz w:val="24"/>
          <w:szCs w:val="18"/>
          <w:highlight w:val="none"/>
        </w:rPr>
        <w:t>测、协议适配、调试接入、系统融合等全部工作，确保存量设备正常并入“可视化统一管理平台”系统</w:t>
      </w:r>
      <w:r>
        <w:rPr>
          <w:rFonts w:hint="eastAsia" w:ascii="宋体" w:hAnsi="宋体" w:eastAsia="宋体"/>
          <w:b/>
          <w:bCs/>
          <w:color w:val="auto"/>
          <w:sz w:val="24"/>
          <w:szCs w:val="18"/>
          <w:highlight w:val="none"/>
        </w:rPr>
        <w:t>（投标文件中须提供承诺函，否则投标无效）</w:t>
      </w:r>
      <w:r>
        <w:rPr>
          <w:rFonts w:hint="eastAsia" w:ascii="宋体" w:hAnsi="宋体" w:eastAsia="宋体"/>
          <w:color w:val="auto"/>
          <w:sz w:val="24"/>
          <w:szCs w:val="18"/>
          <w:highlight w:val="none"/>
        </w:rPr>
        <w:t>。</w:t>
      </w:r>
      <w:bookmarkEnd w:id="17"/>
    </w:p>
    <w:p w14:paraId="663BD9C3">
      <w:pPr>
        <w:spacing w:line="360" w:lineRule="auto"/>
        <w:ind w:firstLine="435"/>
        <w:rPr>
          <w:rFonts w:hint="eastAsia" w:asciiTheme="minorEastAsia" w:hAnsiTheme="minorEastAsia" w:eastAsiaTheme="minorEastAsia"/>
          <w:color w:val="auto"/>
          <w:sz w:val="24"/>
          <w:highlight w:val="none"/>
        </w:rPr>
      </w:pPr>
      <w:bookmarkStart w:id="18" w:name="_Toc32153"/>
      <w:r>
        <w:rPr>
          <w:rFonts w:hint="eastAsia" w:asciiTheme="minorEastAsia" w:hAnsiTheme="minorEastAsia" w:eastAsiaTheme="minorEastAsia"/>
          <w:color w:val="auto"/>
          <w:sz w:val="24"/>
          <w:highlight w:val="none"/>
        </w:rPr>
        <w:t>1.本次需利旧纳管设备明细如下：</w:t>
      </w:r>
      <w:bookmarkEnd w:id="18"/>
    </w:p>
    <w:p w14:paraId="1CAA3B92">
      <w:pPr>
        <w:spacing w:line="360" w:lineRule="auto"/>
        <w:ind w:firstLine="435"/>
        <w:rPr>
          <w:rFonts w:hint="eastAsia" w:asciiTheme="minorEastAsia" w:hAnsiTheme="minorEastAsia" w:eastAsiaTheme="minorEastAsia"/>
          <w:color w:val="auto"/>
          <w:sz w:val="24"/>
          <w:highlight w:val="none"/>
        </w:rPr>
      </w:pPr>
      <w:bookmarkStart w:id="19" w:name="_Toc17519"/>
      <w:r>
        <w:rPr>
          <w:rFonts w:hint="eastAsia" w:asciiTheme="minorEastAsia" w:hAnsiTheme="minorEastAsia" w:eastAsiaTheme="minorEastAsia"/>
          <w:color w:val="auto"/>
          <w:sz w:val="24"/>
          <w:highlight w:val="none"/>
        </w:rPr>
        <w:t>（1）可视化点位利旧纳管：包河本部区域、经开区域，共计56个可视化点位。</w:t>
      </w:r>
      <w:bookmarkEnd w:id="19"/>
    </w:p>
    <w:p w14:paraId="1AC8A82F">
      <w:pPr>
        <w:spacing w:line="360" w:lineRule="auto"/>
        <w:ind w:firstLine="435"/>
        <w:rPr>
          <w:rFonts w:hint="eastAsia" w:asciiTheme="minorEastAsia" w:hAnsiTheme="minorEastAsia" w:eastAsiaTheme="minorEastAsia"/>
          <w:color w:val="auto"/>
          <w:sz w:val="24"/>
          <w:highlight w:val="none"/>
        </w:rPr>
      </w:pPr>
      <w:bookmarkStart w:id="20" w:name="_Toc24522"/>
      <w:r>
        <w:rPr>
          <w:rFonts w:hint="eastAsia" w:asciiTheme="minorEastAsia" w:hAnsiTheme="minorEastAsia" w:eastAsiaTheme="minorEastAsia"/>
          <w:color w:val="auto"/>
          <w:sz w:val="24"/>
          <w:highlight w:val="none"/>
        </w:rPr>
        <w:t>（2）可视化存储利旧纳管：本部区域包含视频管理平台1台、可视化存储1台。经开区域包含视频管理平台1台、可视化存储1台。</w:t>
      </w:r>
      <w:bookmarkEnd w:id="20"/>
    </w:p>
    <w:p w14:paraId="7985A5C5">
      <w:pPr>
        <w:spacing w:line="360" w:lineRule="auto"/>
        <w:ind w:firstLine="435"/>
        <w:rPr>
          <w:rFonts w:hint="eastAsia" w:asciiTheme="minorEastAsia" w:hAnsiTheme="minorEastAsia" w:eastAsiaTheme="minorEastAsia"/>
          <w:color w:val="auto"/>
          <w:sz w:val="24"/>
          <w:highlight w:val="none"/>
        </w:rPr>
      </w:pPr>
      <w:bookmarkStart w:id="21" w:name="_Toc4439"/>
      <w:r>
        <w:rPr>
          <w:rFonts w:hint="eastAsia" w:asciiTheme="minorEastAsia" w:hAnsiTheme="minorEastAsia" w:eastAsiaTheme="minorEastAsia"/>
          <w:color w:val="auto"/>
          <w:sz w:val="24"/>
          <w:highlight w:val="none"/>
        </w:rPr>
        <w:t>2.全域统一纳管要求：投标人通过本次采购的可视化统一管理平台，实现本部区域、经开区域、六安基地区域三大区域跨区域、全实验室点位、全存储资源一体化统一纳管，彻底消除区域隔离、设备孤岛、数据分散问题，所有新旧设备、新旧点位、新旧存储必须100%纳入同一平台统一管控，具体需求如下：</w:t>
      </w:r>
      <w:bookmarkEnd w:id="21"/>
    </w:p>
    <w:p w14:paraId="2AD165E9">
      <w:pPr>
        <w:spacing w:line="360" w:lineRule="auto"/>
        <w:ind w:firstLine="435"/>
        <w:rPr>
          <w:rFonts w:hint="eastAsia" w:asciiTheme="minorEastAsia" w:hAnsiTheme="minorEastAsia" w:eastAsiaTheme="minorEastAsia"/>
          <w:color w:val="auto"/>
          <w:sz w:val="24"/>
          <w:highlight w:val="none"/>
        </w:rPr>
      </w:pPr>
      <w:bookmarkStart w:id="22" w:name="_Toc14403"/>
      <w:r>
        <w:rPr>
          <w:rFonts w:hint="eastAsia" w:asciiTheme="minorEastAsia" w:hAnsiTheme="minorEastAsia" w:eastAsiaTheme="minorEastAsia"/>
          <w:color w:val="auto"/>
          <w:sz w:val="24"/>
          <w:highlight w:val="none"/>
        </w:rPr>
        <w:t>（1）监控点位统一纳管要求：须实现三大区域所有实验室存量已建可视化点位、本次项目全部新建可视化监控点位全覆盖统一接入、统一纳管。平台须支持批量点位接入、协议自适应、权限统一配置，实现所有监控点位集中预览、画面轮巡、点位调取、在线状态监测、设备故障统一告警，实现不分新旧设备、不分所属区域的全网一体化管控，不得出现点位遗漏、区域割裂、新旧设备分开管理的情况。</w:t>
      </w:r>
      <w:bookmarkEnd w:id="22"/>
    </w:p>
    <w:p w14:paraId="35BA9879">
      <w:pPr>
        <w:spacing w:line="360" w:lineRule="auto"/>
        <w:ind w:firstLine="435"/>
        <w:rPr>
          <w:rFonts w:hint="eastAsia" w:asciiTheme="minorEastAsia" w:hAnsiTheme="minorEastAsia" w:eastAsiaTheme="minorEastAsia"/>
          <w:color w:val="auto"/>
          <w:sz w:val="24"/>
          <w:highlight w:val="none"/>
        </w:rPr>
      </w:pPr>
      <w:bookmarkStart w:id="23" w:name="_Toc32116"/>
      <w:r>
        <w:rPr>
          <w:rFonts w:hint="eastAsia" w:asciiTheme="minorEastAsia" w:hAnsiTheme="minorEastAsia" w:eastAsiaTheme="minorEastAsia"/>
          <w:color w:val="auto"/>
          <w:sz w:val="24"/>
          <w:highlight w:val="none"/>
        </w:rPr>
        <w:t>（2）新旧存储统一纳管要求：须将本部、经开区域原有2套存量存储服务器及配套利旧硬盘，与本次项目新增存储设备进行完全整合，实现新旧存储资源的统一管理。投标人须完成存储协议适配、磁盘阵列兼容调试、存储资源整合，实现全网视频录像、监控业务数据统一存储、统一调度、统一运维。</w:t>
      </w:r>
      <w:bookmarkEnd w:id="23"/>
    </w:p>
    <w:p w14:paraId="18EE6B92">
      <w:pPr>
        <w:spacing w:line="360" w:lineRule="auto"/>
        <w:ind w:firstLine="435"/>
        <w:rPr>
          <w:rFonts w:hint="eastAsia" w:asciiTheme="minorEastAsia" w:hAnsiTheme="minorEastAsia" w:eastAsiaTheme="minorEastAsia"/>
          <w:color w:val="auto"/>
          <w:sz w:val="24"/>
          <w:highlight w:val="none"/>
        </w:rPr>
      </w:pPr>
      <w:bookmarkStart w:id="24" w:name="_Toc31216"/>
      <w:r>
        <w:rPr>
          <w:rFonts w:hint="eastAsia" w:asciiTheme="minorEastAsia" w:hAnsiTheme="minorEastAsia" w:eastAsiaTheme="minorEastAsia"/>
          <w:color w:val="auto"/>
          <w:sz w:val="24"/>
          <w:highlight w:val="none"/>
        </w:rPr>
        <w:t>（3）跨区域统一纳管要求：须打通三大区域网络，实现跨区域互联互通、数据同步、资源共享。依托统一可视化平台保障多区域监控画面、存储数据、设备状态实时同步，支持集中远程管控所有区域设备，实现全网设备集中化、一体化、扁平化管理。</w:t>
      </w:r>
      <w:bookmarkEnd w:id="24"/>
    </w:p>
    <w:p w14:paraId="59A2B3DD">
      <w:pPr>
        <w:spacing w:line="360" w:lineRule="auto"/>
        <w:ind w:firstLine="437"/>
        <w:outlineLvl w:val="1"/>
        <w:rPr>
          <w:rFonts w:hint="eastAsia" w:ascii="宋体" w:hAnsi="宋体" w:eastAsia="宋体"/>
          <w:b/>
          <w:bCs/>
          <w:color w:val="auto"/>
          <w:sz w:val="24"/>
          <w:szCs w:val="18"/>
          <w:highlight w:val="none"/>
        </w:rPr>
      </w:pPr>
      <w:bookmarkStart w:id="25" w:name="_Toc29314"/>
      <w:r>
        <w:rPr>
          <w:rFonts w:hint="eastAsia" w:ascii="宋体" w:hAnsi="宋体" w:eastAsia="宋体"/>
          <w:b/>
          <w:bCs/>
          <w:color w:val="auto"/>
          <w:sz w:val="24"/>
          <w:szCs w:val="18"/>
          <w:highlight w:val="none"/>
        </w:rPr>
        <w:t>五、报价要求</w:t>
      </w:r>
      <w:bookmarkEnd w:id="8"/>
      <w:bookmarkEnd w:id="9"/>
      <w:bookmarkEnd w:id="25"/>
    </w:p>
    <w:p w14:paraId="237462B4">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577DA334">
      <w:pPr>
        <w:spacing w:line="360" w:lineRule="auto"/>
        <w:ind w:firstLine="437"/>
        <w:outlineLvl w:val="1"/>
        <w:rPr>
          <w:rFonts w:hint="eastAsia" w:ascii="宋体" w:hAnsi="宋体" w:eastAsia="宋体"/>
          <w:b/>
          <w:bCs/>
          <w:color w:val="auto"/>
          <w:sz w:val="24"/>
          <w:szCs w:val="18"/>
          <w:highlight w:val="none"/>
        </w:rPr>
      </w:pPr>
      <w:bookmarkStart w:id="26" w:name="_Toc2096"/>
      <w:r>
        <w:rPr>
          <w:rFonts w:hint="eastAsia" w:ascii="宋体" w:hAnsi="宋体" w:eastAsia="宋体"/>
          <w:b/>
          <w:bCs/>
          <w:color w:val="auto"/>
          <w:sz w:val="24"/>
          <w:szCs w:val="18"/>
          <w:highlight w:val="none"/>
        </w:rPr>
        <w:t>六、备品备件及专用工具</w:t>
      </w:r>
      <w:bookmarkEnd w:id="26"/>
    </w:p>
    <w:p w14:paraId="77093AEA">
      <w:pPr>
        <w:spacing w:line="360" w:lineRule="auto"/>
        <w:ind w:firstLine="437"/>
        <w:outlineLvl w:val="1"/>
        <w:rPr>
          <w:rFonts w:hint="eastAsia" w:ascii="宋体" w:hAnsi="宋体" w:eastAsia="宋体"/>
          <w:bCs/>
          <w:color w:val="auto"/>
          <w:sz w:val="24"/>
          <w:szCs w:val="18"/>
          <w:highlight w:val="none"/>
        </w:rPr>
      </w:pPr>
      <w:bookmarkStart w:id="27" w:name="_Toc11430"/>
      <w:bookmarkStart w:id="28" w:name="_Toc455587093"/>
      <w:bookmarkStart w:id="29" w:name="_Toc445554752"/>
      <w:bookmarkStart w:id="30" w:name="_Toc455587277"/>
      <w:r>
        <w:rPr>
          <w:rFonts w:ascii="宋体" w:hAnsi="宋体" w:eastAsia="宋体"/>
          <w:bCs/>
          <w:color w:val="auto"/>
          <w:sz w:val="24"/>
          <w:szCs w:val="18"/>
          <w:highlight w:val="none"/>
        </w:rPr>
        <w:t>1</w:t>
      </w:r>
      <w:r>
        <w:rPr>
          <w:rFonts w:hint="eastAsia" w:ascii="宋体" w:hAnsi="宋体" w:eastAsia="宋体"/>
          <w:bCs/>
          <w:color w:val="auto"/>
          <w:sz w:val="24"/>
          <w:szCs w:val="18"/>
          <w:highlight w:val="none"/>
        </w:rPr>
        <w:t>.</w:t>
      </w:r>
      <w:r>
        <w:rPr>
          <w:rFonts w:ascii="宋体" w:hAnsi="宋体" w:eastAsia="宋体"/>
          <w:bCs/>
          <w:color w:val="auto"/>
          <w:sz w:val="24"/>
          <w:szCs w:val="18"/>
          <w:highlight w:val="none"/>
        </w:rPr>
        <w:t>备品备件：中标人提供能够满足质量保证期内的设备维修要求的备品备件，备品备件应是新品。</w:t>
      </w:r>
      <w:bookmarkEnd w:id="27"/>
    </w:p>
    <w:p w14:paraId="74BC4C10">
      <w:pPr>
        <w:spacing w:line="360" w:lineRule="auto"/>
        <w:ind w:firstLine="437"/>
        <w:outlineLvl w:val="1"/>
        <w:rPr>
          <w:rFonts w:hint="eastAsia" w:ascii="宋体" w:hAnsi="宋体" w:eastAsia="宋体"/>
          <w:bCs/>
          <w:color w:val="auto"/>
          <w:sz w:val="24"/>
          <w:szCs w:val="18"/>
          <w:highlight w:val="none"/>
        </w:rPr>
      </w:pPr>
      <w:bookmarkStart w:id="31" w:name="_Toc9138"/>
      <w:r>
        <w:rPr>
          <w:rFonts w:ascii="宋体" w:hAnsi="宋体" w:eastAsia="宋体"/>
          <w:bCs/>
          <w:color w:val="auto"/>
          <w:sz w:val="24"/>
          <w:szCs w:val="18"/>
          <w:highlight w:val="none"/>
        </w:rPr>
        <w:t>2</w:t>
      </w:r>
      <w:r>
        <w:rPr>
          <w:rFonts w:hint="eastAsia" w:ascii="宋体" w:hAnsi="宋体" w:eastAsia="宋体"/>
          <w:bCs/>
          <w:color w:val="auto"/>
          <w:sz w:val="24"/>
          <w:szCs w:val="18"/>
          <w:highlight w:val="none"/>
        </w:rPr>
        <w:t>.</w:t>
      </w:r>
      <w:r>
        <w:rPr>
          <w:rFonts w:ascii="宋体" w:hAnsi="宋体" w:eastAsia="宋体"/>
          <w:bCs/>
          <w:color w:val="auto"/>
          <w:sz w:val="24"/>
          <w:szCs w:val="18"/>
          <w:highlight w:val="none"/>
        </w:rPr>
        <w:t>专用工具：中标人提供设备安装、调试、维修、保养所必要的专用工具、仪器、仪表等工具。</w:t>
      </w:r>
      <w:bookmarkEnd w:id="31"/>
    </w:p>
    <w:bookmarkEnd w:id="28"/>
    <w:bookmarkEnd w:id="29"/>
    <w:bookmarkEnd w:id="30"/>
    <w:p w14:paraId="70A004AF">
      <w:pPr>
        <w:spacing w:line="360" w:lineRule="auto"/>
        <w:ind w:firstLine="437"/>
        <w:outlineLvl w:val="1"/>
        <w:rPr>
          <w:rFonts w:hint="eastAsia" w:ascii="宋体" w:hAnsi="宋体" w:eastAsia="宋体"/>
          <w:b/>
          <w:bCs/>
          <w:color w:val="auto"/>
          <w:sz w:val="24"/>
          <w:szCs w:val="18"/>
          <w:highlight w:val="none"/>
        </w:rPr>
      </w:pPr>
      <w:bookmarkStart w:id="32" w:name="_Toc4723"/>
      <w:bookmarkStart w:id="33" w:name="_Toc532199625"/>
      <w:bookmarkStart w:id="34" w:name="_Toc455587094"/>
      <w:bookmarkStart w:id="35" w:name="_Toc455587278"/>
      <w:bookmarkStart w:id="36" w:name="_Toc445554753"/>
      <w:r>
        <w:rPr>
          <w:rFonts w:hint="eastAsia" w:ascii="宋体" w:hAnsi="宋体" w:eastAsia="宋体"/>
          <w:b/>
          <w:bCs/>
          <w:color w:val="auto"/>
          <w:sz w:val="24"/>
          <w:szCs w:val="18"/>
          <w:highlight w:val="none"/>
        </w:rPr>
        <w:t>七、安装调试、验收试验及质量保证</w:t>
      </w:r>
      <w:bookmarkEnd w:id="32"/>
      <w:bookmarkEnd w:id="33"/>
    </w:p>
    <w:p w14:paraId="51BDE9B1">
      <w:pPr>
        <w:spacing w:line="360" w:lineRule="auto"/>
        <w:ind w:firstLine="435"/>
        <w:rPr>
          <w:rFonts w:hint="eastAsia" w:asciiTheme="minorEastAsia" w:hAnsiTheme="minorEastAsia" w:eastAsiaTheme="minorEastAsia"/>
          <w:color w:val="auto"/>
          <w:sz w:val="24"/>
          <w:highlight w:val="none"/>
        </w:rPr>
      </w:pPr>
      <w:bookmarkStart w:id="37" w:name="_Toc1778"/>
      <w:r>
        <w:rPr>
          <w:rFonts w:hint="eastAsia" w:asciiTheme="minorEastAsia" w:hAnsiTheme="minorEastAsia" w:eastAsiaTheme="minorEastAsia"/>
          <w:color w:val="auto"/>
          <w:sz w:val="24"/>
          <w:highlight w:val="none"/>
        </w:rPr>
        <w:t>1.中标人在设备安装地点负责安装、调试。</w:t>
      </w:r>
      <w:bookmarkEnd w:id="37"/>
    </w:p>
    <w:p w14:paraId="13CDFCC2">
      <w:pPr>
        <w:spacing w:line="360" w:lineRule="auto"/>
        <w:ind w:firstLine="435"/>
        <w:rPr>
          <w:rFonts w:hint="eastAsia" w:asciiTheme="minorEastAsia" w:hAnsiTheme="minorEastAsia" w:eastAsiaTheme="minorEastAsia"/>
          <w:color w:val="auto"/>
          <w:sz w:val="24"/>
          <w:highlight w:val="none"/>
        </w:rPr>
      </w:pPr>
      <w:bookmarkStart w:id="38" w:name="_Toc29151"/>
      <w:r>
        <w:rPr>
          <w:rFonts w:hint="eastAsia" w:asciiTheme="minorEastAsia" w:hAnsiTheme="minorEastAsia" w:eastAsiaTheme="minorEastAsia"/>
          <w:color w:val="auto"/>
          <w:sz w:val="24"/>
          <w:highlight w:val="none"/>
        </w:rPr>
        <w:t>2.具体设备验收标准和程序按采购人要求执行，下列验收程序可参照执行：</w:t>
      </w:r>
      <w:bookmarkEnd w:id="38"/>
    </w:p>
    <w:p w14:paraId="35FFC8EB">
      <w:pPr>
        <w:spacing w:line="360" w:lineRule="auto"/>
        <w:ind w:firstLine="435"/>
        <w:rPr>
          <w:rFonts w:hint="eastAsia" w:asciiTheme="minorEastAsia" w:hAnsiTheme="minorEastAsia" w:eastAsiaTheme="minorEastAsia"/>
          <w:color w:val="auto"/>
          <w:sz w:val="24"/>
          <w:highlight w:val="none"/>
        </w:rPr>
      </w:pPr>
      <w:bookmarkStart w:id="39" w:name="_Toc30674"/>
      <w:r>
        <w:rPr>
          <w:rFonts w:hint="eastAsia" w:asciiTheme="minorEastAsia" w:hAnsiTheme="minorEastAsia" w:eastAsiaTheme="minorEastAsia"/>
          <w:color w:val="auto"/>
          <w:sz w:val="24"/>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39"/>
    </w:p>
    <w:p w14:paraId="7FFCE704">
      <w:pPr>
        <w:spacing w:line="360" w:lineRule="auto"/>
        <w:ind w:firstLine="435"/>
        <w:rPr>
          <w:rFonts w:hint="eastAsia" w:asciiTheme="minorEastAsia" w:hAnsiTheme="minorEastAsia" w:eastAsiaTheme="minorEastAsia"/>
          <w:color w:val="auto"/>
          <w:sz w:val="24"/>
          <w:highlight w:val="none"/>
        </w:rPr>
      </w:pPr>
      <w:bookmarkStart w:id="40" w:name="_Toc29177"/>
      <w:r>
        <w:rPr>
          <w:rFonts w:hint="eastAsia" w:asciiTheme="minorEastAsia" w:hAnsiTheme="minorEastAsia" w:eastAsiaTheme="minorEastAsia"/>
          <w:color w:val="auto"/>
          <w:sz w:val="24"/>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40"/>
    </w:p>
    <w:p w14:paraId="4B8F0ABE">
      <w:pPr>
        <w:spacing w:line="360" w:lineRule="auto"/>
        <w:ind w:firstLine="435"/>
        <w:rPr>
          <w:rFonts w:hint="eastAsia" w:asciiTheme="minorEastAsia" w:hAnsiTheme="minorEastAsia" w:eastAsiaTheme="minorEastAsia"/>
          <w:color w:val="auto"/>
          <w:sz w:val="24"/>
          <w:highlight w:val="none"/>
        </w:rPr>
      </w:pPr>
      <w:bookmarkStart w:id="41" w:name="_Toc32497"/>
      <w:r>
        <w:rPr>
          <w:rFonts w:hint="eastAsia" w:asciiTheme="minorEastAsia" w:hAnsiTheme="minorEastAsia" w:eastAsiaTheme="minorEastAsia"/>
          <w:color w:val="auto"/>
          <w:sz w:val="24"/>
          <w:highlight w:val="none"/>
        </w:rPr>
        <w:t>2.3 中标人应根据采购人使用单位的技术要求提供相应的产品。由中标人所提供的设备部件间的连线和插接件均应视为设备内部器件，包含在相应的设备之中。</w:t>
      </w:r>
      <w:bookmarkEnd w:id="41"/>
    </w:p>
    <w:p w14:paraId="604341A4">
      <w:pPr>
        <w:spacing w:line="360" w:lineRule="auto"/>
        <w:ind w:firstLine="435"/>
        <w:rPr>
          <w:rFonts w:hint="eastAsia" w:asciiTheme="minorEastAsia" w:hAnsiTheme="minorEastAsia" w:eastAsiaTheme="minorEastAsia"/>
          <w:color w:val="auto"/>
          <w:sz w:val="24"/>
          <w:highlight w:val="none"/>
        </w:rPr>
      </w:pPr>
      <w:bookmarkStart w:id="42" w:name="_Toc18290"/>
      <w:r>
        <w:rPr>
          <w:rFonts w:hint="eastAsia" w:asciiTheme="minorEastAsia" w:hAnsiTheme="minorEastAsia" w:eastAsiaTheme="minorEastAsia"/>
          <w:color w:val="auto"/>
          <w:sz w:val="24"/>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42"/>
    </w:p>
    <w:p w14:paraId="459383D3">
      <w:pPr>
        <w:spacing w:line="360" w:lineRule="auto"/>
        <w:ind w:firstLine="435"/>
        <w:rPr>
          <w:rFonts w:hint="eastAsia" w:asciiTheme="minorEastAsia" w:hAnsiTheme="minorEastAsia" w:eastAsiaTheme="minorEastAsia"/>
          <w:color w:val="auto"/>
          <w:sz w:val="24"/>
          <w:highlight w:val="none"/>
        </w:rPr>
      </w:pPr>
      <w:bookmarkStart w:id="43" w:name="_Toc15010"/>
      <w:r>
        <w:rPr>
          <w:rFonts w:hint="eastAsia" w:asciiTheme="minorEastAsia" w:hAnsiTheme="minorEastAsia" w:eastAsiaTheme="minorEastAsia"/>
          <w:color w:val="auto"/>
          <w:sz w:val="24"/>
          <w:highlight w:val="none"/>
        </w:rPr>
        <w:t>2.5 中标人应向采购人提供安装调试过程中的各种文档资料,以便采购人今后能掌握操作和维护方法。</w:t>
      </w:r>
      <w:bookmarkEnd w:id="43"/>
    </w:p>
    <w:p w14:paraId="329D3185">
      <w:pPr>
        <w:spacing w:line="360" w:lineRule="auto"/>
        <w:ind w:firstLine="435"/>
        <w:rPr>
          <w:rFonts w:hint="eastAsia" w:ascii="宋体" w:hAnsi="宋体" w:eastAsia="宋体"/>
          <w:bCs/>
          <w:color w:val="auto"/>
          <w:sz w:val="24"/>
          <w:szCs w:val="18"/>
          <w:highlight w:val="none"/>
        </w:rPr>
      </w:pPr>
      <w:bookmarkStart w:id="44" w:name="_Toc27179"/>
      <w:r>
        <w:rPr>
          <w:rFonts w:hint="eastAsia" w:asciiTheme="minorEastAsia" w:hAnsiTheme="minorEastAsia" w:eastAsiaTheme="minorEastAsia"/>
          <w:color w:val="auto"/>
          <w:sz w:val="24"/>
          <w:highlight w:val="none"/>
        </w:rPr>
        <w:t>3、如设备在验收时有一个或多个指标未能达到要求而属于中标人责任时，则中标人自费采取有效措施，在采购人规定时间内使之达到保证指标。如在采购</w:t>
      </w:r>
      <w:r>
        <w:rPr>
          <w:rFonts w:hint="eastAsia" w:ascii="宋体" w:hAnsi="宋体" w:eastAsia="宋体"/>
          <w:bCs/>
          <w:color w:val="auto"/>
          <w:sz w:val="24"/>
          <w:szCs w:val="18"/>
          <w:highlight w:val="none"/>
        </w:rPr>
        <w:t>人</w:t>
      </w:r>
      <w:r>
        <w:rPr>
          <w:rFonts w:ascii="宋体" w:hAnsi="宋体" w:eastAsia="宋体"/>
          <w:bCs/>
          <w:color w:val="auto"/>
          <w:sz w:val="24"/>
          <w:szCs w:val="18"/>
          <w:highlight w:val="none"/>
        </w:rPr>
        <w:t>规定的时间内仍达不到合格标准时，则中标人应向采购人赔偿。</w:t>
      </w:r>
      <w:bookmarkEnd w:id="44"/>
    </w:p>
    <w:p w14:paraId="1A6F36F4">
      <w:pPr>
        <w:spacing w:line="360" w:lineRule="auto"/>
        <w:ind w:firstLine="437"/>
        <w:outlineLvl w:val="1"/>
        <w:rPr>
          <w:rFonts w:hint="eastAsia" w:ascii="宋体" w:hAnsi="宋体" w:eastAsia="宋体"/>
          <w:b/>
          <w:bCs/>
          <w:color w:val="auto"/>
          <w:sz w:val="24"/>
          <w:szCs w:val="18"/>
          <w:highlight w:val="none"/>
        </w:rPr>
      </w:pPr>
      <w:bookmarkStart w:id="45" w:name="_Toc12979"/>
      <w:bookmarkStart w:id="46" w:name="_Toc532199626"/>
      <w:r>
        <w:rPr>
          <w:rFonts w:hint="eastAsia" w:ascii="宋体" w:hAnsi="宋体" w:eastAsia="宋体"/>
          <w:b/>
          <w:bCs/>
          <w:color w:val="auto"/>
          <w:sz w:val="24"/>
          <w:szCs w:val="18"/>
          <w:highlight w:val="none"/>
        </w:rPr>
        <w:t>八、包装运输</w:t>
      </w:r>
      <w:bookmarkEnd w:id="34"/>
      <w:bookmarkEnd w:id="35"/>
      <w:bookmarkEnd w:id="36"/>
      <w:bookmarkEnd w:id="45"/>
      <w:bookmarkEnd w:id="46"/>
    </w:p>
    <w:p w14:paraId="1DC978E5">
      <w:pPr>
        <w:spacing w:line="360" w:lineRule="auto"/>
        <w:ind w:firstLine="435"/>
        <w:rPr>
          <w:rFonts w:hint="eastAsia" w:asciiTheme="minorEastAsia" w:hAnsiTheme="minorEastAsia" w:eastAsiaTheme="minorEastAsia"/>
          <w:color w:val="auto"/>
          <w:sz w:val="24"/>
          <w:highlight w:val="none"/>
        </w:rPr>
      </w:pPr>
      <w:bookmarkStart w:id="47" w:name="_Toc15459"/>
      <w:bookmarkStart w:id="48" w:name="_Toc455587279"/>
      <w:bookmarkStart w:id="49" w:name="_Toc455587095"/>
      <w:bookmarkStart w:id="50" w:name="_Toc445554754"/>
      <w:r>
        <w:rPr>
          <w:rFonts w:hint="eastAsia" w:asciiTheme="minorEastAsia" w:hAnsiTheme="minorEastAsia" w:eastAsiaTheme="minorEastAsia"/>
          <w:color w:val="auto"/>
          <w:sz w:val="24"/>
          <w:highlight w:val="none"/>
        </w:rPr>
        <w:t>1.中标人负责设备包装、办理运输和保险，将设备安全运抵交货地点。</w:t>
      </w:r>
      <w:bookmarkEnd w:id="47"/>
    </w:p>
    <w:p w14:paraId="5EDFC7C2">
      <w:pPr>
        <w:spacing w:line="360" w:lineRule="auto"/>
        <w:ind w:firstLine="435"/>
        <w:rPr>
          <w:rFonts w:hint="eastAsia" w:asciiTheme="minorEastAsia" w:hAnsiTheme="minorEastAsia" w:eastAsiaTheme="minorEastAsia"/>
          <w:color w:val="auto"/>
          <w:sz w:val="24"/>
          <w:highlight w:val="none"/>
        </w:rPr>
      </w:pPr>
      <w:bookmarkStart w:id="51" w:name="_Toc31594"/>
      <w:r>
        <w:rPr>
          <w:rFonts w:hint="eastAsia" w:asciiTheme="minorEastAsia" w:hAnsiTheme="minorEastAsia" w:eastAsiaTheme="minorEastAsia"/>
          <w:color w:val="auto"/>
          <w:sz w:val="24"/>
          <w:highlight w:val="none"/>
        </w:rPr>
        <w:t>2.设备制造完成并通过试验后应及时包装，否则应得到切实的保护，确保其不受污损。</w:t>
      </w:r>
      <w:bookmarkEnd w:id="51"/>
    </w:p>
    <w:p w14:paraId="4340AF8B">
      <w:pPr>
        <w:spacing w:line="360" w:lineRule="auto"/>
        <w:ind w:firstLine="435"/>
        <w:rPr>
          <w:rFonts w:hint="eastAsia" w:asciiTheme="minorEastAsia" w:hAnsiTheme="minorEastAsia" w:eastAsiaTheme="minorEastAsia"/>
          <w:color w:val="auto"/>
          <w:sz w:val="24"/>
          <w:highlight w:val="none"/>
        </w:rPr>
      </w:pPr>
      <w:bookmarkStart w:id="52" w:name="_Toc22595"/>
      <w:r>
        <w:rPr>
          <w:rFonts w:hint="eastAsia" w:asciiTheme="minorEastAsia" w:hAnsiTheme="minorEastAsia" w:eastAsiaTheme="minorEastAsia"/>
          <w:color w:val="auto"/>
          <w:sz w:val="24"/>
          <w:highlight w:val="none"/>
        </w:rPr>
        <w:t>3.在包装箱外应标明采购人的订货号、发货号。</w:t>
      </w:r>
      <w:bookmarkEnd w:id="52"/>
    </w:p>
    <w:p w14:paraId="16A19253">
      <w:pPr>
        <w:spacing w:line="360" w:lineRule="auto"/>
        <w:ind w:firstLine="435"/>
        <w:rPr>
          <w:rFonts w:hint="eastAsia" w:asciiTheme="minorEastAsia" w:hAnsiTheme="minorEastAsia" w:eastAsiaTheme="minorEastAsia"/>
          <w:color w:val="auto"/>
          <w:sz w:val="24"/>
          <w:highlight w:val="none"/>
        </w:rPr>
      </w:pPr>
      <w:bookmarkStart w:id="53" w:name="_Toc10587"/>
      <w:r>
        <w:rPr>
          <w:rFonts w:hint="eastAsia" w:asciiTheme="minorEastAsia" w:hAnsiTheme="minorEastAsia" w:eastAsiaTheme="minorEastAsia"/>
          <w:color w:val="auto"/>
          <w:sz w:val="24"/>
          <w:highlight w:val="none"/>
        </w:rPr>
        <w:t>4.各种包装应能确保各零部件在运输过程中不致遭到损坏、丢失、变形、受潮和腐蚀。</w:t>
      </w:r>
      <w:bookmarkEnd w:id="53"/>
    </w:p>
    <w:p w14:paraId="6A0A6C90">
      <w:pPr>
        <w:spacing w:line="360" w:lineRule="auto"/>
        <w:ind w:firstLine="435"/>
        <w:rPr>
          <w:rFonts w:hint="eastAsia" w:asciiTheme="minorEastAsia" w:hAnsiTheme="minorEastAsia" w:eastAsiaTheme="minorEastAsia"/>
          <w:color w:val="auto"/>
          <w:sz w:val="24"/>
          <w:highlight w:val="none"/>
        </w:rPr>
      </w:pPr>
      <w:bookmarkStart w:id="54" w:name="_Toc7895"/>
      <w:r>
        <w:rPr>
          <w:rFonts w:hint="eastAsia" w:asciiTheme="minorEastAsia" w:hAnsiTheme="minorEastAsia" w:eastAsiaTheme="minorEastAsia"/>
          <w:color w:val="auto"/>
          <w:sz w:val="24"/>
          <w:highlight w:val="none"/>
        </w:rPr>
        <w:t>5.包装箱上应有明显的包装储运图示标志。</w:t>
      </w:r>
      <w:bookmarkEnd w:id="54"/>
    </w:p>
    <w:p w14:paraId="6AEC785F">
      <w:pPr>
        <w:spacing w:line="360" w:lineRule="auto"/>
        <w:ind w:firstLine="435"/>
        <w:rPr>
          <w:rFonts w:hint="eastAsia" w:asciiTheme="minorEastAsia" w:hAnsiTheme="minorEastAsia" w:eastAsiaTheme="minorEastAsia"/>
          <w:color w:val="auto"/>
          <w:sz w:val="24"/>
          <w:highlight w:val="none"/>
        </w:rPr>
      </w:pPr>
      <w:bookmarkStart w:id="55" w:name="_Toc25866"/>
      <w:r>
        <w:rPr>
          <w:rFonts w:hint="eastAsia" w:asciiTheme="minorEastAsia" w:hAnsiTheme="minorEastAsia" w:eastAsiaTheme="minorEastAsia"/>
          <w:color w:val="auto"/>
          <w:sz w:val="24"/>
          <w:highlight w:val="none"/>
        </w:rPr>
        <w:t>6.整体产品或分别运输的部件都要适应运输和装载的要求。</w:t>
      </w:r>
      <w:bookmarkEnd w:id="55"/>
    </w:p>
    <w:p w14:paraId="4D9369E0">
      <w:pPr>
        <w:spacing w:line="360" w:lineRule="auto"/>
        <w:ind w:firstLine="435"/>
        <w:rPr>
          <w:rFonts w:hint="eastAsia" w:asciiTheme="minorEastAsia" w:hAnsiTheme="minorEastAsia" w:eastAsiaTheme="minorEastAsia"/>
          <w:color w:val="auto"/>
          <w:sz w:val="24"/>
          <w:highlight w:val="none"/>
        </w:rPr>
      </w:pPr>
      <w:bookmarkStart w:id="56" w:name="_Toc15280"/>
      <w:r>
        <w:rPr>
          <w:rFonts w:hint="eastAsia" w:asciiTheme="minorEastAsia" w:hAnsiTheme="minorEastAsia" w:eastAsiaTheme="minorEastAsia"/>
          <w:color w:val="auto"/>
          <w:sz w:val="24"/>
          <w:highlight w:val="none"/>
        </w:rPr>
        <w:t>7.随产品提供的技术资料应完整无缺。</w:t>
      </w:r>
      <w:bookmarkEnd w:id="56"/>
    </w:p>
    <w:p w14:paraId="207710CD">
      <w:pPr>
        <w:spacing w:line="360" w:lineRule="auto"/>
        <w:ind w:firstLine="437"/>
        <w:outlineLvl w:val="1"/>
        <w:rPr>
          <w:rFonts w:hint="eastAsia" w:ascii="宋体" w:hAnsi="宋体" w:eastAsia="宋体"/>
          <w:b/>
          <w:bCs/>
          <w:color w:val="auto"/>
          <w:sz w:val="24"/>
          <w:szCs w:val="18"/>
          <w:highlight w:val="none"/>
        </w:rPr>
      </w:pPr>
      <w:bookmarkStart w:id="57" w:name="_Toc532199627"/>
      <w:bookmarkStart w:id="58" w:name="_Toc9328"/>
      <w:r>
        <w:rPr>
          <w:rFonts w:hint="eastAsia" w:ascii="宋体" w:hAnsi="宋体" w:eastAsia="宋体"/>
          <w:b/>
          <w:bCs/>
          <w:color w:val="auto"/>
          <w:sz w:val="24"/>
          <w:szCs w:val="18"/>
          <w:highlight w:val="none"/>
          <w:lang w:val="en-US" w:eastAsia="zh-CN"/>
        </w:rPr>
        <w:t>九</w:t>
      </w:r>
      <w:r>
        <w:rPr>
          <w:rFonts w:hint="eastAsia" w:ascii="宋体" w:hAnsi="宋体" w:eastAsia="宋体"/>
          <w:b/>
          <w:bCs/>
          <w:color w:val="auto"/>
          <w:sz w:val="24"/>
          <w:szCs w:val="18"/>
          <w:highlight w:val="none"/>
        </w:rPr>
        <w:t>、技术培训</w:t>
      </w:r>
      <w:bookmarkEnd w:id="48"/>
      <w:bookmarkEnd w:id="49"/>
      <w:bookmarkEnd w:id="50"/>
      <w:bookmarkEnd w:id="57"/>
      <w:bookmarkEnd w:id="58"/>
    </w:p>
    <w:p w14:paraId="0E2B274B">
      <w:pPr>
        <w:spacing w:line="360" w:lineRule="auto"/>
        <w:ind w:firstLine="435"/>
        <w:rPr>
          <w:rFonts w:hint="eastAsia" w:asciiTheme="minorEastAsia" w:hAnsiTheme="minorEastAsia" w:eastAsiaTheme="minorEastAsia"/>
          <w:color w:val="auto"/>
          <w:sz w:val="24"/>
          <w:highlight w:val="none"/>
        </w:rPr>
      </w:pPr>
      <w:bookmarkStart w:id="59" w:name="_Toc10953"/>
      <w:r>
        <w:rPr>
          <w:rFonts w:hint="eastAsia" w:asciiTheme="minorEastAsia" w:hAnsiTheme="minorEastAsia" w:eastAsiaTheme="minorEastAsia"/>
          <w:color w:val="auto"/>
          <w:sz w:val="24"/>
          <w:highlight w:val="none"/>
        </w:rPr>
        <w:t>1.为使合同设备能正常安装和运行，由中标人提供相应的技术培训，培训费用包含在投标报价内。</w:t>
      </w:r>
      <w:bookmarkEnd w:id="59"/>
    </w:p>
    <w:p w14:paraId="6906F5E1">
      <w:pPr>
        <w:spacing w:line="360" w:lineRule="auto"/>
        <w:ind w:firstLine="435"/>
        <w:rPr>
          <w:rFonts w:hint="eastAsia" w:asciiTheme="minorEastAsia" w:hAnsiTheme="minorEastAsia" w:eastAsiaTheme="minorEastAsia"/>
          <w:color w:val="auto"/>
          <w:sz w:val="24"/>
          <w:highlight w:val="none"/>
        </w:rPr>
      </w:pPr>
      <w:bookmarkStart w:id="60" w:name="_Toc480"/>
      <w:r>
        <w:rPr>
          <w:rFonts w:hint="eastAsia" w:asciiTheme="minorEastAsia" w:hAnsiTheme="minorEastAsia" w:eastAsiaTheme="minorEastAsia"/>
          <w:color w:val="auto"/>
          <w:sz w:val="24"/>
          <w:highlight w:val="none"/>
        </w:rPr>
        <w:t>2.培训的时间、人数、地点等具体内容由买卖双方商定，内容至少包括：设备原理、使用、维护、运行操作、常见故障处理等。</w:t>
      </w:r>
      <w:bookmarkEnd w:id="60"/>
    </w:p>
    <w:p w14:paraId="7DB9512D">
      <w:pPr>
        <w:spacing w:line="360" w:lineRule="auto"/>
        <w:ind w:firstLine="437"/>
        <w:outlineLvl w:val="1"/>
        <w:rPr>
          <w:rFonts w:hint="eastAsia" w:ascii="宋体" w:hAnsi="宋体" w:eastAsia="宋体"/>
          <w:b/>
          <w:bCs/>
          <w:color w:val="auto"/>
          <w:sz w:val="24"/>
          <w:szCs w:val="18"/>
          <w:highlight w:val="none"/>
        </w:rPr>
      </w:pPr>
      <w:bookmarkStart w:id="61" w:name="_Toc31334"/>
      <w:bookmarkStart w:id="62" w:name="_Toc532199628"/>
      <w:r>
        <w:rPr>
          <w:rFonts w:hint="eastAsia" w:ascii="宋体" w:hAnsi="宋体" w:eastAsia="宋体"/>
          <w:b/>
          <w:bCs/>
          <w:color w:val="auto"/>
          <w:sz w:val="24"/>
          <w:szCs w:val="18"/>
          <w:highlight w:val="none"/>
          <w:lang w:val="en-US" w:eastAsia="zh-CN"/>
        </w:rPr>
        <w:t>十</w:t>
      </w:r>
      <w:r>
        <w:rPr>
          <w:rFonts w:hint="eastAsia" w:ascii="宋体" w:hAnsi="宋体" w:eastAsia="宋体"/>
          <w:b/>
          <w:bCs/>
          <w:color w:val="auto"/>
          <w:sz w:val="24"/>
          <w:szCs w:val="18"/>
          <w:highlight w:val="none"/>
        </w:rPr>
        <w:t>、质保及售后服务</w:t>
      </w:r>
      <w:bookmarkEnd w:id="61"/>
    </w:p>
    <w:p w14:paraId="0D059B2A">
      <w:pPr>
        <w:spacing w:line="360" w:lineRule="auto"/>
        <w:ind w:firstLine="435"/>
        <w:rPr>
          <w:rFonts w:hint="eastAsia" w:asciiTheme="minorEastAsia" w:hAnsiTheme="minorEastAsia" w:eastAsiaTheme="minorEastAsia"/>
          <w:color w:val="auto"/>
          <w:sz w:val="24"/>
          <w:highlight w:val="none"/>
        </w:rPr>
      </w:pPr>
      <w:bookmarkStart w:id="63" w:name="_Toc8928"/>
      <w:r>
        <w:rPr>
          <w:rFonts w:hint="eastAsia" w:asciiTheme="minorEastAsia" w:hAnsiTheme="minorEastAsia" w:eastAsiaTheme="minorEastAsia"/>
          <w:color w:val="auto"/>
          <w:sz w:val="24"/>
          <w:highlight w:val="none"/>
        </w:rPr>
        <w:t>1.自双方签订《验收报告》起进入质保期。</w:t>
      </w:r>
      <w:bookmarkEnd w:id="63"/>
    </w:p>
    <w:p w14:paraId="369B564A">
      <w:pPr>
        <w:spacing w:line="360" w:lineRule="auto"/>
        <w:ind w:firstLine="435"/>
        <w:rPr>
          <w:rFonts w:hint="eastAsia" w:asciiTheme="minorEastAsia" w:hAnsiTheme="minorEastAsia" w:eastAsiaTheme="minorEastAsia"/>
          <w:b/>
          <w:bCs/>
          <w:color w:val="auto"/>
          <w:sz w:val="24"/>
          <w:highlight w:val="none"/>
        </w:rPr>
      </w:pPr>
      <w:bookmarkStart w:id="64" w:name="_Toc4351"/>
      <w:r>
        <w:rPr>
          <w:rFonts w:hint="eastAsia" w:asciiTheme="minorEastAsia" w:hAnsiTheme="minorEastAsia" w:eastAsiaTheme="minorEastAsia"/>
          <w:b/>
          <w:bCs/>
          <w:color w:val="auto"/>
          <w:sz w:val="24"/>
          <w:highlight w:val="none"/>
        </w:rPr>
        <w:t>2.响应时间要求：中标人在接到采购人报修通知后须在0.5小时内响应，且1小时内维修人员到场（包括非工作日、节假日）。</w:t>
      </w:r>
      <w:bookmarkEnd w:id="64"/>
    </w:p>
    <w:p w14:paraId="6F5A5418">
      <w:pPr>
        <w:spacing w:line="360" w:lineRule="auto"/>
        <w:ind w:firstLine="435"/>
        <w:rPr>
          <w:rFonts w:hint="eastAsia" w:asciiTheme="minorEastAsia" w:hAnsiTheme="minorEastAsia" w:eastAsiaTheme="minorEastAsia"/>
          <w:color w:val="auto"/>
          <w:sz w:val="24"/>
          <w:highlight w:val="none"/>
        </w:rPr>
      </w:pPr>
      <w:bookmarkStart w:id="65" w:name="_Toc30444"/>
      <w:r>
        <w:rPr>
          <w:rFonts w:hint="eastAsia" w:asciiTheme="minorEastAsia" w:hAnsiTheme="minorEastAsia" w:eastAsiaTheme="minorEastAsia"/>
          <w:color w:val="auto"/>
          <w:sz w:val="24"/>
          <w:highlight w:val="none"/>
        </w:rPr>
        <w:t>3.在质保期间内，非采购人过失和故意并且在正常使用的情况下发现商品有缺陷，中标人应修理或替换该设备；在质保期间内，非采购人过失和故意并且在正常使用的情况下设备发生故障，中标人应及时提供服务。</w:t>
      </w:r>
      <w:bookmarkEnd w:id="62"/>
      <w:bookmarkEnd w:id="65"/>
    </w:p>
    <w:p w14:paraId="4A8BADF3">
      <w:pPr>
        <w:rPr>
          <w:color w:val="auto"/>
          <w:highlight w:val="none"/>
        </w:rPr>
      </w:pPr>
    </w:p>
    <w:bookmarkEnd w:id="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3B0664"/>
    <w:rsid w:val="2992286A"/>
    <w:rsid w:val="463B0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2668</Words>
  <Characters>2735</Characters>
  <Lines>0</Lines>
  <Paragraphs>0</Paragraphs>
  <TotalTime>0</TotalTime>
  <ScaleCrop>false</ScaleCrop>
  <LinksUpToDate>false</LinksUpToDate>
  <CharactersWithSpaces>2757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2026-08-07T12:11:00Z</dcterms:created>
  <dc:creator>省招</dc:creator>
  <cp:lastModifiedBy>省招</cp:lastModifiedBy>
  <dcterms:modified xsi:type="dcterms:W3CDTF">2026-08-07T12:16:40Z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66233A1C533E4FD99FB13D745336B374_11</vt:lpwstr>
  </property>
  <property fmtid="{D5CDD505-2E9C-101B-9397-08002B2CF9AE}" pid="4" name="KSOTemplateDocerSaveRecord">
    <vt:lpwstr>eyJoZGlkIjoiMjFlNDcxMzhjZTVlNDBjMzBjMjM4MDQwMDM2MDcyZTEiLCJ1c2VySWQiOiI4ODgyMDUxMzUifQ==</vt:lpwstr>
  </property>
</Properties>
</file>