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3251056">
      <w:pPr>
        <w:pStyle w:val="2"/>
        <w:widowControl/>
        <w:snapToGrid w:val="0"/>
        <w:spacing w:before="0" w:after="0" w:line="360" w:lineRule="auto"/>
        <w:jc w:val="center"/>
        <w:rPr>
          <w:rFonts w:hint="eastAsia" w:ascii="宋体" w:hAnsi="宋体"/>
          <w:color w:val="000000"/>
        </w:rPr>
      </w:pPr>
      <w:bookmarkStart w:id="0" w:name="_Toc8946"/>
      <w:r>
        <w:rPr>
          <w:rFonts w:hint="eastAsia" w:ascii="宋体" w:hAnsi="宋体"/>
          <w:color w:val="000000"/>
        </w:rPr>
        <w:t>第三章  采购需求及技术规格要求</w:t>
      </w:r>
      <w:bookmarkEnd w:id="0"/>
    </w:p>
    <w:p w14:paraId="0925DAD0">
      <w:pPr>
        <w:pStyle w:val="3"/>
        <w:spacing w:before="0" w:after="0" w:line="360" w:lineRule="auto"/>
        <w:rPr>
          <w:rFonts w:hint="eastAsia" w:ascii="仿宋" w:hAnsi="仿宋" w:eastAsia="仿宋" w:cs="仿宋"/>
          <w:b w:val="0"/>
          <w:bCs w:val="0"/>
          <w:color w:val="000000"/>
          <w:sz w:val="24"/>
          <w:szCs w:val="24"/>
        </w:rPr>
      </w:pPr>
      <w:r>
        <w:rPr>
          <w:rFonts w:hint="eastAsia" w:ascii="仿宋" w:hAnsi="仿宋" w:eastAsia="仿宋" w:cs="仿宋"/>
          <w:b w:val="0"/>
          <w:bCs w:val="0"/>
          <w:color w:val="000000"/>
          <w:sz w:val="24"/>
          <w:szCs w:val="24"/>
        </w:rPr>
        <w:t>总则：</w:t>
      </w:r>
    </w:p>
    <w:p w14:paraId="6E1EDFEA">
      <w:pPr>
        <w:widowControl/>
        <w:tabs>
          <w:tab w:val="left" w:pos="1406"/>
        </w:tabs>
        <w:snapToGrid w:val="0"/>
        <w:spacing w:line="360" w:lineRule="auto"/>
        <w:ind w:firstLine="480" w:firstLineChars="200"/>
        <w:rPr>
          <w:rFonts w:hint="eastAsia" w:ascii="仿宋" w:hAnsi="仿宋" w:eastAsia="仿宋" w:cs="仿宋"/>
          <w:color w:val="000000"/>
          <w:sz w:val="24"/>
        </w:rPr>
      </w:pPr>
      <w:r>
        <w:rPr>
          <w:rFonts w:hint="eastAsia" w:ascii="仿宋" w:hAnsi="仿宋" w:eastAsia="仿宋" w:cs="仿宋"/>
          <w:color w:val="000000"/>
          <w:sz w:val="24"/>
        </w:rPr>
        <w:t>1.1 本技术规格所提出的要求是对本次招标货物的基本技术要求，并未涉及所有技术细节，也未充分引述有关标准、规范的全部条款。投标人应保证其提供的货物除了满足本技术规格的要求外，还应符合中国国家、行业、地方或设备制造商所在国的有关标准、规范（尤其是必须符合中国国家标准的有关强制性规定)。</w:t>
      </w:r>
    </w:p>
    <w:p w14:paraId="3AF20365">
      <w:pPr>
        <w:pStyle w:val="9"/>
        <w:spacing w:line="360" w:lineRule="auto"/>
        <w:ind w:firstLine="480" w:firstLineChars="200"/>
        <w:rPr>
          <w:rFonts w:hint="eastAsia" w:ascii="仿宋" w:hAnsi="仿宋" w:eastAsia="仿宋" w:cs="仿宋"/>
          <w:b/>
          <w:bCs/>
          <w:color w:val="000000"/>
          <w:sz w:val="24"/>
          <w:szCs w:val="24"/>
        </w:rPr>
      </w:pPr>
      <w:r>
        <w:rPr>
          <w:rFonts w:hint="eastAsia" w:ascii="仿宋" w:hAnsi="仿宋" w:eastAsia="仿宋" w:cs="仿宋"/>
          <w:color w:val="000000"/>
          <w:sz w:val="24"/>
          <w:szCs w:val="24"/>
        </w:rPr>
        <w:t>1.2 中标产品的名称、品牌、规格型号、数量、单价等将予以公布。</w:t>
      </w:r>
    </w:p>
    <w:p w14:paraId="044CB8E1">
      <w:pPr>
        <w:wordWrap w:val="0"/>
        <w:spacing w:line="360" w:lineRule="auto"/>
        <w:jc w:val="left"/>
        <w:rPr>
          <w:rFonts w:hint="eastAsia" w:ascii="仿宋" w:hAnsi="仿宋" w:eastAsia="仿宋" w:cs="仿宋"/>
          <w:b/>
          <w:color w:val="000000"/>
          <w:sz w:val="24"/>
        </w:rPr>
      </w:pPr>
      <w:r>
        <w:rPr>
          <w:rFonts w:hint="eastAsia" w:ascii="仿宋" w:hAnsi="仿宋" w:eastAsia="仿宋" w:cs="仿宋"/>
          <w:b/>
          <w:color w:val="000000"/>
          <w:sz w:val="24"/>
        </w:rPr>
        <w:t>一、第1-6包商务条款：</w:t>
      </w:r>
    </w:p>
    <w:tbl>
      <w:tblPr>
        <w:tblStyle w:val="7"/>
        <w:tblW w:w="0" w:type="auto"/>
        <w:tblInd w:w="9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80"/>
        <w:gridCol w:w="1645"/>
        <w:gridCol w:w="6100"/>
      </w:tblGrid>
      <w:tr w14:paraId="30C299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</w:trPr>
        <w:tc>
          <w:tcPr>
            <w:tcW w:w="740" w:type="dxa"/>
            <w:noWrap w:val="0"/>
            <w:vAlign w:val="center"/>
          </w:tcPr>
          <w:p w14:paraId="7B7AD198">
            <w:pPr>
              <w:wordWrap w:val="0"/>
              <w:spacing w:line="360" w:lineRule="auto"/>
              <w:jc w:val="center"/>
              <w:rPr>
                <w:rFonts w:hint="eastAsia" w:ascii="仿宋" w:hAnsi="仿宋" w:eastAsia="仿宋" w:cs="仿宋"/>
                <w:b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sz w:val="24"/>
              </w:rPr>
              <w:t>序号</w:t>
            </w:r>
          </w:p>
        </w:tc>
        <w:tc>
          <w:tcPr>
            <w:tcW w:w="9016" w:type="dxa"/>
            <w:gridSpan w:val="2"/>
            <w:noWrap w:val="0"/>
            <w:vAlign w:val="center"/>
          </w:tcPr>
          <w:p w14:paraId="0DF6DDD2">
            <w:pPr>
              <w:wordWrap w:val="0"/>
              <w:spacing w:line="360" w:lineRule="auto"/>
              <w:ind w:firstLine="2891" w:firstLineChars="1200"/>
              <w:jc w:val="left"/>
              <w:rPr>
                <w:rFonts w:hint="eastAsia" w:ascii="仿宋" w:hAnsi="仿宋" w:eastAsia="仿宋" w:cs="仿宋"/>
                <w:b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sz w:val="24"/>
              </w:rPr>
              <w:t>商务条款内容</w:t>
            </w:r>
          </w:p>
        </w:tc>
      </w:tr>
      <w:tr w14:paraId="29B3D2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</w:trPr>
        <w:tc>
          <w:tcPr>
            <w:tcW w:w="740" w:type="dxa"/>
            <w:noWrap w:val="0"/>
            <w:vAlign w:val="center"/>
          </w:tcPr>
          <w:p w14:paraId="00CD89DE">
            <w:pPr>
              <w:wordWrap w:val="0"/>
              <w:spacing w:line="360" w:lineRule="auto"/>
              <w:jc w:val="center"/>
              <w:rPr>
                <w:rFonts w:hint="eastAsia" w:ascii="仿宋" w:hAnsi="仿宋" w:eastAsia="仿宋" w:cs="仿宋"/>
                <w:b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sz w:val="24"/>
              </w:rPr>
              <w:t>1</w:t>
            </w:r>
          </w:p>
        </w:tc>
        <w:tc>
          <w:tcPr>
            <w:tcW w:w="1800" w:type="dxa"/>
            <w:vMerge w:val="restart"/>
            <w:noWrap w:val="0"/>
            <w:vAlign w:val="center"/>
          </w:tcPr>
          <w:p w14:paraId="6CC4B8AC">
            <w:pPr>
              <w:wordWrap w:val="0"/>
              <w:spacing w:line="360" w:lineRule="auto"/>
              <w:jc w:val="center"/>
              <w:rPr>
                <w:rFonts w:hint="eastAsia" w:ascii="仿宋" w:hAnsi="仿宋" w:eastAsia="仿宋" w:cs="仿宋"/>
                <w:b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sz w:val="24"/>
              </w:rPr>
              <w:t>如是依法纳入医疗器械管理的须具有：</w:t>
            </w:r>
          </w:p>
        </w:tc>
        <w:tc>
          <w:tcPr>
            <w:tcW w:w="7216" w:type="dxa"/>
            <w:noWrap w:val="0"/>
            <w:vAlign w:val="center"/>
          </w:tcPr>
          <w:p w14:paraId="0142EA64">
            <w:pPr>
              <w:wordWrap w:val="0"/>
              <w:spacing w:line="360" w:lineRule="auto"/>
              <w:jc w:val="left"/>
              <w:rPr>
                <w:rFonts w:hint="eastAsia" w:ascii="仿宋" w:hAnsi="仿宋" w:eastAsia="仿宋" w:cs="仿宋"/>
                <w:b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sz w:val="24"/>
              </w:rPr>
              <w:t>投标人为制造商的，须具有相应的医疗器械生产备案获取的备案编号（属于一类时）。</w:t>
            </w:r>
          </w:p>
        </w:tc>
      </w:tr>
      <w:tr w14:paraId="57E7D9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7" w:hRule="atLeast"/>
        </w:trPr>
        <w:tc>
          <w:tcPr>
            <w:tcW w:w="740" w:type="dxa"/>
            <w:noWrap w:val="0"/>
            <w:vAlign w:val="center"/>
          </w:tcPr>
          <w:p w14:paraId="5AA3EEBB">
            <w:pPr>
              <w:wordWrap w:val="0"/>
              <w:spacing w:line="360" w:lineRule="auto"/>
              <w:jc w:val="center"/>
              <w:rPr>
                <w:rFonts w:hint="eastAsia" w:ascii="仿宋" w:hAnsi="仿宋" w:eastAsia="仿宋" w:cs="仿宋"/>
                <w:b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sz w:val="24"/>
              </w:rPr>
              <w:t>2</w:t>
            </w:r>
          </w:p>
        </w:tc>
        <w:tc>
          <w:tcPr>
            <w:tcW w:w="1800" w:type="dxa"/>
            <w:vMerge w:val="continue"/>
            <w:noWrap w:val="0"/>
            <w:vAlign w:val="top"/>
          </w:tcPr>
          <w:p w14:paraId="4E80C299">
            <w:pPr>
              <w:wordWrap w:val="0"/>
              <w:spacing w:line="360" w:lineRule="auto"/>
              <w:jc w:val="center"/>
              <w:rPr>
                <w:rFonts w:hint="eastAsia" w:ascii="仿宋" w:hAnsi="仿宋" w:eastAsia="仿宋" w:cs="仿宋"/>
                <w:b/>
                <w:bCs/>
                <w:kern w:val="0"/>
                <w:sz w:val="24"/>
              </w:rPr>
            </w:pPr>
          </w:p>
        </w:tc>
        <w:tc>
          <w:tcPr>
            <w:tcW w:w="7216" w:type="dxa"/>
            <w:noWrap w:val="0"/>
            <w:vAlign w:val="top"/>
          </w:tcPr>
          <w:p w14:paraId="280FDC85">
            <w:pPr>
              <w:pStyle w:val="10"/>
              <w:spacing w:line="360" w:lineRule="auto"/>
              <w:jc w:val="left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投标人须具有与投标产品相应的有效经营备案编号（属于二类时）；（如本次投标产品的注册人、备案人在其住所或者生产地址销售的，无需再办理医疗器械经营许可或备案。）。</w:t>
            </w:r>
          </w:p>
        </w:tc>
      </w:tr>
      <w:tr w14:paraId="4DA760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40" w:type="dxa"/>
            <w:noWrap w:val="0"/>
            <w:vAlign w:val="center"/>
          </w:tcPr>
          <w:p w14:paraId="629BACB7">
            <w:pPr>
              <w:wordWrap w:val="0"/>
              <w:spacing w:line="360" w:lineRule="auto"/>
              <w:jc w:val="center"/>
              <w:rPr>
                <w:rFonts w:hint="eastAsia" w:ascii="仿宋" w:hAnsi="仿宋" w:eastAsia="仿宋" w:cs="仿宋"/>
                <w:b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sz w:val="24"/>
              </w:rPr>
              <w:t>3</w:t>
            </w:r>
          </w:p>
        </w:tc>
        <w:tc>
          <w:tcPr>
            <w:tcW w:w="1800" w:type="dxa"/>
            <w:vMerge w:val="continue"/>
            <w:noWrap w:val="0"/>
            <w:vAlign w:val="top"/>
          </w:tcPr>
          <w:p w14:paraId="2DD02AF9">
            <w:pPr>
              <w:wordWrap w:val="0"/>
              <w:spacing w:line="360" w:lineRule="auto"/>
              <w:jc w:val="center"/>
              <w:rPr>
                <w:rFonts w:hint="eastAsia" w:ascii="仿宋" w:hAnsi="仿宋" w:eastAsia="仿宋" w:cs="仿宋"/>
                <w:b/>
                <w:bCs/>
                <w:kern w:val="0"/>
                <w:sz w:val="24"/>
              </w:rPr>
            </w:pPr>
          </w:p>
        </w:tc>
        <w:tc>
          <w:tcPr>
            <w:tcW w:w="7216" w:type="dxa"/>
            <w:noWrap w:val="0"/>
            <w:vAlign w:val="top"/>
          </w:tcPr>
          <w:p w14:paraId="3E4D4952">
            <w:pPr>
              <w:pStyle w:val="5"/>
              <w:spacing w:before="0" w:beforeAutospacing="0" w:after="0" w:afterAutospacing="0" w:line="360" w:lineRule="auto"/>
              <w:rPr>
                <w:rFonts w:hint="eastAsia" w:ascii="仿宋" w:hAnsi="仿宋" w:eastAsia="仿宋" w:cs="仿宋"/>
                <w:b/>
                <w:bCs/>
                <w:color w:val="auto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</w:rPr>
              <w:t>投标产品须具有有效的医疗器械注册证（属于二类、三类时）；投标产品纳入备案管理时（属于一类时），须在投标文件中提供备案材料或承诺函（承诺在合同签订前提供所投产品的备案证明材料，若未按规定提供视为自动放弃中标资格）。</w:t>
            </w:r>
          </w:p>
        </w:tc>
      </w:tr>
      <w:tr w14:paraId="0ED6D1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40" w:type="dxa"/>
            <w:noWrap w:val="0"/>
            <w:vAlign w:val="center"/>
          </w:tcPr>
          <w:p w14:paraId="08577321">
            <w:pPr>
              <w:wordWrap w:val="0"/>
              <w:spacing w:line="360" w:lineRule="auto"/>
              <w:jc w:val="center"/>
              <w:rPr>
                <w:rFonts w:hint="eastAsia" w:ascii="仿宋" w:hAnsi="仿宋" w:eastAsia="仿宋" w:cs="仿宋"/>
                <w:b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sz w:val="24"/>
              </w:rPr>
              <w:t>4</w:t>
            </w:r>
          </w:p>
        </w:tc>
        <w:tc>
          <w:tcPr>
            <w:tcW w:w="9016" w:type="dxa"/>
            <w:gridSpan w:val="2"/>
            <w:noWrap w:val="0"/>
            <w:vAlign w:val="top"/>
          </w:tcPr>
          <w:p w14:paraId="15A118A3">
            <w:pPr>
              <w:pStyle w:val="5"/>
              <w:spacing w:before="0" w:beforeAutospacing="0" w:after="0" w:afterAutospacing="0" w:line="360" w:lineRule="auto"/>
              <w:rPr>
                <w:rFonts w:hint="eastAsia" w:ascii="仿宋" w:hAnsi="仿宋" w:eastAsia="仿宋" w:cs="仿宋"/>
                <w:b/>
                <w:bCs/>
                <w:color w:val="auto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</w:rPr>
              <w:t>中标人需负责在项目安装地点进行所投设备的安装调试工作，并现场测试。在安装和调试期间，如发现设备或材料有缺陷或损坏，中标人应尽快更换，相关费用均包含在本次投标报价中。中标人在维护期内应提供现场、电话、传真或电子邮件方式为采购人提供技术支持，要求中标人应在有稳定的技术支撑与服务能力，并且在设备发生故障时2小时内响应。中标人在项目验收合格后，负责对所投设备组织操作使用培训，培训地点、人员由采购人指定。</w:t>
            </w:r>
          </w:p>
        </w:tc>
      </w:tr>
    </w:tbl>
    <w:p w14:paraId="3D3263EF">
      <w:pPr>
        <w:rPr>
          <w:rFonts w:hint="eastAsia" w:ascii="仿宋" w:hAnsi="仿宋" w:eastAsia="仿宋" w:cs="仿宋"/>
          <w:b/>
          <w:sz w:val="24"/>
        </w:rPr>
      </w:pPr>
      <w:r>
        <w:rPr>
          <w:rFonts w:hint="eastAsia" w:ascii="仿宋" w:hAnsi="仿宋" w:eastAsia="仿宋" w:cs="仿宋"/>
          <w:b/>
          <w:color w:val="000000"/>
          <w:sz w:val="24"/>
        </w:rPr>
        <w:t>注：上述</w:t>
      </w:r>
      <w:r>
        <w:rPr>
          <w:rFonts w:hint="eastAsia" w:ascii="仿宋" w:hAnsi="仿宋" w:eastAsia="仿宋" w:cs="仿宋"/>
          <w:b/>
          <w:sz w:val="24"/>
        </w:rPr>
        <w:t>商务条款必须全部满足，否则做无效标处理。</w:t>
      </w:r>
    </w:p>
    <w:p w14:paraId="79530D98">
      <w:pPr>
        <w:wordWrap w:val="0"/>
        <w:spacing w:line="360" w:lineRule="auto"/>
        <w:rPr>
          <w:rFonts w:hint="eastAsia" w:ascii="仿宋_GB2312" w:hAnsi="仿宋_GB2312" w:eastAsia="仿宋_GB2312" w:cs="仿宋_GB2312"/>
          <w:b/>
          <w:color w:val="000000"/>
          <w:sz w:val="24"/>
        </w:rPr>
      </w:pPr>
      <w:r>
        <w:rPr>
          <w:rFonts w:hint="eastAsia" w:ascii="仿宋" w:hAnsi="仿宋" w:eastAsia="仿宋" w:cs="仿宋"/>
          <w:b/>
          <w:color w:val="000000"/>
          <w:sz w:val="24"/>
        </w:rPr>
        <w:t>第6包</w:t>
      </w:r>
      <w:r>
        <w:rPr>
          <w:rFonts w:hint="eastAsia" w:ascii="仿宋" w:hAnsi="仿宋" w:eastAsia="仿宋" w:cs="仿宋"/>
          <w:b/>
          <w:bCs/>
          <w:kern w:val="44"/>
          <w:sz w:val="24"/>
        </w:rPr>
        <w:t>技术</w:t>
      </w:r>
      <w:r>
        <w:rPr>
          <w:rFonts w:hint="eastAsia" w:ascii="仿宋" w:hAnsi="仿宋" w:eastAsia="仿宋" w:cs="仿宋"/>
          <w:b/>
          <w:bCs/>
          <w:kern w:val="44"/>
          <w:sz w:val="24"/>
          <w:lang w:val="zh-CN"/>
        </w:rPr>
        <w:t>需求</w:t>
      </w:r>
      <w:r>
        <w:rPr>
          <w:rFonts w:hint="eastAsia" w:ascii="仿宋_GB2312" w:hAnsi="仿宋_GB2312" w:eastAsia="仿宋_GB2312" w:cs="仿宋_GB2312"/>
          <w:b/>
          <w:color w:val="000000"/>
          <w:sz w:val="24"/>
        </w:rPr>
        <w:t>重要性表述</w:t>
      </w:r>
    </w:p>
    <w:tbl>
      <w:tblPr>
        <w:tblStyle w:val="7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27"/>
        <w:gridCol w:w="1902"/>
        <w:gridCol w:w="4693"/>
      </w:tblGrid>
      <w:tr w14:paraId="5A6479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</w:trPr>
        <w:tc>
          <w:tcPr>
            <w:tcW w:w="2211" w:type="dxa"/>
            <w:noWrap w:val="0"/>
            <w:vAlign w:val="center"/>
          </w:tcPr>
          <w:p w14:paraId="1D9D0945">
            <w:pPr>
              <w:widowControl/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标识重要性</w:t>
            </w:r>
          </w:p>
        </w:tc>
        <w:tc>
          <w:tcPr>
            <w:tcW w:w="2180" w:type="dxa"/>
            <w:noWrap w:val="0"/>
            <w:vAlign w:val="center"/>
          </w:tcPr>
          <w:p w14:paraId="403654F7">
            <w:pPr>
              <w:widowControl/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标识符号</w:t>
            </w:r>
          </w:p>
        </w:tc>
        <w:tc>
          <w:tcPr>
            <w:tcW w:w="5463" w:type="dxa"/>
            <w:noWrap w:val="0"/>
            <w:vAlign w:val="center"/>
          </w:tcPr>
          <w:p w14:paraId="29E3989D">
            <w:pPr>
              <w:widowControl/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代表意思</w:t>
            </w:r>
          </w:p>
        </w:tc>
      </w:tr>
      <w:tr w14:paraId="45A7B3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" w:hRule="atLeast"/>
        </w:trPr>
        <w:tc>
          <w:tcPr>
            <w:tcW w:w="2211" w:type="dxa"/>
            <w:noWrap w:val="0"/>
            <w:vAlign w:val="center"/>
          </w:tcPr>
          <w:p w14:paraId="23E7097A">
            <w:pPr>
              <w:widowControl/>
              <w:spacing w:line="360" w:lineRule="auto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重要指标项</w:t>
            </w:r>
          </w:p>
        </w:tc>
        <w:tc>
          <w:tcPr>
            <w:tcW w:w="2180" w:type="dxa"/>
            <w:noWrap w:val="0"/>
            <w:vAlign w:val="center"/>
          </w:tcPr>
          <w:p w14:paraId="2D1312B8">
            <w:pPr>
              <w:widowControl/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4"/>
              </w:rPr>
              <w:t>★</w:t>
            </w:r>
          </w:p>
        </w:tc>
        <w:tc>
          <w:tcPr>
            <w:tcW w:w="5463" w:type="dxa"/>
            <w:noWrap w:val="0"/>
            <w:vAlign w:val="center"/>
          </w:tcPr>
          <w:p w14:paraId="3B502EFF">
            <w:pPr>
              <w:widowControl/>
              <w:spacing w:line="360" w:lineRule="auto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评分项，详见第四章评分细则。</w:t>
            </w:r>
          </w:p>
        </w:tc>
      </w:tr>
      <w:tr w14:paraId="01F31F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" w:hRule="atLeast"/>
        </w:trPr>
        <w:tc>
          <w:tcPr>
            <w:tcW w:w="2211" w:type="dxa"/>
            <w:noWrap w:val="0"/>
            <w:vAlign w:val="center"/>
          </w:tcPr>
          <w:p w14:paraId="47C0BA67">
            <w:pPr>
              <w:widowControl/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一般指标项</w:t>
            </w:r>
          </w:p>
        </w:tc>
        <w:tc>
          <w:tcPr>
            <w:tcW w:w="2180" w:type="dxa"/>
            <w:noWrap w:val="0"/>
            <w:vAlign w:val="center"/>
          </w:tcPr>
          <w:p w14:paraId="16E837CC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无标识项</w:t>
            </w:r>
          </w:p>
        </w:tc>
        <w:tc>
          <w:tcPr>
            <w:tcW w:w="5463" w:type="dxa"/>
            <w:noWrap w:val="0"/>
            <w:vAlign w:val="center"/>
          </w:tcPr>
          <w:p w14:paraId="4E5D136E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评分项，详见第四章评分细则。</w:t>
            </w:r>
          </w:p>
        </w:tc>
      </w:tr>
      <w:tr w14:paraId="40CB0B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9854" w:type="dxa"/>
            <w:gridSpan w:val="3"/>
            <w:noWrap w:val="0"/>
            <w:vAlign w:val="center"/>
          </w:tcPr>
          <w:p w14:paraId="440E9E61">
            <w:pPr>
              <w:spacing w:line="360" w:lineRule="auto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lang w:bidi="ar"/>
              </w:rPr>
              <w:t>注：投标人须如实响应，如在后期合同履约过程中，发现有虚假响应情况，招标人有权解除合同、不予退还履约保证金、不予支付合同款项，且追究中标人给甲方带来的一切损失。</w:t>
            </w:r>
          </w:p>
        </w:tc>
      </w:tr>
    </w:tbl>
    <w:p w14:paraId="1280D79E">
      <w:pPr>
        <w:widowControl/>
        <w:spacing w:line="360" w:lineRule="auto"/>
        <w:jc w:val="left"/>
        <w:rPr>
          <w:rFonts w:hint="eastAsia" w:ascii="仿宋" w:hAnsi="仿宋" w:eastAsia="仿宋" w:cs="仿宋"/>
          <w:b/>
          <w:bCs/>
          <w:color w:val="000000"/>
          <w:kern w:val="0"/>
          <w:sz w:val="24"/>
          <w:lang w:bidi="ar"/>
        </w:rPr>
      </w:pPr>
      <w:r>
        <w:rPr>
          <w:rFonts w:hint="eastAsia" w:ascii="仿宋" w:hAnsi="仿宋" w:eastAsia="仿宋" w:cs="仿宋"/>
          <w:b/>
          <w:bCs/>
          <w:color w:val="000000"/>
          <w:kern w:val="0"/>
          <w:sz w:val="24"/>
          <w:lang w:bidi="ar"/>
        </w:rPr>
        <w:t>（二）技术参数</w:t>
      </w:r>
    </w:p>
    <w:p w14:paraId="756060F5">
      <w:pPr>
        <w:widowControl/>
        <w:spacing w:line="360" w:lineRule="auto"/>
        <w:jc w:val="left"/>
        <w:rPr>
          <w:rFonts w:hint="eastAsia" w:ascii="仿宋" w:hAnsi="仿宋" w:eastAsia="仿宋" w:cs="仿宋"/>
          <w:color w:val="000000"/>
          <w:kern w:val="0"/>
          <w:sz w:val="24"/>
          <w:lang w:bidi="ar"/>
        </w:rPr>
      </w:pPr>
      <w:r>
        <w:rPr>
          <w:rFonts w:hint="eastAsia" w:ascii="仿宋" w:hAnsi="仿宋" w:eastAsia="仿宋" w:cs="仿宋"/>
          <w:color w:val="000000"/>
          <w:kern w:val="0"/>
          <w:sz w:val="24"/>
          <w:lang w:bidi="ar"/>
        </w:rPr>
        <w:t>1 基本要求：</w:t>
      </w:r>
    </w:p>
    <w:p w14:paraId="022E55AC">
      <w:pPr>
        <w:widowControl/>
        <w:spacing w:line="360" w:lineRule="auto"/>
        <w:jc w:val="left"/>
        <w:rPr>
          <w:rFonts w:hint="eastAsia" w:ascii="仿宋" w:hAnsi="仿宋" w:eastAsia="仿宋" w:cs="仿宋"/>
          <w:color w:val="000000"/>
          <w:kern w:val="0"/>
          <w:sz w:val="24"/>
          <w:lang w:bidi="ar"/>
        </w:rPr>
      </w:pPr>
      <w:r>
        <w:rPr>
          <w:rFonts w:hint="eastAsia" w:ascii="仿宋" w:hAnsi="仿宋" w:eastAsia="仿宋" w:cs="仿宋"/>
          <w:color w:val="000000"/>
          <w:kern w:val="0"/>
          <w:sz w:val="24"/>
          <w:lang w:bidi="ar"/>
        </w:rPr>
        <w:t>电动电控型呼吸机, 该产品</w:t>
      </w:r>
      <w:r>
        <w:rPr>
          <w:rFonts w:hint="eastAsia"/>
        </w:rPr>
        <w:t>在</w:t>
      </w:r>
      <w:r>
        <w:rPr>
          <w:rFonts w:hint="eastAsia" w:ascii="仿宋" w:hAnsi="仿宋" w:eastAsia="仿宋" w:cs="仿宋"/>
          <w:color w:val="000000"/>
          <w:kern w:val="0"/>
          <w:sz w:val="24"/>
          <w:lang w:bidi="ar"/>
        </w:rPr>
        <w:t>医疗机构内部和外部进行急救或转运时使用，</w:t>
      </w:r>
    </w:p>
    <w:p w14:paraId="092D1242">
      <w:pPr>
        <w:widowControl/>
        <w:spacing w:line="360" w:lineRule="auto"/>
        <w:jc w:val="left"/>
        <w:rPr>
          <w:rFonts w:hint="eastAsia" w:ascii="仿宋" w:hAnsi="仿宋" w:eastAsia="仿宋" w:cs="仿宋"/>
          <w:b/>
          <w:bCs/>
          <w:color w:val="000000"/>
          <w:kern w:val="0"/>
          <w:sz w:val="24"/>
          <w:lang w:bidi="ar"/>
        </w:rPr>
      </w:pPr>
      <w:r>
        <w:rPr>
          <w:rFonts w:hint="eastAsia" w:ascii="仿宋" w:hAnsi="仿宋" w:eastAsia="仿宋" w:cs="仿宋"/>
          <w:b/>
          <w:bCs/>
          <w:color w:val="000000"/>
          <w:kern w:val="0"/>
          <w:sz w:val="24"/>
          <w:lang w:bidi="ar"/>
        </w:rPr>
        <w:t>★1.2 通过YY0600.3转运标准测试</w:t>
      </w:r>
    </w:p>
    <w:p w14:paraId="49922C2C">
      <w:pPr>
        <w:widowControl/>
        <w:spacing w:line="360" w:lineRule="auto"/>
        <w:jc w:val="left"/>
        <w:rPr>
          <w:rFonts w:hint="eastAsia" w:ascii="仿宋" w:hAnsi="仿宋" w:eastAsia="仿宋" w:cs="仿宋"/>
          <w:color w:val="000000"/>
          <w:kern w:val="0"/>
          <w:sz w:val="24"/>
          <w:lang w:bidi="ar"/>
        </w:rPr>
      </w:pPr>
      <w:r>
        <w:rPr>
          <w:rFonts w:hint="eastAsia" w:ascii="仿宋" w:hAnsi="仿宋" w:eastAsia="仿宋" w:cs="仿宋"/>
          <w:color w:val="000000"/>
          <w:kern w:val="0"/>
          <w:sz w:val="24"/>
          <w:lang w:bidi="ar"/>
        </w:rPr>
        <w:t>1.3 同时具备低压氧和高压氧接入功能，可固定可便携，内置电池时间≥5小时</w:t>
      </w:r>
    </w:p>
    <w:p w14:paraId="4A92FF31">
      <w:pPr>
        <w:widowControl/>
        <w:spacing w:line="360" w:lineRule="auto"/>
        <w:jc w:val="left"/>
        <w:rPr>
          <w:rFonts w:hint="eastAsia" w:ascii="仿宋" w:hAnsi="仿宋" w:eastAsia="仿宋" w:cs="仿宋"/>
          <w:b/>
          <w:bCs/>
          <w:color w:val="000000"/>
          <w:kern w:val="0"/>
          <w:sz w:val="24"/>
          <w:lang w:bidi="ar"/>
        </w:rPr>
      </w:pPr>
      <w:r>
        <w:rPr>
          <w:rFonts w:hint="eastAsia" w:ascii="仿宋" w:hAnsi="仿宋" w:eastAsia="仿宋" w:cs="仿宋"/>
          <w:b/>
          <w:bCs/>
          <w:color w:val="000000"/>
          <w:kern w:val="0"/>
          <w:sz w:val="24"/>
          <w:lang w:bidi="ar"/>
        </w:rPr>
        <w:t>★1.4采用≥10英寸全中文彩色电容触摸控制屏，分辨率≥1280*800像素，可同时显示波形和监测参数</w:t>
      </w:r>
    </w:p>
    <w:p w14:paraId="1D3DA7E6">
      <w:pPr>
        <w:widowControl/>
        <w:spacing w:line="360" w:lineRule="auto"/>
        <w:jc w:val="left"/>
        <w:rPr>
          <w:rFonts w:hint="eastAsia" w:ascii="仿宋" w:hAnsi="仿宋" w:eastAsia="仿宋" w:cs="仿宋"/>
          <w:color w:val="000000"/>
          <w:kern w:val="0"/>
          <w:sz w:val="24"/>
          <w:lang w:bidi="ar"/>
        </w:rPr>
      </w:pPr>
      <w:r>
        <w:rPr>
          <w:rFonts w:hint="eastAsia" w:ascii="仿宋" w:hAnsi="仿宋" w:eastAsia="仿宋" w:cs="仿宋"/>
          <w:color w:val="000000"/>
          <w:kern w:val="0"/>
          <w:sz w:val="24"/>
          <w:lang w:bidi="ar"/>
        </w:rPr>
        <w:t>1.5 具有屏幕亮度自动调节功能</w:t>
      </w:r>
    </w:p>
    <w:p w14:paraId="77DF6FFF">
      <w:pPr>
        <w:widowControl/>
        <w:spacing w:line="360" w:lineRule="auto"/>
        <w:jc w:val="left"/>
        <w:rPr>
          <w:rFonts w:hint="eastAsia" w:ascii="仿宋" w:hAnsi="仿宋" w:eastAsia="仿宋" w:cs="仿宋"/>
          <w:color w:val="000000"/>
          <w:kern w:val="0"/>
          <w:sz w:val="24"/>
          <w:lang w:bidi="ar"/>
        </w:rPr>
      </w:pPr>
      <w:r>
        <w:rPr>
          <w:rFonts w:hint="eastAsia" w:ascii="仿宋" w:hAnsi="仿宋" w:eastAsia="仿宋" w:cs="仿宋"/>
          <w:color w:val="000000"/>
          <w:kern w:val="0"/>
          <w:sz w:val="24"/>
          <w:lang w:bidi="ar"/>
        </w:rPr>
        <w:t>1.6 可配备无创通气模式和氧疗模式</w:t>
      </w:r>
    </w:p>
    <w:p w14:paraId="75BAB17D">
      <w:pPr>
        <w:widowControl/>
        <w:spacing w:line="360" w:lineRule="auto"/>
        <w:jc w:val="left"/>
        <w:rPr>
          <w:rFonts w:hint="eastAsia" w:ascii="仿宋" w:hAnsi="仿宋" w:eastAsia="仿宋" w:cs="仿宋"/>
          <w:color w:val="000000"/>
          <w:kern w:val="0"/>
          <w:sz w:val="24"/>
          <w:lang w:bidi="ar"/>
        </w:rPr>
      </w:pPr>
      <w:r>
        <w:rPr>
          <w:rFonts w:hint="eastAsia" w:ascii="仿宋" w:hAnsi="仿宋" w:eastAsia="仿宋" w:cs="仿宋"/>
          <w:color w:val="000000"/>
          <w:kern w:val="0"/>
          <w:sz w:val="24"/>
          <w:lang w:bidi="ar"/>
        </w:rPr>
        <w:t>1.7 防尘防水等级≥IP34，保证机器在复杂环境中的安全</w:t>
      </w:r>
    </w:p>
    <w:p w14:paraId="67E043B2">
      <w:pPr>
        <w:widowControl/>
        <w:spacing w:line="360" w:lineRule="auto"/>
        <w:jc w:val="left"/>
        <w:rPr>
          <w:rFonts w:hint="eastAsia" w:ascii="仿宋" w:hAnsi="仿宋" w:eastAsia="仿宋" w:cs="仿宋"/>
          <w:b/>
          <w:bCs/>
          <w:color w:val="000000"/>
          <w:kern w:val="0"/>
          <w:sz w:val="24"/>
          <w:lang w:bidi="ar"/>
        </w:rPr>
      </w:pPr>
      <w:r>
        <w:rPr>
          <w:rFonts w:hint="eastAsia" w:ascii="仿宋" w:hAnsi="仿宋" w:eastAsia="仿宋" w:cs="仿宋"/>
          <w:b/>
          <w:bCs/>
          <w:color w:val="000000"/>
          <w:kern w:val="0"/>
          <w:sz w:val="24"/>
          <w:lang w:bidi="ar"/>
        </w:rPr>
        <w:t>★1.8 满足成人、儿童使用,可升级新生儿转运</w:t>
      </w:r>
    </w:p>
    <w:p w14:paraId="7A2D9ECB">
      <w:pPr>
        <w:widowControl/>
        <w:spacing w:line="360" w:lineRule="auto"/>
        <w:jc w:val="left"/>
        <w:rPr>
          <w:rFonts w:hint="eastAsia" w:ascii="仿宋" w:hAnsi="仿宋" w:eastAsia="仿宋" w:cs="仿宋"/>
          <w:color w:val="000000"/>
          <w:kern w:val="0"/>
          <w:sz w:val="24"/>
          <w:lang w:bidi="ar"/>
        </w:rPr>
      </w:pPr>
      <w:r>
        <w:rPr>
          <w:rFonts w:hint="eastAsia" w:ascii="仿宋" w:hAnsi="仿宋" w:eastAsia="仿宋" w:cs="仿宋"/>
          <w:color w:val="000000"/>
          <w:kern w:val="0"/>
          <w:sz w:val="24"/>
          <w:lang w:bidi="ar"/>
        </w:rPr>
        <w:t>2 通气模式及主要功能</w:t>
      </w:r>
    </w:p>
    <w:p w14:paraId="78EEA3C4">
      <w:pPr>
        <w:widowControl/>
        <w:spacing w:line="360" w:lineRule="auto"/>
        <w:jc w:val="left"/>
        <w:rPr>
          <w:rFonts w:hint="eastAsia" w:ascii="仿宋" w:hAnsi="仿宋" w:eastAsia="仿宋" w:cs="仿宋"/>
          <w:color w:val="000000"/>
          <w:kern w:val="0"/>
          <w:sz w:val="24"/>
          <w:lang w:bidi="ar"/>
        </w:rPr>
      </w:pPr>
      <w:r>
        <w:rPr>
          <w:rFonts w:hint="eastAsia" w:ascii="仿宋" w:hAnsi="仿宋" w:eastAsia="仿宋" w:cs="仿宋"/>
          <w:color w:val="000000"/>
          <w:kern w:val="0"/>
          <w:sz w:val="24"/>
          <w:lang w:bidi="ar"/>
        </w:rPr>
        <w:t>2.1 容量控制通气</w:t>
      </w:r>
    </w:p>
    <w:p w14:paraId="370D14FF">
      <w:pPr>
        <w:widowControl/>
        <w:spacing w:line="360" w:lineRule="auto"/>
        <w:jc w:val="left"/>
        <w:rPr>
          <w:rFonts w:hint="eastAsia" w:ascii="仿宋" w:hAnsi="仿宋" w:eastAsia="仿宋" w:cs="仿宋"/>
          <w:color w:val="000000"/>
          <w:kern w:val="0"/>
          <w:sz w:val="24"/>
          <w:lang w:bidi="ar"/>
        </w:rPr>
      </w:pPr>
      <w:r>
        <w:rPr>
          <w:rFonts w:hint="eastAsia" w:ascii="仿宋" w:hAnsi="仿宋" w:eastAsia="仿宋" w:cs="仿宋"/>
          <w:color w:val="000000"/>
          <w:kern w:val="0"/>
          <w:sz w:val="24"/>
          <w:lang w:bidi="ar"/>
        </w:rPr>
        <w:t>2.2 压力控制通气</w:t>
      </w:r>
    </w:p>
    <w:p w14:paraId="1080ACFD">
      <w:pPr>
        <w:widowControl/>
        <w:spacing w:line="360" w:lineRule="auto"/>
        <w:jc w:val="left"/>
        <w:rPr>
          <w:rFonts w:hint="eastAsia" w:ascii="仿宋" w:hAnsi="仿宋" w:eastAsia="仿宋" w:cs="仿宋"/>
          <w:color w:val="000000"/>
          <w:kern w:val="0"/>
          <w:sz w:val="24"/>
          <w:lang w:bidi="ar"/>
        </w:rPr>
      </w:pPr>
      <w:r>
        <w:rPr>
          <w:rFonts w:hint="eastAsia" w:ascii="仿宋" w:hAnsi="仿宋" w:eastAsia="仿宋" w:cs="仿宋"/>
          <w:color w:val="000000"/>
          <w:kern w:val="0"/>
          <w:sz w:val="24"/>
          <w:lang w:bidi="ar"/>
        </w:rPr>
        <w:t>2.3 压力支持通气</w:t>
      </w:r>
    </w:p>
    <w:p w14:paraId="121C45C4">
      <w:pPr>
        <w:widowControl/>
        <w:spacing w:line="360" w:lineRule="auto"/>
        <w:jc w:val="left"/>
        <w:rPr>
          <w:rFonts w:hint="eastAsia" w:ascii="仿宋" w:hAnsi="仿宋" w:eastAsia="仿宋" w:cs="仿宋"/>
          <w:b/>
          <w:bCs/>
          <w:color w:val="000000"/>
          <w:kern w:val="0"/>
          <w:sz w:val="24"/>
          <w:lang w:bidi="ar"/>
        </w:rPr>
      </w:pPr>
      <w:r>
        <w:rPr>
          <w:rFonts w:hint="eastAsia" w:ascii="仿宋" w:hAnsi="仿宋" w:eastAsia="仿宋" w:cs="仿宋"/>
          <w:b/>
          <w:bCs/>
          <w:color w:val="000000"/>
          <w:kern w:val="0"/>
          <w:sz w:val="24"/>
          <w:lang w:bidi="ar"/>
        </w:rPr>
        <w:t>★2.4 心肺复苏通气模式（如CPRV，CPRmode等）</w:t>
      </w:r>
    </w:p>
    <w:p w14:paraId="50D0A8C6">
      <w:pPr>
        <w:widowControl/>
        <w:spacing w:line="360" w:lineRule="auto"/>
        <w:jc w:val="left"/>
        <w:rPr>
          <w:rFonts w:hint="eastAsia" w:ascii="仿宋" w:hAnsi="仿宋" w:eastAsia="仿宋" w:cs="仿宋"/>
          <w:b/>
          <w:bCs/>
          <w:color w:val="000000"/>
          <w:kern w:val="0"/>
          <w:sz w:val="24"/>
          <w:lang w:bidi="ar"/>
        </w:rPr>
      </w:pPr>
      <w:r>
        <w:rPr>
          <w:rFonts w:hint="eastAsia" w:ascii="仿宋" w:hAnsi="仿宋" w:eastAsia="仿宋" w:cs="仿宋"/>
          <w:b/>
          <w:bCs/>
          <w:color w:val="000000"/>
          <w:kern w:val="0"/>
          <w:sz w:val="24"/>
          <w:lang w:bidi="ar"/>
        </w:rPr>
        <w:t>★2.5 支持高级模式：气道压力释放通气APRV；自适应分钟通气（如AMV或ASV等以Otis公式患者最小呼吸做功为通气目标的智能通气模式）</w:t>
      </w:r>
    </w:p>
    <w:p w14:paraId="276D71A5">
      <w:pPr>
        <w:widowControl/>
        <w:spacing w:line="360" w:lineRule="auto"/>
        <w:jc w:val="left"/>
        <w:rPr>
          <w:rFonts w:hint="eastAsia" w:ascii="仿宋" w:hAnsi="仿宋" w:eastAsia="仿宋" w:cs="仿宋"/>
          <w:color w:val="000000"/>
          <w:kern w:val="0"/>
          <w:sz w:val="24"/>
          <w:lang w:bidi="ar"/>
        </w:rPr>
      </w:pPr>
      <w:r>
        <w:rPr>
          <w:rFonts w:hint="eastAsia" w:ascii="仿宋" w:hAnsi="仿宋" w:eastAsia="仿宋" w:cs="仿宋"/>
          <w:color w:val="000000"/>
          <w:kern w:val="0"/>
          <w:sz w:val="24"/>
          <w:lang w:bidi="ar"/>
        </w:rPr>
        <w:t>2.6 窒息后备通气</w:t>
      </w:r>
    </w:p>
    <w:p w14:paraId="160FD0DA">
      <w:pPr>
        <w:widowControl/>
        <w:spacing w:line="360" w:lineRule="auto"/>
        <w:jc w:val="left"/>
        <w:rPr>
          <w:rFonts w:hint="eastAsia" w:ascii="仿宋" w:hAnsi="仿宋" w:eastAsia="仿宋" w:cs="仿宋"/>
          <w:color w:val="000000"/>
          <w:kern w:val="0"/>
          <w:sz w:val="24"/>
          <w:lang w:bidi="ar"/>
        </w:rPr>
      </w:pPr>
      <w:r>
        <w:rPr>
          <w:rFonts w:hint="eastAsia" w:ascii="仿宋" w:hAnsi="仿宋" w:eastAsia="仿宋" w:cs="仿宋"/>
          <w:color w:val="000000"/>
          <w:kern w:val="0"/>
          <w:sz w:val="24"/>
          <w:lang w:bidi="ar"/>
        </w:rPr>
        <w:t>2.7 其他通气功能：手控通气、吸气保持、呼气保持、增氧、叹气、屏幕锁、吸痰工具等</w:t>
      </w:r>
    </w:p>
    <w:p w14:paraId="307A7E88">
      <w:pPr>
        <w:widowControl/>
        <w:spacing w:line="360" w:lineRule="auto"/>
        <w:jc w:val="left"/>
        <w:rPr>
          <w:rFonts w:hint="eastAsia" w:ascii="仿宋" w:hAnsi="仿宋" w:eastAsia="仿宋" w:cs="仿宋"/>
          <w:color w:val="000000"/>
          <w:kern w:val="0"/>
          <w:sz w:val="24"/>
          <w:lang w:bidi="ar"/>
        </w:rPr>
      </w:pPr>
      <w:r>
        <w:rPr>
          <w:rFonts w:hint="eastAsia" w:ascii="仿宋" w:hAnsi="仿宋" w:eastAsia="仿宋" w:cs="仿宋"/>
          <w:color w:val="000000"/>
          <w:kern w:val="0"/>
          <w:sz w:val="24"/>
          <w:lang w:bidi="ar"/>
        </w:rPr>
        <w:t xml:space="preserve">2.8 具备图形化的肺动态反应图 </w:t>
      </w:r>
    </w:p>
    <w:p w14:paraId="7F970806">
      <w:pPr>
        <w:widowControl/>
        <w:spacing w:line="360" w:lineRule="auto"/>
        <w:jc w:val="left"/>
        <w:rPr>
          <w:rFonts w:hint="eastAsia" w:ascii="仿宋" w:hAnsi="仿宋" w:eastAsia="仿宋" w:cs="仿宋"/>
          <w:color w:val="000000"/>
          <w:kern w:val="0"/>
          <w:sz w:val="24"/>
          <w:lang w:bidi="ar"/>
        </w:rPr>
      </w:pPr>
      <w:r>
        <w:rPr>
          <w:rFonts w:hint="eastAsia" w:ascii="仿宋" w:hAnsi="仿宋" w:eastAsia="仿宋" w:cs="仿宋"/>
          <w:color w:val="000000"/>
          <w:kern w:val="0"/>
          <w:sz w:val="24"/>
          <w:lang w:bidi="ar"/>
        </w:rPr>
        <w:t>2.9 具有自动海拔补偿功能和自动漏气补偿功能，使用海拔高度≥7600m</w:t>
      </w:r>
    </w:p>
    <w:p w14:paraId="0E0F59ED">
      <w:pPr>
        <w:widowControl/>
        <w:spacing w:line="360" w:lineRule="auto"/>
        <w:jc w:val="left"/>
        <w:rPr>
          <w:rFonts w:hint="eastAsia" w:ascii="仿宋" w:hAnsi="仿宋" w:eastAsia="仿宋" w:cs="仿宋"/>
          <w:color w:val="000000"/>
          <w:kern w:val="0"/>
          <w:sz w:val="24"/>
          <w:lang w:bidi="ar"/>
        </w:rPr>
      </w:pPr>
      <w:r>
        <w:rPr>
          <w:rFonts w:hint="eastAsia" w:ascii="仿宋" w:hAnsi="仿宋" w:eastAsia="仿宋" w:cs="仿宋"/>
          <w:color w:val="000000"/>
          <w:kern w:val="0"/>
          <w:sz w:val="24"/>
          <w:lang w:bidi="ar"/>
        </w:rPr>
        <w:t>2.10 标配内源性PEEP、口腔闭合压P0.1和浅快呼吸指数RSBI的测定</w:t>
      </w:r>
    </w:p>
    <w:p w14:paraId="6A4ABAFE">
      <w:pPr>
        <w:widowControl/>
        <w:spacing w:line="360" w:lineRule="auto"/>
        <w:jc w:val="left"/>
        <w:rPr>
          <w:rFonts w:hint="eastAsia" w:ascii="仿宋" w:hAnsi="仿宋" w:eastAsia="仿宋" w:cs="仿宋"/>
          <w:b/>
          <w:bCs/>
          <w:color w:val="000000"/>
          <w:kern w:val="0"/>
          <w:sz w:val="24"/>
          <w:lang w:bidi="ar"/>
        </w:rPr>
      </w:pPr>
      <w:r>
        <w:rPr>
          <w:rFonts w:hint="eastAsia" w:ascii="仿宋" w:hAnsi="仿宋" w:eastAsia="仿宋" w:cs="仿宋"/>
          <w:b/>
          <w:bCs/>
          <w:color w:val="000000"/>
          <w:kern w:val="0"/>
          <w:sz w:val="24"/>
          <w:lang w:bidi="ar"/>
        </w:rPr>
        <w:t>★2.11可与监护仪模块化一体集成，实现通气监护一体化和在呼吸机屏幕上同屏显示</w:t>
      </w:r>
    </w:p>
    <w:p w14:paraId="2D753780">
      <w:pPr>
        <w:widowControl/>
        <w:spacing w:line="360" w:lineRule="auto"/>
        <w:jc w:val="left"/>
        <w:rPr>
          <w:rFonts w:hint="eastAsia" w:ascii="仿宋" w:hAnsi="仿宋" w:eastAsia="仿宋" w:cs="仿宋"/>
          <w:b/>
          <w:bCs/>
          <w:color w:val="000000"/>
          <w:kern w:val="0"/>
          <w:sz w:val="24"/>
          <w:lang w:bidi="ar"/>
        </w:rPr>
      </w:pPr>
      <w:r>
        <w:rPr>
          <w:rFonts w:hint="eastAsia" w:ascii="仿宋" w:hAnsi="仿宋" w:eastAsia="仿宋" w:cs="仿宋"/>
          <w:b/>
          <w:bCs/>
          <w:color w:val="000000"/>
          <w:kern w:val="0"/>
          <w:sz w:val="24"/>
          <w:lang w:bidi="ar"/>
        </w:rPr>
        <w:t>★2.12可配备自动同步床旁重症呼吸机设置到转运呼吸机功能，转运过程通气治疗不改变</w:t>
      </w:r>
    </w:p>
    <w:p w14:paraId="4360013D">
      <w:pPr>
        <w:widowControl/>
        <w:spacing w:line="360" w:lineRule="auto"/>
        <w:jc w:val="left"/>
        <w:rPr>
          <w:rFonts w:hint="eastAsia" w:ascii="仿宋" w:hAnsi="仿宋" w:eastAsia="仿宋" w:cs="仿宋"/>
          <w:color w:val="000000"/>
          <w:kern w:val="0"/>
          <w:sz w:val="24"/>
          <w:lang w:bidi="ar"/>
        </w:rPr>
      </w:pPr>
      <w:r>
        <w:rPr>
          <w:rFonts w:hint="eastAsia" w:ascii="仿宋" w:hAnsi="仿宋" w:eastAsia="仿宋" w:cs="仿宋"/>
          <w:color w:val="000000"/>
          <w:kern w:val="0"/>
          <w:sz w:val="24"/>
          <w:lang w:bidi="ar"/>
        </w:rPr>
        <w:t>3 设置参数：</w:t>
      </w:r>
    </w:p>
    <w:p w14:paraId="70DAED08">
      <w:pPr>
        <w:widowControl/>
        <w:spacing w:line="360" w:lineRule="auto"/>
        <w:jc w:val="left"/>
        <w:rPr>
          <w:rFonts w:hint="eastAsia" w:ascii="仿宋" w:hAnsi="仿宋" w:eastAsia="仿宋" w:cs="仿宋"/>
          <w:color w:val="000000"/>
          <w:kern w:val="0"/>
          <w:sz w:val="24"/>
          <w:lang w:bidi="ar"/>
        </w:rPr>
      </w:pPr>
      <w:r>
        <w:rPr>
          <w:rFonts w:hint="eastAsia" w:ascii="仿宋" w:hAnsi="仿宋" w:eastAsia="仿宋" w:cs="仿宋"/>
          <w:color w:val="000000"/>
          <w:kern w:val="0"/>
          <w:sz w:val="24"/>
          <w:lang w:bidi="ar"/>
        </w:rPr>
        <w:t>3.1 潮气量：20ml-4000ml</w:t>
      </w:r>
    </w:p>
    <w:p w14:paraId="424DC44E">
      <w:pPr>
        <w:widowControl/>
        <w:spacing w:line="360" w:lineRule="auto"/>
        <w:jc w:val="left"/>
        <w:rPr>
          <w:rFonts w:hint="eastAsia" w:ascii="仿宋" w:hAnsi="仿宋" w:eastAsia="仿宋" w:cs="仿宋"/>
          <w:color w:val="000000"/>
          <w:kern w:val="0"/>
          <w:sz w:val="24"/>
          <w:lang w:bidi="ar"/>
        </w:rPr>
      </w:pPr>
      <w:r>
        <w:rPr>
          <w:rFonts w:hint="eastAsia" w:ascii="仿宋" w:hAnsi="仿宋" w:eastAsia="仿宋" w:cs="仿宋"/>
          <w:color w:val="000000"/>
          <w:kern w:val="0"/>
          <w:sz w:val="24"/>
          <w:lang w:bidi="ar"/>
        </w:rPr>
        <w:t>3.2 呼吸频率：1-100次/分</w:t>
      </w:r>
    </w:p>
    <w:p w14:paraId="33B28415">
      <w:pPr>
        <w:widowControl/>
        <w:spacing w:line="360" w:lineRule="auto"/>
        <w:jc w:val="left"/>
        <w:rPr>
          <w:rFonts w:hint="eastAsia" w:ascii="仿宋" w:hAnsi="仿宋" w:eastAsia="仿宋" w:cs="仿宋"/>
          <w:color w:val="000000"/>
          <w:kern w:val="0"/>
          <w:sz w:val="24"/>
          <w:lang w:bidi="ar"/>
        </w:rPr>
      </w:pPr>
      <w:r>
        <w:rPr>
          <w:rFonts w:hint="eastAsia" w:ascii="仿宋" w:hAnsi="仿宋" w:eastAsia="仿宋" w:cs="仿宋"/>
          <w:color w:val="000000"/>
          <w:kern w:val="0"/>
          <w:sz w:val="24"/>
          <w:lang w:bidi="ar"/>
        </w:rPr>
        <w:t>3.3 呼气末正压：0-50厘米水柱</w:t>
      </w:r>
    </w:p>
    <w:p w14:paraId="3A448151">
      <w:pPr>
        <w:widowControl/>
        <w:spacing w:line="360" w:lineRule="auto"/>
        <w:jc w:val="left"/>
        <w:rPr>
          <w:rFonts w:hint="eastAsia" w:ascii="仿宋" w:hAnsi="仿宋" w:eastAsia="仿宋" w:cs="仿宋"/>
          <w:color w:val="000000"/>
          <w:kern w:val="0"/>
          <w:sz w:val="24"/>
          <w:lang w:bidi="ar"/>
        </w:rPr>
      </w:pPr>
      <w:r>
        <w:rPr>
          <w:rFonts w:hint="eastAsia" w:ascii="仿宋" w:hAnsi="仿宋" w:eastAsia="仿宋" w:cs="仿宋"/>
          <w:color w:val="000000"/>
          <w:kern w:val="0"/>
          <w:sz w:val="24"/>
          <w:lang w:bidi="ar"/>
        </w:rPr>
        <w:t>3.4 氧气浓度：21-100%</w:t>
      </w:r>
    </w:p>
    <w:p w14:paraId="489FB967">
      <w:pPr>
        <w:widowControl/>
        <w:spacing w:line="360" w:lineRule="auto"/>
        <w:jc w:val="left"/>
        <w:rPr>
          <w:rFonts w:hint="eastAsia" w:ascii="仿宋" w:hAnsi="仿宋" w:eastAsia="仿宋" w:cs="仿宋"/>
          <w:color w:val="000000"/>
          <w:kern w:val="0"/>
          <w:sz w:val="24"/>
          <w:lang w:bidi="ar"/>
        </w:rPr>
      </w:pPr>
      <w:r>
        <w:rPr>
          <w:rFonts w:hint="eastAsia" w:ascii="仿宋" w:hAnsi="仿宋" w:eastAsia="仿宋" w:cs="仿宋"/>
          <w:color w:val="000000"/>
          <w:kern w:val="0"/>
          <w:sz w:val="24"/>
          <w:lang w:bidi="ar"/>
        </w:rPr>
        <w:t>3.5 吸呼比：1:10 - 4:1</w:t>
      </w:r>
    </w:p>
    <w:p w14:paraId="38754CA7">
      <w:pPr>
        <w:widowControl/>
        <w:spacing w:line="360" w:lineRule="auto"/>
        <w:jc w:val="left"/>
        <w:rPr>
          <w:rFonts w:hint="eastAsia" w:ascii="仿宋" w:hAnsi="仿宋" w:eastAsia="仿宋" w:cs="仿宋"/>
          <w:color w:val="000000"/>
          <w:kern w:val="0"/>
          <w:sz w:val="24"/>
          <w:lang w:bidi="ar"/>
        </w:rPr>
      </w:pPr>
      <w:r>
        <w:rPr>
          <w:rFonts w:hint="eastAsia" w:ascii="仿宋" w:hAnsi="仿宋" w:eastAsia="仿宋" w:cs="仿宋"/>
          <w:color w:val="000000"/>
          <w:kern w:val="0"/>
          <w:sz w:val="24"/>
          <w:lang w:bidi="ar"/>
        </w:rPr>
        <w:t>3.6 吸气时间：0.1—10s秒</w:t>
      </w:r>
    </w:p>
    <w:p w14:paraId="58F297C2">
      <w:pPr>
        <w:widowControl/>
        <w:spacing w:line="360" w:lineRule="auto"/>
        <w:jc w:val="left"/>
        <w:rPr>
          <w:rFonts w:hint="eastAsia" w:ascii="仿宋" w:hAnsi="仿宋" w:eastAsia="仿宋" w:cs="仿宋"/>
          <w:color w:val="000000"/>
          <w:kern w:val="0"/>
          <w:sz w:val="24"/>
          <w:lang w:bidi="ar"/>
        </w:rPr>
      </w:pPr>
      <w:r>
        <w:rPr>
          <w:rFonts w:hint="eastAsia" w:ascii="仿宋" w:hAnsi="仿宋" w:eastAsia="仿宋" w:cs="仿宋"/>
          <w:color w:val="000000"/>
          <w:kern w:val="0"/>
          <w:sz w:val="24"/>
          <w:lang w:bidi="ar"/>
        </w:rPr>
        <w:t>3.7.流速≥ 280 L/min</w:t>
      </w:r>
    </w:p>
    <w:p w14:paraId="191D7A30">
      <w:pPr>
        <w:widowControl/>
        <w:spacing w:line="360" w:lineRule="auto"/>
        <w:jc w:val="left"/>
        <w:rPr>
          <w:rFonts w:hint="eastAsia" w:ascii="仿宋" w:hAnsi="仿宋" w:eastAsia="仿宋" w:cs="仿宋"/>
          <w:color w:val="000000"/>
          <w:kern w:val="0"/>
          <w:sz w:val="24"/>
          <w:lang w:bidi="ar"/>
        </w:rPr>
      </w:pPr>
      <w:r>
        <w:rPr>
          <w:rFonts w:hint="eastAsia" w:ascii="仿宋" w:hAnsi="仿宋" w:eastAsia="仿宋" w:cs="仿宋"/>
          <w:color w:val="000000"/>
          <w:kern w:val="0"/>
          <w:sz w:val="24"/>
          <w:lang w:bidi="ar"/>
        </w:rPr>
        <w:t>3.8 吸气触发灵敏度流量触发：关闭, 0.5-20.0 升/分</w:t>
      </w:r>
    </w:p>
    <w:p w14:paraId="1C0986BA">
      <w:pPr>
        <w:widowControl/>
        <w:spacing w:line="360" w:lineRule="auto"/>
        <w:jc w:val="left"/>
        <w:rPr>
          <w:rFonts w:hint="eastAsia" w:ascii="仿宋" w:hAnsi="仿宋" w:eastAsia="仿宋" w:cs="仿宋"/>
          <w:color w:val="000000"/>
          <w:kern w:val="0"/>
          <w:sz w:val="24"/>
          <w:lang w:bidi="ar"/>
        </w:rPr>
      </w:pPr>
      <w:r>
        <w:rPr>
          <w:rFonts w:hint="eastAsia" w:ascii="仿宋" w:hAnsi="仿宋" w:eastAsia="仿宋" w:cs="仿宋"/>
          <w:color w:val="000000"/>
          <w:kern w:val="0"/>
          <w:sz w:val="24"/>
          <w:lang w:bidi="ar"/>
        </w:rPr>
        <w:t>3.9 呼气切换灵敏度（ETS）：1%-85%峰流速可调</w:t>
      </w:r>
    </w:p>
    <w:p w14:paraId="5D018C24">
      <w:pPr>
        <w:widowControl/>
        <w:spacing w:line="360" w:lineRule="auto"/>
        <w:jc w:val="left"/>
        <w:rPr>
          <w:rFonts w:hint="eastAsia" w:ascii="仿宋" w:hAnsi="仿宋" w:eastAsia="仿宋" w:cs="仿宋"/>
          <w:color w:val="000000"/>
          <w:kern w:val="0"/>
          <w:sz w:val="24"/>
          <w:lang w:bidi="ar"/>
        </w:rPr>
      </w:pPr>
      <w:r>
        <w:rPr>
          <w:rFonts w:hint="eastAsia" w:ascii="仿宋" w:hAnsi="仿宋" w:eastAsia="仿宋" w:cs="仿宋"/>
          <w:color w:val="000000"/>
          <w:kern w:val="0"/>
          <w:sz w:val="24"/>
          <w:lang w:bidi="ar"/>
        </w:rPr>
        <w:t>3.10 压力上升时间：0-2秒</w:t>
      </w:r>
    </w:p>
    <w:p w14:paraId="4A17A0BC">
      <w:pPr>
        <w:widowControl/>
        <w:spacing w:line="360" w:lineRule="auto"/>
        <w:jc w:val="left"/>
        <w:rPr>
          <w:rFonts w:hint="eastAsia" w:ascii="仿宋" w:hAnsi="仿宋" w:eastAsia="仿宋" w:cs="仿宋"/>
          <w:color w:val="000000"/>
          <w:kern w:val="0"/>
          <w:sz w:val="24"/>
          <w:lang w:bidi="ar"/>
        </w:rPr>
      </w:pPr>
      <w:r>
        <w:rPr>
          <w:rFonts w:hint="eastAsia" w:ascii="仿宋" w:hAnsi="仿宋" w:eastAsia="仿宋" w:cs="仿宋"/>
          <w:color w:val="000000"/>
          <w:kern w:val="0"/>
          <w:sz w:val="24"/>
          <w:lang w:bidi="ar"/>
        </w:rPr>
        <w:t>3.11氧疗流量：2—80L/min</w:t>
      </w:r>
    </w:p>
    <w:p w14:paraId="094CF4FF">
      <w:pPr>
        <w:widowControl/>
        <w:spacing w:line="360" w:lineRule="auto"/>
        <w:jc w:val="left"/>
        <w:rPr>
          <w:rFonts w:hint="eastAsia" w:ascii="仿宋" w:hAnsi="仿宋" w:eastAsia="仿宋" w:cs="仿宋"/>
          <w:color w:val="000000"/>
          <w:kern w:val="0"/>
          <w:sz w:val="24"/>
          <w:lang w:bidi="ar"/>
        </w:rPr>
      </w:pPr>
    </w:p>
    <w:p w14:paraId="2822E161">
      <w:pPr>
        <w:widowControl/>
        <w:spacing w:line="360" w:lineRule="auto"/>
        <w:jc w:val="left"/>
        <w:rPr>
          <w:rFonts w:hint="eastAsia" w:ascii="仿宋" w:hAnsi="仿宋" w:eastAsia="仿宋" w:cs="仿宋"/>
          <w:color w:val="000000"/>
          <w:kern w:val="0"/>
          <w:sz w:val="24"/>
          <w:lang w:bidi="ar"/>
        </w:rPr>
      </w:pPr>
      <w:r>
        <w:rPr>
          <w:rFonts w:hint="eastAsia" w:ascii="仿宋" w:hAnsi="仿宋" w:eastAsia="仿宋" w:cs="仿宋"/>
          <w:color w:val="000000"/>
          <w:kern w:val="0"/>
          <w:sz w:val="24"/>
          <w:lang w:bidi="ar"/>
        </w:rPr>
        <w:t>4 监测内容：</w:t>
      </w:r>
    </w:p>
    <w:p w14:paraId="0BDD14F9">
      <w:pPr>
        <w:widowControl/>
        <w:spacing w:line="360" w:lineRule="auto"/>
        <w:jc w:val="left"/>
        <w:rPr>
          <w:rFonts w:hint="eastAsia" w:ascii="仿宋" w:hAnsi="仿宋" w:eastAsia="仿宋" w:cs="仿宋"/>
          <w:color w:val="000000"/>
          <w:kern w:val="0"/>
          <w:sz w:val="24"/>
          <w:lang w:bidi="ar"/>
        </w:rPr>
      </w:pPr>
      <w:r>
        <w:rPr>
          <w:rFonts w:hint="eastAsia" w:ascii="仿宋" w:hAnsi="仿宋" w:eastAsia="仿宋" w:cs="仿宋"/>
          <w:color w:val="000000"/>
          <w:kern w:val="0"/>
          <w:sz w:val="24"/>
          <w:lang w:bidi="ar"/>
        </w:rPr>
        <w:t>4.1监测参数：氧浓度、分钟通气量、潮气量、气道压力、呼吸频率等关键参数。</w:t>
      </w:r>
    </w:p>
    <w:p w14:paraId="23729B14">
      <w:pPr>
        <w:widowControl/>
        <w:spacing w:line="360" w:lineRule="auto"/>
        <w:jc w:val="left"/>
        <w:rPr>
          <w:rFonts w:hint="eastAsia" w:ascii="仿宋" w:hAnsi="仿宋" w:eastAsia="仿宋" w:cs="仿宋"/>
          <w:color w:val="000000"/>
          <w:kern w:val="0"/>
          <w:sz w:val="24"/>
          <w:lang w:bidi="ar"/>
        </w:rPr>
      </w:pPr>
      <w:r>
        <w:rPr>
          <w:rFonts w:hint="eastAsia" w:ascii="仿宋" w:hAnsi="仿宋" w:eastAsia="仿宋" w:cs="仿宋"/>
          <w:color w:val="000000"/>
          <w:kern w:val="0"/>
          <w:sz w:val="24"/>
          <w:lang w:bidi="ar"/>
        </w:rPr>
        <w:t>4.2波形监测：压力—时间、流速—时间、容量—时间、CO</w:t>
      </w:r>
      <w:r>
        <w:rPr>
          <w:rFonts w:hint="eastAsia" w:ascii="仿宋" w:hAnsi="仿宋" w:eastAsia="仿宋" w:cs="仿宋"/>
          <w:color w:val="000000"/>
          <w:kern w:val="0"/>
          <w:sz w:val="24"/>
          <w:vertAlign w:val="subscript"/>
          <w:lang w:bidi="ar"/>
        </w:rPr>
        <w:t>2</w:t>
      </w:r>
      <w:r>
        <w:rPr>
          <w:rFonts w:hint="eastAsia" w:ascii="仿宋" w:hAnsi="仿宋" w:eastAsia="仿宋" w:cs="仿宋"/>
          <w:color w:val="000000"/>
          <w:kern w:val="0"/>
          <w:sz w:val="24"/>
          <w:lang w:bidi="ar"/>
        </w:rPr>
        <w:t>—时间波形、SpO</w:t>
      </w:r>
      <w:r>
        <w:rPr>
          <w:rFonts w:hint="eastAsia" w:ascii="仿宋" w:hAnsi="仿宋" w:eastAsia="仿宋" w:cs="仿宋"/>
          <w:color w:val="000000"/>
          <w:kern w:val="0"/>
          <w:sz w:val="24"/>
          <w:vertAlign w:val="subscript"/>
          <w:lang w:bidi="ar"/>
        </w:rPr>
        <w:t>2</w:t>
      </w:r>
      <w:r>
        <w:rPr>
          <w:rFonts w:hint="eastAsia" w:ascii="仿宋" w:hAnsi="仿宋" w:eastAsia="仿宋" w:cs="仿宋"/>
          <w:color w:val="000000"/>
          <w:kern w:val="0"/>
          <w:sz w:val="24"/>
          <w:lang w:bidi="ar"/>
        </w:rPr>
        <w:t>—时间波形</w:t>
      </w:r>
    </w:p>
    <w:p w14:paraId="208E12E0">
      <w:pPr>
        <w:widowControl/>
        <w:spacing w:line="360" w:lineRule="auto"/>
        <w:jc w:val="left"/>
        <w:rPr>
          <w:rFonts w:hint="eastAsia" w:ascii="仿宋" w:hAnsi="仿宋" w:eastAsia="仿宋" w:cs="仿宋"/>
          <w:color w:val="000000"/>
          <w:kern w:val="0"/>
          <w:sz w:val="24"/>
          <w:lang w:bidi="ar"/>
        </w:rPr>
      </w:pPr>
      <w:r>
        <w:rPr>
          <w:rFonts w:hint="eastAsia" w:ascii="仿宋" w:hAnsi="仿宋" w:eastAsia="仿宋" w:cs="仿宋"/>
          <w:color w:val="000000"/>
          <w:kern w:val="0"/>
          <w:sz w:val="24"/>
          <w:lang w:bidi="ar"/>
        </w:rPr>
        <w:t>4.3容量参数：呼出潮气量、目标分钟通气量、自主呼出分钟通气量、总呼出分钟通气量</w:t>
      </w:r>
    </w:p>
    <w:p w14:paraId="79AC96F5">
      <w:pPr>
        <w:widowControl/>
        <w:spacing w:line="360" w:lineRule="auto"/>
        <w:jc w:val="left"/>
        <w:rPr>
          <w:rFonts w:hint="eastAsia" w:ascii="仿宋" w:hAnsi="仿宋" w:eastAsia="仿宋" w:cs="仿宋"/>
          <w:color w:val="000000"/>
          <w:kern w:val="0"/>
          <w:sz w:val="24"/>
          <w:lang w:bidi="ar"/>
        </w:rPr>
      </w:pPr>
      <w:r>
        <w:rPr>
          <w:rFonts w:hint="eastAsia" w:ascii="仿宋" w:hAnsi="仿宋" w:eastAsia="仿宋" w:cs="仿宋"/>
          <w:color w:val="000000"/>
          <w:kern w:val="0"/>
          <w:sz w:val="24"/>
          <w:lang w:bidi="ar"/>
        </w:rPr>
        <w:t>4.4支持显示≥100小时的全部监测参数趋势图、表分析，≥8000条报警和操作日志记录</w:t>
      </w:r>
    </w:p>
    <w:p w14:paraId="3CA5CF7C">
      <w:pPr>
        <w:widowControl/>
        <w:spacing w:line="360" w:lineRule="auto"/>
        <w:jc w:val="left"/>
        <w:rPr>
          <w:rFonts w:hint="eastAsia" w:ascii="仿宋" w:hAnsi="仿宋" w:eastAsia="仿宋" w:cs="仿宋"/>
          <w:color w:val="000000"/>
          <w:kern w:val="0"/>
          <w:sz w:val="24"/>
          <w:lang w:bidi="ar"/>
        </w:rPr>
      </w:pPr>
      <w:r>
        <w:rPr>
          <w:rFonts w:hint="eastAsia" w:ascii="仿宋" w:hAnsi="仿宋" w:eastAsia="仿宋" w:cs="仿宋"/>
          <w:color w:val="000000"/>
          <w:kern w:val="0"/>
          <w:sz w:val="24"/>
          <w:lang w:bidi="ar"/>
        </w:rPr>
        <w:t>4.5具有关机状态下电量显示功能，更加高效掌握机器剩余电量</w:t>
      </w:r>
    </w:p>
    <w:p w14:paraId="69DF6EAF">
      <w:pPr>
        <w:widowControl/>
        <w:spacing w:line="360" w:lineRule="auto"/>
        <w:jc w:val="left"/>
        <w:rPr>
          <w:rFonts w:hint="eastAsia" w:ascii="仿宋" w:hAnsi="仿宋" w:eastAsia="仿宋" w:cs="仿宋"/>
          <w:color w:val="000000"/>
          <w:kern w:val="0"/>
          <w:sz w:val="24"/>
          <w:lang w:bidi="ar"/>
        </w:rPr>
      </w:pPr>
      <w:r>
        <w:rPr>
          <w:rFonts w:hint="eastAsia" w:ascii="仿宋" w:hAnsi="仿宋" w:eastAsia="仿宋" w:cs="仿宋"/>
          <w:color w:val="000000"/>
          <w:kern w:val="0"/>
          <w:sz w:val="24"/>
          <w:lang w:bidi="ar"/>
        </w:rPr>
        <w:t>4.6 其他：病人触发</w:t>
      </w:r>
    </w:p>
    <w:p w14:paraId="44B8B0AD">
      <w:pPr>
        <w:widowControl/>
        <w:spacing w:line="360" w:lineRule="auto"/>
        <w:jc w:val="left"/>
        <w:rPr>
          <w:rFonts w:hint="eastAsia" w:ascii="仿宋" w:hAnsi="仿宋" w:eastAsia="仿宋" w:cs="仿宋"/>
          <w:color w:val="000000"/>
          <w:kern w:val="0"/>
          <w:sz w:val="24"/>
          <w:lang w:bidi="ar"/>
        </w:rPr>
      </w:pPr>
      <w:r>
        <w:rPr>
          <w:rFonts w:hint="eastAsia" w:ascii="仿宋" w:hAnsi="仿宋" w:eastAsia="仿宋" w:cs="仿宋"/>
          <w:color w:val="000000"/>
          <w:kern w:val="0"/>
          <w:sz w:val="24"/>
          <w:lang w:bidi="ar"/>
        </w:rPr>
        <w:t>5 报警：潮气量、通气量、压力、呼吸频率、窒息、氧浓度、氧气不足、电量不足、管路脱落、机器故障等。</w:t>
      </w:r>
    </w:p>
    <w:p w14:paraId="3254EB21">
      <w:pPr>
        <w:rPr>
          <w:rFonts w:hint="eastAsia" w:ascii="仿宋" w:hAnsi="仿宋" w:eastAsia="仿宋" w:cs="仿宋"/>
          <w:b/>
          <w:sz w:val="24"/>
        </w:rPr>
      </w:pPr>
      <w:bookmarkStart w:id="1" w:name="_GoBack"/>
      <w:bookmarkEnd w:id="1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@微软简标宋">
    <w:altName w:val="@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@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50B0BFC"/>
    <w:rsid w:val="45E32D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keepNext/>
      <w:keepLines/>
      <w:spacing w:before="340" w:beforeLines="0" w:after="330" w:afterLines="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qFormat/>
    <w:uiPriority w:val="9"/>
    <w:pPr>
      <w:keepNext/>
      <w:keepLines/>
      <w:spacing w:before="260" w:beforeLines="0" w:after="260" w:afterLines="0" w:line="416" w:lineRule="auto"/>
      <w:outlineLvl w:val="1"/>
    </w:pPr>
    <w:rPr>
      <w:rFonts w:ascii="Cambria" w:hAnsi="Cambria"/>
      <w:b/>
      <w:bCs/>
      <w:sz w:val="32"/>
      <w:szCs w:val="32"/>
    </w:rPr>
  </w:style>
  <w:style w:type="character" w:default="1" w:styleId="8">
    <w:name w:val="Default Paragraph Font"/>
    <w:semiHidden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 Indent"/>
    <w:basedOn w:val="1"/>
    <w:qFormat/>
    <w:uiPriority w:val="0"/>
    <w:pPr>
      <w:spacing w:after="120" w:afterLines="0" w:afterAutospacing="0"/>
      <w:ind w:left="420" w:leftChars="200"/>
    </w:pPr>
  </w:style>
  <w:style w:type="paragraph" w:styleId="5">
    <w:name w:val="Normal (Web)"/>
    <w:basedOn w:val="1"/>
    <w:qFormat/>
    <w:uiPriority w:val="0"/>
    <w:pPr>
      <w:widowControl/>
      <w:spacing w:before="100" w:beforeLines="0" w:beforeAutospacing="1" w:after="100" w:afterLines="0" w:afterAutospacing="1"/>
      <w:jc w:val="left"/>
    </w:pPr>
    <w:rPr>
      <w:rFonts w:ascii="宋体" w:hAnsi="宋体"/>
      <w:color w:val="000000"/>
      <w:kern w:val="0"/>
      <w:sz w:val="24"/>
    </w:rPr>
  </w:style>
  <w:style w:type="paragraph" w:styleId="6">
    <w:name w:val="Body Text First Indent 2"/>
    <w:basedOn w:val="4"/>
    <w:qFormat/>
    <w:uiPriority w:val="0"/>
    <w:pPr>
      <w:ind w:firstLine="420" w:firstLineChars="200"/>
    </w:pPr>
  </w:style>
  <w:style w:type="paragraph" w:customStyle="1" w:styleId="9">
    <w:name w:val="无间隔1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paragraph" w:customStyle="1" w:styleId="10">
    <w:name w:val="p0"/>
    <w:basedOn w:val="1"/>
    <w:uiPriority w:val="0"/>
    <w:pPr>
      <w:widowControl/>
    </w:pPr>
    <w:rPr>
      <w:kern w:val="0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2025-05-07T02:39:00Z</dcterms:created>
  <dc:creator>Lenovo</dc:creator>
  <cp:lastModifiedBy>豆奶是个小胖子</cp:lastModifiedBy>
  <dcterms:modified xsi:type="dcterms:W3CDTF">2025-10-29T05:56:06Z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D323BED4188548F7B9F5AA7631948CC4_12</vt:lpwstr>
  </property>
  <property fmtid="{D5CDD505-2E9C-101B-9397-08002B2CF9AE}" pid="4" name="KSOTemplateDocerSaveRecord">
    <vt:lpwstr>eyJoZGlkIjoiNDAzNTQ2YzQzMjg1Y2RiZDM0NWYxOWI5N2Q4ZWNmMTEiLCJ1c2VySWQiOiIzMDI3OTc1ODcifQ==</vt:lpwstr>
  </property>
</Properties>
</file>