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B355F7">
      <w:pPr>
        <w:pStyle w:val="2"/>
        <w:widowControl/>
        <w:snapToGrid w:val="0"/>
        <w:spacing w:before="0" w:after="0" w:line="360" w:lineRule="auto"/>
        <w:jc w:val="center"/>
        <w:rPr>
          <w:rFonts w:hint="eastAsia" w:ascii="宋体" w:hAnsi="宋体"/>
          <w:color w:val="000000"/>
        </w:rPr>
      </w:pPr>
      <w:bookmarkStart w:id="0" w:name="_Toc23330"/>
      <w:r>
        <w:rPr>
          <w:rFonts w:hint="eastAsia" w:ascii="宋体" w:hAnsi="宋体"/>
          <w:color w:val="000000"/>
        </w:rPr>
        <w:t>第三章  采购需求及技术规格要求</w:t>
      </w:r>
      <w:bookmarkEnd w:id="0"/>
    </w:p>
    <w:p w14:paraId="5FD90642">
      <w:pPr>
        <w:pStyle w:val="3"/>
        <w:spacing w:before="0" w:after="0" w:line="360" w:lineRule="auto"/>
        <w:rPr>
          <w:rStyle w:val="12"/>
          <w:rFonts w:ascii="宋体" w:hAnsi="宋体" w:eastAsia="仿宋"/>
          <w:b/>
          <w:bCs/>
          <w:sz w:val="24"/>
          <w:szCs w:val="24"/>
        </w:rPr>
      </w:pPr>
      <w:bookmarkStart w:id="1" w:name="_Toc466024556"/>
      <w:bookmarkStart w:id="2" w:name="_Toc455587089"/>
      <w:bookmarkStart w:id="3" w:name="_Toc455587273"/>
      <w:r>
        <w:rPr>
          <w:rStyle w:val="12"/>
          <w:rFonts w:hint="eastAsia" w:ascii="仿宋" w:hAnsi="仿宋" w:eastAsia="仿宋" w:cs="仿宋"/>
          <w:b/>
          <w:bCs/>
          <w:sz w:val="24"/>
          <w:szCs w:val="24"/>
        </w:rPr>
        <w:t xml:space="preserve">1. </w:t>
      </w:r>
      <w:bookmarkEnd w:id="1"/>
      <w:bookmarkEnd w:id="2"/>
      <w:bookmarkEnd w:id="3"/>
      <w:r>
        <w:rPr>
          <w:rStyle w:val="12"/>
          <w:rFonts w:hint="eastAsia" w:ascii="仿宋" w:hAnsi="仿宋" w:eastAsia="仿宋" w:cs="仿宋"/>
          <w:b/>
          <w:bCs/>
          <w:sz w:val="24"/>
          <w:szCs w:val="24"/>
        </w:rPr>
        <w:t>总</w:t>
      </w:r>
      <w:r>
        <w:rPr>
          <w:rStyle w:val="12"/>
          <w:rFonts w:hint="eastAsia" w:ascii="宋体" w:hAnsi="宋体" w:eastAsia="仿宋"/>
          <w:b/>
          <w:bCs/>
          <w:sz w:val="24"/>
          <w:szCs w:val="24"/>
        </w:rPr>
        <w:t>体说明</w:t>
      </w:r>
    </w:p>
    <w:p w14:paraId="273C985B">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1.1 本技术规格所提出的要求是对本次招标货物的基本技术要求，并未涉及所有技术细节，也未充分引述有关标准、规范的全部条款。投标人应保证其提供的货物除了满足本技术规格的要求外，还应符合中国国家、行业、地方或设备制造商所在国的有关标准、规范（尤其是必须符合中国国家标准的有关强制性规定)。</w:t>
      </w:r>
    </w:p>
    <w:p w14:paraId="3D91AC0A">
      <w:pPr>
        <w:widowControl/>
        <w:tabs>
          <w:tab w:val="left" w:pos="1406"/>
        </w:tabs>
        <w:snapToGrid w:val="0"/>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1.2 本采购需求中提出的技术方案仅为参考，如无明确限制，投标供应商可以进行优化，提供满足采购人实际需要的更优（或者性能实质上不低于的）技术方案或者设备配置，且此方案或配置须经评标委员会评审认可；</w:t>
      </w:r>
      <w:r>
        <w:rPr>
          <w:rFonts w:hint="eastAsia" w:ascii="仿宋" w:hAnsi="仿宋" w:eastAsia="仿宋" w:cs="仿宋"/>
          <w:color w:val="000000"/>
          <w:sz w:val="24"/>
        </w:rPr>
        <w:cr/>
      </w:r>
      <w:r>
        <w:rPr>
          <w:rFonts w:hint="eastAsia" w:ascii="仿宋" w:hAnsi="仿宋" w:eastAsia="仿宋" w:cs="仿宋"/>
          <w:color w:val="000000"/>
          <w:sz w:val="24"/>
        </w:rPr>
        <w:t xml:space="preserve">   1.3 投标供应商应当在投标文件中列出完成本项目所需的所有各项服务等明细表及全部费用。中标供应商必须确保整体通过采购人及有关主管部门验收；投标供应商应自行踏勘项目现场，如投标供应商因未及时踏勘现场而导致的报价缺项漏项废标或中标后无法完工，投标供应商自行承担一切后果；</w:t>
      </w:r>
    </w:p>
    <w:p w14:paraId="65F57CD0">
      <w:pPr>
        <w:widowControl/>
        <w:tabs>
          <w:tab w:val="left" w:pos="1406"/>
        </w:tabs>
        <w:snapToGrid w:val="0"/>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1.4 本章中提及的工艺、材料、设备的标准及品牌或型号（如有）仅起说明作用，并没有强制性。投标人在投标中可以用替代工艺、材料、设备的标准及品牌或型号，但这种替代须实质上满足、等同或优于本章技术要求，同时须提供相关证明材料，否则可能被评标委员会认定为负偏离。</w:t>
      </w:r>
    </w:p>
    <w:p w14:paraId="171D28E9">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1.6 除非有特别说明，本章中所列的具体参数或参数范围，均理解为采购人可接受的最低要求。</w:t>
      </w:r>
    </w:p>
    <w:p w14:paraId="1E72F9E1">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1.7采购需求如包含属于《节能产品政府采购品目清单》中政府强制采购的节能产品， 则投标人所投产品须具有市场监管总局公布的《参与实施政府采购节能产品认证机构目录》中的认证机构出具的、处于有效期内的节能（节水）产品认证证书。</w:t>
      </w:r>
    </w:p>
    <w:p w14:paraId="20F995DD">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1.8 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3F711C37">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1.9标注“▲”的产品为主要标的（包括核心产品），核心产品的名称、品牌、规格型号、数量、单价等将予以公布。</w:t>
      </w:r>
    </w:p>
    <w:p w14:paraId="38868BB1">
      <w:pPr>
        <w:widowControl/>
        <w:tabs>
          <w:tab w:val="left" w:pos="1406"/>
        </w:tabs>
        <w:snapToGrid w:val="0"/>
        <w:spacing w:line="360" w:lineRule="auto"/>
        <w:rPr>
          <w:rFonts w:hint="eastAsia" w:ascii="仿宋" w:hAnsi="仿宋" w:eastAsia="仿宋" w:cs="仿宋"/>
          <w:color w:val="000000"/>
          <w:sz w:val="24"/>
        </w:rPr>
      </w:pPr>
    </w:p>
    <w:p w14:paraId="360F244E">
      <w:pPr>
        <w:keepNext/>
        <w:keepLines/>
        <w:spacing w:line="360" w:lineRule="auto"/>
        <w:outlineLvl w:val="1"/>
        <w:rPr>
          <w:rFonts w:hint="eastAsia" w:ascii="仿宋" w:hAnsi="仿宋" w:eastAsia="仿宋" w:cs="仿宋"/>
          <w:b/>
          <w:bCs/>
          <w:color w:val="000000"/>
          <w:sz w:val="24"/>
        </w:rPr>
      </w:pPr>
      <w:r>
        <w:rPr>
          <w:rFonts w:hint="eastAsia" w:ascii="仿宋" w:hAnsi="仿宋" w:eastAsia="仿宋" w:cs="仿宋"/>
          <w:b/>
          <w:bCs/>
          <w:color w:val="000000"/>
          <w:sz w:val="24"/>
        </w:rPr>
        <w:t>2. 采购内容及范围</w:t>
      </w:r>
    </w:p>
    <w:p w14:paraId="0152632F">
      <w:pPr>
        <w:keepNext/>
        <w:keepLines/>
        <w:spacing w:line="360" w:lineRule="auto"/>
        <w:ind w:firstLine="480" w:firstLineChars="200"/>
        <w:outlineLvl w:val="1"/>
        <w:rPr>
          <w:rFonts w:hint="eastAsia" w:ascii="仿宋" w:hAnsi="仿宋" w:eastAsia="仿宋" w:cs="仿宋"/>
          <w:color w:val="000000"/>
          <w:sz w:val="24"/>
        </w:rPr>
      </w:pPr>
      <w:r>
        <w:rPr>
          <w:rFonts w:hint="eastAsia" w:ascii="仿宋" w:hAnsi="仿宋" w:eastAsia="仿宋" w:cs="仿宋"/>
          <w:color w:val="000000"/>
          <w:sz w:val="24"/>
        </w:rPr>
        <w:t>2.1 采购内容</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3694"/>
        <w:gridCol w:w="1062"/>
        <w:gridCol w:w="1200"/>
        <w:gridCol w:w="1606"/>
        <w:gridCol w:w="1407"/>
      </w:tblGrid>
      <w:tr w14:paraId="4D2CC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872" w:type="dxa"/>
            <w:noWrap w:val="0"/>
            <w:vAlign w:val="center"/>
          </w:tcPr>
          <w:p w14:paraId="35532EB7">
            <w:pPr>
              <w:widowControl/>
              <w:spacing w:line="360" w:lineRule="auto"/>
              <w:jc w:val="center"/>
              <w:outlineLvl w:val="1"/>
              <w:rPr>
                <w:rFonts w:hint="eastAsia" w:ascii="仿宋" w:hAnsi="仿宋" w:eastAsia="仿宋" w:cs="仿宋"/>
                <w:color w:val="000000"/>
                <w:sz w:val="24"/>
              </w:rPr>
            </w:pPr>
            <w:r>
              <w:rPr>
                <w:rFonts w:ascii="仿宋" w:hAnsi="仿宋" w:eastAsia="仿宋" w:cs="仿宋"/>
                <w:color w:val="000000"/>
                <w:kern w:val="0"/>
                <w:sz w:val="24"/>
                <w:lang w:bidi="ar"/>
              </w:rPr>
              <w:t>包号</w:t>
            </w:r>
          </w:p>
        </w:tc>
        <w:tc>
          <w:tcPr>
            <w:tcW w:w="3694" w:type="dxa"/>
            <w:noWrap w:val="0"/>
            <w:vAlign w:val="center"/>
          </w:tcPr>
          <w:p w14:paraId="14FEC550">
            <w:pPr>
              <w:widowControl/>
              <w:spacing w:line="360" w:lineRule="auto"/>
              <w:jc w:val="center"/>
              <w:outlineLvl w:val="1"/>
              <w:rPr>
                <w:rFonts w:hint="eastAsia" w:ascii="仿宋" w:hAnsi="仿宋" w:eastAsia="仿宋" w:cs="仿宋"/>
                <w:color w:val="000000"/>
                <w:sz w:val="24"/>
              </w:rPr>
            </w:pPr>
            <w:r>
              <w:rPr>
                <w:rFonts w:ascii="仿宋" w:hAnsi="仿宋" w:eastAsia="仿宋" w:cs="仿宋"/>
                <w:color w:val="000000"/>
                <w:kern w:val="0"/>
                <w:sz w:val="24"/>
                <w:lang w:bidi="ar"/>
              </w:rPr>
              <w:t>标的名称</w:t>
            </w:r>
          </w:p>
        </w:tc>
        <w:tc>
          <w:tcPr>
            <w:tcW w:w="1062" w:type="dxa"/>
            <w:noWrap w:val="0"/>
            <w:vAlign w:val="center"/>
          </w:tcPr>
          <w:p w14:paraId="4E38CCFF">
            <w:pPr>
              <w:widowControl/>
              <w:jc w:val="center"/>
              <w:rPr>
                <w:rFonts w:hint="eastAsia" w:ascii="仿宋" w:hAnsi="仿宋" w:eastAsia="仿宋" w:cs="仿宋"/>
                <w:color w:val="000000"/>
                <w:sz w:val="24"/>
              </w:rPr>
            </w:pPr>
            <w:r>
              <w:rPr>
                <w:rFonts w:ascii="仿宋" w:hAnsi="仿宋" w:eastAsia="仿宋" w:cs="仿宋"/>
                <w:color w:val="000000"/>
                <w:kern w:val="0"/>
                <w:sz w:val="24"/>
                <w:lang w:bidi="ar"/>
              </w:rPr>
              <w:t>单位</w:t>
            </w:r>
          </w:p>
        </w:tc>
        <w:tc>
          <w:tcPr>
            <w:tcW w:w="1200" w:type="dxa"/>
            <w:noWrap w:val="0"/>
            <w:vAlign w:val="center"/>
          </w:tcPr>
          <w:p w14:paraId="41A66662">
            <w:pPr>
              <w:widowControl/>
              <w:spacing w:line="360" w:lineRule="auto"/>
              <w:jc w:val="center"/>
              <w:outlineLvl w:val="1"/>
              <w:rPr>
                <w:rFonts w:hint="eastAsia" w:ascii="仿宋" w:hAnsi="仿宋" w:eastAsia="仿宋" w:cs="仿宋"/>
                <w:color w:val="000000"/>
                <w:sz w:val="24"/>
              </w:rPr>
            </w:pPr>
            <w:r>
              <w:rPr>
                <w:rFonts w:hint="eastAsia" w:ascii="仿宋" w:hAnsi="仿宋" w:eastAsia="仿宋" w:cs="仿宋"/>
                <w:color w:val="000000"/>
                <w:kern w:val="0"/>
                <w:sz w:val="24"/>
                <w:lang w:bidi="ar"/>
              </w:rPr>
              <w:t>数量</w:t>
            </w:r>
          </w:p>
        </w:tc>
        <w:tc>
          <w:tcPr>
            <w:tcW w:w="1606" w:type="dxa"/>
            <w:noWrap w:val="0"/>
            <w:vAlign w:val="center"/>
          </w:tcPr>
          <w:p w14:paraId="228C6549">
            <w:pPr>
              <w:widowControl/>
              <w:spacing w:line="360" w:lineRule="auto"/>
              <w:jc w:val="center"/>
              <w:outlineLvl w:val="1"/>
              <w:rPr>
                <w:rFonts w:hint="eastAsia" w:ascii="仿宋" w:hAnsi="仿宋" w:eastAsia="仿宋" w:cs="仿宋"/>
                <w:color w:val="000000"/>
                <w:sz w:val="24"/>
              </w:rPr>
            </w:pPr>
            <w:r>
              <w:rPr>
                <w:rFonts w:ascii="仿宋" w:hAnsi="仿宋" w:eastAsia="仿宋" w:cs="仿宋"/>
                <w:color w:val="000000"/>
                <w:kern w:val="0"/>
                <w:sz w:val="24"/>
                <w:lang w:bidi="ar"/>
              </w:rPr>
              <w:t>所属行业</w:t>
            </w:r>
          </w:p>
        </w:tc>
        <w:tc>
          <w:tcPr>
            <w:tcW w:w="1407" w:type="dxa"/>
            <w:noWrap w:val="0"/>
            <w:vAlign w:val="center"/>
          </w:tcPr>
          <w:p w14:paraId="1A5DF9CD">
            <w:pPr>
              <w:widowControl/>
              <w:spacing w:line="360" w:lineRule="auto"/>
              <w:jc w:val="center"/>
              <w:outlineLvl w:val="1"/>
              <w:rPr>
                <w:rFonts w:ascii="仿宋" w:hAnsi="仿宋" w:eastAsia="仿宋" w:cs="仿宋"/>
                <w:color w:val="000000"/>
                <w:kern w:val="0"/>
                <w:sz w:val="24"/>
                <w:lang w:bidi="ar"/>
              </w:rPr>
            </w:pPr>
            <w:r>
              <w:rPr>
                <w:rFonts w:ascii="仿宋" w:hAnsi="仿宋" w:eastAsia="仿宋" w:cs="仿宋"/>
                <w:color w:val="000000"/>
                <w:kern w:val="0"/>
                <w:sz w:val="24"/>
                <w:lang w:bidi="ar"/>
              </w:rPr>
              <w:t>是否接受进口</w:t>
            </w:r>
          </w:p>
        </w:tc>
      </w:tr>
      <w:tr w14:paraId="2108F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72" w:type="dxa"/>
            <w:noWrap w:val="0"/>
            <w:vAlign w:val="center"/>
          </w:tcPr>
          <w:p w14:paraId="0EF43E53">
            <w:pPr>
              <w:keepNext/>
              <w:keepLines/>
              <w:spacing w:line="360" w:lineRule="auto"/>
              <w:jc w:val="center"/>
              <w:outlineLvl w:val="1"/>
              <w:rPr>
                <w:rFonts w:hint="eastAsia" w:ascii="仿宋" w:hAnsi="仿宋" w:eastAsia="仿宋" w:cs="仿宋"/>
                <w:color w:val="000000"/>
                <w:sz w:val="24"/>
                <w:lang w:eastAsia="zh-CN"/>
              </w:rPr>
            </w:pPr>
            <w:r>
              <w:rPr>
                <w:rFonts w:hint="eastAsia" w:ascii="仿宋" w:hAnsi="仿宋" w:eastAsia="仿宋" w:cs="仿宋"/>
                <w:color w:val="000000"/>
                <w:sz w:val="24"/>
                <w:lang w:val="en-US" w:eastAsia="zh-CN"/>
              </w:rPr>
              <w:t>1</w:t>
            </w:r>
          </w:p>
        </w:tc>
        <w:tc>
          <w:tcPr>
            <w:tcW w:w="3694" w:type="dxa"/>
            <w:noWrap w:val="0"/>
            <w:vAlign w:val="center"/>
          </w:tcPr>
          <w:p w14:paraId="1C00C33F">
            <w:pPr>
              <w:keepNext w:val="0"/>
              <w:keepLines w:val="0"/>
              <w:widowControl/>
              <w:spacing w:line="360" w:lineRule="auto"/>
              <w:jc w:val="center"/>
              <w:outlineLvl w:val="9"/>
              <w:rPr>
                <w:rFonts w:hint="default" w:ascii="仿宋" w:hAnsi="仿宋" w:eastAsia="仿宋" w:cs="仿宋"/>
                <w:color w:val="000000"/>
                <w:kern w:val="0"/>
                <w:sz w:val="24"/>
                <w:lang w:val="en-US" w:eastAsia="zh-CN" w:bidi="ar"/>
              </w:rPr>
            </w:pPr>
            <w:r>
              <w:rPr>
                <w:rFonts w:hint="eastAsia" w:ascii="仿宋" w:hAnsi="仿宋" w:eastAsia="仿宋" w:cs="仿宋"/>
                <w:color w:val="000000"/>
                <w:sz w:val="24"/>
              </w:rPr>
              <w:t>▲</w:t>
            </w:r>
            <w:r>
              <w:rPr>
                <w:rFonts w:hint="eastAsia" w:ascii="仿宋" w:hAnsi="仿宋" w:eastAsia="仿宋" w:cs="仿宋"/>
                <w:color w:val="000000"/>
                <w:sz w:val="24"/>
                <w:lang w:val="en-US" w:eastAsia="zh-CN"/>
              </w:rPr>
              <w:t>通用手术床</w:t>
            </w:r>
          </w:p>
        </w:tc>
        <w:tc>
          <w:tcPr>
            <w:tcW w:w="1062" w:type="dxa"/>
            <w:noWrap w:val="0"/>
            <w:vAlign w:val="center"/>
          </w:tcPr>
          <w:p w14:paraId="656CE8CF">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张</w:t>
            </w:r>
          </w:p>
        </w:tc>
        <w:tc>
          <w:tcPr>
            <w:tcW w:w="1200" w:type="dxa"/>
            <w:noWrap w:val="0"/>
            <w:vAlign w:val="center"/>
          </w:tcPr>
          <w:p w14:paraId="79EA49D6">
            <w:pPr>
              <w:widowControl/>
              <w:spacing w:line="360" w:lineRule="auto"/>
              <w:jc w:val="center"/>
              <w:rPr>
                <w:rFonts w:hint="default"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6</w:t>
            </w:r>
          </w:p>
        </w:tc>
        <w:tc>
          <w:tcPr>
            <w:tcW w:w="1606" w:type="dxa"/>
            <w:noWrap w:val="0"/>
            <w:vAlign w:val="center"/>
          </w:tcPr>
          <w:p w14:paraId="3C4B4C80">
            <w:pPr>
              <w:keepNext/>
              <w:keepLines/>
              <w:spacing w:line="360" w:lineRule="auto"/>
              <w:jc w:val="center"/>
              <w:outlineLvl w:val="1"/>
              <w:rPr>
                <w:rFonts w:ascii="仿宋" w:hAnsi="仿宋" w:eastAsia="仿宋" w:cs="仿宋"/>
                <w:color w:val="000000"/>
                <w:sz w:val="24"/>
              </w:rPr>
            </w:pPr>
            <w:r>
              <w:rPr>
                <w:rFonts w:hint="eastAsia" w:ascii="仿宋" w:hAnsi="仿宋" w:eastAsia="仿宋" w:cs="仿宋"/>
                <w:color w:val="000000"/>
                <w:sz w:val="24"/>
              </w:rPr>
              <w:t>工业</w:t>
            </w:r>
          </w:p>
        </w:tc>
        <w:tc>
          <w:tcPr>
            <w:tcW w:w="1407" w:type="dxa"/>
            <w:noWrap w:val="0"/>
            <w:vAlign w:val="center"/>
          </w:tcPr>
          <w:p w14:paraId="33E265C2">
            <w:pPr>
              <w:keepNext/>
              <w:keepLines/>
              <w:spacing w:line="360" w:lineRule="auto"/>
              <w:jc w:val="center"/>
              <w:outlineLvl w:val="1"/>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bl>
    <w:p w14:paraId="4655DFE9">
      <w:pPr>
        <w:keepNext/>
        <w:keepLines/>
        <w:spacing w:line="360" w:lineRule="auto"/>
        <w:ind w:firstLine="480" w:firstLineChars="200"/>
        <w:outlineLvl w:val="1"/>
        <w:rPr>
          <w:rFonts w:hint="eastAsia" w:ascii="仿宋" w:hAnsi="仿宋" w:eastAsia="仿宋" w:cs="仿宋"/>
          <w:color w:val="000000"/>
          <w:sz w:val="24"/>
        </w:rPr>
      </w:pPr>
      <w:r>
        <w:rPr>
          <w:rFonts w:hint="eastAsia" w:ascii="仿宋" w:hAnsi="仿宋" w:eastAsia="仿宋" w:cs="仿宋"/>
          <w:color w:val="000000"/>
          <w:sz w:val="24"/>
        </w:rPr>
        <w:t>2.2 采购范围</w:t>
      </w:r>
    </w:p>
    <w:p w14:paraId="488D22B1">
      <w:pPr>
        <w:keepNext/>
        <w:keepLines/>
        <w:spacing w:line="360" w:lineRule="auto"/>
        <w:ind w:firstLine="480" w:firstLineChars="200"/>
        <w:outlineLvl w:val="1"/>
        <w:rPr>
          <w:rFonts w:hint="eastAsia" w:ascii="仿宋" w:hAnsi="仿宋" w:eastAsia="仿宋"/>
          <w:sz w:val="24"/>
        </w:rPr>
      </w:pPr>
      <w:r>
        <w:rPr>
          <w:rFonts w:hint="eastAsia" w:ascii="仿宋" w:hAnsi="仿宋" w:eastAsia="仿宋"/>
          <w:sz w:val="24"/>
        </w:rPr>
        <w:t>包括所有货物的供货、包装运输（包括卸车及就位至采购人指定的安装地点）、安装、调试、技术服务、培训、售后服务等所有内容。</w:t>
      </w:r>
    </w:p>
    <w:p w14:paraId="079F4AE0">
      <w:pPr>
        <w:keepNext/>
        <w:keepLines/>
        <w:spacing w:line="360" w:lineRule="auto"/>
        <w:outlineLvl w:val="1"/>
        <w:rPr>
          <w:rFonts w:hint="eastAsia" w:ascii="仿宋" w:hAnsi="仿宋" w:eastAsia="仿宋" w:cs="仿宋"/>
          <w:b/>
          <w:bCs/>
          <w:color w:val="000000"/>
          <w:sz w:val="24"/>
        </w:rPr>
      </w:pPr>
      <w:r>
        <w:rPr>
          <w:rFonts w:hint="eastAsia" w:ascii="仿宋" w:hAnsi="仿宋" w:eastAsia="仿宋" w:cs="仿宋"/>
          <w:b/>
          <w:bCs/>
          <w:color w:val="000000"/>
          <w:sz w:val="24"/>
        </w:rPr>
        <w:t>3.商务条款</w:t>
      </w:r>
    </w:p>
    <w:p w14:paraId="1F3F40A2">
      <w:pPr>
        <w:spacing w:line="360" w:lineRule="auto"/>
        <w:rPr>
          <w:rFonts w:hint="eastAsia" w:ascii="仿宋" w:hAnsi="仿宋" w:eastAsia="仿宋" w:cs="仿宋"/>
          <w:b/>
          <w:bCs/>
          <w:sz w:val="24"/>
          <w:szCs w:val="32"/>
        </w:rPr>
      </w:pPr>
      <w:r>
        <w:rPr>
          <w:rFonts w:hint="eastAsia" w:ascii="仿宋" w:hAnsi="仿宋" w:eastAsia="仿宋" w:cs="仿宋"/>
          <w:b/>
          <w:bCs/>
          <w:sz w:val="24"/>
          <w:szCs w:val="32"/>
        </w:rPr>
        <w:t>除非有特别说明，本条为实质性要求。</w:t>
      </w:r>
    </w:p>
    <w:tbl>
      <w:tblPr>
        <w:tblStyle w:val="10"/>
        <w:tblW w:w="0" w:type="auto"/>
        <w:tblInd w:w="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1139"/>
        <w:gridCol w:w="7978"/>
      </w:tblGrid>
      <w:tr w14:paraId="7CFFE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640" w:type="dxa"/>
            <w:noWrap w:val="0"/>
            <w:vAlign w:val="center"/>
          </w:tcPr>
          <w:p w14:paraId="5E249333">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序号</w:t>
            </w:r>
          </w:p>
        </w:tc>
        <w:tc>
          <w:tcPr>
            <w:tcW w:w="9117" w:type="dxa"/>
            <w:gridSpan w:val="2"/>
            <w:noWrap w:val="0"/>
            <w:vAlign w:val="center"/>
          </w:tcPr>
          <w:p w14:paraId="3A8E9335">
            <w:pPr>
              <w:wordWrap w:val="0"/>
              <w:spacing w:line="360" w:lineRule="auto"/>
              <w:ind w:firstLine="2891" w:firstLineChars="1200"/>
              <w:jc w:val="left"/>
              <w:rPr>
                <w:rFonts w:hint="eastAsia" w:ascii="仿宋" w:hAnsi="仿宋" w:eastAsia="仿宋" w:cs="仿宋"/>
                <w:b/>
                <w:color w:val="000000"/>
                <w:sz w:val="24"/>
              </w:rPr>
            </w:pPr>
            <w:r>
              <w:rPr>
                <w:rFonts w:hint="eastAsia" w:ascii="仿宋" w:hAnsi="仿宋" w:eastAsia="仿宋" w:cs="仿宋"/>
                <w:b/>
                <w:color w:val="000000"/>
                <w:sz w:val="24"/>
              </w:rPr>
              <w:t>商务条款内容</w:t>
            </w:r>
          </w:p>
        </w:tc>
      </w:tr>
      <w:tr w14:paraId="3F4AA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40" w:type="dxa"/>
            <w:noWrap w:val="0"/>
            <w:vAlign w:val="center"/>
          </w:tcPr>
          <w:p w14:paraId="25BC0727">
            <w:pPr>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1</w:t>
            </w:r>
          </w:p>
        </w:tc>
        <w:tc>
          <w:tcPr>
            <w:tcW w:w="1139" w:type="dxa"/>
            <w:noWrap w:val="0"/>
            <w:vAlign w:val="center"/>
          </w:tcPr>
          <w:p w14:paraId="1512C9E9">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交付（实施）的时间（期限）</w:t>
            </w:r>
          </w:p>
        </w:tc>
        <w:tc>
          <w:tcPr>
            <w:tcW w:w="7978" w:type="dxa"/>
            <w:noWrap w:val="0"/>
            <w:vAlign w:val="center"/>
          </w:tcPr>
          <w:p w14:paraId="2A4313B0">
            <w:pPr>
              <w:widowControl/>
              <w:adjustRightInd w:val="0"/>
              <w:snapToGrid w:val="0"/>
              <w:spacing w:line="288" w:lineRule="auto"/>
              <w:rPr>
                <w:rFonts w:ascii="仿宋" w:hAnsi="仿宋" w:eastAsia="仿宋" w:cs="仿宋"/>
                <w:bCs/>
                <w:color w:val="000000"/>
                <w:sz w:val="24"/>
              </w:rPr>
            </w:pPr>
            <w:r>
              <w:rPr>
                <w:rFonts w:hint="eastAsia" w:ascii="仿宋" w:hAnsi="仿宋" w:eastAsia="仿宋" w:cs="仿宋"/>
                <w:bCs/>
                <w:color w:val="000000"/>
                <w:sz w:val="24"/>
              </w:rPr>
              <w:t>合同签订生效后，接采购人通知后</w:t>
            </w:r>
            <w:r>
              <w:rPr>
                <w:rFonts w:hint="eastAsia" w:ascii="仿宋" w:hAnsi="仿宋" w:eastAsia="仿宋" w:cs="仿宋"/>
                <w:bCs/>
                <w:color w:val="000000"/>
                <w:sz w:val="24"/>
                <w:lang w:val="en-US" w:eastAsia="zh-CN"/>
              </w:rPr>
              <w:t>30</w:t>
            </w:r>
            <w:r>
              <w:rPr>
                <w:rFonts w:hint="eastAsia" w:ascii="仿宋" w:hAnsi="仿宋" w:eastAsia="仿宋" w:cs="仿宋"/>
                <w:bCs/>
                <w:color w:val="000000"/>
                <w:sz w:val="24"/>
              </w:rPr>
              <w:t>个日历天内完成供货安装调试。</w:t>
            </w:r>
          </w:p>
          <w:p w14:paraId="5C3E581F">
            <w:pPr>
              <w:widowControl/>
              <w:adjustRightInd w:val="0"/>
              <w:snapToGrid w:val="0"/>
              <w:spacing w:line="288" w:lineRule="auto"/>
              <w:rPr>
                <w:rFonts w:hint="eastAsia" w:ascii="仿宋" w:hAnsi="仿宋" w:eastAsia="仿宋" w:cs="仿宋"/>
                <w:bCs/>
                <w:color w:val="000000"/>
                <w:sz w:val="24"/>
              </w:rPr>
            </w:pPr>
            <w:r>
              <w:rPr>
                <w:rFonts w:hint="eastAsia" w:ascii="仿宋" w:hAnsi="仿宋" w:eastAsia="仿宋" w:cs="仿宋"/>
                <w:bCs/>
                <w:color w:val="000000"/>
                <w:sz w:val="24"/>
              </w:rPr>
              <w:t>是否接受负偏离：</w:t>
            </w:r>
            <w:r>
              <w:rPr>
                <w:rFonts w:hint="eastAsia" w:ascii="宋体" w:hAnsi="宋体" w:eastAsia="仿宋"/>
                <w:bCs/>
                <w:sz w:val="24"/>
              </w:rPr>
              <w:sym w:font="Wingdings" w:char="F0FE"/>
            </w:r>
            <w:r>
              <w:rPr>
                <w:rFonts w:hint="eastAsia" w:ascii="仿宋" w:hAnsi="仿宋" w:eastAsia="仿宋" w:cs="仿宋"/>
                <w:bCs/>
                <w:color w:val="000000"/>
                <w:sz w:val="24"/>
              </w:rPr>
              <w:t>不接受</w:t>
            </w:r>
          </w:p>
          <w:p w14:paraId="35A1DBA4">
            <w:pPr>
              <w:pStyle w:val="13"/>
              <w:ind w:firstLine="480"/>
              <w:rPr>
                <w:rFonts w:hint="eastAsia" w:ascii="仿宋" w:hAnsi="仿宋" w:eastAsia="仿宋" w:cs="仿宋"/>
                <w:bCs/>
                <w:color w:val="000000"/>
                <w:sz w:val="24"/>
              </w:rPr>
            </w:pPr>
            <w:r>
              <w:rPr>
                <w:rFonts w:hint="eastAsia" w:ascii="仿宋" w:hAnsi="仿宋" w:eastAsia="仿宋" w:cs="仿宋"/>
                <w:bCs/>
                <w:color w:val="000000"/>
                <w:sz w:val="24"/>
              </w:rPr>
              <w:t>□接受：</w:t>
            </w:r>
          </w:p>
          <w:p w14:paraId="7060154F">
            <w:pPr>
              <w:wordWrap w:val="0"/>
              <w:spacing w:line="360" w:lineRule="auto"/>
              <w:rPr>
                <w:rFonts w:hint="eastAsia" w:ascii="仿宋" w:hAnsi="仿宋" w:eastAsia="仿宋" w:cs="仿宋"/>
                <w:bCs/>
                <w:color w:val="000000"/>
                <w:sz w:val="24"/>
              </w:rPr>
            </w:pPr>
            <w:r>
              <w:rPr>
                <w:rFonts w:hint="eastAsia" w:ascii="仿宋" w:hAnsi="仿宋" w:eastAsia="仿宋" w:cs="仿宋"/>
                <w:bCs/>
                <w:color w:val="000000"/>
                <w:sz w:val="24"/>
              </w:rPr>
              <w:t>允许偏离的幅度：/</w:t>
            </w:r>
          </w:p>
        </w:tc>
      </w:tr>
      <w:tr w14:paraId="383EB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40" w:type="dxa"/>
            <w:noWrap w:val="0"/>
            <w:vAlign w:val="center"/>
          </w:tcPr>
          <w:p w14:paraId="7C987F5D">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2</w:t>
            </w:r>
          </w:p>
        </w:tc>
        <w:tc>
          <w:tcPr>
            <w:tcW w:w="1139" w:type="dxa"/>
            <w:noWrap w:val="0"/>
            <w:vAlign w:val="center"/>
          </w:tcPr>
          <w:p w14:paraId="51009140">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交付（实施）的地点（范围）</w:t>
            </w:r>
          </w:p>
        </w:tc>
        <w:tc>
          <w:tcPr>
            <w:tcW w:w="7978" w:type="dxa"/>
            <w:noWrap w:val="0"/>
            <w:vAlign w:val="center"/>
          </w:tcPr>
          <w:p w14:paraId="685391DD">
            <w:pPr>
              <w:wordWrap w:val="0"/>
              <w:spacing w:line="360" w:lineRule="auto"/>
              <w:jc w:val="center"/>
              <w:rPr>
                <w:rFonts w:hint="eastAsia" w:ascii="仿宋" w:hAnsi="仿宋" w:eastAsia="仿宋" w:cs="仿宋"/>
                <w:b w:val="0"/>
                <w:bCs/>
                <w:color w:val="000000"/>
                <w:sz w:val="24"/>
                <w:lang w:val="en-US" w:eastAsia="zh-CN"/>
              </w:rPr>
            </w:pPr>
            <w:r>
              <w:rPr>
                <w:rFonts w:hint="eastAsia" w:ascii="仿宋" w:hAnsi="仿宋" w:eastAsia="仿宋" w:cs="仿宋"/>
                <w:b w:val="0"/>
                <w:bCs/>
                <w:color w:val="000000"/>
                <w:sz w:val="24"/>
                <w:lang w:val="en-US" w:eastAsia="zh-CN"/>
              </w:rPr>
              <w:t>上海市第六人民医院安徽医院</w:t>
            </w:r>
          </w:p>
          <w:p w14:paraId="40321C7A">
            <w:pPr>
              <w:wordWrap w:val="0"/>
              <w:spacing w:line="360" w:lineRule="auto"/>
              <w:rPr>
                <w:rFonts w:hint="default" w:ascii="仿宋" w:hAnsi="仿宋" w:eastAsia="仿宋" w:cs="仿宋"/>
                <w:bCs/>
                <w:color w:val="000000"/>
                <w:sz w:val="24"/>
                <w:lang w:val="en-US" w:eastAsia="zh-CN"/>
              </w:rPr>
            </w:pPr>
          </w:p>
        </w:tc>
      </w:tr>
      <w:tr w14:paraId="12BDC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40" w:type="dxa"/>
            <w:noWrap w:val="0"/>
            <w:vAlign w:val="center"/>
          </w:tcPr>
          <w:p w14:paraId="1128B1F1">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3</w:t>
            </w:r>
          </w:p>
        </w:tc>
        <w:tc>
          <w:tcPr>
            <w:tcW w:w="1139" w:type="dxa"/>
            <w:noWrap w:val="0"/>
            <w:vAlign w:val="center"/>
          </w:tcPr>
          <w:p w14:paraId="674AEAB4">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付款方式</w:t>
            </w:r>
          </w:p>
        </w:tc>
        <w:tc>
          <w:tcPr>
            <w:tcW w:w="7978" w:type="dxa"/>
            <w:noWrap w:val="0"/>
            <w:vAlign w:val="center"/>
          </w:tcPr>
          <w:p w14:paraId="6DFF244B">
            <w:pPr>
              <w:widowControl/>
              <w:adjustRightInd w:val="0"/>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xml:space="preserve">本项目货到安装验收合格，提供产品的使用、操作及维修人员的培训， 并能独立操作且使用部门签字确认后，采购人支付全部货款。 </w:t>
            </w:r>
          </w:p>
          <w:p w14:paraId="273A9BA0">
            <w:pPr>
              <w:wordWrap w:val="0"/>
              <w:spacing w:line="360" w:lineRule="auto"/>
              <w:rPr>
                <w:rFonts w:hint="eastAsia" w:ascii="仿宋" w:hAnsi="仿宋" w:eastAsia="仿宋" w:cs="仿宋"/>
                <w:b/>
                <w:color w:val="000000"/>
                <w:sz w:val="24"/>
              </w:rPr>
            </w:pPr>
            <w:r>
              <w:rPr>
                <w:rFonts w:hint="eastAsia" w:ascii="仿宋" w:hAnsi="仿宋" w:eastAsia="仿宋" w:cs="仿宋"/>
                <w:color w:val="000000"/>
                <w:sz w:val="24"/>
              </w:rPr>
              <w:t>是否接受负偏离：</w:t>
            </w:r>
            <w:r>
              <w:rPr>
                <w:rFonts w:hint="eastAsia" w:ascii="仿宋" w:hAnsi="仿宋" w:eastAsia="仿宋" w:cs="仿宋"/>
                <w:color w:val="000000"/>
                <w:sz w:val="24"/>
              </w:rPr>
              <w:sym w:font="Wingdings 2" w:char="0052"/>
            </w:r>
            <w:r>
              <w:rPr>
                <w:rFonts w:hint="eastAsia" w:ascii="仿宋" w:hAnsi="仿宋" w:eastAsia="仿宋" w:cs="仿宋"/>
                <w:color w:val="000000"/>
                <w:sz w:val="24"/>
              </w:rPr>
              <w:t xml:space="preserve">不接受  </w:t>
            </w:r>
          </w:p>
        </w:tc>
      </w:tr>
      <w:tr w14:paraId="174CF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40" w:type="dxa"/>
            <w:noWrap w:val="0"/>
            <w:vAlign w:val="center"/>
          </w:tcPr>
          <w:p w14:paraId="12264094">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4</w:t>
            </w:r>
          </w:p>
        </w:tc>
        <w:tc>
          <w:tcPr>
            <w:tcW w:w="1139" w:type="dxa"/>
            <w:noWrap w:val="0"/>
            <w:vAlign w:val="center"/>
          </w:tcPr>
          <w:p w14:paraId="5E67C0F2">
            <w:pPr>
              <w:wordWrap w:val="0"/>
              <w:spacing w:line="360" w:lineRule="auto"/>
              <w:jc w:val="center"/>
              <w:rPr>
                <w:rFonts w:hint="eastAsia" w:ascii="仿宋" w:hAnsi="仿宋" w:eastAsia="仿宋" w:cs="仿宋"/>
                <w:b/>
                <w:bCs/>
                <w:color w:val="000000"/>
                <w:sz w:val="24"/>
              </w:rPr>
            </w:pPr>
            <w:r>
              <w:rPr>
                <w:rFonts w:hint="eastAsia" w:ascii="宋体" w:hAnsi="宋体" w:eastAsia="仿宋" w:cs="Calibri"/>
                <w:b/>
                <w:bCs/>
                <w:sz w:val="24"/>
              </w:rPr>
              <w:t>质量保证期</w:t>
            </w:r>
          </w:p>
        </w:tc>
        <w:tc>
          <w:tcPr>
            <w:tcW w:w="7978" w:type="dxa"/>
            <w:noWrap w:val="0"/>
            <w:vAlign w:val="top"/>
          </w:tcPr>
          <w:p w14:paraId="598852B2">
            <w:pPr>
              <w:widowControl/>
              <w:adjustRightInd w:val="0"/>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自验收合格之日起整体（主机+配套产品）原厂质保不少于</w:t>
            </w:r>
            <w:r>
              <w:rPr>
                <w:rFonts w:hint="eastAsia" w:ascii="仿宋" w:hAnsi="仿宋" w:eastAsia="仿宋" w:cs="仿宋"/>
                <w:color w:val="000000"/>
                <w:sz w:val="24"/>
                <w:lang w:val="en-US" w:eastAsia="zh-CN"/>
              </w:rPr>
              <w:t>72</w:t>
            </w:r>
            <w:r>
              <w:rPr>
                <w:rFonts w:hint="eastAsia" w:ascii="仿宋" w:hAnsi="仿宋" w:eastAsia="仿宋" w:cs="仿宋"/>
                <w:color w:val="000000"/>
                <w:sz w:val="24"/>
              </w:rPr>
              <w:t>个月。</w:t>
            </w:r>
          </w:p>
          <w:p w14:paraId="62B53274">
            <w:pPr>
              <w:widowControl/>
              <w:adjustRightInd w:val="0"/>
              <w:snapToGrid w:val="0"/>
              <w:spacing w:line="288" w:lineRule="auto"/>
              <w:rPr>
                <w:rFonts w:hint="eastAsia" w:ascii="仿宋" w:hAnsi="仿宋" w:eastAsia="仿宋" w:cs="仿宋"/>
                <w:bCs/>
                <w:color w:val="000000"/>
                <w:sz w:val="24"/>
              </w:rPr>
            </w:pPr>
            <w:r>
              <w:rPr>
                <w:rFonts w:hint="eastAsia" w:ascii="宋体" w:hAnsi="宋体" w:eastAsia="仿宋" w:cs="Calibri"/>
                <w:sz w:val="24"/>
              </w:rPr>
              <w:t>是否接受负偏离：</w:t>
            </w:r>
            <w:r>
              <w:rPr>
                <w:rFonts w:hint="eastAsia" w:ascii="宋体" w:hAnsi="宋体" w:eastAsia="仿宋"/>
                <w:bCs/>
                <w:sz w:val="24"/>
              </w:rPr>
              <w:sym w:font="Wingdings" w:char="F0FE"/>
            </w:r>
            <w:r>
              <w:rPr>
                <w:rFonts w:hint="eastAsia" w:ascii="仿宋" w:hAnsi="仿宋" w:eastAsia="仿宋" w:cs="仿宋"/>
                <w:bCs/>
                <w:color w:val="000000"/>
                <w:sz w:val="24"/>
              </w:rPr>
              <w:t>不接受</w:t>
            </w:r>
          </w:p>
          <w:p w14:paraId="03FA2DC8">
            <w:pPr>
              <w:pStyle w:val="13"/>
              <w:ind w:firstLine="480"/>
              <w:rPr>
                <w:rFonts w:hint="eastAsia" w:ascii="楷体" w:hAnsi="楷体" w:eastAsia="仿宋" w:cs="Calibri"/>
                <w:sz w:val="24"/>
              </w:rPr>
            </w:pPr>
            <w:r>
              <w:rPr>
                <w:rFonts w:hint="eastAsia" w:ascii="楷体" w:hAnsi="楷体" w:eastAsia="仿宋" w:cs="Calibri"/>
                <w:sz w:val="24"/>
              </w:rPr>
              <w:t xml:space="preserve">            □接受：</w:t>
            </w:r>
          </w:p>
          <w:p w14:paraId="5822E612">
            <w:pPr>
              <w:wordWrap w:val="0"/>
              <w:spacing w:line="360" w:lineRule="auto"/>
              <w:jc w:val="left"/>
              <w:rPr>
                <w:rFonts w:hint="eastAsia" w:ascii="仿宋" w:hAnsi="仿宋" w:eastAsia="仿宋" w:cs="仿宋"/>
                <w:b/>
                <w:color w:val="000000"/>
                <w:sz w:val="24"/>
              </w:rPr>
            </w:pPr>
            <w:r>
              <w:rPr>
                <w:rFonts w:hint="eastAsia" w:ascii="楷体" w:hAnsi="楷体" w:eastAsia="仿宋" w:cs="Calibri"/>
                <w:sz w:val="24"/>
              </w:rPr>
              <w:t>允许偏离的幅</w:t>
            </w:r>
            <w:r>
              <w:rPr>
                <w:rFonts w:hint="eastAsia" w:ascii="楷体" w:hAnsi="楷体" w:eastAsia="仿宋" w:cs="Calibri"/>
                <w:color w:val="000000"/>
                <w:sz w:val="24"/>
              </w:rPr>
              <w:t>度：</w:t>
            </w:r>
            <w:r>
              <w:rPr>
                <w:rFonts w:hint="eastAsia" w:ascii="宋体" w:hAnsi="宋体" w:eastAsia="仿宋" w:cs="Calibri"/>
                <w:color w:val="000000"/>
                <w:sz w:val="24"/>
              </w:rPr>
              <w:t>/</w:t>
            </w:r>
          </w:p>
        </w:tc>
      </w:tr>
      <w:tr w14:paraId="74516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40" w:type="dxa"/>
            <w:noWrap w:val="0"/>
            <w:vAlign w:val="center"/>
          </w:tcPr>
          <w:p w14:paraId="14F7DFD1">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6</w:t>
            </w:r>
          </w:p>
        </w:tc>
        <w:tc>
          <w:tcPr>
            <w:tcW w:w="1139" w:type="dxa"/>
            <w:noWrap w:val="0"/>
            <w:vAlign w:val="center"/>
          </w:tcPr>
          <w:p w14:paraId="69F74423">
            <w:pPr>
              <w:wordWrap w:val="0"/>
              <w:spacing w:line="360" w:lineRule="auto"/>
              <w:jc w:val="center"/>
              <w:rPr>
                <w:rFonts w:ascii="仿宋" w:hAnsi="仿宋" w:eastAsia="仿宋" w:cs="仿宋"/>
                <w:b/>
                <w:color w:val="000000"/>
                <w:sz w:val="24"/>
              </w:rPr>
            </w:pPr>
            <w:r>
              <w:rPr>
                <w:rFonts w:hint="eastAsia" w:ascii="仿宋" w:hAnsi="仿宋" w:eastAsia="仿宋" w:cs="仿宋"/>
                <w:b/>
                <w:color w:val="000000"/>
                <w:sz w:val="24"/>
              </w:rPr>
              <w:t>信息化要求</w:t>
            </w:r>
          </w:p>
        </w:tc>
        <w:tc>
          <w:tcPr>
            <w:tcW w:w="7978" w:type="dxa"/>
            <w:noWrap w:val="0"/>
            <w:vAlign w:val="center"/>
          </w:tcPr>
          <w:p w14:paraId="3F8C78CA">
            <w:pPr>
              <w:pStyle w:val="9"/>
              <w:spacing w:before="0" w:beforeAutospacing="0" w:after="0" w:afterAutospacing="0" w:line="360" w:lineRule="auto"/>
              <w:rPr>
                <w:rFonts w:hint="eastAsia" w:ascii="仿宋" w:hAnsi="仿宋" w:eastAsia="仿宋" w:cs="仿宋"/>
                <w:color w:val="auto"/>
              </w:rPr>
            </w:pPr>
            <w:r>
              <w:rPr>
                <w:rFonts w:hint="eastAsia" w:ascii="仿宋" w:hAnsi="仿宋" w:eastAsia="仿宋" w:cs="仿宋"/>
                <w:color w:val="auto"/>
              </w:rPr>
              <w:t>投标人所投设备须与医院信息系统连接，由此产生的费用包含在投标总报价中，采购人不另行支付。</w:t>
            </w:r>
          </w:p>
          <w:p w14:paraId="4C885B38">
            <w:pPr>
              <w:widowControl/>
              <w:adjustRightInd w:val="0"/>
              <w:snapToGrid w:val="0"/>
              <w:spacing w:line="288" w:lineRule="auto"/>
              <w:rPr>
                <w:rFonts w:hint="eastAsia" w:ascii="仿宋" w:hAnsi="仿宋" w:eastAsia="仿宋" w:cs="仿宋"/>
                <w:bCs/>
                <w:color w:val="000000"/>
                <w:sz w:val="24"/>
              </w:rPr>
            </w:pPr>
            <w:r>
              <w:rPr>
                <w:rFonts w:hint="eastAsia" w:ascii="宋体" w:hAnsi="宋体" w:eastAsia="仿宋" w:cs="Calibri"/>
                <w:sz w:val="24"/>
              </w:rPr>
              <w:t>是否接受负偏离：</w:t>
            </w:r>
            <w:r>
              <w:rPr>
                <w:rFonts w:hint="eastAsia" w:ascii="宋体" w:hAnsi="宋体" w:eastAsia="仿宋"/>
                <w:bCs/>
                <w:sz w:val="24"/>
              </w:rPr>
              <w:sym w:font="Wingdings" w:char="F0FE"/>
            </w:r>
            <w:r>
              <w:rPr>
                <w:rFonts w:hint="eastAsia" w:ascii="仿宋" w:hAnsi="仿宋" w:eastAsia="仿宋" w:cs="仿宋"/>
                <w:bCs/>
                <w:color w:val="000000"/>
                <w:sz w:val="24"/>
              </w:rPr>
              <w:t>不接受</w:t>
            </w:r>
          </w:p>
          <w:p w14:paraId="1252484F">
            <w:pPr>
              <w:pStyle w:val="13"/>
              <w:ind w:firstLine="480"/>
              <w:rPr>
                <w:rFonts w:hint="eastAsia" w:ascii="楷体" w:hAnsi="楷体" w:eastAsia="仿宋" w:cs="Calibri"/>
                <w:sz w:val="24"/>
              </w:rPr>
            </w:pPr>
            <w:r>
              <w:rPr>
                <w:rFonts w:hint="eastAsia" w:ascii="楷体" w:hAnsi="楷体" w:eastAsia="仿宋" w:cs="Calibri"/>
                <w:sz w:val="24"/>
              </w:rPr>
              <w:t xml:space="preserve">            □接受：</w:t>
            </w:r>
          </w:p>
          <w:p w14:paraId="2F039DC0">
            <w:pPr>
              <w:pStyle w:val="9"/>
              <w:spacing w:before="0" w:beforeAutospacing="0" w:after="0" w:afterAutospacing="0" w:line="360" w:lineRule="auto"/>
              <w:rPr>
                <w:rFonts w:hint="eastAsia" w:ascii="仿宋" w:hAnsi="仿宋" w:eastAsia="仿宋" w:cs="仿宋"/>
                <w:color w:val="auto"/>
              </w:rPr>
            </w:pPr>
            <w:r>
              <w:rPr>
                <w:rFonts w:hint="eastAsia" w:ascii="楷体" w:hAnsi="楷体" w:eastAsia="仿宋" w:cs="Calibri"/>
              </w:rPr>
              <w:t>允许偏离的幅度：</w:t>
            </w:r>
            <w:r>
              <w:rPr>
                <w:rFonts w:hint="eastAsia" w:eastAsia="仿宋" w:cs="Calibri"/>
              </w:rPr>
              <w:t>/</w:t>
            </w:r>
          </w:p>
        </w:tc>
      </w:tr>
      <w:tr w14:paraId="1EDB4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trPr>
        <w:tc>
          <w:tcPr>
            <w:tcW w:w="640" w:type="dxa"/>
            <w:noWrap w:val="0"/>
            <w:vAlign w:val="center"/>
          </w:tcPr>
          <w:p w14:paraId="12A7461D">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7</w:t>
            </w:r>
          </w:p>
        </w:tc>
        <w:tc>
          <w:tcPr>
            <w:tcW w:w="1139" w:type="dxa"/>
            <w:noWrap w:val="0"/>
            <w:vAlign w:val="center"/>
          </w:tcPr>
          <w:p w14:paraId="1BC14423">
            <w:pPr>
              <w:wordWrap w:val="0"/>
              <w:spacing w:line="360" w:lineRule="auto"/>
              <w:jc w:val="center"/>
              <w:rPr>
                <w:rFonts w:ascii="仿宋" w:hAnsi="仿宋" w:eastAsia="仿宋" w:cs="仿宋"/>
                <w:b/>
                <w:bCs/>
                <w:kern w:val="0"/>
                <w:sz w:val="24"/>
              </w:rPr>
            </w:pPr>
            <w:r>
              <w:rPr>
                <w:rFonts w:hint="eastAsia" w:ascii="仿宋" w:hAnsi="仿宋" w:eastAsia="仿宋" w:cs="仿宋"/>
                <w:b/>
                <w:bCs/>
                <w:kern w:val="0"/>
                <w:sz w:val="24"/>
              </w:rPr>
              <w:t>售后要求</w:t>
            </w:r>
          </w:p>
        </w:tc>
        <w:tc>
          <w:tcPr>
            <w:tcW w:w="7978" w:type="dxa"/>
            <w:noWrap w:val="0"/>
            <w:vAlign w:val="top"/>
          </w:tcPr>
          <w:p w14:paraId="32C37FA5">
            <w:pPr>
              <w:pStyle w:val="14"/>
              <w:spacing w:line="360" w:lineRule="auto"/>
              <w:jc w:val="left"/>
              <w:rPr>
                <w:rFonts w:hint="eastAsia" w:ascii="仿宋" w:hAnsi="仿宋" w:eastAsia="仿宋" w:cs="仿宋"/>
                <w:sz w:val="24"/>
                <w:szCs w:val="24"/>
              </w:rPr>
            </w:pPr>
            <w:r>
              <w:rPr>
                <w:rFonts w:hint="eastAsia" w:ascii="仿宋" w:hAnsi="仿宋" w:eastAsia="仿宋" w:cs="仿宋"/>
                <w:sz w:val="24"/>
                <w:szCs w:val="24"/>
              </w:rPr>
              <w:t>中标人须负责在项目安装地点进行所投设备的安装调试工作，并现场测试。在安装和调试期间，如发现设备或材料有缺陷或损坏，中标人应尽快更换，相关费用均包含在本次投标报价中。中标人在维护期内应提供现场、电话、传真或电子邮件方式为采购人提供技术支持，要求中标人应在有稳定的技术支撑与服务能力，并且在设备发生故障时2小时内响应。中标人在项目验收合格后，负责对所投设备组织操作使用培训，培训地点、人员由采购人指定。</w:t>
            </w:r>
          </w:p>
          <w:p w14:paraId="33397149">
            <w:pPr>
              <w:widowControl/>
              <w:adjustRightInd w:val="0"/>
              <w:snapToGrid w:val="0"/>
              <w:spacing w:line="288" w:lineRule="auto"/>
              <w:rPr>
                <w:rFonts w:hint="eastAsia" w:ascii="仿宋" w:hAnsi="仿宋" w:eastAsia="仿宋" w:cs="仿宋"/>
                <w:bCs/>
                <w:color w:val="000000"/>
                <w:sz w:val="24"/>
              </w:rPr>
            </w:pPr>
            <w:r>
              <w:rPr>
                <w:rFonts w:hint="eastAsia" w:ascii="宋体" w:hAnsi="宋体" w:eastAsia="仿宋" w:cs="Calibri"/>
                <w:sz w:val="24"/>
              </w:rPr>
              <w:t>是否接受负偏离：</w:t>
            </w:r>
            <w:r>
              <w:rPr>
                <w:rFonts w:hint="eastAsia" w:ascii="宋体" w:hAnsi="宋体" w:eastAsia="仿宋"/>
                <w:bCs/>
                <w:sz w:val="24"/>
              </w:rPr>
              <w:sym w:font="Wingdings" w:char="F0FE"/>
            </w:r>
            <w:r>
              <w:rPr>
                <w:rFonts w:hint="eastAsia" w:ascii="仿宋" w:hAnsi="仿宋" w:eastAsia="仿宋" w:cs="仿宋"/>
                <w:bCs/>
                <w:color w:val="000000"/>
                <w:sz w:val="24"/>
              </w:rPr>
              <w:t>不接受</w:t>
            </w:r>
          </w:p>
          <w:p w14:paraId="03F1413D">
            <w:pPr>
              <w:pStyle w:val="13"/>
              <w:ind w:firstLine="480"/>
              <w:rPr>
                <w:rFonts w:hint="eastAsia" w:ascii="楷体" w:hAnsi="楷体" w:eastAsia="仿宋" w:cs="Calibri"/>
                <w:sz w:val="24"/>
              </w:rPr>
            </w:pPr>
            <w:r>
              <w:rPr>
                <w:rFonts w:hint="eastAsia" w:ascii="楷体" w:hAnsi="楷体" w:eastAsia="仿宋" w:cs="Calibri"/>
                <w:sz w:val="24"/>
              </w:rPr>
              <w:t xml:space="preserve">            □接受：</w:t>
            </w:r>
          </w:p>
          <w:p w14:paraId="2985B437">
            <w:pPr>
              <w:pStyle w:val="14"/>
              <w:spacing w:line="360" w:lineRule="auto"/>
              <w:jc w:val="left"/>
              <w:rPr>
                <w:rFonts w:hint="eastAsia" w:ascii="仿宋" w:hAnsi="仿宋" w:eastAsia="仿宋" w:cs="仿宋"/>
                <w:sz w:val="24"/>
                <w:szCs w:val="24"/>
              </w:rPr>
            </w:pPr>
            <w:r>
              <w:rPr>
                <w:rFonts w:hint="eastAsia" w:ascii="楷体" w:hAnsi="楷体" w:eastAsia="仿宋" w:cs="Calibri"/>
                <w:sz w:val="24"/>
              </w:rPr>
              <w:t>允许偏离的幅</w:t>
            </w:r>
            <w:r>
              <w:rPr>
                <w:rFonts w:hint="eastAsia" w:ascii="楷体" w:hAnsi="楷体" w:eastAsia="仿宋" w:cs="Calibri"/>
                <w:color w:val="000000"/>
                <w:sz w:val="24"/>
              </w:rPr>
              <w:t>度：</w:t>
            </w:r>
            <w:r>
              <w:rPr>
                <w:rFonts w:hint="eastAsia" w:ascii="宋体" w:hAnsi="宋体" w:eastAsia="仿宋" w:cs="Calibri"/>
                <w:color w:val="000000"/>
                <w:sz w:val="24"/>
              </w:rPr>
              <w:t>/</w:t>
            </w:r>
          </w:p>
        </w:tc>
      </w:tr>
      <w:tr w14:paraId="60197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0" w:type="dxa"/>
            <w:noWrap w:val="0"/>
            <w:vAlign w:val="center"/>
          </w:tcPr>
          <w:p w14:paraId="0324A82E">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8</w:t>
            </w:r>
          </w:p>
        </w:tc>
        <w:tc>
          <w:tcPr>
            <w:tcW w:w="1139" w:type="dxa"/>
            <w:noWrap w:val="0"/>
            <w:vAlign w:val="center"/>
          </w:tcPr>
          <w:p w14:paraId="0AB9C9AB">
            <w:pPr>
              <w:wordWrap w:val="0"/>
              <w:spacing w:line="360" w:lineRule="auto"/>
              <w:jc w:val="center"/>
              <w:rPr>
                <w:rFonts w:hint="eastAsia" w:ascii="仿宋" w:hAnsi="仿宋" w:eastAsia="仿宋" w:cs="仿宋"/>
                <w:b/>
                <w:bCs/>
                <w:kern w:val="0"/>
                <w:sz w:val="24"/>
              </w:rPr>
            </w:pPr>
            <w:r>
              <w:rPr>
                <w:rFonts w:hint="eastAsia" w:ascii="仿宋" w:hAnsi="仿宋" w:eastAsia="仿宋" w:cs="仿宋"/>
                <w:b/>
                <w:color w:val="000000"/>
                <w:sz w:val="24"/>
              </w:rPr>
              <w:t>如是依法纳入医疗器械管理的须具有：</w:t>
            </w:r>
          </w:p>
        </w:tc>
        <w:tc>
          <w:tcPr>
            <w:tcW w:w="7978" w:type="dxa"/>
            <w:noWrap w:val="0"/>
            <w:vAlign w:val="center"/>
          </w:tcPr>
          <w:p w14:paraId="7D32F658">
            <w:pPr>
              <w:wordWrap w:val="0"/>
              <w:spacing w:line="360" w:lineRule="auto"/>
              <w:jc w:val="left"/>
              <w:rPr>
                <w:rFonts w:hint="eastAsia" w:ascii="仿宋" w:hAnsi="仿宋" w:eastAsia="仿宋" w:cs="仿宋"/>
                <w:b/>
                <w:color w:val="000000"/>
                <w:sz w:val="24"/>
              </w:rPr>
            </w:pPr>
            <w:r>
              <w:rPr>
                <w:rFonts w:hint="eastAsia" w:ascii="仿宋" w:hAnsi="仿宋" w:eastAsia="仿宋" w:cs="仿宋"/>
                <w:b/>
                <w:color w:val="000000"/>
                <w:sz w:val="24"/>
                <w:lang w:val="en-US" w:eastAsia="zh-CN"/>
              </w:rPr>
              <w:t>8.1</w:t>
            </w:r>
            <w:r>
              <w:rPr>
                <w:rFonts w:hint="eastAsia" w:ascii="仿宋" w:hAnsi="仿宋" w:eastAsia="仿宋" w:cs="仿宋"/>
                <w:b/>
                <w:color w:val="000000"/>
                <w:sz w:val="24"/>
              </w:rPr>
              <w:t>投标人为制造商的，须具有相应的医疗器械生产备案获取的备案编号（属于一类时）。</w:t>
            </w:r>
          </w:p>
          <w:p w14:paraId="7EDDB9B1">
            <w:pPr>
              <w:pStyle w:val="14"/>
              <w:spacing w:line="360" w:lineRule="auto"/>
              <w:jc w:val="left"/>
              <w:rPr>
                <w:rFonts w:hint="eastAsia" w:ascii="仿宋" w:hAnsi="仿宋" w:eastAsia="仿宋" w:cs="仿宋"/>
                <w:b/>
                <w:bCs/>
                <w:sz w:val="24"/>
                <w:szCs w:val="24"/>
              </w:rPr>
            </w:pPr>
            <w:r>
              <w:rPr>
                <w:rFonts w:hint="eastAsia" w:ascii="仿宋" w:hAnsi="仿宋" w:eastAsia="仿宋" w:cs="仿宋"/>
                <w:b/>
                <w:bCs/>
                <w:sz w:val="24"/>
                <w:szCs w:val="24"/>
                <w:lang w:val="en-US" w:eastAsia="zh-CN"/>
              </w:rPr>
              <w:t>8.2</w:t>
            </w:r>
            <w:r>
              <w:rPr>
                <w:rFonts w:hint="eastAsia" w:ascii="仿宋" w:hAnsi="仿宋" w:eastAsia="仿宋" w:cs="仿宋"/>
                <w:b/>
                <w:bCs/>
                <w:sz w:val="24"/>
                <w:szCs w:val="24"/>
              </w:rPr>
              <w:t>投标人须具有与投标产品相应的有效经营备案编号（属于二类时）；（如本次投标产品的注册人、备案人在其住所或者生产地址销售的，无需再办理医疗器械经营许可或备案。）。</w:t>
            </w:r>
          </w:p>
          <w:p w14:paraId="085181D5">
            <w:pPr>
              <w:pStyle w:val="9"/>
              <w:spacing w:before="0" w:beforeAutospacing="0" w:after="0" w:afterAutospacing="0" w:line="360" w:lineRule="auto"/>
              <w:rPr>
                <w:rFonts w:hint="eastAsia" w:ascii="仿宋" w:hAnsi="仿宋" w:eastAsia="仿宋" w:cs="仿宋"/>
                <w:b/>
                <w:bCs/>
                <w:color w:val="auto"/>
              </w:rPr>
            </w:pPr>
            <w:r>
              <w:rPr>
                <w:rFonts w:hint="eastAsia" w:ascii="仿宋" w:hAnsi="仿宋" w:eastAsia="仿宋" w:cs="仿宋"/>
                <w:b/>
                <w:bCs/>
                <w:color w:val="auto"/>
                <w:lang w:val="en-US" w:eastAsia="zh-CN"/>
              </w:rPr>
              <w:t>8.3</w:t>
            </w:r>
            <w:r>
              <w:rPr>
                <w:rFonts w:hint="eastAsia" w:ascii="仿宋" w:hAnsi="仿宋" w:eastAsia="仿宋" w:cs="仿宋"/>
                <w:b/>
                <w:bCs/>
                <w:color w:val="auto"/>
              </w:rPr>
              <w:t>投标产品须具有有效的医疗器械注册证（属于二类、三类时）；投标产品纳入备案管理时（属于一类时），须在投标文件中提供备案材料或承诺函（承诺在合同签订前提供所投产品的备案证明材料，若未按规定提供视为自动放弃中标资格）。</w:t>
            </w:r>
          </w:p>
        </w:tc>
      </w:tr>
      <w:tr w14:paraId="2C747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0" w:type="dxa"/>
            <w:noWrap w:val="0"/>
            <w:vAlign w:val="center"/>
          </w:tcPr>
          <w:p w14:paraId="6DCB8A68">
            <w:pPr>
              <w:wordWrap w:val="0"/>
              <w:spacing w:line="360" w:lineRule="auto"/>
              <w:jc w:val="center"/>
              <w:rPr>
                <w:rFonts w:hint="eastAsia" w:ascii="仿宋" w:hAnsi="仿宋" w:eastAsia="仿宋" w:cs="仿宋"/>
                <w:b/>
                <w:color w:val="000000"/>
                <w:sz w:val="24"/>
                <w:lang w:val="en-US" w:eastAsia="zh-CN"/>
              </w:rPr>
            </w:pPr>
            <w:r>
              <w:rPr>
                <w:rFonts w:hint="eastAsia" w:ascii="仿宋" w:hAnsi="仿宋" w:eastAsia="仿宋" w:cs="仿宋"/>
                <w:b/>
                <w:color w:val="000000"/>
                <w:sz w:val="24"/>
                <w:lang w:val="en-US" w:eastAsia="zh-CN"/>
              </w:rPr>
              <w:t>9</w:t>
            </w:r>
          </w:p>
        </w:tc>
        <w:tc>
          <w:tcPr>
            <w:tcW w:w="1139" w:type="dxa"/>
            <w:noWrap w:val="0"/>
            <w:vAlign w:val="center"/>
          </w:tcPr>
          <w:p w14:paraId="4AF2DE25">
            <w:pPr>
              <w:wordWrap w:val="0"/>
              <w:spacing w:line="360" w:lineRule="auto"/>
              <w:jc w:val="center"/>
              <w:rPr>
                <w:rFonts w:hint="default" w:ascii="仿宋" w:hAnsi="仿宋" w:eastAsia="仿宋" w:cs="仿宋"/>
                <w:b/>
                <w:color w:val="000000"/>
                <w:sz w:val="24"/>
                <w:lang w:val="en-US" w:eastAsia="zh-CN"/>
              </w:rPr>
            </w:pPr>
            <w:r>
              <w:rPr>
                <w:rFonts w:hint="eastAsia" w:ascii="仿宋" w:hAnsi="仿宋" w:eastAsia="仿宋" w:cs="仿宋"/>
                <w:b/>
                <w:color w:val="000000"/>
                <w:sz w:val="24"/>
                <w:lang w:val="en-US" w:eastAsia="zh-CN"/>
              </w:rPr>
              <w:t>配置要求</w:t>
            </w:r>
          </w:p>
        </w:tc>
        <w:tc>
          <w:tcPr>
            <w:tcW w:w="7978" w:type="dxa"/>
            <w:noWrap w:val="0"/>
            <w:vAlign w:val="center"/>
          </w:tcPr>
          <w:p w14:paraId="090E7DA4">
            <w:pPr>
              <w:spacing w:line="360" w:lineRule="auto"/>
              <w:rPr>
                <w:rFonts w:ascii="仿宋" w:hAnsi="仿宋" w:eastAsia="仿宋" w:cs="仿宋"/>
                <w:b/>
                <w:bCs/>
                <w:kern w:val="0"/>
                <w:sz w:val="24"/>
                <w:highlight w:val="none"/>
              </w:rPr>
            </w:pPr>
            <w:r>
              <w:rPr>
                <w:rFonts w:ascii="仿宋" w:hAnsi="仿宋" w:eastAsia="仿宋" w:cs="仿宋"/>
                <w:b/>
                <w:bCs/>
                <w:kern w:val="0"/>
                <w:sz w:val="24"/>
                <w:highlight w:val="none"/>
              </w:rPr>
              <w:t>1.主床体：6台</w:t>
            </w:r>
          </w:p>
          <w:p w14:paraId="4ED23563">
            <w:pPr>
              <w:spacing w:line="360" w:lineRule="auto"/>
              <w:rPr>
                <w:rFonts w:ascii="仿宋" w:hAnsi="仿宋" w:eastAsia="仿宋" w:cs="仿宋"/>
                <w:b/>
                <w:bCs/>
                <w:kern w:val="0"/>
                <w:sz w:val="24"/>
                <w:highlight w:val="none"/>
              </w:rPr>
            </w:pPr>
            <w:r>
              <w:rPr>
                <w:rFonts w:ascii="仿宋" w:hAnsi="仿宋" w:eastAsia="仿宋" w:cs="仿宋"/>
                <w:b/>
                <w:bCs/>
                <w:kern w:val="0"/>
                <w:sz w:val="24"/>
                <w:highlight w:val="none"/>
              </w:rPr>
              <w:t>2.头板：6副</w:t>
            </w:r>
          </w:p>
          <w:p w14:paraId="41F9E75F">
            <w:pPr>
              <w:spacing w:line="360" w:lineRule="auto"/>
              <w:rPr>
                <w:rFonts w:ascii="仿宋" w:hAnsi="仿宋" w:eastAsia="仿宋" w:cs="仿宋"/>
                <w:b/>
                <w:bCs/>
                <w:kern w:val="0"/>
                <w:sz w:val="24"/>
                <w:highlight w:val="none"/>
              </w:rPr>
            </w:pPr>
            <w:r>
              <w:rPr>
                <w:rFonts w:ascii="仿宋" w:hAnsi="仿宋" w:eastAsia="仿宋" w:cs="仿宋"/>
                <w:b/>
                <w:bCs/>
                <w:kern w:val="0"/>
                <w:sz w:val="24"/>
                <w:highlight w:val="none"/>
              </w:rPr>
              <w:t>3.手臂板：6副</w:t>
            </w:r>
          </w:p>
          <w:p w14:paraId="534B89B4">
            <w:pPr>
              <w:spacing w:line="360" w:lineRule="auto"/>
              <w:rPr>
                <w:rFonts w:ascii="仿宋" w:hAnsi="仿宋" w:eastAsia="仿宋" w:cs="仿宋"/>
                <w:b/>
                <w:bCs/>
                <w:kern w:val="0"/>
                <w:sz w:val="24"/>
                <w:highlight w:val="none"/>
              </w:rPr>
            </w:pPr>
            <w:r>
              <w:rPr>
                <w:rFonts w:ascii="仿宋" w:hAnsi="仿宋" w:eastAsia="仿宋" w:cs="仿宋"/>
                <w:b/>
                <w:bCs/>
                <w:kern w:val="0"/>
                <w:sz w:val="24"/>
                <w:highlight w:val="none"/>
              </w:rPr>
              <w:t>4.腿板：6副</w:t>
            </w:r>
          </w:p>
          <w:p w14:paraId="2B1FA6AA">
            <w:pPr>
              <w:spacing w:line="360" w:lineRule="auto"/>
              <w:rPr>
                <w:rFonts w:ascii="仿宋" w:hAnsi="仿宋" w:eastAsia="仿宋" w:cs="仿宋"/>
                <w:b/>
                <w:bCs/>
                <w:kern w:val="0"/>
                <w:sz w:val="24"/>
                <w:highlight w:val="none"/>
              </w:rPr>
            </w:pPr>
            <w:r>
              <w:rPr>
                <w:rFonts w:ascii="仿宋" w:hAnsi="仿宋" w:eastAsia="仿宋" w:cs="仿宋"/>
                <w:b/>
                <w:bCs/>
                <w:kern w:val="0"/>
                <w:sz w:val="24"/>
                <w:highlight w:val="none"/>
              </w:rPr>
              <w:t>5.手按控制器：6个</w:t>
            </w:r>
          </w:p>
          <w:p w14:paraId="6282406C">
            <w:pPr>
              <w:spacing w:line="360" w:lineRule="auto"/>
              <w:rPr>
                <w:rFonts w:ascii="仿宋" w:hAnsi="仿宋" w:eastAsia="仿宋" w:cs="仿宋"/>
                <w:b/>
                <w:bCs/>
                <w:kern w:val="0"/>
                <w:sz w:val="24"/>
                <w:highlight w:val="none"/>
              </w:rPr>
            </w:pPr>
            <w:r>
              <w:rPr>
                <w:rFonts w:ascii="仿宋" w:hAnsi="仿宋" w:eastAsia="仿宋" w:cs="仿宋"/>
                <w:b/>
                <w:bCs/>
                <w:kern w:val="0"/>
                <w:sz w:val="24"/>
                <w:highlight w:val="none"/>
              </w:rPr>
              <w:t>6.手术专用抗静电床垫：6副</w:t>
            </w:r>
          </w:p>
          <w:p w14:paraId="7E0E612D">
            <w:pPr>
              <w:spacing w:line="360" w:lineRule="auto"/>
              <w:rPr>
                <w:rFonts w:ascii="仿宋" w:hAnsi="仿宋" w:eastAsia="仿宋" w:cs="仿宋"/>
                <w:b/>
                <w:bCs/>
                <w:kern w:val="0"/>
                <w:sz w:val="24"/>
                <w:highlight w:val="none"/>
              </w:rPr>
            </w:pPr>
            <w:r>
              <w:rPr>
                <w:rFonts w:ascii="仿宋" w:hAnsi="仿宋" w:eastAsia="仿宋" w:cs="仿宋"/>
                <w:b/>
                <w:bCs/>
                <w:kern w:val="0"/>
                <w:sz w:val="24"/>
                <w:highlight w:val="none"/>
              </w:rPr>
              <w:t>7.麻醉布帘架：6副（含固定器）</w:t>
            </w:r>
          </w:p>
          <w:p w14:paraId="3353D0E3">
            <w:pPr>
              <w:spacing w:line="360" w:lineRule="auto"/>
              <w:rPr>
                <w:rFonts w:ascii="仿宋" w:hAnsi="仿宋" w:eastAsia="仿宋" w:cs="仿宋"/>
                <w:b/>
                <w:bCs/>
                <w:kern w:val="0"/>
                <w:sz w:val="24"/>
                <w:highlight w:val="none"/>
              </w:rPr>
            </w:pPr>
            <w:r>
              <w:rPr>
                <w:rFonts w:ascii="仿宋" w:hAnsi="仿宋" w:eastAsia="仿宋" w:cs="仿宋"/>
                <w:b/>
                <w:bCs/>
                <w:kern w:val="0"/>
                <w:sz w:val="24"/>
                <w:highlight w:val="none"/>
              </w:rPr>
              <w:t>8.手脚绑带及束体带：6套</w:t>
            </w:r>
          </w:p>
          <w:p w14:paraId="03081C05">
            <w:pPr>
              <w:spacing w:line="360" w:lineRule="auto"/>
              <w:rPr>
                <w:rFonts w:ascii="仿宋" w:hAnsi="仿宋" w:eastAsia="仿宋" w:cs="仿宋"/>
                <w:b/>
                <w:bCs/>
                <w:kern w:val="0"/>
                <w:sz w:val="24"/>
                <w:highlight w:val="none"/>
              </w:rPr>
            </w:pPr>
            <w:r>
              <w:rPr>
                <w:rFonts w:ascii="仿宋" w:hAnsi="仿宋" w:eastAsia="仿宋" w:cs="仿宋"/>
                <w:b/>
                <w:bCs/>
                <w:kern w:val="0"/>
                <w:sz w:val="24"/>
                <w:highlight w:val="none"/>
              </w:rPr>
              <w:t>9.大腿架6副、腰托6副</w:t>
            </w:r>
          </w:p>
          <w:p w14:paraId="3D0E2D0C">
            <w:pPr>
              <w:pStyle w:val="9"/>
              <w:keepNext w:val="0"/>
              <w:keepLines w:val="0"/>
              <w:widowControl w:val="0"/>
              <w:numPr>
                <w:ilvl w:val="0"/>
                <w:numId w:val="0"/>
              </w:numPr>
              <w:suppressLineNumbers w:val="0"/>
              <w:spacing w:before="0" w:beforeAutospacing="0" w:after="0" w:afterAutospacing="0" w:line="360" w:lineRule="auto"/>
              <w:ind w:leftChars="0" w:right="0" w:rightChars="0"/>
              <w:jc w:val="both"/>
              <w:rPr>
                <w:rFonts w:hint="eastAsia" w:ascii="仿宋" w:hAnsi="仿宋" w:eastAsia="仿宋" w:cs="仿宋"/>
                <w:b/>
                <w:bCs/>
                <w:color w:val="auto"/>
                <w:lang w:val="en-US" w:eastAsia="zh-CN"/>
              </w:rPr>
            </w:pPr>
            <w:r>
              <w:rPr>
                <w:rFonts w:ascii="仿宋" w:hAnsi="仿宋" w:eastAsia="仿宋" w:cs="仿宋"/>
                <w:b/>
                <w:bCs/>
                <w:kern w:val="0"/>
                <w:sz w:val="24"/>
                <w:highlight w:val="none"/>
              </w:rPr>
              <w:t>10.马镫1套</w:t>
            </w:r>
          </w:p>
        </w:tc>
      </w:tr>
    </w:tbl>
    <w:p w14:paraId="6B6506E8">
      <w:pPr>
        <w:spacing w:line="360" w:lineRule="auto"/>
        <w:rPr>
          <w:rFonts w:hint="eastAsia" w:ascii="仿宋" w:hAnsi="仿宋" w:eastAsia="仿宋" w:cs="仿宋"/>
          <w:b/>
          <w:bCs/>
          <w:sz w:val="24"/>
          <w:szCs w:val="32"/>
        </w:rPr>
      </w:pPr>
      <w:r>
        <w:rPr>
          <w:rFonts w:hint="eastAsia" w:ascii="仿宋" w:hAnsi="仿宋" w:eastAsia="仿宋" w:cs="仿宋"/>
          <w:b/>
          <w:color w:val="000000"/>
          <w:sz w:val="24"/>
        </w:rPr>
        <w:t>注：上述</w:t>
      </w:r>
      <w:r>
        <w:rPr>
          <w:rFonts w:hint="eastAsia" w:ascii="仿宋" w:hAnsi="仿宋" w:eastAsia="仿宋" w:cs="仿宋"/>
          <w:b/>
          <w:sz w:val="24"/>
        </w:rPr>
        <w:t>商务条款必须全部满足，否则做无效投标处理。</w:t>
      </w:r>
    </w:p>
    <w:p w14:paraId="6E79E674">
      <w:pPr>
        <w:pStyle w:val="2"/>
        <w:widowControl/>
        <w:spacing w:line="360" w:lineRule="auto"/>
        <w:rPr>
          <w:rFonts w:hint="eastAsia" w:ascii="仿宋" w:hAnsi="仿宋" w:eastAsia="仿宋" w:cs="仿宋"/>
          <w:sz w:val="24"/>
          <w:szCs w:val="24"/>
        </w:rPr>
        <w:sectPr>
          <w:footnotePr>
            <w:numFmt w:val="decimalEnclosedCircleChinese"/>
            <w:numRestart w:val="eachPage"/>
          </w:footnotePr>
          <w:pgSz w:w="11906" w:h="16838"/>
          <w:pgMar w:top="1134" w:right="1134" w:bottom="1134" w:left="1134" w:header="851" w:footer="851" w:gutter="0"/>
          <w:cols w:space="720" w:num="1"/>
          <w:docGrid w:linePitch="312" w:charSpace="0"/>
        </w:sectPr>
      </w:pPr>
    </w:p>
    <w:p w14:paraId="332686E9">
      <w:pPr>
        <w:pStyle w:val="4"/>
        <w:ind w:firstLine="0" w:firstLineChars="0"/>
        <w:rPr>
          <w:rFonts w:hint="eastAsia" w:ascii="仿宋_GB2312" w:hAnsi="仿宋_GB2312" w:eastAsia="仿宋_GB2312" w:cs="仿宋_GB2312"/>
          <w:b/>
          <w:color w:val="000000"/>
          <w:sz w:val="24"/>
        </w:rPr>
      </w:pPr>
      <w:r>
        <w:rPr>
          <w:rFonts w:hint="eastAsia" w:ascii="仿宋" w:hAnsi="仿宋" w:eastAsia="仿宋" w:cs="仿宋"/>
          <w:b/>
          <w:bCs/>
          <w:kern w:val="44"/>
          <w:sz w:val="24"/>
        </w:rPr>
        <w:t>（一）技术</w:t>
      </w:r>
      <w:r>
        <w:rPr>
          <w:rFonts w:hint="eastAsia" w:ascii="仿宋" w:hAnsi="仿宋" w:eastAsia="仿宋" w:cs="仿宋"/>
          <w:b/>
          <w:bCs/>
          <w:kern w:val="44"/>
          <w:sz w:val="24"/>
          <w:lang w:val="zh-CN"/>
        </w:rPr>
        <w:t>需求</w:t>
      </w:r>
      <w:r>
        <w:rPr>
          <w:rFonts w:hint="eastAsia" w:ascii="仿宋_GB2312" w:hAnsi="仿宋_GB2312" w:eastAsia="仿宋_GB2312" w:cs="仿宋_GB2312"/>
          <w:b/>
          <w:color w:val="000000"/>
          <w:sz w:val="24"/>
        </w:rPr>
        <w:t>重要性表述</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7"/>
        <w:gridCol w:w="1906"/>
        <w:gridCol w:w="5921"/>
      </w:tblGrid>
      <w:tr w14:paraId="3748C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2027" w:type="dxa"/>
            <w:noWrap w:val="0"/>
            <w:vAlign w:val="center"/>
          </w:tcPr>
          <w:p w14:paraId="630C2353">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标识重要性</w:t>
            </w:r>
          </w:p>
        </w:tc>
        <w:tc>
          <w:tcPr>
            <w:tcW w:w="1906" w:type="dxa"/>
            <w:noWrap w:val="0"/>
            <w:vAlign w:val="center"/>
          </w:tcPr>
          <w:p w14:paraId="556C1451">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标识符号</w:t>
            </w:r>
          </w:p>
        </w:tc>
        <w:tc>
          <w:tcPr>
            <w:tcW w:w="5921" w:type="dxa"/>
            <w:noWrap w:val="0"/>
            <w:vAlign w:val="center"/>
          </w:tcPr>
          <w:p w14:paraId="4519532C">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代表意思</w:t>
            </w:r>
          </w:p>
        </w:tc>
      </w:tr>
      <w:tr w14:paraId="14C77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27" w:type="dxa"/>
            <w:noWrap w:val="0"/>
            <w:vAlign w:val="center"/>
          </w:tcPr>
          <w:p w14:paraId="66D376AF">
            <w:pPr>
              <w:widowControl/>
              <w:spacing w:line="360" w:lineRule="auto"/>
              <w:jc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关键指标项</w:t>
            </w:r>
          </w:p>
        </w:tc>
        <w:tc>
          <w:tcPr>
            <w:tcW w:w="1906" w:type="dxa"/>
            <w:noWrap w:val="0"/>
            <w:vAlign w:val="center"/>
          </w:tcPr>
          <w:p w14:paraId="66BFEB78">
            <w:pPr>
              <w:widowControl/>
              <w:spacing w:line="360" w:lineRule="auto"/>
              <w:jc w:val="center"/>
              <w:rPr>
                <w:rFonts w:hint="eastAsia" w:ascii="仿宋" w:hAnsi="仿宋" w:eastAsia="仿宋" w:cs="仿宋"/>
                <w:b/>
                <w:bCs/>
                <w:color w:val="000000"/>
                <w:sz w:val="24"/>
              </w:rPr>
            </w:pPr>
            <w:r>
              <w:rPr>
                <w:rFonts w:hint="eastAsia" w:ascii="宋体" w:hAnsi="宋体" w:eastAsia="宋体" w:cs="宋体"/>
                <w:kern w:val="2"/>
                <w:sz w:val="24"/>
                <w:szCs w:val="24"/>
                <w:lang w:val="en-US" w:eastAsia="zh-CN" w:bidi="ar"/>
              </w:rPr>
              <w:t>■</w:t>
            </w:r>
          </w:p>
        </w:tc>
        <w:tc>
          <w:tcPr>
            <w:tcW w:w="5921" w:type="dxa"/>
            <w:noWrap w:val="0"/>
            <w:vAlign w:val="center"/>
          </w:tcPr>
          <w:p w14:paraId="01EE35B7">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评分项，详见第四章评分细则</w:t>
            </w:r>
          </w:p>
        </w:tc>
      </w:tr>
      <w:tr w14:paraId="2F25C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27" w:type="dxa"/>
            <w:noWrap w:val="0"/>
            <w:vAlign w:val="center"/>
          </w:tcPr>
          <w:p w14:paraId="286B74C9">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一般指标项</w:t>
            </w:r>
          </w:p>
        </w:tc>
        <w:tc>
          <w:tcPr>
            <w:tcW w:w="1906" w:type="dxa"/>
            <w:noWrap w:val="0"/>
            <w:vAlign w:val="center"/>
          </w:tcPr>
          <w:p w14:paraId="34DE8DD6">
            <w:pPr>
              <w:spacing w:line="360" w:lineRule="auto"/>
              <w:jc w:val="center"/>
              <w:rPr>
                <w:rFonts w:hint="eastAsia" w:ascii="仿宋" w:hAnsi="仿宋" w:eastAsia="仿宋" w:cs="仿宋"/>
                <w:sz w:val="24"/>
              </w:rPr>
            </w:pPr>
            <w:r>
              <w:rPr>
                <w:rFonts w:hint="eastAsia" w:ascii="仿宋" w:hAnsi="仿宋" w:eastAsia="仿宋" w:cs="仿宋"/>
                <w:sz w:val="24"/>
              </w:rPr>
              <w:t>无标识项</w:t>
            </w:r>
          </w:p>
        </w:tc>
        <w:tc>
          <w:tcPr>
            <w:tcW w:w="5921" w:type="dxa"/>
            <w:noWrap w:val="0"/>
            <w:vAlign w:val="center"/>
          </w:tcPr>
          <w:p w14:paraId="4D375710">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评分项，详见第四章评分细则</w:t>
            </w:r>
          </w:p>
        </w:tc>
      </w:tr>
      <w:tr w14:paraId="08BA1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54" w:type="dxa"/>
            <w:gridSpan w:val="3"/>
            <w:noWrap w:val="0"/>
            <w:vAlign w:val="center"/>
          </w:tcPr>
          <w:p w14:paraId="12045F25">
            <w:pPr>
              <w:spacing w:line="360" w:lineRule="auto"/>
              <w:jc w:val="left"/>
              <w:rPr>
                <w:rFonts w:hint="eastAsia" w:ascii="仿宋" w:hAnsi="仿宋" w:eastAsia="仿宋" w:cs="仿宋"/>
                <w:color w:val="000000"/>
                <w:kern w:val="0"/>
                <w:sz w:val="24"/>
                <w:lang w:bidi="ar"/>
              </w:rPr>
            </w:pPr>
            <w:r>
              <w:rPr>
                <w:rFonts w:hint="eastAsia" w:ascii="仿宋" w:hAnsi="仿宋" w:eastAsia="仿宋" w:cs="仿宋"/>
                <w:b/>
                <w:bCs/>
                <w:color w:val="000000"/>
                <w:kern w:val="0"/>
                <w:sz w:val="24"/>
                <w:lang w:bidi="ar"/>
              </w:rPr>
              <w:t>注：投标人须如实响应，如在后期合同履约过程中，发现有虚假响应情况，招标人有权解除合同、不予退还履约保证金、不予支付合同款项，且上报监管部门并追究中标人给采购人带来的一切损失。</w:t>
            </w:r>
          </w:p>
        </w:tc>
      </w:tr>
    </w:tbl>
    <w:p w14:paraId="6F6BDCFC">
      <w:pPr>
        <w:widowControl/>
        <w:numPr>
          <w:ilvl w:val="0"/>
          <w:numId w:val="1"/>
        </w:numPr>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技术要求</w:t>
      </w:r>
    </w:p>
    <w:p w14:paraId="219E1B76">
      <w:pPr>
        <w:pStyle w:val="8"/>
        <w:spacing w:line="360" w:lineRule="auto"/>
        <w:rPr>
          <w:rFonts w:hint="eastAsia"/>
          <w:highlight w:val="none"/>
        </w:rPr>
      </w:pPr>
      <w:r>
        <w:rPr>
          <w:rFonts w:hint="eastAsia" w:ascii="仿宋" w:hAnsi="仿宋" w:eastAsia="仿宋" w:cs="仿宋"/>
          <w:color w:val="000000"/>
          <w:sz w:val="24"/>
          <w:highlight w:val="none"/>
          <w:lang w:bidi="ar"/>
        </w:rPr>
        <w:t>适用范围：适用于普通外科、骨科、泌尿科、肛肠科、妇产科、五官科、眼科等各类手</w:t>
      </w:r>
      <w:r>
        <w:rPr>
          <w:rFonts w:hint="eastAsia"/>
          <w:highlight w:val="none"/>
        </w:rPr>
        <w:t>术</w:t>
      </w:r>
    </w:p>
    <w:p w14:paraId="6A3B8936">
      <w:pPr>
        <w:autoSpaceDE w:val="0"/>
        <w:spacing w:line="360" w:lineRule="auto"/>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bidi="ar"/>
        </w:rPr>
        <w:t>；能取平卧、俯卧位、侧卧位、截石位、头低足高位等。</w:t>
      </w:r>
    </w:p>
    <w:p w14:paraId="1C3B63F2">
      <w:pPr>
        <w:autoSpaceDE w:val="0"/>
        <w:spacing w:line="360" w:lineRule="auto"/>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bidi="ar"/>
        </w:rPr>
        <w:t>1</w:t>
      </w:r>
      <w:r>
        <w:rPr>
          <w:rFonts w:hint="eastAsia" w:ascii="仿宋" w:hAnsi="仿宋" w:eastAsia="仿宋" w:cs="仿宋"/>
          <w:color w:val="000000"/>
          <w:sz w:val="24"/>
          <w:highlight w:val="none"/>
          <w:lang w:val="en-US" w:eastAsia="zh-CN" w:bidi="ar"/>
        </w:rPr>
        <w:t>.</w:t>
      </w:r>
      <w:r>
        <w:rPr>
          <w:rFonts w:hint="eastAsia" w:ascii="仿宋" w:hAnsi="仿宋" w:eastAsia="仿宋" w:cs="仿宋"/>
          <w:color w:val="000000"/>
          <w:sz w:val="24"/>
          <w:highlight w:val="none"/>
          <w:lang w:bidi="ar"/>
        </w:rPr>
        <w:t>采用全电动液压控制，电动升降、电动左右倾斜、前后倾斜、电动双纵向平移、电动背板上下、电动腰上腰下（V型与反V型）、电动一键刹车、电动一键复位、电动水平定位等装置功能。</w:t>
      </w:r>
    </w:p>
    <w:p w14:paraId="78DDCFAF">
      <w:pPr>
        <w:autoSpaceDE w:val="0"/>
        <w:spacing w:line="360" w:lineRule="auto"/>
        <w:jc w:val="left"/>
        <w:rPr>
          <w:rFonts w:hint="eastAsia" w:ascii="仿宋" w:hAnsi="仿宋" w:eastAsia="仿宋" w:cs="仿宋"/>
          <w:b/>
          <w:bCs/>
          <w:color w:val="000000"/>
          <w:sz w:val="24"/>
          <w:highlight w:val="none"/>
        </w:rPr>
      </w:pPr>
      <w:r>
        <w:rPr>
          <w:rFonts w:hint="eastAsia" w:ascii="宋体" w:hAnsi="宋体" w:eastAsia="宋体" w:cs="宋体"/>
          <w:kern w:val="2"/>
          <w:sz w:val="24"/>
          <w:szCs w:val="24"/>
          <w:lang w:val="en-US" w:eastAsia="zh-CN" w:bidi="ar"/>
        </w:rPr>
        <w:t>■</w:t>
      </w:r>
      <w:r>
        <w:rPr>
          <w:rFonts w:hint="eastAsia" w:ascii="仿宋" w:hAnsi="仿宋" w:eastAsia="仿宋" w:cs="仿宋"/>
          <w:b/>
          <w:bCs/>
          <w:color w:val="000000"/>
          <w:sz w:val="24"/>
          <w:highlight w:val="none"/>
          <w:lang w:bidi="ar"/>
        </w:rPr>
        <w:t>2</w:t>
      </w:r>
      <w:r>
        <w:rPr>
          <w:rFonts w:hint="eastAsia" w:ascii="仿宋" w:hAnsi="仿宋" w:eastAsia="仿宋" w:cs="仿宋"/>
          <w:b/>
          <w:bCs/>
          <w:color w:val="000000"/>
          <w:sz w:val="24"/>
          <w:highlight w:val="none"/>
          <w:lang w:val="en-US" w:eastAsia="zh-CN" w:bidi="ar"/>
        </w:rPr>
        <w:t>.</w:t>
      </w:r>
      <w:r>
        <w:rPr>
          <w:rFonts w:hint="eastAsia" w:ascii="仿宋" w:hAnsi="仿宋" w:eastAsia="仿宋" w:cs="仿宋"/>
          <w:b/>
          <w:bCs/>
          <w:color w:val="000000"/>
          <w:sz w:val="24"/>
          <w:highlight w:val="none"/>
          <w:lang w:bidi="ar"/>
        </w:rPr>
        <w:t>手术床床板由头板、背板、臀板及可分开式腿板等五部分组成。头板可拆卸，采用气弹簧组件助力；腿板可拆卸、可分叉，采用气弹簧组件助力，可在+15°/-90°范围内上下折；头板和腿板可前后互换。独立电动液压控制刹车。</w:t>
      </w:r>
    </w:p>
    <w:p w14:paraId="57785E95">
      <w:pPr>
        <w:autoSpaceDE w:val="0"/>
        <w:spacing w:line="360" w:lineRule="auto"/>
        <w:jc w:val="left"/>
        <w:rPr>
          <w:rFonts w:hint="eastAsia" w:ascii="仿宋" w:hAnsi="仿宋" w:eastAsia="仿宋" w:cs="仿宋"/>
          <w:b/>
          <w:bCs/>
          <w:color w:val="000000"/>
          <w:sz w:val="24"/>
          <w:highlight w:val="none"/>
        </w:rPr>
      </w:pPr>
      <w:r>
        <w:rPr>
          <w:rFonts w:hint="eastAsia" w:ascii="宋体" w:hAnsi="宋体" w:eastAsia="宋体" w:cs="宋体"/>
          <w:kern w:val="2"/>
          <w:sz w:val="24"/>
          <w:szCs w:val="24"/>
          <w:lang w:val="en-US" w:eastAsia="zh-CN" w:bidi="ar"/>
        </w:rPr>
        <w:t>■</w:t>
      </w:r>
      <w:r>
        <w:rPr>
          <w:rFonts w:hint="eastAsia" w:ascii="仿宋" w:hAnsi="仿宋" w:eastAsia="仿宋" w:cs="仿宋"/>
          <w:b/>
          <w:bCs/>
          <w:color w:val="000000"/>
          <w:sz w:val="24"/>
          <w:highlight w:val="none"/>
          <w:lang w:bidi="ar"/>
        </w:rPr>
        <w:t>3</w:t>
      </w:r>
      <w:r>
        <w:rPr>
          <w:rFonts w:hint="eastAsia" w:ascii="仿宋" w:hAnsi="仿宋" w:eastAsia="仿宋" w:cs="仿宋"/>
          <w:b/>
          <w:bCs/>
          <w:color w:val="000000"/>
          <w:sz w:val="24"/>
          <w:highlight w:val="none"/>
          <w:lang w:val="en-US" w:eastAsia="zh-CN" w:bidi="ar"/>
        </w:rPr>
        <w:t>.</w:t>
      </w:r>
      <w:r>
        <w:rPr>
          <w:rFonts w:hint="eastAsia" w:ascii="仿宋" w:hAnsi="仿宋" w:eastAsia="仿宋" w:cs="仿宋"/>
          <w:b/>
          <w:bCs/>
          <w:color w:val="000000"/>
          <w:sz w:val="24"/>
          <w:highlight w:val="none"/>
          <w:lang w:bidi="ar"/>
        </w:rPr>
        <w:t>手术床台面采用可透X光材料制作。手术床采用中心柱设计，底座为T型底座，侧面有内凹方便站位。</w:t>
      </w:r>
    </w:p>
    <w:p w14:paraId="2F20F374">
      <w:pPr>
        <w:autoSpaceDE w:val="0"/>
        <w:spacing w:line="360" w:lineRule="auto"/>
        <w:jc w:val="left"/>
        <w:rPr>
          <w:rFonts w:hint="eastAsia" w:ascii="仿宋" w:hAnsi="仿宋" w:eastAsia="仿宋" w:cs="仿宋"/>
          <w:b/>
          <w:bCs/>
          <w:color w:val="000000"/>
          <w:sz w:val="24"/>
          <w:highlight w:val="none"/>
        </w:rPr>
      </w:pPr>
      <w:r>
        <w:rPr>
          <w:rFonts w:hint="eastAsia" w:ascii="宋体" w:hAnsi="宋体" w:eastAsia="宋体" w:cs="宋体"/>
          <w:kern w:val="2"/>
          <w:sz w:val="24"/>
          <w:szCs w:val="24"/>
          <w:lang w:val="en-US" w:eastAsia="zh-CN" w:bidi="ar"/>
        </w:rPr>
        <w:t>■</w:t>
      </w:r>
      <w:r>
        <w:rPr>
          <w:rFonts w:hint="eastAsia" w:ascii="仿宋" w:hAnsi="仿宋" w:eastAsia="仿宋" w:cs="仿宋"/>
          <w:b/>
          <w:bCs/>
          <w:color w:val="000000"/>
          <w:sz w:val="24"/>
          <w:highlight w:val="none"/>
          <w:lang w:bidi="ar"/>
        </w:rPr>
        <w:t>4</w:t>
      </w:r>
      <w:r>
        <w:rPr>
          <w:rFonts w:hint="eastAsia" w:ascii="仿宋" w:hAnsi="仿宋" w:eastAsia="仿宋" w:cs="仿宋"/>
          <w:b/>
          <w:bCs/>
          <w:color w:val="000000"/>
          <w:sz w:val="24"/>
          <w:highlight w:val="none"/>
          <w:lang w:val="en-US" w:eastAsia="zh-CN" w:bidi="ar"/>
        </w:rPr>
        <w:t>.</w:t>
      </w:r>
      <w:r>
        <w:rPr>
          <w:rFonts w:hint="eastAsia" w:ascii="仿宋" w:hAnsi="仿宋" w:eastAsia="仿宋" w:cs="仿宋"/>
          <w:b/>
          <w:bCs/>
          <w:color w:val="000000"/>
          <w:sz w:val="24"/>
          <w:highlight w:val="none"/>
          <w:lang w:bidi="ar"/>
        </w:rPr>
        <w:t>手术床配电动腰桥功能，腰桥高度≥100mm，且腰桥为隐藏式，无不便清洁的外凸及链条结构。电动操作，避免术中操作术者让位及手动操作的不便。</w:t>
      </w:r>
    </w:p>
    <w:p w14:paraId="1EE094C3">
      <w:pPr>
        <w:autoSpaceDE w:val="0"/>
        <w:spacing w:line="360" w:lineRule="auto"/>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bidi="ar"/>
        </w:rPr>
        <w:t>5</w:t>
      </w:r>
      <w:r>
        <w:rPr>
          <w:rFonts w:hint="eastAsia" w:ascii="仿宋" w:hAnsi="仿宋" w:eastAsia="仿宋" w:cs="仿宋"/>
          <w:color w:val="000000"/>
          <w:sz w:val="24"/>
          <w:highlight w:val="none"/>
          <w:lang w:val="en-US" w:eastAsia="zh-CN" w:bidi="ar"/>
        </w:rPr>
        <w:t>.</w:t>
      </w:r>
      <w:r>
        <w:rPr>
          <w:rFonts w:hint="eastAsia" w:ascii="仿宋" w:hAnsi="仿宋" w:eastAsia="仿宋" w:cs="仿宋"/>
          <w:color w:val="000000"/>
          <w:sz w:val="24"/>
          <w:highlight w:val="none"/>
          <w:lang w:bidi="ar"/>
        </w:rPr>
        <w:t>手术床身、外壳、底座为304不锈钢包覆。</w:t>
      </w:r>
    </w:p>
    <w:p w14:paraId="40840395">
      <w:pPr>
        <w:autoSpaceDE w:val="0"/>
        <w:spacing w:line="360" w:lineRule="auto"/>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bidi="ar"/>
        </w:rPr>
        <w:t>6</w:t>
      </w:r>
      <w:r>
        <w:rPr>
          <w:rFonts w:hint="eastAsia" w:ascii="仿宋" w:hAnsi="仿宋" w:eastAsia="仿宋" w:cs="仿宋"/>
          <w:color w:val="000000"/>
          <w:sz w:val="24"/>
          <w:highlight w:val="none"/>
          <w:lang w:val="en-US" w:eastAsia="zh-CN" w:bidi="ar"/>
        </w:rPr>
        <w:t>.</w:t>
      </w:r>
      <w:r>
        <w:rPr>
          <w:rFonts w:hint="eastAsia" w:ascii="仿宋" w:hAnsi="仿宋" w:eastAsia="仿宋" w:cs="仿宋"/>
          <w:color w:val="000000"/>
          <w:sz w:val="24"/>
          <w:highlight w:val="none"/>
          <w:lang w:bidi="ar"/>
        </w:rPr>
        <w:t>具有一键形成屈曲、反屈曲体位功能，一键复位功能。</w:t>
      </w:r>
    </w:p>
    <w:p w14:paraId="37C88961">
      <w:pPr>
        <w:autoSpaceDE w:val="0"/>
        <w:spacing w:line="360" w:lineRule="auto"/>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bidi="ar"/>
        </w:rPr>
        <w:t>7</w:t>
      </w:r>
      <w:r>
        <w:rPr>
          <w:rFonts w:hint="eastAsia" w:ascii="仿宋" w:hAnsi="仿宋" w:eastAsia="仿宋" w:cs="仿宋"/>
          <w:color w:val="000000"/>
          <w:sz w:val="24"/>
          <w:highlight w:val="none"/>
          <w:lang w:val="en-US" w:eastAsia="zh-CN" w:bidi="ar"/>
        </w:rPr>
        <w:t>.</w:t>
      </w:r>
      <w:r>
        <w:rPr>
          <w:rFonts w:hint="eastAsia" w:ascii="仿宋" w:hAnsi="仿宋" w:eastAsia="仿宋" w:cs="仿宋"/>
          <w:color w:val="000000"/>
          <w:sz w:val="24"/>
          <w:highlight w:val="none"/>
          <w:lang w:bidi="ar"/>
        </w:rPr>
        <w:t>手术床配备万向转动轮，可单独360°旋转，方便移动。采用电动刹车，可一键解锁刹车。且配备全机械式手动刹车释放系统。</w:t>
      </w:r>
    </w:p>
    <w:p w14:paraId="11F7A85D">
      <w:pPr>
        <w:autoSpaceDE w:val="0"/>
        <w:spacing w:line="360" w:lineRule="auto"/>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bidi="ar"/>
        </w:rPr>
        <w:t>8</w:t>
      </w:r>
      <w:r>
        <w:rPr>
          <w:rFonts w:hint="eastAsia" w:ascii="仿宋" w:hAnsi="仿宋" w:eastAsia="仿宋" w:cs="仿宋"/>
          <w:color w:val="000000"/>
          <w:sz w:val="24"/>
          <w:highlight w:val="none"/>
          <w:lang w:val="en-US" w:eastAsia="zh-CN" w:bidi="ar"/>
        </w:rPr>
        <w:t>.</w:t>
      </w:r>
      <w:r>
        <w:rPr>
          <w:rFonts w:hint="eastAsia" w:ascii="仿宋" w:hAnsi="仿宋" w:eastAsia="仿宋" w:cs="仿宋"/>
          <w:color w:val="000000"/>
          <w:sz w:val="24"/>
          <w:highlight w:val="none"/>
          <w:lang w:bidi="ar"/>
        </w:rPr>
        <w:t>配有高性能充电电池，可满足≥50次手术需要，同时具有交流电源供电功能。</w:t>
      </w:r>
    </w:p>
    <w:p w14:paraId="6AF28DD4">
      <w:pPr>
        <w:autoSpaceDE w:val="0"/>
        <w:spacing w:line="360" w:lineRule="auto"/>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bidi="ar"/>
        </w:rPr>
        <w:t>9</w:t>
      </w:r>
      <w:r>
        <w:rPr>
          <w:rFonts w:hint="eastAsia" w:ascii="仿宋" w:hAnsi="仿宋" w:eastAsia="仿宋" w:cs="仿宋"/>
          <w:color w:val="000000"/>
          <w:sz w:val="24"/>
          <w:highlight w:val="none"/>
          <w:lang w:val="en-US" w:eastAsia="zh-CN" w:bidi="ar"/>
        </w:rPr>
        <w:t>.</w:t>
      </w:r>
      <w:r>
        <w:rPr>
          <w:rFonts w:hint="eastAsia" w:ascii="仿宋" w:hAnsi="仿宋" w:eastAsia="仿宋" w:cs="仿宋"/>
          <w:color w:val="000000"/>
          <w:sz w:val="24"/>
          <w:highlight w:val="none"/>
          <w:lang w:bidi="ar"/>
        </w:rPr>
        <w:t>具有手持有线控制器和立柱应急控制面板（立柱应急面板位于立柱上方便操作，拒绝放在底座上）两套功能一致、且相互独立的控制系统。确保手术床在一套控制系统发生故障时，另一套仍能可靠运行。</w:t>
      </w:r>
    </w:p>
    <w:p w14:paraId="1E040B16">
      <w:pPr>
        <w:autoSpaceDE w:val="0"/>
        <w:spacing w:line="360" w:lineRule="auto"/>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bidi="ar"/>
        </w:rPr>
        <w:t>10</w:t>
      </w:r>
      <w:r>
        <w:rPr>
          <w:rFonts w:hint="eastAsia" w:ascii="仿宋" w:hAnsi="仿宋" w:eastAsia="仿宋" w:cs="仿宋"/>
          <w:color w:val="000000"/>
          <w:sz w:val="24"/>
          <w:highlight w:val="none"/>
          <w:lang w:val="en-US" w:eastAsia="zh-CN" w:bidi="ar"/>
        </w:rPr>
        <w:t>.</w:t>
      </w:r>
      <w:r>
        <w:rPr>
          <w:rFonts w:hint="eastAsia" w:ascii="仿宋" w:hAnsi="仿宋" w:eastAsia="仿宋" w:cs="仿宋"/>
          <w:color w:val="000000"/>
          <w:sz w:val="24"/>
          <w:highlight w:val="none"/>
          <w:lang w:bidi="ar"/>
        </w:rPr>
        <w:t>手术床床垫由质地柔软的记忆海绵整体制成，厚度≥75mm。床垫表面采用无缝烫接技术，防水透气易清洗，防静电。</w:t>
      </w:r>
    </w:p>
    <w:p w14:paraId="024C8918">
      <w:pPr>
        <w:numPr>
          <w:ilvl w:val="0"/>
          <w:numId w:val="0"/>
        </w:numPr>
        <w:autoSpaceDE w:val="0"/>
        <w:spacing w:line="360" w:lineRule="auto"/>
        <w:jc w:val="left"/>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val="en-US" w:eastAsia="zh-CN" w:bidi="ar"/>
        </w:rPr>
        <w:t>11.</w:t>
      </w:r>
      <w:r>
        <w:rPr>
          <w:rFonts w:hint="eastAsia" w:ascii="仿宋" w:hAnsi="仿宋" w:eastAsia="仿宋" w:cs="仿宋"/>
          <w:color w:val="000000"/>
          <w:sz w:val="24"/>
          <w:highlight w:val="none"/>
          <w:lang w:bidi="ar"/>
        </w:rPr>
        <w:t>台面长度：≥2100mm</w:t>
      </w:r>
      <w:r>
        <w:rPr>
          <w:rFonts w:hint="eastAsia" w:ascii="仿宋" w:hAnsi="仿宋" w:eastAsia="仿宋" w:cs="仿宋"/>
          <w:color w:val="000000"/>
          <w:sz w:val="24"/>
          <w:highlight w:val="none"/>
          <w:lang w:eastAsia="zh-CN" w:bidi="ar"/>
        </w:rPr>
        <w:t>。</w:t>
      </w:r>
    </w:p>
    <w:p w14:paraId="1AB276F7">
      <w:pPr>
        <w:numPr>
          <w:ilvl w:val="0"/>
          <w:numId w:val="0"/>
        </w:numPr>
        <w:autoSpaceDE w:val="0"/>
        <w:spacing w:line="360" w:lineRule="auto"/>
        <w:jc w:val="left"/>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val="en-US" w:eastAsia="zh-CN" w:bidi="ar"/>
        </w:rPr>
        <w:t>12.</w:t>
      </w:r>
      <w:r>
        <w:rPr>
          <w:rFonts w:hint="eastAsia" w:ascii="仿宋" w:hAnsi="仿宋" w:eastAsia="仿宋" w:cs="仿宋"/>
          <w:color w:val="000000"/>
          <w:sz w:val="24"/>
          <w:highlight w:val="none"/>
          <w:lang w:bidi="ar"/>
        </w:rPr>
        <w:t>台面宽度：≥520mm</w:t>
      </w:r>
      <w:r>
        <w:rPr>
          <w:rFonts w:hint="eastAsia" w:ascii="仿宋" w:hAnsi="仿宋" w:eastAsia="仿宋" w:cs="仿宋"/>
          <w:color w:val="000000"/>
          <w:sz w:val="24"/>
          <w:highlight w:val="none"/>
          <w:lang w:eastAsia="zh-CN" w:bidi="ar"/>
        </w:rPr>
        <w:t>。</w:t>
      </w:r>
    </w:p>
    <w:p w14:paraId="53EF48CF">
      <w:pPr>
        <w:numPr>
          <w:ilvl w:val="0"/>
          <w:numId w:val="0"/>
        </w:numPr>
        <w:autoSpaceDE w:val="0"/>
        <w:spacing w:line="360" w:lineRule="auto"/>
        <w:jc w:val="left"/>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val="en-US" w:eastAsia="zh-CN" w:bidi="ar"/>
        </w:rPr>
        <w:t>13.</w:t>
      </w:r>
      <w:r>
        <w:rPr>
          <w:rFonts w:hint="eastAsia" w:ascii="仿宋" w:hAnsi="仿宋" w:eastAsia="仿宋" w:cs="仿宋"/>
          <w:color w:val="000000"/>
          <w:sz w:val="24"/>
          <w:highlight w:val="none"/>
          <w:lang w:bidi="ar"/>
        </w:rPr>
        <w:t>台面高度最高：≥900mm</w:t>
      </w:r>
      <w:r>
        <w:rPr>
          <w:rFonts w:hint="eastAsia" w:ascii="仿宋" w:hAnsi="仿宋" w:eastAsia="仿宋" w:cs="仿宋"/>
          <w:color w:val="000000"/>
          <w:sz w:val="24"/>
          <w:highlight w:val="none"/>
          <w:lang w:eastAsia="zh-CN" w:bidi="ar"/>
        </w:rPr>
        <w:t>。</w:t>
      </w:r>
    </w:p>
    <w:p w14:paraId="52722FB3">
      <w:pPr>
        <w:numPr>
          <w:ilvl w:val="0"/>
          <w:numId w:val="0"/>
        </w:numPr>
        <w:autoSpaceDE w:val="0"/>
        <w:spacing w:line="360" w:lineRule="auto"/>
        <w:jc w:val="left"/>
        <w:rPr>
          <w:rFonts w:hint="eastAsia" w:ascii="仿宋" w:hAnsi="仿宋" w:eastAsia="仿宋" w:cs="仿宋"/>
          <w:b/>
          <w:bCs/>
          <w:color w:val="000000"/>
          <w:sz w:val="24"/>
          <w:highlight w:val="none"/>
          <w:lang w:eastAsia="zh-CN"/>
        </w:rPr>
      </w:pPr>
      <w:r>
        <w:rPr>
          <w:rFonts w:hint="eastAsia" w:ascii="宋体" w:hAnsi="宋体" w:eastAsia="宋体" w:cs="宋体"/>
          <w:kern w:val="2"/>
          <w:sz w:val="24"/>
          <w:szCs w:val="24"/>
          <w:lang w:val="en-US" w:eastAsia="zh-CN" w:bidi="ar"/>
        </w:rPr>
        <w:t>■</w:t>
      </w:r>
      <w:r>
        <w:rPr>
          <w:rFonts w:hint="eastAsia" w:ascii="仿宋" w:hAnsi="仿宋" w:eastAsia="仿宋" w:cs="仿宋"/>
          <w:b/>
          <w:bCs/>
          <w:color w:val="000000"/>
          <w:sz w:val="24"/>
          <w:highlight w:val="none"/>
          <w:lang w:val="en-US" w:eastAsia="zh-CN" w:bidi="ar"/>
        </w:rPr>
        <w:t>14.</w:t>
      </w:r>
      <w:r>
        <w:rPr>
          <w:rFonts w:hint="eastAsia" w:ascii="仿宋" w:hAnsi="仿宋" w:eastAsia="仿宋" w:cs="仿宋"/>
          <w:b/>
          <w:bCs/>
          <w:color w:val="000000"/>
          <w:sz w:val="24"/>
          <w:highlight w:val="none"/>
          <w:lang w:bidi="ar"/>
        </w:rPr>
        <w:t>台面高度最低：≤600mm</w:t>
      </w:r>
      <w:r>
        <w:rPr>
          <w:rFonts w:hint="eastAsia" w:ascii="仿宋" w:hAnsi="仿宋" w:eastAsia="仿宋" w:cs="仿宋"/>
          <w:b/>
          <w:bCs/>
          <w:color w:val="000000"/>
          <w:sz w:val="24"/>
          <w:highlight w:val="none"/>
          <w:lang w:eastAsia="zh-CN" w:bidi="ar"/>
        </w:rPr>
        <w:t>。</w:t>
      </w:r>
    </w:p>
    <w:p w14:paraId="61B73896">
      <w:pPr>
        <w:numPr>
          <w:ilvl w:val="0"/>
          <w:numId w:val="0"/>
        </w:numPr>
        <w:autoSpaceDE w:val="0"/>
        <w:spacing w:line="360" w:lineRule="auto"/>
        <w:jc w:val="left"/>
        <w:rPr>
          <w:rFonts w:hint="eastAsia" w:ascii="仿宋" w:hAnsi="仿宋" w:eastAsia="仿宋" w:cs="仿宋"/>
          <w:b/>
          <w:bCs/>
          <w:color w:val="000000"/>
          <w:sz w:val="24"/>
          <w:highlight w:val="none"/>
          <w:lang w:eastAsia="zh-CN"/>
        </w:rPr>
      </w:pPr>
      <w:r>
        <w:rPr>
          <w:rFonts w:hint="eastAsia" w:ascii="宋体" w:hAnsi="宋体" w:eastAsia="宋体" w:cs="宋体"/>
          <w:kern w:val="2"/>
          <w:sz w:val="24"/>
          <w:szCs w:val="24"/>
          <w:lang w:val="en-US" w:eastAsia="zh-CN" w:bidi="ar"/>
        </w:rPr>
        <w:t>■</w:t>
      </w:r>
      <w:r>
        <w:rPr>
          <w:rFonts w:hint="eastAsia" w:ascii="仿宋" w:hAnsi="仿宋" w:eastAsia="仿宋" w:cs="仿宋"/>
          <w:b/>
          <w:bCs/>
          <w:color w:val="000000"/>
          <w:sz w:val="24"/>
          <w:highlight w:val="none"/>
          <w:lang w:val="en-US" w:eastAsia="zh-CN" w:bidi="ar"/>
        </w:rPr>
        <w:t>15</w:t>
      </w:r>
      <w:r>
        <w:rPr>
          <w:rFonts w:hint="eastAsia" w:ascii="仿宋" w:hAnsi="仿宋" w:eastAsia="仿宋" w:cs="仿宋"/>
          <w:b/>
          <w:bCs/>
          <w:color w:val="000000"/>
          <w:sz w:val="24"/>
          <w:highlight w:val="none"/>
          <w:lang w:bidi="ar"/>
        </w:rPr>
        <w:t>台面双纵向平移：≥320mm</w:t>
      </w:r>
      <w:r>
        <w:rPr>
          <w:rFonts w:hint="eastAsia" w:ascii="仿宋" w:hAnsi="仿宋" w:eastAsia="仿宋" w:cs="仿宋"/>
          <w:b/>
          <w:bCs/>
          <w:color w:val="000000"/>
          <w:sz w:val="24"/>
          <w:highlight w:val="none"/>
          <w:lang w:eastAsia="zh-CN" w:bidi="ar"/>
        </w:rPr>
        <w:t>。</w:t>
      </w:r>
    </w:p>
    <w:p w14:paraId="2A8EC23A">
      <w:pPr>
        <w:numPr>
          <w:ilvl w:val="0"/>
          <w:numId w:val="0"/>
        </w:numPr>
        <w:autoSpaceDE w:val="0"/>
        <w:spacing w:line="360" w:lineRule="auto"/>
        <w:jc w:val="left"/>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val="en-US" w:eastAsia="zh-CN" w:bidi="ar"/>
        </w:rPr>
        <w:t>16.</w:t>
      </w:r>
      <w:r>
        <w:rPr>
          <w:rFonts w:hint="eastAsia" w:ascii="仿宋" w:hAnsi="仿宋" w:eastAsia="仿宋" w:cs="仿宋"/>
          <w:color w:val="000000"/>
          <w:sz w:val="24"/>
          <w:highlight w:val="none"/>
          <w:lang w:bidi="ar"/>
        </w:rPr>
        <w:t>床体前倾、后倾：≥25°</w:t>
      </w:r>
      <w:r>
        <w:rPr>
          <w:rFonts w:hint="eastAsia" w:ascii="仿宋" w:hAnsi="仿宋" w:eastAsia="仿宋" w:cs="仿宋"/>
          <w:color w:val="000000"/>
          <w:sz w:val="24"/>
          <w:highlight w:val="none"/>
          <w:lang w:eastAsia="zh-CN" w:bidi="ar"/>
        </w:rPr>
        <w:t>。</w:t>
      </w:r>
    </w:p>
    <w:p w14:paraId="6C502A63">
      <w:pPr>
        <w:numPr>
          <w:ilvl w:val="0"/>
          <w:numId w:val="0"/>
        </w:numPr>
        <w:autoSpaceDE w:val="0"/>
        <w:spacing w:line="360" w:lineRule="auto"/>
        <w:jc w:val="left"/>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val="en-US" w:eastAsia="zh-CN" w:bidi="ar"/>
        </w:rPr>
        <w:t>17.</w:t>
      </w:r>
      <w:r>
        <w:rPr>
          <w:rFonts w:hint="eastAsia" w:ascii="仿宋" w:hAnsi="仿宋" w:eastAsia="仿宋" w:cs="仿宋"/>
          <w:color w:val="000000"/>
          <w:sz w:val="24"/>
          <w:highlight w:val="none"/>
          <w:lang w:bidi="ar"/>
        </w:rPr>
        <w:t>床面左倾、右倾：≥20°</w:t>
      </w:r>
      <w:r>
        <w:rPr>
          <w:rFonts w:hint="eastAsia" w:ascii="仿宋" w:hAnsi="仿宋" w:eastAsia="仿宋" w:cs="仿宋"/>
          <w:color w:val="000000"/>
          <w:sz w:val="24"/>
          <w:highlight w:val="none"/>
          <w:lang w:eastAsia="zh-CN" w:bidi="ar"/>
        </w:rPr>
        <w:t>。</w:t>
      </w:r>
    </w:p>
    <w:p w14:paraId="585049DB">
      <w:pPr>
        <w:numPr>
          <w:ilvl w:val="0"/>
          <w:numId w:val="0"/>
        </w:numPr>
        <w:autoSpaceDE w:val="0"/>
        <w:spacing w:line="360" w:lineRule="auto"/>
        <w:jc w:val="left"/>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val="en-US" w:eastAsia="zh-CN" w:bidi="ar"/>
        </w:rPr>
        <w:t>18.</w:t>
      </w:r>
      <w:r>
        <w:rPr>
          <w:rFonts w:hint="eastAsia" w:ascii="仿宋" w:hAnsi="仿宋" w:eastAsia="仿宋" w:cs="仿宋"/>
          <w:color w:val="000000"/>
          <w:sz w:val="24"/>
          <w:highlight w:val="none"/>
          <w:lang w:bidi="ar"/>
        </w:rPr>
        <w:t>头板（上、下）：≥45°/45°</w:t>
      </w:r>
      <w:r>
        <w:rPr>
          <w:rFonts w:hint="eastAsia" w:ascii="仿宋" w:hAnsi="仿宋" w:eastAsia="仿宋" w:cs="仿宋"/>
          <w:color w:val="000000"/>
          <w:sz w:val="24"/>
          <w:highlight w:val="none"/>
          <w:lang w:eastAsia="zh-CN" w:bidi="ar"/>
        </w:rPr>
        <w:t>。</w:t>
      </w:r>
    </w:p>
    <w:p w14:paraId="2E1ABD2A">
      <w:pPr>
        <w:numPr>
          <w:ilvl w:val="0"/>
          <w:numId w:val="0"/>
        </w:numPr>
        <w:autoSpaceDE w:val="0"/>
        <w:spacing w:line="360" w:lineRule="auto"/>
        <w:jc w:val="left"/>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val="en-US" w:eastAsia="zh-CN" w:bidi="ar"/>
        </w:rPr>
        <w:t>19.</w:t>
      </w:r>
      <w:r>
        <w:rPr>
          <w:rFonts w:hint="eastAsia" w:ascii="仿宋" w:hAnsi="仿宋" w:eastAsia="仿宋" w:cs="仿宋"/>
          <w:color w:val="000000"/>
          <w:sz w:val="24"/>
          <w:highlight w:val="none"/>
          <w:lang w:bidi="ar"/>
        </w:rPr>
        <w:t>背板（上、下）：≥80°/40°</w:t>
      </w:r>
      <w:r>
        <w:rPr>
          <w:rFonts w:hint="eastAsia" w:ascii="仿宋" w:hAnsi="仿宋" w:eastAsia="仿宋" w:cs="仿宋"/>
          <w:color w:val="000000"/>
          <w:sz w:val="24"/>
          <w:highlight w:val="none"/>
          <w:lang w:eastAsia="zh-CN" w:bidi="ar"/>
        </w:rPr>
        <w:t>。</w:t>
      </w:r>
    </w:p>
    <w:p w14:paraId="22BEC216">
      <w:pPr>
        <w:numPr>
          <w:ilvl w:val="0"/>
          <w:numId w:val="0"/>
        </w:numPr>
        <w:autoSpaceDE w:val="0"/>
        <w:spacing w:line="360" w:lineRule="auto"/>
        <w:jc w:val="left"/>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val="en-US" w:eastAsia="zh-CN" w:bidi="ar"/>
        </w:rPr>
        <w:t>20.</w:t>
      </w:r>
      <w:r>
        <w:rPr>
          <w:rFonts w:hint="eastAsia" w:ascii="仿宋" w:hAnsi="仿宋" w:eastAsia="仿宋" w:cs="仿宋"/>
          <w:color w:val="000000"/>
          <w:sz w:val="24"/>
          <w:highlight w:val="none"/>
          <w:lang w:bidi="ar"/>
        </w:rPr>
        <w:t>脚板（上、下）：≥15°/90°</w:t>
      </w:r>
      <w:r>
        <w:rPr>
          <w:rFonts w:hint="eastAsia" w:ascii="仿宋" w:hAnsi="仿宋" w:eastAsia="仿宋" w:cs="仿宋"/>
          <w:color w:val="000000"/>
          <w:sz w:val="24"/>
          <w:highlight w:val="none"/>
          <w:lang w:eastAsia="zh-CN" w:bidi="ar"/>
        </w:rPr>
        <w:t>。</w:t>
      </w:r>
    </w:p>
    <w:p w14:paraId="375B5775">
      <w:pPr>
        <w:numPr>
          <w:ilvl w:val="0"/>
          <w:numId w:val="0"/>
        </w:numPr>
        <w:autoSpaceDE w:val="0"/>
        <w:spacing w:line="360" w:lineRule="auto"/>
        <w:jc w:val="left"/>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val="en-US" w:eastAsia="zh-CN" w:bidi="ar"/>
        </w:rPr>
        <w:t>21.</w:t>
      </w:r>
      <w:r>
        <w:rPr>
          <w:rFonts w:hint="eastAsia" w:ascii="仿宋" w:hAnsi="仿宋" w:eastAsia="仿宋" w:cs="仿宋"/>
          <w:color w:val="000000"/>
          <w:sz w:val="24"/>
          <w:highlight w:val="none"/>
          <w:lang w:bidi="ar"/>
        </w:rPr>
        <w:t>腰部（上升/下降）：≥220°/100°</w:t>
      </w:r>
      <w:r>
        <w:rPr>
          <w:rFonts w:hint="eastAsia" w:ascii="仿宋" w:hAnsi="仿宋" w:eastAsia="仿宋" w:cs="仿宋"/>
          <w:color w:val="000000"/>
          <w:sz w:val="24"/>
          <w:highlight w:val="none"/>
          <w:lang w:eastAsia="zh-CN" w:bidi="ar"/>
        </w:rPr>
        <w:t>。</w:t>
      </w:r>
    </w:p>
    <w:p w14:paraId="1A179174">
      <w:pPr>
        <w:numPr>
          <w:ilvl w:val="0"/>
          <w:numId w:val="0"/>
        </w:numPr>
        <w:autoSpaceDE w:val="0"/>
        <w:spacing w:line="360" w:lineRule="auto"/>
        <w:jc w:val="left"/>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val="en-US" w:eastAsia="zh-CN" w:bidi="ar"/>
        </w:rPr>
        <w:t>22.</w:t>
      </w:r>
      <w:r>
        <w:rPr>
          <w:rFonts w:hint="eastAsia" w:ascii="仿宋" w:hAnsi="仿宋" w:eastAsia="仿宋" w:cs="仿宋"/>
          <w:color w:val="000000"/>
          <w:sz w:val="24"/>
          <w:highlight w:val="none"/>
          <w:lang w:bidi="ar"/>
        </w:rPr>
        <w:t>电动内置腰桥：≥100mm</w:t>
      </w:r>
      <w:r>
        <w:rPr>
          <w:rFonts w:hint="eastAsia" w:ascii="仿宋" w:hAnsi="仿宋" w:eastAsia="仿宋" w:cs="仿宋"/>
          <w:color w:val="000000"/>
          <w:sz w:val="24"/>
          <w:highlight w:val="none"/>
          <w:lang w:eastAsia="zh-CN" w:bidi="ar"/>
        </w:rPr>
        <w:t>。</w:t>
      </w:r>
    </w:p>
    <w:p w14:paraId="5832E72B">
      <w:pPr>
        <w:numPr>
          <w:ilvl w:val="0"/>
          <w:numId w:val="0"/>
        </w:numPr>
        <w:autoSpaceDE w:val="0"/>
        <w:spacing w:line="360" w:lineRule="auto"/>
        <w:jc w:val="left"/>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val="en-US" w:eastAsia="zh-CN" w:bidi="ar"/>
        </w:rPr>
        <w:t>23.</w:t>
      </w:r>
      <w:r>
        <w:rPr>
          <w:rFonts w:hint="eastAsia" w:ascii="仿宋" w:hAnsi="仿宋" w:eastAsia="仿宋" w:cs="仿宋"/>
          <w:color w:val="000000"/>
          <w:sz w:val="24"/>
          <w:highlight w:val="none"/>
          <w:lang w:bidi="ar"/>
        </w:rPr>
        <w:t>最大安全载重：≥250KG</w:t>
      </w:r>
      <w:r>
        <w:rPr>
          <w:rFonts w:hint="eastAsia" w:ascii="仿宋" w:hAnsi="仿宋" w:eastAsia="仿宋" w:cs="仿宋"/>
          <w:color w:val="000000"/>
          <w:sz w:val="24"/>
          <w:highlight w:val="none"/>
          <w:lang w:eastAsia="zh-CN" w:bidi="ar"/>
        </w:rPr>
        <w:t>。</w:t>
      </w:r>
    </w:p>
    <w:p w14:paraId="66E9E1F5">
      <w:pPr>
        <w:widowControl/>
        <w:numPr>
          <w:ilvl w:val="0"/>
          <w:numId w:val="0"/>
        </w:numPr>
        <w:spacing w:line="360" w:lineRule="auto"/>
        <w:jc w:val="left"/>
        <w:rPr>
          <w:rFonts w:hint="eastAsia" w:ascii="仿宋" w:hAnsi="仿宋" w:eastAsia="仿宋" w:cs="仿宋"/>
          <w:b/>
          <w:bCs/>
          <w:color w:val="000000"/>
          <w:kern w:val="0"/>
          <w:sz w:val="24"/>
          <w:lang w:bidi="ar"/>
        </w:rPr>
      </w:pPr>
    </w:p>
    <w:p w14:paraId="3D062FF4">
      <w:pPr>
        <w:pStyle w:val="4"/>
        <w:numPr>
          <w:ilvl w:val="0"/>
          <w:numId w:val="2"/>
        </w:numPr>
        <w:spacing w:line="360" w:lineRule="auto"/>
        <w:ind w:firstLine="0" w:firstLineChars="0"/>
        <w:rPr>
          <w:rFonts w:hint="eastAsia" w:ascii="仿宋" w:hAnsi="仿宋" w:eastAsia="仿宋" w:cs="仿宋"/>
          <w:b/>
          <w:color w:val="000000"/>
          <w:sz w:val="24"/>
        </w:rPr>
      </w:pPr>
      <w:r>
        <w:rPr>
          <w:rFonts w:hint="eastAsia" w:ascii="仿宋" w:hAnsi="仿宋" w:eastAsia="仿宋" w:cs="仿宋"/>
          <w:b/>
          <w:color w:val="000000"/>
          <w:sz w:val="24"/>
        </w:rPr>
        <w:t>其他配套要求：</w:t>
      </w:r>
    </w:p>
    <w:p w14:paraId="3A3EE0DD">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（一）应急服务要求</w:t>
      </w:r>
    </w:p>
    <w:p w14:paraId="205BBB87">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1.备品备件：中标人提供能够满足质量保证期内的设备维修要求的备品备件，备品备件应是新品。中标人应保证10年以上零部件供应期，并对设备故障等突发状况及时响应。</w:t>
      </w:r>
    </w:p>
    <w:p w14:paraId="245657BF">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2.专用工具：中标人提供设备安装、调试、验收、维修、保养所必要的专用工具、仪器、仪表等工具。</w:t>
      </w:r>
    </w:p>
    <w:p w14:paraId="7F744A69">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3. 接到报修后应及时响应，若未及时修复设备故障，应提供备用设备供院方使用。</w:t>
      </w:r>
    </w:p>
    <w:p w14:paraId="7D4AABAD">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（二）安装调试、验收试验及质量保证</w:t>
      </w:r>
    </w:p>
    <w:p w14:paraId="458D7862">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1.中标人在设备安装地点负责安装、调试。</w:t>
      </w:r>
    </w:p>
    <w:p w14:paraId="49827BE2">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2.具体设备验收标准和程序按采购人要求执行，下列验收程序可参照执行：</w:t>
      </w:r>
    </w:p>
    <w:p w14:paraId="79B81DDB">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2.1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涉及需要由质检或行业主管部门验收的项目，采购人须约请相关部门和专家参加项目验收。所有需要质检部门进行检测才能使用的设备，投标报价中必须包含首次检测费用；</w:t>
      </w:r>
    </w:p>
    <w:p w14:paraId="3F4F8A93">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p>
    <w:p w14:paraId="6EE76A21">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2.3中标人应根据采购人使用单位的技术要求提供相应的产品。由中标人所提供的设备部件间的连线和插接件均应视为设备内部器件，包含在相应的设备之中；</w:t>
      </w:r>
    </w:p>
    <w:p w14:paraId="2FAEE2B6">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2.4运行测试及最终验收。在系统安装、调试结束后，采购人对其进行全面的测试，对测试中暴露出来的问题，中标人应及时进行整改，系统最终测试完毕经验收合格后，采购人应向中标人签发最终验收证明；</w:t>
      </w:r>
    </w:p>
    <w:p w14:paraId="2FF837D6">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2.5中标人应向采购人提供安装调试过程中的各种文档资料,以便采购人今后能掌握操作和维护方法。依据合同与合同有关条件、本招标文件的技术规范、系统配置要求、设备技术文件和系统说明书，以及国家和省部级等要求进行验收，验收分为预验收和竣工验收。</w:t>
      </w:r>
    </w:p>
    <w:p w14:paraId="3C807059">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2.6如设备在验收时有一个或多个指标未能达到要求而属于中标人责任时，则中标人自费采取有效措施，在规定时间内使之达到保证指标。如在规定的时间内仍达不到合格标准时，则中标人应向采购人赔偿。</w:t>
      </w:r>
    </w:p>
    <w:p w14:paraId="1F345DA8">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（三）包装运输</w:t>
      </w:r>
    </w:p>
    <w:p w14:paraId="0340DF02">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1.中标人负责设备包装、办理运输和保险，将设备安全运抵交货地点。</w:t>
      </w:r>
    </w:p>
    <w:p w14:paraId="0BDEEAD3">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2.设备制造完成并通过试验后应及时包装，否则应得到切实的保护，确保其不受污损。</w:t>
      </w:r>
    </w:p>
    <w:p w14:paraId="4A8D09F3">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3.在包装箱外应标明采购人的订货号、发货号。</w:t>
      </w:r>
    </w:p>
    <w:p w14:paraId="022401FF">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4.各种包装应能确保各零部件在运输过程中不致遭到损坏、丢失、变形、受潮和腐蚀。</w:t>
      </w:r>
    </w:p>
    <w:p w14:paraId="36025B90">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5.包装箱上应有明显的包装储运图示标志。</w:t>
      </w:r>
    </w:p>
    <w:p w14:paraId="22B25ECD">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6.整体产品或分别运输的部件都要适应运输和装载的要求。</w:t>
      </w:r>
    </w:p>
    <w:p w14:paraId="42D53903">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7.随产品提供的技术资料应完整无缺。</w:t>
      </w:r>
    </w:p>
    <w:p w14:paraId="3216B0D2">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（四）培训要求</w:t>
      </w:r>
    </w:p>
    <w:p w14:paraId="3D49E2DB">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技术人员厂方培训：维修维护不少于1人，设备培训时间不低于3天，有详细的技术培训方案和完整规范的培训资料，培训结束获得厂方授权或资质许可，交通、食宿、资料、工具材料等所有与培训相关的费用包含在投标报价中。设备使用培训：不少于2-4人，直至完全掌握设备应用技术，并获厂方资质许可；交通、食宿、资料、工具材料等所有与培训相关的费用包含在投标报价中。</w:t>
      </w:r>
    </w:p>
    <w:p w14:paraId="6DC56E54">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（五）质保及售后服务</w:t>
      </w:r>
    </w:p>
    <w:p w14:paraId="53303155">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1.自双方签订《验收报告》起进入免费质保期。</w:t>
      </w:r>
    </w:p>
    <w:p w14:paraId="5EFE9E8F">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在质保期间内，非采购人过失和故意并且在正常使用的情况下发现商品有缺陷，中标人将免费修理或替换该设备；在质保期间内，非采购人过失和故意并且在正常使用的情况下设备发生故障，中标人应及时提供免费服务。</w:t>
      </w:r>
    </w:p>
    <w:p w14:paraId="01DD859E">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（六）其他</w:t>
      </w:r>
    </w:p>
    <w:p w14:paraId="209819E0">
      <w:pPr>
        <w:rPr>
          <w:rFonts w:hint="default" w:eastAsiaTheme="minorEastAsia"/>
          <w:lang w:val="en-US" w:eastAsia="zh-CN"/>
        </w:rPr>
      </w:pPr>
      <w:r>
        <w:rPr>
          <w:rFonts w:hint="eastAsia" w:ascii="仿宋" w:hAnsi="仿宋" w:eastAsia="仿宋" w:cs="仿宋"/>
          <w:color w:val="000000"/>
          <w:kern w:val="0"/>
          <w:sz w:val="24"/>
          <w:lang w:bidi="ar"/>
        </w:rPr>
        <w:t>1.投标人所投产品应为性能稳定、安全的成熟设备，故障率低、维修便利，并在投标文件中针对所投产品技术先进性、设备性能、配置情况、设计等方面进行阐述说明，提供相应证明材料。</w:t>
      </w:r>
      <w:r>
        <w:rPr>
          <w:rFonts w:hint="eastAsia" w:ascii="宋体" w:hAnsi="宋体"/>
          <w:color w:val="000000"/>
        </w:rPr>
        <w:br w:type="page"/>
      </w:r>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00" w:usb3="00000000" w:csb0="00040000" w:csb1="00000000"/>
  </w:font>
  <w:font w:name="Kingsoft UE">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5D8DB8"/>
    <w:multiLevelType w:val="singleLevel"/>
    <w:tmpl w:val="F45D8DB8"/>
    <w:lvl w:ilvl="0" w:tentative="0">
      <w:start w:val="2"/>
      <w:numFmt w:val="chineseCounting"/>
      <w:suff w:val="nothing"/>
      <w:lvlText w:val="（%1）"/>
      <w:lvlJc w:val="left"/>
      <w:rPr>
        <w:rFonts w:hint="eastAsia"/>
      </w:rPr>
    </w:lvl>
  </w:abstractNum>
  <w:abstractNum w:abstractNumId="1">
    <w:nsid w:val="FE1AB2AC"/>
    <w:multiLevelType w:val="singleLevel"/>
    <w:tmpl w:val="FE1AB2AC"/>
    <w:lvl w:ilvl="0" w:tentative="0">
      <w:start w:val="4"/>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7D6D30"/>
    <w:rsid w:val="05587D01"/>
    <w:rsid w:val="20C0110B"/>
    <w:rsid w:val="2C251F93"/>
    <w:rsid w:val="391A7189"/>
    <w:rsid w:val="62E94978"/>
    <w:rsid w:val="73233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9"/>
    <w:pPr>
      <w:keepNext/>
      <w:keepLines/>
      <w:spacing w:before="260" w:beforeLines="0" w:after="260" w:afterLines="0" w:line="416" w:lineRule="auto"/>
      <w:outlineLvl w:val="1"/>
    </w:pPr>
    <w:rPr>
      <w:rFonts w:ascii="Cambria" w:hAnsi="Cambria"/>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Normal Indent"/>
    <w:basedOn w:val="1"/>
    <w:next w:val="5"/>
    <w:uiPriority w:val="0"/>
    <w:pPr>
      <w:ind w:firstLine="420" w:firstLineChars="200"/>
    </w:pPr>
  </w:style>
  <w:style w:type="paragraph" w:styleId="5">
    <w:name w:val="Body Text First Indent 2"/>
    <w:basedOn w:val="6"/>
    <w:qFormat/>
    <w:uiPriority w:val="99"/>
    <w:pPr>
      <w:spacing w:after="0"/>
      <w:ind w:left="0" w:leftChars="0" w:firstLine="420"/>
    </w:pPr>
    <w:rPr>
      <w:rFonts w:ascii="楷体_GB2312" w:eastAsia="楷体_GB2312"/>
      <w:sz w:val="32"/>
    </w:rPr>
  </w:style>
  <w:style w:type="paragraph" w:styleId="6">
    <w:name w:val="Body Text Indent"/>
    <w:basedOn w:val="1"/>
    <w:next w:val="7"/>
    <w:qFormat/>
    <w:uiPriority w:val="99"/>
    <w:pPr>
      <w:spacing w:after="120" w:afterLines="0"/>
      <w:ind w:left="420" w:leftChars="200"/>
    </w:pPr>
  </w:style>
  <w:style w:type="paragraph" w:styleId="7">
    <w:name w:val="envelope return"/>
    <w:basedOn w:val="1"/>
    <w:qFormat/>
    <w:uiPriority w:val="99"/>
    <w:pPr>
      <w:snapToGrid w:val="0"/>
    </w:pPr>
    <w:rPr>
      <w:rFonts w:ascii="Arial" w:hAnsi="Arial"/>
    </w:rPr>
  </w:style>
  <w:style w:type="paragraph" w:styleId="8">
    <w:name w:val="annotation text"/>
    <w:basedOn w:val="1"/>
    <w:uiPriority w:val="0"/>
    <w:pPr>
      <w:jc w:val="left"/>
    </w:pPr>
  </w:style>
  <w:style w:type="paragraph" w:styleId="9">
    <w:name w:val="Normal (Web)"/>
    <w:basedOn w:val="1"/>
    <w:qFormat/>
    <w:uiPriority w:val="0"/>
    <w:pPr>
      <w:widowControl/>
      <w:spacing w:before="100" w:beforeLines="0" w:beforeAutospacing="1" w:after="100" w:afterLines="0" w:afterAutospacing="1"/>
      <w:jc w:val="left"/>
    </w:pPr>
    <w:rPr>
      <w:rFonts w:ascii="宋体" w:hAnsi="宋体"/>
      <w:color w:val="000000"/>
      <w:kern w:val="0"/>
      <w:sz w:val="24"/>
    </w:rPr>
  </w:style>
  <w:style w:type="character" w:customStyle="1" w:styleId="12">
    <w:name w:val="标题 2 Char Char"/>
    <w:qFormat/>
    <w:uiPriority w:val="0"/>
    <w:rPr>
      <w:rFonts w:ascii="Arial" w:hAnsi="Arial" w:eastAsia="黑体" w:cs="Times New Roman"/>
      <w:b/>
      <w:bCs/>
      <w:kern w:val="2"/>
      <w:sz w:val="32"/>
      <w:szCs w:val="32"/>
      <w:lang w:val="en-US" w:eastAsia="zh-CN" w:bidi="ar-SA"/>
    </w:rPr>
  </w:style>
  <w:style w:type="paragraph" w:customStyle="1" w:styleId="13">
    <w:name w:val="列出段落1"/>
    <w:basedOn w:val="1"/>
    <w:qFormat/>
    <w:uiPriority w:val="0"/>
    <w:pPr>
      <w:ind w:firstLine="420" w:firstLineChars="200"/>
    </w:pPr>
  </w:style>
  <w:style w:type="paragraph" w:customStyle="1" w:styleId="14">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2063</Words>
  <Characters>2109</Characters>
  <Lines>0</Lines>
  <Paragraphs>0</Paragraphs>
  <TotalTime>0</TotalTime>
  <ScaleCrop>false</ScaleCrop>
  <LinksUpToDate>false</LinksUpToDate>
  <CharactersWithSpaces>2166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2026-08-31T09:44:00Z</dcterms:created>
  <dc:creator>admin</dc:creator>
  <cp:lastModifiedBy>豆奶是个小胖子</cp:lastModifiedBy>
  <dcterms:modified xsi:type="dcterms:W3CDTF">2026-09-01T03:56:00Z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eyJoZGlkIjoiNmExMjc1NzQ3NWFiZTgzMjNiYTYxNmEzOTMwZTVjYjAiLCJ1c2VySWQiOiIzMDI3OTc1ODcifQ==</vt:lpwstr>
  </property>
  <property fmtid="{D5CDD505-2E9C-101B-9397-08002B2CF9AE}" pid="4" name="ICV">
    <vt:lpwstr>7BEBEF604DB34D05B6687F3D6AD5D038_12</vt:lpwstr>
  </property>
</Properties>
</file>