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251056">
      <w:pPr>
        <w:pStyle w:val="2"/>
        <w:widowControl/>
        <w:snapToGrid w:val="0"/>
        <w:spacing w:before="0" w:after="0" w:line="360" w:lineRule="auto"/>
        <w:jc w:val="center"/>
        <w:rPr>
          <w:rFonts w:hint="eastAsia" w:ascii="宋体" w:hAnsi="宋体"/>
          <w:color w:val="000000"/>
        </w:rPr>
      </w:pPr>
      <w:bookmarkStart w:id="0" w:name="_Toc8946"/>
      <w:r>
        <w:rPr>
          <w:rFonts w:hint="eastAsia" w:ascii="宋体" w:hAnsi="宋体"/>
          <w:color w:val="000000"/>
        </w:rPr>
        <w:t>第三章  采购需求及技术规格要求</w:t>
      </w:r>
      <w:bookmarkEnd w:id="0"/>
    </w:p>
    <w:p w14:paraId="0925DAD0">
      <w:pPr>
        <w:pStyle w:val="3"/>
        <w:spacing w:before="0" w:after="0" w:line="360" w:lineRule="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总则：</w:t>
      </w:r>
    </w:p>
    <w:p w14:paraId="6E1EDFEA">
      <w:pPr>
        <w:widowControl/>
        <w:tabs>
          <w:tab w:val="left" w:pos="1406"/>
        </w:tabs>
        <w:snapToGrid w:val="0"/>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1.1 本技术规格所提出的要求是对本次招标货物的基本技术要求，并未涉及所有技术细节，也未充分引述有关标准、规范的全部条款。投标人应保证其提供的货物除了满足本技术规格的要求外，还应符合中国国家、行业、地方或设备制造商所在国的有关标准、规范（尤其是必须符合中国国家标准的有关强制性规定)。</w:t>
      </w:r>
    </w:p>
    <w:p w14:paraId="3AF20365">
      <w:pPr>
        <w:pStyle w:val="9"/>
        <w:spacing w:line="360" w:lineRule="auto"/>
        <w:ind w:firstLine="480" w:firstLineChars="200"/>
        <w:rPr>
          <w:rFonts w:hint="eastAsia" w:ascii="仿宋" w:hAnsi="仿宋" w:eastAsia="仿宋" w:cs="仿宋"/>
          <w:b/>
          <w:bCs/>
          <w:color w:val="000000"/>
          <w:sz w:val="24"/>
          <w:szCs w:val="24"/>
        </w:rPr>
      </w:pPr>
      <w:r>
        <w:rPr>
          <w:rFonts w:hint="eastAsia" w:ascii="仿宋" w:hAnsi="仿宋" w:eastAsia="仿宋" w:cs="仿宋"/>
          <w:color w:val="000000"/>
          <w:sz w:val="24"/>
          <w:szCs w:val="24"/>
        </w:rPr>
        <w:t>1.2 中标产品的名称、品牌、规格型号、数量、单价等将予以公布。</w:t>
      </w:r>
    </w:p>
    <w:p w14:paraId="044CB8E1">
      <w:pPr>
        <w:wordWrap w:val="0"/>
        <w:spacing w:line="360" w:lineRule="auto"/>
        <w:jc w:val="left"/>
        <w:rPr>
          <w:rFonts w:hint="eastAsia" w:ascii="仿宋" w:hAnsi="仿宋" w:eastAsia="仿宋" w:cs="仿宋"/>
          <w:b/>
          <w:color w:val="000000"/>
          <w:sz w:val="24"/>
        </w:rPr>
      </w:pPr>
      <w:r>
        <w:rPr>
          <w:rFonts w:hint="eastAsia" w:ascii="仿宋" w:hAnsi="仿宋" w:eastAsia="仿宋" w:cs="仿宋"/>
          <w:b/>
          <w:color w:val="000000"/>
          <w:sz w:val="24"/>
        </w:rPr>
        <w:t>一、商务条款：</w:t>
      </w:r>
    </w:p>
    <w:tbl>
      <w:tblPr>
        <w:tblStyle w:val="7"/>
        <w:tblW w:w="0" w:type="auto"/>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1645"/>
        <w:gridCol w:w="6100"/>
      </w:tblGrid>
      <w:tr w14:paraId="30C29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740" w:type="dxa"/>
            <w:noWrap w:val="0"/>
            <w:vAlign w:val="center"/>
          </w:tcPr>
          <w:p w14:paraId="7B7AD198">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序号</w:t>
            </w:r>
          </w:p>
        </w:tc>
        <w:tc>
          <w:tcPr>
            <w:tcW w:w="9016" w:type="dxa"/>
            <w:gridSpan w:val="2"/>
            <w:noWrap w:val="0"/>
            <w:vAlign w:val="center"/>
          </w:tcPr>
          <w:p w14:paraId="0DF6DDD2">
            <w:pPr>
              <w:wordWrap w:val="0"/>
              <w:spacing w:line="360" w:lineRule="auto"/>
              <w:ind w:firstLine="2891" w:firstLineChars="1200"/>
              <w:jc w:val="left"/>
              <w:rPr>
                <w:rFonts w:hint="eastAsia" w:ascii="仿宋" w:hAnsi="仿宋" w:eastAsia="仿宋" w:cs="仿宋"/>
                <w:b/>
                <w:color w:val="000000"/>
                <w:sz w:val="24"/>
              </w:rPr>
            </w:pPr>
            <w:r>
              <w:rPr>
                <w:rFonts w:hint="eastAsia" w:ascii="仿宋" w:hAnsi="仿宋" w:eastAsia="仿宋" w:cs="仿宋"/>
                <w:b/>
                <w:color w:val="000000"/>
                <w:sz w:val="24"/>
              </w:rPr>
              <w:t>商务条款内容</w:t>
            </w:r>
          </w:p>
        </w:tc>
      </w:tr>
      <w:tr w14:paraId="29B3D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740" w:type="dxa"/>
            <w:noWrap w:val="0"/>
            <w:vAlign w:val="center"/>
          </w:tcPr>
          <w:p w14:paraId="00CD89DE">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1</w:t>
            </w:r>
          </w:p>
        </w:tc>
        <w:tc>
          <w:tcPr>
            <w:tcW w:w="1800" w:type="dxa"/>
            <w:vMerge w:val="restart"/>
            <w:noWrap w:val="0"/>
            <w:vAlign w:val="center"/>
          </w:tcPr>
          <w:p w14:paraId="6CC4B8AC">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如是依法纳入医疗器械管理的须具有：</w:t>
            </w:r>
          </w:p>
        </w:tc>
        <w:tc>
          <w:tcPr>
            <w:tcW w:w="7216" w:type="dxa"/>
            <w:noWrap w:val="0"/>
            <w:vAlign w:val="center"/>
          </w:tcPr>
          <w:p w14:paraId="0142EA64">
            <w:pPr>
              <w:wordWrap w:val="0"/>
              <w:spacing w:line="360" w:lineRule="auto"/>
              <w:jc w:val="left"/>
              <w:rPr>
                <w:rFonts w:hint="eastAsia" w:ascii="仿宋" w:hAnsi="仿宋" w:eastAsia="仿宋" w:cs="仿宋"/>
                <w:b/>
                <w:color w:val="000000"/>
                <w:sz w:val="24"/>
              </w:rPr>
            </w:pPr>
            <w:r>
              <w:rPr>
                <w:rFonts w:hint="eastAsia" w:ascii="仿宋" w:hAnsi="仿宋" w:eastAsia="仿宋" w:cs="仿宋"/>
                <w:b/>
                <w:color w:val="000000"/>
                <w:sz w:val="24"/>
              </w:rPr>
              <w:t>投标人为制造商的，须具有相应的医疗器械生产备案获取的备案编号（属于一类时）。</w:t>
            </w:r>
          </w:p>
        </w:tc>
      </w:tr>
      <w:tr w14:paraId="57E7D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trPr>
        <w:tc>
          <w:tcPr>
            <w:tcW w:w="740" w:type="dxa"/>
            <w:noWrap w:val="0"/>
            <w:vAlign w:val="center"/>
          </w:tcPr>
          <w:p w14:paraId="5AA3EEBB">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2</w:t>
            </w:r>
          </w:p>
        </w:tc>
        <w:tc>
          <w:tcPr>
            <w:tcW w:w="1800" w:type="dxa"/>
            <w:vMerge w:val="continue"/>
            <w:noWrap w:val="0"/>
            <w:vAlign w:val="top"/>
          </w:tcPr>
          <w:p w14:paraId="4E80C299">
            <w:pPr>
              <w:wordWrap w:val="0"/>
              <w:spacing w:line="360" w:lineRule="auto"/>
              <w:jc w:val="center"/>
              <w:rPr>
                <w:rFonts w:hint="eastAsia" w:ascii="仿宋" w:hAnsi="仿宋" w:eastAsia="仿宋" w:cs="仿宋"/>
                <w:b/>
                <w:bCs/>
                <w:kern w:val="0"/>
                <w:sz w:val="24"/>
              </w:rPr>
            </w:pPr>
          </w:p>
        </w:tc>
        <w:tc>
          <w:tcPr>
            <w:tcW w:w="7216" w:type="dxa"/>
            <w:noWrap w:val="0"/>
            <w:vAlign w:val="top"/>
          </w:tcPr>
          <w:p w14:paraId="280FDC85">
            <w:pPr>
              <w:pStyle w:val="10"/>
              <w:spacing w:line="360" w:lineRule="auto"/>
              <w:jc w:val="left"/>
              <w:rPr>
                <w:rFonts w:hint="eastAsia" w:ascii="仿宋" w:hAnsi="仿宋" w:eastAsia="仿宋" w:cs="仿宋"/>
                <w:b/>
                <w:bCs/>
                <w:sz w:val="24"/>
                <w:szCs w:val="24"/>
              </w:rPr>
            </w:pPr>
            <w:r>
              <w:rPr>
                <w:rFonts w:hint="eastAsia" w:ascii="仿宋" w:hAnsi="仿宋" w:eastAsia="仿宋" w:cs="仿宋"/>
                <w:b/>
                <w:bCs/>
                <w:sz w:val="24"/>
                <w:szCs w:val="24"/>
              </w:rPr>
              <w:t>投标人须具有与投标产品相应的有效经营备案编号（属于二类时）；（如本次投标产品的注册人、备案人在其住所或者生产地址销售的，无需再办理医疗器械经营许可或备案。）。</w:t>
            </w:r>
          </w:p>
        </w:tc>
      </w:tr>
      <w:tr w14:paraId="4DA76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noWrap w:val="0"/>
            <w:vAlign w:val="center"/>
          </w:tcPr>
          <w:p w14:paraId="629BACB7">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3</w:t>
            </w:r>
          </w:p>
        </w:tc>
        <w:tc>
          <w:tcPr>
            <w:tcW w:w="1800" w:type="dxa"/>
            <w:vMerge w:val="continue"/>
            <w:noWrap w:val="0"/>
            <w:vAlign w:val="top"/>
          </w:tcPr>
          <w:p w14:paraId="2DD02AF9">
            <w:pPr>
              <w:wordWrap w:val="0"/>
              <w:spacing w:line="360" w:lineRule="auto"/>
              <w:jc w:val="center"/>
              <w:rPr>
                <w:rFonts w:hint="eastAsia" w:ascii="仿宋" w:hAnsi="仿宋" w:eastAsia="仿宋" w:cs="仿宋"/>
                <w:b/>
                <w:bCs/>
                <w:kern w:val="0"/>
                <w:sz w:val="24"/>
              </w:rPr>
            </w:pPr>
          </w:p>
        </w:tc>
        <w:tc>
          <w:tcPr>
            <w:tcW w:w="7216" w:type="dxa"/>
            <w:noWrap w:val="0"/>
            <w:vAlign w:val="top"/>
          </w:tcPr>
          <w:p w14:paraId="3E4D4952">
            <w:pPr>
              <w:pStyle w:val="5"/>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auto"/>
              </w:rPr>
              <w:t>投标产品须具有有效的医疗器械注册证（属于二类、三类时）；投标产品纳入备案管理时（属于一类时），须在投标文件中提供备案材料或承诺函（承诺在合同签订前提供所投产品的备案证明材料，若未按规定提供视为自动放弃中标资格）。</w:t>
            </w:r>
          </w:p>
        </w:tc>
      </w:tr>
      <w:tr w14:paraId="0ED6D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noWrap w:val="0"/>
            <w:vAlign w:val="center"/>
          </w:tcPr>
          <w:p w14:paraId="08577321">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4</w:t>
            </w:r>
          </w:p>
        </w:tc>
        <w:tc>
          <w:tcPr>
            <w:tcW w:w="9016" w:type="dxa"/>
            <w:gridSpan w:val="2"/>
            <w:noWrap w:val="0"/>
            <w:vAlign w:val="top"/>
          </w:tcPr>
          <w:p w14:paraId="15A118A3">
            <w:pPr>
              <w:pStyle w:val="5"/>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auto"/>
              </w:rPr>
              <w:t>中标人需负责在项目安装地点进行所投设备的安装调试工作，并现场测试。在安装和调试期间，如发现设备或材料有缺陷或损坏，中标人应尽快更换，相关费用均包含在本次投标报价中。中标人在维护期内应提供现场、电话、传真或电子邮件方式为采购人提供技术支持，要求中标人应在有稳定的技术支撑与服务能力，并且在设备发生故障时2小时内响应。中标人在项目验收合格后，负责对所投设备组织操作使用培训，培训地点、人员由采购人指定。</w:t>
            </w:r>
          </w:p>
        </w:tc>
      </w:tr>
    </w:tbl>
    <w:p w14:paraId="679EA658">
      <w:pPr>
        <w:rPr>
          <w:rFonts w:hint="eastAsia" w:ascii="仿宋" w:hAnsi="仿宋" w:eastAsia="仿宋" w:cs="仿宋"/>
          <w:b/>
          <w:sz w:val="24"/>
        </w:rPr>
      </w:pPr>
      <w:r>
        <w:rPr>
          <w:rFonts w:hint="eastAsia" w:ascii="仿宋" w:hAnsi="仿宋" w:eastAsia="仿宋" w:cs="仿宋"/>
          <w:b/>
          <w:color w:val="000000"/>
          <w:sz w:val="24"/>
        </w:rPr>
        <w:t>注：上述</w:t>
      </w:r>
      <w:r>
        <w:rPr>
          <w:rFonts w:hint="eastAsia" w:ascii="仿宋" w:hAnsi="仿宋" w:eastAsia="仿宋" w:cs="仿宋"/>
          <w:b/>
          <w:sz w:val="24"/>
        </w:rPr>
        <w:t>商务条款必须全部满足，否则做无效标处理。</w:t>
      </w:r>
    </w:p>
    <w:p w14:paraId="12FE7044">
      <w:pPr>
        <w:wordWrap w:val="0"/>
        <w:spacing w:line="360" w:lineRule="auto"/>
        <w:rPr>
          <w:rFonts w:hint="eastAsia" w:ascii="仿宋_GB2312" w:hAnsi="仿宋_GB2312" w:eastAsia="仿宋_GB2312" w:cs="仿宋_GB2312"/>
          <w:b/>
          <w:color w:val="000000"/>
          <w:sz w:val="24"/>
        </w:rPr>
      </w:pPr>
      <w:r>
        <w:rPr>
          <w:rFonts w:hint="eastAsia" w:ascii="仿宋" w:hAnsi="仿宋" w:eastAsia="仿宋" w:cs="仿宋"/>
          <w:b/>
          <w:color w:val="000000"/>
          <w:sz w:val="24"/>
        </w:rPr>
        <w:t>第5包</w:t>
      </w:r>
      <w:r>
        <w:rPr>
          <w:rFonts w:hint="eastAsia" w:ascii="仿宋" w:hAnsi="仿宋" w:eastAsia="仿宋" w:cs="仿宋"/>
          <w:b/>
          <w:bCs/>
          <w:kern w:val="44"/>
          <w:sz w:val="24"/>
        </w:rPr>
        <w:t>技术</w:t>
      </w:r>
      <w:r>
        <w:rPr>
          <w:rFonts w:hint="eastAsia" w:ascii="仿宋" w:hAnsi="仿宋" w:eastAsia="仿宋" w:cs="仿宋"/>
          <w:b/>
          <w:bCs/>
          <w:kern w:val="44"/>
          <w:sz w:val="24"/>
          <w:lang w:val="zh-CN"/>
        </w:rPr>
        <w:t>需求</w:t>
      </w:r>
      <w:r>
        <w:rPr>
          <w:rFonts w:hint="eastAsia" w:ascii="仿宋_GB2312" w:hAnsi="仿宋_GB2312" w:eastAsia="仿宋_GB2312" w:cs="仿宋_GB2312"/>
          <w:b/>
          <w:color w:val="000000"/>
          <w:sz w:val="24"/>
        </w:rPr>
        <w:t>重要性表述</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7"/>
        <w:gridCol w:w="1902"/>
        <w:gridCol w:w="4693"/>
      </w:tblGrid>
      <w:tr w14:paraId="3C9CF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211" w:type="dxa"/>
            <w:noWrap w:val="0"/>
            <w:vAlign w:val="center"/>
          </w:tcPr>
          <w:p w14:paraId="0A183D00">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标识重要性</w:t>
            </w:r>
          </w:p>
        </w:tc>
        <w:tc>
          <w:tcPr>
            <w:tcW w:w="2180" w:type="dxa"/>
            <w:noWrap w:val="0"/>
            <w:vAlign w:val="center"/>
          </w:tcPr>
          <w:p w14:paraId="14378B1D">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标识符号</w:t>
            </w:r>
          </w:p>
        </w:tc>
        <w:tc>
          <w:tcPr>
            <w:tcW w:w="5463" w:type="dxa"/>
            <w:noWrap w:val="0"/>
            <w:vAlign w:val="center"/>
          </w:tcPr>
          <w:p w14:paraId="737FEDC1">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代表意思</w:t>
            </w:r>
          </w:p>
        </w:tc>
      </w:tr>
      <w:tr w14:paraId="794B5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211" w:type="dxa"/>
            <w:noWrap w:val="0"/>
            <w:vAlign w:val="center"/>
          </w:tcPr>
          <w:p w14:paraId="3DC40F2E">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重要指标项</w:t>
            </w:r>
          </w:p>
        </w:tc>
        <w:tc>
          <w:tcPr>
            <w:tcW w:w="2180" w:type="dxa"/>
            <w:noWrap w:val="0"/>
            <w:vAlign w:val="center"/>
          </w:tcPr>
          <w:p w14:paraId="1F430803">
            <w:pPr>
              <w:widowControl/>
              <w:spacing w:line="360" w:lineRule="auto"/>
              <w:jc w:val="center"/>
              <w:rPr>
                <w:rFonts w:hint="eastAsia" w:ascii="仿宋" w:hAnsi="仿宋" w:eastAsia="仿宋" w:cs="仿宋"/>
                <w:sz w:val="24"/>
              </w:rPr>
            </w:pPr>
            <w:r>
              <w:rPr>
                <w:rFonts w:hint="eastAsia" w:ascii="仿宋" w:hAnsi="仿宋" w:eastAsia="仿宋" w:cs="仿宋"/>
                <w:b/>
                <w:bCs/>
                <w:color w:val="000000"/>
                <w:sz w:val="24"/>
              </w:rPr>
              <w:t>★</w:t>
            </w:r>
          </w:p>
        </w:tc>
        <w:tc>
          <w:tcPr>
            <w:tcW w:w="5463" w:type="dxa"/>
            <w:noWrap w:val="0"/>
            <w:vAlign w:val="center"/>
          </w:tcPr>
          <w:p w14:paraId="5BE90E4D">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评分项，详见第四章评分细则。</w:t>
            </w:r>
          </w:p>
        </w:tc>
      </w:tr>
      <w:tr w14:paraId="43DFC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211" w:type="dxa"/>
            <w:noWrap w:val="0"/>
            <w:vAlign w:val="center"/>
          </w:tcPr>
          <w:p w14:paraId="2D3721CA">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一般指标项</w:t>
            </w:r>
          </w:p>
        </w:tc>
        <w:tc>
          <w:tcPr>
            <w:tcW w:w="2180" w:type="dxa"/>
            <w:noWrap w:val="0"/>
            <w:vAlign w:val="center"/>
          </w:tcPr>
          <w:p w14:paraId="67B83DEF">
            <w:pPr>
              <w:spacing w:line="360" w:lineRule="auto"/>
              <w:jc w:val="center"/>
              <w:rPr>
                <w:rFonts w:hint="eastAsia" w:ascii="仿宋" w:hAnsi="仿宋" w:eastAsia="仿宋" w:cs="仿宋"/>
                <w:sz w:val="24"/>
              </w:rPr>
            </w:pPr>
            <w:r>
              <w:rPr>
                <w:rFonts w:hint="eastAsia" w:ascii="仿宋" w:hAnsi="仿宋" w:eastAsia="仿宋" w:cs="仿宋"/>
                <w:sz w:val="24"/>
              </w:rPr>
              <w:t>无标识项</w:t>
            </w:r>
          </w:p>
        </w:tc>
        <w:tc>
          <w:tcPr>
            <w:tcW w:w="5463" w:type="dxa"/>
            <w:noWrap w:val="0"/>
            <w:vAlign w:val="center"/>
          </w:tcPr>
          <w:p w14:paraId="0C4AEA64">
            <w:pPr>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评分项，详见第四章评分细则。</w:t>
            </w:r>
          </w:p>
        </w:tc>
      </w:tr>
      <w:tr w14:paraId="74293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54" w:type="dxa"/>
            <w:gridSpan w:val="3"/>
            <w:noWrap w:val="0"/>
            <w:vAlign w:val="center"/>
          </w:tcPr>
          <w:p w14:paraId="00364A6C">
            <w:pPr>
              <w:spacing w:line="360" w:lineRule="auto"/>
              <w:jc w:val="center"/>
              <w:rPr>
                <w:rFonts w:hint="eastAsia" w:ascii="仿宋" w:hAnsi="仿宋" w:eastAsia="仿宋" w:cs="仿宋"/>
                <w:color w:val="000000"/>
                <w:kern w:val="0"/>
                <w:sz w:val="24"/>
                <w:lang w:bidi="ar"/>
              </w:rPr>
            </w:pPr>
            <w:r>
              <w:rPr>
                <w:rFonts w:hint="eastAsia" w:ascii="仿宋" w:hAnsi="仿宋" w:eastAsia="仿宋" w:cs="仿宋"/>
                <w:b/>
                <w:bCs/>
                <w:color w:val="000000"/>
                <w:kern w:val="0"/>
                <w:sz w:val="24"/>
                <w:lang w:bidi="ar"/>
              </w:rPr>
              <w:t>注：投标人须如实响应，如在后期合同履约过程中，发现有虚假响应情况，招标人有权解除合同、不予退还履约保证金、不予支付合同款项，且追究中标人给甲方带来的一切损失。</w:t>
            </w:r>
          </w:p>
        </w:tc>
      </w:tr>
    </w:tbl>
    <w:p w14:paraId="052630F7">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（二）技术参数</w:t>
      </w:r>
    </w:p>
    <w:p w14:paraId="3DD04C3A">
      <w:pPr>
        <w:numPr>
          <w:ilvl w:val="0"/>
          <w:numId w:val="1"/>
        </w:numPr>
        <w:spacing w:line="360" w:lineRule="auto"/>
        <w:rPr>
          <w:rFonts w:hint="eastAsia" w:ascii="仿宋" w:hAnsi="仿宋" w:eastAsia="仿宋" w:cs="仿宋"/>
          <w:color w:val="000000"/>
          <w:sz w:val="24"/>
        </w:rPr>
      </w:pPr>
      <w:r>
        <w:rPr>
          <w:rFonts w:hint="eastAsia" w:ascii="仿宋" w:hAnsi="仿宋" w:eastAsia="仿宋" w:cs="仿宋"/>
          <w:color w:val="000000"/>
          <w:sz w:val="24"/>
        </w:rPr>
        <w:t>适用病人范围：适用于成人患者进行通气辅助及呼吸支持，能够满足危重症患者的无创通气需求（可用于有创通气）；</w:t>
      </w:r>
    </w:p>
    <w:p w14:paraId="30F4059D">
      <w:pPr>
        <w:numPr>
          <w:ilvl w:val="0"/>
          <w:numId w:val="1"/>
        </w:numPr>
        <w:spacing w:line="360" w:lineRule="auto"/>
        <w:rPr>
          <w:rFonts w:hint="eastAsia" w:ascii="仿宋" w:hAnsi="仿宋" w:eastAsia="仿宋" w:cs="仿宋"/>
          <w:color w:val="000000"/>
          <w:sz w:val="24"/>
        </w:rPr>
      </w:pPr>
      <w:r>
        <w:rPr>
          <w:rFonts w:hint="eastAsia" w:ascii="仿宋" w:hAnsi="仿宋" w:eastAsia="仿宋" w:cs="仿宋"/>
          <w:color w:val="000000"/>
          <w:sz w:val="24"/>
        </w:rPr>
        <w:t>屏幕≥15英寸，分辨率≥1920*1080中文彩色操作界面，中文操作界面；</w:t>
      </w:r>
    </w:p>
    <w:p w14:paraId="1F16CE92">
      <w:pPr>
        <w:numPr>
          <w:ilvl w:val="0"/>
          <w:numId w:val="1"/>
        </w:numPr>
        <w:spacing w:line="360" w:lineRule="auto"/>
        <w:rPr>
          <w:rFonts w:hint="eastAsia" w:ascii="仿宋" w:hAnsi="仿宋" w:eastAsia="仿宋" w:cs="仿宋"/>
          <w:color w:val="000000"/>
          <w:sz w:val="24"/>
        </w:rPr>
      </w:pPr>
      <w:r>
        <w:rPr>
          <w:rFonts w:hint="eastAsia" w:ascii="仿宋" w:hAnsi="仿宋" w:eastAsia="仿宋" w:cs="仿宋"/>
          <w:color w:val="000000"/>
          <w:sz w:val="24"/>
        </w:rPr>
        <w:t>通气模式：持续气道正压通气模式CPAP、自主通气模式S、时控通气模式T、自主/时控通气模式S/T、压力控制通气模式；</w:t>
      </w:r>
    </w:p>
    <w:p w14:paraId="05766C6B">
      <w:pPr>
        <w:numPr>
          <w:ilvl w:val="0"/>
          <w:numId w:val="1"/>
        </w:numPr>
        <w:spacing w:line="360" w:lineRule="auto"/>
        <w:rPr>
          <w:rFonts w:hint="eastAsia" w:ascii="仿宋" w:hAnsi="仿宋" w:eastAsia="仿宋" w:cs="仿宋"/>
          <w:b/>
          <w:bCs/>
          <w:color w:val="000000"/>
          <w:sz w:val="24"/>
        </w:rPr>
      </w:pPr>
      <w:r>
        <w:rPr>
          <w:rFonts w:hint="eastAsia" w:ascii="仿宋" w:hAnsi="仿宋" w:eastAsia="仿宋" w:cs="仿宋"/>
          <w:b/>
          <w:bCs/>
          <w:color w:val="000000"/>
          <w:sz w:val="24"/>
        </w:rPr>
        <w:t>★高级模式标配容积控制双水平压力通气模式VAT或容量支持通气模式VAPS（不接受其他类似说法）；</w:t>
      </w:r>
    </w:p>
    <w:p w14:paraId="0CDC335C">
      <w:pPr>
        <w:numPr>
          <w:ilvl w:val="0"/>
          <w:numId w:val="1"/>
        </w:numPr>
        <w:spacing w:line="360" w:lineRule="auto"/>
        <w:rPr>
          <w:rFonts w:hint="eastAsia" w:ascii="仿宋" w:hAnsi="仿宋" w:eastAsia="仿宋" w:cs="仿宋"/>
          <w:color w:val="000000"/>
          <w:sz w:val="24"/>
        </w:rPr>
      </w:pPr>
      <w:r>
        <w:rPr>
          <w:rFonts w:hint="eastAsia" w:ascii="仿宋" w:hAnsi="仿宋" w:eastAsia="仿宋" w:cs="仿宋"/>
          <w:color w:val="000000"/>
          <w:sz w:val="24"/>
        </w:rPr>
        <w:t>具有高流速氧疗功能；流速和氧浓度可设，氧疗最大流速≥80L/min,并具有氧疗计时功能；</w:t>
      </w:r>
    </w:p>
    <w:p w14:paraId="0D801F9F">
      <w:pPr>
        <w:numPr>
          <w:ilvl w:val="0"/>
          <w:numId w:val="1"/>
        </w:numPr>
        <w:spacing w:line="360" w:lineRule="auto"/>
        <w:rPr>
          <w:rFonts w:hint="eastAsia" w:ascii="仿宋" w:hAnsi="仿宋" w:eastAsia="仿宋" w:cs="仿宋"/>
          <w:color w:val="000000"/>
          <w:sz w:val="24"/>
        </w:rPr>
      </w:pPr>
      <w:r>
        <w:rPr>
          <w:rFonts w:hint="eastAsia" w:ascii="仿宋" w:hAnsi="仿宋" w:eastAsia="仿宋" w:cs="仿宋"/>
          <w:color w:val="000000"/>
          <w:sz w:val="24"/>
        </w:rPr>
        <w:t>可监测患者呼末二氧化碳、血氧和自主呼吸率，并可呈现参数趋势图或具备血氧饱和度监测、脉率监测功能；</w:t>
      </w:r>
    </w:p>
    <w:p w14:paraId="47BC07F8">
      <w:pPr>
        <w:numPr>
          <w:ilvl w:val="0"/>
          <w:numId w:val="1"/>
        </w:numPr>
        <w:spacing w:line="360" w:lineRule="auto"/>
        <w:rPr>
          <w:rFonts w:hint="eastAsia" w:ascii="仿宋" w:hAnsi="仿宋" w:eastAsia="仿宋" w:cs="仿宋"/>
          <w:color w:val="000000"/>
          <w:sz w:val="24"/>
        </w:rPr>
      </w:pPr>
      <w:r>
        <w:rPr>
          <w:rFonts w:hint="eastAsia" w:ascii="仿宋" w:hAnsi="仿宋" w:eastAsia="仿宋" w:cs="仿宋"/>
          <w:color w:val="000000"/>
          <w:sz w:val="24"/>
        </w:rPr>
        <w:t>呼吸同步增强技术，吸气触发和呼气切换灵敏度自动调节，且支持1-5档手动调节；</w:t>
      </w:r>
    </w:p>
    <w:p w14:paraId="6917CE77">
      <w:pPr>
        <w:numPr>
          <w:ilvl w:val="0"/>
          <w:numId w:val="1"/>
        </w:numPr>
        <w:spacing w:line="360" w:lineRule="auto"/>
        <w:rPr>
          <w:rFonts w:hint="eastAsia" w:ascii="仿宋" w:hAnsi="仿宋" w:eastAsia="仿宋" w:cs="仿宋"/>
          <w:b/>
          <w:bCs/>
          <w:color w:val="000000"/>
          <w:sz w:val="24"/>
        </w:rPr>
      </w:pPr>
      <w:r>
        <w:rPr>
          <w:rFonts w:hint="eastAsia" w:ascii="仿宋" w:hAnsi="仿宋" w:eastAsia="仿宋" w:cs="仿宋"/>
          <w:b/>
          <w:bCs/>
          <w:color w:val="000000"/>
          <w:sz w:val="24"/>
        </w:rPr>
        <w:t>★配置食道压监测功能并提供食道压配套耗材5套（投标文件中须提供耗材注册证明材料）或拥有触发窗锁定功能；</w:t>
      </w:r>
    </w:p>
    <w:p w14:paraId="33D74E75">
      <w:pPr>
        <w:numPr>
          <w:ilvl w:val="0"/>
          <w:numId w:val="1"/>
        </w:numPr>
        <w:spacing w:line="360" w:lineRule="auto"/>
        <w:rPr>
          <w:rFonts w:hint="eastAsia" w:ascii="仿宋" w:hAnsi="仿宋" w:eastAsia="仿宋" w:cs="仿宋"/>
          <w:b/>
          <w:bCs/>
          <w:color w:val="000000"/>
          <w:sz w:val="24"/>
        </w:rPr>
      </w:pPr>
      <w:r>
        <w:rPr>
          <w:rFonts w:hint="eastAsia" w:ascii="仿宋" w:hAnsi="仿宋" w:eastAsia="仿宋" w:cs="仿宋"/>
          <w:b/>
          <w:bCs/>
          <w:color w:val="000000"/>
          <w:sz w:val="24"/>
        </w:rPr>
        <w:t>★具有可显示ROX趋势图，可结合监测参数预判氧疗（成功或失败）或标配二氧化碳监测功能；</w:t>
      </w:r>
    </w:p>
    <w:p w14:paraId="2A2F0E0D">
      <w:pPr>
        <w:numPr>
          <w:ilvl w:val="0"/>
          <w:numId w:val="1"/>
        </w:numPr>
        <w:spacing w:line="360" w:lineRule="auto"/>
        <w:rPr>
          <w:rFonts w:hint="eastAsia" w:ascii="仿宋" w:hAnsi="仿宋" w:eastAsia="仿宋" w:cs="仿宋"/>
          <w:color w:val="000000"/>
          <w:sz w:val="24"/>
        </w:rPr>
      </w:pPr>
      <w:r>
        <w:rPr>
          <w:rFonts w:hint="eastAsia" w:ascii="仿宋" w:hAnsi="仿宋" w:eastAsia="仿宋" w:cs="仿宋"/>
          <w:color w:val="000000"/>
          <w:sz w:val="24"/>
        </w:rPr>
        <w:t>同品牌或可以和呼吸机无线/有线互联的独立湿化器，流量范围≥120L/min；</w:t>
      </w:r>
    </w:p>
    <w:p w14:paraId="3B8836FE">
      <w:pPr>
        <w:numPr>
          <w:ilvl w:val="0"/>
          <w:numId w:val="1"/>
        </w:numPr>
        <w:spacing w:line="360" w:lineRule="auto"/>
        <w:rPr>
          <w:rFonts w:hint="eastAsia" w:ascii="仿宋" w:hAnsi="仿宋" w:eastAsia="仿宋" w:cs="仿宋"/>
          <w:color w:val="000000"/>
          <w:sz w:val="24"/>
        </w:rPr>
      </w:pPr>
      <w:r>
        <w:rPr>
          <w:rFonts w:hint="eastAsia" w:ascii="仿宋" w:hAnsi="仿宋" w:eastAsia="仿宋" w:cs="仿宋"/>
          <w:color w:val="000000"/>
          <w:sz w:val="24"/>
        </w:rPr>
        <w:t>湿化器具有水位报警功能；</w:t>
      </w:r>
    </w:p>
    <w:p w14:paraId="3B1A539D">
      <w:pPr>
        <w:numPr>
          <w:ilvl w:val="0"/>
          <w:numId w:val="1"/>
        </w:numPr>
        <w:spacing w:line="360" w:lineRule="auto"/>
        <w:rPr>
          <w:rFonts w:hint="eastAsia" w:ascii="仿宋" w:hAnsi="仿宋" w:eastAsia="仿宋" w:cs="仿宋"/>
          <w:color w:val="000000"/>
          <w:sz w:val="24"/>
        </w:rPr>
      </w:pPr>
      <w:r>
        <w:rPr>
          <w:rFonts w:hint="eastAsia" w:ascii="仿宋" w:hAnsi="仿宋" w:eastAsia="仿宋" w:cs="仿宋"/>
          <w:color w:val="000000"/>
          <w:sz w:val="24"/>
        </w:rPr>
        <w:t>吸气时间：0.2-4 s；</w:t>
      </w:r>
    </w:p>
    <w:p w14:paraId="32DD40CB">
      <w:pPr>
        <w:numPr>
          <w:ilvl w:val="0"/>
          <w:numId w:val="1"/>
        </w:numPr>
        <w:spacing w:line="360" w:lineRule="auto"/>
        <w:rPr>
          <w:rFonts w:hint="eastAsia" w:ascii="仿宋" w:hAnsi="仿宋" w:eastAsia="仿宋" w:cs="仿宋"/>
          <w:color w:val="000000"/>
          <w:sz w:val="24"/>
        </w:rPr>
      </w:pPr>
      <w:r>
        <w:rPr>
          <w:rFonts w:hint="eastAsia" w:ascii="仿宋" w:hAnsi="仿宋" w:eastAsia="仿宋" w:cs="仿宋"/>
          <w:color w:val="000000"/>
          <w:sz w:val="24"/>
        </w:rPr>
        <w:t>最大流速≥280L/min；</w:t>
      </w:r>
    </w:p>
    <w:p w14:paraId="2211779F">
      <w:pPr>
        <w:numPr>
          <w:ilvl w:val="0"/>
          <w:numId w:val="1"/>
        </w:numPr>
        <w:spacing w:line="360" w:lineRule="auto"/>
        <w:rPr>
          <w:rFonts w:hint="eastAsia" w:ascii="仿宋" w:hAnsi="仿宋" w:eastAsia="仿宋" w:cs="仿宋"/>
          <w:color w:val="000000"/>
          <w:sz w:val="24"/>
        </w:rPr>
      </w:pPr>
      <w:r>
        <w:rPr>
          <w:rFonts w:hint="eastAsia" w:ascii="仿宋" w:hAnsi="仿宋" w:eastAsia="仿宋" w:cs="仿宋"/>
          <w:color w:val="000000"/>
          <w:sz w:val="24"/>
        </w:rPr>
        <w:t>设置参数：</w:t>
      </w:r>
    </w:p>
    <w:p w14:paraId="648A4CE6">
      <w:pPr>
        <w:spacing w:line="360" w:lineRule="auto"/>
        <w:rPr>
          <w:rFonts w:hint="eastAsia" w:ascii="仿宋" w:hAnsi="仿宋" w:eastAsia="仿宋" w:cs="仿宋"/>
          <w:color w:val="000000"/>
          <w:sz w:val="24"/>
        </w:rPr>
      </w:pPr>
      <w:r>
        <w:rPr>
          <w:rFonts w:hint="eastAsia" w:ascii="仿宋" w:hAnsi="仿宋" w:eastAsia="仿宋" w:cs="仿宋"/>
          <w:color w:val="000000"/>
          <w:sz w:val="24"/>
        </w:rPr>
        <w:t>14.1目标潮气量范围：50-2500ml；</w:t>
      </w:r>
    </w:p>
    <w:p w14:paraId="0CC3F387">
      <w:pPr>
        <w:spacing w:line="360" w:lineRule="auto"/>
        <w:rPr>
          <w:rFonts w:hint="eastAsia" w:ascii="仿宋" w:hAnsi="仿宋" w:eastAsia="仿宋" w:cs="仿宋"/>
          <w:color w:val="000000"/>
          <w:sz w:val="24"/>
        </w:rPr>
      </w:pPr>
      <w:r>
        <w:rPr>
          <w:rFonts w:hint="eastAsia" w:ascii="仿宋" w:hAnsi="仿宋" w:eastAsia="仿宋" w:cs="仿宋"/>
          <w:color w:val="000000"/>
          <w:sz w:val="24"/>
        </w:rPr>
        <w:t>14.2 CAPA: 4－25 cmH</w:t>
      </w:r>
      <w:r>
        <w:rPr>
          <w:rFonts w:hint="eastAsia" w:ascii="仿宋" w:hAnsi="仿宋" w:eastAsia="仿宋" w:cs="仿宋"/>
          <w:color w:val="000000"/>
          <w:sz w:val="24"/>
          <w:vertAlign w:val="subscript"/>
        </w:rPr>
        <w:t>2</w:t>
      </w:r>
      <w:r>
        <w:rPr>
          <w:rFonts w:hint="eastAsia" w:ascii="仿宋" w:hAnsi="仿宋" w:eastAsia="仿宋" w:cs="仿宋"/>
          <w:color w:val="000000"/>
          <w:sz w:val="24"/>
        </w:rPr>
        <w:t>O；</w:t>
      </w:r>
    </w:p>
    <w:p w14:paraId="55F836EF">
      <w:pPr>
        <w:spacing w:line="360" w:lineRule="auto"/>
        <w:rPr>
          <w:rFonts w:hint="eastAsia" w:ascii="仿宋" w:hAnsi="仿宋" w:eastAsia="仿宋" w:cs="仿宋"/>
          <w:color w:val="000000"/>
          <w:sz w:val="24"/>
        </w:rPr>
      </w:pPr>
      <w:r>
        <w:rPr>
          <w:rFonts w:hint="eastAsia" w:ascii="仿宋" w:hAnsi="仿宋" w:eastAsia="仿宋" w:cs="仿宋"/>
          <w:color w:val="000000"/>
          <w:sz w:val="24"/>
        </w:rPr>
        <w:t>14.3 EPAP: 4－25 cmH</w:t>
      </w:r>
      <w:r>
        <w:rPr>
          <w:rFonts w:hint="eastAsia" w:ascii="仿宋" w:hAnsi="仿宋" w:eastAsia="仿宋" w:cs="仿宋"/>
          <w:color w:val="000000"/>
          <w:sz w:val="24"/>
          <w:vertAlign w:val="subscript"/>
        </w:rPr>
        <w:t>2</w:t>
      </w:r>
      <w:r>
        <w:rPr>
          <w:rFonts w:hint="eastAsia" w:ascii="仿宋" w:hAnsi="仿宋" w:eastAsia="仿宋" w:cs="仿宋"/>
          <w:color w:val="000000"/>
          <w:sz w:val="24"/>
        </w:rPr>
        <w:t>O；</w:t>
      </w:r>
    </w:p>
    <w:p w14:paraId="230B0EAA">
      <w:pPr>
        <w:spacing w:line="360" w:lineRule="auto"/>
        <w:rPr>
          <w:rFonts w:hint="eastAsia" w:ascii="仿宋" w:hAnsi="仿宋" w:eastAsia="仿宋" w:cs="仿宋"/>
          <w:color w:val="000000"/>
          <w:sz w:val="24"/>
        </w:rPr>
      </w:pPr>
      <w:r>
        <w:rPr>
          <w:rFonts w:hint="eastAsia" w:ascii="仿宋" w:hAnsi="仿宋" w:eastAsia="仿宋" w:cs="仿宋"/>
          <w:color w:val="000000"/>
          <w:sz w:val="24"/>
        </w:rPr>
        <w:t>14.4 IPAP: 4－40 cmH</w:t>
      </w:r>
      <w:r>
        <w:rPr>
          <w:rFonts w:hint="eastAsia" w:ascii="仿宋" w:hAnsi="仿宋" w:eastAsia="仿宋" w:cs="仿宋"/>
          <w:color w:val="000000"/>
          <w:sz w:val="24"/>
          <w:vertAlign w:val="subscript"/>
        </w:rPr>
        <w:t>2</w:t>
      </w:r>
      <w:r>
        <w:rPr>
          <w:rFonts w:hint="eastAsia" w:ascii="仿宋" w:hAnsi="仿宋" w:eastAsia="仿宋" w:cs="仿宋"/>
          <w:color w:val="000000"/>
          <w:sz w:val="24"/>
        </w:rPr>
        <w:t>O ；</w:t>
      </w:r>
    </w:p>
    <w:p w14:paraId="285CE300">
      <w:pPr>
        <w:spacing w:line="360" w:lineRule="auto"/>
        <w:rPr>
          <w:rFonts w:hint="eastAsia" w:ascii="仿宋" w:hAnsi="仿宋" w:eastAsia="仿宋" w:cs="仿宋"/>
          <w:color w:val="000000"/>
          <w:sz w:val="24"/>
        </w:rPr>
      </w:pPr>
      <w:r>
        <w:rPr>
          <w:rFonts w:hint="eastAsia" w:ascii="仿宋" w:hAnsi="仿宋" w:eastAsia="仿宋" w:cs="仿宋"/>
          <w:color w:val="000000"/>
          <w:sz w:val="24"/>
        </w:rPr>
        <w:t>14.5 呼吸频率：2-60次；</w:t>
      </w:r>
    </w:p>
    <w:p w14:paraId="316B79D1">
      <w:pPr>
        <w:spacing w:line="360" w:lineRule="auto"/>
        <w:rPr>
          <w:rFonts w:hint="eastAsia" w:ascii="仿宋" w:hAnsi="仿宋" w:eastAsia="仿宋" w:cs="仿宋"/>
          <w:color w:val="000000"/>
          <w:sz w:val="24"/>
        </w:rPr>
      </w:pPr>
      <w:r>
        <w:rPr>
          <w:rFonts w:hint="eastAsia" w:ascii="仿宋" w:hAnsi="仿宋" w:eastAsia="仿宋" w:cs="仿宋"/>
          <w:color w:val="000000"/>
          <w:sz w:val="24"/>
        </w:rPr>
        <w:t>14.6 延迟升压时间：OFF，1-60min；</w:t>
      </w:r>
    </w:p>
    <w:p w14:paraId="1A975277">
      <w:pPr>
        <w:spacing w:line="360" w:lineRule="auto"/>
        <w:rPr>
          <w:rFonts w:hint="eastAsia" w:ascii="仿宋" w:hAnsi="仿宋" w:eastAsia="仿宋" w:cs="仿宋"/>
          <w:color w:val="000000"/>
          <w:sz w:val="24"/>
        </w:rPr>
      </w:pPr>
      <w:r>
        <w:rPr>
          <w:rFonts w:hint="eastAsia" w:ascii="仿宋" w:hAnsi="仿宋" w:eastAsia="仿宋" w:cs="仿宋"/>
          <w:color w:val="000000"/>
          <w:sz w:val="24"/>
        </w:rPr>
        <w:t>14.7 触发方式：自动；</w:t>
      </w:r>
    </w:p>
    <w:p w14:paraId="19806FBE">
      <w:pPr>
        <w:spacing w:line="360" w:lineRule="auto"/>
        <w:rPr>
          <w:rFonts w:hint="eastAsia" w:ascii="仿宋" w:hAnsi="仿宋" w:eastAsia="仿宋" w:cs="仿宋"/>
          <w:color w:val="000000"/>
          <w:sz w:val="24"/>
        </w:rPr>
      </w:pPr>
      <w:r>
        <w:rPr>
          <w:rFonts w:hint="eastAsia" w:ascii="仿宋" w:hAnsi="仿宋" w:eastAsia="仿宋" w:cs="仿宋"/>
          <w:color w:val="000000"/>
          <w:sz w:val="24"/>
        </w:rPr>
        <w:t>14.8 切换方式：自动；</w:t>
      </w:r>
    </w:p>
    <w:p w14:paraId="2355E5A6">
      <w:pPr>
        <w:spacing w:line="360" w:lineRule="auto"/>
        <w:rPr>
          <w:rFonts w:hint="eastAsia" w:ascii="仿宋" w:hAnsi="仿宋" w:eastAsia="仿宋" w:cs="仿宋"/>
          <w:b/>
          <w:bCs/>
          <w:color w:val="000000"/>
          <w:sz w:val="24"/>
        </w:rPr>
      </w:pPr>
      <w:r>
        <w:rPr>
          <w:rFonts w:hint="eastAsia" w:ascii="仿宋" w:hAnsi="仿宋" w:eastAsia="仿宋" w:cs="仿宋"/>
          <w:b/>
          <w:bCs/>
          <w:color w:val="000000"/>
          <w:sz w:val="24"/>
        </w:rPr>
        <w:t>★15、具有内源性PEEP实时监测或配备病理预置类型参数建议设定功能（不接受其他类似说法）；</w:t>
      </w:r>
    </w:p>
    <w:p w14:paraId="1B7A964F">
      <w:pPr>
        <w:spacing w:line="360" w:lineRule="auto"/>
        <w:rPr>
          <w:rFonts w:hint="eastAsia" w:ascii="仿宋" w:hAnsi="仿宋" w:eastAsia="仿宋" w:cs="仿宋"/>
          <w:color w:val="000000"/>
          <w:sz w:val="24"/>
        </w:rPr>
      </w:pPr>
      <w:r>
        <w:rPr>
          <w:rFonts w:hint="eastAsia" w:ascii="仿宋" w:hAnsi="仿宋" w:eastAsia="仿宋" w:cs="仿宋"/>
          <w:color w:val="000000"/>
          <w:sz w:val="24"/>
        </w:rPr>
        <w:t>16、降压时间：50-500ms；升压时间：100-800ms；</w:t>
      </w:r>
    </w:p>
    <w:p w14:paraId="4270DF1C">
      <w:pPr>
        <w:spacing w:line="360" w:lineRule="auto"/>
        <w:rPr>
          <w:rFonts w:hint="eastAsia" w:ascii="仿宋" w:hAnsi="仿宋" w:eastAsia="仿宋" w:cs="仿宋"/>
          <w:color w:val="000000"/>
          <w:sz w:val="24"/>
        </w:rPr>
      </w:pPr>
      <w:r>
        <w:rPr>
          <w:rFonts w:hint="eastAsia" w:ascii="仿宋" w:hAnsi="仿宋" w:eastAsia="仿宋" w:cs="仿宋"/>
          <w:color w:val="000000"/>
          <w:sz w:val="24"/>
        </w:rPr>
        <w:t>17、具有压力-时间、流量-时间、容量-时间、呼末二氧化碳-时间波形，且可冻结测量；</w:t>
      </w:r>
    </w:p>
    <w:p w14:paraId="2CBC84FD">
      <w:pPr>
        <w:spacing w:line="360" w:lineRule="auto"/>
        <w:rPr>
          <w:rFonts w:hint="eastAsia" w:ascii="仿宋" w:hAnsi="仿宋" w:eastAsia="仿宋" w:cs="仿宋"/>
          <w:color w:val="000000"/>
          <w:sz w:val="24"/>
        </w:rPr>
      </w:pPr>
      <w:r>
        <w:rPr>
          <w:rFonts w:hint="eastAsia" w:ascii="仿宋" w:hAnsi="仿宋" w:eastAsia="仿宋" w:cs="仿宋"/>
          <w:color w:val="000000"/>
          <w:sz w:val="24"/>
        </w:rPr>
        <w:t>18、具有内置、无延迟启动、持续工作≥5小时的后备电池；</w:t>
      </w:r>
    </w:p>
    <w:p w14:paraId="3944CF11">
      <w:pPr>
        <w:spacing w:line="360" w:lineRule="auto"/>
        <w:rPr>
          <w:rFonts w:hint="eastAsia" w:ascii="仿宋" w:hAnsi="仿宋" w:eastAsia="仿宋" w:cs="仿宋"/>
          <w:color w:val="000000"/>
          <w:sz w:val="24"/>
        </w:rPr>
      </w:pPr>
      <w:r>
        <w:rPr>
          <w:rFonts w:hint="eastAsia" w:ascii="仿宋" w:hAnsi="仿宋" w:eastAsia="仿宋" w:cs="仿宋"/>
          <w:color w:val="000000"/>
          <w:sz w:val="24"/>
        </w:rPr>
        <w:t>19、具备自动漏气补偿功能，最大漏气量≥150L/min；</w:t>
      </w:r>
    </w:p>
    <w:p w14:paraId="00258CB7">
      <w:pPr>
        <w:spacing w:line="360" w:lineRule="auto"/>
        <w:rPr>
          <w:rFonts w:hint="eastAsia" w:ascii="仿宋" w:hAnsi="仿宋" w:eastAsia="仿宋" w:cs="仿宋"/>
          <w:b/>
          <w:bCs/>
          <w:color w:val="000000"/>
          <w:sz w:val="24"/>
        </w:rPr>
      </w:pPr>
      <w:r>
        <w:rPr>
          <w:rFonts w:hint="eastAsia" w:ascii="仿宋" w:hAnsi="仿宋" w:eastAsia="仿宋" w:cs="仿宋"/>
          <w:b/>
          <w:bCs/>
          <w:color w:val="000000"/>
          <w:sz w:val="24"/>
        </w:rPr>
        <w:t>20、★屏幕显示：≥4道波形显示，支持短趋势、波形、监测值同屏显示；</w:t>
      </w:r>
    </w:p>
    <w:p w14:paraId="288D17E7">
      <w:pPr>
        <w:spacing w:line="360" w:lineRule="auto"/>
        <w:rPr>
          <w:rFonts w:hint="eastAsia" w:ascii="仿宋" w:hAnsi="仿宋" w:eastAsia="仿宋" w:cs="仿宋"/>
          <w:color w:val="000000"/>
          <w:sz w:val="24"/>
        </w:rPr>
      </w:pPr>
      <w:r>
        <w:rPr>
          <w:rFonts w:hint="eastAsia" w:ascii="仿宋" w:hAnsi="仿宋" w:eastAsia="仿宋" w:cs="仿宋"/>
          <w:color w:val="000000"/>
          <w:sz w:val="24"/>
        </w:rPr>
        <w:t>21、监测参数：</w:t>
      </w:r>
    </w:p>
    <w:p w14:paraId="46749487">
      <w:pPr>
        <w:spacing w:line="360" w:lineRule="auto"/>
        <w:rPr>
          <w:rFonts w:hint="eastAsia" w:ascii="仿宋" w:hAnsi="仿宋" w:eastAsia="仿宋" w:cs="仿宋"/>
          <w:color w:val="000000"/>
          <w:sz w:val="24"/>
        </w:rPr>
      </w:pPr>
      <w:r>
        <w:rPr>
          <w:rFonts w:hint="eastAsia" w:ascii="仿宋" w:hAnsi="仿宋" w:eastAsia="仿宋" w:cs="仿宋"/>
          <w:color w:val="000000"/>
          <w:sz w:val="24"/>
        </w:rPr>
        <w:t>21.1 气道压力监测：气道峰压、呼气末正压等参数监测；</w:t>
      </w:r>
    </w:p>
    <w:p w14:paraId="60948FB7">
      <w:pPr>
        <w:spacing w:line="360" w:lineRule="auto"/>
        <w:rPr>
          <w:rFonts w:hint="eastAsia" w:ascii="仿宋" w:hAnsi="仿宋" w:eastAsia="仿宋" w:cs="仿宋"/>
          <w:color w:val="000000"/>
          <w:sz w:val="24"/>
        </w:rPr>
      </w:pPr>
      <w:r>
        <w:rPr>
          <w:rFonts w:hint="eastAsia" w:ascii="仿宋" w:hAnsi="仿宋" w:eastAsia="仿宋" w:cs="仿宋"/>
          <w:color w:val="000000"/>
          <w:sz w:val="24"/>
        </w:rPr>
        <w:t>21.2 潮气量监测：潮气量、分钟通气量、分钟泄漏量等参数监测；</w:t>
      </w:r>
    </w:p>
    <w:p w14:paraId="21FB3098">
      <w:pPr>
        <w:spacing w:line="360" w:lineRule="auto"/>
        <w:rPr>
          <w:rFonts w:hint="eastAsia" w:ascii="仿宋" w:hAnsi="仿宋" w:eastAsia="仿宋" w:cs="仿宋"/>
          <w:color w:val="000000"/>
          <w:sz w:val="24"/>
        </w:rPr>
      </w:pPr>
      <w:r>
        <w:rPr>
          <w:rFonts w:hint="eastAsia" w:ascii="仿宋" w:hAnsi="仿宋" w:eastAsia="仿宋" w:cs="仿宋"/>
          <w:color w:val="000000"/>
          <w:sz w:val="24"/>
        </w:rPr>
        <w:t>21.3 呼吸频率监测：呼吸频率、病人触发百分比监测；</w:t>
      </w:r>
    </w:p>
    <w:p w14:paraId="08880021">
      <w:pPr>
        <w:spacing w:line="360" w:lineRule="auto"/>
        <w:rPr>
          <w:rFonts w:hint="eastAsia" w:ascii="仿宋" w:hAnsi="仿宋" w:eastAsia="仿宋" w:cs="仿宋"/>
          <w:color w:val="000000"/>
          <w:sz w:val="24"/>
        </w:rPr>
      </w:pPr>
      <w:r>
        <w:rPr>
          <w:rFonts w:hint="eastAsia" w:ascii="仿宋" w:hAnsi="仿宋" w:eastAsia="仿宋" w:cs="仿宋"/>
          <w:color w:val="000000"/>
          <w:sz w:val="24"/>
        </w:rPr>
        <w:t>21.4 氧浓度监测；</w:t>
      </w:r>
    </w:p>
    <w:p w14:paraId="06AEB98E">
      <w:pPr>
        <w:spacing w:line="360" w:lineRule="auto"/>
        <w:rPr>
          <w:rFonts w:hint="eastAsia" w:ascii="仿宋" w:hAnsi="仿宋" w:eastAsia="仿宋" w:cs="仿宋"/>
          <w:color w:val="000000"/>
          <w:sz w:val="24"/>
        </w:rPr>
      </w:pPr>
      <w:r>
        <w:rPr>
          <w:rFonts w:hint="eastAsia" w:ascii="仿宋" w:hAnsi="仿宋" w:eastAsia="仿宋" w:cs="仿宋"/>
          <w:color w:val="000000"/>
          <w:sz w:val="24"/>
        </w:rPr>
        <w:t>21.5 呼吸机总泄漏量实时监测；</w:t>
      </w:r>
    </w:p>
    <w:p w14:paraId="6C2960EB">
      <w:pPr>
        <w:spacing w:line="360" w:lineRule="auto"/>
        <w:rPr>
          <w:rFonts w:hint="eastAsia" w:ascii="仿宋" w:hAnsi="仿宋" w:eastAsia="仿宋" w:cs="仿宋"/>
          <w:color w:val="000000"/>
          <w:sz w:val="24"/>
        </w:rPr>
      </w:pPr>
      <w:r>
        <w:rPr>
          <w:rFonts w:hint="eastAsia" w:ascii="仿宋" w:hAnsi="仿宋" w:eastAsia="仿宋" w:cs="仿宋"/>
          <w:color w:val="000000"/>
          <w:sz w:val="24"/>
        </w:rPr>
        <w:t>21.6 实时提供监测参数≥168小时的趋势图、表分析；</w:t>
      </w:r>
    </w:p>
    <w:p w14:paraId="6D46EEE3">
      <w:pPr>
        <w:spacing w:line="360" w:lineRule="auto"/>
        <w:rPr>
          <w:rFonts w:hint="eastAsia" w:ascii="仿宋" w:hAnsi="仿宋" w:eastAsia="仿宋" w:cs="仿宋"/>
          <w:color w:val="000000"/>
          <w:sz w:val="24"/>
        </w:rPr>
      </w:pPr>
      <w:r>
        <w:rPr>
          <w:rFonts w:hint="eastAsia" w:ascii="仿宋" w:hAnsi="仿宋" w:eastAsia="仿宋" w:cs="仿宋"/>
          <w:color w:val="000000"/>
          <w:sz w:val="24"/>
        </w:rPr>
        <w:t>22、标配有线和无线方式直接与监护仪和中央监护系统互联，把呼吸机的监测信息参数和波形实时显示到监护仪和中央监护系统上。开放端口和提供接口文档，并支持接入医院现有系统，所需费用包含在投标总报价中；</w:t>
      </w:r>
    </w:p>
    <w:p w14:paraId="6A94D600">
      <w:pPr>
        <w:rPr>
          <w:rFonts w:hint="eastAsia" w:ascii="仿宋" w:hAnsi="仿宋" w:eastAsia="仿宋" w:cs="仿宋"/>
          <w:b/>
          <w:sz w:val="24"/>
        </w:rPr>
      </w:pPr>
      <w:r>
        <w:rPr>
          <w:rFonts w:hint="eastAsia" w:ascii="仿宋" w:hAnsi="仿宋" w:eastAsia="仿宋" w:cs="仿宋"/>
          <w:color w:val="000000"/>
          <w:sz w:val="24"/>
        </w:rPr>
        <w:t>23、耗材及易损件须单独报价（如有）。</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1B1E78"/>
    <w:multiLevelType w:val="singleLevel"/>
    <w:tmpl w:val="BD1B1E7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E32D76"/>
    <w:rsid w:val="568E53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9"/>
    <w:pPr>
      <w:keepNext/>
      <w:keepLines/>
      <w:spacing w:before="260" w:beforeLines="0" w:after="260" w:afterLines="0" w:line="416" w:lineRule="auto"/>
      <w:outlineLvl w:val="1"/>
    </w:pPr>
    <w:rPr>
      <w:rFonts w:ascii="Cambria" w:hAnsi="Cambria"/>
      <w:b/>
      <w:bCs/>
      <w:sz w:val="32"/>
      <w:szCs w:val="32"/>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4">
    <w:name w:val="Body Text Indent"/>
    <w:basedOn w:val="1"/>
    <w:qFormat/>
    <w:uiPriority w:val="0"/>
    <w:pPr>
      <w:spacing w:after="120" w:afterLines="0" w:afterAutospacing="0"/>
      <w:ind w:left="420" w:leftChars="200"/>
    </w:pPr>
  </w:style>
  <w:style w:type="paragraph" w:styleId="5">
    <w:name w:val="Normal (Web)"/>
    <w:basedOn w:val="1"/>
    <w:uiPriority w:val="0"/>
    <w:pPr>
      <w:widowControl/>
      <w:spacing w:before="100" w:beforeLines="0" w:beforeAutospacing="1" w:after="100" w:afterLines="0" w:afterAutospacing="1"/>
      <w:jc w:val="left"/>
    </w:pPr>
    <w:rPr>
      <w:rFonts w:ascii="宋体" w:hAnsi="宋体"/>
      <w:color w:val="000000"/>
      <w:kern w:val="0"/>
      <w:sz w:val="24"/>
    </w:rPr>
  </w:style>
  <w:style w:type="paragraph" w:styleId="6">
    <w:name w:val="Body Text First Indent 2"/>
    <w:basedOn w:val="4"/>
    <w:qFormat/>
    <w:uiPriority w:val="0"/>
    <w:pPr>
      <w:ind w:firstLine="420" w:firstLineChars="200"/>
    </w:pPr>
  </w:style>
  <w:style w:type="paragraph" w:customStyle="1" w:styleId="9">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2025-05-07T02:39:00Z</dcterms:created>
  <dc:creator>Lenovo</dc:creator>
  <cp:lastModifiedBy>豆奶是个小胖子</cp:lastModifiedBy>
  <dcterms:modified xsi:type="dcterms:W3CDTF">2025-10-29T05:49:47Z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D323BED4188548F7B9F5AA7631948CC4_12</vt:lpwstr>
  </property>
  <property fmtid="{D5CDD505-2E9C-101B-9397-08002B2CF9AE}" pid="4" name="KSOTemplateDocerSaveRecord">
    <vt:lpwstr>eyJoZGlkIjoiNDAzNTQ2YzQzMjg1Y2RiZDM0NWYxOWI5N2Q4ZWNmMTEiLCJ1c2VySWQiOiIzMDI3OTc1ODcifQ==</vt:lpwstr>
  </property>
</Properties>
</file>