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CF491">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5D6BA29A">
      <w:pPr>
        <w:pStyle w:val="3"/>
        <w:spacing w:before="0" w:after="0" w:line="360" w:lineRule="auto"/>
        <w:rPr>
          <w:rStyle w:val="11"/>
          <w:rFonts w:ascii="宋体" w:hAnsi="宋体" w:eastAsia="仿宋"/>
          <w:b/>
          <w:bCs/>
          <w:sz w:val="24"/>
          <w:szCs w:val="24"/>
        </w:rPr>
      </w:pPr>
      <w:bookmarkStart w:id="1" w:name="_Toc455587273"/>
      <w:bookmarkStart w:id="2" w:name="_Toc466024556"/>
      <w:bookmarkStart w:id="3" w:name="_Toc455587089"/>
      <w:r>
        <w:rPr>
          <w:rStyle w:val="11"/>
          <w:rFonts w:hint="eastAsia" w:ascii="仿宋" w:hAnsi="仿宋" w:eastAsia="仿宋" w:cs="仿宋"/>
          <w:b/>
          <w:bCs/>
          <w:sz w:val="24"/>
          <w:szCs w:val="24"/>
        </w:rPr>
        <w:t xml:space="preserve">1. </w:t>
      </w:r>
      <w:bookmarkEnd w:id="1"/>
      <w:bookmarkEnd w:id="2"/>
      <w:bookmarkEnd w:id="3"/>
      <w:r>
        <w:rPr>
          <w:rStyle w:val="11"/>
          <w:rFonts w:hint="eastAsia" w:ascii="仿宋" w:hAnsi="仿宋" w:eastAsia="仿宋" w:cs="仿宋"/>
          <w:b/>
          <w:bCs/>
          <w:sz w:val="24"/>
          <w:szCs w:val="24"/>
        </w:rPr>
        <w:t>总</w:t>
      </w:r>
      <w:r>
        <w:rPr>
          <w:rStyle w:val="11"/>
          <w:rFonts w:hint="eastAsia" w:ascii="宋体" w:hAnsi="宋体" w:eastAsia="仿宋"/>
          <w:b/>
          <w:bCs/>
          <w:sz w:val="24"/>
          <w:szCs w:val="24"/>
        </w:rPr>
        <w:t>体说明</w:t>
      </w:r>
    </w:p>
    <w:p w14:paraId="399801A4">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5434FDDB">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11EB5249">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49DA73FA">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3FF2A707">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6A1720A9">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6DDE1B0">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78513DAD">
      <w:pPr>
        <w:widowControl/>
        <w:tabs>
          <w:tab w:val="left" w:pos="1406"/>
        </w:tabs>
        <w:snapToGrid w:val="0"/>
        <w:spacing w:line="360" w:lineRule="auto"/>
        <w:rPr>
          <w:rFonts w:hint="eastAsia" w:ascii="仿宋" w:hAnsi="仿宋" w:eastAsia="仿宋" w:cs="仿宋"/>
          <w:color w:val="000000"/>
          <w:sz w:val="24"/>
        </w:rPr>
      </w:pPr>
    </w:p>
    <w:p w14:paraId="26056D91">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2872D7E0">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925"/>
        <w:gridCol w:w="1062"/>
        <w:gridCol w:w="1200"/>
        <w:gridCol w:w="1606"/>
        <w:gridCol w:w="1218"/>
      </w:tblGrid>
      <w:tr w14:paraId="35B0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433F98D6">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3925" w:type="dxa"/>
            <w:noWrap w:val="0"/>
            <w:vAlign w:val="center"/>
          </w:tcPr>
          <w:p w14:paraId="4A31BBAB">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1062" w:type="dxa"/>
            <w:noWrap w:val="0"/>
            <w:vAlign w:val="center"/>
          </w:tcPr>
          <w:p w14:paraId="4E525031">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200" w:type="dxa"/>
            <w:noWrap w:val="0"/>
            <w:vAlign w:val="center"/>
          </w:tcPr>
          <w:p w14:paraId="74427A07">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606" w:type="dxa"/>
            <w:noWrap w:val="0"/>
            <w:vAlign w:val="center"/>
          </w:tcPr>
          <w:p w14:paraId="5A8A32FE">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7E960FEA">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495A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00B3F8E2">
            <w:pPr>
              <w:keepNext/>
              <w:keepLines/>
              <w:spacing w:line="360" w:lineRule="auto"/>
              <w:jc w:val="center"/>
              <w:outlineLvl w:val="1"/>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p>
        </w:tc>
        <w:tc>
          <w:tcPr>
            <w:tcW w:w="3925" w:type="dxa"/>
            <w:noWrap w:val="0"/>
            <w:vAlign w:val="center"/>
          </w:tcPr>
          <w:p w14:paraId="7B607145">
            <w:pPr>
              <w:keepNext w:val="0"/>
              <w:keepLines w:val="0"/>
              <w:widowControl/>
              <w:spacing w:line="360" w:lineRule="auto"/>
              <w:jc w:val="center"/>
              <w:outlineLvl w:val="9"/>
              <w:rPr>
                <w:rFonts w:hint="eastAsia" w:ascii="仿宋" w:hAnsi="仿宋" w:eastAsia="仿宋" w:cs="仿宋"/>
                <w:color w:val="000000"/>
                <w:kern w:val="0"/>
                <w:sz w:val="24"/>
                <w:lang w:bidi="ar"/>
              </w:rPr>
            </w:pPr>
            <w:r>
              <w:rPr>
                <w:rFonts w:hint="eastAsia" w:ascii="仿宋" w:hAnsi="仿宋" w:eastAsia="仿宋" w:cs="仿宋"/>
                <w:color w:val="000000"/>
                <w:sz w:val="24"/>
              </w:rPr>
              <w:t>▲</w:t>
            </w:r>
            <w:r>
              <w:rPr>
                <w:rFonts w:hint="eastAsia" w:ascii="仿宋" w:hAnsi="仿宋" w:eastAsia="仿宋" w:cs="仿宋"/>
                <w:color w:val="000000"/>
                <w:kern w:val="0"/>
                <w:sz w:val="24"/>
                <w:szCs w:val="24"/>
                <w:lang w:eastAsia="zh-CN" w:bidi="ar"/>
              </w:rPr>
              <w:t>多舱全自动清洗消毒机</w:t>
            </w:r>
          </w:p>
        </w:tc>
        <w:tc>
          <w:tcPr>
            <w:tcW w:w="1062" w:type="dxa"/>
            <w:noWrap w:val="0"/>
            <w:vAlign w:val="center"/>
          </w:tcPr>
          <w:p w14:paraId="0F5D07F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台</w:t>
            </w:r>
          </w:p>
        </w:tc>
        <w:tc>
          <w:tcPr>
            <w:tcW w:w="1200" w:type="dxa"/>
            <w:noWrap w:val="0"/>
            <w:vAlign w:val="center"/>
          </w:tcPr>
          <w:p w14:paraId="5F81C5A5">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1</w:t>
            </w:r>
          </w:p>
        </w:tc>
        <w:tc>
          <w:tcPr>
            <w:tcW w:w="1606" w:type="dxa"/>
            <w:noWrap w:val="0"/>
            <w:vAlign w:val="center"/>
          </w:tcPr>
          <w:p w14:paraId="39567975">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15F32140">
            <w:pPr>
              <w:keepNext/>
              <w:keepLines/>
              <w:spacing w:line="360" w:lineRule="auto"/>
              <w:jc w:val="center"/>
              <w:outlineLvl w:val="1"/>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是</w:t>
            </w:r>
          </w:p>
        </w:tc>
      </w:tr>
    </w:tbl>
    <w:p w14:paraId="39741DD8">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0BCA7E9F">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7B8F4FA4">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2E859935">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39"/>
        <w:gridCol w:w="7978"/>
      </w:tblGrid>
      <w:tr w14:paraId="49A9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40" w:type="dxa"/>
            <w:noWrap w:val="0"/>
            <w:vAlign w:val="center"/>
          </w:tcPr>
          <w:p w14:paraId="10097818">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117" w:type="dxa"/>
            <w:gridSpan w:val="2"/>
            <w:noWrap w:val="0"/>
            <w:vAlign w:val="center"/>
          </w:tcPr>
          <w:p w14:paraId="45E952D9">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3E50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40E62071">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139" w:type="dxa"/>
            <w:noWrap w:val="0"/>
            <w:vAlign w:val="center"/>
          </w:tcPr>
          <w:p w14:paraId="618EC72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7978" w:type="dxa"/>
            <w:noWrap w:val="0"/>
            <w:vAlign w:val="center"/>
          </w:tcPr>
          <w:p w14:paraId="5E3EFC31">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w:t>
            </w:r>
            <w:r>
              <w:rPr>
                <w:rFonts w:hint="eastAsia" w:ascii="仿宋" w:hAnsi="仿宋" w:eastAsia="仿宋" w:cs="仿宋"/>
                <w:bCs/>
                <w:color w:val="000000"/>
                <w:sz w:val="24"/>
                <w:lang w:val="en-US" w:eastAsia="zh-CN"/>
              </w:rPr>
              <w:t>90</w:t>
            </w:r>
            <w:r>
              <w:rPr>
                <w:rFonts w:hint="eastAsia" w:ascii="仿宋" w:hAnsi="仿宋" w:eastAsia="仿宋" w:cs="仿宋"/>
                <w:bCs/>
                <w:color w:val="000000"/>
                <w:sz w:val="24"/>
              </w:rPr>
              <w:t>个日历天内完成供货安装调试。</w:t>
            </w:r>
          </w:p>
          <w:p w14:paraId="3DB6BFFA">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87D2F57">
            <w:pPr>
              <w:pStyle w:val="12"/>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30B9E31B">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25D1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731B9A3E">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139" w:type="dxa"/>
            <w:noWrap w:val="0"/>
            <w:vAlign w:val="center"/>
          </w:tcPr>
          <w:p w14:paraId="22200DB6">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7978" w:type="dxa"/>
            <w:noWrap w:val="0"/>
            <w:vAlign w:val="center"/>
          </w:tcPr>
          <w:p w14:paraId="08655C49">
            <w:pPr>
              <w:wordWrap w:val="0"/>
              <w:spacing w:line="360" w:lineRule="auto"/>
              <w:jc w:val="both"/>
              <w:rPr>
                <w:rFonts w:hint="eastAsia" w:ascii="仿宋" w:hAnsi="仿宋" w:eastAsia="仿宋" w:cs="仿宋"/>
                <w:b w:val="0"/>
                <w:bCs/>
                <w:color w:val="000000"/>
                <w:sz w:val="24"/>
                <w:lang w:val="en-US" w:eastAsia="zh-CN"/>
              </w:rPr>
            </w:pPr>
            <w:r>
              <w:rPr>
                <w:rFonts w:hint="eastAsia" w:ascii="仿宋" w:hAnsi="仿宋" w:eastAsia="仿宋" w:cs="仿宋"/>
                <w:b w:val="0"/>
                <w:bCs/>
                <w:color w:val="000000"/>
                <w:sz w:val="24"/>
                <w:lang w:val="en-US" w:eastAsia="zh-CN"/>
              </w:rPr>
              <w:t>上海市第六人民医院安徽医院</w:t>
            </w:r>
          </w:p>
          <w:p w14:paraId="04499AB9">
            <w:pPr>
              <w:wordWrap w:val="0"/>
              <w:spacing w:line="360" w:lineRule="auto"/>
              <w:rPr>
                <w:rFonts w:hint="default" w:ascii="仿宋" w:hAnsi="仿宋" w:eastAsia="仿宋" w:cs="仿宋"/>
                <w:bCs/>
                <w:color w:val="000000"/>
                <w:sz w:val="24"/>
                <w:lang w:val="en-US" w:eastAsia="zh-CN"/>
              </w:rPr>
            </w:pPr>
          </w:p>
        </w:tc>
      </w:tr>
      <w:tr w14:paraId="29C8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63DBE864">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139" w:type="dxa"/>
            <w:noWrap w:val="0"/>
            <w:vAlign w:val="center"/>
          </w:tcPr>
          <w:p w14:paraId="389BA74C">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7978" w:type="dxa"/>
            <w:noWrap w:val="0"/>
            <w:vAlign w:val="center"/>
          </w:tcPr>
          <w:p w14:paraId="08083623">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1ACF1583">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2B31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10C6C5A4">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139" w:type="dxa"/>
            <w:noWrap w:val="0"/>
            <w:vAlign w:val="center"/>
          </w:tcPr>
          <w:p w14:paraId="7B464B2A">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7978" w:type="dxa"/>
            <w:noWrap w:val="0"/>
            <w:vAlign w:val="top"/>
          </w:tcPr>
          <w:p w14:paraId="1009009E">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60</w:t>
            </w:r>
            <w:r>
              <w:rPr>
                <w:rFonts w:hint="eastAsia" w:ascii="仿宋" w:hAnsi="仿宋" w:eastAsia="仿宋" w:cs="仿宋"/>
                <w:color w:val="000000"/>
                <w:sz w:val="24"/>
              </w:rPr>
              <w:t>个月。</w:t>
            </w:r>
          </w:p>
          <w:p w14:paraId="520F3DC9">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44A201A0">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6ACC8F18">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29B3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27040856">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1139" w:type="dxa"/>
            <w:noWrap w:val="0"/>
            <w:vAlign w:val="center"/>
          </w:tcPr>
          <w:p w14:paraId="2ECED94B">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7978" w:type="dxa"/>
            <w:noWrap w:val="0"/>
            <w:vAlign w:val="center"/>
          </w:tcPr>
          <w:p w14:paraId="147F8539">
            <w:pPr>
              <w:pStyle w:val="8"/>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w:t>
            </w:r>
            <w:r>
              <w:rPr>
                <w:rFonts w:hint="eastAsia" w:ascii="仿宋" w:hAnsi="仿宋" w:eastAsia="仿宋" w:cs="仿宋"/>
                <w:bCs w:val="0"/>
                <w:color w:val="000000"/>
                <w:kern w:val="0"/>
                <w:sz w:val="24"/>
                <w:szCs w:val="24"/>
                <w:lang w:val="en-US" w:eastAsia="zh-CN" w:bidi="ar"/>
              </w:rPr>
              <w:t>开放数据端口，可与医院追溯系统对接，包含连接所需软硬件，</w:t>
            </w:r>
            <w:r>
              <w:rPr>
                <w:rFonts w:hint="eastAsia" w:ascii="仿宋" w:hAnsi="仿宋" w:eastAsia="仿宋" w:cs="仿宋"/>
                <w:color w:val="auto"/>
              </w:rPr>
              <w:t>由此产生的费用包含在投标总报价中，采购人不另行支付。</w:t>
            </w:r>
          </w:p>
          <w:p w14:paraId="0F3D4A0D">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D0237A0">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561DE84E">
            <w:pPr>
              <w:pStyle w:val="8"/>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5B58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640" w:type="dxa"/>
            <w:noWrap w:val="0"/>
            <w:vAlign w:val="center"/>
          </w:tcPr>
          <w:p w14:paraId="6F7B25C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1139" w:type="dxa"/>
            <w:noWrap w:val="0"/>
            <w:vAlign w:val="center"/>
          </w:tcPr>
          <w:p w14:paraId="3BA2571C">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7978" w:type="dxa"/>
            <w:noWrap w:val="0"/>
            <w:vAlign w:val="top"/>
          </w:tcPr>
          <w:p w14:paraId="51C86F00">
            <w:pPr>
              <w:pStyle w:val="13"/>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5CD27F21">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423DE29A">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2727301E">
            <w:pPr>
              <w:pStyle w:val="13"/>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0735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0235721E">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1139" w:type="dxa"/>
            <w:noWrap w:val="0"/>
            <w:vAlign w:val="center"/>
          </w:tcPr>
          <w:p w14:paraId="294708E0">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7978" w:type="dxa"/>
            <w:noWrap w:val="0"/>
            <w:vAlign w:val="center"/>
          </w:tcPr>
          <w:p w14:paraId="1813CAD7">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w:t>
            </w:r>
            <w:r>
              <w:rPr>
                <w:rFonts w:hint="eastAsia" w:ascii="仿宋" w:hAnsi="仿宋" w:eastAsia="仿宋" w:cs="仿宋"/>
                <w:b/>
                <w:color w:val="000000"/>
                <w:sz w:val="24"/>
                <w:lang w:eastAsia="zh-CN"/>
              </w:rPr>
              <w:t>（</w:t>
            </w:r>
            <w:r>
              <w:rPr>
                <w:rFonts w:hint="eastAsia" w:ascii="仿宋" w:hAnsi="仿宋" w:eastAsia="仿宋" w:cs="仿宋"/>
                <w:b/>
                <w:color w:val="000000"/>
                <w:sz w:val="24"/>
                <w:lang w:val="en-US" w:eastAsia="zh-CN"/>
              </w:rPr>
              <w:t>进口产品除外</w:t>
            </w:r>
            <w:r>
              <w:rPr>
                <w:rFonts w:hint="eastAsia" w:ascii="仿宋" w:hAnsi="仿宋" w:eastAsia="仿宋" w:cs="仿宋"/>
                <w:b/>
                <w:color w:val="000000"/>
                <w:sz w:val="24"/>
                <w:lang w:eastAsia="zh-CN"/>
              </w:rPr>
              <w:t>）</w:t>
            </w:r>
            <w:r>
              <w:rPr>
                <w:rFonts w:hint="eastAsia" w:ascii="仿宋" w:hAnsi="仿宋" w:eastAsia="仿宋" w:cs="仿宋"/>
                <w:b/>
                <w:color w:val="000000"/>
                <w:sz w:val="24"/>
              </w:rPr>
              <w:t>，须具有相应的医疗器械生产备案获取的备案编号（属于一类时）。</w:t>
            </w:r>
          </w:p>
          <w:p w14:paraId="31A71764">
            <w:pPr>
              <w:pStyle w:val="13"/>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79EC3BF0">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351F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05B068D3">
            <w:pPr>
              <w:wordWrap w:val="0"/>
              <w:spacing w:line="360" w:lineRule="auto"/>
              <w:jc w:val="center"/>
              <w:rPr>
                <w:rFonts w:hint="eastAsia" w:ascii="仿宋" w:hAnsi="仿宋" w:eastAsia="仿宋" w:cs="仿宋"/>
                <w:b/>
                <w:bCs/>
                <w:color w:val="auto"/>
                <w:kern w:val="0"/>
                <w:sz w:val="24"/>
                <w:lang w:val="en-US" w:eastAsia="zh-CN"/>
              </w:rPr>
            </w:pPr>
            <w:r>
              <w:rPr>
                <w:rFonts w:hint="eastAsia" w:ascii="仿宋" w:hAnsi="仿宋" w:eastAsia="仿宋" w:cs="仿宋"/>
                <w:b/>
                <w:bCs/>
                <w:color w:val="auto"/>
                <w:kern w:val="0"/>
                <w:sz w:val="24"/>
                <w:lang w:val="en-US" w:eastAsia="zh-CN"/>
              </w:rPr>
              <w:t>9</w:t>
            </w:r>
          </w:p>
        </w:tc>
        <w:tc>
          <w:tcPr>
            <w:tcW w:w="1139" w:type="dxa"/>
            <w:noWrap w:val="0"/>
            <w:vAlign w:val="center"/>
          </w:tcPr>
          <w:p w14:paraId="7BA02D9F">
            <w:pPr>
              <w:wordWrap w:val="0"/>
              <w:spacing w:line="360" w:lineRule="auto"/>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szCs w:val="24"/>
                <w:lang w:val="en-US" w:eastAsia="zh-CN" w:bidi="ar-SA"/>
              </w:rPr>
              <w:t>附件配置</w:t>
            </w:r>
          </w:p>
        </w:tc>
        <w:tc>
          <w:tcPr>
            <w:tcW w:w="7978" w:type="dxa"/>
            <w:noWrap w:val="0"/>
            <w:vAlign w:val="center"/>
          </w:tcPr>
          <w:p w14:paraId="6DF3E9C7">
            <w:pPr>
              <w:pStyle w:val="8"/>
              <w:spacing w:before="0" w:beforeAutospacing="0" w:after="0" w:afterAutospacing="0" w:line="360" w:lineRule="auto"/>
              <w:rPr>
                <w:rFonts w:hint="eastAsia" w:ascii="仿宋" w:hAnsi="仿宋" w:eastAsia="仿宋" w:cs="仿宋"/>
                <w:b/>
                <w:bCs/>
                <w:color w:val="auto"/>
                <w:lang w:val="en-US" w:eastAsia="zh-CN"/>
              </w:rPr>
            </w:pPr>
            <w:r>
              <w:rPr>
                <w:rFonts w:hint="eastAsia" w:ascii="仿宋" w:hAnsi="仿宋" w:eastAsia="仿宋" w:cs="仿宋"/>
                <w:b/>
                <w:bCs/>
                <w:color w:val="auto"/>
                <w:kern w:val="0"/>
                <w:sz w:val="24"/>
                <w:szCs w:val="24"/>
                <w:lang w:val="en-US" w:eastAsia="zh-CN" w:bidi="ar-SA"/>
              </w:rPr>
              <w:t>3层清洗架2个，4层清洗架4个，2层混合架2个，碗架4个，弯盘架4个，盆架4个，DIN标准清洗篮筐60个，装卸载推车4个，器械架轨道回传装置1个；</w:t>
            </w:r>
          </w:p>
        </w:tc>
      </w:tr>
    </w:tbl>
    <w:p w14:paraId="3EE34349">
      <w:pPr>
        <w:spacing w:line="360" w:lineRule="auto"/>
        <w:rPr>
          <w:rFonts w:hint="eastAsia" w:ascii="仿宋" w:hAnsi="仿宋" w:eastAsia="仿宋" w:cs="仿宋"/>
          <w:b/>
          <w:bCs/>
          <w:sz w:val="24"/>
          <w:szCs w:val="32"/>
        </w:rPr>
      </w:pPr>
      <w:bookmarkStart w:id="4" w:name="_GoBack"/>
      <w:bookmarkEnd w:id="4"/>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15208209">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39B3BF63">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（一）第1包：技术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906"/>
        <w:gridCol w:w="5921"/>
      </w:tblGrid>
      <w:tr w14:paraId="10B7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027" w:type="dxa"/>
            <w:noWrap w:val="0"/>
            <w:vAlign w:val="center"/>
          </w:tcPr>
          <w:p w14:paraId="3BC7800E">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1906" w:type="dxa"/>
            <w:noWrap w:val="0"/>
            <w:vAlign w:val="center"/>
          </w:tcPr>
          <w:p w14:paraId="5A27B45A">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921" w:type="dxa"/>
            <w:noWrap w:val="0"/>
            <w:vAlign w:val="center"/>
          </w:tcPr>
          <w:p w14:paraId="54D18A29">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104F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54809998">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1906" w:type="dxa"/>
            <w:noWrap w:val="0"/>
            <w:vAlign w:val="center"/>
          </w:tcPr>
          <w:p w14:paraId="7D73B9AD">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921" w:type="dxa"/>
            <w:noWrap w:val="0"/>
            <w:vAlign w:val="center"/>
          </w:tcPr>
          <w:p w14:paraId="2A26678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7B40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4C8E592A">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1906" w:type="dxa"/>
            <w:noWrap w:val="0"/>
            <w:vAlign w:val="center"/>
          </w:tcPr>
          <w:p w14:paraId="7936005D">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921" w:type="dxa"/>
            <w:noWrap w:val="0"/>
            <w:vAlign w:val="center"/>
          </w:tcPr>
          <w:p w14:paraId="3F7B8A0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3AE3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086687DA">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5489A69D">
      <w:pPr>
        <w:widowControl/>
        <w:numPr>
          <w:ilvl w:val="0"/>
          <w:numId w:val="1"/>
        </w:numPr>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技术要求</w:t>
      </w:r>
    </w:p>
    <w:p w14:paraId="06DE770C">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★1</w:t>
      </w:r>
      <w:r>
        <w:rPr>
          <w:rFonts w:hint="eastAsia" w:ascii="仿宋" w:hAnsi="仿宋" w:eastAsia="仿宋" w:cs="仿宋"/>
          <w:b/>
          <w:bCs/>
          <w:color w:val="000000"/>
          <w:kern w:val="0"/>
          <w:sz w:val="24"/>
          <w:szCs w:val="24"/>
          <w:lang w:val="en-US" w:eastAsia="zh-CN" w:bidi="ar"/>
        </w:rPr>
        <w:tab/>
      </w:r>
      <w:r>
        <w:rPr>
          <w:rFonts w:hint="eastAsia" w:ascii="仿宋" w:hAnsi="仿宋" w:eastAsia="仿宋" w:cs="仿宋"/>
          <w:b/>
          <w:bCs/>
          <w:color w:val="000000"/>
          <w:kern w:val="0"/>
          <w:sz w:val="24"/>
          <w:szCs w:val="24"/>
          <w:lang w:val="en-US" w:eastAsia="zh-CN" w:bidi="ar"/>
        </w:rPr>
        <w:t>、可根据不同的物品种类选择合适的清洗消毒过程程序，设置程序≥6个，清洗过程包括：预清洗、清洗、漂洗（润滑）、消毒、干燥等；</w:t>
      </w:r>
    </w:p>
    <w:p w14:paraId="6F63F3F2">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2</w:t>
      </w:r>
      <w:r>
        <w:rPr>
          <w:rFonts w:hint="eastAsia" w:ascii="仿宋" w:hAnsi="仿宋" w:eastAsia="仿宋" w:cs="仿宋"/>
          <w:bCs w:val="0"/>
          <w:color w:val="000000"/>
          <w:kern w:val="0"/>
          <w:sz w:val="24"/>
          <w:szCs w:val="24"/>
          <w:lang w:val="en-US" w:eastAsia="zh-CN" w:bidi="ar"/>
        </w:rPr>
        <w:tab/>
      </w:r>
      <w:r>
        <w:rPr>
          <w:rFonts w:hint="eastAsia" w:ascii="仿宋" w:hAnsi="仿宋" w:eastAsia="仿宋" w:cs="仿宋"/>
          <w:bCs w:val="0"/>
          <w:color w:val="000000"/>
          <w:kern w:val="0"/>
          <w:sz w:val="24"/>
          <w:szCs w:val="24"/>
          <w:lang w:val="en-US" w:eastAsia="zh-CN" w:bidi="ar"/>
        </w:rPr>
        <w:t>单次层架处理≥18个DIN标准清洗篮筐（480×250×50mm）或者≥10个美标筐（535×265×65mm）；</w:t>
      </w:r>
    </w:p>
    <w:p w14:paraId="5E6759A4">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3、加热方式：蒸汽加热；</w:t>
      </w:r>
    </w:p>
    <w:p w14:paraId="425EFA69">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★4、设备配置：3腔串联，腔体为316不锈钢材质，两端具有自动装载台，装载台需具备蓄水装置及自净功能。</w:t>
      </w:r>
    </w:p>
    <w:p w14:paraId="610FC76F">
      <w:pPr>
        <w:keepNext w:val="0"/>
        <w:keepLines w:val="0"/>
        <w:widowControl/>
        <w:numPr>
          <w:ilvl w:val="0"/>
          <w:numId w:val="0"/>
        </w:numPr>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5、控制总线：非Andorid操作系统，设备具有usb数据接口；</w:t>
      </w:r>
    </w:p>
    <w:p w14:paraId="5049B012">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★6、装载侧、卸载侧各一个彩色液晶触摸屏，触摸屏尺寸：≥5英寸，互锁双门，透明防爆玻璃材质；</w:t>
      </w:r>
    </w:p>
    <w:p w14:paraId="7C151386">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★7、清洗普通器械时泵最大清洗功率≥5kw，清洗泵输出功率具有自动调节功能，也可以满足精密器械的清洗功能；</w:t>
      </w:r>
    </w:p>
    <w:p w14:paraId="60295355">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8、清洗筐传送方式：清洗腔内各腔进筐相对独立，要求滚轮驱动式传动或拉杆式传动，清洗架的可前后挪动，机器工作过程中出现故障或物品未完成消毒，可将未消毒物品反方向送回污染区，防止污染物品进入清洁区域。</w:t>
      </w:r>
    </w:p>
    <w:p w14:paraId="5DF658E1">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9、处理时间：整个循环时间≤40分钟，清洗层架在每个腔体内处理时间8-12分钟内可处理完成</w:t>
      </w:r>
    </w:p>
    <w:p w14:paraId="18633948">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★10、确保清洗质量，喷淋臂长度≥605mm，喷淋可覆盖整个清洗架，喷淋无死角，喷淋臂末端可拆卸。</w:t>
      </w:r>
    </w:p>
    <w:p w14:paraId="46AF4505">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11、配置长条打印机；</w:t>
      </w:r>
    </w:p>
    <w:p w14:paraId="6AA6D0EF">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★12、腔体和清洗架的注水口位于腔体底部，出水口≥1个，用水压密封，利用清洗架自身重力抵消部分冲洗力对清洗架的冲击，防止清洗架变形，注水口平时与清洗架直接不接触，无摩擦损耗；</w:t>
      </w:r>
    </w:p>
    <w:p w14:paraId="4D2BE7FB">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13、可自动加入清洗剂和润滑剂等添加剂，清洗剂泵≥4个；</w:t>
      </w:r>
    </w:p>
    <w:p w14:paraId="63F51E88">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14、干燥腔体内侧壁采用非多密点式；</w:t>
      </w:r>
    </w:p>
    <w:p w14:paraId="79A728AB">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15、层架兼容性：要求投标产品的清洗架需要与单腔清洗消毒机通用，增强设备的兼容性；</w:t>
      </w:r>
    </w:p>
    <w:p w14:paraId="6483FDF3">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16、装载高度（装、卸台）：≤790mm；设备净尺寸宽度≤1100mm；</w:t>
      </w:r>
    </w:p>
    <w:p w14:paraId="18472AFB">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Cs w:val="0"/>
          <w:color w:val="000000"/>
          <w:kern w:val="0"/>
          <w:sz w:val="24"/>
          <w:szCs w:val="24"/>
          <w:lang w:bidi="ar"/>
        </w:rPr>
      </w:pPr>
      <w:r>
        <w:rPr>
          <w:rFonts w:hint="eastAsia" w:ascii="仿宋" w:hAnsi="仿宋" w:eastAsia="仿宋" w:cs="仿宋"/>
          <w:bCs w:val="0"/>
          <w:color w:val="000000"/>
          <w:kern w:val="0"/>
          <w:sz w:val="24"/>
          <w:szCs w:val="24"/>
          <w:lang w:val="en-US" w:eastAsia="zh-CN" w:bidi="ar"/>
        </w:rPr>
        <w:t>17、器械清洗架底部有滚轮设计，层板和喷臂均可拆卸，五层架可手动快速拆卸成4层架，3层架，2层架使用，并能自由组合成牙科手机清洗架，腔镜架等；</w:t>
      </w:r>
    </w:p>
    <w:p w14:paraId="5324E408">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★18、作用机理：采用湿热消毒，无化学消毒方式；</w:t>
      </w:r>
    </w:p>
    <w:p w14:paraId="6C6C4AF1">
      <w:pPr>
        <w:widowControl/>
        <w:numPr>
          <w:ilvl w:val="0"/>
          <w:numId w:val="0"/>
        </w:numPr>
        <w:spacing w:line="360" w:lineRule="auto"/>
        <w:jc w:val="left"/>
        <w:rPr>
          <w:rFonts w:hint="eastAsia" w:ascii="仿宋" w:hAnsi="仿宋" w:eastAsia="仿宋" w:cs="仿宋"/>
          <w:b/>
          <w:bCs/>
          <w:color w:val="000000"/>
          <w:kern w:val="0"/>
          <w:sz w:val="24"/>
          <w:lang w:bidi="ar"/>
        </w:rPr>
      </w:pPr>
    </w:p>
    <w:p w14:paraId="04E144F2">
      <w:pPr>
        <w:pStyle w:val="4"/>
        <w:numPr>
          <w:ilvl w:val="0"/>
          <w:numId w:val="2"/>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0F6918F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5A85159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7A21EB2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433D042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5B621D1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11CA243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3FC15F5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5EF064E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53BAC7D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1A54D3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6596AC60">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355FE4A1">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2240899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4F0CF87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04D5195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4E2BBB2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0E1432A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48CF5CC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523494F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2F17274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1890645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4E39B71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45E1266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76511A41">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76AC793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727C854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8B67A0C">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6B824C74">
      <w:pPr>
        <w:rPr>
          <w:rFonts w:hint="default" w:eastAsiaTheme="minorEastAsia"/>
          <w:lang w:val="en-US" w:eastAsia="zh-CN"/>
        </w:rPr>
      </w:pPr>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1AB2AC"/>
    <w:multiLevelType w:val="singleLevel"/>
    <w:tmpl w:val="FE1AB2AC"/>
    <w:lvl w:ilvl="0" w:tentative="0">
      <w:start w:val="4"/>
      <w:numFmt w:val="decimal"/>
      <w:suff w:val="space"/>
      <w:lvlText w:val="%1."/>
      <w:lvlJc w:val="left"/>
    </w:lvl>
  </w:abstractNum>
  <w:abstractNum w:abstractNumId="1">
    <w:nsid w:val="3940C2A6"/>
    <w:multiLevelType w:val="singleLevel"/>
    <w:tmpl w:val="3940C2A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D6D30"/>
    <w:rsid w:val="05587D01"/>
    <w:rsid w:val="20C0110B"/>
    <w:rsid w:val="2C251F93"/>
    <w:rsid w:val="7323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5"/>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1">
    <w:name w:val="标题 2 Char Char"/>
    <w:qFormat/>
    <w:uiPriority w:val="0"/>
    <w:rPr>
      <w:rFonts w:ascii="Arial" w:hAnsi="Arial" w:eastAsia="黑体" w:cs="Times New Roman"/>
      <w:b/>
      <w:bCs/>
      <w:kern w:val="2"/>
      <w:sz w:val="32"/>
      <w:szCs w:val="32"/>
      <w:lang w:val="en-US" w:eastAsia="zh-CN" w:bidi="ar-SA"/>
    </w:rPr>
  </w:style>
  <w:style w:type="paragraph" w:customStyle="1" w:styleId="12">
    <w:name w:val="列出段落1"/>
    <w:basedOn w:val="1"/>
    <w:qFormat/>
    <w:uiPriority w:val="0"/>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4541</Words>
  <Characters>4673</Characters>
  <Lines>0</Lines>
  <Paragraphs>0</Paragraphs>
  <TotalTime>0</TotalTime>
  <ScaleCrop>false</ScaleCrop>
  <LinksUpToDate>false</LinksUpToDate>
  <CharactersWithSpaces>4733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2026-08-31T09:44:00Z</dcterms:created>
  <dc:creator>admin</dc:creator>
  <cp:lastModifiedBy>豆奶是个小胖子</cp:lastModifiedBy>
  <dcterms:modified xsi:type="dcterms:W3CDTF">2026-09-01T02:24:21Z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7BEBEF604DB34D05B6687F3D6AD5D038_12</vt:lpwstr>
  </property>
</Properties>
</file>