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AC492B">
      <w:pPr>
        <w:pStyle w:val="2"/>
        <w:widowControl/>
        <w:snapToGrid w:val="0"/>
        <w:spacing w:before="0" w:after="0" w:line="360" w:lineRule="auto"/>
        <w:jc w:val="center"/>
        <w:rPr>
          <w:rFonts w:hint="eastAsia" w:ascii="宋体" w:hAnsi="宋体"/>
          <w:color w:val="000000"/>
        </w:rPr>
      </w:pPr>
      <w:bookmarkStart w:id="0" w:name="_Toc23330"/>
      <w:r>
        <w:rPr>
          <w:rFonts w:hint="eastAsia" w:ascii="宋体" w:hAnsi="宋体"/>
          <w:color w:val="000000"/>
        </w:rPr>
        <w:t>第三章  采购需求及技术规格要求</w:t>
      </w:r>
      <w:bookmarkEnd w:id="0"/>
    </w:p>
    <w:p w14:paraId="2C79F016">
      <w:pPr>
        <w:pStyle w:val="3"/>
        <w:spacing w:before="0" w:after="0" w:line="360" w:lineRule="auto"/>
        <w:rPr>
          <w:rStyle w:val="11"/>
          <w:rFonts w:ascii="宋体" w:hAnsi="宋体" w:eastAsia="仿宋"/>
          <w:b/>
          <w:bCs/>
          <w:sz w:val="24"/>
          <w:szCs w:val="24"/>
        </w:rPr>
      </w:pPr>
      <w:bookmarkStart w:id="1" w:name="_Toc455587089"/>
      <w:bookmarkStart w:id="2" w:name="_Toc455587273"/>
      <w:bookmarkStart w:id="3" w:name="_Toc466024556"/>
      <w:r>
        <w:rPr>
          <w:rStyle w:val="11"/>
          <w:rFonts w:hint="eastAsia" w:ascii="仿宋" w:hAnsi="仿宋" w:eastAsia="仿宋" w:cs="仿宋"/>
          <w:b/>
          <w:bCs/>
          <w:sz w:val="24"/>
          <w:szCs w:val="24"/>
        </w:rPr>
        <w:t xml:space="preserve">1. </w:t>
      </w:r>
      <w:bookmarkEnd w:id="1"/>
      <w:bookmarkEnd w:id="2"/>
      <w:bookmarkEnd w:id="3"/>
      <w:r>
        <w:rPr>
          <w:rStyle w:val="11"/>
          <w:rFonts w:hint="eastAsia" w:ascii="仿宋" w:hAnsi="仿宋" w:eastAsia="仿宋" w:cs="仿宋"/>
          <w:b/>
          <w:bCs/>
          <w:sz w:val="24"/>
          <w:szCs w:val="24"/>
        </w:rPr>
        <w:t>总</w:t>
      </w:r>
      <w:r>
        <w:rPr>
          <w:rStyle w:val="11"/>
          <w:rFonts w:hint="eastAsia" w:ascii="宋体" w:hAnsi="宋体" w:eastAsia="仿宋"/>
          <w:b/>
          <w:bCs/>
          <w:sz w:val="24"/>
          <w:szCs w:val="24"/>
        </w:rPr>
        <w:t>体说明</w:t>
      </w:r>
    </w:p>
    <w:p w14:paraId="313634C6">
      <w:pPr>
        <w:widowControl/>
        <w:tabs>
          <w:tab w:val="left" w:pos="1406"/>
        </w:tabs>
        <w:snapToGrid w:val="0"/>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1.1 本技术规格所提出的要求是对本次招标货物的基本技术要求，并未涉及所有技术细节，也未充分引述有关标准、规范的全部条款。投标人应保证其提供的货物除了满足本技术规格的要求外，还应符合中国国家、行业、地方或设备制造商所在国的有关标准、规范（尤其是必须符合中国国家标准的有关强制性规定)。</w:t>
      </w:r>
    </w:p>
    <w:p w14:paraId="685C3991">
      <w:pPr>
        <w:widowControl/>
        <w:tabs>
          <w:tab w:val="left" w:pos="1406"/>
        </w:tabs>
        <w:snapToGrid w:val="0"/>
        <w:spacing w:line="360" w:lineRule="auto"/>
        <w:ind w:firstLine="480" w:firstLineChars="200"/>
        <w:rPr>
          <w:rFonts w:ascii="仿宋" w:hAnsi="仿宋" w:eastAsia="仿宋" w:cs="仿宋"/>
          <w:color w:val="000000"/>
          <w:sz w:val="24"/>
        </w:rPr>
      </w:pPr>
      <w:r>
        <w:rPr>
          <w:rFonts w:hint="eastAsia" w:ascii="仿宋" w:hAnsi="仿宋" w:eastAsia="仿宋" w:cs="仿宋"/>
          <w:color w:val="000000"/>
          <w:sz w:val="24"/>
        </w:rPr>
        <w:t>1.2 本采购需求中提出的技术方案仅为参考，如无明确限制，投标供应商可以进行优化，提供满足采购人实际需要的更优（或者性能实质上不低于的）技术方案或者设备配置，且此方案或配置须经评标委员会评审认可；</w:t>
      </w:r>
      <w:r>
        <w:rPr>
          <w:rFonts w:hint="eastAsia" w:ascii="仿宋" w:hAnsi="仿宋" w:eastAsia="仿宋" w:cs="仿宋"/>
          <w:color w:val="000000"/>
          <w:sz w:val="24"/>
        </w:rPr>
        <w:cr/>
      </w:r>
      <w:r>
        <w:rPr>
          <w:rFonts w:hint="eastAsia" w:ascii="仿宋" w:hAnsi="仿宋" w:eastAsia="仿宋" w:cs="仿宋"/>
          <w:color w:val="000000"/>
          <w:sz w:val="24"/>
        </w:rPr>
        <w:t xml:space="preserve">   1.3 投标供应商应当在投标文件中列出完成本项目所需的所有各项服务等明细表及全部费用。中标供应商必须确保整体通过采购人及有关主管部门验收；投标供应商应自行踏勘项目现场，如投标供应商因未及时踏勘现场而导致的报价缺项漏项废标或中标后无法完工，投标供应商自行承担一切后果；</w:t>
      </w:r>
    </w:p>
    <w:p w14:paraId="095FB61E">
      <w:pPr>
        <w:widowControl/>
        <w:tabs>
          <w:tab w:val="left" w:pos="1406"/>
        </w:tabs>
        <w:snapToGrid w:val="0"/>
        <w:spacing w:line="360" w:lineRule="auto"/>
        <w:ind w:firstLine="480" w:firstLineChars="200"/>
        <w:rPr>
          <w:rFonts w:ascii="仿宋" w:hAnsi="仿宋" w:eastAsia="仿宋" w:cs="仿宋"/>
          <w:color w:val="000000"/>
          <w:sz w:val="24"/>
        </w:rPr>
      </w:pPr>
      <w:r>
        <w:rPr>
          <w:rFonts w:hint="eastAsia" w:ascii="仿宋" w:hAnsi="仿宋" w:eastAsia="仿宋" w:cs="仿宋"/>
          <w:color w:val="000000"/>
          <w:sz w:val="24"/>
        </w:rPr>
        <w:t>1.4 本章中提及的工艺、材料、设备的标准及品牌或型号（如有）仅起说明作用，并没有强制性。投标人在投标中可以用替代工艺、材料、设备的标准及品牌或型号，但这种替代须实质上满足、等同或优于本章技术要求，同时须提供相关证明材料，否则可能被评标委员会认定为负偏离。</w:t>
      </w:r>
    </w:p>
    <w:p w14:paraId="6C33F659">
      <w:pPr>
        <w:widowControl/>
        <w:tabs>
          <w:tab w:val="left" w:pos="1406"/>
        </w:tabs>
        <w:snapToGrid w:val="0"/>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1.6 除非有特别说明，本章中所列的具体参数或参数范围，均理解为采购人可接受的最低要求。</w:t>
      </w:r>
    </w:p>
    <w:p w14:paraId="7F72FDA9">
      <w:pPr>
        <w:widowControl/>
        <w:tabs>
          <w:tab w:val="left" w:pos="1406"/>
        </w:tabs>
        <w:snapToGrid w:val="0"/>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1.7采购需求如包含属于《节能产品政府采购品目清单》中政府强制采购的节能产品， 则投标人所投产品须具有市场监管总局公布的《参与实施政府采购节能产品认证机构目录》中的认证机构出具的、处于有效期内的节能（节水）产品认证证书。</w:t>
      </w:r>
    </w:p>
    <w:p w14:paraId="4395770D">
      <w:pPr>
        <w:widowControl/>
        <w:tabs>
          <w:tab w:val="left" w:pos="1406"/>
        </w:tabs>
        <w:snapToGrid w:val="0"/>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1.8 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4F1CABF3">
      <w:pPr>
        <w:widowControl/>
        <w:tabs>
          <w:tab w:val="left" w:pos="1406"/>
        </w:tabs>
        <w:snapToGrid w:val="0"/>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1.9标注“▲”的产品为主要标的（包括核心产品），核心产品的名称、品牌、规格型号、数量、单价等将予以公布。</w:t>
      </w:r>
    </w:p>
    <w:p w14:paraId="69D08E2B">
      <w:pPr>
        <w:widowControl/>
        <w:tabs>
          <w:tab w:val="left" w:pos="1406"/>
        </w:tabs>
        <w:snapToGrid w:val="0"/>
        <w:spacing w:line="360" w:lineRule="auto"/>
        <w:rPr>
          <w:rFonts w:hint="eastAsia" w:ascii="仿宋" w:hAnsi="仿宋" w:eastAsia="仿宋" w:cs="仿宋"/>
          <w:color w:val="000000"/>
          <w:sz w:val="24"/>
        </w:rPr>
      </w:pPr>
    </w:p>
    <w:p w14:paraId="4EA44DB3">
      <w:pPr>
        <w:keepNext/>
        <w:keepLines/>
        <w:spacing w:line="360" w:lineRule="auto"/>
        <w:outlineLvl w:val="1"/>
        <w:rPr>
          <w:rFonts w:hint="eastAsia" w:ascii="仿宋" w:hAnsi="仿宋" w:eastAsia="仿宋" w:cs="仿宋"/>
          <w:b/>
          <w:bCs/>
          <w:color w:val="000000"/>
          <w:sz w:val="24"/>
        </w:rPr>
      </w:pPr>
      <w:r>
        <w:rPr>
          <w:rFonts w:hint="eastAsia" w:ascii="仿宋" w:hAnsi="仿宋" w:eastAsia="仿宋" w:cs="仿宋"/>
          <w:b/>
          <w:bCs/>
          <w:color w:val="000000"/>
          <w:sz w:val="24"/>
        </w:rPr>
        <w:t>2. 采购内容及范围</w:t>
      </w:r>
    </w:p>
    <w:p w14:paraId="76769645">
      <w:pPr>
        <w:keepNext/>
        <w:keepLines/>
        <w:spacing w:line="360" w:lineRule="auto"/>
        <w:ind w:firstLine="480" w:firstLineChars="200"/>
        <w:outlineLvl w:val="1"/>
        <w:rPr>
          <w:rFonts w:hint="eastAsia" w:ascii="仿宋" w:hAnsi="仿宋" w:eastAsia="仿宋" w:cs="仿宋"/>
          <w:color w:val="000000"/>
          <w:sz w:val="24"/>
        </w:rPr>
      </w:pPr>
      <w:r>
        <w:rPr>
          <w:rFonts w:hint="eastAsia" w:ascii="仿宋" w:hAnsi="仿宋" w:eastAsia="仿宋" w:cs="仿宋"/>
          <w:color w:val="000000"/>
          <w:sz w:val="24"/>
        </w:rPr>
        <w:t>2.1 采购内容</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3694"/>
        <w:gridCol w:w="1062"/>
        <w:gridCol w:w="1200"/>
        <w:gridCol w:w="1606"/>
        <w:gridCol w:w="1407"/>
      </w:tblGrid>
      <w:tr w14:paraId="4A352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872" w:type="dxa"/>
            <w:noWrap w:val="0"/>
            <w:vAlign w:val="center"/>
          </w:tcPr>
          <w:p w14:paraId="22BD323B">
            <w:pPr>
              <w:widowControl/>
              <w:spacing w:line="360" w:lineRule="auto"/>
              <w:jc w:val="center"/>
              <w:outlineLvl w:val="1"/>
              <w:rPr>
                <w:rFonts w:hint="eastAsia" w:ascii="仿宋" w:hAnsi="仿宋" w:eastAsia="仿宋" w:cs="仿宋"/>
                <w:color w:val="000000"/>
                <w:sz w:val="24"/>
              </w:rPr>
            </w:pPr>
            <w:r>
              <w:rPr>
                <w:rFonts w:ascii="仿宋" w:hAnsi="仿宋" w:eastAsia="仿宋" w:cs="仿宋"/>
                <w:color w:val="000000"/>
                <w:kern w:val="0"/>
                <w:sz w:val="24"/>
                <w:lang w:bidi="ar"/>
              </w:rPr>
              <w:t>包号</w:t>
            </w:r>
          </w:p>
        </w:tc>
        <w:tc>
          <w:tcPr>
            <w:tcW w:w="3694" w:type="dxa"/>
            <w:noWrap w:val="0"/>
            <w:vAlign w:val="center"/>
          </w:tcPr>
          <w:p w14:paraId="3A99EF70">
            <w:pPr>
              <w:widowControl/>
              <w:spacing w:line="360" w:lineRule="auto"/>
              <w:jc w:val="center"/>
              <w:outlineLvl w:val="1"/>
              <w:rPr>
                <w:rFonts w:hint="eastAsia" w:ascii="仿宋" w:hAnsi="仿宋" w:eastAsia="仿宋" w:cs="仿宋"/>
                <w:color w:val="000000"/>
                <w:sz w:val="24"/>
              </w:rPr>
            </w:pPr>
            <w:r>
              <w:rPr>
                <w:rFonts w:ascii="仿宋" w:hAnsi="仿宋" w:eastAsia="仿宋" w:cs="仿宋"/>
                <w:color w:val="000000"/>
                <w:kern w:val="0"/>
                <w:sz w:val="24"/>
                <w:lang w:bidi="ar"/>
              </w:rPr>
              <w:t>标的名称</w:t>
            </w:r>
          </w:p>
        </w:tc>
        <w:tc>
          <w:tcPr>
            <w:tcW w:w="1062" w:type="dxa"/>
            <w:noWrap w:val="0"/>
            <w:vAlign w:val="center"/>
          </w:tcPr>
          <w:p w14:paraId="68C301A1">
            <w:pPr>
              <w:widowControl/>
              <w:jc w:val="center"/>
              <w:rPr>
                <w:rFonts w:hint="eastAsia" w:ascii="仿宋" w:hAnsi="仿宋" w:eastAsia="仿宋" w:cs="仿宋"/>
                <w:color w:val="000000"/>
                <w:sz w:val="24"/>
              </w:rPr>
            </w:pPr>
            <w:r>
              <w:rPr>
                <w:rFonts w:ascii="仿宋" w:hAnsi="仿宋" w:eastAsia="仿宋" w:cs="仿宋"/>
                <w:color w:val="000000"/>
                <w:kern w:val="0"/>
                <w:sz w:val="24"/>
                <w:lang w:bidi="ar"/>
              </w:rPr>
              <w:t>单位</w:t>
            </w:r>
          </w:p>
        </w:tc>
        <w:tc>
          <w:tcPr>
            <w:tcW w:w="1200" w:type="dxa"/>
            <w:noWrap w:val="0"/>
            <w:vAlign w:val="center"/>
          </w:tcPr>
          <w:p w14:paraId="24094086">
            <w:pPr>
              <w:widowControl/>
              <w:spacing w:line="360" w:lineRule="auto"/>
              <w:jc w:val="center"/>
              <w:outlineLvl w:val="1"/>
              <w:rPr>
                <w:rFonts w:hint="eastAsia" w:ascii="仿宋" w:hAnsi="仿宋" w:eastAsia="仿宋" w:cs="仿宋"/>
                <w:color w:val="000000"/>
                <w:sz w:val="24"/>
              </w:rPr>
            </w:pPr>
            <w:r>
              <w:rPr>
                <w:rFonts w:hint="eastAsia" w:ascii="仿宋" w:hAnsi="仿宋" w:eastAsia="仿宋" w:cs="仿宋"/>
                <w:color w:val="000000"/>
                <w:kern w:val="0"/>
                <w:sz w:val="24"/>
                <w:lang w:bidi="ar"/>
              </w:rPr>
              <w:t>数量</w:t>
            </w:r>
          </w:p>
        </w:tc>
        <w:tc>
          <w:tcPr>
            <w:tcW w:w="1606" w:type="dxa"/>
            <w:noWrap w:val="0"/>
            <w:vAlign w:val="center"/>
          </w:tcPr>
          <w:p w14:paraId="72D98E88">
            <w:pPr>
              <w:widowControl/>
              <w:spacing w:line="360" w:lineRule="auto"/>
              <w:jc w:val="center"/>
              <w:outlineLvl w:val="1"/>
              <w:rPr>
                <w:rFonts w:hint="eastAsia" w:ascii="仿宋" w:hAnsi="仿宋" w:eastAsia="仿宋" w:cs="仿宋"/>
                <w:color w:val="000000"/>
                <w:sz w:val="24"/>
              </w:rPr>
            </w:pPr>
            <w:r>
              <w:rPr>
                <w:rFonts w:ascii="仿宋" w:hAnsi="仿宋" w:eastAsia="仿宋" w:cs="仿宋"/>
                <w:color w:val="000000"/>
                <w:kern w:val="0"/>
                <w:sz w:val="24"/>
                <w:lang w:bidi="ar"/>
              </w:rPr>
              <w:t>所属行业</w:t>
            </w:r>
          </w:p>
        </w:tc>
        <w:tc>
          <w:tcPr>
            <w:tcW w:w="1407" w:type="dxa"/>
            <w:noWrap w:val="0"/>
            <w:vAlign w:val="center"/>
          </w:tcPr>
          <w:p w14:paraId="12E4A326">
            <w:pPr>
              <w:widowControl/>
              <w:spacing w:line="360" w:lineRule="auto"/>
              <w:jc w:val="center"/>
              <w:outlineLvl w:val="1"/>
              <w:rPr>
                <w:rFonts w:ascii="仿宋" w:hAnsi="仿宋" w:eastAsia="仿宋" w:cs="仿宋"/>
                <w:color w:val="000000"/>
                <w:kern w:val="0"/>
                <w:sz w:val="24"/>
                <w:lang w:bidi="ar"/>
              </w:rPr>
            </w:pPr>
            <w:r>
              <w:rPr>
                <w:rFonts w:ascii="仿宋" w:hAnsi="仿宋" w:eastAsia="仿宋" w:cs="仿宋"/>
                <w:color w:val="000000"/>
                <w:kern w:val="0"/>
                <w:sz w:val="24"/>
                <w:lang w:bidi="ar"/>
              </w:rPr>
              <w:t>是否接受进口</w:t>
            </w:r>
          </w:p>
        </w:tc>
      </w:tr>
      <w:tr w14:paraId="1D52B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72" w:type="dxa"/>
            <w:noWrap w:val="0"/>
            <w:vAlign w:val="center"/>
          </w:tcPr>
          <w:p w14:paraId="625B4752">
            <w:pPr>
              <w:keepNext/>
              <w:keepLines/>
              <w:spacing w:line="360" w:lineRule="auto"/>
              <w:jc w:val="center"/>
              <w:outlineLvl w:val="1"/>
              <w:rPr>
                <w:rFonts w:hint="eastAsia" w:ascii="仿宋" w:hAnsi="仿宋" w:eastAsia="仿宋" w:cs="仿宋"/>
                <w:color w:val="000000"/>
                <w:sz w:val="24"/>
                <w:lang w:eastAsia="zh-CN"/>
              </w:rPr>
            </w:pPr>
            <w:r>
              <w:rPr>
                <w:rFonts w:hint="eastAsia" w:ascii="仿宋" w:hAnsi="仿宋" w:eastAsia="仿宋" w:cs="仿宋"/>
                <w:color w:val="000000"/>
                <w:sz w:val="24"/>
                <w:lang w:val="en-US" w:eastAsia="zh-CN"/>
              </w:rPr>
              <w:t>1</w:t>
            </w:r>
          </w:p>
        </w:tc>
        <w:tc>
          <w:tcPr>
            <w:tcW w:w="3694" w:type="dxa"/>
            <w:noWrap w:val="0"/>
            <w:vAlign w:val="center"/>
          </w:tcPr>
          <w:p w14:paraId="7504BD40">
            <w:pPr>
              <w:keepNext w:val="0"/>
              <w:keepLines w:val="0"/>
              <w:widowControl/>
              <w:spacing w:line="360" w:lineRule="auto"/>
              <w:jc w:val="center"/>
              <w:outlineLvl w:val="9"/>
              <w:rPr>
                <w:rFonts w:hint="eastAsia" w:ascii="仿宋" w:hAnsi="仿宋" w:eastAsia="仿宋" w:cs="仿宋"/>
                <w:color w:val="000000"/>
                <w:kern w:val="0"/>
                <w:sz w:val="24"/>
                <w:lang w:eastAsia="zh-CN" w:bidi="ar"/>
              </w:rPr>
            </w:pPr>
            <w:r>
              <w:rPr>
                <w:rFonts w:hint="eastAsia" w:ascii="仿宋" w:hAnsi="仿宋" w:eastAsia="仿宋" w:cs="仿宋"/>
                <w:color w:val="000000"/>
                <w:sz w:val="24"/>
              </w:rPr>
              <w:t>▲</w:t>
            </w:r>
            <w:r>
              <w:rPr>
                <w:rFonts w:hint="eastAsia" w:ascii="仿宋" w:hAnsi="仿宋" w:eastAsia="仿宋" w:cs="仿宋"/>
                <w:color w:val="000000"/>
                <w:kern w:val="0"/>
                <w:sz w:val="24"/>
                <w:lang w:eastAsia="zh-CN" w:bidi="ar"/>
              </w:rPr>
              <w:t>荧光腹腔镜</w:t>
            </w:r>
          </w:p>
        </w:tc>
        <w:tc>
          <w:tcPr>
            <w:tcW w:w="1062" w:type="dxa"/>
            <w:noWrap w:val="0"/>
            <w:vAlign w:val="center"/>
          </w:tcPr>
          <w:p w14:paraId="3E5DF8B3">
            <w:pPr>
              <w:widowControl/>
              <w:spacing w:line="360" w:lineRule="auto"/>
              <w:jc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套</w:t>
            </w:r>
          </w:p>
        </w:tc>
        <w:tc>
          <w:tcPr>
            <w:tcW w:w="1200" w:type="dxa"/>
            <w:noWrap w:val="0"/>
            <w:vAlign w:val="center"/>
          </w:tcPr>
          <w:p w14:paraId="2CD18855">
            <w:pPr>
              <w:widowControl/>
              <w:spacing w:line="360" w:lineRule="auto"/>
              <w:jc w:val="center"/>
              <w:rPr>
                <w:rFonts w:hint="eastAsia" w:ascii="仿宋" w:hAnsi="仿宋" w:eastAsia="仿宋" w:cs="仿宋"/>
                <w:color w:val="000000"/>
                <w:kern w:val="0"/>
                <w:sz w:val="24"/>
                <w:lang w:eastAsia="zh-CN" w:bidi="ar"/>
              </w:rPr>
            </w:pPr>
            <w:r>
              <w:rPr>
                <w:rFonts w:hint="eastAsia" w:ascii="仿宋" w:hAnsi="仿宋" w:eastAsia="仿宋" w:cs="仿宋"/>
                <w:color w:val="000000"/>
                <w:kern w:val="0"/>
                <w:sz w:val="24"/>
                <w:lang w:val="en-US" w:eastAsia="zh-CN" w:bidi="ar"/>
              </w:rPr>
              <w:t>1</w:t>
            </w:r>
          </w:p>
        </w:tc>
        <w:tc>
          <w:tcPr>
            <w:tcW w:w="1606" w:type="dxa"/>
            <w:noWrap w:val="0"/>
            <w:vAlign w:val="center"/>
          </w:tcPr>
          <w:p w14:paraId="35207C6B">
            <w:pPr>
              <w:keepNext/>
              <w:keepLines/>
              <w:spacing w:line="360" w:lineRule="auto"/>
              <w:jc w:val="center"/>
              <w:outlineLvl w:val="1"/>
              <w:rPr>
                <w:rFonts w:ascii="仿宋" w:hAnsi="仿宋" w:eastAsia="仿宋" w:cs="仿宋"/>
                <w:color w:val="000000"/>
                <w:sz w:val="24"/>
              </w:rPr>
            </w:pPr>
            <w:r>
              <w:rPr>
                <w:rFonts w:hint="eastAsia" w:ascii="仿宋" w:hAnsi="仿宋" w:eastAsia="仿宋" w:cs="仿宋"/>
                <w:color w:val="000000"/>
                <w:sz w:val="24"/>
              </w:rPr>
              <w:t>工业</w:t>
            </w:r>
          </w:p>
        </w:tc>
        <w:tc>
          <w:tcPr>
            <w:tcW w:w="1407" w:type="dxa"/>
            <w:noWrap w:val="0"/>
            <w:vAlign w:val="center"/>
          </w:tcPr>
          <w:p w14:paraId="7CB6CC00">
            <w:pPr>
              <w:keepNext/>
              <w:keepLines/>
              <w:spacing w:line="360" w:lineRule="auto"/>
              <w:jc w:val="center"/>
              <w:outlineLvl w:val="1"/>
              <w:rPr>
                <w:rFonts w:hint="default" w:ascii="仿宋" w:hAnsi="仿宋" w:eastAsia="仿宋" w:cs="仿宋"/>
                <w:color w:val="000000"/>
                <w:sz w:val="24"/>
                <w:lang w:val="en-US" w:eastAsia="zh-CN"/>
              </w:rPr>
            </w:pPr>
            <w:r>
              <w:rPr>
                <w:rFonts w:hint="eastAsia" w:ascii="仿宋" w:hAnsi="仿宋" w:eastAsia="仿宋" w:cs="仿宋"/>
                <w:color w:val="000000"/>
                <w:sz w:val="24"/>
                <w:lang w:val="en-US" w:eastAsia="zh-CN"/>
              </w:rPr>
              <w:t>否</w:t>
            </w:r>
          </w:p>
        </w:tc>
      </w:tr>
    </w:tbl>
    <w:p w14:paraId="347803BA">
      <w:pPr>
        <w:keepNext/>
        <w:keepLines/>
        <w:spacing w:line="360" w:lineRule="auto"/>
        <w:ind w:firstLine="480" w:firstLineChars="200"/>
        <w:outlineLvl w:val="1"/>
        <w:rPr>
          <w:rFonts w:hint="eastAsia" w:ascii="仿宋" w:hAnsi="仿宋" w:eastAsia="仿宋" w:cs="仿宋"/>
          <w:color w:val="000000"/>
          <w:sz w:val="24"/>
        </w:rPr>
      </w:pPr>
      <w:r>
        <w:rPr>
          <w:rFonts w:hint="eastAsia" w:ascii="仿宋" w:hAnsi="仿宋" w:eastAsia="仿宋" w:cs="仿宋"/>
          <w:color w:val="000000"/>
          <w:sz w:val="24"/>
        </w:rPr>
        <w:t>2.2 采购范围</w:t>
      </w:r>
    </w:p>
    <w:p w14:paraId="52DD517F">
      <w:pPr>
        <w:keepNext/>
        <w:keepLines/>
        <w:spacing w:line="360" w:lineRule="auto"/>
        <w:ind w:firstLine="480" w:firstLineChars="200"/>
        <w:outlineLvl w:val="1"/>
        <w:rPr>
          <w:rFonts w:hint="eastAsia" w:ascii="仿宋" w:hAnsi="仿宋" w:eastAsia="仿宋"/>
          <w:sz w:val="24"/>
        </w:rPr>
      </w:pPr>
      <w:r>
        <w:rPr>
          <w:rFonts w:hint="eastAsia" w:ascii="仿宋" w:hAnsi="仿宋" w:eastAsia="仿宋"/>
          <w:sz w:val="24"/>
        </w:rPr>
        <w:t>包括所有货物的供货、包装运输（包括卸车及就位至采购人指定的安装地点）、安装、调试、技术服务、培训、售后服务等所有内容。</w:t>
      </w:r>
    </w:p>
    <w:p w14:paraId="0C0A0AA1">
      <w:pPr>
        <w:keepNext/>
        <w:keepLines/>
        <w:spacing w:line="360" w:lineRule="auto"/>
        <w:outlineLvl w:val="1"/>
        <w:rPr>
          <w:rFonts w:hint="eastAsia" w:ascii="仿宋" w:hAnsi="仿宋" w:eastAsia="仿宋" w:cs="仿宋"/>
          <w:b/>
          <w:bCs/>
          <w:color w:val="000000"/>
          <w:sz w:val="24"/>
        </w:rPr>
      </w:pPr>
      <w:r>
        <w:rPr>
          <w:rFonts w:hint="eastAsia" w:ascii="仿宋" w:hAnsi="仿宋" w:eastAsia="仿宋" w:cs="仿宋"/>
          <w:b/>
          <w:bCs/>
          <w:color w:val="000000"/>
          <w:sz w:val="24"/>
        </w:rPr>
        <w:t>3.商务条款</w:t>
      </w:r>
    </w:p>
    <w:p w14:paraId="2C0AB59B">
      <w:pPr>
        <w:spacing w:line="360" w:lineRule="auto"/>
        <w:rPr>
          <w:rFonts w:hint="eastAsia" w:ascii="仿宋" w:hAnsi="仿宋" w:eastAsia="仿宋" w:cs="仿宋"/>
          <w:b/>
          <w:bCs/>
          <w:sz w:val="24"/>
          <w:szCs w:val="32"/>
        </w:rPr>
      </w:pPr>
      <w:r>
        <w:rPr>
          <w:rFonts w:hint="eastAsia" w:ascii="仿宋" w:hAnsi="仿宋" w:eastAsia="仿宋" w:cs="仿宋"/>
          <w:b/>
          <w:bCs/>
          <w:sz w:val="24"/>
          <w:szCs w:val="32"/>
        </w:rPr>
        <w:t>除非有特别说明，本条为实质性要求。</w:t>
      </w:r>
    </w:p>
    <w:tbl>
      <w:tblPr>
        <w:tblStyle w:val="9"/>
        <w:tblW w:w="0" w:type="auto"/>
        <w:tblInd w:w="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0"/>
        <w:gridCol w:w="1139"/>
        <w:gridCol w:w="7978"/>
      </w:tblGrid>
      <w:tr w14:paraId="099B4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640" w:type="dxa"/>
            <w:noWrap w:val="0"/>
            <w:vAlign w:val="center"/>
          </w:tcPr>
          <w:p w14:paraId="4D229A47">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序号</w:t>
            </w:r>
          </w:p>
        </w:tc>
        <w:tc>
          <w:tcPr>
            <w:tcW w:w="9117" w:type="dxa"/>
            <w:gridSpan w:val="2"/>
            <w:noWrap w:val="0"/>
            <w:vAlign w:val="center"/>
          </w:tcPr>
          <w:p w14:paraId="11A9E89F">
            <w:pPr>
              <w:wordWrap w:val="0"/>
              <w:spacing w:line="360" w:lineRule="auto"/>
              <w:ind w:firstLine="2891" w:firstLineChars="1200"/>
              <w:jc w:val="left"/>
              <w:rPr>
                <w:rFonts w:hint="eastAsia" w:ascii="仿宋" w:hAnsi="仿宋" w:eastAsia="仿宋" w:cs="仿宋"/>
                <w:b/>
                <w:color w:val="000000"/>
                <w:sz w:val="24"/>
              </w:rPr>
            </w:pPr>
            <w:r>
              <w:rPr>
                <w:rFonts w:hint="eastAsia" w:ascii="仿宋" w:hAnsi="仿宋" w:eastAsia="仿宋" w:cs="仿宋"/>
                <w:b/>
                <w:color w:val="000000"/>
                <w:sz w:val="24"/>
              </w:rPr>
              <w:t>商务条款内容</w:t>
            </w:r>
          </w:p>
        </w:tc>
      </w:tr>
      <w:tr w14:paraId="17C5B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640" w:type="dxa"/>
            <w:noWrap w:val="0"/>
            <w:vAlign w:val="center"/>
          </w:tcPr>
          <w:p w14:paraId="478C6B38">
            <w:pPr>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1</w:t>
            </w:r>
          </w:p>
        </w:tc>
        <w:tc>
          <w:tcPr>
            <w:tcW w:w="1139" w:type="dxa"/>
            <w:noWrap w:val="0"/>
            <w:vAlign w:val="center"/>
          </w:tcPr>
          <w:p w14:paraId="731327D0">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交付（实施）的时间（期限）</w:t>
            </w:r>
          </w:p>
        </w:tc>
        <w:tc>
          <w:tcPr>
            <w:tcW w:w="7978" w:type="dxa"/>
            <w:noWrap w:val="0"/>
            <w:vAlign w:val="center"/>
          </w:tcPr>
          <w:p w14:paraId="332DEC7D">
            <w:pPr>
              <w:widowControl/>
              <w:adjustRightInd w:val="0"/>
              <w:snapToGrid w:val="0"/>
              <w:spacing w:line="288" w:lineRule="auto"/>
              <w:rPr>
                <w:rFonts w:ascii="仿宋" w:hAnsi="仿宋" w:eastAsia="仿宋" w:cs="仿宋"/>
                <w:bCs/>
                <w:color w:val="000000"/>
                <w:sz w:val="24"/>
              </w:rPr>
            </w:pPr>
            <w:r>
              <w:rPr>
                <w:rFonts w:hint="eastAsia" w:ascii="仿宋" w:hAnsi="仿宋" w:eastAsia="仿宋" w:cs="仿宋"/>
                <w:bCs/>
                <w:color w:val="000000"/>
                <w:sz w:val="24"/>
              </w:rPr>
              <w:t>合同签订生效后，接采购人通知后</w:t>
            </w:r>
            <w:r>
              <w:rPr>
                <w:rFonts w:hint="eastAsia" w:ascii="仿宋" w:hAnsi="仿宋" w:eastAsia="仿宋" w:cs="仿宋"/>
                <w:bCs/>
                <w:color w:val="000000"/>
                <w:sz w:val="24"/>
                <w:lang w:val="en-US" w:eastAsia="zh-CN"/>
              </w:rPr>
              <w:t>30</w:t>
            </w:r>
            <w:r>
              <w:rPr>
                <w:rFonts w:hint="eastAsia" w:ascii="仿宋" w:hAnsi="仿宋" w:eastAsia="仿宋" w:cs="仿宋"/>
                <w:bCs/>
                <w:color w:val="000000"/>
                <w:sz w:val="24"/>
              </w:rPr>
              <w:t>个日历天内完成供货安装调试。</w:t>
            </w:r>
          </w:p>
          <w:p w14:paraId="19B100AE">
            <w:pPr>
              <w:widowControl/>
              <w:adjustRightInd w:val="0"/>
              <w:snapToGrid w:val="0"/>
              <w:spacing w:line="288" w:lineRule="auto"/>
              <w:rPr>
                <w:rFonts w:hint="eastAsia" w:ascii="仿宋" w:hAnsi="仿宋" w:eastAsia="仿宋" w:cs="仿宋"/>
                <w:bCs/>
                <w:color w:val="000000"/>
                <w:sz w:val="24"/>
              </w:rPr>
            </w:pPr>
            <w:r>
              <w:rPr>
                <w:rFonts w:hint="eastAsia" w:ascii="仿宋" w:hAnsi="仿宋" w:eastAsia="仿宋" w:cs="仿宋"/>
                <w:bCs/>
                <w:color w:val="000000"/>
                <w:sz w:val="24"/>
              </w:rPr>
              <w:t>是否接受负偏离：</w:t>
            </w:r>
            <w:r>
              <w:rPr>
                <w:rFonts w:hint="eastAsia" w:ascii="宋体" w:hAnsi="宋体" w:eastAsia="仿宋"/>
                <w:bCs/>
                <w:sz w:val="24"/>
              </w:rPr>
              <w:sym w:font="Wingdings" w:char="F0FE"/>
            </w:r>
            <w:r>
              <w:rPr>
                <w:rFonts w:hint="eastAsia" w:ascii="仿宋" w:hAnsi="仿宋" w:eastAsia="仿宋" w:cs="仿宋"/>
                <w:bCs/>
                <w:color w:val="000000"/>
                <w:sz w:val="24"/>
              </w:rPr>
              <w:t>不接受</w:t>
            </w:r>
          </w:p>
          <w:p w14:paraId="09341043">
            <w:pPr>
              <w:pStyle w:val="12"/>
              <w:ind w:firstLine="480"/>
              <w:rPr>
                <w:rFonts w:hint="eastAsia" w:ascii="仿宋" w:hAnsi="仿宋" w:eastAsia="仿宋" w:cs="仿宋"/>
                <w:bCs/>
                <w:color w:val="000000"/>
                <w:sz w:val="24"/>
              </w:rPr>
            </w:pPr>
            <w:r>
              <w:rPr>
                <w:rFonts w:hint="eastAsia" w:ascii="仿宋" w:hAnsi="仿宋" w:eastAsia="仿宋" w:cs="仿宋"/>
                <w:bCs/>
                <w:color w:val="000000"/>
                <w:sz w:val="24"/>
              </w:rPr>
              <w:t>□接受：</w:t>
            </w:r>
          </w:p>
          <w:p w14:paraId="545621EA">
            <w:pPr>
              <w:wordWrap w:val="0"/>
              <w:spacing w:line="360" w:lineRule="auto"/>
              <w:rPr>
                <w:rFonts w:hint="eastAsia" w:ascii="仿宋" w:hAnsi="仿宋" w:eastAsia="仿宋" w:cs="仿宋"/>
                <w:bCs/>
                <w:color w:val="000000"/>
                <w:sz w:val="24"/>
              </w:rPr>
            </w:pPr>
            <w:r>
              <w:rPr>
                <w:rFonts w:hint="eastAsia" w:ascii="仿宋" w:hAnsi="仿宋" w:eastAsia="仿宋" w:cs="仿宋"/>
                <w:bCs/>
                <w:color w:val="000000"/>
                <w:sz w:val="24"/>
              </w:rPr>
              <w:t>允许偏离的幅度：/</w:t>
            </w:r>
          </w:p>
        </w:tc>
      </w:tr>
      <w:tr w14:paraId="50E22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640" w:type="dxa"/>
            <w:noWrap w:val="0"/>
            <w:vAlign w:val="center"/>
          </w:tcPr>
          <w:p w14:paraId="6B23C840">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2</w:t>
            </w:r>
          </w:p>
        </w:tc>
        <w:tc>
          <w:tcPr>
            <w:tcW w:w="1139" w:type="dxa"/>
            <w:noWrap w:val="0"/>
            <w:vAlign w:val="center"/>
          </w:tcPr>
          <w:p w14:paraId="46882426">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交付（实施）的地点（范围）</w:t>
            </w:r>
          </w:p>
        </w:tc>
        <w:tc>
          <w:tcPr>
            <w:tcW w:w="7978" w:type="dxa"/>
            <w:noWrap w:val="0"/>
            <w:vAlign w:val="center"/>
          </w:tcPr>
          <w:p w14:paraId="277F66C7">
            <w:pPr>
              <w:wordWrap w:val="0"/>
              <w:spacing w:line="360" w:lineRule="auto"/>
              <w:jc w:val="both"/>
              <w:rPr>
                <w:rFonts w:hint="eastAsia" w:ascii="仿宋" w:hAnsi="仿宋" w:eastAsia="仿宋" w:cs="仿宋"/>
                <w:b w:val="0"/>
                <w:bCs/>
                <w:color w:val="000000"/>
                <w:sz w:val="24"/>
                <w:lang w:val="en-US" w:eastAsia="zh-CN"/>
              </w:rPr>
            </w:pPr>
            <w:r>
              <w:rPr>
                <w:rFonts w:hint="eastAsia" w:ascii="仿宋" w:hAnsi="仿宋" w:eastAsia="仿宋" w:cs="仿宋"/>
                <w:b w:val="0"/>
                <w:bCs/>
                <w:color w:val="000000"/>
                <w:sz w:val="24"/>
                <w:lang w:val="en-US" w:eastAsia="zh-CN"/>
              </w:rPr>
              <w:t>上海市第六人民医院安徽医院</w:t>
            </w:r>
          </w:p>
          <w:p w14:paraId="23961BBF">
            <w:pPr>
              <w:wordWrap w:val="0"/>
              <w:spacing w:line="360" w:lineRule="auto"/>
              <w:rPr>
                <w:rFonts w:hint="default" w:ascii="仿宋" w:hAnsi="仿宋" w:eastAsia="仿宋" w:cs="仿宋"/>
                <w:bCs/>
                <w:color w:val="000000"/>
                <w:sz w:val="24"/>
                <w:lang w:val="en-US" w:eastAsia="zh-CN"/>
              </w:rPr>
            </w:pPr>
          </w:p>
        </w:tc>
      </w:tr>
      <w:tr w14:paraId="3F6E8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640" w:type="dxa"/>
            <w:noWrap w:val="0"/>
            <w:vAlign w:val="center"/>
          </w:tcPr>
          <w:p w14:paraId="5B871846">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3</w:t>
            </w:r>
          </w:p>
        </w:tc>
        <w:tc>
          <w:tcPr>
            <w:tcW w:w="1139" w:type="dxa"/>
            <w:noWrap w:val="0"/>
            <w:vAlign w:val="center"/>
          </w:tcPr>
          <w:p w14:paraId="1F9FE533">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付款方式</w:t>
            </w:r>
          </w:p>
        </w:tc>
        <w:tc>
          <w:tcPr>
            <w:tcW w:w="7978" w:type="dxa"/>
            <w:noWrap w:val="0"/>
            <w:vAlign w:val="center"/>
          </w:tcPr>
          <w:p w14:paraId="6584BD38">
            <w:pPr>
              <w:widowControl/>
              <w:adjustRightInd w:val="0"/>
              <w:snapToGrid w:val="0"/>
              <w:spacing w:line="360" w:lineRule="auto"/>
              <w:rPr>
                <w:rFonts w:hint="eastAsia" w:ascii="仿宋" w:hAnsi="仿宋" w:eastAsia="仿宋" w:cs="仿宋"/>
                <w:color w:val="000000"/>
                <w:sz w:val="24"/>
              </w:rPr>
            </w:pPr>
            <w:r>
              <w:rPr>
                <w:rFonts w:hint="eastAsia" w:ascii="仿宋" w:hAnsi="仿宋" w:eastAsia="仿宋" w:cs="仿宋"/>
                <w:color w:val="000000"/>
                <w:sz w:val="24"/>
              </w:rPr>
              <w:t xml:space="preserve">本项目货到安装验收合格，提供产品的使用、操作及维修人员的培训， 并能独立操作且使用部门签字确认后，采购人支付全部货款。 </w:t>
            </w:r>
          </w:p>
          <w:p w14:paraId="50FCC415">
            <w:pPr>
              <w:wordWrap w:val="0"/>
              <w:spacing w:line="360" w:lineRule="auto"/>
              <w:rPr>
                <w:rFonts w:hint="eastAsia" w:ascii="仿宋" w:hAnsi="仿宋" w:eastAsia="仿宋" w:cs="仿宋"/>
                <w:b/>
                <w:color w:val="000000"/>
                <w:sz w:val="24"/>
              </w:rPr>
            </w:pPr>
            <w:r>
              <w:rPr>
                <w:rFonts w:hint="eastAsia" w:ascii="仿宋" w:hAnsi="仿宋" w:eastAsia="仿宋" w:cs="仿宋"/>
                <w:color w:val="000000"/>
                <w:sz w:val="24"/>
              </w:rPr>
              <w:t>是否接受负偏离：</w:t>
            </w:r>
            <w:r>
              <w:rPr>
                <w:rFonts w:hint="eastAsia" w:ascii="仿宋" w:hAnsi="仿宋" w:eastAsia="仿宋" w:cs="仿宋"/>
                <w:color w:val="000000"/>
                <w:sz w:val="24"/>
              </w:rPr>
              <w:sym w:font="Wingdings 2" w:char="0052"/>
            </w:r>
            <w:r>
              <w:rPr>
                <w:rFonts w:hint="eastAsia" w:ascii="仿宋" w:hAnsi="仿宋" w:eastAsia="仿宋" w:cs="仿宋"/>
                <w:color w:val="000000"/>
                <w:sz w:val="24"/>
              </w:rPr>
              <w:t xml:space="preserve">不接受  </w:t>
            </w:r>
          </w:p>
        </w:tc>
      </w:tr>
      <w:tr w14:paraId="57527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640" w:type="dxa"/>
            <w:noWrap w:val="0"/>
            <w:vAlign w:val="center"/>
          </w:tcPr>
          <w:p w14:paraId="4E290CFC">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4</w:t>
            </w:r>
          </w:p>
        </w:tc>
        <w:tc>
          <w:tcPr>
            <w:tcW w:w="1139" w:type="dxa"/>
            <w:noWrap w:val="0"/>
            <w:vAlign w:val="center"/>
          </w:tcPr>
          <w:p w14:paraId="59F12FF3">
            <w:pPr>
              <w:wordWrap w:val="0"/>
              <w:spacing w:line="360" w:lineRule="auto"/>
              <w:jc w:val="center"/>
              <w:rPr>
                <w:rFonts w:hint="eastAsia" w:ascii="仿宋" w:hAnsi="仿宋" w:eastAsia="仿宋" w:cs="仿宋"/>
                <w:b/>
                <w:bCs/>
                <w:color w:val="000000"/>
                <w:sz w:val="24"/>
              </w:rPr>
            </w:pPr>
            <w:r>
              <w:rPr>
                <w:rFonts w:hint="eastAsia" w:ascii="宋体" w:hAnsi="宋体" w:eastAsia="仿宋" w:cs="Calibri"/>
                <w:b/>
                <w:bCs/>
                <w:sz w:val="24"/>
              </w:rPr>
              <w:t>质量保证期</w:t>
            </w:r>
          </w:p>
        </w:tc>
        <w:tc>
          <w:tcPr>
            <w:tcW w:w="7978" w:type="dxa"/>
            <w:noWrap w:val="0"/>
            <w:vAlign w:val="top"/>
          </w:tcPr>
          <w:p w14:paraId="25E8D7AA">
            <w:pPr>
              <w:widowControl/>
              <w:adjustRightInd w:val="0"/>
              <w:snapToGrid w:val="0"/>
              <w:spacing w:line="360" w:lineRule="auto"/>
              <w:rPr>
                <w:rFonts w:hint="eastAsia" w:ascii="仿宋" w:hAnsi="仿宋" w:eastAsia="仿宋" w:cs="仿宋"/>
                <w:color w:val="000000"/>
                <w:sz w:val="24"/>
              </w:rPr>
            </w:pPr>
            <w:r>
              <w:rPr>
                <w:rFonts w:hint="eastAsia" w:ascii="仿宋" w:hAnsi="仿宋" w:eastAsia="仿宋" w:cs="仿宋"/>
                <w:color w:val="000000"/>
                <w:sz w:val="24"/>
              </w:rPr>
              <w:t>自验收合格之日起整体（主机+配套产品）原厂质保不少于</w:t>
            </w:r>
            <w:r>
              <w:rPr>
                <w:rFonts w:hint="eastAsia" w:ascii="仿宋" w:hAnsi="仿宋" w:eastAsia="仿宋" w:cs="仿宋"/>
                <w:color w:val="000000"/>
                <w:sz w:val="24"/>
                <w:lang w:val="en-US" w:eastAsia="zh-CN"/>
              </w:rPr>
              <w:t>72</w:t>
            </w:r>
            <w:r>
              <w:rPr>
                <w:rFonts w:hint="eastAsia" w:ascii="仿宋" w:hAnsi="仿宋" w:eastAsia="仿宋" w:cs="仿宋"/>
                <w:color w:val="000000"/>
                <w:sz w:val="24"/>
              </w:rPr>
              <w:t>个月。</w:t>
            </w:r>
          </w:p>
          <w:p w14:paraId="07DAB8F0">
            <w:pPr>
              <w:widowControl/>
              <w:adjustRightInd w:val="0"/>
              <w:snapToGrid w:val="0"/>
              <w:spacing w:line="288" w:lineRule="auto"/>
              <w:rPr>
                <w:rFonts w:hint="eastAsia" w:ascii="仿宋" w:hAnsi="仿宋" w:eastAsia="仿宋" w:cs="仿宋"/>
                <w:bCs/>
                <w:color w:val="000000"/>
                <w:sz w:val="24"/>
              </w:rPr>
            </w:pPr>
            <w:r>
              <w:rPr>
                <w:rFonts w:hint="eastAsia" w:ascii="宋体" w:hAnsi="宋体" w:eastAsia="仿宋" w:cs="Calibri"/>
                <w:sz w:val="24"/>
              </w:rPr>
              <w:t>是否接受负偏离：</w:t>
            </w:r>
            <w:r>
              <w:rPr>
                <w:rFonts w:hint="eastAsia" w:ascii="宋体" w:hAnsi="宋体" w:eastAsia="仿宋"/>
                <w:bCs/>
                <w:sz w:val="24"/>
              </w:rPr>
              <w:sym w:font="Wingdings" w:char="F0FE"/>
            </w:r>
            <w:r>
              <w:rPr>
                <w:rFonts w:hint="eastAsia" w:ascii="仿宋" w:hAnsi="仿宋" w:eastAsia="仿宋" w:cs="仿宋"/>
                <w:bCs/>
                <w:color w:val="000000"/>
                <w:sz w:val="24"/>
              </w:rPr>
              <w:t>不接受</w:t>
            </w:r>
          </w:p>
          <w:p w14:paraId="50E5006F">
            <w:pPr>
              <w:pStyle w:val="12"/>
              <w:ind w:firstLine="480"/>
              <w:rPr>
                <w:rFonts w:hint="eastAsia" w:ascii="楷体" w:hAnsi="楷体" w:eastAsia="仿宋" w:cs="Calibri"/>
                <w:sz w:val="24"/>
              </w:rPr>
            </w:pPr>
            <w:r>
              <w:rPr>
                <w:rFonts w:hint="eastAsia" w:ascii="楷体" w:hAnsi="楷体" w:eastAsia="仿宋" w:cs="Calibri"/>
                <w:sz w:val="24"/>
              </w:rPr>
              <w:t xml:space="preserve">            □接受：</w:t>
            </w:r>
          </w:p>
          <w:p w14:paraId="64D273E0">
            <w:pPr>
              <w:wordWrap w:val="0"/>
              <w:spacing w:line="360" w:lineRule="auto"/>
              <w:jc w:val="left"/>
              <w:rPr>
                <w:rFonts w:hint="eastAsia" w:ascii="仿宋" w:hAnsi="仿宋" w:eastAsia="仿宋" w:cs="仿宋"/>
                <w:b/>
                <w:color w:val="000000"/>
                <w:sz w:val="24"/>
              </w:rPr>
            </w:pPr>
            <w:r>
              <w:rPr>
                <w:rFonts w:hint="eastAsia" w:ascii="楷体" w:hAnsi="楷体" w:eastAsia="仿宋" w:cs="Calibri"/>
                <w:sz w:val="24"/>
              </w:rPr>
              <w:t>允许偏离的幅</w:t>
            </w:r>
            <w:r>
              <w:rPr>
                <w:rFonts w:hint="eastAsia" w:ascii="楷体" w:hAnsi="楷体" w:eastAsia="仿宋" w:cs="Calibri"/>
                <w:color w:val="000000"/>
                <w:sz w:val="24"/>
              </w:rPr>
              <w:t>度：</w:t>
            </w:r>
            <w:r>
              <w:rPr>
                <w:rFonts w:hint="eastAsia" w:ascii="宋体" w:hAnsi="宋体" w:eastAsia="仿宋" w:cs="Calibri"/>
                <w:color w:val="000000"/>
                <w:sz w:val="24"/>
              </w:rPr>
              <w:t>/</w:t>
            </w:r>
          </w:p>
        </w:tc>
      </w:tr>
      <w:tr w14:paraId="0D7EF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640" w:type="dxa"/>
            <w:noWrap w:val="0"/>
            <w:vAlign w:val="center"/>
          </w:tcPr>
          <w:p w14:paraId="00EF3208">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6</w:t>
            </w:r>
          </w:p>
        </w:tc>
        <w:tc>
          <w:tcPr>
            <w:tcW w:w="1139" w:type="dxa"/>
            <w:noWrap w:val="0"/>
            <w:vAlign w:val="center"/>
          </w:tcPr>
          <w:p w14:paraId="77CF686A">
            <w:pPr>
              <w:wordWrap w:val="0"/>
              <w:spacing w:line="360" w:lineRule="auto"/>
              <w:jc w:val="center"/>
              <w:rPr>
                <w:rFonts w:ascii="仿宋" w:hAnsi="仿宋" w:eastAsia="仿宋" w:cs="仿宋"/>
                <w:b/>
                <w:color w:val="000000"/>
                <w:sz w:val="24"/>
              </w:rPr>
            </w:pPr>
            <w:r>
              <w:rPr>
                <w:rFonts w:hint="eastAsia" w:ascii="仿宋" w:hAnsi="仿宋" w:eastAsia="仿宋" w:cs="仿宋"/>
                <w:b/>
                <w:color w:val="000000"/>
                <w:sz w:val="24"/>
              </w:rPr>
              <w:t>信息化要求</w:t>
            </w:r>
          </w:p>
        </w:tc>
        <w:tc>
          <w:tcPr>
            <w:tcW w:w="7978" w:type="dxa"/>
            <w:noWrap w:val="0"/>
            <w:vAlign w:val="center"/>
          </w:tcPr>
          <w:p w14:paraId="5A6D8E32">
            <w:pPr>
              <w:pStyle w:val="8"/>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投标人所投设备须与医院信息系统连接，由此产生的费用包含在投标总报价中，采购人不另行支付。</w:t>
            </w:r>
          </w:p>
          <w:p w14:paraId="78B304D7">
            <w:pPr>
              <w:widowControl/>
              <w:adjustRightInd w:val="0"/>
              <w:snapToGrid w:val="0"/>
              <w:spacing w:line="288" w:lineRule="auto"/>
              <w:rPr>
                <w:rFonts w:hint="eastAsia" w:ascii="仿宋" w:hAnsi="仿宋" w:eastAsia="仿宋" w:cs="仿宋"/>
                <w:bCs/>
                <w:color w:val="000000"/>
                <w:sz w:val="24"/>
              </w:rPr>
            </w:pPr>
            <w:r>
              <w:rPr>
                <w:rFonts w:hint="eastAsia" w:ascii="宋体" w:hAnsi="宋体" w:eastAsia="仿宋" w:cs="Calibri"/>
                <w:sz w:val="24"/>
              </w:rPr>
              <w:t>是否接受负偏离：</w:t>
            </w:r>
            <w:r>
              <w:rPr>
                <w:rFonts w:hint="eastAsia" w:ascii="宋体" w:hAnsi="宋体" w:eastAsia="仿宋"/>
                <w:bCs/>
                <w:sz w:val="24"/>
              </w:rPr>
              <w:sym w:font="Wingdings" w:char="F0FE"/>
            </w:r>
            <w:r>
              <w:rPr>
                <w:rFonts w:hint="eastAsia" w:ascii="仿宋" w:hAnsi="仿宋" w:eastAsia="仿宋" w:cs="仿宋"/>
                <w:bCs/>
                <w:color w:val="000000"/>
                <w:sz w:val="24"/>
              </w:rPr>
              <w:t>不接受</w:t>
            </w:r>
          </w:p>
          <w:p w14:paraId="62E1A049">
            <w:pPr>
              <w:pStyle w:val="12"/>
              <w:ind w:firstLine="480"/>
              <w:rPr>
                <w:rFonts w:hint="eastAsia" w:ascii="楷体" w:hAnsi="楷体" w:eastAsia="仿宋" w:cs="Calibri"/>
                <w:sz w:val="24"/>
              </w:rPr>
            </w:pPr>
            <w:r>
              <w:rPr>
                <w:rFonts w:hint="eastAsia" w:ascii="楷体" w:hAnsi="楷体" w:eastAsia="仿宋" w:cs="Calibri"/>
                <w:sz w:val="24"/>
              </w:rPr>
              <w:t xml:space="preserve">            □接受：</w:t>
            </w:r>
          </w:p>
          <w:p w14:paraId="318CCED2">
            <w:pPr>
              <w:pStyle w:val="8"/>
              <w:spacing w:before="0" w:beforeAutospacing="0" w:after="0" w:afterAutospacing="0" w:line="360" w:lineRule="auto"/>
              <w:rPr>
                <w:rFonts w:hint="eastAsia" w:ascii="仿宋" w:hAnsi="仿宋" w:eastAsia="仿宋" w:cs="仿宋"/>
                <w:color w:val="auto"/>
              </w:rPr>
            </w:pPr>
            <w:r>
              <w:rPr>
                <w:rFonts w:hint="eastAsia" w:ascii="楷体" w:hAnsi="楷体" w:eastAsia="仿宋" w:cs="Calibri"/>
              </w:rPr>
              <w:t>允许偏离的幅度：</w:t>
            </w:r>
            <w:r>
              <w:rPr>
                <w:rFonts w:hint="eastAsia" w:eastAsia="仿宋" w:cs="Calibri"/>
              </w:rPr>
              <w:t>/</w:t>
            </w:r>
          </w:p>
        </w:tc>
      </w:tr>
      <w:tr w14:paraId="04DA1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7" w:hRule="atLeast"/>
        </w:trPr>
        <w:tc>
          <w:tcPr>
            <w:tcW w:w="640" w:type="dxa"/>
            <w:noWrap w:val="0"/>
            <w:vAlign w:val="center"/>
          </w:tcPr>
          <w:p w14:paraId="412EC8DC">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7</w:t>
            </w:r>
          </w:p>
        </w:tc>
        <w:tc>
          <w:tcPr>
            <w:tcW w:w="1139" w:type="dxa"/>
            <w:noWrap w:val="0"/>
            <w:vAlign w:val="center"/>
          </w:tcPr>
          <w:p w14:paraId="5186988A">
            <w:pPr>
              <w:wordWrap w:val="0"/>
              <w:spacing w:line="360" w:lineRule="auto"/>
              <w:jc w:val="center"/>
              <w:rPr>
                <w:rFonts w:ascii="仿宋" w:hAnsi="仿宋" w:eastAsia="仿宋" w:cs="仿宋"/>
                <w:b/>
                <w:bCs/>
                <w:kern w:val="0"/>
                <w:sz w:val="24"/>
              </w:rPr>
            </w:pPr>
            <w:r>
              <w:rPr>
                <w:rFonts w:hint="eastAsia" w:ascii="仿宋" w:hAnsi="仿宋" w:eastAsia="仿宋" w:cs="仿宋"/>
                <w:b/>
                <w:bCs/>
                <w:kern w:val="0"/>
                <w:sz w:val="24"/>
              </w:rPr>
              <w:t>售后要求</w:t>
            </w:r>
          </w:p>
        </w:tc>
        <w:tc>
          <w:tcPr>
            <w:tcW w:w="7978" w:type="dxa"/>
            <w:noWrap w:val="0"/>
            <w:vAlign w:val="top"/>
          </w:tcPr>
          <w:p w14:paraId="1FFFF492">
            <w:pPr>
              <w:pStyle w:val="13"/>
              <w:spacing w:line="360" w:lineRule="auto"/>
              <w:jc w:val="left"/>
              <w:rPr>
                <w:rFonts w:hint="eastAsia" w:ascii="仿宋" w:hAnsi="仿宋" w:eastAsia="仿宋" w:cs="仿宋"/>
                <w:sz w:val="24"/>
                <w:szCs w:val="24"/>
              </w:rPr>
            </w:pPr>
            <w:r>
              <w:rPr>
                <w:rFonts w:hint="eastAsia" w:ascii="仿宋" w:hAnsi="仿宋" w:eastAsia="仿宋" w:cs="仿宋"/>
                <w:sz w:val="24"/>
                <w:szCs w:val="24"/>
              </w:rPr>
              <w:t>中标人须负责在项目安装地点进行所投设备的安装调试工作，并现场测试。在安装和调试期间，如发现设备或材料有缺陷或损坏，中标人应尽快更换，相关费用均包含在本次投标报价中。中标人在维护期内应提供现场、电话、传真或电子邮件方式为采购人提供技术支持，要求中标人应在有稳定的技术支撑与服务能力，并且在设备发生故障时2小时内响应。中标人在项目验收合格后，负责对所投设备组织操作使用培训，培训地点、人员由采购人指定。</w:t>
            </w:r>
          </w:p>
          <w:p w14:paraId="5836A1C2">
            <w:pPr>
              <w:widowControl/>
              <w:adjustRightInd w:val="0"/>
              <w:snapToGrid w:val="0"/>
              <w:spacing w:line="288" w:lineRule="auto"/>
              <w:rPr>
                <w:rFonts w:hint="eastAsia" w:ascii="仿宋" w:hAnsi="仿宋" w:eastAsia="仿宋" w:cs="仿宋"/>
                <w:bCs/>
                <w:color w:val="000000"/>
                <w:sz w:val="24"/>
              </w:rPr>
            </w:pPr>
            <w:r>
              <w:rPr>
                <w:rFonts w:hint="eastAsia" w:ascii="宋体" w:hAnsi="宋体" w:eastAsia="仿宋" w:cs="Calibri"/>
                <w:sz w:val="24"/>
              </w:rPr>
              <w:t>是否接受负偏离：</w:t>
            </w:r>
            <w:r>
              <w:rPr>
                <w:rFonts w:hint="eastAsia" w:ascii="宋体" w:hAnsi="宋体" w:eastAsia="仿宋"/>
                <w:bCs/>
                <w:sz w:val="24"/>
              </w:rPr>
              <w:sym w:font="Wingdings" w:char="F0FE"/>
            </w:r>
            <w:r>
              <w:rPr>
                <w:rFonts w:hint="eastAsia" w:ascii="仿宋" w:hAnsi="仿宋" w:eastAsia="仿宋" w:cs="仿宋"/>
                <w:bCs/>
                <w:color w:val="000000"/>
                <w:sz w:val="24"/>
              </w:rPr>
              <w:t>不接受</w:t>
            </w:r>
          </w:p>
          <w:p w14:paraId="10D130B2">
            <w:pPr>
              <w:pStyle w:val="12"/>
              <w:ind w:firstLine="480"/>
              <w:rPr>
                <w:rFonts w:hint="eastAsia" w:ascii="楷体" w:hAnsi="楷体" w:eastAsia="仿宋" w:cs="Calibri"/>
                <w:sz w:val="24"/>
              </w:rPr>
            </w:pPr>
            <w:r>
              <w:rPr>
                <w:rFonts w:hint="eastAsia" w:ascii="楷体" w:hAnsi="楷体" w:eastAsia="仿宋" w:cs="Calibri"/>
                <w:sz w:val="24"/>
              </w:rPr>
              <w:t xml:space="preserve">            □接受：</w:t>
            </w:r>
          </w:p>
          <w:p w14:paraId="0484A248">
            <w:pPr>
              <w:pStyle w:val="13"/>
              <w:spacing w:line="360" w:lineRule="auto"/>
              <w:jc w:val="left"/>
              <w:rPr>
                <w:rFonts w:hint="eastAsia" w:ascii="仿宋" w:hAnsi="仿宋" w:eastAsia="仿宋" w:cs="仿宋"/>
                <w:sz w:val="24"/>
                <w:szCs w:val="24"/>
              </w:rPr>
            </w:pPr>
            <w:r>
              <w:rPr>
                <w:rFonts w:hint="eastAsia" w:ascii="楷体" w:hAnsi="楷体" w:eastAsia="仿宋" w:cs="Calibri"/>
                <w:sz w:val="24"/>
              </w:rPr>
              <w:t>允许偏离的幅</w:t>
            </w:r>
            <w:r>
              <w:rPr>
                <w:rFonts w:hint="eastAsia" w:ascii="楷体" w:hAnsi="楷体" w:eastAsia="仿宋" w:cs="Calibri"/>
                <w:color w:val="000000"/>
                <w:sz w:val="24"/>
              </w:rPr>
              <w:t>度：</w:t>
            </w:r>
            <w:r>
              <w:rPr>
                <w:rFonts w:hint="eastAsia" w:ascii="宋体" w:hAnsi="宋体" w:eastAsia="仿宋" w:cs="Calibri"/>
                <w:color w:val="000000"/>
                <w:sz w:val="24"/>
              </w:rPr>
              <w:t>/</w:t>
            </w:r>
          </w:p>
        </w:tc>
      </w:tr>
      <w:tr w14:paraId="7E8F3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0" w:type="dxa"/>
            <w:noWrap w:val="0"/>
            <w:vAlign w:val="center"/>
          </w:tcPr>
          <w:p w14:paraId="74E676F3">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8</w:t>
            </w:r>
          </w:p>
        </w:tc>
        <w:tc>
          <w:tcPr>
            <w:tcW w:w="1139" w:type="dxa"/>
            <w:noWrap w:val="0"/>
            <w:vAlign w:val="center"/>
          </w:tcPr>
          <w:p w14:paraId="69D338D9">
            <w:pPr>
              <w:wordWrap w:val="0"/>
              <w:spacing w:line="360" w:lineRule="auto"/>
              <w:jc w:val="center"/>
              <w:rPr>
                <w:rFonts w:hint="eastAsia" w:ascii="仿宋" w:hAnsi="仿宋" w:eastAsia="仿宋" w:cs="仿宋"/>
                <w:b/>
                <w:bCs/>
                <w:kern w:val="0"/>
                <w:sz w:val="24"/>
              </w:rPr>
            </w:pPr>
            <w:r>
              <w:rPr>
                <w:rFonts w:hint="eastAsia" w:ascii="仿宋" w:hAnsi="仿宋" w:eastAsia="仿宋" w:cs="仿宋"/>
                <w:b/>
                <w:color w:val="000000"/>
                <w:sz w:val="24"/>
              </w:rPr>
              <w:t>如是依法纳入医疗器械管理的须具有：</w:t>
            </w:r>
          </w:p>
        </w:tc>
        <w:tc>
          <w:tcPr>
            <w:tcW w:w="7978" w:type="dxa"/>
            <w:noWrap w:val="0"/>
            <w:vAlign w:val="center"/>
          </w:tcPr>
          <w:p w14:paraId="561BE23B">
            <w:pPr>
              <w:wordWrap w:val="0"/>
              <w:spacing w:line="360" w:lineRule="auto"/>
              <w:jc w:val="left"/>
              <w:rPr>
                <w:rFonts w:hint="eastAsia" w:ascii="仿宋" w:hAnsi="仿宋" w:eastAsia="仿宋" w:cs="仿宋"/>
                <w:b/>
                <w:color w:val="000000"/>
                <w:sz w:val="24"/>
              </w:rPr>
            </w:pPr>
            <w:r>
              <w:rPr>
                <w:rFonts w:hint="eastAsia" w:ascii="仿宋" w:hAnsi="仿宋" w:eastAsia="仿宋" w:cs="仿宋"/>
                <w:b/>
                <w:color w:val="000000"/>
                <w:sz w:val="24"/>
                <w:lang w:val="en-US" w:eastAsia="zh-CN"/>
              </w:rPr>
              <w:t>8.1</w:t>
            </w:r>
            <w:r>
              <w:rPr>
                <w:rFonts w:hint="eastAsia" w:ascii="仿宋" w:hAnsi="仿宋" w:eastAsia="仿宋" w:cs="仿宋"/>
                <w:b/>
                <w:color w:val="000000"/>
                <w:sz w:val="24"/>
              </w:rPr>
              <w:t>投标人为制造商的，须具有相应的医疗器械生产备案获取的备案编号（属于一类时）。</w:t>
            </w:r>
          </w:p>
          <w:p w14:paraId="2096A5D3">
            <w:pPr>
              <w:pStyle w:val="13"/>
              <w:spacing w:line="360" w:lineRule="auto"/>
              <w:jc w:val="left"/>
              <w:rPr>
                <w:rFonts w:hint="eastAsia" w:ascii="仿宋" w:hAnsi="仿宋" w:eastAsia="仿宋" w:cs="仿宋"/>
                <w:b/>
                <w:bCs/>
                <w:sz w:val="24"/>
                <w:szCs w:val="24"/>
              </w:rPr>
            </w:pPr>
            <w:r>
              <w:rPr>
                <w:rFonts w:hint="eastAsia" w:ascii="仿宋" w:hAnsi="仿宋" w:eastAsia="仿宋" w:cs="仿宋"/>
                <w:b/>
                <w:bCs/>
                <w:sz w:val="24"/>
                <w:szCs w:val="24"/>
                <w:lang w:val="en-US" w:eastAsia="zh-CN"/>
              </w:rPr>
              <w:t>8.2</w:t>
            </w:r>
            <w:r>
              <w:rPr>
                <w:rFonts w:hint="eastAsia" w:ascii="仿宋" w:hAnsi="仿宋" w:eastAsia="仿宋" w:cs="仿宋"/>
                <w:b/>
                <w:bCs/>
                <w:sz w:val="24"/>
                <w:szCs w:val="24"/>
              </w:rPr>
              <w:t>投标人须具有与投标产品相应的有效经营备案编号（属于二类时）；（如本次投标产品的注册人、备案人在其住所或者生产地址销售的，无需再办理医疗器械经营许可或备案。）。</w:t>
            </w:r>
          </w:p>
          <w:p w14:paraId="3B7EF79D">
            <w:pPr>
              <w:pStyle w:val="8"/>
              <w:spacing w:before="0" w:beforeAutospacing="0" w:after="0" w:afterAutospacing="0" w:line="360" w:lineRule="auto"/>
              <w:rPr>
                <w:rFonts w:hint="eastAsia" w:ascii="仿宋" w:hAnsi="仿宋" w:eastAsia="仿宋" w:cs="仿宋"/>
                <w:b/>
                <w:bCs/>
                <w:color w:val="auto"/>
              </w:rPr>
            </w:pPr>
            <w:r>
              <w:rPr>
                <w:rFonts w:hint="eastAsia" w:ascii="仿宋" w:hAnsi="仿宋" w:eastAsia="仿宋" w:cs="仿宋"/>
                <w:b/>
                <w:bCs/>
                <w:color w:val="auto"/>
                <w:lang w:val="en-US" w:eastAsia="zh-CN"/>
              </w:rPr>
              <w:t>8.3</w:t>
            </w:r>
            <w:r>
              <w:rPr>
                <w:rFonts w:hint="eastAsia" w:ascii="仿宋" w:hAnsi="仿宋" w:eastAsia="仿宋" w:cs="仿宋"/>
                <w:b/>
                <w:bCs/>
                <w:color w:val="auto"/>
              </w:rPr>
              <w:t>投标产品须具有有效的医疗器械注册证（属于二类、三类时）；投标产品纳入备案管理时（属于一类时），须在投标文件中提供备案材料或承诺函（承诺在合同签订前提供所投产品的备案证明材料，若未按规定提供视为自动放弃中标资格）。</w:t>
            </w:r>
          </w:p>
        </w:tc>
      </w:tr>
      <w:tr w14:paraId="1B3F1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0" w:type="dxa"/>
            <w:noWrap w:val="0"/>
            <w:vAlign w:val="center"/>
          </w:tcPr>
          <w:p w14:paraId="7222E362">
            <w:pPr>
              <w:wordWrap w:val="0"/>
              <w:spacing w:line="360" w:lineRule="auto"/>
              <w:jc w:val="center"/>
              <w:rPr>
                <w:rFonts w:hint="eastAsia" w:ascii="仿宋" w:hAnsi="仿宋" w:eastAsia="仿宋" w:cs="仿宋"/>
                <w:b/>
                <w:color w:val="000000"/>
                <w:sz w:val="24"/>
                <w:lang w:val="en-US" w:eastAsia="zh-CN"/>
              </w:rPr>
            </w:pPr>
            <w:r>
              <w:rPr>
                <w:rFonts w:hint="eastAsia" w:ascii="仿宋" w:hAnsi="仿宋" w:eastAsia="仿宋" w:cs="仿宋"/>
                <w:b/>
                <w:color w:val="000000"/>
                <w:sz w:val="24"/>
                <w:lang w:val="en-US" w:eastAsia="zh-CN"/>
              </w:rPr>
              <w:t>9</w:t>
            </w:r>
          </w:p>
        </w:tc>
        <w:tc>
          <w:tcPr>
            <w:tcW w:w="1139" w:type="dxa"/>
            <w:noWrap w:val="0"/>
            <w:vAlign w:val="center"/>
          </w:tcPr>
          <w:p w14:paraId="09A4CE3D">
            <w:pPr>
              <w:wordWrap w:val="0"/>
              <w:spacing w:line="360" w:lineRule="auto"/>
              <w:jc w:val="center"/>
              <w:rPr>
                <w:rFonts w:hint="default" w:ascii="仿宋" w:hAnsi="仿宋" w:eastAsia="仿宋" w:cs="仿宋"/>
                <w:b/>
                <w:color w:val="000000"/>
                <w:sz w:val="24"/>
                <w:lang w:val="en-US" w:eastAsia="zh-CN"/>
              </w:rPr>
            </w:pPr>
            <w:r>
              <w:rPr>
                <w:rFonts w:hint="eastAsia" w:ascii="仿宋" w:hAnsi="仿宋" w:eastAsia="仿宋" w:cs="仿宋"/>
                <w:b/>
                <w:color w:val="000000"/>
                <w:sz w:val="24"/>
                <w:lang w:val="en-US" w:eastAsia="zh-CN"/>
              </w:rPr>
              <w:t>配置要求</w:t>
            </w:r>
          </w:p>
        </w:tc>
        <w:tc>
          <w:tcPr>
            <w:tcW w:w="7978" w:type="dxa"/>
            <w:noWrap w:val="0"/>
            <w:vAlign w:val="center"/>
          </w:tcPr>
          <w:p w14:paraId="3DF68DD3">
            <w:pPr>
              <w:pStyle w:val="8"/>
              <w:keepNext w:val="0"/>
              <w:keepLines w:val="0"/>
              <w:widowControl w:val="0"/>
              <w:numPr>
                <w:ilvl w:val="0"/>
                <w:numId w:val="1"/>
              </w:numPr>
              <w:suppressLineNumbers w:val="0"/>
              <w:spacing w:before="0" w:beforeAutospacing="0" w:after="0" w:afterAutospacing="0" w:line="360" w:lineRule="auto"/>
              <w:ind w:left="420" w:right="0" w:hanging="420" w:firstLineChars="0"/>
              <w:jc w:val="both"/>
              <w:rPr>
                <w:rFonts w:hint="eastAsia" w:ascii="仿宋" w:hAnsi="仿宋" w:eastAsia="仿宋" w:cs="仿宋"/>
                <w:b/>
                <w:bCs w:val="0"/>
                <w:kern w:val="2"/>
                <w:sz w:val="24"/>
                <w:szCs w:val="24"/>
              </w:rPr>
            </w:pPr>
            <w:r>
              <w:rPr>
                <w:rFonts w:hint="eastAsia" w:ascii="仿宋" w:hAnsi="仿宋" w:eastAsia="仿宋" w:cs="仿宋"/>
                <w:b/>
                <w:bCs w:val="0"/>
                <w:kern w:val="2"/>
                <w:sz w:val="24"/>
                <w:szCs w:val="24"/>
                <w:lang w:val="en-US" w:eastAsia="zh-CN" w:bidi="ar"/>
              </w:rPr>
              <w:t>荧光摄像主机1套</w:t>
            </w:r>
          </w:p>
          <w:p w14:paraId="29392B88">
            <w:pPr>
              <w:pStyle w:val="8"/>
              <w:keepNext w:val="0"/>
              <w:keepLines w:val="0"/>
              <w:widowControl w:val="0"/>
              <w:numPr>
                <w:ilvl w:val="0"/>
                <w:numId w:val="1"/>
              </w:numPr>
              <w:suppressLineNumbers w:val="0"/>
              <w:spacing w:before="0" w:beforeAutospacing="0" w:after="0" w:afterAutospacing="0" w:line="360" w:lineRule="auto"/>
              <w:ind w:left="420" w:right="0" w:hanging="420" w:firstLineChars="0"/>
              <w:jc w:val="both"/>
              <w:rPr>
                <w:rFonts w:hint="eastAsia" w:ascii="仿宋" w:hAnsi="仿宋" w:eastAsia="仿宋" w:cs="仿宋"/>
                <w:b/>
                <w:bCs w:val="0"/>
                <w:kern w:val="2"/>
                <w:sz w:val="24"/>
                <w:szCs w:val="24"/>
                <w:lang w:val="en-US" w:eastAsia="zh-CN" w:bidi="ar"/>
              </w:rPr>
            </w:pPr>
            <w:r>
              <w:rPr>
                <w:rFonts w:hint="eastAsia" w:ascii="仿宋" w:hAnsi="仿宋" w:eastAsia="仿宋" w:cs="仿宋"/>
                <w:b/>
                <w:bCs w:val="0"/>
                <w:kern w:val="2"/>
                <w:sz w:val="24"/>
                <w:szCs w:val="24"/>
                <w:lang w:val="en-US" w:eastAsia="zh-CN" w:bidi="ar"/>
              </w:rPr>
              <w:t>荧光摄像头1套</w:t>
            </w:r>
          </w:p>
          <w:p w14:paraId="618CBB51">
            <w:pPr>
              <w:pStyle w:val="8"/>
              <w:keepNext w:val="0"/>
              <w:keepLines w:val="0"/>
              <w:widowControl w:val="0"/>
              <w:numPr>
                <w:ilvl w:val="0"/>
                <w:numId w:val="1"/>
              </w:numPr>
              <w:suppressLineNumbers w:val="0"/>
              <w:spacing w:before="0" w:beforeAutospacing="0" w:after="0" w:afterAutospacing="0" w:line="360" w:lineRule="auto"/>
              <w:ind w:left="420" w:right="0" w:hanging="420" w:firstLineChars="0"/>
              <w:jc w:val="both"/>
              <w:rPr>
                <w:rFonts w:hint="eastAsia" w:ascii="仿宋" w:hAnsi="仿宋" w:eastAsia="仿宋" w:cs="仿宋"/>
                <w:b/>
                <w:bCs w:val="0"/>
                <w:kern w:val="2"/>
                <w:sz w:val="24"/>
                <w:szCs w:val="24"/>
                <w:lang w:val="en-US" w:eastAsia="zh-CN" w:bidi="ar"/>
              </w:rPr>
            </w:pPr>
            <w:r>
              <w:rPr>
                <w:rFonts w:hint="eastAsia" w:ascii="仿宋" w:hAnsi="仿宋" w:eastAsia="仿宋" w:cs="仿宋"/>
                <w:b/>
                <w:bCs w:val="0"/>
                <w:kern w:val="2"/>
                <w:sz w:val="24"/>
                <w:szCs w:val="24"/>
                <w:lang w:val="en-US" w:eastAsia="zh-CN" w:bidi="ar"/>
              </w:rPr>
              <w:t>荧光光源1套</w:t>
            </w:r>
          </w:p>
          <w:p w14:paraId="45E15249">
            <w:pPr>
              <w:pStyle w:val="8"/>
              <w:keepNext w:val="0"/>
              <w:keepLines w:val="0"/>
              <w:widowControl w:val="0"/>
              <w:numPr>
                <w:ilvl w:val="0"/>
                <w:numId w:val="1"/>
              </w:numPr>
              <w:suppressLineNumbers w:val="0"/>
              <w:spacing w:before="0" w:beforeAutospacing="0" w:after="0" w:afterAutospacing="0" w:line="360" w:lineRule="auto"/>
              <w:ind w:left="420" w:right="0" w:hanging="420" w:firstLineChars="0"/>
              <w:jc w:val="both"/>
              <w:rPr>
                <w:rFonts w:hint="eastAsia" w:ascii="仿宋" w:hAnsi="仿宋" w:eastAsia="仿宋" w:cs="仿宋"/>
                <w:b/>
                <w:bCs w:val="0"/>
                <w:kern w:val="2"/>
                <w:sz w:val="24"/>
                <w:szCs w:val="24"/>
                <w:lang w:val="en-US" w:eastAsia="zh-CN" w:bidi="ar"/>
              </w:rPr>
            </w:pPr>
            <w:r>
              <w:rPr>
                <w:rFonts w:hint="eastAsia" w:ascii="仿宋" w:hAnsi="仿宋" w:eastAsia="仿宋" w:cs="仿宋"/>
                <w:b/>
                <w:bCs w:val="0"/>
                <w:kern w:val="2"/>
                <w:sz w:val="24"/>
                <w:szCs w:val="24"/>
                <w:lang w:val="en-US" w:eastAsia="zh-CN" w:bidi="ar"/>
              </w:rPr>
              <w:t>气腹机1套</w:t>
            </w:r>
          </w:p>
          <w:p w14:paraId="7FEC1320">
            <w:pPr>
              <w:pStyle w:val="8"/>
              <w:keepNext w:val="0"/>
              <w:keepLines w:val="0"/>
              <w:widowControl w:val="0"/>
              <w:numPr>
                <w:ilvl w:val="0"/>
                <w:numId w:val="1"/>
              </w:numPr>
              <w:suppressLineNumbers w:val="0"/>
              <w:spacing w:before="0" w:beforeAutospacing="0" w:after="0" w:afterAutospacing="0" w:line="360" w:lineRule="auto"/>
              <w:ind w:left="420" w:right="0" w:hanging="420" w:firstLineChars="0"/>
              <w:jc w:val="both"/>
              <w:rPr>
                <w:rFonts w:hint="eastAsia" w:ascii="仿宋" w:hAnsi="仿宋" w:eastAsia="仿宋" w:cs="仿宋"/>
                <w:b/>
                <w:bCs w:val="0"/>
                <w:kern w:val="2"/>
                <w:sz w:val="24"/>
                <w:szCs w:val="24"/>
                <w:lang w:val="en-US" w:eastAsia="zh-CN" w:bidi="ar"/>
              </w:rPr>
            </w:pPr>
            <w:r>
              <w:rPr>
                <w:rFonts w:hint="eastAsia" w:ascii="仿宋" w:hAnsi="仿宋" w:eastAsia="仿宋" w:cs="仿宋"/>
                <w:b/>
                <w:bCs w:val="0"/>
                <w:kern w:val="2"/>
                <w:sz w:val="24"/>
                <w:szCs w:val="24"/>
                <w:lang w:val="en-US" w:eastAsia="zh-CN" w:bidi="ar"/>
              </w:rPr>
              <w:t>荧光镜头2套</w:t>
            </w:r>
          </w:p>
          <w:p w14:paraId="79B5C8B5">
            <w:pPr>
              <w:pStyle w:val="8"/>
              <w:keepNext w:val="0"/>
              <w:keepLines w:val="0"/>
              <w:widowControl w:val="0"/>
              <w:numPr>
                <w:ilvl w:val="0"/>
                <w:numId w:val="1"/>
              </w:numPr>
              <w:suppressLineNumbers w:val="0"/>
              <w:spacing w:before="0" w:beforeAutospacing="0" w:after="0" w:afterAutospacing="0" w:line="360" w:lineRule="auto"/>
              <w:ind w:left="420" w:right="0" w:hanging="420" w:firstLineChars="0"/>
              <w:jc w:val="both"/>
              <w:rPr>
                <w:rFonts w:hint="eastAsia" w:ascii="仿宋" w:hAnsi="仿宋" w:eastAsia="仿宋" w:cs="仿宋"/>
                <w:b/>
                <w:bCs w:val="0"/>
                <w:kern w:val="2"/>
                <w:sz w:val="24"/>
                <w:szCs w:val="24"/>
                <w:lang w:val="en-US" w:eastAsia="zh-CN" w:bidi="ar"/>
              </w:rPr>
            </w:pPr>
            <w:r>
              <w:rPr>
                <w:rFonts w:hint="eastAsia" w:ascii="仿宋" w:hAnsi="仿宋" w:eastAsia="仿宋" w:cs="仿宋"/>
                <w:b/>
                <w:bCs w:val="0"/>
                <w:kern w:val="2"/>
                <w:sz w:val="24"/>
                <w:szCs w:val="24"/>
                <w:lang w:val="en-US" w:eastAsia="zh-CN" w:bidi="ar"/>
              </w:rPr>
              <w:t>显示屏1套</w:t>
            </w:r>
          </w:p>
          <w:p w14:paraId="6B70AFC8">
            <w:pPr>
              <w:pStyle w:val="8"/>
              <w:keepNext w:val="0"/>
              <w:keepLines w:val="0"/>
              <w:widowControl w:val="0"/>
              <w:numPr>
                <w:ilvl w:val="0"/>
                <w:numId w:val="1"/>
              </w:numPr>
              <w:suppressLineNumbers w:val="0"/>
              <w:spacing w:before="0" w:beforeAutospacing="0" w:after="0" w:afterAutospacing="0" w:line="360" w:lineRule="auto"/>
              <w:ind w:left="420" w:leftChars="0" w:right="0" w:rightChars="0" w:hanging="420" w:firstLineChars="0"/>
              <w:jc w:val="both"/>
              <w:rPr>
                <w:rFonts w:hint="eastAsia" w:ascii="仿宋" w:hAnsi="仿宋" w:eastAsia="仿宋" w:cs="仿宋"/>
                <w:b/>
                <w:bCs/>
                <w:color w:val="auto"/>
                <w:lang w:val="en-US" w:eastAsia="zh-CN"/>
              </w:rPr>
            </w:pPr>
            <w:r>
              <w:rPr>
                <w:rFonts w:hint="eastAsia" w:ascii="仿宋" w:hAnsi="仿宋" w:eastAsia="仿宋" w:cs="仿宋"/>
                <w:b/>
                <w:bCs w:val="0"/>
                <w:kern w:val="2"/>
                <w:sz w:val="24"/>
                <w:szCs w:val="24"/>
                <w:lang w:val="en-US" w:eastAsia="zh-CN" w:bidi="ar"/>
              </w:rPr>
              <w:t>台车1套</w:t>
            </w:r>
          </w:p>
        </w:tc>
      </w:tr>
    </w:tbl>
    <w:p w14:paraId="7C296001">
      <w:pPr>
        <w:spacing w:line="360" w:lineRule="auto"/>
        <w:rPr>
          <w:rFonts w:hint="eastAsia" w:ascii="仿宋" w:hAnsi="仿宋" w:eastAsia="仿宋" w:cs="仿宋"/>
          <w:b/>
          <w:bCs/>
          <w:sz w:val="24"/>
          <w:szCs w:val="32"/>
        </w:rPr>
      </w:pPr>
      <w:r>
        <w:rPr>
          <w:rFonts w:hint="eastAsia" w:ascii="仿宋" w:hAnsi="仿宋" w:eastAsia="仿宋" w:cs="仿宋"/>
          <w:b/>
          <w:color w:val="000000"/>
          <w:sz w:val="24"/>
        </w:rPr>
        <w:t>注：上述</w:t>
      </w:r>
      <w:r>
        <w:rPr>
          <w:rFonts w:hint="eastAsia" w:ascii="仿宋" w:hAnsi="仿宋" w:eastAsia="仿宋" w:cs="仿宋"/>
          <w:b/>
          <w:sz w:val="24"/>
        </w:rPr>
        <w:t>商务条款必须全部满足，否则做无效投标处理。</w:t>
      </w:r>
    </w:p>
    <w:p w14:paraId="262D27B5">
      <w:pPr>
        <w:pStyle w:val="2"/>
        <w:widowControl/>
        <w:spacing w:line="360" w:lineRule="auto"/>
        <w:rPr>
          <w:rFonts w:hint="eastAsia" w:ascii="仿宋" w:hAnsi="仿宋" w:eastAsia="仿宋" w:cs="仿宋"/>
          <w:sz w:val="24"/>
          <w:szCs w:val="24"/>
        </w:rPr>
        <w:sectPr>
          <w:footnotePr>
            <w:numFmt w:val="decimalEnclosedCircleChinese"/>
            <w:numRestart w:val="eachPage"/>
          </w:footnotePr>
          <w:pgSz w:w="11906" w:h="16838"/>
          <w:pgMar w:top="1134" w:right="1134" w:bottom="1134" w:left="1134" w:header="851" w:footer="851" w:gutter="0"/>
          <w:cols w:space="720" w:num="1"/>
          <w:docGrid w:linePitch="312" w:charSpace="0"/>
        </w:sectPr>
      </w:pPr>
    </w:p>
    <w:p w14:paraId="6D44FFB5">
      <w:pPr>
        <w:pStyle w:val="4"/>
        <w:ind w:firstLine="0" w:firstLineChars="0"/>
        <w:rPr>
          <w:rFonts w:hint="eastAsia" w:ascii="仿宋_GB2312" w:hAnsi="仿宋_GB2312" w:eastAsia="仿宋_GB2312" w:cs="仿宋_GB2312"/>
          <w:b/>
          <w:color w:val="000000"/>
          <w:sz w:val="24"/>
        </w:rPr>
      </w:pPr>
      <w:r>
        <w:rPr>
          <w:rFonts w:hint="eastAsia" w:ascii="仿宋" w:hAnsi="仿宋" w:eastAsia="仿宋" w:cs="仿宋"/>
          <w:b/>
          <w:bCs/>
          <w:kern w:val="44"/>
          <w:sz w:val="24"/>
        </w:rPr>
        <w:t>（一）技术</w:t>
      </w:r>
      <w:r>
        <w:rPr>
          <w:rFonts w:hint="eastAsia" w:ascii="仿宋" w:hAnsi="仿宋" w:eastAsia="仿宋" w:cs="仿宋"/>
          <w:b/>
          <w:bCs/>
          <w:kern w:val="44"/>
          <w:sz w:val="24"/>
          <w:lang w:val="zh-CN"/>
        </w:rPr>
        <w:t>需求</w:t>
      </w:r>
      <w:r>
        <w:rPr>
          <w:rFonts w:hint="eastAsia" w:ascii="仿宋_GB2312" w:hAnsi="仿宋_GB2312" w:eastAsia="仿宋_GB2312" w:cs="仿宋_GB2312"/>
          <w:b/>
          <w:color w:val="000000"/>
          <w:sz w:val="24"/>
        </w:rPr>
        <w:t>重要性表述</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7"/>
        <w:gridCol w:w="1906"/>
        <w:gridCol w:w="5921"/>
      </w:tblGrid>
      <w:tr w14:paraId="13702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2027" w:type="dxa"/>
            <w:noWrap w:val="0"/>
            <w:vAlign w:val="center"/>
          </w:tcPr>
          <w:p w14:paraId="51E8B7D6">
            <w:pPr>
              <w:widowControl/>
              <w:spacing w:line="360" w:lineRule="auto"/>
              <w:jc w:val="center"/>
              <w:rPr>
                <w:rFonts w:hint="eastAsia" w:ascii="仿宋" w:hAnsi="仿宋" w:eastAsia="仿宋" w:cs="仿宋"/>
                <w:sz w:val="24"/>
              </w:rPr>
            </w:pPr>
            <w:r>
              <w:rPr>
                <w:rFonts w:hint="eastAsia" w:ascii="仿宋" w:hAnsi="仿宋" w:eastAsia="仿宋" w:cs="仿宋"/>
                <w:color w:val="000000"/>
                <w:kern w:val="0"/>
                <w:sz w:val="24"/>
                <w:lang w:bidi="ar"/>
              </w:rPr>
              <w:t>标识重要性</w:t>
            </w:r>
          </w:p>
        </w:tc>
        <w:tc>
          <w:tcPr>
            <w:tcW w:w="1906" w:type="dxa"/>
            <w:noWrap w:val="0"/>
            <w:vAlign w:val="center"/>
          </w:tcPr>
          <w:p w14:paraId="2908AB93">
            <w:pPr>
              <w:widowControl/>
              <w:spacing w:line="360" w:lineRule="auto"/>
              <w:jc w:val="center"/>
              <w:rPr>
                <w:rFonts w:hint="eastAsia" w:ascii="仿宋" w:hAnsi="仿宋" w:eastAsia="仿宋" w:cs="仿宋"/>
                <w:sz w:val="24"/>
              </w:rPr>
            </w:pPr>
            <w:r>
              <w:rPr>
                <w:rFonts w:hint="eastAsia" w:ascii="仿宋" w:hAnsi="仿宋" w:eastAsia="仿宋" w:cs="仿宋"/>
                <w:color w:val="000000"/>
                <w:kern w:val="0"/>
                <w:sz w:val="24"/>
                <w:lang w:bidi="ar"/>
              </w:rPr>
              <w:t>标识符号</w:t>
            </w:r>
          </w:p>
        </w:tc>
        <w:tc>
          <w:tcPr>
            <w:tcW w:w="5921" w:type="dxa"/>
            <w:noWrap w:val="0"/>
            <w:vAlign w:val="center"/>
          </w:tcPr>
          <w:p w14:paraId="56C30A6D">
            <w:pPr>
              <w:widowControl/>
              <w:spacing w:line="360" w:lineRule="auto"/>
              <w:jc w:val="center"/>
              <w:rPr>
                <w:rFonts w:hint="eastAsia" w:ascii="仿宋" w:hAnsi="仿宋" w:eastAsia="仿宋" w:cs="仿宋"/>
                <w:sz w:val="24"/>
              </w:rPr>
            </w:pPr>
            <w:r>
              <w:rPr>
                <w:rFonts w:hint="eastAsia" w:ascii="仿宋" w:hAnsi="仿宋" w:eastAsia="仿宋" w:cs="仿宋"/>
                <w:color w:val="000000"/>
                <w:kern w:val="0"/>
                <w:sz w:val="24"/>
                <w:lang w:bidi="ar"/>
              </w:rPr>
              <w:t>代表意思</w:t>
            </w:r>
          </w:p>
        </w:tc>
      </w:tr>
      <w:tr w14:paraId="236E8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27" w:type="dxa"/>
            <w:noWrap w:val="0"/>
            <w:vAlign w:val="center"/>
          </w:tcPr>
          <w:p w14:paraId="75609BE8">
            <w:pPr>
              <w:widowControl/>
              <w:spacing w:line="360" w:lineRule="auto"/>
              <w:jc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关键指标项</w:t>
            </w:r>
          </w:p>
        </w:tc>
        <w:tc>
          <w:tcPr>
            <w:tcW w:w="1906" w:type="dxa"/>
            <w:noWrap w:val="0"/>
            <w:vAlign w:val="center"/>
          </w:tcPr>
          <w:p w14:paraId="5A64D5E4">
            <w:pPr>
              <w:widowControl/>
              <w:spacing w:line="360" w:lineRule="auto"/>
              <w:jc w:val="center"/>
              <w:rPr>
                <w:rFonts w:hint="eastAsia" w:ascii="仿宋" w:hAnsi="仿宋" w:eastAsia="仿宋" w:cs="仿宋"/>
                <w:b/>
                <w:bCs/>
                <w:color w:val="000000"/>
                <w:sz w:val="24"/>
              </w:rPr>
            </w:pPr>
            <w:r>
              <w:rPr>
                <w:rFonts w:hint="eastAsia" w:ascii="宋体" w:hAnsi="宋体" w:eastAsia="宋体" w:cs="宋体"/>
                <w:kern w:val="2"/>
                <w:sz w:val="24"/>
                <w:szCs w:val="24"/>
                <w:lang w:val="en-US" w:eastAsia="zh-CN" w:bidi="ar"/>
              </w:rPr>
              <w:t>■</w:t>
            </w:r>
          </w:p>
        </w:tc>
        <w:tc>
          <w:tcPr>
            <w:tcW w:w="5921" w:type="dxa"/>
            <w:noWrap w:val="0"/>
            <w:vAlign w:val="center"/>
          </w:tcPr>
          <w:p w14:paraId="1F6A64D7">
            <w:pPr>
              <w:widowControl/>
              <w:spacing w:line="360" w:lineRule="auto"/>
              <w:jc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评分项，详见第四章评分细则</w:t>
            </w:r>
          </w:p>
        </w:tc>
      </w:tr>
      <w:tr w14:paraId="2FA88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27" w:type="dxa"/>
            <w:noWrap w:val="0"/>
            <w:vAlign w:val="center"/>
          </w:tcPr>
          <w:p w14:paraId="31992646">
            <w:pPr>
              <w:widowControl/>
              <w:spacing w:line="360" w:lineRule="auto"/>
              <w:jc w:val="center"/>
              <w:rPr>
                <w:rFonts w:hint="eastAsia" w:ascii="仿宋" w:hAnsi="仿宋" w:eastAsia="仿宋" w:cs="仿宋"/>
                <w:sz w:val="24"/>
              </w:rPr>
            </w:pPr>
            <w:r>
              <w:rPr>
                <w:rFonts w:hint="eastAsia" w:ascii="仿宋" w:hAnsi="仿宋" w:eastAsia="仿宋" w:cs="仿宋"/>
                <w:color w:val="000000"/>
                <w:kern w:val="0"/>
                <w:sz w:val="24"/>
                <w:lang w:bidi="ar"/>
              </w:rPr>
              <w:t>一般指标项</w:t>
            </w:r>
          </w:p>
        </w:tc>
        <w:tc>
          <w:tcPr>
            <w:tcW w:w="1906" w:type="dxa"/>
            <w:noWrap w:val="0"/>
            <w:vAlign w:val="center"/>
          </w:tcPr>
          <w:p w14:paraId="724A0B5A">
            <w:pPr>
              <w:spacing w:line="360" w:lineRule="auto"/>
              <w:jc w:val="center"/>
              <w:rPr>
                <w:rFonts w:hint="eastAsia" w:ascii="仿宋" w:hAnsi="仿宋" w:eastAsia="仿宋" w:cs="仿宋"/>
                <w:sz w:val="24"/>
              </w:rPr>
            </w:pPr>
            <w:r>
              <w:rPr>
                <w:rFonts w:hint="eastAsia" w:ascii="仿宋" w:hAnsi="仿宋" w:eastAsia="仿宋" w:cs="仿宋"/>
                <w:sz w:val="24"/>
              </w:rPr>
              <w:t>无标识项</w:t>
            </w:r>
          </w:p>
        </w:tc>
        <w:tc>
          <w:tcPr>
            <w:tcW w:w="5921" w:type="dxa"/>
            <w:noWrap w:val="0"/>
            <w:vAlign w:val="center"/>
          </w:tcPr>
          <w:p w14:paraId="39E6B940">
            <w:pPr>
              <w:widowControl/>
              <w:spacing w:line="360" w:lineRule="auto"/>
              <w:jc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评分项，详见第四章评分细则</w:t>
            </w:r>
          </w:p>
        </w:tc>
      </w:tr>
      <w:tr w14:paraId="5D58A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854" w:type="dxa"/>
            <w:gridSpan w:val="3"/>
            <w:noWrap w:val="0"/>
            <w:vAlign w:val="center"/>
          </w:tcPr>
          <w:p w14:paraId="74B0D7B1">
            <w:pPr>
              <w:spacing w:line="360" w:lineRule="auto"/>
              <w:jc w:val="left"/>
              <w:rPr>
                <w:rFonts w:hint="eastAsia" w:ascii="仿宋" w:hAnsi="仿宋" w:eastAsia="仿宋" w:cs="仿宋"/>
                <w:color w:val="000000"/>
                <w:kern w:val="0"/>
                <w:sz w:val="24"/>
                <w:lang w:bidi="ar"/>
              </w:rPr>
            </w:pPr>
            <w:r>
              <w:rPr>
                <w:rFonts w:hint="eastAsia" w:ascii="仿宋" w:hAnsi="仿宋" w:eastAsia="仿宋" w:cs="仿宋"/>
                <w:b/>
                <w:bCs/>
                <w:color w:val="000000"/>
                <w:kern w:val="0"/>
                <w:sz w:val="24"/>
                <w:lang w:bidi="ar"/>
              </w:rPr>
              <w:t>注：投标人须如实响应，如在后期合同履约过程中，发现有虚假响应情况，招标人有权解除合同、不予退还履约保证金、不予支付合同款项，且上报监管部门并追究中标人给采购人带来的一切损失。</w:t>
            </w:r>
          </w:p>
        </w:tc>
      </w:tr>
    </w:tbl>
    <w:p w14:paraId="37BAADEB">
      <w:pPr>
        <w:widowControl/>
        <w:numPr>
          <w:ilvl w:val="0"/>
          <w:numId w:val="2"/>
        </w:numPr>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技术要求</w:t>
      </w:r>
    </w:p>
    <w:p w14:paraId="121B6F3E">
      <w:pPr>
        <w:keepNext w:val="0"/>
        <w:keepLines w:val="0"/>
        <w:widowControl/>
        <w:suppressLineNumbers w:val="0"/>
        <w:spacing w:before="0" w:beforeAutospacing="0" w:after="0" w:afterAutospacing="0" w:line="360" w:lineRule="auto"/>
        <w:ind w:left="0" w:right="0"/>
        <w:jc w:val="left"/>
        <w:rPr>
          <w:rFonts w:hint="eastAsia" w:ascii="仿宋" w:hAnsi="仿宋" w:eastAsia="仿宋" w:cs="仿宋"/>
          <w:color w:val="000000"/>
          <w:kern w:val="0"/>
          <w:sz w:val="24"/>
          <w:szCs w:val="24"/>
        </w:rPr>
      </w:pPr>
      <w:r>
        <w:rPr>
          <w:rFonts w:hint="eastAsia" w:ascii="仿宋" w:hAnsi="仿宋" w:eastAsia="仿宋" w:cs="仿宋"/>
          <w:b/>
          <w:bCs w:val="0"/>
          <w:kern w:val="2"/>
          <w:sz w:val="24"/>
          <w:szCs w:val="24"/>
          <w:lang w:val="en-US" w:eastAsia="zh-CN" w:bidi="ar"/>
        </w:rPr>
        <w:t>一、整体要求：</w:t>
      </w:r>
      <w:r>
        <w:rPr>
          <w:rFonts w:hint="eastAsia" w:ascii="仿宋" w:hAnsi="仿宋" w:eastAsia="仿宋" w:cs="仿宋"/>
          <w:color w:val="000000"/>
          <w:kern w:val="0"/>
          <w:sz w:val="24"/>
          <w:szCs w:val="24"/>
          <w:lang w:val="en-US" w:eastAsia="zh-CN" w:bidi="ar"/>
        </w:rPr>
        <w:t>4K荧光腹腔镜系统,为保证图像质量及最佳兼容性，要求系统配置摄像系统主机、冷光源、荧光镜头、气腹机为同一品牌制造商</w:t>
      </w:r>
    </w:p>
    <w:p w14:paraId="7DF77DBC">
      <w:pPr>
        <w:keepNext w:val="0"/>
        <w:keepLines w:val="0"/>
        <w:widowControl w:val="0"/>
        <w:suppressLineNumbers w:val="0"/>
        <w:spacing w:before="0" w:beforeAutospacing="0" w:after="0" w:afterAutospacing="0" w:line="360" w:lineRule="auto"/>
        <w:ind w:left="0" w:right="0"/>
        <w:jc w:val="left"/>
        <w:rPr>
          <w:rFonts w:hint="eastAsia" w:ascii="仿宋" w:hAnsi="仿宋" w:eastAsia="仿宋" w:cs="仿宋"/>
          <w:b/>
          <w:bCs w:val="0"/>
          <w:kern w:val="2"/>
          <w:sz w:val="24"/>
          <w:szCs w:val="24"/>
        </w:rPr>
      </w:pPr>
      <w:r>
        <w:rPr>
          <w:rFonts w:hint="eastAsia" w:ascii="仿宋" w:hAnsi="仿宋" w:eastAsia="仿宋" w:cs="仿宋"/>
          <w:b/>
          <w:bCs w:val="0"/>
          <w:kern w:val="2"/>
          <w:sz w:val="24"/>
          <w:szCs w:val="24"/>
          <w:lang w:val="en-US" w:eastAsia="zh-CN" w:bidi="ar"/>
        </w:rPr>
        <w:t>二、摄像主机：</w:t>
      </w:r>
    </w:p>
    <w:p w14:paraId="60F2A61A">
      <w:pPr>
        <w:pStyle w:val="8"/>
        <w:keepNext w:val="0"/>
        <w:keepLines w:val="0"/>
        <w:widowControl w:val="0"/>
        <w:numPr>
          <w:ilvl w:val="0"/>
          <w:numId w:val="3"/>
        </w:numPr>
        <w:suppressLineNumbers w:val="0"/>
        <w:spacing w:before="0" w:beforeAutospacing="0" w:after="0" w:afterAutospacing="0" w:line="360" w:lineRule="auto"/>
        <w:ind w:left="420" w:right="0" w:hanging="420" w:firstLineChars="0"/>
        <w:jc w:val="both"/>
        <w:rPr>
          <w:rFonts w:hint="eastAsia" w:ascii="仿宋" w:hAnsi="仿宋" w:eastAsia="仿宋" w:cs="仿宋"/>
          <w:b/>
          <w:bCs/>
          <w:color w:val="000000"/>
          <w:kern w:val="2"/>
          <w:sz w:val="24"/>
          <w:szCs w:val="24"/>
        </w:rPr>
      </w:pPr>
      <w:r>
        <w:rPr>
          <w:rFonts w:hint="eastAsia" w:ascii="仿宋" w:hAnsi="仿宋" w:eastAsia="仿宋" w:cs="仿宋"/>
          <w:b/>
          <w:bCs/>
          <w:color w:val="000000"/>
          <w:kern w:val="2"/>
          <w:sz w:val="24"/>
          <w:szCs w:val="24"/>
          <w:lang w:val="en-US" w:eastAsia="zh-CN" w:bidi="ar"/>
        </w:rPr>
        <w:t xml:space="preserve">■具备4K图像处理性能，能够输出3840*2160 和 4096*2160 超高清像素影像。支持16:9和17:9图像比例，逐行扫描，像素≥800 万 </w:t>
      </w:r>
    </w:p>
    <w:p w14:paraId="38311621">
      <w:pPr>
        <w:pStyle w:val="8"/>
        <w:keepNext w:val="0"/>
        <w:keepLines w:val="0"/>
        <w:widowControl w:val="0"/>
        <w:numPr>
          <w:ilvl w:val="0"/>
          <w:numId w:val="3"/>
        </w:numPr>
        <w:suppressLineNumbers w:val="0"/>
        <w:spacing w:before="0" w:beforeAutospacing="0" w:after="0" w:afterAutospacing="0" w:line="360" w:lineRule="auto"/>
        <w:ind w:left="420" w:right="0" w:hanging="420" w:firstLineChars="0"/>
        <w:jc w:val="both"/>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lang w:val="en-US" w:eastAsia="zh-CN" w:bidi="ar"/>
        </w:rPr>
        <w:t>支持八种图像模式：白光、绿色荧光、彩色荧光、黑白荧光、白光主屏 - 四分屏、绿色荧光 - 四分屏、黑白荧光 -四分屏、彩色荧光 - 四分屏。不同图像于同一画面，实时动态同步观察识别对比判断病灶组织情况</w:t>
      </w:r>
    </w:p>
    <w:p w14:paraId="0A25CD65">
      <w:pPr>
        <w:pStyle w:val="8"/>
        <w:keepNext w:val="0"/>
        <w:keepLines w:val="0"/>
        <w:widowControl w:val="0"/>
        <w:numPr>
          <w:ilvl w:val="0"/>
          <w:numId w:val="3"/>
        </w:numPr>
        <w:suppressLineNumbers w:val="0"/>
        <w:spacing w:before="0" w:beforeAutospacing="0" w:after="0" w:afterAutospacing="0" w:line="360" w:lineRule="auto"/>
        <w:ind w:left="420" w:right="0" w:hanging="420" w:firstLineChars="0"/>
        <w:jc w:val="both"/>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lang w:val="en-US" w:eastAsia="zh-CN" w:bidi="ar"/>
        </w:rPr>
        <w:t xml:space="preserve">具有光谱染色功能 </w:t>
      </w:r>
    </w:p>
    <w:p w14:paraId="52710D9A">
      <w:pPr>
        <w:pStyle w:val="8"/>
        <w:keepNext w:val="0"/>
        <w:keepLines w:val="0"/>
        <w:widowControl w:val="0"/>
        <w:numPr>
          <w:ilvl w:val="0"/>
          <w:numId w:val="3"/>
        </w:numPr>
        <w:suppressLineNumbers w:val="0"/>
        <w:spacing w:before="0" w:beforeAutospacing="0" w:after="0" w:afterAutospacing="0" w:line="360" w:lineRule="auto"/>
        <w:ind w:left="420" w:right="0" w:hanging="420" w:firstLineChars="0"/>
        <w:jc w:val="both"/>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lang w:val="en-US" w:eastAsia="zh-CN" w:bidi="ar"/>
        </w:rPr>
        <w:t>颜色风格≥4种</w:t>
      </w:r>
    </w:p>
    <w:p w14:paraId="5C36C32D">
      <w:pPr>
        <w:pStyle w:val="8"/>
        <w:keepNext w:val="0"/>
        <w:keepLines w:val="0"/>
        <w:widowControl w:val="0"/>
        <w:numPr>
          <w:ilvl w:val="0"/>
          <w:numId w:val="3"/>
        </w:numPr>
        <w:suppressLineNumbers w:val="0"/>
        <w:spacing w:before="0" w:beforeAutospacing="0" w:after="0" w:afterAutospacing="0" w:line="360" w:lineRule="auto"/>
        <w:ind w:left="420" w:right="0" w:hanging="420" w:firstLineChars="0"/>
        <w:jc w:val="both"/>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lang w:val="en-US" w:eastAsia="zh-CN" w:bidi="ar"/>
        </w:rPr>
        <w:t xml:space="preserve">具有细节增强、颜色增强、亮度均匀、去雾优化、HDR等多种智能图像算法， </w:t>
      </w:r>
    </w:p>
    <w:p w14:paraId="30FFB347">
      <w:pPr>
        <w:pStyle w:val="8"/>
        <w:keepNext w:val="0"/>
        <w:keepLines w:val="0"/>
        <w:widowControl w:val="0"/>
        <w:numPr>
          <w:ilvl w:val="0"/>
          <w:numId w:val="3"/>
        </w:numPr>
        <w:suppressLineNumbers w:val="0"/>
        <w:spacing w:before="0" w:beforeAutospacing="0" w:after="0" w:afterAutospacing="0" w:line="360" w:lineRule="auto"/>
        <w:ind w:left="420" w:right="0" w:hanging="420" w:firstLineChars="0"/>
        <w:jc w:val="both"/>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lang w:val="en-US" w:eastAsia="zh-CN" w:bidi="ar"/>
        </w:rPr>
        <w:t>≥7</w:t>
      </w:r>
      <w:r>
        <w:rPr>
          <w:rFonts w:hint="eastAsia"/>
          <w:lang w:val="en-US" w:eastAsia="zh-CN"/>
        </w:rPr>
        <w:t>英</w:t>
      </w:r>
      <w:r>
        <w:rPr>
          <w:rFonts w:hint="eastAsia" w:ascii="仿宋" w:hAnsi="仿宋" w:eastAsia="仿宋" w:cs="仿宋"/>
          <w:color w:val="000000"/>
          <w:kern w:val="2"/>
          <w:sz w:val="24"/>
          <w:szCs w:val="24"/>
          <w:lang w:val="en-US" w:eastAsia="zh-CN" w:bidi="ar"/>
        </w:rPr>
        <w:t>寸触摸屏，可在触摸屏上进行功能设置和常用参数显示；</w:t>
      </w:r>
    </w:p>
    <w:p w14:paraId="1503C9F7">
      <w:pPr>
        <w:pStyle w:val="8"/>
        <w:keepNext w:val="0"/>
        <w:keepLines w:val="0"/>
        <w:widowControl w:val="0"/>
        <w:numPr>
          <w:ilvl w:val="0"/>
          <w:numId w:val="3"/>
        </w:numPr>
        <w:suppressLineNumbers w:val="0"/>
        <w:spacing w:before="0" w:beforeAutospacing="0" w:after="0" w:afterAutospacing="0" w:line="360" w:lineRule="auto"/>
        <w:ind w:left="420" w:right="0" w:hanging="420" w:firstLineChars="0"/>
        <w:jc w:val="both"/>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lang w:val="en-US" w:eastAsia="zh-CN" w:bidi="ar"/>
        </w:rPr>
        <w:t xml:space="preserve">具有荧光亮度调节功能 </w:t>
      </w:r>
    </w:p>
    <w:p w14:paraId="79FFA749">
      <w:pPr>
        <w:pStyle w:val="8"/>
        <w:keepNext w:val="0"/>
        <w:keepLines w:val="0"/>
        <w:widowControl w:val="0"/>
        <w:numPr>
          <w:ilvl w:val="0"/>
          <w:numId w:val="3"/>
        </w:numPr>
        <w:suppressLineNumbers w:val="0"/>
        <w:spacing w:before="0" w:beforeAutospacing="0" w:after="0" w:afterAutospacing="0" w:line="360" w:lineRule="auto"/>
        <w:ind w:left="420" w:right="0" w:hanging="420" w:firstLineChars="0"/>
        <w:jc w:val="both"/>
        <w:rPr>
          <w:rFonts w:hint="eastAsia" w:ascii="仿宋" w:hAnsi="仿宋" w:eastAsia="仿宋" w:cs="仿宋"/>
          <w:b/>
          <w:bCs/>
          <w:color w:val="000000"/>
          <w:kern w:val="2"/>
          <w:sz w:val="24"/>
          <w:szCs w:val="24"/>
        </w:rPr>
      </w:pPr>
      <w:r>
        <w:rPr>
          <w:rFonts w:hint="eastAsia" w:ascii="仿宋" w:hAnsi="仿宋" w:eastAsia="仿宋" w:cs="仿宋"/>
          <w:b/>
          <w:bCs/>
          <w:color w:val="000000"/>
          <w:kern w:val="2"/>
          <w:sz w:val="24"/>
          <w:szCs w:val="24"/>
          <w:lang w:val="en-US" w:eastAsia="zh-CN" w:bidi="ar"/>
        </w:rPr>
        <w:t xml:space="preserve">■内置USB刻录系统，USB </w:t>
      </w:r>
      <w:r>
        <w:rPr>
          <w:rFonts w:hint="eastAsia" w:ascii="仿宋" w:hAnsi="仿宋" w:eastAsia="仿宋" w:cs="仿宋"/>
          <w:b/>
          <w:bCs/>
          <w:kern w:val="2"/>
          <w:sz w:val="24"/>
          <w:szCs w:val="24"/>
          <w:lang w:val="en-US" w:eastAsia="zh-CN" w:bidi="ar"/>
        </w:rPr>
        <w:t>接口支持 U 盘、移动硬盘存储设备即插即用，录像储存有动画，具备至少3路能够同时输出的4K超高清信号，2 路高清信号，信号输出方式应</w:t>
      </w:r>
      <w:r>
        <w:rPr>
          <w:rFonts w:hint="eastAsia" w:ascii="仿宋" w:hAnsi="仿宋" w:eastAsia="仿宋" w:cs="仿宋"/>
          <w:b/>
          <w:bCs/>
          <w:color w:val="000000"/>
          <w:kern w:val="2"/>
          <w:sz w:val="24"/>
          <w:szCs w:val="24"/>
          <w:lang w:val="en-US" w:eastAsia="zh-CN" w:bidi="ar"/>
        </w:rPr>
        <w:t>至少包括一路12G-SDI和两路HDMI；</w:t>
      </w:r>
    </w:p>
    <w:p w14:paraId="774619B5">
      <w:pPr>
        <w:pStyle w:val="8"/>
        <w:keepNext w:val="0"/>
        <w:keepLines w:val="0"/>
        <w:widowControl w:val="0"/>
        <w:numPr>
          <w:ilvl w:val="0"/>
          <w:numId w:val="3"/>
        </w:numPr>
        <w:suppressLineNumbers w:val="0"/>
        <w:spacing w:before="0" w:beforeAutospacing="0" w:after="0" w:afterAutospacing="0" w:line="360" w:lineRule="auto"/>
        <w:ind w:left="420" w:right="0" w:hanging="420" w:firstLineChars="0"/>
        <w:jc w:val="both"/>
        <w:rPr>
          <w:rFonts w:hint="eastAsia" w:ascii="仿宋" w:hAnsi="仿宋" w:eastAsia="仿宋" w:cs="仿宋"/>
          <w:b/>
          <w:bCs/>
          <w:color w:val="000000"/>
          <w:kern w:val="2"/>
          <w:sz w:val="24"/>
          <w:szCs w:val="24"/>
        </w:rPr>
      </w:pPr>
      <w:r>
        <w:rPr>
          <w:rFonts w:hint="eastAsia" w:ascii="仿宋" w:hAnsi="仿宋" w:eastAsia="仿宋" w:cs="仿宋"/>
          <w:b/>
          <w:bCs/>
          <w:color w:val="000000"/>
          <w:kern w:val="2"/>
          <w:sz w:val="24"/>
          <w:szCs w:val="24"/>
          <w:lang w:val="en-US" w:eastAsia="zh-CN" w:bidi="ar"/>
        </w:rPr>
        <w:t>■具有自动对焦功能；具有画幅自适应调控功能</w:t>
      </w:r>
      <w:r>
        <w:rPr>
          <w:rFonts w:hint="eastAsia" w:ascii="仿宋" w:hAnsi="仿宋" w:eastAsia="仿宋" w:cs="仿宋"/>
          <w:b/>
          <w:bCs/>
          <w:color w:val="FF0000"/>
          <w:kern w:val="2"/>
          <w:sz w:val="24"/>
          <w:szCs w:val="24"/>
          <w:lang w:val="en-US" w:eastAsia="zh-CN" w:bidi="ar"/>
        </w:rPr>
        <w:t>，</w:t>
      </w:r>
      <w:r>
        <w:rPr>
          <w:rFonts w:hint="eastAsia" w:ascii="仿宋" w:hAnsi="仿宋" w:eastAsia="仿宋" w:cs="仿宋"/>
          <w:b/>
          <w:bCs/>
          <w:color w:val="000000"/>
          <w:kern w:val="2"/>
          <w:sz w:val="24"/>
          <w:szCs w:val="24"/>
          <w:lang w:val="en-US" w:eastAsia="zh-CN" w:bidi="ar"/>
        </w:rPr>
        <w:t>具有用户配置功能</w:t>
      </w:r>
    </w:p>
    <w:p w14:paraId="52DD7BBE">
      <w:pPr>
        <w:pStyle w:val="8"/>
        <w:keepNext w:val="0"/>
        <w:keepLines w:val="0"/>
        <w:widowControl w:val="0"/>
        <w:numPr>
          <w:ilvl w:val="0"/>
          <w:numId w:val="3"/>
        </w:numPr>
        <w:suppressLineNumbers w:val="0"/>
        <w:spacing w:before="0" w:beforeAutospacing="0" w:after="0" w:afterAutospacing="0" w:line="360" w:lineRule="auto"/>
        <w:ind w:left="420" w:right="0" w:hanging="420" w:firstLineChars="0"/>
        <w:jc w:val="both"/>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lang w:val="en-US" w:eastAsia="zh-CN" w:bidi="ar"/>
        </w:rPr>
        <w:t>具有去网格功能，便于连接纤维镜使用</w:t>
      </w:r>
    </w:p>
    <w:p w14:paraId="14408649">
      <w:pPr>
        <w:pStyle w:val="8"/>
        <w:keepNext w:val="0"/>
        <w:keepLines w:val="0"/>
        <w:widowControl w:val="0"/>
        <w:numPr>
          <w:ilvl w:val="0"/>
          <w:numId w:val="3"/>
        </w:numPr>
        <w:suppressLineNumbers w:val="0"/>
        <w:spacing w:before="0" w:beforeAutospacing="0" w:after="0" w:afterAutospacing="0" w:line="360" w:lineRule="auto"/>
        <w:ind w:left="420" w:right="0" w:hanging="420" w:firstLineChars="0"/>
        <w:jc w:val="both"/>
        <w:rPr>
          <w:rFonts w:hint="eastAsia" w:ascii="仿宋" w:hAnsi="仿宋" w:eastAsia="仿宋" w:cs="仿宋"/>
          <w:b/>
          <w:bCs/>
          <w:color w:val="000000"/>
          <w:kern w:val="2"/>
          <w:sz w:val="24"/>
          <w:szCs w:val="24"/>
        </w:rPr>
      </w:pPr>
      <w:r>
        <w:rPr>
          <w:rFonts w:hint="eastAsia" w:ascii="仿宋" w:hAnsi="仿宋" w:eastAsia="仿宋" w:cs="仿宋"/>
          <w:b/>
          <w:bCs/>
          <w:color w:val="000000"/>
          <w:kern w:val="2"/>
          <w:sz w:val="24"/>
          <w:szCs w:val="24"/>
          <w:lang w:val="en-US" w:eastAsia="zh-CN" w:bidi="ar"/>
        </w:rPr>
        <w:t>■支持3D电子镜；可整合超声影像，同屏同亮度显示，同屏同录支持双屏异显，支持外部输入源独立显示。</w:t>
      </w:r>
    </w:p>
    <w:p w14:paraId="4A29AB00">
      <w:pPr>
        <w:pStyle w:val="8"/>
        <w:keepNext w:val="0"/>
        <w:keepLines w:val="0"/>
        <w:widowControl w:val="0"/>
        <w:numPr>
          <w:ilvl w:val="0"/>
          <w:numId w:val="3"/>
        </w:numPr>
        <w:suppressLineNumbers w:val="0"/>
        <w:spacing w:before="0" w:beforeAutospacing="0" w:after="0" w:afterAutospacing="0" w:line="360" w:lineRule="auto"/>
        <w:ind w:left="420" w:right="0" w:hanging="420" w:firstLineChars="0"/>
        <w:jc w:val="both"/>
        <w:rPr>
          <w:rFonts w:hint="eastAsia" w:ascii="仿宋" w:hAnsi="仿宋" w:eastAsia="仿宋" w:cs="仿宋"/>
          <w:b/>
          <w:bCs/>
          <w:kern w:val="2"/>
          <w:sz w:val="24"/>
          <w:szCs w:val="24"/>
        </w:rPr>
      </w:pPr>
      <w:r>
        <w:rPr>
          <w:rFonts w:hint="eastAsia" w:ascii="仿宋" w:hAnsi="仿宋" w:eastAsia="仿宋" w:cs="仿宋"/>
          <w:b/>
          <w:bCs/>
          <w:color w:val="000000"/>
          <w:kern w:val="2"/>
          <w:sz w:val="24"/>
          <w:szCs w:val="24"/>
          <w:lang w:val="en-US" w:eastAsia="zh-CN" w:bidi="ar"/>
        </w:rPr>
        <w:t>■智能识别镜种，自动调整画幅致合适大小且居中，无需手动反复调节，确保不</w:t>
      </w:r>
      <w:r>
        <w:rPr>
          <w:rFonts w:hint="eastAsia" w:ascii="仿宋" w:hAnsi="仿宋" w:eastAsia="仿宋" w:cs="仿宋"/>
          <w:b/>
          <w:bCs/>
          <w:kern w:val="2"/>
          <w:sz w:val="24"/>
          <w:szCs w:val="24"/>
          <w:lang w:val="en-US" w:eastAsia="zh-CN" w:bidi="ar"/>
        </w:rPr>
        <w:t>同术式均可呈现最佳显示效果</w:t>
      </w:r>
    </w:p>
    <w:p w14:paraId="3C8AE383">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b/>
          <w:bCs w:val="0"/>
          <w:kern w:val="2"/>
          <w:sz w:val="24"/>
          <w:szCs w:val="24"/>
        </w:rPr>
      </w:pPr>
      <w:r>
        <w:rPr>
          <w:rFonts w:hint="eastAsia" w:ascii="仿宋" w:hAnsi="仿宋" w:eastAsia="仿宋" w:cs="仿宋"/>
          <w:b/>
          <w:bCs w:val="0"/>
          <w:kern w:val="2"/>
          <w:sz w:val="24"/>
          <w:szCs w:val="24"/>
          <w:lang w:val="en-US" w:eastAsia="zh-CN" w:bidi="ar"/>
        </w:rPr>
        <w:t>三、荧光摄像头：</w:t>
      </w:r>
    </w:p>
    <w:p w14:paraId="273FFDB3">
      <w:pPr>
        <w:pStyle w:val="8"/>
        <w:keepNext w:val="0"/>
        <w:keepLines w:val="0"/>
        <w:widowControl w:val="0"/>
        <w:numPr>
          <w:ilvl w:val="0"/>
          <w:numId w:val="4"/>
        </w:numPr>
        <w:suppressLineNumbers w:val="0"/>
        <w:spacing w:before="0" w:beforeAutospacing="0" w:after="0" w:afterAutospacing="0" w:line="360" w:lineRule="auto"/>
        <w:ind w:left="420" w:right="0" w:hanging="420" w:firstLineChars="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白光摄像头重量≤190g，荧光摄像头重量≤ 240g；</w:t>
      </w:r>
    </w:p>
    <w:p w14:paraId="2FD2E19F">
      <w:pPr>
        <w:pStyle w:val="8"/>
        <w:keepNext w:val="0"/>
        <w:keepLines w:val="0"/>
        <w:widowControl w:val="0"/>
        <w:numPr>
          <w:ilvl w:val="0"/>
          <w:numId w:val="4"/>
        </w:numPr>
        <w:suppressLineNumbers w:val="0"/>
        <w:spacing w:before="0" w:beforeAutospacing="0" w:after="0" w:afterAutospacing="0" w:line="360" w:lineRule="auto"/>
        <w:ind w:left="420" w:right="0" w:hanging="420" w:firstLineChars="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摄像头防护等级：≥IPX7；</w:t>
      </w:r>
    </w:p>
    <w:p w14:paraId="4A19112E">
      <w:pPr>
        <w:pStyle w:val="8"/>
        <w:keepNext w:val="0"/>
        <w:keepLines w:val="0"/>
        <w:widowControl w:val="0"/>
        <w:numPr>
          <w:ilvl w:val="0"/>
          <w:numId w:val="4"/>
        </w:numPr>
        <w:suppressLineNumbers w:val="0"/>
        <w:spacing w:before="0" w:beforeAutospacing="0" w:after="0" w:afterAutospacing="0" w:line="360" w:lineRule="auto"/>
        <w:ind w:left="420" w:right="0" w:hanging="420" w:firstLineChars="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摄像头可耐受环氧乙烷灭菌和低温等离子灭菌方式；</w:t>
      </w:r>
    </w:p>
    <w:p w14:paraId="409D2EE6">
      <w:pPr>
        <w:pStyle w:val="8"/>
        <w:keepNext w:val="0"/>
        <w:keepLines w:val="0"/>
        <w:widowControl w:val="0"/>
        <w:numPr>
          <w:ilvl w:val="0"/>
          <w:numId w:val="4"/>
        </w:numPr>
        <w:suppressLineNumbers w:val="0"/>
        <w:spacing w:before="0" w:beforeAutospacing="0" w:after="0" w:afterAutospacing="0" w:line="360" w:lineRule="auto"/>
        <w:ind w:left="420" w:right="0" w:hanging="420" w:firstLineChars="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具有≥3个自定义摄像头按键，能支持6个自定义功能，有20种可定义功能。可进行白平衡、拍照、录像、切换图像模式等功能设置;</w:t>
      </w:r>
    </w:p>
    <w:p w14:paraId="59389FF2">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b/>
          <w:bCs w:val="0"/>
          <w:kern w:val="2"/>
          <w:sz w:val="24"/>
          <w:szCs w:val="24"/>
        </w:rPr>
      </w:pPr>
      <w:r>
        <w:rPr>
          <w:rFonts w:hint="eastAsia" w:ascii="仿宋" w:hAnsi="仿宋" w:eastAsia="仿宋" w:cs="仿宋"/>
          <w:b/>
          <w:bCs w:val="0"/>
          <w:kern w:val="2"/>
          <w:sz w:val="24"/>
          <w:szCs w:val="24"/>
          <w:lang w:val="en-US" w:eastAsia="zh-CN" w:bidi="ar"/>
        </w:rPr>
        <w:t>四、荧光光源：</w:t>
      </w:r>
    </w:p>
    <w:p w14:paraId="53FE77D5">
      <w:pPr>
        <w:pStyle w:val="8"/>
        <w:keepNext w:val="0"/>
        <w:keepLines w:val="0"/>
        <w:widowControl w:val="0"/>
        <w:numPr>
          <w:ilvl w:val="0"/>
          <w:numId w:val="5"/>
        </w:numPr>
        <w:suppressLineNumbers w:val="0"/>
        <w:spacing w:before="0" w:beforeAutospacing="0" w:after="0" w:afterAutospacing="0" w:line="360" w:lineRule="auto"/>
        <w:ind w:left="420" w:right="0" w:hanging="420" w:firstLineChars="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设备支持同时输出近红外激光和白光，且激光为3R级医用激光光源；</w:t>
      </w:r>
    </w:p>
    <w:p w14:paraId="33B821C5">
      <w:pPr>
        <w:pStyle w:val="8"/>
        <w:keepNext w:val="0"/>
        <w:keepLines w:val="0"/>
        <w:widowControl w:val="0"/>
        <w:numPr>
          <w:ilvl w:val="0"/>
          <w:numId w:val="5"/>
        </w:numPr>
        <w:suppressLineNumbers w:val="0"/>
        <w:spacing w:before="0" w:beforeAutospacing="0" w:after="0" w:afterAutospacing="0" w:line="360" w:lineRule="auto"/>
        <w:ind w:left="420" w:right="0" w:hanging="420" w:firstLineChars="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≥7英寸触摸屏，可在触摸屏上进行LED光源的常用参数调整；</w:t>
      </w:r>
    </w:p>
    <w:p w14:paraId="23802A62">
      <w:pPr>
        <w:pStyle w:val="8"/>
        <w:keepNext w:val="0"/>
        <w:keepLines w:val="0"/>
        <w:widowControl w:val="0"/>
        <w:numPr>
          <w:ilvl w:val="0"/>
          <w:numId w:val="5"/>
        </w:numPr>
        <w:suppressLineNumbers w:val="0"/>
        <w:spacing w:before="0" w:beforeAutospacing="0" w:after="0" w:afterAutospacing="0" w:line="360" w:lineRule="auto"/>
        <w:ind w:left="420" w:right="0" w:hanging="420" w:firstLineChars="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设备类型：Ⅰ类除颤CF型，保证可用于直接接触心脏的手术需要；</w:t>
      </w:r>
    </w:p>
    <w:p w14:paraId="36438595">
      <w:pPr>
        <w:pStyle w:val="8"/>
        <w:keepNext w:val="0"/>
        <w:keepLines w:val="0"/>
        <w:widowControl w:val="0"/>
        <w:numPr>
          <w:ilvl w:val="0"/>
          <w:numId w:val="5"/>
        </w:numPr>
        <w:suppressLineNumbers w:val="0"/>
        <w:spacing w:before="0" w:beforeAutospacing="0" w:after="0" w:afterAutospacing="0" w:line="360" w:lineRule="auto"/>
        <w:ind w:left="420" w:right="0" w:hanging="420" w:firstLineChars="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 xml:space="preserve">冷光源300nm-1700nm波长范围内的辐射通量和光通量比值≤6mW/lm； </w:t>
      </w:r>
    </w:p>
    <w:p w14:paraId="38F308CC">
      <w:pPr>
        <w:pStyle w:val="8"/>
        <w:keepNext w:val="0"/>
        <w:keepLines w:val="0"/>
        <w:widowControl w:val="0"/>
        <w:numPr>
          <w:ilvl w:val="0"/>
          <w:numId w:val="5"/>
        </w:numPr>
        <w:suppressLineNumbers w:val="0"/>
        <w:spacing w:before="0" w:beforeAutospacing="0" w:after="0" w:afterAutospacing="0" w:line="360" w:lineRule="auto"/>
        <w:ind w:left="420" w:right="0" w:hanging="420" w:firstLineChars="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白光冷光源的输出总光通量应≥2000lm，确保大量出血后仍然能够保证高亮度；</w:t>
      </w:r>
    </w:p>
    <w:p w14:paraId="0D15DA36">
      <w:pPr>
        <w:pStyle w:val="8"/>
        <w:keepNext w:val="0"/>
        <w:keepLines w:val="0"/>
        <w:widowControl w:val="0"/>
        <w:numPr>
          <w:ilvl w:val="0"/>
          <w:numId w:val="5"/>
        </w:numPr>
        <w:suppressLineNumbers w:val="0"/>
        <w:spacing w:before="0" w:beforeAutospacing="0" w:after="0" w:afterAutospacing="0" w:line="360" w:lineRule="auto"/>
        <w:ind w:left="420" w:right="0" w:hanging="420" w:firstLineChars="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LED灯泡工作寿命≥60000小时，输出最大中心照度≥ 3000000Lux</w:t>
      </w:r>
    </w:p>
    <w:p w14:paraId="32094620">
      <w:pPr>
        <w:pStyle w:val="8"/>
        <w:keepNext w:val="0"/>
        <w:keepLines w:val="0"/>
        <w:widowControl w:val="0"/>
        <w:numPr>
          <w:ilvl w:val="0"/>
          <w:numId w:val="5"/>
        </w:numPr>
        <w:suppressLineNumbers w:val="0"/>
        <w:spacing w:before="0" w:beforeAutospacing="0" w:after="0" w:afterAutospacing="0" w:line="360" w:lineRule="auto"/>
        <w:ind w:left="420" w:right="0" w:hanging="420" w:firstLineChars="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光输出孔直径为7.2 ± 0.5 mm；</w:t>
      </w:r>
    </w:p>
    <w:p w14:paraId="7C0FA396">
      <w:pPr>
        <w:pStyle w:val="8"/>
        <w:keepNext w:val="0"/>
        <w:keepLines w:val="0"/>
        <w:widowControl w:val="0"/>
        <w:numPr>
          <w:ilvl w:val="0"/>
          <w:numId w:val="5"/>
        </w:numPr>
        <w:suppressLineNumbers w:val="0"/>
        <w:spacing w:before="0" w:beforeAutospacing="0" w:after="0" w:afterAutospacing="0" w:line="360" w:lineRule="auto"/>
        <w:ind w:left="420" w:right="0" w:hanging="420" w:firstLineChars="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有主机光源联动功能，可根据当前手术视野的情况自动调节互联光源亮度，以保证手术视野清晰，光源亮度均衡；具有光纤插入自动检测功能，无光纤插入时，主机会产生相关提示，光源不发光；具有一键待机功能，以便手术过程中短时关闭光源，无需频繁开关机，提高光源寿命；</w:t>
      </w:r>
    </w:p>
    <w:p w14:paraId="772CD38E">
      <w:pPr>
        <w:pStyle w:val="8"/>
        <w:keepNext w:val="0"/>
        <w:keepLines w:val="0"/>
        <w:widowControl w:val="0"/>
        <w:numPr>
          <w:ilvl w:val="0"/>
          <w:numId w:val="5"/>
        </w:numPr>
        <w:suppressLineNumbers w:val="0"/>
        <w:spacing w:before="0" w:beforeAutospacing="0" w:after="0" w:afterAutospacing="0" w:line="360" w:lineRule="auto"/>
        <w:ind w:left="420" w:right="0" w:hanging="420" w:firstLineChars="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冷光源在正常运行时产生的最大噪音噪音≤55dB（A）；</w:t>
      </w:r>
    </w:p>
    <w:p w14:paraId="4FACF489">
      <w:pPr>
        <w:pStyle w:val="8"/>
        <w:keepNext w:val="0"/>
        <w:keepLines w:val="0"/>
        <w:widowControl w:val="0"/>
        <w:numPr>
          <w:ilvl w:val="0"/>
          <w:numId w:val="5"/>
        </w:numPr>
        <w:suppressLineNumbers w:val="0"/>
        <w:spacing w:before="0" w:beforeAutospacing="0" w:after="0" w:afterAutospacing="0" w:line="360" w:lineRule="auto"/>
        <w:ind w:left="420" w:right="0" w:hanging="420" w:firstLineChars="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 xml:space="preserve">具有高温报警、灯泡寿命警示功能； </w:t>
      </w:r>
    </w:p>
    <w:p w14:paraId="3A49B07F">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b/>
          <w:bCs w:val="0"/>
          <w:kern w:val="2"/>
          <w:sz w:val="24"/>
          <w:szCs w:val="24"/>
        </w:rPr>
      </w:pPr>
      <w:r>
        <w:rPr>
          <w:rFonts w:hint="eastAsia" w:ascii="仿宋" w:hAnsi="仿宋" w:eastAsia="仿宋" w:cs="仿宋"/>
          <w:b/>
          <w:bCs w:val="0"/>
          <w:kern w:val="2"/>
          <w:sz w:val="24"/>
          <w:szCs w:val="24"/>
          <w:lang w:val="en-US" w:eastAsia="zh-CN" w:bidi="ar"/>
        </w:rPr>
        <w:t>五、气腹机：</w:t>
      </w:r>
    </w:p>
    <w:p w14:paraId="4EC189CD">
      <w:pPr>
        <w:pStyle w:val="8"/>
        <w:keepNext w:val="0"/>
        <w:keepLines w:val="0"/>
        <w:widowControl w:val="0"/>
        <w:numPr>
          <w:ilvl w:val="0"/>
          <w:numId w:val="6"/>
        </w:numPr>
        <w:suppressLineNumbers w:val="0"/>
        <w:spacing w:before="0" w:beforeAutospacing="0" w:after="0" w:afterAutospacing="0" w:line="360" w:lineRule="auto"/>
        <w:ind w:left="420" w:right="0" w:hanging="420" w:firstLineChars="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最大流量≥50升/分钟，流量调节范围0.1-50L/min</w:t>
      </w:r>
    </w:p>
    <w:p w14:paraId="4FB8C52F">
      <w:pPr>
        <w:pStyle w:val="8"/>
        <w:keepNext w:val="0"/>
        <w:keepLines w:val="0"/>
        <w:widowControl w:val="0"/>
        <w:numPr>
          <w:ilvl w:val="0"/>
          <w:numId w:val="6"/>
        </w:numPr>
        <w:suppressLineNumbers w:val="0"/>
        <w:spacing w:before="0" w:beforeAutospacing="0" w:after="0" w:afterAutospacing="0" w:line="360" w:lineRule="auto"/>
        <w:ind w:left="420" w:right="0" w:hanging="420" w:firstLineChars="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 xml:space="preserve">压力范围：1mmHg-30mmHg，气压显示准确性±2mmHg； </w:t>
      </w:r>
    </w:p>
    <w:p w14:paraId="7A660516">
      <w:pPr>
        <w:pStyle w:val="8"/>
        <w:keepNext w:val="0"/>
        <w:keepLines w:val="0"/>
        <w:widowControl w:val="0"/>
        <w:numPr>
          <w:ilvl w:val="0"/>
          <w:numId w:val="6"/>
        </w:numPr>
        <w:suppressLineNumbers w:val="0"/>
        <w:spacing w:before="0" w:beforeAutospacing="0" w:after="0" w:afterAutospacing="0" w:line="360" w:lineRule="auto"/>
        <w:ind w:left="420" w:right="0" w:hanging="420" w:firstLineChars="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≥7英寸触摸屏，能够更好进行设置操作，显示参数和故障信息；</w:t>
      </w:r>
    </w:p>
    <w:p w14:paraId="5F30A060">
      <w:pPr>
        <w:pStyle w:val="8"/>
        <w:keepNext w:val="0"/>
        <w:keepLines w:val="0"/>
        <w:widowControl w:val="0"/>
        <w:numPr>
          <w:ilvl w:val="0"/>
          <w:numId w:val="6"/>
        </w:numPr>
        <w:suppressLineNumbers w:val="0"/>
        <w:spacing w:before="0" w:beforeAutospacing="0" w:after="0" w:afterAutospacing="0" w:line="360" w:lineRule="auto"/>
        <w:ind w:left="420" w:right="0" w:hanging="420" w:firstLineChars="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具备少儿模式、成人模式、肥胖模式、后腹腔模式，亦可自定义模式，满足不同手术需求；</w:t>
      </w:r>
    </w:p>
    <w:p w14:paraId="7AB8621D">
      <w:pPr>
        <w:pStyle w:val="8"/>
        <w:keepNext w:val="0"/>
        <w:keepLines w:val="0"/>
        <w:widowControl w:val="0"/>
        <w:numPr>
          <w:ilvl w:val="0"/>
          <w:numId w:val="6"/>
        </w:numPr>
        <w:suppressLineNumbers w:val="0"/>
        <w:spacing w:before="0" w:beforeAutospacing="0" w:after="0" w:afterAutospacing="0" w:line="360" w:lineRule="auto"/>
        <w:ind w:left="420" w:right="0" w:hanging="420" w:firstLineChars="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 xml:space="preserve">具有双重报警系统 </w:t>
      </w:r>
    </w:p>
    <w:p w14:paraId="5CF43686">
      <w:pPr>
        <w:pStyle w:val="8"/>
        <w:keepNext w:val="0"/>
        <w:keepLines w:val="0"/>
        <w:widowControl w:val="0"/>
        <w:numPr>
          <w:ilvl w:val="0"/>
          <w:numId w:val="6"/>
        </w:numPr>
        <w:suppressLineNumbers w:val="0"/>
        <w:spacing w:before="0" w:beforeAutospacing="0" w:after="0" w:afterAutospacing="0" w:line="360" w:lineRule="auto"/>
        <w:ind w:left="420" w:right="0" w:hanging="420" w:firstLineChars="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气压过高时，具有自动排气功能，防止体内压力过高；</w:t>
      </w:r>
    </w:p>
    <w:p w14:paraId="0FB0B410">
      <w:pPr>
        <w:pStyle w:val="8"/>
        <w:keepNext w:val="0"/>
        <w:keepLines w:val="0"/>
        <w:widowControl w:val="0"/>
        <w:numPr>
          <w:ilvl w:val="0"/>
          <w:numId w:val="6"/>
        </w:numPr>
        <w:suppressLineNumbers w:val="0"/>
        <w:spacing w:before="0" w:beforeAutospacing="0" w:after="0" w:afterAutospacing="0" w:line="360" w:lineRule="auto"/>
        <w:ind w:left="420" w:right="0" w:hanging="420" w:firstLineChars="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具有排烟功能，在负压吸力为0.04-0.06MPa的情况下，最大排烟流量≥8L/min；</w:t>
      </w:r>
    </w:p>
    <w:p w14:paraId="690675F1">
      <w:pPr>
        <w:pStyle w:val="8"/>
        <w:keepNext w:val="0"/>
        <w:keepLines w:val="0"/>
        <w:widowControl w:val="0"/>
        <w:numPr>
          <w:ilvl w:val="0"/>
          <w:numId w:val="6"/>
        </w:numPr>
        <w:suppressLineNumbers w:val="0"/>
        <w:spacing w:before="0" w:beforeAutospacing="0" w:after="0" w:afterAutospacing="0" w:line="360" w:lineRule="auto"/>
        <w:ind w:left="420" w:right="0" w:hanging="420" w:firstLineChars="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气腹机末端CO</w:t>
      </w:r>
      <w:r>
        <w:rPr>
          <w:rFonts w:hint="eastAsia" w:ascii="仿宋" w:hAnsi="仿宋" w:eastAsia="仿宋" w:cs="仿宋"/>
          <w:kern w:val="2"/>
          <w:sz w:val="24"/>
          <w:szCs w:val="24"/>
          <w:vertAlign w:val="subscript"/>
          <w:lang w:val="en-US" w:eastAsia="zh-CN" w:bidi="ar"/>
        </w:rPr>
        <w:t>2</w:t>
      </w:r>
      <w:r>
        <w:rPr>
          <w:rFonts w:hint="eastAsia" w:ascii="仿宋" w:hAnsi="仿宋" w:eastAsia="仿宋" w:cs="仿宋"/>
          <w:kern w:val="2"/>
          <w:sz w:val="24"/>
          <w:szCs w:val="24"/>
          <w:lang w:val="en-US" w:eastAsia="zh-CN" w:bidi="ar"/>
        </w:rPr>
        <w:t>气体加热功能，加热温度理论值为37℃，可有效减少病人肌体刺激反应，加速病人康复；</w:t>
      </w:r>
    </w:p>
    <w:p w14:paraId="082494AC">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b/>
          <w:bCs w:val="0"/>
          <w:kern w:val="2"/>
          <w:sz w:val="24"/>
          <w:szCs w:val="24"/>
        </w:rPr>
      </w:pPr>
      <w:r>
        <w:rPr>
          <w:rFonts w:hint="eastAsia" w:ascii="仿宋" w:hAnsi="仿宋" w:eastAsia="仿宋" w:cs="仿宋"/>
          <w:b/>
          <w:bCs w:val="0"/>
          <w:kern w:val="2"/>
          <w:sz w:val="24"/>
          <w:szCs w:val="24"/>
          <w:lang w:val="en-US" w:eastAsia="zh-CN" w:bidi="ar"/>
        </w:rPr>
        <w:t>六、荧光镜头：</w:t>
      </w:r>
    </w:p>
    <w:p w14:paraId="47BAB5EE">
      <w:pPr>
        <w:pStyle w:val="8"/>
        <w:keepNext w:val="0"/>
        <w:keepLines w:val="0"/>
        <w:widowControl w:val="0"/>
        <w:numPr>
          <w:ilvl w:val="0"/>
          <w:numId w:val="7"/>
        </w:numPr>
        <w:suppressLineNumbers w:val="0"/>
        <w:spacing w:before="0" w:beforeAutospacing="0" w:after="0" w:afterAutospacing="0" w:line="360" w:lineRule="auto"/>
        <w:ind w:left="420" w:right="0" w:hanging="420" w:firstLineChars="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支持高温高压、等温等离子等消毒灭菌方式；</w:t>
      </w:r>
    </w:p>
    <w:p w14:paraId="15DEBEF4">
      <w:pPr>
        <w:pStyle w:val="8"/>
        <w:keepNext w:val="0"/>
        <w:keepLines w:val="0"/>
        <w:widowControl w:val="0"/>
        <w:numPr>
          <w:ilvl w:val="0"/>
          <w:numId w:val="7"/>
        </w:numPr>
        <w:suppressLineNumbers w:val="0"/>
        <w:spacing w:before="0" w:beforeAutospacing="0" w:after="0" w:afterAutospacing="0" w:line="360" w:lineRule="auto"/>
        <w:ind w:left="420" w:right="0" w:hanging="420" w:firstLineChars="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直径10mm， 30度视野方向，视野角度≥80°，工作长度≥320mm；</w:t>
      </w:r>
    </w:p>
    <w:p w14:paraId="03B74E8D">
      <w:pPr>
        <w:pStyle w:val="8"/>
        <w:keepNext w:val="0"/>
        <w:keepLines w:val="0"/>
        <w:widowControl w:val="0"/>
        <w:numPr>
          <w:ilvl w:val="0"/>
          <w:numId w:val="7"/>
        </w:numPr>
        <w:suppressLineNumbers w:val="0"/>
        <w:spacing w:before="0" w:beforeAutospacing="0" w:after="0" w:afterAutospacing="0" w:line="360" w:lineRule="auto"/>
        <w:ind w:left="420" w:right="0" w:hanging="420" w:firstLineChars="0"/>
        <w:jc w:val="both"/>
        <w:rPr>
          <w:rFonts w:hint="eastAsia" w:ascii="仿宋" w:hAnsi="仿宋" w:eastAsia="仿宋" w:cs="仿宋"/>
          <w:b/>
          <w:bCs/>
          <w:kern w:val="2"/>
          <w:sz w:val="24"/>
          <w:szCs w:val="24"/>
        </w:rPr>
      </w:pPr>
      <w:r>
        <w:rPr>
          <w:rFonts w:hint="eastAsia" w:ascii="仿宋" w:hAnsi="仿宋" w:eastAsia="仿宋" w:cs="仿宋"/>
          <w:b/>
          <w:bCs/>
          <w:kern w:val="2"/>
          <w:sz w:val="24"/>
          <w:szCs w:val="24"/>
          <w:lang w:val="en-US" w:eastAsia="zh-CN" w:bidi="ar"/>
        </w:rPr>
        <w:t>■有效景深3mm-200mm；视场中心角分辨率≥7.0C/(°)</w:t>
      </w:r>
    </w:p>
    <w:p w14:paraId="62961FD0">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b/>
          <w:bCs w:val="0"/>
          <w:kern w:val="2"/>
          <w:sz w:val="24"/>
          <w:szCs w:val="24"/>
        </w:rPr>
      </w:pPr>
      <w:r>
        <w:rPr>
          <w:rFonts w:hint="eastAsia" w:ascii="仿宋" w:hAnsi="仿宋" w:eastAsia="仿宋" w:cs="仿宋"/>
          <w:b/>
          <w:bCs w:val="0"/>
          <w:kern w:val="2"/>
          <w:sz w:val="24"/>
          <w:szCs w:val="24"/>
          <w:lang w:val="en-US" w:eastAsia="zh-CN" w:bidi="ar"/>
        </w:rPr>
        <w:t>七、显示屏：</w:t>
      </w:r>
    </w:p>
    <w:p w14:paraId="05326243">
      <w:pPr>
        <w:pStyle w:val="8"/>
        <w:keepNext w:val="0"/>
        <w:keepLines w:val="0"/>
        <w:widowControl w:val="0"/>
        <w:numPr>
          <w:ilvl w:val="0"/>
          <w:numId w:val="8"/>
        </w:numPr>
        <w:suppressLineNumbers w:val="0"/>
        <w:spacing w:before="0" w:beforeAutospacing="0" w:after="0" w:afterAutospacing="0" w:line="360" w:lineRule="auto"/>
        <w:ind w:left="420" w:right="0" w:hanging="420" w:firstLineChars="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≥32英寸4K医用LCD监视器；支持4K 60Hz超高清显示；</w:t>
      </w:r>
    </w:p>
    <w:p w14:paraId="63418D3D">
      <w:pPr>
        <w:pStyle w:val="8"/>
        <w:keepNext w:val="0"/>
        <w:keepLines w:val="0"/>
        <w:widowControl w:val="0"/>
        <w:numPr>
          <w:ilvl w:val="0"/>
          <w:numId w:val="8"/>
        </w:numPr>
        <w:suppressLineNumbers w:val="0"/>
        <w:spacing w:before="0" w:beforeAutospacing="0" w:after="0" w:afterAutospacing="0" w:line="360" w:lineRule="auto"/>
        <w:ind w:left="420" w:right="0" w:hanging="420" w:firstLineChars="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具有HDMI或12G-SDI的4K超高清接口</w:t>
      </w:r>
    </w:p>
    <w:p w14:paraId="394A84F1">
      <w:pPr>
        <w:pStyle w:val="8"/>
        <w:keepNext w:val="0"/>
        <w:keepLines w:val="0"/>
        <w:widowControl w:val="0"/>
        <w:numPr>
          <w:ilvl w:val="0"/>
          <w:numId w:val="8"/>
        </w:numPr>
        <w:suppressLineNumbers w:val="0"/>
        <w:spacing w:before="0" w:beforeAutospacing="0" w:after="0" w:afterAutospacing="0" w:line="360" w:lineRule="auto"/>
        <w:ind w:left="420" w:right="0" w:hanging="420" w:firstLineChars="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具有3G-SDI或DVI的全高清接口</w:t>
      </w:r>
    </w:p>
    <w:p w14:paraId="30A8002F">
      <w:pPr>
        <w:pStyle w:val="8"/>
        <w:keepNext w:val="0"/>
        <w:keepLines w:val="0"/>
        <w:widowControl w:val="0"/>
        <w:numPr>
          <w:ilvl w:val="0"/>
          <w:numId w:val="8"/>
        </w:numPr>
        <w:suppressLineNumbers w:val="0"/>
        <w:spacing w:before="0" w:beforeAutospacing="0" w:after="0" w:afterAutospacing="0" w:line="360" w:lineRule="auto"/>
        <w:ind w:left="420" w:right="0" w:hanging="420" w:firstLineChars="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 xml:space="preserve">显示面板使用光学玻璃全贴合技术，有效避免保护面板和显示面板之间空气层所带来的折射，提升显示亮度和色彩还原性； </w:t>
      </w:r>
    </w:p>
    <w:p w14:paraId="17388D9A">
      <w:pPr>
        <w:pStyle w:val="8"/>
        <w:keepNext w:val="0"/>
        <w:keepLines w:val="0"/>
        <w:widowControl w:val="0"/>
        <w:numPr>
          <w:ilvl w:val="0"/>
          <w:numId w:val="8"/>
        </w:numPr>
        <w:suppressLineNumbers w:val="0"/>
        <w:spacing w:before="0" w:beforeAutospacing="0" w:after="0" w:afterAutospacing="0" w:line="360" w:lineRule="auto"/>
        <w:ind w:left="420" w:right="0" w:hanging="420" w:firstLineChars="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最大背光亮度≥800cd/m</w:t>
      </w:r>
      <w:r>
        <w:rPr>
          <w:rFonts w:hint="eastAsia" w:ascii="仿宋" w:hAnsi="仿宋" w:eastAsia="仿宋" w:cs="仿宋"/>
          <w:kern w:val="2"/>
          <w:sz w:val="24"/>
          <w:szCs w:val="24"/>
          <w:vertAlign w:val="superscript"/>
          <w:lang w:val="en-US" w:eastAsia="zh-CN" w:bidi="ar"/>
        </w:rPr>
        <w:t>2</w:t>
      </w:r>
    </w:p>
    <w:p w14:paraId="00B75F9E">
      <w:pPr>
        <w:pStyle w:val="8"/>
        <w:keepNext w:val="0"/>
        <w:keepLines w:val="0"/>
        <w:widowControl w:val="0"/>
        <w:numPr>
          <w:ilvl w:val="0"/>
          <w:numId w:val="8"/>
        </w:numPr>
        <w:suppressLineNumbers w:val="0"/>
        <w:spacing w:before="0" w:beforeAutospacing="0" w:after="0" w:afterAutospacing="0" w:line="360" w:lineRule="auto"/>
        <w:ind w:left="420" w:right="0" w:hanging="420" w:firstLineChars="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显示器≥178°可视角度</w:t>
      </w:r>
    </w:p>
    <w:p w14:paraId="49B36E1E">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b/>
          <w:bCs w:val="0"/>
          <w:kern w:val="2"/>
          <w:sz w:val="24"/>
          <w:szCs w:val="24"/>
        </w:rPr>
      </w:pPr>
      <w:r>
        <w:rPr>
          <w:rFonts w:hint="eastAsia" w:ascii="仿宋" w:hAnsi="仿宋" w:eastAsia="仿宋" w:cs="仿宋"/>
          <w:b/>
          <w:bCs w:val="0"/>
          <w:kern w:val="2"/>
          <w:sz w:val="24"/>
          <w:szCs w:val="24"/>
          <w:lang w:val="en-US" w:eastAsia="zh-CN" w:bidi="ar"/>
        </w:rPr>
        <w:t>八、台车：</w:t>
      </w:r>
    </w:p>
    <w:p w14:paraId="25D210D2">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w:t>
      </w:r>
      <w:r>
        <w:rPr>
          <w:rFonts w:hint="eastAsia" w:ascii="仿宋" w:hAnsi="仿宋" w:eastAsia="仿宋" w:cs="仿宋"/>
          <w:kern w:val="2"/>
          <w:sz w:val="24"/>
          <w:szCs w:val="24"/>
          <w:lang w:val="en-US" w:eastAsia="zh-CN" w:bidi="ar"/>
        </w:rPr>
        <w:tab/>
      </w:r>
      <w:r>
        <w:rPr>
          <w:rFonts w:hint="eastAsia" w:ascii="仿宋" w:hAnsi="仿宋" w:eastAsia="仿宋" w:cs="仿宋"/>
          <w:kern w:val="2"/>
          <w:sz w:val="24"/>
          <w:szCs w:val="24"/>
          <w:lang w:val="en-US" w:eastAsia="zh-CN" w:bidi="ar"/>
        </w:rPr>
        <w:t>台车具有总控开关，可一键开启和关闭腔镜设备，具有后盖门及线缆管理设计，简洁美观，便于收纳。</w:t>
      </w:r>
    </w:p>
    <w:p w14:paraId="74324130">
      <w:pPr>
        <w:pStyle w:val="8"/>
        <w:keepNext w:val="0"/>
        <w:keepLines w:val="0"/>
        <w:widowControl w:val="0"/>
        <w:numPr>
          <w:ilvl w:val="0"/>
          <w:numId w:val="0"/>
        </w:numPr>
        <w:suppressLineNumbers w:val="0"/>
        <w:spacing w:before="0" w:beforeAutospacing="0" w:after="0" w:afterAutospacing="0" w:line="360" w:lineRule="auto"/>
        <w:ind w:leftChars="0" w:right="0" w:rightChars="0"/>
        <w:jc w:val="both"/>
        <w:rPr>
          <w:rFonts w:hint="eastAsia" w:ascii="仿宋" w:hAnsi="仿宋" w:eastAsia="仿宋" w:cs="仿宋"/>
          <w:b/>
          <w:bCs/>
          <w:color w:val="000000"/>
          <w:kern w:val="0"/>
          <w:sz w:val="24"/>
          <w:lang w:bidi="ar"/>
        </w:rPr>
      </w:pPr>
    </w:p>
    <w:p w14:paraId="4BF30749">
      <w:pPr>
        <w:pStyle w:val="4"/>
        <w:numPr>
          <w:ilvl w:val="0"/>
          <w:numId w:val="9"/>
        </w:numPr>
        <w:spacing w:line="360" w:lineRule="auto"/>
        <w:ind w:firstLine="0" w:firstLineChars="0"/>
        <w:rPr>
          <w:rFonts w:hint="eastAsia" w:ascii="仿宋" w:hAnsi="仿宋" w:eastAsia="仿宋" w:cs="仿宋"/>
          <w:b/>
          <w:color w:val="000000"/>
          <w:sz w:val="24"/>
        </w:rPr>
      </w:pPr>
      <w:r>
        <w:rPr>
          <w:rFonts w:hint="eastAsia" w:ascii="仿宋" w:hAnsi="仿宋" w:eastAsia="仿宋" w:cs="仿宋"/>
          <w:b/>
          <w:color w:val="000000"/>
          <w:sz w:val="24"/>
        </w:rPr>
        <w:t>其他配套要求：</w:t>
      </w:r>
    </w:p>
    <w:p w14:paraId="21F38B0B">
      <w:pPr>
        <w:widowControl/>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（一）应急服务要求</w:t>
      </w:r>
    </w:p>
    <w:p w14:paraId="78E3F570">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1.备品备件：中标人提供能够满足质量保证期内的设备维修要求的备品备件，备品备件应是新品。中标人应保证10年以上零部件供应期，并对设备故障等突发状况及时响应。</w:t>
      </w:r>
    </w:p>
    <w:p w14:paraId="27C6DF7C">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2.专用工具：中标人提供设备安装、调试、验收、维修、保养所必要的专用工具、仪器、仪表等工具。</w:t>
      </w:r>
    </w:p>
    <w:p w14:paraId="50AA6755">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3. 接到报修后应及时响应，若未及时修复设备故障，应提供备用设备供院方使用。</w:t>
      </w:r>
    </w:p>
    <w:p w14:paraId="3D290BFD">
      <w:pPr>
        <w:widowControl/>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（二）安装调试、验收试验及质量保证</w:t>
      </w:r>
    </w:p>
    <w:p w14:paraId="7C43BF42">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1.中标人在设备安装地点负责安装、调试。</w:t>
      </w:r>
    </w:p>
    <w:p w14:paraId="56253818">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2.具体设备验收标准和程序按采购人要求执行，下列验收程序可参照执行：</w:t>
      </w:r>
    </w:p>
    <w:p w14:paraId="1EEF65EB">
      <w:pPr>
        <w:widowControl/>
        <w:spacing w:line="360" w:lineRule="auto"/>
        <w:ind w:firstLine="480" w:firstLineChars="20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2.1采购人和相关部门按照招标文件和投标文件承诺进行验收。招标文件没有规定和投标文件没有相应承诺的，按照下列原则进行验收：有国家标准的按照国家标准验收，没有国家标准的按行业标准验收，无行业标准的按地方或企业标准验收，中标人予以配合。涉及需要由质检或行业主管部门验收的项目，采购人须约请相关部门和专家参加项目验收。所有需要质检部门进行检测才能使用的设备，投标报价中必须包含首次检测费用；</w:t>
      </w:r>
    </w:p>
    <w:p w14:paraId="395651E7">
      <w:pPr>
        <w:widowControl/>
        <w:spacing w:line="360" w:lineRule="auto"/>
        <w:ind w:firstLine="480" w:firstLineChars="20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2.2货物在验收时，中标人应提供发票、制造厂家出具的产品合格证书、装箱清单等,涉及进口的部件须提供中国海关进口货物报关单、完税证明及商检证明等材料；提供有关货物的保养修理所需的各种随机工具及全部有关技术文件（外文应提供中文翻译资料，下同）、操作使用说明书、质保书、保修证明、维护手册及技术性指导资料以及根据中国相关法律规定制造、销售报价货物（包括主要部件和材料）所必备的各种证书 (如产品质量检验报告、国家相关检测机构出具的检验报告等）等文件汇集成册交付采购人和应由中标人提供的必要文件；</w:t>
      </w:r>
    </w:p>
    <w:p w14:paraId="3C35EC33">
      <w:pPr>
        <w:widowControl/>
        <w:spacing w:line="360" w:lineRule="auto"/>
        <w:ind w:firstLine="480" w:firstLineChars="20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2.3中标人应根据采购人使用单位的技术要求提供相应的产品。由中标人所提供的设备部件间的连线和插接件均应视为设备内部器件，包含在相应的设备之中；</w:t>
      </w:r>
    </w:p>
    <w:p w14:paraId="7336DC3B">
      <w:pPr>
        <w:widowControl/>
        <w:spacing w:line="360" w:lineRule="auto"/>
        <w:ind w:firstLine="480" w:firstLineChars="20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2.4运行测试及最终验收。在系统安装、调试结束后，采购人对其进行全面的测试，对测试中暴露出来的问题，中标人应及时进行整改，系统最终测试完毕经验收合格后，采购人应向中标人签发最终验收证明；</w:t>
      </w:r>
    </w:p>
    <w:p w14:paraId="31182600">
      <w:pPr>
        <w:widowControl/>
        <w:spacing w:line="360" w:lineRule="auto"/>
        <w:ind w:firstLine="480" w:firstLineChars="20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2.5中标人应向采购人提供安装调试过程中的各种文档资料,以便采购人今后能掌握操作和维护方法。依据合同与合同有关条件、本招标文件的技术规范、系统配置要求、设备技术文件和系统说明书，以及国家和省部级等要求进行验收，验收分为预验收和竣工验收。</w:t>
      </w:r>
    </w:p>
    <w:p w14:paraId="567623A5">
      <w:pPr>
        <w:widowControl/>
        <w:spacing w:line="360" w:lineRule="auto"/>
        <w:ind w:firstLine="480" w:firstLineChars="20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2.6如设备在验收时有一个或多个指标未能达到要求而属于中标人责任时，则中标人自费采取有效措施，在规定时间内使之达到保证指标。如在规定的时间内仍达不到合格标准时，则中标人应向采购人赔偿。</w:t>
      </w:r>
    </w:p>
    <w:p w14:paraId="61F06A11">
      <w:pPr>
        <w:widowControl/>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（三）包装运输</w:t>
      </w:r>
    </w:p>
    <w:p w14:paraId="4723520D">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1.中标人负责设备包装、办理运输和保险，将设备安全运抵交货地点。</w:t>
      </w:r>
    </w:p>
    <w:p w14:paraId="7C596EBD">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2.设备制造完成并通过试验后应及时包装，否则应得到切实的保护，确保其不受污损。</w:t>
      </w:r>
    </w:p>
    <w:p w14:paraId="3FE6623E">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3.在包装箱外应标明采购人的订货号、发货号。</w:t>
      </w:r>
    </w:p>
    <w:p w14:paraId="56DED4C5">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4.各种包装应能确保各零部件在运输过程中不致遭到损坏、丢失、变形、受潮和腐蚀。</w:t>
      </w:r>
    </w:p>
    <w:p w14:paraId="6FF18D09">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5.包装箱上应有明显的包装储运图示标志。</w:t>
      </w:r>
    </w:p>
    <w:p w14:paraId="7250A16D">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6.整体产品或分别运输的部件都要适应运输和装载的要求。</w:t>
      </w:r>
    </w:p>
    <w:p w14:paraId="1937D0AD">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7.随产品提供的技术资料应完整无缺。</w:t>
      </w:r>
    </w:p>
    <w:p w14:paraId="6F63B555">
      <w:pPr>
        <w:widowControl/>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（四）培训要求</w:t>
      </w:r>
    </w:p>
    <w:p w14:paraId="3898B9AF">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技术人员厂方培训：维修维护不少于1人，设备培训时间不低于3天，有详细的技术培训方案和完整规范的培训资料，培训结束获得厂方授权或资质许可，交通、食宿、资料、工具材料等所有与培训相关的费用包含在投标报价中。设备使用培训：不少于2-4人，直至完全掌握设备应用技术，并获厂方资质许可；交通、食宿、资料、工具材料等所有与培训相关的费用包含在投标报价中。</w:t>
      </w:r>
    </w:p>
    <w:p w14:paraId="3A804FDA">
      <w:pPr>
        <w:widowControl/>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（五）质保及售后服务</w:t>
      </w:r>
    </w:p>
    <w:p w14:paraId="74CD81E5">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1.自双方签订《验收报告》起进入免费质保期。</w:t>
      </w:r>
    </w:p>
    <w:p w14:paraId="2F8D8955">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在质保期间内，非采购人过失和故意并且在正常使用的情况下发现商品有缺陷，中标人将免费修理或替换该设备；在质保期间内，非采购人过失和故意并且在正常使用的情况下设备发生故障，中标人应及时提供免费服务。</w:t>
      </w:r>
    </w:p>
    <w:p w14:paraId="34334C7F">
      <w:pPr>
        <w:widowControl/>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（六）其他</w:t>
      </w:r>
    </w:p>
    <w:p w14:paraId="7F4F117D">
      <w:r>
        <w:rPr>
          <w:rFonts w:hint="eastAsia" w:ascii="仿宋" w:hAnsi="仿宋" w:eastAsia="仿宋" w:cs="仿宋"/>
          <w:color w:val="000000"/>
          <w:kern w:val="0"/>
          <w:sz w:val="24"/>
          <w:lang w:bidi="ar"/>
        </w:rPr>
        <w:t>1.投标人所投产品应为性能稳定、安全的成熟设备，故障率低、维修便利，并在投标文件中针对所投产品技术先进性、设备性能、配置情况、设计等方面进行阐述说明，提供相应证明材料。</w:t>
      </w:r>
      <w:bookmarkStart w:id="4" w:name="_GoBack"/>
      <w:bookmarkEnd w:id="4"/>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ingsoft U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KSOFF9CBECC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EFFA87"/>
    <w:multiLevelType w:val="multilevel"/>
    <w:tmpl w:val="98EFFA87"/>
    <w:lvl w:ilvl="0" w:tentative="0">
      <w:start w:val="1"/>
      <w:numFmt w:val="decimal"/>
      <w:lvlText w:val="%1."/>
      <w:lvlJc w:val="left"/>
      <w:pPr>
        <w:ind w:left="420" w:hanging="420"/>
      </w:pPr>
      <w:rPr>
        <w:rFonts w:hint="eastAsia" w:ascii="宋体" w:hAnsi="宋体" w:eastAsia="宋体" w:cs="宋体"/>
      </w:rPr>
    </w:lvl>
    <w:lvl w:ilvl="1" w:tentative="0">
      <w:start w:val="1"/>
      <w:numFmt w:val="lowerLetter"/>
      <w:lvlText w:val="%2)"/>
      <w:lvlJc w:val="left"/>
      <w:pPr>
        <w:ind w:left="840" w:hanging="420"/>
      </w:pPr>
      <w:rPr>
        <w:rFonts w:hint="default" w:ascii="Times New Roman" w:hAnsi="Times New Roman" w:cs="Times New Roman"/>
      </w:rPr>
    </w:lvl>
    <w:lvl w:ilvl="2" w:tentative="0">
      <w:start w:val="1"/>
      <w:numFmt w:val="lowerRoman"/>
      <w:lvlText w:val="%3."/>
      <w:lvlJc w:val="right"/>
      <w:pPr>
        <w:ind w:left="1260" w:hanging="420"/>
      </w:pPr>
      <w:rPr>
        <w:rFonts w:hint="default" w:ascii="Times New Roman" w:hAnsi="Times New Roman" w:cs="Times New Roman"/>
      </w:rPr>
    </w:lvl>
    <w:lvl w:ilvl="3" w:tentative="0">
      <w:start w:val="1"/>
      <w:numFmt w:val="decimal"/>
      <w:lvlText w:val="%4."/>
      <w:lvlJc w:val="left"/>
      <w:pPr>
        <w:ind w:left="1680" w:hanging="420"/>
      </w:pPr>
      <w:rPr>
        <w:rFonts w:hint="default" w:ascii="Times New Roman" w:hAnsi="Times New Roman" w:cs="Times New Roman"/>
      </w:rPr>
    </w:lvl>
    <w:lvl w:ilvl="4" w:tentative="0">
      <w:start w:val="1"/>
      <w:numFmt w:val="lowerLetter"/>
      <w:lvlText w:val="%5)"/>
      <w:lvlJc w:val="left"/>
      <w:pPr>
        <w:ind w:left="2100" w:hanging="420"/>
      </w:pPr>
      <w:rPr>
        <w:rFonts w:hint="default" w:ascii="Times New Roman" w:hAnsi="Times New Roman" w:cs="Times New Roman"/>
      </w:rPr>
    </w:lvl>
    <w:lvl w:ilvl="5" w:tentative="0">
      <w:start w:val="1"/>
      <w:numFmt w:val="lowerRoman"/>
      <w:lvlText w:val="%6."/>
      <w:lvlJc w:val="right"/>
      <w:pPr>
        <w:ind w:left="2520" w:hanging="420"/>
      </w:pPr>
      <w:rPr>
        <w:rFonts w:hint="default" w:ascii="Times New Roman" w:hAnsi="Times New Roman" w:cs="Times New Roman"/>
      </w:rPr>
    </w:lvl>
    <w:lvl w:ilvl="6" w:tentative="0">
      <w:start w:val="1"/>
      <w:numFmt w:val="decimal"/>
      <w:lvlText w:val="%7."/>
      <w:lvlJc w:val="left"/>
      <w:pPr>
        <w:ind w:left="2940" w:hanging="420"/>
      </w:pPr>
      <w:rPr>
        <w:rFonts w:hint="default" w:ascii="Times New Roman" w:hAnsi="Times New Roman" w:cs="Times New Roman"/>
      </w:rPr>
    </w:lvl>
    <w:lvl w:ilvl="7" w:tentative="0">
      <w:start w:val="1"/>
      <w:numFmt w:val="lowerLetter"/>
      <w:lvlText w:val="%8)"/>
      <w:lvlJc w:val="left"/>
      <w:pPr>
        <w:ind w:left="3360" w:hanging="420"/>
      </w:pPr>
      <w:rPr>
        <w:rFonts w:hint="default" w:ascii="Times New Roman" w:hAnsi="Times New Roman" w:cs="Times New Roman"/>
      </w:rPr>
    </w:lvl>
    <w:lvl w:ilvl="8" w:tentative="0">
      <w:start w:val="1"/>
      <w:numFmt w:val="lowerRoman"/>
      <w:lvlText w:val="%9."/>
      <w:lvlJc w:val="right"/>
      <w:pPr>
        <w:ind w:left="3780" w:hanging="420"/>
      </w:pPr>
      <w:rPr>
        <w:rFonts w:hint="default" w:ascii="Times New Roman" w:hAnsi="Times New Roman" w:cs="Times New Roman"/>
      </w:rPr>
    </w:lvl>
  </w:abstractNum>
  <w:abstractNum w:abstractNumId="1">
    <w:nsid w:val="E8452032"/>
    <w:multiLevelType w:val="multilevel"/>
    <w:tmpl w:val="E8452032"/>
    <w:lvl w:ilvl="0" w:tentative="0">
      <w:start w:val="1"/>
      <w:numFmt w:val="decimal"/>
      <w:lvlText w:val="%1."/>
      <w:lvlJc w:val="left"/>
      <w:pPr>
        <w:ind w:left="420" w:hanging="420"/>
      </w:pPr>
      <w:rPr>
        <w:rFonts w:hint="eastAsia" w:ascii="宋体" w:hAnsi="宋体" w:eastAsia="宋体" w:cs="宋体"/>
      </w:rPr>
    </w:lvl>
    <w:lvl w:ilvl="1" w:tentative="0">
      <w:start w:val="1"/>
      <w:numFmt w:val="lowerLetter"/>
      <w:lvlText w:val="%2)"/>
      <w:lvlJc w:val="left"/>
      <w:pPr>
        <w:ind w:left="840" w:hanging="420"/>
      </w:pPr>
      <w:rPr>
        <w:rFonts w:hint="default" w:ascii="Times New Roman" w:hAnsi="Times New Roman" w:cs="Times New Roman"/>
      </w:rPr>
    </w:lvl>
    <w:lvl w:ilvl="2" w:tentative="0">
      <w:start w:val="1"/>
      <w:numFmt w:val="lowerRoman"/>
      <w:lvlText w:val="%3."/>
      <w:lvlJc w:val="right"/>
      <w:pPr>
        <w:ind w:left="1260" w:hanging="420"/>
      </w:pPr>
      <w:rPr>
        <w:rFonts w:hint="default" w:ascii="Times New Roman" w:hAnsi="Times New Roman" w:cs="Times New Roman"/>
      </w:rPr>
    </w:lvl>
    <w:lvl w:ilvl="3" w:tentative="0">
      <w:start w:val="1"/>
      <w:numFmt w:val="decimal"/>
      <w:lvlText w:val="%4."/>
      <w:lvlJc w:val="left"/>
      <w:pPr>
        <w:ind w:left="1680" w:hanging="420"/>
      </w:pPr>
      <w:rPr>
        <w:rFonts w:hint="default" w:ascii="Times New Roman" w:hAnsi="Times New Roman" w:cs="Times New Roman"/>
      </w:rPr>
    </w:lvl>
    <w:lvl w:ilvl="4" w:tentative="0">
      <w:start w:val="1"/>
      <w:numFmt w:val="lowerLetter"/>
      <w:lvlText w:val="%5)"/>
      <w:lvlJc w:val="left"/>
      <w:pPr>
        <w:ind w:left="2100" w:hanging="420"/>
      </w:pPr>
      <w:rPr>
        <w:rFonts w:hint="default" w:ascii="Times New Roman" w:hAnsi="Times New Roman" w:cs="Times New Roman"/>
      </w:rPr>
    </w:lvl>
    <w:lvl w:ilvl="5" w:tentative="0">
      <w:start w:val="1"/>
      <w:numFmt w:val="lowerRoman"/>
      <w:lvlText w:val="%6."/>
      <w:lvlJc w:val="right"/>
      <w:pPr>
        <w:ind w:left="2520" w:hanging="420"/>
      </w:pPr>
      <w:rPr>
        <w:rFonts w:hint="default" w:ascii="Times New Roman" w:hAnsi="Times New Roman" w:cs="Times New Roman"/>
      </w:rPr>
    </w:lvl>
    <w:lvl w:ilvl="6" w:tentative="0">
      <w:start w:val="1"/>
      <w:numFmt w:val="decimal"/>
      <w:lvlText w:val="%7."/>
      <w:lvlJc w:val="left"/>
      <w:pPr>
        <w:ind w:left="2940" w:hanging="420"/>
      </w:pPr>
      <w:rPr>
        <w:rFonts w:hint="default" w:ascii="Times New Roman" w:hAnsi="Times New Roman" w:cs="Times New Roman"/>
      </w:rPr>
    </w:lvl>
    <w:lvl w:ilvl="7" w:tentative="0">
      <w:start w:val="1"/>
      <w:numFmt w:val="lowerLetter"/>
      <w:lvlText w:val="%8)"/>
      <w:lvlJc w:val="left"/>
      <w:pPr>
        <w:ind w:left="3360" w:hanging="420"/>
      </w:pPr>
      <w:rPr>
        <w:rFonts w:hint="default" w:ascii="Times New Roman" w:hAnsi="Times New Roman" w:cs="Times New Roman"/>
      </w:rPr>
    </w:lvl>
    <w:lvl w:ilvl="8" w:tentative="0">
      <w:start w:val="1"/>
      <w:numFmt w:val="lowerRoman"/>
      <w:lvlText w:val="%9."/>
      <w:lvlJc w:val="right"/>
      <w:pPr>
        <w:ind w:left="3780" w:hanging="420"/>
      </w:pPr>
      <w:rPr>
        <w:rFonts w:hint="default" w:ascii="Times New Roman" w:hAnsi="Times New Roman" w:cs="Times New Roman"/>
      </w:rPr>
    </w:lvl>
  </w:abstractNum>
  <w:abstractNum w:abstractNumId="2">
    <w:nsid w:val="F45D8DB8"/>
    <w:multiLevelType w:val="singleLevel"/>
    <w:tmpl w:val="F45D8DB8"/>
    <w:lvl w:ilvl="0" w:tentative="0">
      <w:start w:val="2"/>
      <w:numFmt w:val="chineseCounting"/>
      <w:suff w:val="nothing"/>
      <w:lvlText w:val="（%1）"/>
      <w:lvlJc w:val="left"/>
      <w:rPr>
        <w:rFonts w:hint="eastAsia"/>
      </w:rPr>
    </w:lvl>
  </w:abstractNum>
  <w:abstractNum w:abstractNumId="3">
    <w:nsid w:val="FE1AB2AC"/>
    <w:multiLevelType w:val="singleLevel"/>
    <w:tmpl w:val="FE1AB2AC"/>
    <w:lvl w:ilvl="0" w:tentative="0">
      <w:start w:val="4"/>
      <w:numFmt w:val="decimal"/>
      <w:suff w:val="space"/>
      <w:lvlText w:val="%1."/>
      <w:lvlJc w:val="left"/>
    </w:lvl>
  </w:abstractNum>
  <w:abstractNum w:abstractNumId="4">
    <w:nsid w:val="0503CF92"/>
    <w:multiLevelType w:val="multilevel"/>
    <w:tmpl w:val="0503CF92"/>
    <w:lvl w:ilvl="0" w:tentative="0">
      <w:start w:val="1"/>
      <w:numFmt w:val="decimal"/>
      <w:lvlText w:val="%1."/>
      <w:lvlJc w:val="left"/>
      <w:pPr>
        <w:ind w:left="420" w:hanging="420"/>
      </w:pPr>
      <w:rPr>
        <w:rFonts w:hint="eastAsia" w:ascii="宋体" w:hAnsi="宋体" w:eastAsia="宋体" w:cs="宋体"/>
      </w:rPr>
    </w:lvl>
    <w:lvl w:ilvl="1" w:tentative="0">
      <w:start w:val="1"/>
      <w:numFmt w:val="lowerLetter"/>
      <w:lvlText w:val="%2)"/>
      <w:lvlJc w:val="left"/>
      <w:pPr>
        <w:ind w:left="840" w:hanging="420"/>
      </w:pPr>
      <w:rPr>
        <w:rFonts w:hint="default" w:ascii="Times New Roman" w:hAnsi="Times New Roman" w:cs="Times New Roman"/>
      </w:rPr>
    </w:lvl>
    <w:lvl w:ilvl="2" w:tentative="0">
      <w:start w:val="1"/>
      <w:numFmt w:val="lowerRoman"/>
      <w:lvlText w:val="%3."/>
      <w:lvlJc w:val="right"/>
      <w:pPr>
        <w:ind w:left="1260" w:hanging="420"/>
      </w:pPr>
      <w:rPr>
        <w:rFonts w:hint="default" w:ascii="Times New Roman" w:hAnsi="Times New Roman" w:cs="Times New Roman"/>
      </w:rPr>
    </w:lvl>
    <w:lvl w:ilvl="3" w:tentative="0">
      <w:start w:val="1"/>
      <w:numFmt w:val="decimal"/>
      <w:lvlText w:val="%4."/>
      <w:lvlJc w:val="left"/>
      <w:pPr>
        <w:ind w:left="1680" w:hanging="420"/>
      </w:pPr>
      <w:rPr>
        <w:rFonts w:hint="default" w:ascii="Times New Roman" w:hAnsi="Times New Roman" w:cs="Times New Roman"/>
      </w:rPr>
    </w:lvl>
    <w:lvl w:ilvl="4" w:tentative="0">
      <w:start w:val="1"/>
      <w:numFmt w:val="lowerLetter"/>
      <w:lvlText w:val="%5)"/>
      <w:lvlJc w:val="left"/>
      <w:pPr>
        <w:ind w:left="2100" w:hanging="420"/>
      </w:pPr>
      <w:rPr>
        <w:rFonts w:hint="default" w:ascii="Times New Roman" w:hAnsi="Times New Roman" w:cs="Times New Roman"/>
      </w:rPr>
    </w:lvl>
    <w:lvl w:ilvl="5" w:tentative="0">
      <w:start w:val="1"/>
      <w:numFmt w:val="lowerRoman"/>
      <w:lvlText w:val="%6."/>
      <w:lvlJc w:val="right"/>
      <w:pPr>
        <w:ind w:left="2520" w:hanging="420"/>
      </w:pPr>
      <w:rPr>
        <w:rFonts w:hint="default" w:ascii="Times New Roman" w:hAnsi="Times New Roman" w:cs="Times New Roman"/>
      </w:rPr>
    </w:lvl>
    <w:lvl w:ilvl="6" w:tentative="0">
      <w:start w:val="1"/>
      <w:numFmt w:val="decimal"/>
      <w:lvlText w:val="%7."/>
      <w:lvlJc w:val="left"/>
      <w:pPr>
        <w:ind w:left="2940" w:hanging="420"/>
      </w:pPr>
      <w:rPr>
        <w:rFonts w:hint="default" w:ascii="Times New Roman" w:hAnsi="Times New Roman" w:cs="Times New Roman"/>
      </w:rPr>
    </w:lvl>
    <w:lvl w:ilvl="7" w:tentative="0">
      <w:start w:val="1"/>
      <w:numFmt w:val="lowerLetter"/>
      <w:lvlText w:val="%8)"/>
      <w:lvlJc w:val="left"/>
      <w:pPr>
        <w:ind w:left="3360" w:hanging="420"/>
      </w:pPr>
      <w:rPr>
        <w:rFonts w:hint="default" w:ascii="Times New Roman" w:hAnsi="Times New Roman" w:cs="Times New Roman"/>
      </w:rPr>
    </w:lvl>
    <w:lvl w:ilvl="8" w:tentative="0">
      <w:start w:val="1"/>
      <w:numFmt w:val="lowerRoman"/>
      <w:lvlText w:val="%9."/>
      <w:lvlJc w:val="right"/>
      <w:pPr>
        <w:ind w:left="3780" w:hanging="420"/>
      </w:pPr>
      <w:rPr>
        <w:rFonts w:hint="default" w:ascii="Times New Roman" w:hAnsi="Times New Roman" w:cs="Times New Roman"/>
      </w:rPr>
    </w:lvl>
  </w:abstractNum>
  <w:abstractNum w:abstractNumId="5">
    <w:nsid w:val="120ABA21"/>
    <w:multiLevelType w:val="multilevel"/>
    <w:tmpl w:val="120ABA21"/>
    <w:lvl w:ilvl="0" w:tentative="0">
      <w:start w:val="1"/>
      <w:numFmt w:val="decimal"/>
      <w:lvlText w:val="%1."/>
      <w:lvlJc w:val="left"/>
      <w:pPr>
        <w:ind w:left="420" w:hanging="420"/>
      </w:pPr>
      <w:rPr>
        <w:rFonts w:hint="eastAsia" w:ascii="宋体" w:hAnsi="宋体" w:eastAsia="宋体" w:cs="宋体"/>
      </w:rPr>
    </w:lvl>
    <w:lvl w:ilvl="1" w:tentative="0">
      <w:start w:val="1"/>
      <w:numFmt w:val="lowerLetter"/>
      <w:lvlText w:val="%2)"/>
      <w:lvlJc w:val="left"/>
      <w:pPr>
        <w:ind w:left="840" w:hanging="420"/>
      </w:pPr>
      <w:rPr>
        <w:rFonts w:hint="default" w:ascii="Times New Roman" w:hAnsi="Times New Roman" w:cs="Times New Roman"/>
      </w:rPr>
    </w:lvl>
    <w:lvl w:ilvl="2" w:tentative="0">
      <w:start w:val="1"/>
      <w:numFmt w:val="lowerRoman"/>
      <w:lvlText w:val="%3."/>
      <w:lvlJc w:val="right"/>
      <w:pPr>
        <w:ind w:left="1260" w:hanging="420"/>
      </w:pPr>
      <w:rPr>
        <w:rFonts w:hint="default" w:ascii="Times New Roman" w:hAnsi="Times New Roman" w:cs="Times New Roman"/>
      </w:rPr>
    </w:lvl>
    <w:lvl w:ilvl="3" w:tentative="0">
      <w:start w:val="1"/>
      <w:numFmt w:val="decimal"/>
      <w:lvlText w:val="%4."/>
      <w:lvlJc w:val="left"/>
      <w:pPr>
        <w:ind w:left="1680" w:hanging="420"/>
      </w:pPr>
      <w:rPr>
        <w:rFonts w:hint="default" w:ascii="Times New Roman" w:hAnsi="Times New Roman" w:cs="Times New Roman"/>
      </w:rPr>
    </w:lvl>
    <w:lvl w:ilvl="4" w:tentative="0">
      <w:start w:val="1"/>
      <w:numFmt w:val="lowerLetter"/>
      <w:lvlText w:val="%5)"/>
      <w:lvlJc w:val="left"/>
      <w:pPr>
        <w:ind w:left="2100" w:hanging="420"/>
      </w:pPr>
      <w:rPr>
        <w:rFonts w:hint="default" w:ascii="Times New Roman" w:hAnsi="Times New Roman" w:cs="Times New Roman"/>
      </w:rPr>
    </w:lvl>
    <w:lvl w:ilvl="5" w:tentative="0">
      <w:start w:val="1"/>
      <w:numFmt w:val="lowerRoman"/>
      <w:lvlText w:val="%6."/>
      <w:lvlJc w:val="right"/>
      <w:pPr>
        <w:ind w:left="2520" w:hanging="420"/>
      </w:pPr>
      <w:rPr>
        <w:rFonts w:hint="default" w:ascii="Times New Roman" w:hAnsi="Times New Roman" w:cs="Times New Roman"/>
      </w:rPr>
    </w:lvl>
    <w:lvl w:ilvl="6" w:tentative="0">
      <w:start w:val="1"/>
      <w:numFmt w:val="decimal"/>
      <w:lvlText w:val="%7."/>
      <w:lvlJc w:val="left"/>
      <w:pPr>
        <w:ind w:left="2940" w:hanging="420"/>
      </w:pPr>
      <w:rPr>
        <w:rFonts w:hint="default" w:ascii="Times New Roman" w:hAnsi="Times New Roman" w:cs="Times New Roman"/>
      </w:rPr>
    </w:lvl>
    <w:lvl w:ilvl="7" w:tentative="0">
      <w:start w:val="1"/>
      <w:numFmt w:val="lowerLetter"/>
      <w:lvlText w:val="%8)"/>
      <w:lvlJc w:val="left"/>
      <w:pPr>
        <w:ind w:left="3360" w:hanging="420"/>
      </w:pPr>
      <w:rPr>
        <w:rFonts w:hint="default" w:ascii="Times New Roman" w:hAnsi="Times New Roman" w:cs="Times New Roman"/>
      </w:rPr>
    </w:lvl>
    <w:lvl w:ilvl="8" w:tentative="0">
      <w:start w:val="1"/>
      <w:numFmt w:val="lowerRoman"/>
      <w:lvlText w:val="%9."/>
      <w:lvlJc w:val="right"/>
      <w:pPr>
        <w:ind w:left="3780" w:hanging="420"/>
      </w:pPr>
      <w:rPr>
        <w:rFonts w:hint="default" w:ascii="Times New Roman" w:hAnsi="Times New Roman" w:cs="Times New Roman"/>
      </w:rPr>
    </w:lvl>
  </w:abstractNum>
  <w:abstractNum w:abstractNumId="6">
    <w:nsid w:val="2A7248CA"/>
    <w:multiLevelType w:val="multilevel"/>
    <w:tmpl w:val="2A7248CA"/>
    <w:lvl w:ilvl="0" w:tentative="0">
      <w:start w:val="1"/>
      <w:numFmt w:val="decimal"/>
      <w:lvlText w:val="%1."/>
      <w:lvlJc w:val="left"/>
      <w:pPr>
        <w:ind w:left="420" w:hanging="420"/>
      </w:pPr>
      <w:rPr>
        <w:rFonts w:hint="eastAsia" w:ascii="宋体" w:hAnsi="宋体" w:eastAsia="宋体" w:cs="宋体"/>
      </w:rPr>
    </w:lvl>
    <w:lvl w:ilvl="1" w:tentative="0">
      <w:start w:val="1"/>
      <w:numFmt w:val="lowerLetter"/>
      <w:lvlText w:val="%2)"/>
      <w:lvlJc w:val="left"/>
      <w:pPr>
        <w:ind w:left="840" w:hanging="420"/>
      </w:pPr>
      <w:rPr>
        <w:rFonts w:hint="default" w:ascii="Times New Roman" w:hAnsi="Times New Roman" w:cs="Times New Roman"/>
      </w:rPr>
    </w:lvl>
    <w:lvl w:ilvl="2" w:tentative="0">
      <w:start w:val="1"/>
      <w:numFmt w:val="lowerRoman"/>
      <w:lvlText w:val="%3."/>
      <w:lvlJc w:val="right"/>
      <w:pPr>
        <w:ind w:left="1260" w:hanging="420"/>
      </w:pPr>
      <w:rPr>
        <w:rFonts w:hint="default" w:ascii="Times New Roman" w:hAnsi="Times New Roman" w:cs="Times New Roman"/>
      </w:rPr>
    </w:lvl>
    <w:lvl w:ilvl="3" w:tentative="0">
      <w:start w:val="1"/>
      <w:numFmt w:val="decimal"/>
      <w:lvlText w:val="%4."/>
      <w:lvlJc w:val="left"/>
      <w:pPr>
        <w:ind w:left="1680" w:hanging="420"/>
      </w:pPr>
      <w:rPr>
        <w:rFonts w:hint="default" w:ascii="Times New Roman" w:hAnsi="Times New Roman" w:cs="Times New Roman"/>
      </w:rPr>
    </w:lvl>
    <w:lvl w:ilvl="4" w:tentative="0">
      <w:start w:val="1"/>
      <w:numFmt w:val="lowerLetter"/>
      <w:lvlText w:val="%5)"/>
      <w:lvlJc w:val="left"/>
      <w:pPr>
        <w:ind w:left="2100" w:hanging="420"/>
      </w:pPr>
      <w:rPr>
        <w:rFonts w:hint="default" w:ascii="Times New Roman" w:hAnsi="Times New Roman" w:cs="Times New Roman"/>
      </w:rPr>
    </w:lvl>
    <w:lvl w:ilvl="5" w:tentative="0">
      <w:start w:val="1"/>
      <w:numFmt w:val="lowerRoman"/>
      <w:lvlText w:val="%6."/>
      <w:lvlJc w:val="right"/>
      <w:pPr>
        <w:ind w:left="2520" w:hanging="420"/>
      </w:pPr>
      <w:rPr>
        <w:rFonts w:hint="default" w:ascii="Times New Roman" w:hAnsi="Times New Roman" w:cs="Times New Roman"/>
      </w:rPr>
    </w:lvl>
    <w:lvl w:ilvl="6" w:tentative="0">
      <w:start w:val="1"/>
      <w:numFmt w:val="decimal"/>
      <w:lvlText w:val="%7."/>
      <w:lvlJc w:val="left"/>
      <w:pPr>
        <w:ind w:left="2940" w:hanging="420"/>
      </w:pPr>
      <w:rPr>
        <w:rFonts w:hint="default" w:ascii="Times New Roman" w:hAnsi="Times New Roman" w:cs="Times New Roman"/>
      </w:rPr>
    </w:lvl>
    <w:lvl w:ilvl="7" w:tentative="0">
      <w:start w:val="1"/>
      <w:numFmt w:val="lowerLetter"/>
      <w:lvlText w:val="%8)"/>
      <w:lvlJc w:val="left"/>
      <w:pPr>
        <w:ind w:left="3360" w:hanging="420"/>
      </w:pPr>
      <w:rPr>
        <w:rFonts w:hint="default" w:ascii="Times New Roman" w:hAnsi="Times New Roman" w:cs="Times New Roman"/>
      </w:rPr>
    </w:lvl>
    <w:lvl w:ilvl="8" w:tentative="0">
      <w:start w:val="1"/>
      <w:numFmt w:val="lowerRoman"/>
      <w:lvlText w:val="%9."/>
      <w:lvlJc w:val="right"/>
      <w:pPr>
        <w:ind w:left="3780" w:hanging="420"/>
      </w:pPr>
      <w:rPr>
        <w:rFonts w:hint="default" w:ascii="Times New Roman" w:hAnsi="Times New Roman" w:cs="Times New Roman"/>
      </w:rPr>
    </w:lvl>
  </w:abstractNum>
  <w:abstractNum w:abstractNumId="7">
    <w:nsid w:val="30534341"/>
    <w:multiLevelType w:val="multilevel"/>
    <w:tmpl w:val="30534341"/>
    <w:lvl w:ilvl="0" w:tentative="0">
      <w:start w:val="1"/>
      <w:numFmt w:val="decimal"/>
      <w:lvlText w:val="%1."/>
      <w:lvlJc w:val="left"/>
      <w:pPr>
        <w:ind w:left="420" w:hanging="420"/>
      </w:pPr>
      <w:rPr>
        <w:rFonts w:hint="eastAsia" w:ascii="宋体" w:hAnsi="宋体" w:eastAsia="宋体" w:cs="宋体"/>
      </w:rPr>
    </w:lvl>
    <w:lvl w:ilvl="1" w:tentative="0">
      <w:start w:val="1"/>
      <w:numFmt w:val="lowerLetter"/>
      <w:lvlText w:val="%2)"/>
      <w:lvlJc w:val="left"/>
      <w:pPr>
        <w:ind w:left="840" w:hanging="420"/>
      </w:pPr>
      <w:rPr>
        <w:rFonts w:hint="default" w:ascii="Times New Roman" w:hAnsi="Times New Roman" w:cs="Times New Roman"/>
      </w:rPr>
    </w:lvl>
    <w:lvl w:ilvl="2" w:tentative="0">
      <w:start w:val="1"/>
      <w:numFmt w:val="lowerRoman"/>
      <w:lvlText w:val="%3."/>
      <w:lvlJc w:val="right"/>
      <w:pPr>
        <w:ind w:left="1260" w:hanging="420"/>
      </w:pPr>
      <w:rPr>
        <w:rFonts w:hint="default" w:ascii="Times New Roman" w:hAnsi="Times New Roman" w:cs="Times New Roman"/>
      </w:rPr>
    </w:lvl>
    <w:lvl w:ilvl="3" w:tentative="0">
      <w:start w:val="1"/>
      <w:numFmt w:val="decimal"/>
      <w:lvlText w:val="%4."/>
      <w:lvlJc w:val="left"/>
      <w:pPr>
        <w:ind w:left="1680" w:hanging="420"/>
      </w:pPr>
      <w:rPr>
        <w:rFonts w:hint="default" w:ascii="Times New Roman" w:hAnsi="Times New Roman" w:cs="Times New Roman"/>
      </w:rPr>
    </w:lvl>
    <w:lvl w:ilvl="4" w:tentative="0">
      <w:start w:val="1"/>
      <w:numFmt w:val="lowerLetter"/>
      <w:lvlText w:val="%5)"/>
      <w:lvlJc w:val="left"/>
      <w:pPr>
        <w:ind w:left="2100" w:hanging="420"/>
      </w:pPr>
      <w:rPr>
        <w:rFonts w:hint="default" w:ascii="Times New Roman" w:hAnsi="Times New Roman" w:cs="Times New Roman"/>
      </w:rPr>
    </w:lvl>
    <w:lvl w:ilvl="5" w:tentative="0">
      <w:start w:val="1"/>
      <w:numFmt w:val="lowerRoman"/>
      <w:lvlText w:val="%6."/>
      <w:lvlJc w:val="right"/>
      <w:pPr>
        <w:ind w:left="2520" w:hanging="420"/>
      </w:pPr>
      <w:rPr>
        <w:rFonts w:hint="default" w:ascii="Times New Roman" w:hAnsi="Times New Roman" w:cs="Times New Roman"/>
      </w:rPr>
    </w:lvl>
    <w:lvl w:ilvl="6" w:tentative="0">
      <w:start w:val="1"/>
      <w:numFmt w:val="decimal"/>
      <w:lvlText w:val="%7."/>
      <w:lvlJc w:val="left"/>
      <w:pPr>
        <w:ind w:left="2940" w:hanging="420"/>
      </w:pPr>
      <w:rPr>
        <w:rFonts w:hint="default" w:ascii="Times New Roman" w:hAnsi="Times New Roman" w:cs="Times New Roman"/>
      </w:rPr>
    </w:lvl>
    <w:lvl w:ilvl="7" w:tentative="0">
      <w:start w:val="1"/>
      <w:numFmt w:val="lowerLetter"/>
      <w:lvlText w:val="%8)"/>
      <w:lvlJc w:val="left"/>
      <w:pPr>
        <w:ind w:left="3360" w:hanging="420"/>
      </w:pPr>
      <w:rPr>
        <w:rFonts w:hint="default" w:ascii="Times New Roman" w:hAnsi="Times New Roman" w:cs="Times New Roman"/>
      </w:rPr>
    </w:lvl>
    <w:lvl w:ilvl="8" w:tentative="0">
      <w:start w:val="1"/>
      <w:numFmt w:val="lowerRoman"/>
      <w:lvlText w:val="%9."/>
      <w:lvlJc w:val="right"/>
      <w:pPr>
        <w:ind w:left="3780" w:hanging="420"/>
      </w:pPr>
      <w:rPr>
        <w:rFonts w:hint="default" w:ascii="Times New Roman" w:hAnsi="Times New Roman" w:cs="Times New Roman"/>
      </w:rPr>
    </w:lvl>
  </w:abstractNum>
  <w:abstractNum w:abstractNumId="8">
    <w:nsid w:val="64D4074C"/>
    <w:multiLevelType w:val="multilevel"/>
    <w:tmpl w:val="64D4074C"/>
    <w:lvl w:ilvl="0" w:tentative="0">
      <w:start w:val="1"/>
      <w:numFmt w:val="decimal"/>
      <w:lvlText w:val="%1."/>
      <w:lvlJc w:val="left"/>
      <w:pPr>
        <w:ind w:left="420" w:hanging="420"/>
      </w:pPr>
      <w:rPr>
        <w:rFonts w:hint="eastAsia" w:ascii="宋体" w:hAnsi="宋体" w:eastAsia="宋体" w:cs="宋体"/>
      </w:rPr>
    </w:lvl>
    <w:lvl w:ilvl="1" w:tentative="0">
      <w:start w:val="0"/>
      <w:numFmt w:val="bullet"/>
      <w:lvlText w:val="▲"/>
      <w:lvlJc w:val="left"/>
      <w:pPr>
        <w:ind w:left="780" w:hanging="360"/>
      </w:pPr>
      <w:rPr>
        <w:rFonts w:hint="eastAsia" w:ascii="宋体" w:hAnsi="宋体" w:eastAsia="宋体" w:cs="Times New Roman"/>
      </w:rPr>
    </w:lvl>
    <w:lvl w:ilvl="2" w:tentative="0">
      <w:start w:val="1"/>
      <w:numFmt w:val="lowerRoman"/>
      <w:lvlText w:val="%3."/>
      <w:lvlJc w:val="right"/>
      <w:pPr>
        <w:ind w:left="1260" w:hanging="420"/>
      </w:pPr>
      <w:rPr>
        <w:rFonts w:hint="default" w:ascii="Times New Roman" w:hAnsi="Times New Roman" w:cs="Times New Roman"/>
      </w:rPr>
    </w:lvl>
    <w:lvl w:ilvl="3" w:tentative="0">
      <w:start w:val="1"/>
      <w:numFmt w:val="decimal"/>
      <w:lvlText w:val="%4."/>
      <w:lvlJc w:val="left"/>
      <w:pPr>
        <w:ind w:left="1680" w:hanging="420"/>
      </w:pPr>
      <w:rPr>
        <w:rFonts w:hint="default" w:ascii="Times New Roman" w:hAnsi="Times New Roman" w:cs="Times New Roman"/>
      </w:rPr>
    </w:lvl>
    <w:lvl w:ilvl="4" w:tentative="0">
      <w:start w:val="1"/>
      <w:numFmt w:val="lowerLetter"/>
      <w:lvlText w:val="%5)"/>
      <w:lvlJc w:val="left"/>
      <w:pPr>
        <w:ind w:left="2100" w:hanging="420"/>
      </w:pPr>
      <w:rPr>
        <w:rFonts w:hint="default" w:ascii="Times New Roman" w:hAnsi="Times New Roman" w:cs="Times New Roman"/>
      </w:rPr>
    </w:lvl>
    <w:lvl w:ilvl="5" w:tentative="0">
      <w:start w:val="1"/>
      <w:numFmt w:val="lowerRoman"/>
      <w:lvlText w:val="%6."/>
      <w:lvlJc w:val="right"/>
      <w:pPr>
        <w:ind w:left="2520" w:hanging="420"/>
      </w:pPr>
      <w:rPr>
        <w:rFonts w:hint="default" w:ascii="Times New Roman" w:hAnsi="Times New Roman" w:cs="Times New Roman"/>
      </w:rPr>
    </w:lvl>
    <w:lvl w:ilvl="6" w:tentative="0">
      <w:start w:val="1"/>
      <w:numFmt w:val="decimal"/>
      <w:lvlText w:val="%7."/>
      <w:lvlJc w:val="left"/>
      <w:pPr>
        <w:ind w:left="2940" w:hanging="420"/>
      </w:pPr>
      <w:rPr>
        <w:rFonts w:hint="default" w:ascii="Times New Roman" w:hAnsi="Times New Roman" w:cs="Times New Roman"/>
      </w:rPr>
    </w:lvl>
    <w:lvl w:ilvl="7" w:tentative="0">
      <w:start w:val="1"/>
      <w:numFmt w:val="lowerLetter"/>
      <w:lvlText w:val="%8)"/>
      <w:lvlJc w:val="left"/>
      <w:pPr>
        <w:ind w:left="3360" w:hanging="420"/>
      </w:pPr>
      <w:rPr>
        <w:rFonts w:hint="default" w:ascii="Times New Roman" w:hAnsi="Times New Roman" w:cs="Times New Roman"/>
      </w:rPr>
    </w:lvl>
    <w:lvl w:ilvl="8" w:tentative="0">
      <w:start w:val="1"/>
      <w:numFmt w:val="lowerRoman"/>
      <w:lvlText w:val="%9."/>
      <w:lvlJc w:val="right"/>
      <w:pPr>
        <w:ind w:left="3780" w:hanging="420"/>
      </w:pPr>
      <w:rPr>
        <w:rFonts w:hint="default" w:ascii="Times New Roman" w:hAnsi="Times New Roman" w:cs="Times New Roman"/>
      </w:rPr>
    </w:lvl>
  </w:abstractNum>
  <w:num w:numId="1">
    <w:abstractNumId w:val="7"/>
  </w:num>
  <w:num w:numId="2">
    <w:abstractNumId w:val="2"/>
  </w:num>
  <w:num w:numId="3">
    <w:abstractNumId w:val="8"/>
  </w:num>
  <w:num w:numId="4">
    <w:abstractNumId w:val="1"/>
  </w:num>
  <w:num w:numId="5">
    <w:abstractNumId w:val="6"/>
  </w:num>
  <w:num w:numId="6">
    <w:abstractNumId w:val="4"/>
  </w:num>
  <w:num w:numId="7">
    <w:abstractNumId w:val="5"/>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numFmt w:val="decimalEnclosedCircleChinese"/>
    <w:numRestart w:val="eachPage"/>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1AA4E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beforeLines="0" w:after="330" w:afterLines="0" w:line="578" w:lineRule="auto"/>
      <w:outlineLvl w:val="0"/>
    </w:pPr>
    <w:rPr>
      <w:b/>
      <w:bCs/>
      <w:kern w:val="44"/>
      <w:sz w:val="44"/>
      <w:szCs w:val="44"/>
    </w:rPr>
  </w:style>
  <w:style w:type="paragraph" w:styleId="3">
    <w:name w:val="heading 2"/>
    <w:basedOn w:val="1"/>
    <w:next w:val="1"/>
    <w:qFormat/>
    <w:uiPriority w:val="9"/>
    <w:pPr>
      <w:keepNext/>
      <w:keepLines/>
      <w:spacing w:before="260" w:beforeLines="0" w:after="260" w:afterLines="0" w:line="416" w:lineRule="auto"/>
      <w:outlineLvl w:val="1"/>
    </w:pPr>
    <w:rPr>
      <w:rFonts w:ascii="Cambria" w:hAnsi="Cambria"/>
      <w:b/>
      <w:bCs/>
      <w:sz w:val="32"/>
      <w:szCs w:val="32"/>
    </w:rPr>
  </w:style>
  <w:style w:type="character" w:default="1" w:styleId="10">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4">
    <w:name w:val="Normal Indent"/>
    <w:basedOn w:val="1"/>
    <w:next w:val="5"/>
    <w:qFormat/>
    <w:uiPriority w:val="0"/>
    <w:pPr>
      <w:ind w:firstLine="420" w:firstLineChars="200"/>
    </w:pPr>
  </w:style>
  <w:style w:type="paragraph" w:styleId="5">
    <w:name w:val="Body Text First Indent 2"/>
    <w:basedOn w:val="6"/>
    <w:qFormat/>
    <w:uiPriority w:val="99"/>
    <w:pPr>
      <w:spacing w:after="0"/>
      <w:ind w:left="0" w:leftChars="0" w:firstLine="420"/>
    </w:pPr>
    <w:rPr>
      <w:rFonts w:ascii="楷体_GB2312" w:eastAsia="楷体_GB2312"/>
      <w:sz w:val="32"/>
    </w:rPr>
  </w:style>
  <w:style w:type="paragraph" w:styleId="6">
    <w:name w:val="Body Text Indent"/>
    <w:basedOn w:val="1"/>
    <w:next w:val="7"/>
    <w:qFormat/>
    <w:uiPriority w:val="99"/>
    <w:pPr>
      <w:spacing w:after="120" w:afterLines="0"/>
      <w:ind w:left="420" w:leftChars="200"/>
    </w:pPr>
  </w:style>
  <w:style w:type="paragraph" w:styleId="7">
    <w:name w:val="envelope return"/>
    <w:basedOn w:val="1"/>
    <w:qFormat/>
    <w:uiPriority w:val="99"/>
    <w:pPr>
      <w:snapToGrid w:val="0"/>
    </w:pPr>
    <w:rPr>
      <w:rFonts w:ascii="Arial" w:hAnsi="Arial"/>
    </w:rPr>
  </w:style>
  <w:style w:type="paragraph" w:styleId="8">
    <w:name w:val="Normal (Web)"/>
    <w:basedOn w:val="1"/>
    <w:qFormat/>
    <w:uiPriority w:val="0"/>
    <w:pPr>
      <w:widowControl/>
      <w:spacing w:before="100" w:beforeLines="0" w:beforeAutospacing="1" w:after="100" w:afterLines="0" w:afterAutospacing="1"/>
      <w:jc w:val="left"/>
    </w:pPr>
    <w:rPr>
      <w:rFonts w:ascii="宋体" w:hAnsi="宋体"/>
      <w:color w:val="000000"/>
      <w:kern w:val="0"/>
      <w:sz w:val="24"/>
    </w:rPr>
  </w:style>
  <w:style w:type="character" w:customStyle="1" w:styleId="11">
    <w:name w:val="标题 2 Char Char"/>
    <w:uiPriority w:val="0"/>
    <w:rPr>
      <w:rFonts w:ascii="Arial" w:hAnsi="Arial" w:eastAsia="黑体" w:cs="Times New Roman"/>
      <w:b/>
      <w:bCs/>
      <w:kern w:val="2"/>
      <w:sz w:val="32"/>
      <w:szCs w:val="32"/>
      <w:lang w:val="en-US" w:eastAsia="zh-CN" w:bidi="ar-SA"/>
    </w:rPr>
  </w:style>
  <w:style w:type="paragraph" w:customStyle="1" w:styleId="12">
    <w:name w:val="列出段落1"/>
    <w:basedOn w:val="1"/>
    <w:qFormat/>
    <w:uiPriority w:val="0"/>
    <w:pPr>
      <w:ind w:firstLine="420" w:firstLineChars="200"/>
    </w:pPr>
  </w:style>
  <w:style w:type="paragraph" w:customStyle="1" w:styleId="13">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2026-09-17T03:26:40Z</dcterms:created>
  <dc:creator>admin</dc:creator>
  <cp:lastModifiedBy>豆奶是个小胖子</cp:lastModifiedBy>
  <dcterms:modified xsi:type="dcterms:W3CDTF">2026-09-17T03:27:35Z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eyJoZGlkIjoiNmExMjc1NzQ3NWFiZTgzMjNiYTYxNmEzOTMwZTVjYjAiLCJ1c2VySWQiOiIzMDI3OTc1ODcifQ==</vt:lpwstr>
  </property>
  <property fmtid="{D5CDD505-2E9C-101B-9397-08002B2CF9AE}" pid="4" name="ICV">
    <vt:lpwstr>A785ED40494A44EE979ADBB308944042_12</vt:lpwstr>
  </property>
</Properties>
</file>