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CBFF">
      <w:pPr>
        <w:pStyle w:val="2"/>
        <w:widowControl/>
        <w:snapToGrid w:val="0"/>
        <w:spacing w:before="0" w:after="0" w:line="360" w:lineRule="auto"/>
        <w:jc w:val="center"/>
        <w:rPr>
          <w:rFonts w:hint="eastAsia" w:ascii="宋体" w:hAnsi="宋体" w:eastAsia="仿宋"/>
          <w:color w:val="auto"/>
          <w:highlight w:val="none"/>
        </w:rPr>
      </w:pPr>
      <w:bookmarkStart w:id="0" w:name="_Toc466024555"/>
      <w:bookmarkStart w:id="1" w:name="_Toc445554746"/>
      <w:bookmarkStart w:id="2" w:name="_Toc24366"/>
      <w:r>
        <w:rPr>
          <w:rFonts w:hint="eastAsia" w:ascii="宋体" w:hAnsi="宋体" w:eastAsia="仿宋"/>
          <w:color w:val="auto"/>
          <w:highlight w:val="none"/>
        </w:rPr>
        <w:t>采购需求</w:t>
      </w:r>
      <w:bookmarkEnd w:id="0"/>
      <w:bookmarkEnd w:id="1"/>
      <w:bookmarkEnd w:id="2"/>
    </w:p>
    <w:p w14:paraId="0A03650C">
      <w:pPr>
        <w:pStyle w:val="3"/>
        <w:rPr>
          <w:rStyle w:val="8"/>
          <w:rFonts w:ascii="宋体" w:hAnsi="宋体" w:eastAsia="仿宋"/>
          <w:b/>
          <w:bCs/>
          <w:color w:val="auto"/>
          <w:sz w:val="24"/>
          <w:szCs w:val="24"/>
          <w:highlight w:val="none"/>
        </w:rPr>
      </w:pPr>
      <w:bookmarkStart w:id="3" w:name="_Toc455587089"/>
      <w:bookmarkStart w:id="4" w:name="_Toc466024556"/>
      <w:bookmarkStart w:id="5" w:name="_Toc455587273"/>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06EE5E9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30CCF08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E209B59">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46E58DE7">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0C90C1C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0B00CC9B">
      <w:pPr>
        <w:pStyle w:val="3"/>
        <w:rPr>
          <w:rStyle w:val="8"/>
          <w:rFonts w:hint="eastAsia" w:ascii="宋体" w:hAnsi="宋体" w:eastAsia="仿宋"/>
          <w:b/>
          <w:bCs/>
          <w:color w:val="auto"/>
          <w:sz w:val="24"/>
          <w:szCs w:val="24"/>
          <w:highlight w:val="none"/>
        </w:rPr>
      </w:pPr>
      <w:bookmarkStart w:id="7" w:name="_Toc466024557"/>
      <w:bookmarkStart w:id="8" w:name="_Toc455587090"/>
      <w:bookmarkStart w:id="9" w:name="_Toc455587274"/>
      <w:r>
        <w:rPr>
          <w:rStyle w:val="8"/>
          <w:rFonts w:hint="eastAsia" w:ascii="宋体" w:hAnsi="宋体" w:eastAsia="仿宋"/>
          <w:b/>
          <w:bCs/>
          <w:color w:val="auto"/>
          <w:sz w:val="24"/>
          <w:szCs w:val="24"/>
          <w:highlight w:val="none"/>
        </w:rPr>
        <w:t>2. 采购内容及范围</w:t>
      </w:r>
      <w:bookmarkEnd w:id="7"/>
      <w:bookmarkEnd w:id="8"/>
      <w:bookmarkEnd w:id="9"/>
    </w:p>
    <w:p w14:paraId="6C444F5D">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3A2F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D6031B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3A340">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93F5C2B">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7E6058C">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2A0B3EA">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9434872">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2F3AE72">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D7DA09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1337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2B17A18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F13CA">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D9A6218">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六分钟步行测试仪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3F3934">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6台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90A662C">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90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D7B6DA9">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A570C14">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AEBAAAB">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6C8E686">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72D2897B">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56B53B78">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24A342DE">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7EE413EF">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38DC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12CB7C91">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75DA42A3">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3FD6AAAD">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C14462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AD368A0">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6625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1523D706">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6CF61F2B">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北京安贞医院安徽医院，招标人指定地点</w:t>
            </w:r>
          </w:p>
        </w:tc>
      </w:tr>
      <w:tr w14:paraId="158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FDE5B8A">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24B22450">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EC55ED6">
            <w:pPr>
              <w:widowControl/>
              <w:adjustRightInd w:val="0"/>
              <w:snapToGrid w:val="0"/>
              <w:spacing w:line="288" w:lineRule="auto"/>
              <w:rPr>
                <w:rFonts w:hint="eastAsia" w:ascii="宋体" w:hAnsi="宋体" w:eastAsia="仿宋" w:cs="Calibri"/>
                <w:color w:val="auto"/>
                <w:sz w:val="24"/>
                <w:highlight w:val="none"/>
                <w:lang w:val="en-US" w:eastAsia="zh-CN"/>
              </w:rPr>
            </w:pPr>
          </w:p>
          <w:p w14:paraId="3AB4BB83">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6A65F186">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3B3AED21">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0BAED17C">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339B82A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1EF9E8E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367D826">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6C197B4">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7BC2C67E">
            <w:pPr>
              <w:rPr>
                <w:color w:val="auto"/>
                <w:highlight w:val="none"/>
              </w:rPr>
            </w:pPr>
          </w:p>
          <w:p w14:paraId="516978FC">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5F0B9D84">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5962CA3D">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056E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683CADF">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60692859">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3年</w:t>
            </w:r>
            <w:r>
              <w:rPr>
                <w:rFonts w:hint="eastAsia" w:ascii="宋体" w:hAnsi="宋体" w:eastAsia="仿宋" w:cs="Calibri"/>
                <w:color w:val="auto"/>
                <w:sz w:val="24"/>
                <w:highlight w:val="none"/>
                <w:lang w:val="en-US" w:eastAsia="zh-CN"/>
              </w:rPr>
              <w:t>整机原厂质保，</w:t>
            </w:r>
            <w:r>
              <w:rPr>
                <w:rFonts w:hint="eastAsia" w:ascii="宋体" w:hAnsi="宋体" w:eastAsia="仿宋" w:cs="Calibri"/>
                <w:color w:val="auto"/>
                <w:sz w:val="24"/>
                <w:highlight w:val="none"/>
              </w:rPr>
              <w:t>更换后的零部件质保期从更换之日起计算。</w:t>
            </w:r>
          </w:p>
          <w:p w14:paraId="463EDAC0">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309C10C2">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BF2FED9">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111E9C2F">
      <w:pPr>
        <w:pStyle w:val="9"/>
        <w:ind w:firstLine="480"/>
        <w:rPr>
          <w:rFonts w:ascii="宋体" w:hAnsi="宋体" w:eastAsia="仿宋"/>
          <w:color w:val="auto"/>
          <w:sz w:val="24"/>
          <w:highlight w:val="none"/>
        </w:rPr>
      </w:pPr>
    </w:p>
    <w:bookmarkEnd w:id="6"/>
    <w:p w14:paraId="60BBBC63">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275"/>
      <w:bookmarkStart w:id="11" w:name="_Toc466024558"/>
      <w:bookmarkStart w:id="12" w:name="_Toc455587091"/>
      <w:bookmarkStart w:id="13" w:name="_Toc445554749"/>
      <w:r>
        <w:rPr>
          <w:rStyle w:val="8"/>
          <w:rFonts w:hint="eastAsia" w:ascii="宋体" w:hAnsi="宋体" w:eastAsia="仿宋"/>
          <w:color w:val="auto"/>
          <w:sz w:val="24"/>
          <w:szCs w:val="24"/>
          <w:highlight w:val="none"/>
        </w:rPr>
        <w:t>4. 技术要求</w:t>
      </w:r>
      <w:bookmarkEnd w:id="10"/>
      <w:bookmarkEnd w:id="11"/>
      <w:bookmarkEnd w:id="12"/>
      <w:bookmarkEnd w:id="13"/>
    </w:p>
    <w:p w14:paraId="689FE5D7">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57F2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32D54B5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21EB27B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768F413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0BAC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4560B6E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4B5EBA0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513A7C33">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023F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4AE4606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509F0FFA">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6F1838E1">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1191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314C789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49D47C9B">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A907D1E">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2D5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13FC957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0D9F9F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3FCF137D">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030C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205ED5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7F28B27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49650980">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47D451A1">
      <w:pPr>
        <w:pStyle w:val="4"/>
        <w:widowControl/>
        <w:snapToGrid w:val="0"/>
        <w:spacing w:line="360" w:lineRule="auto"/>
        <w:ind w:firstLine="480" w:firstLineChars="200"/>
        <w:rPr>
          <w:rFonts w:hint="eastAsia" w:hAnsi="宋体" w:eastAsia="仿宋"/>
          <w:color w:val="auto"/>
          <w:sz w:val="24"/>
          <w:szCs w:val="24"/>
          <w:highlight w:val="none"/>
        </w:rPr>
      </w:pPr>
    </w:p>
    <w:p w14:paraId="2EEAC7B3">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bookmarkStart w:id="32" w:name="_GoBack"/>
      <w:bookmarkEnd w:id="32"/>
    </w:p>
    <w:p w14:paraId="080817D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六分钟步行测试仪</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38"/>
        <w:gridCol w:w="7105"/>
      </w:tblGrid>
      <w:tr w14:paraId="2D2F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81C59EC">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序号</w:t>
            </w:r>
          </w:p>
        </w:tc>
        <w:tc>
          <w:tcPr>
            <w:tcW w:w="1838" w:type="dxa"/>
            <w:vAlign w:val="center"/>
          </w:tcPr>
          <w:p w14:paraId="553FD732">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技术规格</w:t>
            </w:r>
          </w:p>
        </w:tc>
        <w:tc>
          <w:tcPr>
            <w:tcW w:w="7105" w:type="dxa"/>
            <w:vAlign w:val="center"/>
          </w:tcPr>
          <w:p w14:paraId="0CA86601">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技术要求</w:t>
            </w:r>
          </w:p>
        </w:tc>
      </w:tr>
      <w:tr w14:paraId="1170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69DD637E">
            <w:pPr>
              <w:spacing w:line="276" w:lineRule="auto"/>
              <w:jc w:val="both"/>
              <w:rPr>
                <w:rFonts w:hint="eastAsia" w:ascii="宋体" w:hAnsi="宋体"/>
                <w:bCs/>
                <w:sz w:val="24"/>
                <w:highlight w:val="none"/>
              </w:rPr>
            </w:pPr>
            <w:r>
              <w:rPr>
                <w:rFonts w:hint="eastAsia" w:ascii="宋体" w:hAnsi="宋体"/>
                <w:bCs/>
                <w:sz w:val="24"/>
                <w:highlight w:val="none"/>
              </w:rPr>
              <w:t>1</w:t>
            </w:r>
          </w:p>
        </w:tc>
        <w:tc>
          <w:tcPr>
            <w:tcW w:w="1838" w:type="dxa"/>
            <w:vAlign w:val="center"/>
          </w:tcPr>
          <w:p w14:paraId="112992DA">
            <w:pPr>
              <w:spacing w:line="276" w:lineRule="auto"/>
              <w:jc w:val="both"/>
              <w:rPr>
                <w:rFonts w:hint="eastAsia" w:ascii="宋体" w:hAnsi="宋体"/>
                <w:bCs/>
                <w:sz w:val="24"/>
                <w:highlight w:val="none"/>
              </w:rPr>
            </w:pPr>
            <w:r>
              <w:rPr>
                <w:rFonts w:hint="eastAsia" w:ascii="宋体" w:hAnsi="宋体"/>
                <w:bCs/>
                <w:sz w:val="24"/>
                <w:highlight w:val="none"/>
              </w:rPr>
              <w:t>用途</w:t>
            </w:r>
          </w:p>
        </w:tc>
        <w:tc>
          <w:tcPr>
            <w:tcW w:w="7105" w:type="dxa"/>
            <w:vAlign w:val="center"/>
          </w:tcPr>
          <w:p w14:paraId="179F850A">
            <w:pPr>
              <w:spacing w:line="276" w:lineRule="auto"/>
              <w:jc w:val="both"/>
              <w:rPr>
                <w:rFonts w:hint="eastAsia" w:ascii="宋体" w:hAnsi="宋体"/>
                <w:bCs/>
                <w:sz w:val="24"/>
                <w:highlight w:val="none"/>
              </w:rPr>
            </w:pPr>
            <w:r>
              <w:rPr>
                <w:rFonts w:hint="eastAsia" w:ascii="宋体" w:hAnsi="宋体"/>
                <w:bCs/>
                <w:sz w:val="24"/>
                <w:highlight w:val="none"/>
              </w:rPr>
              <w:t>覆盖六分钟步行试验全流程，符合《六分钟步行试验指南(ATS 2002)》规范要求，六分钟步行试验过程分为准备阶段、试验阶段，在各阶段均能够实时监测及显示心电、心率、血压、血氧、呼吸率情况。</w:t>
            </w:r>
          </w:p>
        </w:tc>
      </w:tr>
      <w:tr w14:paraId="46A1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3EACCC">
            <w:pPr>
              <w:spacing w:line="276" w:lineRule="auto"/>
              <w:jc w:val="both"/>
              <w:rPr>
                <w:rFonts w:hint="eastAsia" w:ascii="宋体" w:hAnsi="宋体"/>
                <w:bCs/>
                <w:sz w:val="24"/>
                <w:highlight w:val="none"/>
                <w:lang w:eastAsia="zh-CN"/>
              </w:rPr>
            </w:pPr>
            <w:r>
              <w:rPr>
                <w:rFonts w:hint="eastAsia" w:ascii="宋体" w:hAnsi="宋体"/>
                <w:bCs/>
                <w:sz w:val="24"/>
                <w:highlight w:val="none"/>
              </w:rPr>
              <w:t>*</w:t>
            </w:r>
            <w:r>
              <w:rPr>
                <w:rFonts w:hint="eastAsia" w:ascii="宋体" w:hAnsi="宋体"/>
                <w:bCs/>
                <w:sz w:val="24"/>
                <w:highlight w:val="none"/>
                <w:lang w:val="en-US" w:eastAsia="zh-CN"/>
              </w:rPr>
              <w:t>2</w:t>
            </w:r>
          </w:p>
        </w:tc>
        <w:tc>
          <w:tcPr>
            <w:tcW w:w="1838" w:type="dxa"/>
            <w:vAlign w:val="center"/>
          </w:tcPr>
          <w:p w14:paraId="399BAC54">
            <w:pPr>
              <w:spacing w:line="276" w:lineRule="auto"/>
              <w:jc w:val="both"/>
              <w:rPr>
                <w:rFonts w:hint="eastAsia" w:ascii="宋体" w:hAnsi="宋体"/>
                <w:bCs/>
                <w:sz w:val="24"/>
                <w:highlight w:val="none"/>
              </w:rPr>
            </w:pPr>
            <w:r>
              <w:rPr>
                <w:rFonts w:hint="eastAsia" w:ascii="宋体" w:hAnsi="宋体"/>
                <w:bCs/>
                <w:sz w:val="24"/>
                <w:highlight w:val="none"/>
              </w:rPr>
              <w:t>配置（单台）</w:t>
            </w:r>
          </w:p>
        </w:tc>
        <w:tc>
          <w:tcPr>
            <w:tcW w:w="7105" w:type="dxa"/>
            <w:vAlign w:val="center"/>
          </w:tcPr>
          <w:p w14:paraId="32AF5BCC">
            <w:pPr>
              <w:spacing w:line="276" w:lineRule="auto"/>
              <w:jc w:val="both"/>
              <w:rPr>
                <w:rFonts w:hint="eastAsia" w:ascii="宋体" w:hAnsi="宋体"/>
                <w:bCs/>
                <w:sz w:val="24"/>
                <w:highlight w:val="none"/>
              </w:rPr>
            </w:pPr>
            <w:r>
              <w:rPr>
                <w:rFonts w:hint="eastAsia" w:ascii="宋体" w:hAnsi="宋体"/>
                <w:bCs/>
                <w:sz w:val="24"/>
                <w:highlight w:val="none"/>
              </w:rPr>
              <w:t>数字化六分钟步行试验系统         1套</w:t>
            </w:r>
          </w:p>
          <w:p w14:paraId="26C8EEEA">
            <w:pPr>
              <w:spacing w:line="276" w:lineRule="auto"/>
              <w:jc w:val="both"/>
              <w:rPr>
                <w:rFonts w:hint="eastAsia" w:ascii="宋体" w:hAnsi="宋体"/>
                <w:bCs/>
                <w:sz w:val="24"/>
                <w:highlight w:val="none"/>
              </w:rPr>
            </w:pPr>
            <w:r>
              <w:rPr>
                <w:rFonts w:hint="eastAsia" w:ascii="宋体" w:hAnsi="宋体"/>
                <w:bCs/>
                <w:sz w:val="24"/>
                <w:highlight w:val="none"/>
              </w:rPr>
              <w:t>动态心电记录仪                   1套</w:t>
            </w:r>
          </w:p>
          <w:p w14:paraId="03D87EC5">
            <w:pPr>
              <w:spacing w:line="276" w:lineRule="auto"/>
              <w:jc w:val="both"/>
              <w:rPr>
                <w:rFonts w:hint="eastAsia" w:ascii="宋体" w:hAnsi="宋体"/>
                <w:bCs/>
                <w:sz w:val="24"/>
                <w:highlight w:val="none"/>
              </w:rPr>
            </w:pPr>
            <w:r>
              <w:rPr>
                <w:rFonts w:hint="eastAsia" w:ascii="宋体" w:hAnsi="宋体"/>
                <w:bCs/>
                <w:sz w:val="24"/>
                <w:highlight w:val="none"/>
              </w:rPr>
              <w:t>脉搏血氧饱和度仪                 1台</w:t>
            </w:r>
          </w:p>
          <w:p w14:paraId="28BD81C4">
            <w:pPr>
              <w:spacing w:line="276" w:lineRule="auto"/>
              <w:jc w:val="both"/>
              <w:rPr>
                <w:rFonts w:hint="eastAsia" w:ascii="宋体" w:hAnsi="宋体"/>
                <w:bCs/>
                <w:sz w:val="24"/>
                <w:highlight w:val="none"/>
              </w:rPr>
            </w:pPr>
            <w:r>
              <w:rPr>
                <w:rFonts w:hint="eastAsia" w:ascii="宋体" w:hAnsi="宋体"/>
                <w:bCs/>
                <w:sz w:val="24"/>
                <w:highlight w:val="none"/>
              </w:rPr>
              <w:t>臂式电子血压计                   1台</w:t>
            </w:r>
          </w:p>
          <w:p w14:paraId="79C1739B">
            <w:pPr>
              <w:spacing w:line="276" w:lineRule="auto"/>
              <w:jc w:val="both"/>
              <w:rPr>
                <w:rFonts w:hint="eastAsia" w:ascii="宋体" w:hAnsi="宋体"/>
                <w:bCs/>
                <w:sz w:val="24"/>
                <w:highlight w:val="none"/>
              </w:rPr>
            </w:pPr>
            <w:r>
              <w:rPr>
                <w:rFonts w:hint="eastAsia" w:ascii="宋体" w:hAnsi="宋体"/>
                <w:bCs/>
                <w:sz w:val="24"/>
                <w:highlight w:val="none"/>
              </w:rPr>
              <w:t>动态心电图工作站                 1台</w:t>
            </w:r>
          </w:p>
          <w:p w14:paraId="2E29CE05">
            <w:pPr>
              <w:spacing w:line="276" w:lineRule="auto"/>
              <w:jc w:val="both"/>
              <w:rPr>
                <w:rFonts w:hint="eastAsia" w:ascii="宋体" w:hAnsi="宋体"/>
                <w:bCs/>
                <w:sz w:val="24"/>
                <w:highlight w:val="none"/>
              </w:rPr>
            </w:pPr>
            <w:r>
              <w:rPr>
                <w:rFonts w:hint="eastAsia" w:ascii="宋体" w:hAnsi="宋体"/>
                <w:bCs/>
                <w:sz w:val="24"/>
                <w:highlight w:val="none"/>
              </w:rPr>
              <w:t>肺功能仪                         1台</w:t>
            </w:r>
          </w:p>
          <w:p w14:paraId="48A8A09C">
            <w:pPr>
              <w:spacing w:line="276" w:lineRule="auto"/>
              <w:jc w:val="both"/>
              <w:rPr>
                <w:rFonts w:hint="eastAsia" w:ascii="宋体" w:hAnsi="宋体"/>
                <w:bCs/>
                <w:sz w:val="24"/>
                <w:highlight w:val="none"/>
              </w:rPr>
            </w:pPr>
            <w:r>
              <w:rPr>
                <w:rFonts w:hint="eastAsia" w:ascii="宋体" w:hAnsi="宋体"/>
                <w:bCs/>
                <w:sz w:val="24"/>
                <w:highlight w:val="none"/>
              </w:rPr>
              <w:t>移动工作站                       1套</w:t>
            </w:r>
          </w:p>
          <w:p w14:paraId="7119ABCC">
            <w:pPr>
              <w:spacing w:line="276" w:lineRule="auto"/>
              <w:jc w:val="both"/>
              <w:rPr>
                <w:rFonts w:hint="eastAsia" w:ascii="宋体" w:hAnsi="宋体"/>
                <w:bCs/>
                <w:sz w:val="24"/>
                <w:highlight w:val="none"/>
              </w:rPr>
            </w:pPr>
            <w:r>
              <w:rPr>
                <w:rFonts w:hint="eastAsia" w:ascii="宋体" w:hAnsi="宋体"/>
                <w:bCs/>
                <w:sz w:val="24"/>
                <w:highlight w:val="none"/>
              </w:rPr>
              <w:t>集中管理工作站台车               1套</w:t>
            </w:r>
          </w:p>
          <w:p w14:paraId="16A0DF36">
            <w:pPr>
              <w:spacing w:line="276" w:lineRule="auto"/>
              <w:jc w:val="both"/>
              <w:rPr>
                <w:rFonts w:hint="eastAsia" w:ascii="宋体" w:hAnsi="宋体"/>
                <w:bCs/>
                <w:sz w:val="24"/>
                <w:highlight w:val="none"/>
              </w:rPr>
            </w:pPr>
            <w:r>
              <w:rPr>
                <w:rFonts w:hint="eastAsia" w:ascii="宋体" w:hAnsi="宋体"/>
                <w:bCs/>
                <w:sz w:val="24"/>
                <w:highlight w:val="none"/>
              </w:rPr>
              <w:t>电脑                             1台</w:t>
            </w:r>
          </w:p>
          <w:p w14:paraId="0C80E146">
            <w:pPr>
              <w:spacing w:line="276" w:lineRule="auto"/>
              <w:jc w:val="both"/>
              <w:rPr>
                <w:rFonts w:hint="eastAsia" w:ascii="宋体" w:hAnsi="宋体"/>
                <w:bCs/>
                <w:sz w:val="24"/>
                <w:highlight w:val="none"/>
              </w:rPr>
            </w:pPr>
            <w:r>
              <w:rPr>
                <w:rFonts w:hint="eastAsia" w:ascii="宋体" w:hAnsi="宋体"/>
                <w:bCs/>
                <w:sz w:val="24"/>
                <w:highlight w:val="none"/>
              </w:rPr>
              <w:t>激光打印机                       1台</w:t>
            </w:r>
          </w:p>
          <w:p w14:paraId="4150053C">
            <w:pPr>
              <w:spacing w:line="276" w:lineRule="auto"/>
              <w:jc w:val="both"/>
              <w:rPr>
                <w:rFonts w:hint="eastAsia" w:ascii="宋体" w:hAnsi="宋体"/>
                <w:bCs/>
                <w:sz w:val="24"/>
                <w:highlight w:val="none"/>
              </w:rPr>
            </w:pPr>
            <w:r>
              <w:rPr>
                <w:rFonts w:hint="eastAsia" w:ascii="宋体" w:hAnsi="宋体"/>
                <w:bCs/>
                <w:sz w:val="24"/>
                <w:highlight w:val="none"/>
              </w:rPr>
              <w:t>导联线                           1根</w:t>
            </w:r>
          </w:p>
          <w:p w14:paraId="65F2B438">
            <w:pPr>
              <w:spacing w:line="276" w:lineRule="auto"/>
              <w:jc w:val="both"/>
              <w:rPr>
                <w:rFonts w:hint="eastAsia" w:ascii="宋体" w:hAnsi="宋体"/>
                <w:bCs/>
                <w:sz w:val="24"/>
                <w:highlight w:val="none"/>
              </w:rPr>
            </w:pPr>
            <w:r>
              <w:rPr>
                <w:rFonts w:hint="eastAsia" w:ascii="宋体" w:hAnsi="宋体"/>
                <w:bCs/>
                <w:sz w:val="24"/>
                <w:highlight w:val="none"/>
              </w:rPr>
              <w:t>传感胸带                         1根</w:t>
            </w:r>
          </w:p>
          <w:p w14:paraId="2F35BFBD">
            <w:pPr>
              <w:spacing w:line="276" w:lineRule="auto"/>
              <w:jc w:val="both"/>
              <w:rPr>
                <w:rFonts w:hint="eastAsia" w:ascii="宋体" w:hAnsi="宋体"/>
                <w:bCs/>
                <w:sz w:val="24"/>
                <w:highlight w:val="none"/>
              </w:rPr>
            </w:pPr>
            <w:r>
              <w:rPr>
                <w:rFonts w:hint="eastAsia" w:ascii="宋体" w:hAnsi="宋体"/>
                <w:bCs/>
                <w:sz w:val="24"/>
                <w:highlight w:val="none"/>
              </w:rPr>
              <w:t>血氧指套                         1个</w:t>
            </w:r>
          </w:p>
          <w:p w14:paraId="27E74868">
            <w:pPr>
              <w:spacing w:line="276" w:lineRule="auto"/>
              <w:jc w:val="both"/>
              <w:rPr>
                <w:rFonts w:hint="eastAsia" w:ascii="宋体" w:hAnsi="宋体"/>
                <w:bCs/>
                <w:sz w:val="24"/>
                <w:highlight w:val="none"/>
              </w:rPr>
            </w:pPr>
            <w:r>
              <w:rPr>
                <w:rFonts w:hint="eastAsia" w:ascii="宋体" w:hAnsi="宋体"/>
                <w:bCs/>
                <w:sz w:val="24"/>
                <w:highlight w:val="none"/>
              </w:rPr>
              <w:t>12 导心电一体导联                1根</w:t>
            </w:r>
          </w:p>
        </w:tc>
      </w:tr>
      <w:tr w14:paraId="1F1B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FAFC1BC">
            <w:pPr>
              <w:spacing w:line="276" w:lineRule="auto"/>
              <w:jc w:val="both"/>
              <w:rPr>
                <w:rFonts w:hint="eastAsia" w:ascii="宋体" w:hAnsi="宋体"/>
                <w:bCs/>
                <w:sz w:val="24"/>
                <w:highlight w:val="none"/>
              </w:rPr>
            </w:pPr>
            <w:r>
              <w:rPr>
                <w:rFonts w:hint="eastAsia" w:ascii="宋体" w:hAnsi="宋体"/>
                <w:bCs/>
                <w:sz w:val="24"/>
                <w:highlight w:val="none"/>
              </w:rPr>
              <w:t>3</w:t>
            </w:r>
          </w:p>
        </w:tc>
        <w:tc>
          <w:tcPr>
            <w:tcW w:w="1838" w:type="dxa"/>
            <w:vAlign w:val="center"/>
          </w:tcPr>
          <w:p w14:paraId="097B4DA7">
            <w:pPr>
              <w:spacing w:line="276" w:lineRule="auto"/>
              <w:jc w:val="both"/>
              <w:rPr>
                <w:rFonts w:hint="eastAsia" w:ascii="宋体" w:hAnsi="宋体"/>
                <w:bCs/>
                <w:sz w:val="24"/>
                <w:highlight w:val="none"/>
              </w:rPr>
            </w:pPr>
            <w:r>
              <w:rPr>
                <w:rFonts w:hint="eastAsia" w:ascii="宋体" w:hAnsi="宋体"/>
                <w:bCs/>
                <w:sz w:val="24"/>
                <w:highlight w:val="none"/>
              </w:rPr>
              <w:t>软件具备食品药监局颁发的医疗器械注册证</w:t>
            </w:r>
          </w:p>
        </w:tc>
        <w:tc>
          <w:tcPr>
            <w:tcW w:w="7105" w:type="dxa"/>
            <w:vAlign w:val="center"/>
          </w:tcPr>
          <w:p w14:paraId="11CFE97A">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58C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614686">
            <w:pPr>
              <w:spacing w:line="276" w:lineRule="auto"/>
              <w:jc w:val="both"/>
              <w:rPr>
                <w:rFonts w:hint="eastAsia" w:ascii="宋体" w:hAnsi="宋体"/>
                <w:bCs/>
                <w:sz w:val="24"/>
                <w:highlight w:val="none"/>
              </w:rPr>
            </w:pPr>
            <w:r>
              <w:rPr>
                <w:rFonts w:hint="eastAsia" w:ascii="宋体" w:hAnsi="宋体"/>
                <w:bCs/>
                <w:sz w:val="24"/>
                <w:highlight w:val="none"/>
              </w:rPr>
              <w:t>■4</w:t>
            </w:r>
          </w:p>
        </w:tc>
        <w:tc>
          <w:tcPr>
            <w:tcW w:w="1838" w:type="dxa"/>
            <w:vAlign w:val="center"/>
          </w:tcPr>
          <w:p w14:paraId="65015B53">
            <w:pPr>
              <w:spacing w:line="276" w:lineRule="auto"/>
              <w:jc w:val="both"/>
              <w:rPr>
                <w:rFonts w:hint="eastAsia" w:ascii="宋体" w:hAnsi="宋体"/>
                <w:bCs/>
                <w:sz w:val="24"/>
                <w:highlight w:val="none"/>
              </w:rPr>
            </w:pPr>
            <w:r>
              <w:rPr>
                <w:rFonts w:hint="eastAsia" w:ascii="宋体" w:hAnsi="宋体"/>
                <w:bCs/>
                <w:sz w:val="24"/>
                <w:highlight w:val="none"/>
              </w:rPr>
              <w:t>数据统计表和康复趋势图要求</w:t>
            </w:r>
          </w:p>
        </w:tc>
        <w:tc>
          <w:tcPr>
            <w:tcW w:w="7105" w:type="dxa"/>
            <w:vAlign w:val="center"/>
          </w:tcPr>
          <w:p w14:paraId="1FCB4DEC">
            <w:pPr>
              <w:spacing w:line="276" w:lineRule="auto"/>
              <w:jc w:val="both"/>
              <w:rPr>
                <w:rFonts w:hint="eastAsia" w:ascii="宋体" w:hAnsi="宋体"/>
                <w:bCs/>
                <w:sz w:val="24"/>
                <w:highlight w:val="none"/>
              </w:rPr>
            </w:pPr>
            <w:r>
              <w:rPr>
                <w:rFonts w:hint="eastAsia" w:ascii="宋体" w:hAnsi="宋体"/>
                <w:bCs/>
                <w:sz w:val="24"/>
                <w:highlight w:val="none"/>
              </w:rPr>
              <w:t>出具患者六分钟步行的数据统计表（按年龄、疾病、性别等进行分类统计）和康复趋势图（步行距离、峰值心率、一分钟运动心率恢复值、血氧趋势等）。</w:t>
            </w:r>
          </w:p>
        </w:tc>
      </w:tr>
      <w:tr w14:paraId="0F04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F42B32">
            <w:pPr>
              <w:spacing w:line="276" w:lineRule="auto"/>
              <w:jc w:val="both"/>
              <w:rPr>
                <w:rFonts w:hint="eastAsia" w:ascii="宋体" w:hAnsi="宋体"/>
                <w:bCs/>
                <w:sz w:val="24"/>
                <w:highlight w:val="none"/>
              </w:rPr>
            </w:pPr>
            <w:r>
              <w:rPr>
                <w:rFonts w:hint="eastAsia" w:ascii="宋体" w:hAnsi="宋体"/>
                <w:bCs/>
                <w:sz w:val="24"/>
                <w:highlight w:val="none"/>
              </w:rPr>
              <w:t>■5</w:t>
            </w:r>
          </w:p>
        </w:tc>
        <w:tc>
          <w:tcPr>
            <w:tcW w:w="1838" w:type="dxa"/>
            <w:vAlign w:val="center"/>
          </w:tcPr>
          <w:p w14:paraId="6833311F">
            <w:pPr>
              <w:spacing w:line="276" w:lineRule="auto"/>
              <w:jc w:val="both"/>
              <w:rPr>
                <w:rFonts w:hint="eastAsia" w:ascii="宋体" w:hAnsi="宋体"/>
                <w:bCs/>
                <w:sz w:val="24"/>
                <w:highlight w:val="none"/>
              </w:rPr>
            </w:pPr>
            <w:r>
              <w:rPr>
                <w:rFonts w:hint="eastAsia" w:ascii="宋体" w:hAnsi="宋体"/>
                <w:bCs/>
                <w:sz w:val="24"/>
                <w:highlight w:val="none"/>
              </w:rPr>
              <w:t>监测指标</w:t>
            </w:r>
          </w:p>
        </w:tc>
        <w:tc>
          <w:tcPr>
            <w:tcW w:w="7105" w:type="dxa"/>
            <w:vAlign w:val="center"/>
          </w:tcPr>
          <w:p w14:paraId="21162E7C">
            <w:pPr>
              <w:spacing w:line="276" w:lineRule="auto"/>
              <w:jc w:val="both"/>
              <w:rPr>
                <w:rFonts w:hint="eastAsia" w:ascii="宋体" w:hAnsi="宋体"/>
                <w:bCs/>
                <w:sz w:val="24"/>
                <w:highlight w:val="none"/>
              </w:rPr>
            </w:pPr>
            <w:r>
              <w:rPr>
                <w:rFonts w:hint="eastAsia" w:ascii="宋体" w:hAnsi="宋体"/>
                <w:bCs/>
                <w:sz w:val="24"/>
                <w:highlight w:val="none"/>
              </w:rPr>
              <w:t>心电、心率、血压、血氧和呼吸频率；监测界面呈现上述指标实时趋势图，趋势图中同步实时记录标记加圈情况、异常事件发生情况。</w:t>
            </w:r>
          </w:p>
        </w:tc>
      </w:tr>
      <w:tr w14:paraId="30CB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F079873">
            <w:pPr>
              <w:spacing w:line="276" w:lineRule="auto"/>
              <w:jc w:val="both"/>
              <w:rPr>
                <w:rFonts w:hint="eastAsia" w:ascii="宋体" w:hAnsi="宋体"/>
                <w:bCs/>
                <w:sz w:val="24"/>
                <w:highlight w:val="none"/>
              </w:rPr>
            </w:pPr>
            <w:r>
              <w:rPr>
                <w:rFonts w:hint="eastAsia" w:ascii="宋体" w:hAnsi="宋体"/>
                <w:bCs/>
                <w:sz w:val="24"/>
                <w:highlight w:val="none"/>
              </w:rPr>
              <w:t>6</w:t>
            </w:r>
          </w:p>
        </w:tc>
        <w:tc>
          <w:tcPr>
            <w:tcW w:w="1838" w:type="dxa"/>
            <w:vAlign w:val="center"/>
          </w:tcPr>
          <w:p w14:paraId="3FADC386">
            <w:pPr>
              <w:spacing w:line="276" w:lineRule="auto"/>
              <w:jc w:val="both"/>
              <w:rPr>
                <w:rFonts w:hint="eastAsia" w:ascii="宋体" w:hAnsi="宋体"/>
                <w:bCs/>
                <w:sz w:val="24"/>
                <w:highlight w:val="none"/>
              </w:rPr>
            </w:pPr>
            <w:r>
              <w:rPr>
                <w:rFonts w:hint="eastAsia" w:ascii="宋体" w:hAnsi="宋体"/>
                <w:bCs/>
                <w:sz w:val="24"/>
                <w:highlight w:val="none"/>
              </w:rPr>
              <w:t>量表评估功能</w:t>
            </w:r>
          </w:p>
        </w:tc>
        <w:tc>
          <w:tcPr>
            <w:tcW w:w="7105" w:type="dxa"/>
            <w:vAlign w:val="center"/>
          </w:tcPr>
          <w:p w14:paraId="0B680873">
            <w:pPr>
              <w:spacing w:line="276" w:lineRule="auto"/>
              <w:jc w:val="both"/>
              <w:rPr>
                <w:rFonts w:hint="eastAsia" w:ascii="宋体" w:hAnsi="宋体"/>
                <w:bCs/>
                <w:sz w:val="24"/>
                <w:highlight w:val="none"/>
              </w:rPr>
            </w:pPr>
            <w:r>
              <w:rPr>
                <w:rFonts w:hint="eastAsia" w:ascii="宋体" w:hAnsi="宋体"/>
                <w:bCs/>
                <w:sz w:val="24"/>
                <w:highlight w:val="none"/>
              </w:rPr>
              <w:t>软件具备心身多维度的量表评估功能。包括SDS、SAS、PSQI，MNA，SGRQ.CAT等;(需提供具备此功能的证明材料)。</w:t>
            </w:r>
          </w:p>
        </w:tc>
      </w:tr>
      <w:tr w14:paraId="2BE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5433B2C">
            <w:pPr>
              <w:spacing w:line="276" w:lineRule="auto"/>
              <w:jc w:val="both"/>
              <w:rPr>
                <w:rFonts w:hint="eastAsia" w:ascii="宋体" w:hAnsi="宋体"/>
                <w:bCs/>
                <w:sz w:val="24"/>
                <w:highlight w:val="none"/>
              </w:rPr>
            </w:pPr>
            <w:r>
              <w:rPr>
                <w:rFonts w:hint="eastAsia" w:ascii="宋体" w:hAnsi="宋体"/>
                <w:bCs/>
                <w:sz w:val="24"/>
                <w:highlight w:val="none"/>
              </w:rPr>
              <w:t>■7</w:t>
            </w:r>
          </w:p>
        </w:tc>
        <w:tc>
          <w:tcPr>
            <w:tcW w:w="1838" w:type="dxa"/>
            <w:vAlign w:val="center"/>
          </w:tcPr>
          <w:p w14:paraId="0FA1A835">
            <w:pPr>
              <w:spacing w:line="276" w:lineRule="auto"/>
              <w:jc w:val="both"/>
              <w:rPr>
                <w:rFonts w:hint="eastAsia" w:ascii="宋体" w:hAnsi="宋体"/>
                <w:bCs/>
                <w:sz w:val="24"/>
                <w:highlight w:val="none"/>
              </w:rPr>
            </w:pPr>
            <w:r>
              <w:rPr>
                <w:rFonts w:hint="eastAsia" w:ascii="宋体" w:hAnsi="宋体"/>
                <w:bCs/>
                <w:sz w:val="24"/>
                <w:highlight w:val="none"/>
              </w:rPr>
              <w:t>自动出具试验报告</w:t>
            </w:r>
          </w:p>
        </w:tc>
        <w:tc>
          <w:tcPr>
            <w:tcW w:w="7105" w:type="dxa"/>
            <w:vAlign w:val="center"/>
          </w:tcPr>
          <w:p w14:paraId="7702DBDB">
            <w:pPr>
              <w:spacing w:line="276" w:lineRule="auto"/>
              <w:jc w:val="both"/>
              <w:rPr>
                <w:rFonts w:hint="eastAsia" w:ascii="宋体" w:hAnsi="宋体"/>
                <w:bCs/>
                <w:sz w:val="24"/>
                <w:highlight w:val="none"/>
              </w:rPr>
            </w:pPr>
            <w:r>
              <w:rPr>
                <w:rFonts w:hint="eastAsia" w:ascii="宋体" w:hAnsi="宋体"/>
                <w:bCs/>
                <w:sz w:val="24"/>
                <w:highlight w:val="none"/>
              </w:rPr>
              <w:t>自动出具六分钟步行试验报告，报告内容包括患者个人信息、吸烟史、用药史、实验过程吸氧情况，实验前后borg评分、劳累度评分，六分钟步行距离以及运动强度，心肺功能等级评估，试验过程心电、呼吸率、血氧、运动趋势图，试验每分钟心电、呼吸率、血氧情况，异常事件记录及处理，运动处方建议等，支持报告打印。</w:t>
            </w:r>
          </w:p>
        </w:tc>
      </w:tr>
      <w:tr w14:paraId="59FD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D88B5F0">
            <w:pPr>
              <w:spacing w:line="276" w:lineRule="auto"/>
              <w:jc w:val="both"/>
              <w:rPr>
                <w:rFonts w:hint="eastAsia" w:ascii="宋体" w:hAnsi="宋体"/>
                <w:bCs/>
                <w:sz w:val="24"/>
                <w:highlight w:val="none"/>
              </w:rPr>
            </w:pPr>
            <w:r>
              <w:rPr>
                <w:rFonts w:hint="eastAsia" w:ascii="宋体" w:hAnsi="宋体"/>
                <w:bCs/>
                <w:sz w:val="24"/>
                <w:highlight w:val="none"/>
              </w:rPr>
              <w:t>■8</w:t>
            </w:r>
          </w:p>
        </w:tc>
        <w:tc>
          <w:tcPr>
            <w:tcW w:w="1838" w:type="dxa"/>
            <w:vAlign w:val="center"/>
          </w:tcPr>
          <w:p w14:paraId="1841B318">
            <w:pPr>
              <w:spacing w:line="276" w:lineRule="auto"/>
              <w:jc w:val="both"/>
              <w:rPr>
                <w:rFonts w:hint="eastAsia" w:ascii="宋体" w:hAnsi="宋体"/>
                <w:bCs/>
                <w:sz w:val="24"/>
                <w:highlight w:val="none"/>
              </w:rPr>
            </w:pPr>
            <w:r>
              <w:rPr>
                <w:rFonts w:hint="eastAsia" w:ascii="宋体" w:hAnsi="宋体"/>
                <w:bCs/>
                <w:sz w:val="24"/>
                <w:highlight w:val="none"/>
              </w:rPr>
              <w:t>测距功能</w:t>
            </w:r>
          </w:p>
        </w:tc>
        <w:tc>
          <w:tcPr>
            <w:tcW w:w="7105" w:type="dxa"/>
            <w:vAlign w:val="center"/>
          </w:tcPr>
          <w:p w14:paraId="74B4AE22">
            <w:pPr>
              <w:spacing w:line="276" w:lineRule="auto"/>
              <w:jc w:val="both"/>
              <w:rPr>
                <w:rFonts w:hint="eastAsia" w:ascii="宋体" w:hAnsi="宋体"/>
                <w:bCs/>
                <w:sz w:val="24"/>
                <w:highlight w:val="none"/>
              </w:rPr>
            </w:pPr>
            <w:r>
              <w:rPr>
                <w:rFonts w:hint="eastAsia" w:ascii="宋体" w:hAnsi="宋体"/>
                <w:bCs/>
                <w:sz w:val="24"/>
                <w:highlight w:val="none"/>
              </w:rPr>
              <w:t>能够精准自动计算步行距离、步数。</w:t>
            </w:r>
          </w:p>
        </w:tc>
      </w:tr>
      <w:tr w14:paraId="299B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3D0E4CE">
            <w:pPr>
              <w:spacing w:line="276" w:lineRule="auto"/>
              <w:jc w:val="both"/>
              <w:rPr>
                <w:rFonts w:hint="eastAsia" w:ascii="宋体" w:hAnsi="宋体"/>
                <w:bCs/>
                <w:sz w:val="24"/>
                <w:highlight w:val="none"/>
              </w:rPr>
            </w:pPr>
            <w:r>
              <w:rPr>
                <w:rFonts w:hint="eastAsia" w:ascii="宋体" w:hAnsi="宋体"/>
                <w:bCs/>
                <w:sz w:val="24"/>
                <w:highlight w:val="none"/>
              </w:rPr>
              <w:t>9</w:t>
            </w:r>
          </w:p>
        </w:tc>
        <w:tc>
          <w:tcPr>
            <w:tcW w:w="1838" w:type="dxa"/>
            <w:vAlign w:val="center"/>
          </w:tcPr>
          <w:p w14:paraId="7482C87D">
            <w:pPr>
              <w:spacing w:line="276" w:lineRule="auto"/>
              <w:jc w:val="both"/>
              <w:rPr>
                <w:rFonts w:hint="eastAsia" w:ascii="宋体" w:hAnsi="宋体"/>
                <w:bCs/>
                <w:sz w:val="24"/>
                <w:highlight w:val="none"/>
              </w:rPr>
            </w:pPr>
            <w:r>
              <w:rPr>
                <w:rFonts w:hint="eastAsia" w:ascii="宋体" w:hAnsi="宋体"/>
                <w:bCs/>
                <w:sz w:val="24"/>
                <w:highlight w:val="none"/>
              </w:rPr>
              <w:t>全程智能语音提示引导</w:t>
            </w:r>
          </w:p>
        </w:tc>
        <w:tc>
          <w:tcPr>
            <w:tcW w:w="7105" w:type="dxa"/>
            <w:vAlign w:val="center"/>
          </w:tcPr>
          <w:p w14:paraId="3D58F6E2">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1F86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E1CE7E">
            <w:pPr>
              <w:spacing w:line="276" w:lineRule="auto"/>
              <w:jc w:val="both"/>
              <w:rPr>
                <w:rFonts w:hint="eastAsia" w:ascii="宋体" w:hAnsi="宋体"/>
                <w:bCs/>
                <w:sz w:val="24"/>
                <w:highlight w:val="none"/>
              </w:rPr>
            </w:pPr>
            <w:r>
              <w:rPr>
                <w:rFonts w:hint="eastAsia" w:ascii="宋体" w:hAnsi="宋体"/>
                <w:bCs/>
                <w:sz w:val="24"/>
                <w:highlight w:val="none"/>
              </w:rPr>
              <w:t>■10</w:t>
            </w:r>
          </w:p>
        </w:tc>
        <w:tc>
          <w:tcPr>
            <w:tcW w:w="1838" w:type="dxa"/>
            <w:vAlign w:val="center"/>
          </w:tcPr>
          <w:p w14:paraId="32EE1897">
            <w:pPr>
              <w:spacing w:line="276" w:lineRule="auto"/>
              <w:jc w:val="both"/>
              <w:rPr>
                <w:rFonts w:hint="eastAsia" w:ascii="宋体" w:hAnsi="宋体"/>
                <w:bCs/>
                <w:sz w:val="24"/>
                <w:highlight w:val="none"/>
              </w:rPr>
            </w:pPr>
            <w:r>
              <w:rPr>
                <w:rFonts w:hint="eastAsia" w:ascii="宋体" w:hAnsi="宋体"/>
                <w:bCs/>
                <w:sz w:val="24"/>
                <w:highlight w:val="none"/>
              </w:rPr>
              <w:t>无线传输距离</w:t>
            </w:r>
          </w:p>
        </w:tc>
        <w:tc>
          <w:tcPr>
            <w:tcW w:w="7105" w:type="dxa"/>
            <w:vAlign w:val="center"/>
          </w:tcPr>
          <w:p w14:paraId="4673CBAC">
            <w:pPr>
              <w:spacing w:line="276" w:lineRule="auto"/>
              <w:jc w:val="both"/>
              <w:rPr>
                <w:rFonts w:hint="eastAsia" w:ascii="宋体" w:hAnsi="宋体"/>
                <w:bCs/>
                <w:sz w:val="24"/>
                <w:highlight w:val="none"/>
              </w:rPr>
            </w:pPr>
            <w:r>
              <w:rPr>
                <w:rFonts w:hint="eastAsia" w:ascii="宋体" w:hAnsi="宋体"/>
                <w:bCs/>
                <w:sz w:val="24"/>
                <w:highlight w:val="none"/>
              </w:rPr>
              <w:t>监测仪器之间通过蓝牙进行信号传输，监测仪器与操作端通过WIFI方式进行无线远距离传输，信号传输距离≥60米</w:t>
            </w:r>
          </w:p>
        </w:tc>
      </w:tr>
      <w:tr w14:paraId="30A2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FB7D2C">
            <w:pPr>
              <w:spacing w:line="276" w:lineRule="auto"/>
              <w:jc w:val="both"/>
              <w:rPr>
                <w:rFonts w:hint="eastAsia" w:ascii="宋体" w:hAnsi="宋体"/>
                <w:bCs/>
                <w:sz w:val="24"/>
                <w:highlight w:val="none"/>
              </w:rPr>
            </w:pPr>
            <w:r>
              <w:rPr>
                <w:rFonts w:hint="eastAsia" w:ascii="宋体" w:hAnsi="宋体"/>
                <w:bCs/>
                <w:sz w:val="24"/>
                <w:highlight w:val="none"/>
              </w:rPr>
              <w:t>11</w:t>
            </w:r>
          </w:p>
        </w:tc>
        <w:tc>
          <w:tcPr>
            <w:tcW w:w="1838" w:type="dxa"/>
            <w:vAlign w:val="center"/>
          </w:tcPr>
          <w:p w14:paraId="563A2811">
            <w:pPr>
              <w:spacing w:line="276" w:lineRule="auto"/>
              <w:jc w:val="both"/>
              <w:rPr>
                <w:rFonts w:hint="eastAsia" w:ascii="宋体" w:hAnsi="宋体"/>
                <w:bCs/>
                <w:sz w:val="24"/>
                <w:highlight w:val="none"/>
              </w:rPr>
            </w:pPr>
            <w:r>
              <w:rPr>
                <w:rFonts w:hint="eastAsia" w:ascii="宋体" w:hAnsi="宋体"/>
                <w:bCs/>
                <w:sz w:val="24"/>
                <w:highlight w:val="none"/>
              </w:rPr>
              <w:t>心电功能</w:t>
            </w:r>
          </w:p>
        </w:tc>
        <w:tc>
          <w:tcPr>
            <w:tcW w:w="7105" w:type="dxa"/>
            <w:vAlign w:val="center"/>
          </w:tcPr>
          <w:p w14:paraId="5FAFA87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0D50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810B317">
            <w:pPr>
              <w:spacing w:line="276" w:lineRule="auto"/>
              <w:jc w:val="both"/>
              <w:rPr>
                <w:rFonts w:hint="eastAsia" w:ascii="宋体" w:hAnsi="宋体"/>
                <w:bCs/>
                <w:sz w:val="24"/>
                <w:highlight w:val="none"/>
              </w:rPr>
            </w:pPr>
            <w:r>
              <w:rPr>
                <w:rFonts w:hint="eastAsia" w:ascii="宋体" w:hAnsi="宋体"/>
                <w:bCs/>
                <w:sz w:val="24"/>
                <w:highlight w:val="none"/>
              </w:rPr>
              <w:t>*11.1</w:t>
            </w:r>
          </w:p>
        </w:tc>
        <w:tc>
          <w:tcPr>
            <w:tcW w:w="1838" w:type="dxa"/>
            <w:vAlign w:val="center"/>
          </w:tcPr>
          <w:p w14:paraId="1F506296">
            <w:pPr>
              <w:spacing w:line="276" w:lineRule="auto"/>
              <w:jc w:val="both"/>
              <w:rPr>
                <w:rFonts w:hint="eastAsia" w:ascii="宋体" w:hAnsi="宋体"/>
                <w:bCs/>
                <w:sz w:val="24"/>
                <w:highlight w:val="none"/>
              </w:rPr>
            </w:pPr>
            <w:r>
              <w:rPr>
                <w:rFonts w:hint="eastAsia" w:ascii="宋体" w:hAnsi="宋体"/>
                <w:bCs/>
                <w:sz w:val="24"/>
                <w:highlight w:val="none"/>
              </w:rPr>
              <w:t>心电信号采集功能</w:t>
            </w:r>
          </w:p>
        </w:tc>
        <w:tc>
          <w:tcPr>
            <w:tcW w:w="7105" w:type="dxa"/>
            <w:vAlign w:val="center"/>
          </w:tcPr>
          <w:p w14:paraId="37936FB2">
            <w:pPr>
              <w:spacing w:line="276" w:lineRule="auto"/>
              <w:jc w:val="both"/>
              <w:rPr>
                <w:rFonts w:hint="eastAsia" w:ascii="宋体" w:hAnsi="宋体"/>
                <w:bCs/>
                <w:sz w:val="24"/>
                <w:highlight w:val="none"/>
              </w:rPr>
            </w:pPr>
            <w:r>
              <w:rPr>
                <w:rFonts w:hint="eastAsia" w:ascii="宋体" w:hAnsi="宋体"/>
                <w:bCs/>
                <w:sz w:val="24"/>
                <w:highlight w:val="none"/>
              </w:rPr>
              <w:t>支持12导联和单导联心电信号2种或以上采集功能。</w:t>
            </w:r>
          </w:p>
        </w:tc>
      </w:tr>
      <w:tr w14:paraId="3D24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8DED679">
            <w:pPr>
              <w:spacing w:line="276" w:lineRule="auto"/>
              <w:jc w:val="both"/>
              <w:rPr>
                <w:rFonts w:hint="eastAsia" w:ascii="宋体" w:hAnsi="宋体"/>
                <w:bCs/>
                <w:sz w:val="24"/>
                <w:highlight w:val="none"/>
              </w:rPr>
            </w:pPr>
            <w:r>
              <w:rPr>
                <w:rFonts w:hint="eastAsia" w:ascii="宋体" w:hAnsi="宋体"/>
                <w:bCs/>
                <w:sz w:val="24"/>
                <w:highlight w:val="none"/>
              </w:rPr>
              <w:t>■11.2</w:t>
            </w:r>
          </w:p>
        </w:tc>
        <w:tc>
          <w:tcPr>
            <w:tcW w:w="1838" w:type="dxa"/>
            <w:vAlign w:val="center"/>
          </w:tcPr>
          <w:p w14:paraId="7F6031EE">
            <w:pPr>
              <w:spacing w:line="276" w:lineRule="auto"/>
              <w:jc w:val="both"/>
              <w:rPr>
                <w:rFonts w:hint="eastAsia" w:ascii="宋体" w:hAnsi="宋体"/>
                <w:bCs/>
                <w:sz w:val="24"/>
                <w:highlight w:val="none"/>
              </w:rPr>
            </w:pPr>
            <w:r>
              <w:rPr>
                <w:rFonts w:hint="eastAsia" w:ascii="宋体" w:hAnsi="宋体"/>
                <w:bCs/>
                <w:sz w:val="24"/>
                <w:highlight w:val="none"/>
              </w:rPr>
              <w:t>分析功能</w:t>
            </w:r>
          </w:p>
        </w:tc>
        <w:tc>
          <w:tcPr>
            <w:tcW w:w="7105" w:type="dxa"/>
            <w:vAlign w:val="center"/>
          </w:tcPr>
          <w:p w14:paraId="5A95E904">
            <w:pPr>
              <w:spacing w:line="276" w:lineRule="auto"/>
              <w:jc w:val="both"/>
              <w:rPr>
                <w:rFonts w:hint="eastAsia" w:ascii="宋体" w:hAnsi="宋体"/>
                <w:bCs/>
                <w:sz w:val="24"/>
                <w:highlight w:val="none"/>
              </w:rPr>
            </w:pPr>
            <w:r>
              <w:rPr>
                <w:rFonts w:hint="eastAsia" w:ascii="宋体" w:hAnsi="宋体"/>
                <w:bCs/>
                <w:sz w:val="24"/>
                <w:highlight w:val="none"/>
              </w:rPr>
              <w:t>具备心率变异性分析功能，并出具HRV分析报告，报告内包含SDNN、SDANN、ULE、庞加莱图等</w:t>
            </w:r>
          </w:p>
        </w:tc>
      </w:tr>
      <w:tr w14:paraId="0387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5D5AF8B">
            <w:pPr>
              <w:spacing w:line="276" w:lineRule="auto"/>
              <w:jc w:val="both"/>
              <w:rPr>
                <w:rFonts w:hint="eastAsia" w:ascii="宋体" w:hAnsi="宋体"/>
                <w:bCs/>
                <w:sz w:val="24"/>
                <w:highlight w:val="none"/>
              </w:rPr>
            </w:pPr>
            <w:r>
              <w:rPr>
                <w:rFonts w:hint="eastAsia" w:ascii="宋体" w:hAnsi="宋体"/>
                <w:bCs/>
                <w:sz w:val="24"/>
                <w:highlight w:val="none"/>
              </w:rPr>
              <w:t>12</w:t>
            </w:r>
          </w:p>
        </w:tc>
        <w:tc>
          <w:tcPr>
            <w:tcW w:w="1838" w:type="dxa"/>
            <w:vAlign w:val="center"/>
          </w:tcPr>
          <w:p w14:paraId="49E61452">
            <w:pPr>
              <w:spacing w:line="276" w:lineRule="auto"/>
              <w:jc w:val="both"/>
              <w:rPr>
                <w:rFonts w:hint="eastAsia" w:ascii="宋体" w:hAnsi="宋体"/>
                <w:bCs/>
                <w:sz w:val="24"/>
                <w:highlight w:val="none"/>
              </w:rPr>
            </w:pPr>
            <w:r>
              <w:rPr>
                <w:rFonts w:hint="eastAsia" w:ascii="宋体" w:hAnsi="宋体"/>
                <w:bCs/>
                <w:sz w:val="24"/>
                <w:highlight w:val="none"/>
              </w:rPr>
              <w:t>动态心电功能</w:t>
            </w:r>
          </w:p>
        </w:tc>
        <w:tc>
          <w:tcPr>
            <w:tcW w:w="7105" w:type="dxa"/>
            <w:vAlign w:val="center"/>
          </w:tcPr>
          <w:p w14:paraId="24654994">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6FE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6E6A50">
            <w:pPr>
              <w:spacing w:line="276" w:lineRule="auto"/>
              <w:jc w:val="both"/>
              <w:rPr>
                <w:rFonts w:hint="eastAsia" w:ascii="宋体" w:hAnsi="宋体"/>
                <w:bCs/>
                <w:sz w:val="24"/>
                <w:highlight w:val="none"/>
              </w:rPr>
            </w:pPr>
            <w:r>
              <w:rPr>
                <w:rFonts w:hint="eastAsia" w:ascii="宋体" w:hAnsi="宋体"/>
                <w:bCs/>
                <w:sz w:val="24"/>
                <w:highlight w:val="none"/>
              </w:rPr>
              <w:t>12.1</w:t>
            </w:r>
          </w:p>
        </w:tc>
        <w:tc>
          <w:tcPr>
            <w:tcW w:w="1838" w:type="dxa"/>
            <w:vAlign w:val="center"/>
          </w:tcPr>
          <w:p w14:paraId="42C0414D">
            <w:pPr>
              <w:spacing w:line="276" w:lineRule="auto"/>
              <w:jc w:val="both"/>
              <w:rPr>
                <w:rFonts w:hint="eastAsia" w:ascii="宋体" w:hAnsi="宋体"/>
                <w:bCs/>
                <w:sz w:val="24"/>
                <w:highlight w:val="none"/>
              </w:rPr>
            </w:pPr>
            <w:r>
              <w:rPr>
                <w:rFonts w:hint="eastAsia" w:ascii="宋体" w:hAnsi="宋体"/>
                <w:bCs/>
                <w:sz w:val="24"/>
                <w:highlight w:val="none"/>
              </w:rPr>
              <w:t>监测范围</w:t>
            </w:r>
          </w:p>
        </w:tc>
        <w:tc>
          <w:tcPr>
            <w:tcW w:w="7105" w:type="dxa"/>
            <w:vAlign w:val="center"/>
          </w:tcPr>
          <w:p w14:paraId="76A4306D">
            <w:pPr>
              <w:spacing w:line="276" w:lineRule="auto"/>
              <w:jc w:val="both"/>
              <w:rPr>
                <w:rFonts w:hint="eastAsia" w:ascii="宋体" w:hAnsi="宋体"/>
                <w:bCs/>
                <w:sz w:val="24"/>
                <w:highlight w:val="none"/>
              </w:rPr>
            </w:pPr>
            <w:r>
              <w:rPr>
                <w:rFonts w:hint="eastAsia" w:ascii="宋体" w:hAnsi="宋体"/>
                <w:bCs/>
                <w:sz w:val="24"/>
                <w:highlight w:val="none"/>
              </w:rPr>
              <w:t>15BPM～300BPM、精度±1BPM；</w:t>
            </w:r>
          </w:p>
        </w:tc>
      </w:tr>
      <w:tr w14:paraId="4AEC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FB2496">
            <w:pPr>
              <w:spacing w:line="276" w:lineRule="auto"/>
              <w:jc w:val="both"/>
              <w:rPr>
                <w:rFonts w:hint="eastAsia" w:ascii="宋体" w:hAnsi="宋体"/>
                <w:bCs/>
                <w:sz w:val="24"/>
                <w:highlight w:val="none"/>
              </w:rPr>
            </w:pPr>
            <w:r>
              <w:rPr>
                <w:rFonts w:hint="eastAsia" w:ascii="宋体" w:hAnsi="宋体"/>
                <w:bCs/>
                <w:sz w:val="24"/>
                <w:highlight w:val="none"/>
              </w:rPr>
              <w:t>12.2</w:t>
            </w:r>
          </w:p>
        </w:tc>
        <w:tc>
          <w:tcPr>
            <w:tcW w:w="1838" w:type="dxa"/>
            <w:vAlign w:val="center"/>
          </w:tcPr>
          <w:p w14:paraId="3B68955E">
            <w:pPr>
              <w:spacing w:line="276" w:lineRule="auto"/>
              <w:jc w:val="both"/>
              <w:rPr>
                <w:rFonts w:hint="eastAsia" w:ascii="宋体" w:hAnsi="宋体"/>
                <w:bCs/>
                <w:sz w:val="24"/>
                <w:highlight w:val="none"/>
              </w:rPr>
            </w:pPr>
            <w:r>
              <w:rPr>
                <w:rFonts w:hint="eastAsia" w:ascii="宋体" w:hAnsi="宋体"/>
                <w:bCs/>
                <w:sz w:val="24"/>
                <w:highlight w:val="none"/>
              </w:rPr>
              <w:t>频率响应</w:t>
            </w:r>
          </w:p>
        </w:tc>
        <w:tc>
          <w:tcPr>
            <w:tcW w:w="7105" w:type="dxa"/>
            <w:vAlign w:val="center"/>
          </w:tcPr>
          <w:p w14:paraId="509964C7">
            <w:pPr>
              <w:spacing w:line="276" w:lineRule="auto"/>
              <w:jc w:val="both"/>
              <w:rPr>
                <w:rFonts w:hint="eastAsia" w:ascii="宋体" w:hAnsi="宋体"/>
                <w:bCs/>
                <w:sz w:val="24"/>
                <w:highlight w:val="none"/>
              </w:rPr>
            </w:pPr>
            <w:r>
              <w:rPr>
                <w:rFonts w:hint="eastAsia" w:ascii="宋体" w:hAnsi="宋体"/>
                <w:bCs/>
                <w:sz w:val="24"/>
                <w:highlight w:val="none"/>
              </w:rPr>
              <w:t>0.05～150Hz（-3dB）</w:t>
            </w:r>
          </w:p>
        </w:tc>
      </w:tr>
      <w:tr w14:paraId="24A5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D26E26">
            <w:pPr>
              <w:spacing w:line="276" w:lineRule="auto"/>
              <w:jc w:val="both"/>
              <w:rPr>
                <w:rFonts w:hint="eastAsia" w:ascii="宋体" w:hAnsi="宋体"/>
                <w:bCs/>
                <w:sz w:val="24"/>
                <w:highlight w:val="none"/>
              </w:rPr>
            </w:pPr>
            <w:r>
              <w:rPr>
                <w:rFonts w:hint="eastAsia" w:ascii="宋体" w:hAnsi="宋体"/>
                <w:bCs/>
                <w:sz w:val="24"/>
                <w:highlight w:val="none"/>
              </w:rPr>
              <w:t>12.3</w:t>
            </w:r>
          </w:p>
        </w:tc>
        <w:tc>
          <w:tcPr>
            <w:tcW w:w="1838" w:type="dxa"/>
            <w:vAlign w:val="center"/>
          </w:tcPr>
          <w:p w14:paraId="7CA95C8B">
            <w:pPr>
              <w:spacing w:line="276" w:lineRule="auto"/>
              <w:jc w:val="both"/>
              <w:rPr>
                <w:rFonts w:hint="eastAsia" w:ascii="宋体" w:hAnsi="宋体"/>
                <w:bCs/>
                <w:sz w:val="24"/>
                <w:highlight w:val="none"/>
              </w:rPr>
            </w:pPr>
            <w:r>
              <w:rPr>
                <w:rFonts w:hint="eastAsia" w:ascii="宋体" w:hAnsi="宋体"/>
                <w:bCs/>
                <w:sz w:val="24"/>
                <w:highlight w:val="none"/>
              </w:rPr>
              <w:t>共模抑制(CMRR)</w:t>
            </w:r>
          </w:p>
        </w:tc>
        <w:tc>
          <w:tcPr>
            <w:tcW w:w="7105" w:type="dxa"/>
            <w:vAlign w:val="center"/>
          </w:tcPr>
          <w:p w14:paraId="07B15CE8">
            <w:pPr>
              <w:spacing w:line="276" w:lineRule="auto"/>
              <w:jc w:val="both"/>
              <w:rPr>
                <w:rFonts w:hint="eastAsia" w:ascii="宋体" w:hAnsi="宋体"/>
                <w:bCs/>
                <w:sz w:val="24"/>
                <w:highlight w:val="none"/>
              </w:rPr>
            </w:pPr>
            <w:r>
              <w:rPr>
                <w:rFonts w:hint="eastAsia" w:ascii="宋体" w:hAnsi="宋体"/>
                <w:bCs/>
                <w:sz w:val="24"/>
                <w:highlight w:val="none"/>
              </w:rPr>
              <w:t>≥ 105dB</w:t>
            </w:r>
          </w:p>
        </w:tc>
      </w:tr>
      <w:tr w14:paraId="6E7E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435A32">
            <w:pPr>
              <w:spacing w:line="276" w:lineRule="auto"/>
              <w:jc w:val="both"/>
              <w:rPr>
                <w:rFonts w:hint="eastAsia" w:ascii="宋体" w:hAnsi="宋体"/>
                <w:bCs/>
                <w:sz w:val="24"/>
                <w:highlight w:val="none"/>
              </w:rPr>
            </w:pPr>
            <w:r>
              <w:rPr>
                <w:rFonts w:hint="eastAsia" w:ascii="宋体" w:hAnsi="宋体"/>
                <w:bCs/>
                <w:sz w:val="24"/>
                <w:highlight w:val="none"/>
              </w:rPr>
              <w:t>12.4</w:t>
            </w:r>
          </w:p>
        </w:tc>
        <w:tc>
          <w:tcPr>
            <w:tcW w:w="1838" w:type="dxa"/>
            <w:vAlign w:val="center"/>
          </w:tcPr>
          <w:p w14:paraId="2E2780AA">
            <w:pPr>
              <w:spacing w:line="276" w:lineRule="auto"/>
              <w:jc w:val="both"/>
              <w:rPr>
                <w:rFonts w:hint="eastAsia" w:ascii="宋体" w:hAnsi="宋体"/>
                <w:bCs/>
                <w:sz w:val="24"/>
                <w:highlight w:val="none"/>
              </w:rPr>
            </w:pPr>
            <w:r>
              <w:rPr>
                <w:rFonts w:hint="eastAsia" w:ascii="宋体" w:hAnsi="宋体"/>
                <w:bCs/>
                <w:sz w:val="24"/>
                <w:highlight w:val="none"/>
              </w:rPr>
              <w:t>最高采样率</w:t>
            </w:r>
          </w:p>
        </w:tc>
        <w:tc>
          <w:tcPr>
            <w:tcW w:w="7105" w:type="dxa"/>
            <w:vAlign w:val="center"/>
          </w:tcPr>
          <w:p w14:paraId="77688710">
            <w:pPr>
              <w:spacing w:line="276" w:lineRule="auto"/>
              <w:jc w:val="both"/>
              <w:rPr>
                <w:rFonts w:hint="eastAsia" w:ascii="宋体" w:hAnsi="宋体"/>
                <w:bCs/>
                <w:sz w:val="24"/>
                <w:highlight w:val="none"/>
              </w:rPr>
            </w:pPr>
            <w:r>
              <w:rPr>
                <w:rFonts w:hint="eastAsia" w:ascii="宋体" w:hAnsi="宋体"/>
                <w:bCs/>
                <w:sz w:val="24"/>
                <w:highlight w:val="none"/>
              </w:rPr>
              <w:t>≥10000点/秒/通道</w:t>
            </w:r>
          </w:p>
        </w:tc>
      </w:tr>
      <w:tr w14:paraId="13F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70A9E1">
            <w:pPr>
              <w:spacing w:line="276" w:lineRule="auto"/>
              <w:jc w:val="both"/>
              <w:rPr>
                <w:rFonts w:hint="eastAsia" w:ascii="宋体" w:hAnsi="宋体"/>
                <w:bCs/>
                <w:sz w:val="24"/>
                <w:highlight w:val="none"/>
              </w:rPr>
            </w:pPr>
            <w:r>
              <w:rPr>
                <w:rFonts w:hint="eastAsia" w:ascii="宋体" w:hAnsi="宋体"/>
                <w:bCs/>
                <w:sz w:val="24"/>
                <w:highlight w:val="none"/>
              </w:rPr>
              <w:t>13</w:t>
            </w:r>
          </w:p>
        </w:tc>
        <w:tc>
          <w:tcPr>
            <w:tcW w:w="1838" w:type="dxa"/>
            <w:vAlign w:val="center"/>
          </w:tcPr>
          <w:p w14:paraId="103EA96F">
            <w:pPr>
              <w:spacing w:line="276" w:lineRule="auto"/>
              <w:jc w:val="both"/>
              <w:rPr>
                <w:rFonts w:hint="eastAsia" w:ascii="宋体" w:hAnsi="宋体"/>
                <w:bCs/>
                <w:sz w:val="24"/>
                <w:highlight w:val="none"/>
              </w:rPr>
            </w:pPr>
            <w:r>
              <w:rPr>
                <w:rFonts w:hint="eastAsia" w:ascii="宋体" w:hAnsi="宋体"/>
                <w:bCs/>
                <w:sz w:val="24"/>
                <w:highlight w:val="none"/>
              </w:rPr>
              <w:t>血氧功能</w:t>
            </w:r>
          </w:p>
        </w:tc>
        <w:tc>
          <w:tcPr>
            <w:tcW w:w="7105" w:type="dxa"/>
            <w:vAlign w:val="center"/>
          </w:tcPr>
          <w:p w14:paraId="73F70862">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1A37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9B588E">
            <w:pPr>
              <w:spacing w:line="276" w:lineRule="auto"/>
              <w:jc w:val="both"/>
              <w:rPr>
                <w:rFonts w:hint="eastAsia" w:ascii="宋体" w:hAnsi="宋体"/>
                <w:bCs/>
                <w:sz w:val="24"/>
                <w:highlight w:val="none"/>
              </w:rPr>
            </w:pPr>
            <w:r>
              <w:rPr>
                <w:rFonts w:hint="eastAsia" w:ascii="宋体" w:hAnsi="宋体"/>
                <w:bCs/>
                <w:sz w:val="24"/>
                <w:highlight w:val="none"/>
              </w:rPr>
              <w:t>13.1</w:t>
            </w:r>
          </w:p>
        </w:tc>
        <w:tc>
          <w:tcPr>
            <w:tcW w:w="1838" w:type="dxa"/>
            <w:vAlign w:val="center"/>
          </w:tcPr>
          <w:p w14:paraId="207E9A13">
            <w:pPr>
              <w:spacing w:line="276" w:lineRule="auto"/>
              <w:jc w:val="both"/>
              <w:rPr>
                <w:rFonts w:hint="eastAsia" w:ascii="宋体" w:hAnsi="宋体"/>
                <w:bCs/>
                <w:sz w:val="24"/>
                <w:highlight w:val="none"/>
              </w:rPr>
            </w:pPr>
            <w:r>
              <w:rPr>
                <w:rFonts w:hint="eastAsia" w:ascii="宋体" w:hAnsi="宋体"/>
                <w:bCs/>
                <w:sz w:val="24"/>
                <w:highlight w:val="none"/>
              </w:rPr>
              <w:t>血氧测量范围</w:t>
            </w:r>
          </w:p>
        </w:tc>
        <w:tc>
          <w:tcPr>
            <w:tcW w:w="7105" w:type="dxa"/>
            <w:vAlign w:val="center"/>
          </w:tcPr>
          <w:p w14:paraId="3E46AEB6">
            <w:pPr>
              <w:spacing w:line="276" w:lineRule="auto"/>
              <w:jc w:val="both"/>
              <w:rPr>
                <w:rFonts w:hint="eastAsia" w:ascii="宋体" w:hAnsi="宋体"/>
                <w:bCs/>
                <w:sz w:val="24"/>
                <w:highlight w:val="none"/>
              </w:rPr>
            </w:pPr>
            <w:r>
              <w:rPr>
                <w:rFonts w:hint="eastAsia" w:ascii="宋体" w:hAnsi="宋体"/>
                <w:bCs/>
                <w:sz w:val="24"/>
                <w:highlight w:val="none"/>
              </w:rPr>
              <w:t>35%～100%</w:t>
            </w:r>
          </w:p>
        </w:tc>
      </w:tr>
      <w:tr w14:paraId="4322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5428F73">
            <w:pPr>
              <w:spacing w:line="276" w:lineRule="auto"/>
              <w:jc w:val="both"/>
              <w:rPr>
                <w:rFonts w:hint="eastAsia" w:ascii="宋体" w:hAnsi="宋体"/>
                <w:bCs/>
                <w:sz w:val="24"/>
                <w:highlight w:val="none"/>
              </w:rPr>
            </w:pPr>
            <w:r>
              <w:rPr>
                <w:rFonts w:hint="eastAsia" w:ascii="宋体" w:hAnsi="宋体"/>
                <w:bCs/>
                <w:sz w:val="24"/>
                <w:highlight w:val="none"/>
              </w:rPr>
              <w:t>■13.2</w:t>
            </w:r>
          </w:p>
        </w:tc>
        <w:tc>
          <w:tcPr>
            <w:tcW w:w="1838" w:type="dxa"/>
            <w:vAlign w:val="center"/>
          </w:tcPr>
          <w:p w14:paraId="467C1E47">
            <w:pPr>
              <w:spacing w:line="276" w:lineRule="auto"/>
              <w:jc w:val="both"/>
              <w:rPr>
                <w:rFonts w:hint="eastAsia" w:ascii="宋体" w:hAnsi="宋体"/>
                <w:bCs/>
                <w:sz w:val="24"/>
                <w:highlight w:val="none"/>
              </w:rPr>
            </w:pPr>
            <w:r>
              <w:rPr>
                <w:rFonts w:hint="eastAsia" w:ascii="宋体" w:hAnsi="宋体"/>
                <w:bCs/>
                <w:sz w:val="24"/>
                <w:highlight w:val="none"/>
              </w:rPr>
              <w:t>血氧精确度</w:t>
            </w:r>
          </w:p>
        </w:tc>
        <w:tc>
          <w:tcPr>
            <w:tcW w:w="7105" w:type="dxa"/>
            <w:vAlign w:val="center"/>
          </w:tcPr>
          <w:p w14:paraId="1512F3E2">
            <w:pPr>
              <w:spacing w:line="276" w:lineRule="auto"/>
              <w:jc w:val="both"/>
              <w:rPr>
                <w:rFonts w:hint="eastAsia" w:ascii="宋体" w:hAnsi="宋体"/>
                <w:bCs/>
                <w:sz w:val="24"/>
                <w:highlight w:val="none"/>
              </w:rPr>
            </w:pPr>
            <w:r>
              <w:rPr>
                <w:rFonts w:hint="eastAsia" w:ascii="宋体" w:hAnsi="宋体"/>
                <w:bCs/>
                <w:sz w:val="24"/>
                <w:highlight w:val="none"/>
              </w:rPr>
              <w:t>≤±3%</w:t>
            </w:r>
          </w:p>
        </w:tc>
      </w:tr>
      <w:tr w14:paraId="77BB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2B01FC">
            <w:pPr>
              <w:spacing w:line="276" w:lineRule="auto"/>
              <w:jc w:val="both"/>
              <w:rPr>
                <w:rFonts w:hint="eastAsia" w:ascii="宋体" w:hAnsi="宋体"/>
                <w:bCs/>
                <w:sz w:val="24"/>
                <w:highlight w:val="none"/>
              </w:rPr>
            </w:pPr>
            <w:r>
              <w:rPr>
                <w:rFonts w:hint="eastAsia" w:ascii="宋体" w:hAnsi="宋体"/>
                <w:bCs/>
                <w:sz w:val="24"/>
                <w:highlight w:val="none"/>
              </w:rPr>
              <w:t>14</w:t>
            </w:r>
          </w:p>
        </w:tc>
        <w:tc>
          <w:tcPr>
            <w:tcW w:w="1838" w:type="dxa"/>
            <w:vAlign w:val="center"/>
          </w:tcPr>
          <w:p w14:paraId="4623F8CA">
            <w:pPr>
              <w:spacing w:line="276" w:lineRule="auto"/>
              <w:jc w:val="both"/>
              <w:rPr>
                <w:rFonts w:hint="eastAsia" w:ascii="宋体" w:hAnsi="宋体"/>
                <w:bCs/>
                <w:sz w:val="24"/>
                <w:highlight w:val="none"/>
              </w:rPr>
            </w:pPr>
            <w:r>
              <w:rPr>
                <w:rFonts w:hint="eastAsia" w:ascii="宋体" w:hAnsi="宋体"/>
                <w:bCs/>
                <w:sz w:val="24"/>
                <w:highlight w:val="none"/>
              </w:rPr>
              <w:t>血压功能</w:t>
            </w:r>
          </w:p>
        </w:tc>
        <w:tc>
          <w:tcPr>
            <w:tcW w:w="7105" w:type="dxa"/>
            <w:vAlign w:val="center"/>
          </w:tcPr>
          <w:p w14:paraId="2576D9D4">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324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FB4B0B">
            <w:pPr>
              <w:spacing w:line="276" w:lineRule="auto"/>
              <w:jc w:val="both"/>
              <w:rPr>
                <w:rFonts w:hint="eastAsia" w:ascii="宋体" w:hAnsi="宋体"/>
                <w:bCs/>
                <w:sz w:val="24"/>
                <w:highlight w:val="none"/>
              </w:rPr>
            </w:pPr>
            <w:r>
              <w:rPr>
                <w:rFonts w:hint="eastAsia" w:ascii="宋体" w:hAnsi="宋体"/>
                <w:bCs/>
                <w:sz w:val="24"/>
                <w:highlight w:val="none"/>
              </w:rPr>
              <w:t>14.1</w:t>
            </w:r>
          </w:p>
        </w:tc>
        <w:tc>
          <w:tcPr>
            <w:tcW w:w="1838" w:type="dxa"/>
            <w:vAlign w:val="center"/>
          </w:tcPr>
          <w:p w14:paraId="0689DE61">
            <w:pPr>
              <w:spacing w:line="276" w:lineRule="auto"/>
              <w:jc w:val="both"/>
              <w:rPr>
                <w:rFonts w:hint="eastAsia" w:ascii="宋体" w:hAnsi="宋体"/>
                <w:bCs/>
                <w:sz w:val="24"/>
                <w:highlight w:val="none"/>
              </w:rPr>
            </w:pPr>
            <w:r>
              <w:rPr>
                <w:rFonts w:hint="eastAsia" w:ascii="宋体" w:hAnsi="宋体"/>
                <w:bCs/>
                <w:sz w:val="24"/>
                <w:highlight w:val="none"/>
              </w:rPr>
              <w:t>血压测量范围</w:t>
            </w:r>
          </w:p>
        </w:tc>
        <w:tc>
          <w:tcPr>
            <w:tcW w:w="7105" w:type="dxa"/>
            <w:vAlign w:val="center"/>
          </w:tcPr>
          <w:p w14:paraId="00837525">
            <w:pPr>
              <w:spacing w:line="276" w:lineRule="auto"/>
              <w:jc w:val="both"/>
              <w:rPr>
                <w:rFonts w:hint="eastAsia" w:ascii="宋体" w:hAnsi="宋体"/>
                <w:bCs/>
                <w:sz w:val="24"/>
                <w:highlight w:val="none"/>
              </w:rPr>
            </w:pPr>
            <w:r>
              <w:rPr>
                <w:rFonts w:hint="eastAsia" w:ascii="宋体" w:hAnsi="宋体"/>
                <w:bCs/>
                <w:sz w:val="24"/>
                <w:highlight w:val="none"/>
              </w:rPr>
              <w:t>0-299mmHg，分辨率1mmHg</w:t>
            </w:r>
          </w:p>
        </w:tc>
      </w:tr>
      <w:tr w14:paraId="1D08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10C16F">
            <w:pPr>
              <w:spacing w:line="276" w:lineRule="auto"/>
              <w:jc w:val="both"/>
              <w:rPr>
                <w:rFonts w:hint="eastAsia" w:ascii="宋体" w:hAnsi="宋体"/>
                <w:bCs/>
                <w:sz w:val="24"/>
                <w:highlight w:val="none"/>
              </w:rPr>
            </w:pPr>
            <w:r>
              <w:rPr>
                <w:rFonts w:hint="eastAsia" w:ascii="宋体" w:hAnsi="宋体"/>
                <w:bCs/>
                <w:sz w:val="24"/>
                <w:highlight w:val="none"/>
              </w:rPr>
              <w:t>■14.2</w:t>
            </w:r>
          </w:p>
        </w:tc>
        <w:tc>
          <w:tcPr>
            <w:tcW w:w="1838" w:type="dxa"/>
            <w:vAlign w:val="center"/>
          </w:tcPr>
          <w:p w14:paraId="755BF08D">
            <w:pPr>
              <w:spacing w:line="276" w:lineRule="auto"/>
              <w:jc w:val="both"/>
              <w:rPr>
                <w:rFonts w:hint="eastAsia" w:ascii="宋体" w:hAnsi="宋体"/>
                <w:bCs/>
                <w:sz w:val="24"/>
                <w:highlight w:val="none"/>
              </w:rPr>
            </w:pPr>
            <w:r>
              <w:rPr>
                <w:rFonts w:hint="eastAsia" w:ascii="宋体" w:hAnsi="宋体"/>
                <w:bCs/>
                <w:sz w:val="24"/>
                <w:highlight w:val="none"/>
              </w:rPr>
              <w:t>血压准确度</w:t>
            </w:r>
          </w:p>
        </w:tc>
        <w:tc>
          <w:tcPr>
            <w:tcW w:w="7105" w:type="dxa"/>
            <w:vAlign w:val="center"/>
          </w:tcPr>
          <w:p w14:paraId="5F82A5EF">
            <w:pPr>
              <w:spacing w:line="276" w:lineRule="auto"/>
              <w:jc w:val="both"/>
              <w:rPr>
                <w:rFonts w:hint="eastAsia" w:ascii="宋体" w:hAnsi="宋体"/>
                <w:bCs/>
                <w:sz w:val="24"/>
                <w:highlight w:val="none"/>
              </w:rPr>
            </w:pPr>
            <w:r>
              <w:rPr>
                <w:rFonts w:hint="eastAsia" w:ascii="宋体" w:hAnsi="宋体"/>
                <w:bCs/>
                <w:sz w:val="24"/>
                <w:highlight w:val="none"/>
              </w:rPr>
              <w:t>≤±3mmHg</w:t>
            </w:r>
          </w:p>
        </w:tc>
      </w:tr>
      <w:tr w14:paraId="2609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524637B6">
            <w:pPr>
              <w:spacing w:line="276" w:lineRule="auto"/>
              <w:jc w:val="both"/>
              <w:rPr>
                <w:rFonts w:hint="eastAsia" w:ascii="宋体" w:hAnsi="宋体"/>
                <w:bCs/>
                <w:sz w:val="24"/>
                <w:highlight w:val="none"/>
              </w:rPr>
            </w:pPr>
            <w:r>
              <w:rPr>
                <w:rFonts w:hint="eastAsia" w:ascii="宋体" w:hAnsi="宋体"/>
                <w:bCs/>
                <w:sz w:val="24"/>
                <w:highlight w:val="none"/>
              </w:rPr>
              <w:t>15</w:t>
            </w:r>
          </w:p>
        </w:tc>
        <w:tc>
          <w:tcPr>
            <w:tcW w:w="1838" w:type="dxa"/>
            <w:vAlign w:val="center"/>
          </w:tcPr>
          <w:p w14:paraId="68CB4E4A">
            <w:pPr>
              <w:spacing w:line="276" w:lineRule="auto"/>
              <w:jc w:val="both"/>
              <w:rPr>
                <w:rFonts w:hint="eastAsia" w:ascii="宋体" w:hAnsi="宋体"/>
                <w:bCs/>
                <w:sz w:val="24"/>
                <w:highlight w:val="none"/>
              </w:rPr>
            </w:pPr>
            <w:r>
              <w:rPr>
                <w:rFonts w:hint="eastAsia" w:ascii="宋体" w:hAnsi="宋体"/>
                <w:bCs/>
                <w:sz w:val="24"/>
                <w:highlight w:val="none"/>
              </w:rPr>
              <w:t>肺功能</w:t>
            </w:r>
          </w:p>
        </w:tc>
        <w:tc>
          <w:tcPr>
            <w:tcW w:w="7105" w:type="dxa"/>
            <w:vAlign w:val="center"/>
          </w:tcPr>
          <w:p w14:paraId="58EB0BF7">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4514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25ADB5D">
            <w:pPr>
              <w:spacing w:line="276" w:lineRule="auto"/>
              <w:jc w:val="both"/>
              <w:rPr>
                <w:rFonts w:hint="eastAsia" w:ascii="宋体" w:hAnsi="宋体"/>
                <w:bCs/>
                <w:sz w:val="24"/>
                <w:highlight w:val="none"/>
              </w:rPr>
            </w:pPr>
            <w:r>
              <w:rPr>
                <w:rFonts w:hint="eastAsia" w:ascii="宋体" w:hAnsi="宋体"/>
                <w:bCs/>
                <w:sz w:val="24"/>
                <w:highlight w:val="none"/>
              </w:rPr>
              <w:t>*15.1</w:t>
            </w:r>
          </w:p>
        </w:tc>
        <w:tc>
          <w:tcPr>
            <w:tcW w:w="1838" w:type="dxa"/>
            <w:vAlign w:val="center"/>
          </w:tcPr>
          <w:p w14:paraId="7CE32E4A">
            <w:pPr>
              <w:spacing w:line="276" w:lineRule="auto"/>
              <w:jc w:val="both"/>
              <w:rPr>
                <w:rFonts w:hint="eastAsia" w:ascii="宋体" w:hAnsi="宋体"/>
                <w:bCs/>
                <w:sz w:val="24"/>
                <w:highlight w:val="none"/>
              </w:rPr>
            </w:pPr>
            <w:r>
              <w:rPr>
                <w:rFonts w:hint="eastAsia" w:ascii="宋体" w:hAnsi="宋体"/>
                <w:bCs/>
                <w:sz w:val="24"/>
                <w:highlight w:val="none"/>
              </w:rPr>
              <w:t>肺功能测试</w:t>
            </w:r>
          </w:p>
        </w:tc>
        <w:tc>
          <w:tcPr>
            <w:tcW w:w="7105" w:type="dxa"/>
            <w:vAlign w:val="center"/>
          </w:tcPr>
          <w:p w14:paraId="0C826EDD">
            <w:pPr>
              <w:spacing w:line="276" w:lineRule="auto"/>
              <w:jc w:val="both"/>
              <w:rPr>
                <w:rFonts w:hint="eastAsia" w:ascii="宋体" w:hAnsi="宋体"/>
                <w:bCs/>
                <w:sz w:val="24"/>
                <w:highlight w:val="none"/>
              </w:rPr>
            </w:pPr>
            <w:r>
              <w:rPr>
                <w:rFonts w:hint="eastAsia" w:ascii="宋体" w:hAnsi="宋体"/>
                <w:bCs/>
                <w:sz w:val="24"/>
                <w:highlight w:val="none"/>
              </w:rPr>
              <w:t>FVC（用力肺活量）：FVC、FEV1（第1秒用力呼气容积）、FEV1/FVC（一秒率）、 PEF（最大呼气流量）、FEF25（最大肺活量的25%时的呼气流速）等呼气指标，支持运动前、后可抓取三份肺功能仪数值报告，供临床医生择优选择</w:t>
            </w:r>
          </w:p>
        </w:tc>
      </w:tr>
      <w:tr w14:paraId="307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2A6687">
            <w:pPr>
              <w:spacing w:line="276" w:lineRule="auto"/>
              <w:jc w:val="both"/>
              <w:rPr>
                <w:rFonts w:hint="eastAsia" w:ascii="宋体" w:hAnsi="宋体"/>
                <w:bCs/>
                <w:sz w:val="24"/>
                <w:highlight w:val="none"/>
              </w:rPr>
            </w:pPr>
            <w:r>
              <w:rPr>
                <w:rFonts w:hint="eastAsia" w:ascii="宋体" w:hAnsi="宋体"/>
                <w:bCs/>
                <w:sz w:val="24"/>
                <w:highlight w:val="none"/>
              </w:rPr>
              <w:t>15.2</w:t>
            </w:r>
          </w:p>
        </w:tc>
        <w:tc>
          <w:tcPr>
            <w:tcW w:w="1838" w:type="dxa"/>
            <w:vAlign w:val="center"/>
          </w:tcPr>
          <w:p w14:paraId="1923CE3A">
            <w:pPr>
              <w:spacing w:line="276" w:lineRule="auto"/>
              <w:jc w:val="both"/>
              <w:rPr>
                <w:rFonts w:hint="eastAsia" w:ascii="宋体" w:hAnsi="宋体"/>
                <w:bCs/>
                <w:sz w:val="24"/>
                <w:highlight w:val="none"/>
              </w:rPr>
            </w:pPr>
            <w:r>
              <w:rPr>
                <w:rFonts w:hint="eastAsia" w:ascii="宋体" w:hAnsi="宋体"/>
                <w:bCs/>
                <w:sz w:val="24"/>
                <w:highlight w:val="none"/>
              </w:rPr>
              <w:t>容量范围</w:t>
            </w:r>
          </w:p>
        </w:tc>
        <w:tc>
          <w:tcPr>
            <w:tcW w:w="7105" w:type="dxa"/>
            <w:vAlign w:val="center"/>
          </w:tcPr>
          <w:p w14:paraId="48966CC8">
            <w:pPr>
              <w:spacing w:line="276" w:lineRule="auto"/>
              <w:jc w:val="both"/>
              <w:rPr>
                <w:rFonts w:hint="eastAsia" w:ascii="宋体" w:hAnsi="宋体"/>
                <w:bCs/>
                <w:sz w:val="24"/>
                <w:highlight w:val="none"/>
              </w:rPr>
            </w:pPr>
            <w:r>
              <w:rPr>
                <w:rFonts w:hint="eastAsia" w:ascii="宋体" w:hAnsi="宋体"/>
                <w:bCs/>
                <w:sz w:val="24"/>
                <w:highlight w:val="none"/>
              </w:rPr>
              <w:t>0-10L</w:t>
            </w:r>
          </w:p>
        </w:tc>
      </w:tr>
      <w:tr w14:paraId="3D61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74E89C">
            <w:pPr>
              <w:spacing w:line="276" w:lineRule="auto"/>
              <w:jc w:val="both"/>
              <w:rPr>
                <w:rFonts w:hint="eastAsia" w:ascii="宋体" w:hAnsi="宋体"/>
                <w:bCs/>
                <w:sz w:val="24"/>
                <w:highlight w:val="none"/>
              </w:rPr>
            </w:pPr>
            <w:r>
              <w:rPr>
                <w:rFonts w:hint="eastAsia" w:ascii="宋体" w:hAnsi="宋体"/>
                <w:bCs/>
                <w:sz w:val="24"/>
                <w:highlight w:val="none"/>
              </w:rPr>
              <w:t>15.3</w:t>
            </w:r>
          </w:p>
        </w:tc>
        <w:tc>
          <w:tcPr>
            <w:tcW w:w="1838" w:type="dxa"/>
            <w:vAlign w:val="center"/>
          </w:tcPr>
          <w:p w14:paraId="1BB14336">
            <w:pPr>
              <w:spacing w:line="276" w:lineRule="auto"/>
              <w:jc w:val="both"/>
              <w:rPr>
                <w:rFonts w:hint="eastAsia" w:ascii="宋体" w:hAnsi="宋体"/>
                <w:bCs/>
                <w:sz w:val="24"/>
                <w:highlight w:val="none"/>
              </w:rPr>
            </w:pPr>
            <w:r>
              <w:rPr>
                <w:rFonts w:hint="eastAsia" w:ascii="宋体" w:hAnsi="宋体"/>
                <w:bCs/>
                <w:sz w:val="24"/>
                <w:highlight w:val="none"/>
              </w:rPr>
              <w:t>流速范围</w:t>
            </w:r>
          </w:p>
        </w:tc>
        <w:tc>
          <w:tcPr>
            <w:tcW w:w="7105" w:type="dxa"/>
            <w:vAlign w:val="center"/>
          </w:tcPr>
          <w:p w14:paraId="752273AE">
            <w:pPr>
              <w:spacing w:line="276" w:lineRule="auto"/>
              <w:jc w:val="both"/>
              <w:rPr>
                <w:rFonts w:hint="eastAsia" w:ascii="宋体" w:hAnsi="宋体"/>
                <w:bCs/>
                <w:sz w:val="24"/>
                <w:highlight w:val="none"/>
              </w:rPr>
            </w:pPr>
            <w:r>
              <w:rPr>
                <w:rFonts w:hint="eastAsia" w:ascii="宋体" w:hAnsi="宋体"/>
                <w:bCs/>
                <w:sz w:val="24"/>
                <w:highlight w:val="none"/>
              </w:rPr>
              <w:t>0 L/s-16 L/s</w:t>
            </w:r>
          </w:p>
        </w:tc>
      </w:tr>
      <w:tr w14:paraId="52AF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60F0EB">
            <w:pPr>
              <w:spacing w:line="276" w:lineRule="auto"/>
              <w:jc w:val="both"/>
              <w:rPr>
                <w:rFonts w:hint="eastAsia" w:ascii="宋体" w:hAnsi="宋体"/>
                <w:bCs/>
                <w:sz w:val="24"/>
                <w:highlight w:val="none"/>
              </w:rPr>
            </w:pPr>
            <w:r>
              <w:rPr>
                <w:rFonts w:hint="eastAsia" w:ascii="宋体" w:hAnsi="宋体"/>
                <w:bCs/>
                <w:sz w:val="24"/>
                <w:highlight w:val="none"/>
              </w:rPr>
              <w:t>■15.4</w:t>
            </w:r>
          </w:p>
        </w:tc>
        <w:tc>
          <w:tcPr>
            <w:tcW w:w="1838" w:type="dxa"/>
            <w:vAlign w:val="center"/>
          </w:tcPr>
          <w:p w14:paraId="19FB155B">
            <w:pPr>
              <w:spacing w:line="276" w:lineRule="auto"/>
              <w:jc w:val="both"/>
              <w:rPr>
                <w:rFonts w:hint="eastAsia" w:ascii="宋体" w:hAnsi="宋体"/>
                <w:bCs/>
                <w:sz w:val="24"/>
                <w:highlight w:val="none"/>
              </w:rPr>
            </w:pPr>
            <w:r>
              <w:rPr>
                <w:rFonts w:hint="eastAsia" w:ascii="宋体" w:hAnsi="宋体"/>
                <w:bCs/>
                <w:sz w:val="24"/>
                <w:highlight w:val="none"/>
              </w:rPr>
              <w:t>实时异常事件记录</w:t>
            </w:r>
          </w:p>
        </w:tc>
        <w:tc>
          <w:tcPr>
            <w:tcW w:w="7105" w:type="dxa"/>
            <w:vAlign w:val="center"/>
          </w:tcPr>
          <w:p w14:paraId="172929B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4F93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8DDA43">
            <w:pPr>
              <w:spacing w:line="276" w:lineRule="auto"/>
              <w:jc w:val="both"/>
              <w:rPr>
                <w:rFonts w:hint="eastAsia" w:ascii="宋体" w:hAnsi="宋体"/>
                <w:bCs/>
                <w:sz w:val="24"/>
                <w:highlight w:val="none"/>
              </w:rPr>
            </w:pPr>
            <w:r>
              <w:rPr>
                <w:rFonts w:hint="eastAsia" w:ascii="宋体" w:hAnsi="宋体"/>
                <w:bCs/>
                <w:sz w:val="24"/>
                <w:highlight w:val="none"/>
              </w:rPr>
              <w:t>■16</w:t>
            </w:r>
          </w:p>
        </w:tc>
        <w:tc>
          <w:tcPr>
            <w:tcW w:w="1838" w:type="dxa"/>
            <w:vAlign w:val="center"/>
          </w:tcPr>
          <w:p w14:paraId="72016AD8">
            <w:pPr>
              <w:spacing w:line="276" w:lineRule="auto"/>
              <w:jc w:val="both"/>
              <w:rPr>
                <w:rFonts w:hint="eastAsia" w:ascii="宋体" w:hAnsi="宋体"/>
                <w:bCs/>
                <w:sz w:val="24"/>
                <w:highlight w:val="none"/>
              </w:rPr>
            </w:pPr>
            <w:r>
              <w:rPr>
                <w:rFonts w:hint="eastAsia" w:ascii="宋体" w:hAnsi="宋体"/>
                <w:bCs/>
                <w:sz w:val="24"/>
                <w:highlight w:val="none"/>
              </w:rPr>
              <w:t>呼吸性能指标</w:t>
            </w:r>
          </w:p>
        </w:tc>
        <w:tc>
          <w:tcPr>
            <w:tcW w:w="7105" w:type="dxa"/>
            <w:vAlign w:val="center"/>
          </w:tcPr>
          <w:p w14:paraId="7ADAFEAB">
            <w:pPr>
              <w:spacing w:line="276" w:lineRule="auto"/>
              <w:jc w:val="both"/>
              <w:rPr>
                <w:rFonts w:hint="eastAsia" w:ascii="宋体" w:hAnsi="宋体"/>
                <w:bCs/>
                <w:sz w:val="24"/>
                <w:highlight w:val="none"/>
              </w:rPr>
            </w:pPr>
            <w:r>
              <w:rPr>
                <w:rFonts w:hint="eastAsia" w:ascii="宋体" w:hAnsi="宋体"/>
                <w:bCs/>
                <w:sz w:val="24"/>
                <w:highlight w:val="none"/>
              </w:rPr>
              <w:t>使用传感器通过呼吸感应体积描记技术（RIP）进行呼吸率采样，呼吸率范围具备6BPM-70BPM、分辨率≥1BPM；（提供证明文件）</w:t>
            </w:r>
          </w:p>
        </w:tc>
      </w:tr>
      <w:tr w14:paraId="367F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494F3D1">
            <w:pPr>
              <w:spacing w:line="276" w:lineRule="auto"/>
              <w:jc w:val="both"/>
              <w:rPr>
                <w:rFonts w:hint="eastAsia" w:ascii="宋体" w:hAnsi="宋体"/>
                <w:bCs/>
                <w:sz w:val="24"/>
                <w:highlight w:val="none"/>
              </w:rPr>
            </w:pPr>
            <w:r>
              <w:rPr>
                <w:rFonts w:hint="eastAsia" w:ascii="宋体" w:hAnsi="宋体"/>
                <w:bCs/>
                <w:sz w:val="24"/>
                <w:highlight w:val="none"/>
              </w:rPr>
              <w:t>■17</w:t>
            </w:r>
          </w:p>
        </w:tc>
        <w:tc>
          <w:tcPr>
            <w:tcW w:w="1838" w:type="dxa"/>
            <w:vAlign w:val="center"/>
          </w:tcPr>
          <w:p w14:paraId="237A5577">
            <w:pPr>
              <w:spacing w:line="276" w:lineRule="auto"/>
              <w:jc w:val="both"/>
              <w:rPr>
                <w:rFonts w:hint="eastAsia" w:ascii="宋体" w:hAnsi="宋体"/>
                <w:bCs/>
                <w:sz w:val="24"/>
                <w:highlight w:val="none"/>
              </w:rPr>
            </w:pPr>
            <w:r>
              <w:rPr>
                <w:rFonts w:hint="eastAsia" w:ascii="宋体" w:hAnsi="宋体"/>
                <w:bCs/>
                <w:sz w:val="24"/>
                <w:highlight w:val="none"/>
              </w:rPr>
              <w:t>加速度计性能指标</w:t>
            </w:r>
          </w:p>
        </w:tc>
        <w:tc>
          <w:tcPr>
            <w:tcW w:w="7105" w:type="dxa"/>
            <w:vAlign w:val="center"/>
          </w:tcPr>
          <w:p w14:paraId="6BC00904">
            <w:pPr>
              <w:spacing w:line="276" w:lineRule="auto"/>
              <w:jc w:val="both"/>
              <w:rPr>
                <w:rFonts w:hint="eastAsia" w:ascii="宋体" w:hAnsi="宋体"/>
                <w:bCs/>
                <w:sz w:val="24"/>
                <w:highlight w:val="none"/>
              </w:rPr>
            </w:pPr>
            <w:r>
              <w:rPr>
                <w:rFonts w:hint="eastAsia" w:ascii="宋体" w:hAnsi="宋体"/>
                <w:bCs/>
                <w:sz w:val="24"/>
                <w:highlight w:val="none"/>
              </w:rPr>
              <w:t>能够通过获取加速度信号判断活动情况及强度，加速度采样率≥25Hz、分辨率≥10Bit、测量率范围具备-4g～4g、精确度≥8mg/LSB；</w:t>
            </w:r>
          </w:p>
        </w:tc>
      </w:tr>
      <w:tr w14:paraId="1FCF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75903E6">
            <w:pPr>
              <w:spacing w:line="276" w:lineRule="auto"/>
              <w:jc w:val="both"/>
              <w:rPr>
                <w:rFonts w:hint="eastAsia" w:ascii="宋体" w:hAnsi="宋体"/>
                <w:bCs/>
                <w:sz w:val="24"/>
                <w:highlight w:val="none"/>
              </w:rPr>
            </w:pPr>
            <w:r>
              <w:rPr>
                <w:rFonts w:hint="eastAsia" w:ascii="宋体" w:hAnsi="宋体"/>
                <w:bCs/>
                <w:sz w:val="24"/>
                <w:highlight w:val="none"/>
              </w:rPr>
              <w:t>*18</w:t>
            </w:r>
          </w:p>
        </w:tc>
        <w:tc>
          <w:tcPr>
            <w:tcW w:w="1838" w:type="dxa"/>
            <w:vAlign w:val="center"/>
          </w:tcPr>
          <w:p w14:paraId="1007874B">
            <w:pPr>
              <w:spacing w:line="276" w:lineRule="auto"/>
              <w:jc w:val="both"/>
              <w:rPr>
                <w:rFonts w:hint="eastAsia" w:ascii="宋体" w:hAnsi="宋体"/>
                <w:bCs/>
                <w:sz w:val="24"/>
                <w:highlight w:val="none"/>
              </w:rPr>
            </w:pPr>
            <w:r>
              <w:rPr>
                <w:rFonts w:hint="eastAsia" w:ascii="宋体" w:hAnsi="宋体"/>
                <w:bCs/>
                <w:sz w:val="24"/>
                <w:highlight w:val="none"/>
              </w:rPr>
              <w:t>电脑工作站</w:t>
            </w:r>
          </w:p>
        </w:tc>
        <w:tc>
          <w:tcPr>
            <w:tcW w:w="7105" w:type="dxa"/>
            <w:vAlign w:val="center"/>
          </w:tcPr>
          <w:p w14:paraId="4692CA37">
            <w:pPr>
              <w:spacing w:line="276" w:lineRule="auto"/>
              <w:jc w:val="both"/>
              <w:rPr>
                <w:rFonts w:hint="eastAsia" w:ascii="宋体" w:hAnsi="宋体"/>
                <w:bCs/>
                <w:sz w:val="24"/>
                <w:highlight w:val="none"/>
              </w:rPr>
            </w:pPr>
            <w:r>
              <w:rPr>
                <w:rFonts w:hint="eastAsia" w:ascii="宋体" w:hAnsi="宋体"/>
                <w:bCs/>
                <w:sz w:val="24"/>
                <w:highlight w:val="none"/>
              </w:rPr>
              <w:t>具有六分钟步行系统软件，一体机电脑≧22寸、处理器英特尔酷睿十代i5以上、内存8G以上、硬盘固态256G以上，激光打印机1台；配置专业台车，具有仪器收纳箱和多终端充电口及电脑固定支架</w:t>
            </w:r>
          </w:p>
        </w:tc>
      </w:tr>
      <w:tr w14:paraId="6FB6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174AF76">
            <w:pPr>
              <w:spacing w:line="276" w:lineRule="auto"/>
              <w:jc w:val="both"/>
              <w:rPr>
                <w:rFonts w:hint="eastAsia" w:ascii="宋体" w:hAnsi="宋体"/>
                <w:bCs/>
                <w:sz w:val="24"/>
                <w:highlight w:val="none"/>
              </w:rPr>
            </w:pPr>
            <w:r>
              <w:rPr>
                <w:rFonts w:hint="eastAsia" w:ascii="宋体" w:hAnsi="宋体"/>
                <w:bCs/>
                <w:sz w:val="24"/>
                <w:highlight w:val="none"/>
              </w:rPr>
              <w:t>*19</w:t>
            </w:r>
          </w:p>
        </w:tc>
        <w:tc>
          <w:tcPr>
            <w:tcW w:w="1838" w:type="dxa"/>
            <w:vAlign w:val="center"/>
          </w:tcPr>
          <w:p w14:paraId="66B52075">
            <w:pPr>
              <w:spacing w:line="276" w:lineRule="auto"/>
              <w:jc w:val="both"/>
              <w:rPr>
                <w:rFonts w:hint="eastAsia" w:ascii="宋体" w:hAnsi="宋体"/>
                <w:bCs/>
                <w:sz w:val="24"/>
                <w:highlight w:val="none"/>
              </w:rPr>
            </w:pPr>
            <w:r>
              <w:rPr>
                <w:rFonts w:hint="eastAsia" w:ascii="宋体" w:hAnsi="宋体"/>
                <w:bCs/>
                <w:sz w:val="24"/>
                <w:highlight w:val="none"/>
              </w:rPr>
              <w:t>移动平板工作站</w:t>
            </w:r>
          </w:p>
        </w:tc>
        <w:tc>
          <w:tcPr>
            <w:tcW w:w="7105" w:type="dxa"/>
            <w:vAlign w:val="center"/>
          </w:tcPr>
          <w:p w14:paraId="6EBA1B30">
            <w:pPr>
              <w:spacing w:line="276" w:lineRule="auto"/>
              <w:jc w:val="both"/>
              <w:rPr>
                <w:rFonts w:hint="eastAsia" w:ascii="宋体" w:hAnsi="宋体"/>
                <w:bCs/>
                <w:sz w:val="24"/>
                <w:highlight w:val="none"/>
              </w:rPr>
            </w:pPr>
            <w:r>
              <w:rPr>
                <w:rFonts w:hint="eastAsia" w:ascii="宋体" w:hAnsi="宋体"/>
                <w:bCs/>
                <w:sz w:val="24"/>
                <w:highlight w:val="none"/>
              </w:rPr>
              <w:t>≧7寸，具有六分钟步行系统软件，可以独立开展六分钟步行试验；</w:t>
            </w:r>
          </w:p>
        </w:tc>
      </w:tr>
    </w:tbl>
    <w:p w14:paraId="20604FC8">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AC9F65C">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137B1E41">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w:t>
      </w:r>
      <w:r>
        <w:rPr>
          <w:rFonts w:hint="eastAsia" w:ascii="仿宋" w:hAnsi="仿宋" w:eastAsia="仿宋" w:cs="仿宋"/>
          <w:bCs/>
          <w:color w:val="000000" w:themeColor="text1"/>
          <w:sz w:val="24"/>
          <w:highlight w:val="none"/>
          <w:lang w:eastAsia="zh-CN"/>
          <w14:textFill>
            <w14:solidFill>
              <w14:schemeClr w14:val="tx1"/>
            </w14:solidFill>
          </w14:textFill>
        </w:rPr>
        <w:t>3年。</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26566EF6">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512544434"/>
      <w:bookmarkStart w:id="15" w:name="_Toc517011814"/>
      <w:bookmarkStart w:id="16" w:name="_Toc493440807"/>
      <w:bookmarkStart w:id="17" w:name="_Toc525819967"/>
      <w:bookmarkStart w:id="18" w:name="_Toc493432670"/>
      <w:bookmarkStart w:id="19" w:name="_Toc526265691"/>
      <w:bookmarkStart w:id="20" w:name="_Toc515539872"/>
      <w:bookmarkStart w:id="21" w:name="_Toc493440975"/>
      <w:bookmarkStart w:id="22" w:name="_Toc512611689"/>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22A74FAF">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1BB924D3">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493432672"/>
      <w:bookmarkStart w:id="24" w:name="_Toc517011816"/>
      <w:bookmarkStart w:id="25" w:name="_Toc515539874"/>
      <w:bookmarkStart w:id="26" w:name="_Toc525819969"/>
      <w:bookmarkStart w:id="27" w:name="_Toc493440977"/>
      <w:bookmarkStart w:id="28" w:name="_Toc512544436"/>
      <w:bookmarkStart w:id="29" w:name="_Toc512611691"/>
      <w:bookmarkStart w:id="30" w:name="_Toc526265693"/>
      <w:bookmarkStart w:id="31" w:name="_Toc493440809"/>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618F5664">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6AB2416A">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313F79">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450E81DD">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6F0C5FA1">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883BD7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15AF0EE2">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2DAAA460">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2737DB9E">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397799F0">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5E1D004E">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40DCA9D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348270B2">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001F7F0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77B82541">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5770B43B">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07E0706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57DF3DF9">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599F4EEC">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2397F218">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E6AE186">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79BD283">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2648C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4AA8E299">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7104F3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3B682F6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03D0F86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5DA2E3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725A723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121E2AEC">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00E7F96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4F785E5">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49EDDC05">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472660FE">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090413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74264"/>
    <w:rsid w:val="44A1408B"/>
    <w:rsid w:val="470436CC"/>
    <w:rsid w:val="52EA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4723</Words>
  <Characters>5077</Characters>
  <Lines>0</Lines>
  <Paragraphs>0</Paragraphs>
  <TotalTime>0</TotalTime>
  <ScaleCrop>false</ScaleCrop>
  <LinksUpToDate>false</LinksUpToDate>
  <CharactersWithSpaces>5431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2025-10-11T03:33:00Z</dcterms:created>
  <dc:creator>Lenovo</dc:creator>
  <cp:lastModifiedBy>Mouns-J</cp:lastModifiedBy>
  <dcterms:modified xsi:type="dcterms:W3CDTF">2025-11-07T06:25:05Z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A4D10EF54DE9478CB40280ED23F89837_12</vt:lpwstr>
  </property>
</Properties>
</file>