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46420">
      <w:pPr>
        <w:spacing w:line="360" w:lineRule="auto"/>
        <w:jc w:val="center"/>
        <w:outlineLvl w:val="0"/>
        <w:rPr>
          <w:rFonts w:hint="eastAsia" w:ascii="宋体" w:hAnsi="宋体" w:eastAsia="宋体"/>
          <w:b/>
          <w:sz w:val="28"/>
        </w:rPr>
      </w:pPr>
      <w:r>
        <w:rPr>
          <w:rFonts w:hint="eastAsia" w:ascii="宋体" w:hAnsi="宋体" w:eastAsia="宋体"/>
          <w:b/>
          <w:sz w:val="28"/>
        </w:rPr>
        <w:t>采购需求</w:t>
      </w:r>
    </w:p>
    <w:p w14:paraId="731D27F7">
      <w:pPr>
        <w:adjustRightInd w:val="0"/>
        <w:snapToGrid w:val="0"/>
        <w:spacing w:line="336" w:lineRule="auto"/>
        <w:rPr>
          <w:rFonts w:hint="eastAsia" w:ascii="宋体" w:hAnsi="宋体" w:eastAsia="宋体"/>
          <w:b/>
          <w:szCs w:val="21"/>
        </w:rPr>
      </w:pPr>
      <w:r>
        <w:rPr>
          <w:rFonts w:hint="eastAsia" w:ascii="宋体" w:hAnsi="宋体" w:eastAsia="宋体"/>
          <w:b/>
          <w:szCs w:val="21"/>
        </w:rPr>
        <w:t>前注：</w:t>
      </w:r>
    </w:p>
    <w:p w14:paraId="2A077436">
      <w:pPr>
        <w:adjustRightInd w:val="0"/>
        <w:snapToGrid w:val="0"/>
        <w:spacing w:line="336" w:lineRule="auto"/>
        <w:ind w:firstLine="435"/>
        <w:rPr>
          <w:rFonts w:hint="eastAsia" w:ascii="宋体" w:hAnsi="宋体" w:eastAsia="宋体" w:cs="宋体"/>
          <w:szCs w:val="21"/>
        </w:rPr>
      </w:pPr>
      <w:r>
        <w:rPr>
          <w:rFonts w:hint="eastAsia" w:ascii="宋体" w:hAnsi="宋体" w:eastAsia="宋体" w:cs="宋体"/>
          <w:szCs w:val="21"/>
        </w:rPr>
        <w:t>1.本采购需求中提出的服务方案仅为参考，如无明确限制，投标人可以进行优化，提供满足采购人实际需要的更优（或者性能实质上不低于的）服务方案，且此方案须经评标委员会评审认可。</w:t>
      </w:r>
    </w:p>
    <w:p w14:paraId="0B4B98A4">
      <w:pPr>
        <w:adjustRightInd w:val="0"/>
        <w:snapToGrid w:val="0"/>
        <w:spacing w:line="336" w:lineRule="auto"/>
        <w:ind w:firstLine="420" w:firstLineChars="200"/>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政府采购政策（包括但不限于下列具体政策要求</w:t>
      </w:r>
      <w:r>
        <w:rPr>
          <w:rFonts w:hint="eastAsia" w:ascii="宋体" w:hAnsi="宋体" w:eastAsia="宋体" w:cs="宋体"/>
          <w:szCs w:val="21"/>
        </w:rPr>
        <w:t>）：</w:t>
      </w:r>
    </w:p>
    <w:p w14:paraId="1C933417">
      <w:pPr>
        <w:adjustRightInd w:val="0"/>
        <w:snapToGrid w:val="0"/>
        <w:spacing w:line="336" w:lineRule="auto"/>
        <w:ind w:firstLine="420" w:firstLineChars="200"/>
        <w:rPr>
          <w:rFonts w:hint="eastAsia" w:ascii="宋体" w:hAnsi="宋体" w:eastAsia="宋体" w:cs="宋体"/>
          <w:szCs w:val="21"/>
        </w:rPr>
      </w:pPr>
      <w:r>
        <w:rPr>
          <w:rFonts w:hint="eastAsia" w:ascii="宋体" w:hAnsi="宋体" w:eastAsia="宋体" w:cs="宋体"/>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23214AE">
      <w:pPr>
        <w:adjustRightInd w:val="0"/>
        <w:snapToGrid w:val="0"/>
        <w:spacing w:line="336" w:lineRule="auto"/>
        <w:ind w:firstLine="420" w:firstLineChars="200"/>
        <w:rPr>
          <w:rFonts w:hint="eastAsia" w:ascii="宋体" w:hAnsi="宋体" w:eastAsia="宋体" w:cs="宋体"/>
          <w:szCs w:val="21"/>
        </w:rPr>
      </w:pPr>
      <w:r>
        <w:rPr>
          <w:rFonts w:hint="eastAsia" w:ascii="宋体" w:hAnsi="宋体" w:eastAsia="宋体" w:cs="宋体"/>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B1CA0C3">
      <w:pPr>
        <w:adjustRightInd w:val="0"/>
        <w:snapToGrid w:val="0"/>
        <w:spacing w:line="336" w:lineRule="auto"/>
        <w:ind w:firstLine="420" w:firstLineChars="200"/>
        <w:rPr>
          <w:rFonts w:hint="eastAsia" w:ascii="宋体" w:hAnsi="宋体" w:eastAsia="宋体"/>
          <w:bCs/>
          <w:szCs w:val="21"/>
        </w:rPr>
      </w:pPr>
      <w:r>
        <w:rPr>
          <w:rFonts w:hint="eastAsia" w:ascii="宋体" w:hAnsi="宋体" w:eastAsia="宋体" w:cs="宋体"/>
          <w:szCs w:val="21"/>
        </w:rPr>
        <w:t>3.如采购人允许采用分包方式履行合同的，应当明确可以分包履行的相关内容（本项目不涉及到分包）。</w:t>
      </w:r>
    </w:p>
    <w:p w14:paraId="622612D2">
      <w:pPr>
        <w:adjustRightInd w:val="0"/>
        <w:snapToGrid w:val="0"/>
        <w:spacing w:line="336" w:lineRule="auto"/>
        <w:ind w:firstLine="437"/>
        <w:outlineLvl w:val="1"/>
        <w:rPr>
          <w:rFonts w:hint="eastAsia" w:ascii="宋体" w:hAnsi="宋体" w:eastAsia="宋体"/>
          <w:b/>
          <w:szCs w:val="21"/>
        </w:rPr>
      </w:pPr>
      <w:bookmarkStart w:id="0" w:name="_Toc3114"/>
      <w:bookmarkStart w:id="1" w:name="_Toc173275127"/>
      <w:bookmarkStart w:id="2" w:name="_Toc21798"/>
      <w:bookmarkStart w:id="3" w:name="_Toc4148"/>
      <w:r>
        <w:rPr>
          <w:rFonts w:hint="eastAsia" w:ascii="宋体" w:hAnsi="宋体" w:eastAsia="宋体"/>
          <w:b/>
          <w:szCs w:val="21"/>
        </w:rPr>
        <w:t>一、采购需求前附表</w:t>
      </w:r>
      <w:bookmarkEnd w:id="0"/>
      <w:bookmarkEnd w:id="1"/>
      <w:bookmarkEnd w:id="2"/>
      <w:bookmarkEnd w:id="3"/>
    </w:p>
    <w:tbl>
      <w:tblPr>
        <w:tblStyle w:val="3"/>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792"/>
        <w:gridCol w:w="5888"/>
      </w:tblGrid>
      <w:tr w14:paraId="3050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8" w:type="pct"/>
            <w:noWrap w:val="0"/>
            <w:vAlign w:val="center"/>
          </w:tcPr>
          <w:p w14:paraId="318E1586">
            <w:pPr>
              <w:pStyle w:val="5"/>
              <w:spacing w:line="336" w:lineRule="auto"/>
              <w:rPr>
                <w:rFonts w:hint="eastAsia" w:cs="@仿宋_GB2312"/>
                <w:kern w:val="2"/>
              </w:rPr>
            </w:pPr>
            <w:r>
              <w:rPr>
                <w:rFonts w:hint="eastAsia" w:cs="@仿宋_GB2312"/>
                <w:b/>
                <w:bCs w:val="0"/>
                <w:kern w:val="2"/>
              </w:rPr>
              <w:t>序号</w:t>
            </w:r>
          </w:p>
        </w:tc>
        <w:tc>
          <w:tcPr>
            <w:tcW w:w="1069" w:type="pct"/>
            <w:noWrap w:val="0"/>
            <w:vAlign w:val="center"/>
          </w:tcPr>
          <w:p w14:paraId="1E71A469">
            <w:pPr>
              <w:pStyle w:val="6"/>
              <w:adjustRightInd w:val="0"/>
              <w:snapToGrid w:val="0"/>
              <w:spacing w:line="336" w:lineRule="auto"/>
              <w:jc w:val="center"/>
              <w:rPr>
                <w:rFonts w:hint="eastAsia"/>
                <w:b/>
                <w:sz w:val="21"/>
                <w:szCs w:val="21"/>
              </w:rPr>
            </w:pPr>
            <w:r>
              <w:rPr>
                <w:rFonts w:hint="eastAsia"/>
                <w:b/>
                <w:sz w:val="21"/>
                <w:szCs w:val="21"/>
              </w:rPr>
              <w:t>条款名称</w:t>
            </w:r>
          </w:p>
        </w:tc>
        <w:tc>
          <w:tcPr>
            <w:tcW w:w="3512" w:type="pct"/>
            <w:noWrap w:val="0"/>
            <w:vAlign w:val="center"/>
          </w:tcPr>
          <w:p w14:paraId="5AA6A976">
            <w:pPr>
              <w:pStyle w:val="6"/>
              <w:adjustRightInd w:val="0"/>
              <w:snapToGrid w:val="0"/>
              <w:spacing w:line="336" w:lineRule="auto"/>
              <w:jc w:val="center"/>
              <w:rPr>
                <w:rFonts w:hint="eastAsia"/>
                <w:b/>
                <w:sz w:val="21"/>
                <w:szCs w:val="21"/>
              </w:rPr>
            </w:pPr>
            <w:r>
              <w:rPr>
                <w:rFonts w:hint="eastAsia"/>
                <w:b/>
                <w:sz w:val="21"/>
                <w:szCs w:val="21"/>
              </w:rPr>
              <w:t>内容、说明与要求</w:t>
            </w:r>
          </w:p>
        </w:tc>
      </w:tr>
      <w:tr w14:paraId="4724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8" w:type="pct"/>
            <w:noWrap w:val="0"/>
            <w:vAlign w:val="center"/>
          </w:tcPr>
          <w:p w14:paraId="43A75B55">
            <w:pPr>
              <w:pStyle w:val="5"/>
              <w:spacing w:line="336" w:lineRule="auto"/>
              <w:rPr>
                <w:rFonts w:hint="eastAsia" w:cs="@仿宋_GB2312"/>
                <w:kern w:val="2"/>
              </w:rPr>
            </w:pPr>
            <w:r>
              <w:rPr>
                <w:rFonts w:hint="eastAsia" w:cs="@仿宋_GB2312"/>
                <w:kern w:val="2"/>
              </w:rPr>
              <w:t>1</w:t>
            </w:r>
          </w:p>
        </w:tc>
        <w:tc>
          <w:tcPr>
            <w:tcW w:w="1069" w:type="pct"/>
            <w:noWrap w:val="0"/>
            <w:vAlign w:val="center"/>
          </w:tcPr>
          <w:p w14:paraId="22B3BC5B">
            <w:pPr>
              <w:pStyle w:val="6"/>
              <w:adjustRightInd w:val="0"/>
              <w:snapToGrid w:val="0"/>
              <w:spacing w:line="336" w:lineRule="auto"/>
              <w:rPr>
                <w:rFonts w:hint="eastAsia" w:cs="宋体"/>
                <w:bCs w:val="0"/>
                <w:color w:val="000000"/>
                <w:kern w:val="2"/>
                <w:sz w:val="21"/>
                <w:szCs w:val="21"/>
              </w:rPr>
            </w:pPr>
            <w:r>
              <w:rPr>
                <w:rFonts w:hint="eastAsia" w:cs="宋体"/>
                <w:bCs w:val="0"/>
                <w:color w:val="000000"/>
                <w:kern w:val="2"/>
                <w:sz w:val="21"/>
                <w:szCs w:val="21"/>
              </w:rPr>
              <w:t>付款方式</w:t>
            </w:r>
          </w:p>
        </w:tc>
        <w:tc>
          <w:tcPr>
            <w:tcW w:w="3512" w:type="pct"/>
            <w:noWrap w:val="0"/>
            <w:vAlign w:val="center"/>
          </w:tcPr>
          <w:p w14:paraId="21AA89B8">
            <w:pPr>
              <w:widowControl/>
              <w:adjustRightInd w:val="0"/>
              <w:snapToGrid w:val="0"/>
              <w:spacing w:line="336" w:lineRule="auto"/>
              <w:rPr>
                <w:rFonts w:hint="eastAsia" w:ascii="宋体" w:hAnsi="宋体" w:eastAsia="宋体" w:cs="宋体"/>
                <w:color w:val="000000"/>
                <w:kern w:val="0"/>
                <w:szCs w:val="21"/>
                <w:lang w:val="zh-CN" w:bidi="zh-CN"/>
              </w:rPr>
            </w:pPr>
            <w:r>
              <w:rPr>
                <w:rFonts w:hint="eastAsia" w:ascii="宋体" w:hAnsi="宋体" w:eastAsia="宋体" w:cs="宋体"/>
                <w:color w:val="000000"/>
                <w:kern w:val="0"/>
                <w:szCs w:val="21"/>
                <w:lang w:bidi="zh-CN"/>
              </w:rPr>
              <w:t>1.</w:t>
            </w:r>
            <w:r>
              <w:rPr>
                <w:rFonts w:hint="eastAsia" w:ascii="宋体" w:hAnsi="宋体" w:eastAsia="宋体" w:cs="宋体"/>
                <w:color w:val="000000"/>
                <w:kern w:val="0"/>
                <w:szCs w:val="21"/>
                <w:lang w:val="zh-CN" w:bidi="zh-CN"/>
              </w:rPr>
              <w:t>合同生效后，</w:t>
            </w:r>
            <w:r>
              <w:rPr>
                <w:rFonts w:hint="eastAsia" w:ascii="宋体" w:hAnsi="宋体" w:eastAsia="宋体" w:cs="Times New Roman"/>
                <w:bCs/>
                <w:color w:val="000000"/>
                <w:kern w:val="28"/>
                <w:szCs w:val="21"/>
              </w:rPr>
              <w:t>采购人</w:t>
            </w:r>
            <w:r>
              <w:rPr>
                <w:rFonts w:hint="eastAsia" w:ascii="宋体" w:hAnsi="宋体" w:eastAsia="宋体" w:cs="宋体"/>
                <w:color w:val="000000"/>
                <w:kern w:val="0"/>
                <w:szCs w:val="21"/>
                <w:lang w:val="zh-CN" w:bidi="zh-CN"/>
              </w:rPr>
              <w:t>向中标人付至合同价的70%；</w:t>
            </w:r>
          </w:p>
          <w:p w14:paraId="253E4A32">
            <w:pPr>
              <w:adjustRightInd w:val="0"/>
              <w:snapToGrid w:val="0"/>
              <w:spacing w:line="360" w:lineRule="auto"/>
              <w:rPr>
                <w:rFonts w:hint="eastAsia" w:ascii="宋体" w:hAnsi="宋体" w:eastAsia="宋体" w:cs="Times New Roman"/>
                <w:bCs/>
                <w:color w:val="000000"/>
                <w:kern w:val="28"/>
                <w:szCs w:val="21"/>
              </w:rPr>
            </w:pPr>
            <w:r>
              <w:rPr>
                <w:rFonts w:hint="eastAsia" w:ascii="宋体" w:hAnsi="宋体" w:eastAsia="宋体" w:cs="Times New Roman"/>
                <w:bCs/>
                <w:color w:val="000000"/>
                <w:kern w:val="28"/>
                <w:szCs w:val="21"/>
              </w:rPr>
              <w:t>2.中标人按照采购人要求及赛事文件约定完成2026年度相关活动，于2026年12月31日前向采购人提出支付申请，经采购人验收合格后，采购人支付合同总价款的 20%。</w:t>
            </w:r>
          </w:p>
          <w:p w14:paraId="058AF549">
            <w:pPr>
              <w:adjustRightInd w:val="0"/>
              <w:snapToGrid w:val="0"/>
              <w:spacing w:line="360" w:lineRule="auto"/>
              <w:rPr>
                <w:rFonts w:hint="eastAsia" w:ascii="宋体" w:hAnsi="宋体" w:eastAsia="宋体" w:cs="Times New Roman"/>
                <w:bCs/>
                <w:color w:val="000000"/>
                <w:kern w:val="28"/>
                <w:szCs w:val="21"/>
              </w:rPr>
            </w:pPr>
            <w:r>
              <w:rPr>
                <w:rFonts w:hint="eastAsia" w:ascii="宋体" w:hAnsi="宋体" w:eastAsia="宋体" w:cs="Times New Roman"/>
                <w:bCs/>
                <w:color w:val="000000"/>
                <w:kern w:val="28"/>
                <w:szCs w:val="21"/>
              </w:rPr>
              <w:t>3.项目履约完成采购人验收合格后一次性付清剩余合同价款。</w:t>
            </w:r>
          </w:p>
          <w:p w14:paraId="1EEE0C22">
            <w:pPr>
              <w:adjustRightInd w:val="0"/>
              <w:snapToGrid w:val="0"/>
              <w:spacing w:line="360" w:lineRule="auto"/>
              <w:rPr>
                <w:rFonts w:hint="eastAsia" w:ascii="宋体" w:hAnsi="宋体" w:eastAsia="宋体" w:cs="宋体"/>
                <w:color w:val="FF0000"/>
                <w:szCs w:val="21"/>
              </w:rPr>
            </w:pPr>
            <w:r>
              <w:rPr>
                <w:rFonts w:hint="eastAsia" w:ascii="宋体" w:hAnsi="宋体" w:eastAsia="宋体" w:cs="Times New Roman"/>
                <w:bCs/>
                <w:color w:val="000000"/>
                <w:kern w:val="28"/>
                <w:szCs w:val="21"/>
              </w:rPr>
              <w:t>4.采购人每次付款前中标人应提供等额有效的发票给采购人，否则采购人有权拒绝付款。</w:t>
            </w:r>
          </w:p>
        </w:tc>
      </w:tr>
      <w:tr w14:paraId="23CD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8" w:type="pct"/>
            <w:noWrap w:val="0"/>
            <w:vAlign w:val="center"/>
          </w:tcPr>
          <w:p w14:paraId="19F416CD">
            <w:pPr>
              <w:pStyle w:val="5"/>
              <w:spacing w:line="336" w:lineRule="auto"/>
              <w:rPr>
                <w:rFonts w:hint="eastAsia" w:cs="@仿宋_GB2312"/>
                <w:kern w:val="2"/>
              </w:rPr>
            </w:pPr>
            <w:r>
              <w:rPr>
                <w:rFonts w:hint="eastAsia" w:cs="@仿宋_GB2312"/>
                <w:kern w:val="2"/>
              </w:rPr>
              <w:t>2</w:t>
            </w:r>
          </w:p>
        </w:tc>
        <w:tc>
          <w:tcPr>
            <w:tcW w:w="1069" w:type="pct"/>
            <w:noWrap w:val="0"/>
            <w:vAlign w:val="center"/>
          </w:tcPr>
          <w:p w14:paraId="739B9423">
            <w:pPr>
              <w:pStyle w:val="6"/>
              <w:adjustRightInd w:val="0"/>
              <w:snapToGrid w:val="0"/>
              <w:spacing w:line="336" w:lineRule="auto"/>
              <w:rPr>
                <w:rFonts w:hint="eastAsia" w:cs="宋体"/>
                <w:bCs w:val="0"/>
                <w:kern w:val="2"/>
                <w:sz w:val="21"/>
                <w:szCs w:val="21"/>
              </w:rPr>
            </w:pPr>
            <w:r>
              <w:rPr>
                <w:rFonts w:hint="eastAsia" w:cs="宋体"/>
                <w:bCs w:val="0"/>
                <w:kern w:val="2"/>
                <w:sz w:val="21"/>
                <w:szCs w:val="21"/>
              </w:rPr>
              <w:t>服务地点</w:t>
            </w:r>
          </w:p>
        </w:tc>
        <w:tc>
          <w:tcPr>
            <w:tcW w:w="3512" w:type="pct"/>
            <w:noWrap w:val="0"/>
            <w:vAlign w:val="center"/>
          </w:tcPr>
          <w:p w14:paraId="682AFC97">
            <w:pPr>
              <w:pStyle w:val="6"/>
              <w:adjustRightInd w:val="0"/>
              <w:snapToGrid w:val="0"/>
              <w:spacing w:line="336" w:lineRule="auto"/>
              <w:rPr>
                <w:rFonts w:hint="eastAsia" w:cs="宋体"/>
                <w:bCs w:val="0"/>
                <w:kern w:val="2"/>
                <w:sz w:val="21"/>
                <w:szCs w:val="21"/>
              </w:rPr>
            </w:pPr>
            <w:r>
              <w:rPr>
                <w:rFonts w:hint="eastAsia" w:cs="宋体"/>
                <w:sz w:val="21"/>
                <w:szCs w:val="21"/>
              </w:rPr>
              <w:t>安徽省内</w:t>
            </w:r>
            <w:r>
              <w:rPr>
                <w:rFonts w:cs="宋体"/>
                <w:sz w:val="21"/>
                <w:szCs w:val="21"/>
              </w:rPr>
              <w:t>，具体按采购人指定地点。</w:t>
            </w:r>
          </w:p>
        </w:tc>
      </w:tr>
      <w:tr w14:paraId="6FEF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8" w:type="pct"/>
            <w:noWrap w:val="0"/>
            <w:vAlign w:val="center"/>
          </w:tcPr>
          <w:p w14:paraId="603C73C7">
            <w:pPr>
              <w:pStyle w:val="5"/>
              <w:spacing w:line="336" w:lineRule="auto"/>
              <w:rPr>
                <w:rFonts w:hint="eastAsia" w:cs="@仿宋_GB2312"/>
                <w:kern w:val="2"/>
              </w:rPr>
            </w:pPr>
            <w:r>
              <w:rPr>
                <w:rFonts w:hint="eastAsia" w:cs="@仿宋_GB2312"/>
                <w:kern w:val="2"/>
              </w:rPr>
              <w:t>3</w:t>
            </w:r>
          </w:p>
        </w:tc>
        <w:tc>
          <w:tcPr>
            <w:tcW w:w="1069" w:type="pct"/>
            <w:noWrap w:val="0"/>
            <w:vAlign w:val="center"/>
          </w:tcPr>
          <w:p w14:paraId="2D9381F4">
            <w:pPr>
              <w:pStyle w:val="6"/>
              <w:adjustRightInd w:val="0"/>
              <w:snapToGrid w:val="0"/>
              <w:spacing w:line="336" w:lineRule="auto"/>
              <w:rPr>
                <w:rFonts w:hint="eastAsia" w:cs="宋体"/>
                <w:bCs w:val="0"/>
                <w:kern w:val="2"/>
                <w:sz w:val="21"/>
                <w:szCs w:val="21"/>
              </w:rPr>
            </w:pPr>
            <w:r>
              <w:rPr>
                <w:rFonts w:hint="eastAsia" w:cs="宋体"/>
                <w:bCs w:val="0"/>
                <w:kern w:val="2"/>
                <w:sz w:val="21"/>
                <w:szCs w:val="21"/>
              </w:rPr>
              <w:t>服务期限</w:t>
            </w:r>
          </w:p>
        </w:tc>
        <w:tc>
          <w:tcPr>
            <w:tcW w:w="3512" w:type="pct"/>
            <w:noWrap w:val="0"/>
            <w:vAlign w:val="center"/>
          </w:tcPr>
          <w:p w14:paraId="0002C18D">
            <w:pPr>
              <w:pStyle w:val="6"/>
              <w:adjustRightInd w:val="0"/>
              <w:snapToGrid w:val="0"/>
              <w:spacing w:line="336" w:lineRule="auto"/>
              <w:rPr>
                <w:rFonts w:hint="eastAsia" w:cs="宋体"/>
                <w:bCs w:val="0"/>
                <w:kern w:val="2"/>
                <w:sz w:val="21"/>
                <w:szCs w:val="21"/>
              </w:rPr>
            </w:pPr>
            <w:r>
              <w:rPr>
                <w:rFonts w:hint="eastAsia" w:cs="宋体"/>
                <w:bCs w:val="0"/>
                <w:kern w:val="2"/>
                <w:sz w:val="21"/>
                <w:szCs w:val="21"/>
              </w:rPr>
              <w:t>自合同生效之日起，至2027年3月1日前完成所有服务内容</w:t>
            </w:r>
          </w:p>
        </w:tc>
      </w:tr>
      <w:tr w14:paraId="192A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8" w:type="pct"/>
            <w:noWrap w:val="0"/>
            <w:vAlign w:val="center"/>
          </w:tcPr>
          <w:p w14:paraId="3EFA6C17">
            <w:pPr>
              <w:pStyle w:val="5"/>
              <w:spacing w:line="336" w:lineRule="auto"/>
              <w:rPr>
                <w:rFonts w:hint="eastAsia" w:cs="@仿宋_GB2312"/>
                <w:kern w:val="2"/>
              </w:rPr>
            </w:pPr>
            <w:r>
              <w:rPr>
                <w:rFonts w:hint="eastAsia" w:cs="@仿宋_GB2312"/>
                <w:kern w:val="2"/>
              </w:rPr>
              <w:t>4</w:t>
            </w:r>
          </w:p>
        </w:tc>
        <w:tc>
          <w:tcPr>
            <w:tcW w:w="1069" w:type="pct"/>
            <w:noWrap w:val="0"/>
            <w:vAlign w:val="center"/>
          </w:tcPr>
          <w:p w14:paraId="160D6058">
            <w:pPr>
              <w:pStyle w:val="6"/>
              <w:adjustRightInd w:val="0"/>
              <w:snapToGrid w:val="0"/>
              <w:spacing w:line="336" w:lineRule="auto"/>
              <w:rPr>
                <w:rFonts w:hint="eastAsia" w:cs="宋体"/>
                <w:bCs w:val="0"/>
                <w:kern w:val="2"/>
                <w:sz w:val="21"/>
                <w:szCs w:val="21"/>
              </w:rPr>
            </w:pPr>
            <w:r>
              <w:rPr>
                <w:rFonts w:hint="eastAsia" w:cs="宋体"/>
                <w:bCs w:val="0"/>
                <w:kern w:val="2"/>
                <w:sz w:val="21"/>
                <w:szCs w:val="21"/>
              </w:rPr>
              <w:t>本项目采购标的名称及所属行业</w:t>
            </w:r>
          </w:p>
        </w:tc>
        <w:tc>
          <w:tcPr>
            <w:tcW w:w="3512" w:type="pct"/>
            <w:noWrap w:val="0"/>
            <w:vAlign w:val="center"/>
          </w:tcPr>
          <w:p w14:paraId="160D62CA">
            <w:pPr>
              <w:adjustRightInd w:val="0"/>
              <w:snapToGrid w:val="0"/>
              <w:spacing w:line="336" w:lineRule="auto"/>
              <w:jc w:val="left"/>
              <w:rPr>
                <w:rFonts w:hint="eastAsia" w:ascii="宋体" w:hAnsi="宋体" w:eastAsia="宋体" w:cs="宋体"/>
                <w:szCs w:val="21"/>
              </w:rPr>
            </w:pPr>
            <w:r>
              <w:rPr>
                <w:rFonts w:hint="eastAsia" w:ascii="宋体" w:hAnsi="宋体" w:eastAsia="宋体" w:cs="宋体"/>
                <w:szCs w:val="21"/>
              </w:rPr>
              <w:t>标的名称：安徽省青少年阳光体育大会</w:t>
            </w:r>
          </w:p>
          <w:p w14:paraId="7435A16D">
            <w:pPr>
              <w:adjustRightInd w:val="0"/>
              <w:snapToGrid w:val="0"/>
              <w:spacing w:line="336" w:lineRule="auto"/>
              <w:jc w:val="left"/>
              <w:rPr>
                <w:rFonts w:hint="eastAsia" w:ascii="宋体" w:hAnsi="宋体" w:eastAsia="宋体" w:cs="宋体"/>
                <w:szCs w:val="21"/>
              </w:rPr>
            </w:pPr>
            <w:r>
              <w:rPr>
                <w:rFonts w:hint="eastAsia" w:ascii="宋体" w:hAnsi="宋体" w:eastAsia="宋体" w:cs="宋体"/>
                <w:szCs w:val="21"/>
              </w:rPr>
              <w:t>所属行业：其他未列明行业</w:t>
            </w:r>
          </w:p>
        </w:tc>
      </w:tr>
    </w:tbl>
    <w:p w14:paraId="3180151F">
      <w:pPr>
        <w:spacing w:line="360" w:lineRule="auto"/>
        <w:jc w:val="center"/>
        <w:outlineLvl w:val="0"/>
        <w:rPr>
          <w:rFonts w:hint="eastAsia" w:ascii="宋体" w:hAnsi="宋体" w:eastAsia="宋体"/>
          <w:b/>
          <w:szCs w:val="21"/>
        </w:rPr>
      </w:pPr>
    </w:p>
    <w:p w14:paraId="2BC8F4F5">
      <w:pPr>
        <w:adjustRightInd w:val="0"/>
        <w:snapToGrid w:val="0"/>
        <w:spacing w:line="360" w:lineRule="auto"/>
        <w:ind w:firstLine="422" w:firstLineChars="200"/>
        <w:outlineLvl w:val="1"/>
        <w:rPr>
          <w:rFonts w:hint="eastAsia" w:ascii="宋体" w:hAnsi="宋体" w:eastAsia="宋体" w:cs="宋体"/>
          <w:b/>
          <w:szCs w:val="21"/>
        </w:rPr>
      </w:pPr>
      <w:r>
        <w:rPr>
          <w:rFonts w:hint="eastAsia" w:ascii="宋体" w:hAnsi="宋体" w:eastAsia="宋体" w:cs="宋体"/>
          <w:b/>
          <w:szCs w:val="21"/>
        </w:rPr>
        <w:t>二、项目概况</w:t>
      </w:r>
    </w:p>
    <w:p w14:paraId="7FA88CC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2026年安徽省“奔跑吧·少年”儿童青少年主题健身活动暨安徽省青少年阳光体育大会以线下形式开展，参赛运动队员不少于 300人，比赛天数为3天，开展项目为足球、篮球、排球、田径、武术等，可结合安徽特色项目，国家推广的青少年体育项目等增加项目，增强青少年体质，促进青少年健康发展。组队参加全国冬季和夏季青少年阳光体育大会。</w:t>
      </w:r>
    </w:p>
    <w:p w14:paraId="7601126C">
      <w:pPr>
        <w:adjustRightInd w:val="0"/>
        <w:snapToGrid w:val="0"/>
        <w:spacing w:line="360" w:lineRule="auto"/>
        <w:ind w:firstLine="422" w:firstLineChars="200"/>
        <w:outlineLvl w:val="1"/>
        <w:rPr>
          <w:rFonts w:hint="eastAsia" w:ascii="宋体" w:hAnsi="宋体" w:eastAsia="宋体" w:cs="宋体"/>
          <w:b/>
          <w:szCs w:val="21"/>
        </w:rPr>
      </w:pPr>
      <w:r>
        <w:rPr>
          <w:rFonts w:hint="eastAsia" w:ascii="宋体" w:hAnsi="宋体" w:eastAsia="宋体" w:cs="宋体"/>
          <w:b/>
          <w:szCs w:val="21"/>
        </w:rPr>
        <w:t>三、服务需求</w:t>
      </w:r>
    </w:p>
    <w:p w14:paraId="47BD9A9D">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（一）活动名称</w:t>
      </w:r>
    </w:p>
    <w:p w14:paraId="27E7BDC3">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2026年“奔跑吧·少年”儿童青少年主题健身活动暨安徽省青少年阳光体育大会。</w:t>
      </w:r>
    </w:p>
    <w:p w14:paraId="6C27F630">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（二）活动参加人数、天数</w:t>
      </w:r>
    </w:p>
    <w:p w14:paraId="3BCAFF21">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参赛运动队员不少于300人，比赛天数为3天。</w:t>
      </w:r>
    </w:p>
    <w:p w14:paraId="1C97572B">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（三）比赛举办地点</w:t>
      </w:r>
    </w:p>
    <w:p w14:paraId="46ACAA7E">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安徽省内，具体按采购人指定地点。</w:t>
      </w:r>
    </w:p>
    <w:p w14:paraId="1812A9E7">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（四）比赛举办时间</w:t>
      </w:r>
    </w:p>
    <w:p w14:paraId="2846601E">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具体按采购人指定时间。</w:t>
      </w:r>
    </w:p>
    <w:p w14:paraId="27498FE6">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（五）比赛项目、器材设施条件要求</w:t>
      </w:r>
    </w:p>
    <w:p w14:paraId="648694E0">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（1）100人会议室。</w:t>
      </w:r>
    </w:p>
    <w:p w14:paraId="2D692F2A">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（2）篮球场地：保证至少1片标准比赛场地和1片热身场地。</w:t>
      </w:r>
    </w:p>
    <w:p w14:paraId="360576B9">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（3）足球场地：保证1片标准式足球比赛场地。</w:t>
      </w:r>
    </w:p>
    <w:p w14:paraId="1265B156">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（4）比赛场地配备满足比赛要求的打印机，复印机，笔记本电脑，摄像机各1台，办公用品，话筒，喇叭，对讲 机；场地设置计分系统各1套，医疗药品和器材若干。</w:t>
      </w:r>
    </w:p>
    <w:p w14:paraId="00E3C630">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足球、篮球、排球、田径、武术等，可结合安徽特色项目、国家推广的青少年体育项目等自行制定，不得少于六个项目。</w:t>
      </w:r>
    </w:p>
    <w:p w14:paraId="19959E48">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（六）裁判、竞赛辅助人员选调、酬金及组织实施能力要求：</w:t>
      </w:r>
    </w:p>
    <w:p w14:paraId="45E10EBE">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1.根据比赛需要，保障比赛所需的裁判、工作人员、辅助人员和志愿者。</w:t>
      </w:r>
    </w:p>
    <w:p w14:paraId="0D8C3DEA">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2.裁判员及工作人员酬金由中标人承担。</w:t>
      </w:r>
    </w:p>
    <w:p w14:paraId="5B0A03B3">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（七）医疗及应急能力</w:t>
      </w:r>
    </w:p>
    <w:p w14:paraId="53472DF5">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1.各项比赛期间，赛场外应安排救护车一辆，车内必备以下设备：冰袋（一次性）、急救箱（包）、氧气瓶（固定在车上）、氧气袋、心电图机、监护仪、除颤仪、快速血糖测定仪、软担架、移动式担架床。</w:t>
      </w:r>
    </w:p>
    <w:p w14:paraId="37BF9B8C">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2.各项比赛及赛前训练期间，场地内应配备1名医生（具有医师资格证书）、1名护士（具有护士资格证书），配备相关急救药品（多个比赛场馆要分别配备）。</w:t>
      </w:r>
    </w:p>
    <w:p w14:paraId="2D7A9B87">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（八）食宿标准及条件</w:t>
      </w:r>
    </w:p>
    <w:p w14:paraId="403D19DB">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1.比赛接待宾馆应当干净、卫生、安全，有空调；就餐条件应达到卫生B类。</w:t>
      </w:r>
    </w:p>
    <w:p w14:paraId="356BC379">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2.裁判员及竞赛工作人员，运动队领队、教练员、运动员及其他工作人员均应安排标准间，具备单独床铺。</w:t>
      </w:r>
    </w:p>
    <w:p w14:paraId="4C835870">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3.中餐、晚餐菜品不得少于6个。</w:t>
      </w:r>
    </w:p>
    <w:p w14:paraId="30A200AD">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（九）宣传推广</w:t>
      </w:r>
    </w:p>
    <w:p w14:paraId="79DD2805">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加强宣传推广工作，扩大活动影响力，</w:t>
      </w:r>
      <w:bookmarkStart w:id="4" w:name="_GoBack"/>
      <w:bookmarkEnd w:id="4"/>
      <w:r>
        <w:rPr>
          <w:rFonts w:hint="eastAsia" w:ascii="宋体" w:hAnsi="宋体" w:eastAsia="宋体" w:cs="宋体"/>
          <w:szCs w:val="21"/>
        </w:rPr>
        <w:t>主流媒体报道不少于10篇/条，网络媒体报道不少于10家，拍摄短视频不少于10条，宣传视频和总结视频各1条。</w:t>
      </w:r>
    </w:p>
    <w:p w14:paraId="6372FF5D">
      <w:pPr>
        <w:adjustRightInd w:val="0"/>
        <w:snapToGrid w:val="0"/>
        <w:spacing w:line="360" w:lineRule="auto"/>
        <w:ind w:firstLine="435"/>
        <w:rPr>
          <w:rFonts w:hint="eastAsia" w:ascii="宋体" w:hAnsi="宋体" w:eastAsia="宋体" w:cs="宋体"/>
          <w:b/>
          <w:bCs/>
          <w:szCs w:val="21"/>
        </w:rPr>
      </w:pPr>
      <w:r>
        <w:rPr>
          <w:rFonts w:hint="eastAsia" w:ascii="宋体" w:hAnsi="宋体" w:eastAsia="宋体" w:cs="宋体"/>
          <w:b/>
          <w:bCs/>
          <w:szCs w:val="21"/>
        </w:rPr>
        <w:t>（十）中标人负责组队参加全国冬季和夏季青少年阳光体育大会。</w:t>
      </w:r>
    </w:p>
    <w:p w14:paraId="1CC275E0">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（十一）无形资产开发</w:t>
      </w:r>
    </w:p>
    <w:p w14:paraId="2A4CE096">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各项比赛无形资产开发权属于采购人，中标人或承办单位进行无形资产开发应提前与采购人协商。</w:t>
      </w:r>
    </w:p>
    <w:p w14:paraId="7264A79F">
      <w:pPr>
        <w:adjustRightInd w:val="0"/>
        <w:snapToGrid w:val="0"/>
        <w:spacing w:line="360" w:lineRule="auto"/>
        <w:ind w:firstLine="422" w:firstLineChars="200"/>
        <w:outlineLvl w:val="1"/>
        <w:rPr>
          <w:rFonts w:hint="eastAsia" w:ascii="宋体" w:hAnsi="宋体" w:eastAsia="宋体" w:cs="宋体"/>
          <w:b/>
          <w:szCs w:val="21"/>
        </w:rPr>
      </w:pPr>
      <w:r>
        <w:rPr>
          <w:rFonts w:hint="eastAsia" w:ascii="宋体" w:hAnsi="宋体" w:eastAsia="宋体" w:cs="宋体"/>
          <w:b/>
          <w:szCs w:val="21"/>
        </w:rPr>
        <w:t>四、报价要求</w:t>
      </w:r>
    </w:p>
    <w:p w14:paraId="4B05CD11">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本项目报总价，报价包含但不限于场地使用费和开、闭幕式、竞赛组织、宣传推广、竞赛器材、场地布置、裁判员 和工作人员食宿费、交通差旅费、劳务费用、各参赛队赛区交通费、食宿费，组队参加全国青少年冬季和夏季阳光体育大会等费用，投标人的投标报价，在合同执行过程中保持不变，不得以任何理由向采购人要求增加费用。</w:t>
      </w:r>
    </w:p>
    <w:p w14:paraId="728791A0">
      <w:pPr>
        <w:adjustRightInd w:val="0"/>
        <w:snapToGrid w:val="0"/>
        <w:spacing w:line="360" w:lineRule="auto"/>
        <w:ind w:firstLine="422" w:firstLineChars="200"/>
        <w:outlineLvl w:val="1"/>
        <w:rPr>
          <w:rFonts w:hint="eastAsia" w:ascii="宋体" w:hAnsi="宋体" w:eastAsia="宋体" w:cs="宋体"/>
          <w:b/>
          <w:szCs w:val="21"/>
        </w:rPr>
      </w:pPr>
      <w:r>
        <w:rPr>
          <w:rFonts w:hint="eastAsia" w:ascii="宋体" w:hAnsi="宋体" w:eastAsia="宋体" w:cs="宋体"/>
          <w:b/>
          <w:szCs w:val="21"/>
        </w:rPr>
        <w:t>五、其他要求</w:t>
      </w:r>
    </w:p>
    <w:p w14:paraId="282615AE">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1.中标人应为参赛单位提供比赛秩序册、成绩册各2份。</w:t>
      </w:r>
    </w:p>
    <w:p w14:paraId="03F2AF9D">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2.活动结束后15天内，中标人须将比赛工作总结2份，秩序册、成绩册（纸质3份和pdf 文件）送交省体育局青少年体育处。</w:t>
      </w:r>
    </w:p>
    <w:p w14:paraId="760162F1">
      <w:pPr>
        <w:adjustRightInd w:val="0"/>
        <w:snapToGrid w:val="0"/>
        <w:spacing w:line="360" w:lineRule="auto"/>
        <w:ind w:firstLine="435"/>
        <w:rPr>
          <w:rFonts w:hint="eastAsia" w:ascii="宋体" w:hAnsi="宋体" w:eastAsia="宋体" w:cs="宋体"/>
          <w:szCs w:val="21"/>
        </w:rPr>
      </w:pPr>
      <w:r>
        <w:rPr>
          <w:rFonts w:hint="eastAsia" w:ascii="宋体" w:hAnsi="宋体" w:eastAsia="宋体" w:cs="宋体"/>
          <w:szCs w:val="21"/>
        </w:rPr>
        <w:t>3.活动结束后15天内，中标人须将比赛秩序册、成绩册各2份寄各市体育行政部门。</w:t>
      </w:r>
    </w:p>
    <w:p w14:paraId="246620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A084F"/>
    <w:rsid w:val="4649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5">
    <w:name w:val="D&amp;L"/>
    <w:basedOn w:val="2"/>
    <w:qFormat/>
    <w:uiPriority w:val="0"/>
    <w:pPr>
      <w:pBdr>
        <w:bottom w:val="none" w:color="auto" w:sz="0" w:space="0"/>
      </w:pBdr>
      <w:adjustRightInd w:val="0"/>
      <w:spacing w:line="300" w:lineRule="auto"/>
    </w:pPr>
    <w:rPr>
      <w:rFonts w:ascii="宋体" w:hAnsi="宋体" w:eastAsia="宋体"/>
      <w:bCs/>
      <w:sz w:val="21"/>
      <w:szCs w:val="21"/>
    </w:rPr>
  </w:style>
  <w:style w:type="paragraph" w:customStyle="1" w:styleId="6">
    <w:name w:val="xl31"/>
    <w:basedOn w:val="1"/>
    <w:qFormat/>
    <w:uiPriority w:val="0"/>
    <w:pPr>
      <w:spacing w:line="360" w:lineRule="auto"/>
    </w:pPr>
    <w:rPr>
      <w:rFonts w:ascii="宋体" w:hAnsi="宋体" w:eastAsia="宋体"/>
      <w:bCs/>
      <w:kern w:val="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1986</Words>
  <Characters>2047</Characters>
  <Lines>0</Lines>
  <Paragraphs>0</Paragraphs>
  <TotalTime>0</TotalTime>
  <ScaleCrop>false</ScaleCrop>
  <LinksUpToDate>false</LinksUpToDate>
  <CharactersWithSpaces>2052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2026-04-14T08:49:00Z</dcterms:created>
  <dc:creator>Lenovo</dc:creator>
  <cp:lastModifiedBy>省招</cp:lastModifiedBy>
  <dcterms:modified xsi:type="dcterms:W3CDTF">2026-04-14T10:50:53Z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eyJoZGlkIjoiMmM2MTA4NWRhZjRiYWU5NDgyMzc3NDQyMDk2Y2ZlODgiLCJ1c2VySWQiOiIxOTg2ODM5MjAifQ==</vt:lpwstr>
  </property>
  <property fmtid="{D5CDD505-2E9C-101B-9397-08002B2CF9AE}" pid="4" name="ICV">
    <vt:lpwstr>4B6CBBD79AE54EC5849E8D965C3D1D03_12</vt:lpwstr>
  </property>
</Properties>
</file>