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Theme="minorEastAsia" w:hAnsiTheme="minorEastAsia" w:eastAsiaTheme="minorEastAsia"/>
          <w:b/>
          <w:sz w:val="28"/>
        </w:rPr>
      </w:pPr>
      <w:bookmarkStart w:id="0" w:name="_Toc13066"/>
      <w:r>
        <w:rPr>
          <w:rFonts w:hint="eastAsia" w:asciiTheme="minorEastAsia" w:hAnsiTheme="minorEastAsia" w:eastAsiaTheme="minorEastAsia"/>
          <w:b/>
          <w:sz w:val="28"/>
        </w:rPr>
        <w:t>第三章  采购需求</w:t>
      </w:r>
      <w:bookmarkEnd w:id="0"/>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277"/>
        <w:gridCol w:w="6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spacing w:line="360" w:lineRule="auto"/>
              <w:jc w:val="center"/>
              <w:rPr>
                <w:rFonts w:hint="eastAsia" w:asciiTheme="minorEastAsia" w:hAnsiTheme="minorEastAsia" w:eastAsiaTheme="minorEastAsia" w:cstheme="minorEastAsia"/>
                <w:b/>
                <w:kern w:val="2"/>
                <w:sz w:val="24"/>
                <w:szCs w:val="22"/>
              </w:rPr>
            </w:pPr>
            <w:r>
              <w:rPr>
                <w:rFonts w:hint="eastAsia" w:asciiTheme="minorEastAsia" w:hAnsiTheme="minorEastAsia" w:eastAsiaTheme="minorEastAsia" w:cstheme="minorEastAsia"/>
                <w:b/>
                <w:kern w:val="2"/>
                <w:sz w:val="24"/>
                <w:szCs w:val="22"/>
              </w:rPr>
              <w:t>序号</w:t>
            </w:r>
          </w:p>
        </w:tc>
        <w:tc>
          <w:tcPr>
            <w:tcW w:w="1277" w:type="dxa"/>
            <w:vAlign w:val="center"/>
          </w:tcPr>
          <w:p>
            <w:pPr>
              <w:spacing w:line="360" w:lineRule="auto"/>
              <w:ind w:firstLine="435"/>
              <w:jc w:val="center"/>
              <w:rPr>
                <w:rFonts w:hint="eastAsia" w:asciiTheme="minorEastAsia" w:hAnsiTheme="minorEastAsia" w:eastAsiaTheme="minorEastAsia" w:cstheme="minorEastAsia"/>
                <w:b/>
                <w:kern w:val="2"/>
                <w:sz w:val="24"/>
                <w:szCs w:val="22"/>
              </w:rPr>
            </w:pPr>
            <w:r>
              <w:rPr>
                <w:rFonts w:hint="eastAsia" w:asciiTheme="minorEastAsia" w:hAnsiTheme="minorEastAsia" w:eastAsiaTheme="minorEastAsia" w:cstheme="minorEastAsia"/>
                <w:b/>
                <w:kern w:val="2"/>
                <w:sz w:val="24"/>
                <w:szCs w:val="22"/>
              </w:rPr>
              <w:t>内容</w:t>
            </w:r>
          </w:p>
        </w:tc>
        <w:tc>
          <w:tcPr>
            <w:tcW w:w="6287" w:type="dxa"/>
            <w:vAlign w:val="center"/>
          </w:tcPr>
          <w:p>
            <w:pPr>
              <w:spacing w:line="360" w:lineRule="auto"/>
              <w:ind w:firstLine="435"/>
              <w:jc w:val="center"/>
              <w:rPr>
                <w:rFonts w:hint="eastAsia" w:asciiTheme="minorEastAsia" w:hAnsiTheme="minorEastAsia" w:eastAsiaTheme="minorEastAsia" w:cstheme="minorEastAsia"/>
                <w:b/>
                <w:kern w:val="2"/>
                <w:sz w:val="24"/>
                <w:szCs w:val="22"/>
              </w:rPr>
            </w:pPr>
            <w:r>
              <w:rPr>
                <w:rFonts w:hint="eastAsia" w:asciiTheme="minorEastAsia" w:hAnsiTheme="minorEastAsia" w:eastAsiaTheme="minorEastAsia" w:cstheme="minorEastAsia"/>
                <w:b/>
                <w:kern w:val="2"/>
                <w:sz w:val="24"/>
                <w:szCs w:val="22"/>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spacing w:line="360" w:lineRule="auto"/>
              <w:jc w:val="center"/>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1</w:t>
            </w:r>
          </w:p>
        </w:tc>
        <w:tc>
          <w:tcPr>
            <w:tcW w:w="1277" w:type="dxa"/>
            <w:vAlign w:val="center"/>
          </w:tcPr>
          <w:p>
            <w:pPr>
              <w:spacing w:line="360" w:lineRule="auto"/>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人员到岗及履约要求</w:t>
            </w:r>
          </w:p>
        </w:tc>
        <w:tc>
          <w:tcPr>
            <w:tcW w:w="6287" w:type="dxa"/>
            <w:vAlign w:val="center"/>
          </w:tcPr>
          <w:p>
            <w:pPr>
              <w:spacing w:line="360" w:lineRule="auto"/>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1）供应商一旦成交，磋商时所报的本项目的项目经理、施工现场技术负责人、各专业负责工程师及施工机械等在整个项目施工期内必须在位，否则采购人有权解除合同。由此造成的损失，成交供应商自行承担并赔偿可能给采购人造成的损失。</w:t>
            </w:r>
          </w:p>
          <w:p>
            <w:pPr>
              <w:spacing w:line="360" w:lineRule="auto"/>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pPr>
              <w:spacing w:line="360" w:lineRule="auto"/>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3）成交供应商未能按照承诺到岗尽职的，采购人将视情况严重程度对其作出相应处理，并发出整改通知。如仍未及时整改，采购人有权责令其停工整改、直至解除合同，引进新的承包人。采购人还将停止支付工程款项，扣留任何未付的工程进度款项补偿建设单位的有关损失或工期延误的损失，并就此向承包人索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spacing w:line="360" w:lineRule="auto"/>
              <w:jc w:val="center"/>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2</w:t>
            </w:r>
          </w:p>
        </w:tc>
        <w:tc>
          <w:tcPr>
            <w:tcW w:w="1277" w:type="dxa"/>
            <w:vAlign w:val="center"/>
          </w:tcPr>
          <w:p>
            <w:pPr>
              <w:spacing w:line="360" w:lineRule="auto"/>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材料要求</w:t>
            </w:r>
          </w:p>
        </w:tc>
        <w:tc>
          <w:tcPr>
            <w:tcW w:w="6287" w:type="dxa"/>
            <w:vAlign w:val="center"/>
          </w:tcPr>
          <w:p>
            <w:pPr>
              <w:spacing w:line="360" w:lineRule="auto"/>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spacing w:line="360" w:lineRule="auto"/>
              <w:jc w:val="center"/>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3</w:t>
            </w:r>
          </w:p>
        </w:tc>
        <w:tc>
          <w:tcPr>
            <w:tcW w:w="1277" w:type="dxa"/>
            <w:vAlign w:val="center"/>
          </w:tcPr>
          <w:p>
            <w:pPr>
              <w:spacing w:line="360" w:lineRule="auto"/>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工程施工重点难点</w:t>
            </w:r>
          </w:p>
        </w:tc>
        <w:tc>
          <w:tcPr>
            <w:tcW w:w="6287" w:type="dxa"/>
            <w:vAlign w:val="center"/>
          </w:tcPr>
          <w:p>
            <w:pPr>
              <w:spacing w:line="360" w:lineRule="auto"/>
              <w:rPr>
                <w:rFonts w:hint="eastAsia" w:asciiTheme="minorEastAsia" w:hAnsiTheme="minorEastAsia" w:eastAsiaTheme="minorEastAsia" w:cstheme="minorEastAsia"/>
                <w:kern w:val="2"/>
                <w:sz w:val="24"/>
                <w:szCs w:val="22"/>
                <w:lang w:eastAsia="zh-CN"/>
              </w:rPr>
            </w:pPr>
            <w:r>
              <w:rPr>
                <w:rFonts w:hint="eastAsia" w:asciiTheme="minorEastAsia" w:hAnsiTheme="minorEastAsia" w:eastAsiaTheme="minorEastAsia" w:cstheme="minorEastAsia"/>
                <w:color w:val="FF0000"/>
                <w:kern w:val="2"/>
                <w:sz w:val="24"/>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spacing w:line="360" w:lineRule="auto"/>
              <w:jc w:val="center"/>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4</w:t>
            </w:r>
          </w:p>
        </w:tc>
        <w:tc>
          <w:tcPr>
            <w:tcW w:w="1277" w:type="dxa"/>
            <w:vAlign w:val="center"/>
          </w:tcPr>
          <w:p>
            <w:pPr>
              <w:spacing w:line="360" w:lineRule="auto"/>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报价须知</w:t>
            </w:r>
          </w:p>
        </w:tc>
        <w:tc>
          <w:tcPr>
            <w:tcW w:w="6287" w:type="dxa"/>
            <w:vAlign w:val="center"/>
          </w:tcPr>
          <w:p>
            <w:pPr>
              <w:spacing w:line="360" w:lineRule="auto"/>
              <w:rPr>
                <w:rFonts w:hint="eastAsia" w:asciiTheme="minorEastAsia" w:hAnsiTheme="minorEastAsia" w:eastAsiaTheme="minorEastAsia" w:cstheme="minorEastAsia"/>
                <w:kern w:val="2"/>
                <w:sz w:val="21"/>
                <w:szCs w:val="22"/>
              </w:rPr>
            </w:pPr>
            <w:r>
              <w:rPr>
                <w:rFonts w:hint="eastAsia" w:asciiTheme="minorEastAsia" w:hAnsiTheme="minorEastAsia" w:eastAsiaTheme="minorEastAsia" w:cstheme="minorEastAsia"/>
                <w:kern w:val="2"/>
                <w:sz w:val="24"/>
                <w:szCs w:val="22"/>
              </w:rPr>
              <w:t>供应商最后报价均不得高于磋商文件（公告）列明的项目预算、最高限价，否则其响应文件将被认定为响应无效。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spacing w:line="360" w:lineRule="auto"/>
              <w:jc w:val="center"/>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5</w:t>
            </w:r>
          </w:p>
        </w:tc>
        <w:tc>
          <w:tcPr>
            <w:tcW w:w="1277" w:type="dxa"/>
            <w:vAlign w:val="center"/>
          </w:tcPr>
          <w:p>
            <w:pPr>
              <w:spacing w:line="360" w:lineRule="auto"/>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重要说明</w:t>
            </w:r>
          </w:p>
        </w:tc>
        <w:tc>
          <w:tcPr>
            <w:tcW w:w="6287" w:type="dxa"/>
            <w:vAlign w:val="center"/>
          </w:tcPr>
          <w:p>
            <w:pPr>
              <w:spacing w:line="360" w:lineRule="auto"/>
              <w:rPr>
                <w:rFonts w:hint="eastAsia" w:asciiTheme="minorEastAsia" w:hAnsiTheme="minorEastAsia" w:eastAsiaTheme="minorEastAsia" w:cstheme="minorEastAsia"/>
                <w:kern w:val="2"/>
                <w:sz w:val="24"/>
                <w:szCs w:val="18"/>
              </w:rPr>
            </w:pPr>
            <w:bookmarkStart w:id="1" w:name="OLE_LINK3"/>
            <w:r>
              <w:rPr>
                <w:rFonts w:hint="eastAsia" w:asciiTheme="minorEastAsia" w:hAnsiTheme="minorEastAsia" w:eastAsiaTheme="minorEastAsia" w:cstheme="minorEastAsia"/>
                <w:kern w:val="2"/>
                <w:sz w:val="24"/>
                <w:szCs w:val="24"/>
              </w:rPr>
              <w:t>政府采购政策（包括但不限于下列具体政策要求）</w:t>
            </w:r>
            <w:r>
              <w:rPr>
                <w:rFonts w:hint="eastAsia" w:asciiTheme="minorEastAsia" w:hAnsiTheme="minorEastAsia" w:eastAsiaTheme="minorEastAsia" w:cstheme="minorEastAsia"/>
                <w:kern w:val="2"/>
                <w:sz w:val="24"/>
                <w:szCs w:val="18"/>
              </w:rPr>
              <w:t>：</w:t>
            </w:r>
          </w:p>
          <w:p>
            <w:pPr>
              <w:spacing w:line="360" w:lineRule="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pPr>
              <w:spacing w:line="360" w:lineRule="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pPr>
              <w:spacing w:line="360" w:lineRule="auto"/>
              <w:rPr>
                <w:rFonts w:hint="eastAsia" w:asciiTheme="minorEastAsia" w:hAnsiTheme="minorEastAsia" w:eastAsiaTheme="minorEastAsia" w:cstheme="minorEastAsia"/>
                <w:kern w:val="2"/>
                <w:sz w:val="24"/>
                <w:szCs w:val="22"/>
                <w:lang w:val="en-US" w:eastAsia="zh-CN"/>
              </w:rPr>
            </w:pPr>
            <w:bookmarkStart w:id="2" w:name="OLE_LINK5"/>
            <w:r>
              <w:rPr>
                <w:rFonts w:hint="eastAsia" w:asciiTheme="minorEastAsia" w:hAnsiTheme="minorEastAsia" w:eastAsiaTheme="minorEastAsia" w:cstheme="minorEastAsia"/>
                <w:kern w:val="2"/>
                <w:sz w:val="24"/>
                <w:szCs w:val="24"/>
                <w:lang w:eastAsia="zh-CN"/>
              </w:rPr>
              <w:t>（</w:t>
            </w:r>
            <w:r>
              <w:rPr>
                <w:rFonts w:hint="eastAsia" w:asciiTheme="minorEastAsia" w:hAnsiTheme="minorEastAsia" w:eastAsiaTheme="minorEastAsia" w:cstheme="minorEastAsia"/>
                <w:kern w:val="2"/>
                <w:sz w:val="24"/>
                <w:szCs w:val="24"/>
                <w:lang w:val="en-US" w:eastAsia="zh-CN"/>
              </w:rPr>
              <w:t>3</w:t>
            </w:r>
            <w:r>
              <w:rPr>
                <w:rFonts w:hint="eastAsia" w:asciiTheme="minorEastAsia" w:hAnsiTheme="minorEastAsia" w:eastAsiaTheme="minorEastAsia" w:cstheme="minorEastAsia"/>
                <w:kern w:val="2"/>
                <w:sz w:val="24"/>
                <w:szCs w:val="24"/>
                <w:lang w:eastAsia="zh-CN"/>
              </w:rPr>
              <w:t>）</w:t>
            </w:r>
            <w:r>
              <w:rPr>
                <w:rFonts w:hint="eastAsia" w:asciiTheme="minorEastAsia" w:hAnsiTheme="minorEastAsia" w:eastAsiaTheme="minorEastAsia" w:cstheme="minorEastAsia"/>
                <w:kern w:val="2"/>
                <w:sz w:val="24"/>
                <w:szCs w:val="22"/>
                <w:lang w:val="en-US"/>
              </w:rPr>
              <w:t>根据《关于进一步做好政府采购支持绿色建材促进建筑品质提升相关工作的通知》（</w:t>
            </w:r>
            <w:r>
              <w:rPr>
                <w:rFonts w:hint="eastAsia" w:asciiTheme="minorEastAsia" w:hAnsiTheme="minorEastAsia" w:eastAsiaTheme="minorEastAsia" w:cstheme="minorEastAsia"/>
                <w:kern w:val="2"/>
                <w:sz w:val="24"/>
                <w:szCs w:val="22"/>
              </w:rPr>
              <w:t>合财购〔2025〕167号</w:t>
            </w:r>
            <w:r>
              <w:rPr>
                <w:rFonts w:hint="eastAsia" w:asciiTheme="minorEastAsia" w:hAnsiTheme="minorEastAsia" w:eastAsiaTheme="minorEastAsia" w:cstheme="minorEastAsia"/>
                <w:kern w:val="2"/>
                <w:sz w:val="24"/>
                <w:szCs w:val="22"/>
                <w:lang w:val="en-US"/>
              </w:rPr>
              <w:t>）、《</w:t>
            </w:r>
            <w:r>
              <w:rPr>
                <w:rFonts w:hint="eastAsia" w:asciiTheme="minorEastAsia" w:hAnsiTheme="minorEastAsia" w:eastAsiaTheme="minorEastAsia" w:cstheme="minorEastAsia"/>
                <w:kern w:val="2"/>
                <w:sz w:val="24"/>
                <w:szCs w:val="22"/>
              </w:rPr>
              <w:t>合肥市政府采购支持绿色建材促进建筑品质提升试点实施方案</w:t>
            </w:r>
            <w:r>
              <w:rPr>
                <w:rFonts w:hint="eastAsia" w:asciiTheme="minorEastAsia" w:hAnsiTheme="minorEastAsia" w:eastAsiaTheme="minorEastAsia" w:cstheme="minorEastAsia"/>
                <w:kern w:val="2"/>
                <w:sz w:val="24"/>
                <w:szCs w:val="22"/>
                <w:lang w:val="en-US"/>
              </w:rPr>
              <w:t>》，属于实施范围内的政府采购工程项目，</w:t>
            </w:r>
            <w:r>
              <w:rPr>
                <w:rFonts w:hint="eastAsia" w:asciiTheme="minorEastAsia" w:hAnsiTheme="minorEastAsia" w:eastAsiaTheme="minorEastAsia" w:cstheme="minorEastAsia"/>
                <w:kern w:val="2"/>
                <w:sz w:val="24"/>
                <w:szCs w:val="22"/>
              </w:rPr>
              <w:t>应</w:t>
            </w:r>
            <w:r>
              <w:rPr>
                <w:rFonts w:hint="eastAsia" w:asciiTheme="minorEastAsia" w:hAnsiTheme="minorEastAsia" w:eastAsiaTheme="minorEastAsia" w:cstheme="minorEastAsia"/>
                <w:kern w:val="2"/>
                <w:sz w:val="24"/>
                <w:szCs w:val="22"/>
                <w:lang w:val="en-US"/>
              </w:rPr>
              <w:t>按照</w:t>
            </w:r>
            <w:r>
              <w:rPr>
                <w:rFonts w:hint="eastAsia" w:asciiTheme="minorEastAsia" w:hAnsiTheme="minorEastAsia" w:eastAsiaTheme="minorEastAsia" w:cstheme="minorEastAsia"/>
                <w:kern w:val="2"/>
                <w:sz w:val="24"/>
                <w:szCs w:val="22"/>
              </w:rPr>
              <w:t>财政部、住建部、工信部联合印发的《绿色建筑和绿色建材政府采购需求标准》</w:t>
            </w:r>
            <w:r>
              <w:rPr>
                <w:rFonts w:hint="eastAsia" w:asciiTheme="minorEastAsia" w:hAnsiTheme="minorEastAsia" w:eastAsiaTheme="minorEastAsia" w:cstheme="minorEastAsia"/>
                <w:kern w:val="2"/>
                <w:sz w:val="24"/>
                <w:szCs w:val="22"/>
                <w:lang w:val="en-US"/>
              </w:rPr>
              <w:t>和</w:t>
            </w:r>
            <w:r>
              <w:rPr>
                <w:rFonts w:hint="eastAsia" w:asciiTheme="minorEastAsia" w:hAnsiTheme="minorEastAsia" w:eastAsiaTheme="minorEastAsia" w:cstheme="minorEastAsia"/>
                <w:kern w:val="2"/>
                <w:sz w:val="24"/>
                <w:szCs w:val="22"/>
              </w:rPr>
              <w:t>《政府采购支持绿色建材促进建筑品质提升政策项目实施指南》</w:t>
            </w:r>
            <w:r>
              <w:rPr>
                <w:rFonts w:hint="eastAsia" w:asciiTheme="minorEastAsia" w:hAnsiTheme="minorEastAsia" w:eastAsiaTheme="minorEastAsia" w:cstheme="minorEastAsia"/>
                <w:kern w:val="2"/>
                <w:sz w:val="24"/>
                <w:szCs w:val="22"/>
                <w:lang w:val="en-US"/>
              </w:rPr>
              <w:t>应</w:t>
            </w:r>
            <w:r>
              <w:rPr>
                <w:rFonts w:hint="eastAsia" w:asciiTheme="minorEastAsia" w:hAnsiTheme="minorEastAsia" w:eastAsiaTheme="minorEastAsia" w:cstheme="minorEastAsia"/>
                <w:kern w:val="2"/>
                <w:sz w:val="24"/>
                <w:szCs w:val="22"/>
              </w:rPr>
              <w:t>用绿色建筑和绿色建材</w:t>
            </w:r>
            <w:r>
              <w:rPr>
                <w:rFonts w:hint="eastAsia" w:asciiTheme="minorEastAsia" w:hAnsiTheme="minorEastAsia" w:eastAsiaTheme="minorEastAsia" w:cstheme="minorEastAsia"/>
                <w:kern w:val="2"/>
                <w:sz w:val="24"/>
                <w:szCs w:val="24"/>
                <w:lang w:val="en-US" w:eastAsia="zh-CN"/>
              </w:rPr>
              <w:t>。</w:t>
            </w:r>
            <w:bookmarkEnd w:id="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spacing w:line="360" w:lineRule="auto"/>
              <w:jc w:val="center"/>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6</w:t>
            </w:r>
          </w:p>
        </w:tc>
        <w:tc>
          <w:tcPr>
            <w:tcW w:w="1277" w:type="dxa"/>
            <w:vAlign w:val="center"/>
          </w:tcPr>
          <w:p>
            <w:pPr>
              <w:spacing w:line="360" w:lineRule="auto"/>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项目经理</w:t>
            </w:r>
          </w:p>
        </w:tc>
        <w:tc>
          <w:tcPr>
            <w:tcW w:w="6287" w:type="dxa"/>
            <w:vAlign w:val="center"/>
          </w:tcPr>
          <w:p>
            <w:pPr>
              <w:spacing w:line="360" w:lineRule="auto"/>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lang w:eastAsia="zh-CN"/>
              </w:rPr>
              <w:t>（</w:t>
            </w:r>
            <w:r>
              <w:rPr>
                <w:rFonts w:hint="eastAsia" w:asciiTheme="minorEastAsia" w:hAnsiTheme="minorEastAsia" w:eastAsiaTheme="minorEastAsia" w:cstheme="minorEastAsia"/>
                <w:kern w:val="2"/>
                <w:sz w:val="24"/>
                <w:szCs w:val="22"/>
                <w:lang w:val="en-US" w:eastAsia="zh-CN"/>
              </w:rPr>
              <w:t>1</w:t>
            </w:r>
            <w:r>
              <w:rPr>
                <w:rFonts w:hint="eastAsia" w:asciiTheme="minorEastAsia" w:hAnsiTheme="minorEastAsia" w:eastAsiaTheme="minorEastAsia" w:cstheme="minorEastAsia"/>
                <w:kern w:val="2"/>
                <w:sz w:val="24"/>
                <w:szCs w:val="22"/>
                <w:lang w:eastAsia="zh-CN"/>
              </w:rPr>
              <w:t>）</w:t>
            </w:r>
            <w:r>
              <w:rPr>
                <w:rFonts w:hint="eastAsia" w:asciiTheme="minorEastAsia" w:hAnsiTheme="minorEastAsia" w:eastAsiaTheme="minorEastAsia" w:cstheme="minorEastAsia"/>
                <w:kern w:val="2"/>
                <w:sz w:val="24"/>
                <w:szCs w:val="22"/>
              </w:rPr>
              <w:t>符合竞争性磋商公告中“项目经理资格要求”</w:t>
            </w:r>
            <w:r>
              <w:rPr>
                <w:rFonts w:hint="eastAsia" w:asciiTheme="minorEastAsia" w:hAnsiTheme="minorEastAsia" w:eastAsiaTheme="minorEastAsia" w:cstheme="minorEastAsia"/>
                <w:kern w:val="2"/>
                <w:sz w:val="24"/>
                <w:szCs w:val="22"/>
                <w:lang w:eastAsia="zh-CN"/>
              </w:rPr>
              <w:t>，</w:t>
            </w:r>
            <w:r>
              <w:rPr>
                <w:rFonts w:hint="eastAsia" w:ascii="Times New Roman" w:hAnsi="Times New Roman" w:cs="楷体"/>
                <w:bCs/>
                <w:snapToGrid w:val="0"/>
                <w:color w:val="000000"/>
                <w:kern w:val="0"/>
                <w:sz w:val="24"/>
                <w:szCs w:val="24"/>
              </w:rPr>
              <w:t>且必须是本单位人员（</w:t>
            </w:r>
            <w:r>
              <w:rPr>
                <w:rFonts w:hint="eastAsia" w:asciiTheme="minorEastAsia" w:hAnsiTheme="minorEastAsia" w:eastAsiaTheme="minorEastAsia" w:cstheme="minorEastAsia"/>
                <w:kern w:val="2"/>
                <w:sz w:val="24"/>
                <w:szCs w:val="22"/>
              </w:rPr>
              <w:t>竞争性磋商公告</w:t>
            </w:r>
            <w:r>
              <w:rPr>
                <w:rFonts w:hint="eastAsia" w:ascii="Times New Roman" w:hAnsi="Times New Roman" w:cs="楷体"/>
                <w:bCs/>
                <w:snapToGrid w:val="0"/>
                <w:color w:val="000000"/>
                <w:kern w:val="0"/>
                <w:sz w:val="24"/>
                <w:szCs w:val="24"/>
              </w:rPr>
              <w:t>中要求的注册证书注册单位应当与</w:t>
            </w:r>
            <w:r>
              <w:rPr>
                <w:rFonts w:hint="eastAsia" w:ascii="Times New Roman" w:hAnsi="Times New Roman" w:cs="楷体"/>
                <w:bCs/>
                <w:snapToGrid w:val="0"/>
                <w:color w:val="000000"/>
                <w:kern w:val="0"/>
                <w:sz w:val="24"/>
                <w:szCs w:val="24"/>
                <w:lang w:val="en-US" w:eastAsia="zh-CN"/>
              </w:rPr>
              <w:t>供应商</w:t>
            </w:r>
            <w:r>
              <w:rPr>
                <w:rFonts w:hint="eastAsia" w:ascii="Times New Roman" w:hAnsi="Times New Roman" w:cs="楷体"/>
                <w:bCs/>
                <w:snapToGrid w:val="0"/>
                <w:color w:val="000000"/>
                <w:kern w:val="0"/>
                <w:sz w:val="24"/>
                <w:szCs w:val="24"/>
              </w:rPr>
              <w:t>名称一致）</w:t>
            </w:r>
            <w:r>
              <w:rPr>
                <w:rFonts w:hint="eastAsia" w:asciiTheme="minorEastAsia" w:hAnsiTheme="minorEastAsia" w:eastAsiaTheme="minorEastAsia" w:cstheme="minorEastAsia"/>
                <w:kern w:val="2"/>
                <w:sz w:val="24"/>
                <w:szCs w:val="22"/>
              </w:rPr>
              <w:t>。</w:t>
            </w:r>
          </w:p>
          <w:p>
            <w:pPr>
              <w:spacing w:line="360" w:lineRule="auto"/>
              <w:rPr>
                <w:rFonts w:hint="eastAsia" w:asciiTheme="minorEastAsia" w:hAnsiTheme="minorEastAsia" w:eastAsiaTheme="minorEastAsia" w:cstheme="minorEastAsia"/>
                <w:kern w:val="2"/>
                <w:sz w:val="24"/>
                <w:szCs w:val="22"/>
              </w:rPr>
            </w:pPr>
            <w:bookmarkStart w:id="3" w:name="OLE_LINK9"/>
            <w:bookmarkStart w:id="4" w:name="OLE_LINK10"/>
            <w:r>
              <w:rPr>
                <w:rFonts w:hint="eastAsia" w:asciiTheme="minorEastAsia" w:hAnsiTheme="minorEastAsia" w:eastAsiaTheme="minorEastAsia" w:cstheme="minorEastAsia"/>
                <w:kern w:val="2"/>
                <w:sz w:val="24"/>
                <w:szCs w:val="22"/>
                <w:lang w:eastAsia="zh-CN"/>
              </w:rPr>
              <w:t>（</w:t>
            </w:r>
            <w:r>
              <w:rPr>
                <w:rFonts w:hint="eastAsia" w:asciiTheme="minorEastAsia" w:hAnsiTheme="minorEastAsia" w:eastAsiaTheme="minorEastAsia" w:cstheme="minorEastAsia"/>
                <w:kern w:val="2"/>
                <w:sz w:val="24"/>
                <w:szCs w:val="22"/>
                <w:lang w:val="en-US" w:eastAsia="zh-CN"/>
              </w:rPr>
              <w:t>2</w:t>
            </w:r>
            <w:r>
              <w:rPr>
                <w:rFonts w:hint="eastAsia" w:asciiTheme="minorEastAsia" w:hAnsiTheme="minorEastAsia" w:eastAsiaTheme="minorEastAsia" w:cstheme="minorEastAsia"/>
                <w:kern w:val="2"/>
                <w:sz w:val="24"/>
                <w:szCs w:val="22"/>
                <w:lang w:eastAsia="zh-CN"/>
              </w:rPr>
              <w:t>）</w:t>
            </w:r>
            <w:r>
              <w:rPr>
                <w:rFonts w:hint="eastAsia" w:asciiTheme="minorEastAsia" w:hAnsiTheme="minorEastAsia" w:eastAsiaTheme="minorEastAsia" w:cstheme="minorEastAsia"/>
                <w:kern w:val="2"/>
                <w:sz w:val="24"/>
                <w:szCs w:val="22"/>
              </w:rPr>
              <w:t>项目经理不得同时担任两个及以上建设工程施工项目经理，以下情形除外：</w:t>
            </w:r>
          </w:p>
          <w:p>
            <w:pPr>
              <w:spacing w:line="360" w:lineRule="auto"/>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fldChar w:fldCharType="begin"/>
            </w:r>
            <w:r>
              <w:rPr>
                <w:rFonts w:hint="eastAsia" w:asciiTheme="minorEastAsia" w:hAnsiTheme="minorEastAsia" w:eastAsiaTheme="minorEastAsia" w:cstheme="minorEastAsia"/>
                <w:kern w:val="2"/>
                <w:sz w:val="24"/>
                <w:szCs w:val="22"/>
              </w:rPr>
              <w:instrText xml:space="preserve"> = 1 \* GB3 \* MERGEFORMAT </w:instrText>
            </w:r>
            <w:r>
              <w:rPr>
                <w:rFonts w:hint="eastAsia" w:asciiTheme="minorEastAsia" w:hAnsiTheme="minorEastAsia" w:eastAsiaTheme="minorEastAsia" w:cstheme="minorEastAsia"/>
                <w:kern w:val="2"/>
                <w:sz w:val="24"/>
                <w:szCs w:val="22"/>
              </w:rPr>
              <w:fldChar w:fldCharType="separate"/>
            </w:r>
            <w:r>
              <w:rPr>
                <w:rFonts w:hint="eastAsia" w:asciiTheme="minorEastAsia" w:hAnsiTheme="minorEastAsia" w:eastAsiaTheme="minorEastAsia" w:cstheme="minorEastAsia"/>
                <w:kern w:val="2"/>
                <w:sz w:val="24"/>
                <w:szCs w:val="22"/>
              </w:rPr>
              <w:t>①</w:t>
            </w:r>
            <w:r>
              <w:rPr>
                <w:rFonts w:hint="eastAsia" w:asciiTheme="minorEastAsia" w:hAnsiTheme="minorEastAsia" w:eastAsiaTheme="minorEastAsia" w:cstheme="minorEastAsia"/>
                <w:kern w:val="2"/>
                <w:sz w:val="24"/>
                <w:szCs w:val="22"/>
              </w:rPr>
              <w:fldChar w:fldCharType="end"/>
            </w:r>
            <w:r>
              <w:rPr>
                <w:rFonts w:hint="eastAsia" w:asciiTheme="minorEastAsia" w:hAnsiTheme="minorEastAsia" w:eastAsiaTheme="minorEastAsia" w:cstheme="minorEastAsia"/>
                <w:kern w:val="2"/>
                <w:sz w:val="24"/>
                <w:szCs w:val="22"/>
              </w:rPr>
              <w:t>法定情形；</w:t>
            </w:r>
          </w:p>
          <w:p>
            <w:pPr>
              <w:spacing w:line="360" w:lineRule="auto"/>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fldChar w:fldCharType="begin"/>
            </w:r>
            <w:r>
              <w:rPr>
                <w:rFonts w:hint="eastAsia" w:asciiTheme="minorEastAsia" w:hAnsiTheme="minorEastAsia" w:eastAsiaTheme="minorEastAsia" w:cstheme="minorEastAsia"/>
                <w:kern w:val="2"/>
                <w:sz w:val="24"/>
                <w:szCs w:val="22"/>
              </w:rPr>
              <w:instrText xml:space="preserve"> = 2 \* GB3 \* MERGEFORMAT </w:instrText>
            </w:r>
            <w:r>
              <w:rPr>
                <w:rFonts w:hint="eastAsia" w:asciiTheme="minorEastAsia" w:hAnsiTheme="minorEastAsia" w:eastAsiaTheme="minorEastAsia" w:cstheme="minorEastAsia"/>
                <w:kern w:val="2"/>
                <w:sz w:val="24"/>
                <w:szCs w:val="22"/>
              </w:rPr>
              <w:fldChar w:fldCharType="separate"/>
            </w:r>
            <w:r>
              <w:rPr>
                <w:rFonts w:hint="eastAsia" w:asciiTheme="minorEastAsia" w:hAnsiTheme="minorEastAsia" w:eastAsiaTheme="minorEastAsia" w:cstheme="minorEastAsia"/>
                <w:kern w:val="2"/>
                <w:sz w:val="24"/>
                <w:szCs w:val="22"/>
              </w:rPr>
              <w:t>②</w:t>
            </w:r>
            <w:r>
              <w:rPr>
                <w:rFonts w:hint="eastAsia" w:asciiTheme="minorEastAsia" w:hAnsiTheme="minorEastAsia" w:eastAsiaTheme="minorEastAsia" w:cstheme="minorEastAsia"/>
                <w:kern w:val="2"/>
                <w:sz w:val="24"/>
                <w:szCs w:val="22"/>
              </w:rPr>
              <w:fldChar w:fldCharType="end"/>
            </w:r>
            <w:r>
              <w:rPr>
                <w:rFonts w:hint="eastAsia" w:asciiTheme="minorEastAsia" w:hAnsiTheme="minorEastAsia" w:eastAsiaTheme="minorEastAsia" w:cstheme="minorEastAsia"/>
                <w:kern w:val="2"/>
                <w:sz w:val="24"/>
                <w:szCs w:val="22"/>
              </w:rPr>
              <w:t>虽在其他项目上担任项目经理岗位，但承诺在本项目成交后合同签订前能够从其他项目变更至本项目并全面履约。</w:t>
            </w:r>
            <w:bookmarkEnd w:id="3"/>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spacing w:line="360" w:lineRule="auto"/>
              <w:jc w:val="center"/>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7</w:t>
            </w:r>
          </w:p>
        </w:tc>
        <w:tc>
          <w:tcPr>
            <w:tcW w:w="1277" w:type="dxa"/>
            <w:vAlign w:val="center"/>
          </w:tcPr>
          <w:p>
            <w:pPr>
              <w:pStyle w:val="8"/>
              <w:widowControl w:val="0"/>
              <w:spacing w:before="0" w:beforeAutospacing="0" w:after="0" w:afterAutospacing="0" w:line="360" w:lineRule="auto"/>
              <w:rPr>
                <w:rFonts w:hint="eastAsia" w:asciiTheme="minorEastAsia" w:hAnsiTheme="minorEastAsia" w:eastAsiaTheme="minorEastAsia" w:cstheme="minorEastAsia"/>
                <w:kern w:val="2"/>
                <w:sz w:val="24"/>
              </w:rPr>
            </w:pPr>
            <w:r>
              <w:rPr>
                <w:rFonts w:hint="eastAsia" w:asciiTheme="minorEastAsia" w:hAnsiTheme="minorEastAsia" w:eastAsiaTheme="minorEastAsia" w:cstheme="minorEastAsia"/>
                <w:b w:val="0"/>
                <w:kern w:val="2"/>
                <w:sz w:val="24"/>
              </w:rPr>
              <w:t>本项目采购标的名称及所属行业</w:t>
            </w:r>
          </w:p>
        </w:tc>
        <w:tc>
          <w:tcPr>
            <w:tcW w:w="6287" w:type="dxa"/>
            <w:vAlign w:val="center"/>
          </w:tcPr>
          <w:p>
            <w:pPr>
              <w:spacing w:line="360" w:lineRule="auto"/>
              <w:jc w:val="left"/>
              <w:rPr>
                <w:rFonts w:hint="eastAsia" w:asciiTheme="minorEastAsia" w:hAnsiTheme="minorEastAsia" w:eastAsiaTheme="minorEastAsia" w:cstheme="minorEastAsia"/>
                <w:kern w:val="2"/>
                <w:sz w:val="24"/>
                <w:szCs w:val="22"/>
                <w:lang w:eastAsia="zh-CN"/>
              </w:rPr>
            </w:pPr>
            <w:r>
              <w:rPr>
                <w:rFonts w:hint="eastAsia" w:asciiTheme="minorEastAsia" w:hAnsiTheme="minorEastAsia" w:eastAsiaTheme="minorEastAsia" w:cstheme="minorEastAsia"/>
                <w:kern w:val="2"/>
                <w:sz w:val="24"/>
                <w:szCs w:val="22"/>
              </w:rPr>
              <w:t>标的名称：</w:t>
            </w:r>
            <w:r>
              <w:rPr>
                <w:rFonts w:hint="eastAsia" w:asciiTheme="minorEastAsia" w:hAnsiTheme="minorEastAsia" w:eastAsiaTheme="minorEastAsia" w:cstheme="minorEastAsia"/>
                <w:kern w:val="2"/>
                <w:sz w:val="24"/>
                <w:szCs w:val="18"/>
                <w:lang w:eastAsia="zh-CN"/>
              </w:rPr>
              <w:t>石关国家体育训练基地消防管网及设施改造工程</w:t>
            </w:r>
          </w:p>
          <w:p>
            <w:pPr>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所属行业：建筑业</w:t>
            </w:r>
          </w:p>
        </w:tc>
      </w:tr>
    </w:tbl>
    <w:p>
      <w:pPr>
        <w:pStyle w:val="3"/>
        <w:spacing w:before="0" w:after="0" w:line="360" w:lineRule="auto"/>
        <w:rPr>
          <w:rFonts w:asciiTheme="minorEastAsia" w:hAnsiTheme="minorEastAsia" w:eastAsiaTheme="minorEastAsia" w:cstheme="minorEastAsia"/>
          <w:sz w:val="24"/>
          <w:szCs w:val="24"/>
        </w:rPr>
      </w:pPr>
      <w:bookmarkStart w:id="5" w:name="_Toc15645"/>
      <w:bookmarkStart w:id="6" w:name="_Toc23730"/>
      <w:r>
        <w:rPr>
          <w:rFonts w:hint="eastAsia" w:asciiTheme="minorEastAsia" w:hAnsiTheme="minorEastAsia" w:eastAsiaTheme="minorEastAsia" w:cstheme="minorEastAsia"/>
          <w:sz w:val="24"/>
          <w:szCs w:val="24"/>
          <w:lang w:val="en-US"/>
        </w:rPr>
        <w:t>一、</w:t>
      </w:r>
      <w:r>
        <w:rPr>
          <w:rFonts w:hint="eastAsia" w:asciiTheme="minorEastAsia" w:hAnsiTheme="minorEastAsia" w:eastAsiaTheme="minorEastAsia" w:cstheme="minorEastAsia"/>
          <w:sz w:val="24"/>
          <w:szCs w:val="24"/>
        </w:rPr>
        <w:t>项目概况及总体要求</w:t>
      </w:r>
      <w:bookmarkEnd w:id="5"/>
      <w:bookmarkEnd w:id="6"/>
    </w:p>
    <w:p>
      <w:pPr>
        <w:spacing w:line="360" w:lineRule="auto"/>
        <w:ind w:firstLine="480" w:firstLineChars="200"/>
        <w:textAlignment w:val="baseline"/>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val="0"/>
          <w:bCs w:val="0"/>
          <w:color w:val="auto"/>
          <w:sz w:val="24"/>
          <w:szCs w:val="24"/>
          <w:lang w:eastAsia="zh-CN"/>
        </w:rPr>
        <w:t>石关国家体育训练基地消防管网及设施改造工程</w:t>
      </w:r>
      <w:r>
        <w:rPr>
          <w:rFonts w:hint="eastAsia" w:asciiTheme="minorEastAsia" w:hAnsiTheme="minorEastAsia" w:eastAsiaTheme="minorEastAsia" w:cstheme="minorEastAsia"/>
          <w:b w:val="0"/>
          <w:bCs w:val="0"/>
          <w:color w:val="auto"/>
          <w:sz w:val="24"/>
          <w:szCs w:val="24"/>
        </w:rPr>
        <w:t>，具体内容详见图纸及清单。</w:t>
      </w:r>
    </w:p>
    <w:p>
      <w:pPr>
        <w:pStyle w:val="4"/>
        <w:widowControl/>
        <w:spacing w:line="360" w:lineRule="auto"/>
        <w:outlineLvl w:val="1"/>
        <w:rPr>
          <w:rStyle w:val="9"/>
          <w:rFonts w:asciiTheme="minorEastAsia" w:hAnsiTheme="minorEastAsia" w:eastAsiaTheme="minorEastAsia" w:cstheme="minorEastAsia"/>
          <w:sz w:val="24"/>
          <w:szCs w:val="24"/>
        </w:rPr>
      </w:pPr>
      <w:bookmarkStart w:id="7" w:name="_Toc12271"/>
      <w:bookmarkStart w:id="8" w:name="_Toc466024558"/>
      <w:bookmarkStart w:id="9" w:name="_Toc455587275"/>
      <w:bookmarkStart w:id="10" w:name="_Toc445554749"/>
      <w:bookmarkStart w:id="11" w:name="_Toc18199"/>
      <w:bookmarkStart w:id="12" w:name="_Toc455587091"/>
      <w:r>
        <w:rPr>
          <w:rStyle w:val="9"/>
          <w:rFonts w:hint="eastAsia" w:asciiTheme="minorEastAsia" w:hAnsiTheme="minorEastAsia" w:cstheme="minorEastAsia"/>
          <w:sz w:val="24"/>
          <w:szCs w:val="24"/>
        </w:rPr>
        <w:t>二、</w:t>
      </w:r>
      <w:r>
        <w:rPr>
          <w:rStyle w:val="9"/>
          <w:rFonts w:hint="eastAsia" w:asciiTheme="minorEastAsia" w:hAnsiTheme="minorEastAsia" w:eastAsiaTheme="minorEastAsia" w:cstheme="minorEastAsia"/>
          <w:sz w:val="24"/>
          <w:szCs w:val="24"/>
        </w:rPr>
        <w:t>技术要求</w:t>
      </w:r>
      <w:bookmarkEnd w:id="7"/>
      <w:bookmarkEnd w:id="8"/>
      <w:bookmarkEnd w:id="9"/>
      <w:bookmarkEnd w:id="10"/>
      <w:bookmarkEnd w:id="11"/>
      <w:bookmarkEnd w:id="12"/>
    </w:p>
    <w:p>
      <w:pPr>
        <w:pStyle w:val="4"/>
        <w:widowControl/>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按照图纸、工程量清单要求及最新国家相关标准、规范要求执行。</w:t>
      </w:r>
    </w:p>
    <w:p>
      <w:pPr>
        <w:pStyle w:val="3"/>
        <w:spacing w:before="0" w:after="0" w:line="360" w:lineRule="auto"/>
        <w:rPr>
          <w:rFonts w:asciiTheme="minorEastAsia" w:hAnsiTheme="minorEastAsia" w:eastAsiaTheme="minorEastAsia" w:cstheme="minorEastAsia"/>
          <w:sz w:val="24"/>
          <w:szCs w:val="24"/>
        </w:rPr>
      </w:pPr>
      <w:bookmarkStart w:id="13" w:name="_Toc29071"/>
      <w:bookmarkStart w:id="14" w:name="_Toc8900"/>
      <w:bookmarkStart w:id="15" w:name="OLE_LINK7"/>
      <w:r>
        <w:rPr>
          <w:rFonts w:hint="eastAsia" w:asciiTheme="minorEastAsia" w:hAnsiTheme="minorEastAsia" w:eastAsiaTheme="minorEastAsia" w:cstheme="minorEastAsia"/>
          <w:sz w:val="24"/>
          <w:szCs w:val="24"/>
          <w:lang w:val="en-US"/>
        </w:rPr>
        <w:t>三、</w:t>
      </w:r>
      <w:r>
        <w:rPr>
          <w:rFonts w:hint="eastAsia" w:asciiTheme="minorEastAsia" w:hAnsiTheme="minorEastAsia" w:eastAsiaTheme="minorEastAsia" w:cstheme="minorEastAsia"/>
          <w:sz w:val="24"/>
          <w:szCs w:val="24"/>
        </w:rPr>
        <w:t>报价要求</w:t>
      </w:r>
      <w:bookmarkEnd w:id="13"/>
      <w:bookmarkEnd w:id="14"/>
    </w:p>
    <w:p>
      <w:pPr>
        <w:keepNext/>
        <w:keepLines/>
        <w:spacing w:line="360" w:lineRule="auto"/>
        <w:outlineLvl w:val="9"/>
        <w:rPr>
          <w:rFonts w:asciiTheme="minorEastAsia" w:hAnsiTheme="minorEastAsia" w:eastAsiaTheme="minorEastAsia" w:cstheme="minorEastAsia"/>
          <w:b/>
          <w:bCs/>
          <w:color w:val="000000"/>
          <w:sz w:val="24"/>
          <w:szCs w:val="24"/>
        </w:rPr>
      </w:pPr>
      <w:bookmarkStart w:id="16" w:name="_Toc11545"/>
      <w:bookmarkStart w:id="17" w:name="_Toc28825"/>
      <w:bookmarkStart w:id="18" w:name="_Toc22767"/>
      <w:r>
        <w:rPr>
          <w:rFonts w:hint="eastAsia" w:asciiTheme="minorEastAsia" w:hAnsiTheme="minorEastAsia" w:eastAsiaTheme="minorEastAsia" w:cstheme="minorEastAsia"/>
          <w:b/>
          <w:bCs/>
          <w:color w:val="000000"/>
          <w:sz w:val="24"/>
          <w:szCs w:val="24"/>
        </w:rPr>
        <w:t>3.1计价依据</w:t>
      </w:r>
      <w:bookmarkEnd w:id="16"/>
      <w:bookmarkEnd w:id="17"/>
      <w:bookmarkEnd w:id="18"/>
    </w:p>
    <w:p>
      <w:pPr>
        <w:spacing w:line="360" w:lineRule="auto"/>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000000"/>
          <w:sz w:val="24"/>
          <w:szCs w:val="24"/>
        </w:rPr>
        <w:t>3.1.1 计价依据的确定符合国家法律法规、现行有关标准与规范，工程所在</w:t>
      </w:r>
      <w:r>
        <w:rPr>
          <w:rFonts w:hint="eastAsia" w:asciiTheme="minorEastAsia" w:hAnsiTheme="minorEastAsia" w:eastAsiaTheme="minorEastAsia" w:cstheme="minorEastAsia"/>
          <w:color w:val="auto"/>
          <w:sz w:val="24"/>
          <w:szCs w:val="24"/>
        </w:rPr>
        <w:t>地的省、市工程定额和工程造价的规定以及工程造价信息要求。</w:t>
      </w:r>
    </w:p>
    <w:p>
      <w:pPr>
        <w:spacing w:line="360" w:lineRule="auto"/>
        <w:ind w:firstLine="480" w:firstLineChars="200"/>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 xml:space="preserve">3.1.2 </w:t>
      </w:r>
      <w:bookmarkStart w:id="19" w:name="OLE_LINK6"/>
      <w:r>
        <w:rPr>
          <w:rFonts w:hint="eastAsia" w:asciiTheme="minorEastAsia" w:hAnsiTheme="minorEastAsia" w:eastAsiaTheme="minorEastAsia" w:cstheme="minorEastAsia"/>
          <w:color w:val="auto"/>
          <w:sz w:val="24"/>
          <w:szCs w:val="24"/>
        </w:rPr>
        <w:t>安全文明施工费</w:t>
      </w:r>
      <w:bookmarkEnd w:id="19"/>
      <w:r>
        <w:rPr>
          <w:rFonts w:hint="eastAsia" w:asciiTheme="minorEastAsia" w:hAnsiTheme="minorEastAsia" w:eastAsiaTheme="minorEastAsia" w:cstheme="minorEastAsia"/>
          <w:color w:val="auto"/>
          <w:sz w:val="24"/>
          <w:szCs w:val="24"/>
          <w:lang w:val="en-US" w:eastAsia="zh-CN"/>
        </w:rPr>
        <w:t>费率</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详见最高限价中</w:t>
      </w:r>
      <w:r>
        <w:rPr>
          <w:rFonts w:hint="eastAsia" w:asciiTheme="minorEastAsia" w:hAnsiTheme="minorEastAsia" w:eastAsiaTheme="minorEastAsia" w:cstheme="minorEastAsia"/>
          <w:color w:val="auto"/>
          <w:sz w:val="24"/>
          <w:szCs w:val="24"/>
        </w:rPr>
        <w:t>安全文明施工费</w:t>
      </w:r>
      <w:r>
        <w:rPr>
          <w:rFonts w:hint="eastAsia" w:asciiTheme="minorEastAsia" w:hAnsiTheme="minorEastAsia" w:eastAsiaTheme="minorEastAsia" w:cstheme="minorEastAsia"/>
          <w:color w:val="auto"/>
          <w:sz w:val="24"/>
          <w:szCs w:val="24"/>
          <w:lang w:val="en-US" w:eastAsia="zh-CN"/>
        </w:rPr>
        <w:t>费率。</w:t>
      </w:r>
    </w:p>
    <w:p>
      <w:pPr>
        <w:spacing w:line="360" w:lineRule="auto"/>
        <w:ind w:firstLine="480" w:firstLineChars="200"/>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3.1.</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eastAsia="zh-CN"/>
        </w:rPr>
        <w:t>安全生产责任保险费</w:t>
      </w:r>
      <w:r>
        <w:rPr>
          <w:rFonts w:hint="eastAsia" w:asciiTheme="minorEastAsia" w:hAnsiTheme="minorEastAsia" w:eastAsiaTheme="minorEastAsia" w:cstheme="minorEastAsia"/>
          <w:color w:val="auto"/>
          <w:sz w:val="24"/>
          <w:szCs w:val="24"/>
          <w:lang w:val="en-US" w:eastAsia="zh-CN"/>
        </w:rPr>
        <w:t>费率</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详见最高限价中</w:t>
      </w:r>
      <w:r>
        <w:rPr>
          <w:rFonts w:hint="eastAsia" w:asciiTheme="minorEastAsia" w:hAnsiTheme="minorEastAsia" w:eastAsiaTheme="minorEastAsia" w:cstheme="minorEastAsia"/>
          <w:color w:val="auto"/>
          <w:sz w:val="24"/>
          <w:szCs w:val="24"/>
          <w:lang w:eastAsia="zh-CN"/>
        </w:rPr>
        <w:t>安全生产责任保险费</w:t>
      </w:r>
      <w:r>
        <w:rPr>
          <w:rFonts w:hint="eastAsia" w:asciiTheme="minorEastAsia" w:hAnsiTheme="minorEastAsia" w:eastAsiaTheme="minorEastAsia" w:cstheme="minorEastAsia"/>
          <w:color w:val="auto"/>
          <w:sz w:val="24"/>
          <w:szCs w:val="24"/>
          <w:lang w:val="en-US" w:eastAsia="zh-CN"/>
        </w:rPr>
        <w:t>费率。</w:t>
      </w:r>
    </w:p>
    <w:p>
      <w:pPr>
        <w:keepNext/>
        <w:keepLines/>
        <w:spacing w:line="360" w:lineRule="auto"/>
        <w:outlineLvl w:val="9"/>
        <w:rPr>
          <w:rFonts w:asciiTheme="minorEastAsia" w:hAnsiTheme="minorEastAsia" w:eastAsiaTheme="minorEastAsia" w:cstheme="minorEastAsia"/>
          <w:b/>
          <w:bCs/>
          <w:color w:val="auto"/>
          <w:sz w:val="24"/>
          <w:szCs w:val="24"/>
        </w:rPr>
      </w:pPr>
      <w:bookmarkStart w:id="20" w:name="_Toc22414"/>
      <w:bookmarkStart w:id="21" w:name="_Toc22790"/>
      <w:bookmarkStart w:id="22" w:name="_Toc4564"/>
      <w:r>
        <w:rPr>
          <w:rFonts w:hint="eastAsia" w:asciiTheme="minorEastAsia" w:hAnsiTheme="minorEastAsia" w:eastAsiaTheme="minorEastAsia" w:cstheme="minorEastAsia"/>
          <w:b/>
          <w:bCs/>
          <w:color w:val="auto"/>
          <w:sz w:val="24"/>
          <w:szCs w:val="24"/>
        </w:rPr>
        <w:t>3.2响应报价参考编制要求</w:t>
      </w:r>
      <w:bookmarkEnd w:id="20"/>
      <w:bookmarkEnd w:id="21"/>
      <w:bookmarkEnd w:id="22"/>
    </w:p>
    <w:p>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3.2.1 响应报价编制参考依据：</w:t>
      </w:r>
      <w:r>
        <w:rPr>
          <w:rFonts w:hint="eastAsia" w:asciiTheme="minorEastAsia" w:hAnsiTheme="minorEastAsia" w:eastAsiaTheme="minorEastAsia" w:cstheme="minorEastAsia"/>
          <w:color w:val="000000"/>
          <w:sz w:val="24"/>
          <w:szCs w:val="24"/>
          <w:lang w:val="en-US" w:eastAsia="zh-CN"/>
        </w:rPr>
        <w:t>详见清单编制说明（如有）。</w:t>
      </w:r>
    </w:p>
    <w:p>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3.2.2供应商应仔细阅读采购文件，了解全部工程内容。供应商的响应报价应是采购文件所确定的采购范围内全部工程内容的价格体现，但其响应报价不得低于供应商个别成本价。</w:t>
      </w:r>
    </w:p>
    <w:p>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3.2.3供应商应按采购人提供的工程量清单填报综合单价和合价，未填报的综合单价和合价，视为此项费用已合在工程量清单的其他综合单价和合价中。</w:t>
      </w:r>
    </w:p>
    <w:p>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3.2.4分部分项工程费根据采购文件中的工程量清单项目及项目特征描述等确定综合单价。其中综合单价是指完成一个规定清单项目所需的人工费、材料和工程设备费、施工机具使用费和综合费（企业管理费和利润）以及一定范围内供应商承担的风险费用。</w:t>
      </w:r>
    </w:p>
    <w:p>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3.2.5措施项目费依据第3.2.1项编制依据确定。</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3.2.6不可竞争费（含安全文明施工费、环境保护税</w:t>
      </w:r>
      <w:r>
        <w:rPr>
          <w:rFonts w:hint="eastAsia" w:asciiTheme="minorEastAsia" w:hAnsiTheme="minorEastAsia" w:eastAsiaTheme="minorEastAsia" w:cstheme="minorEastAsia"/>
          <w:color w:val="auto"/>
          <w:sz w:val="24"/>
          <w:szCs w:val="24"/>
          <w:lang w:eastAsia="zh-CN"/>
        </w:rPr>
        <w:t>、安全生产责任保险费</w:t>
      </w:r>
      <w:r>
        <w:rPr>
          <w:rFonts w:hint="eastAsia" w:asciiTheme="minorEastAsia" w:hAnsiTheme="minorEastAsia" w:eastAsiaTheme="minorEastAsia" w:cstheme="minorEastAsia"/>
          <w:color w:val="auto"/>
          <w:sz w:val="24"/>
          <w:szCs w:val="24"/>
          <w:lang w:val="en-US" w:eastAsia="zh-CN"/>
        </w:rPr>
        <w:t>等</w:t>
      </w:r>
      <w:r>
        <w:rPr>
          <w:rFonts w:hint="eastAsia" w:asciiTheme="minorEastAsia" w:hAnsiTheme="minorEastAsia" w:eastAsiaTheme="minorEastAsia" w:cstheme="minorEastAsia"/>
          <w:color w:val="auto"/>
          <w:sz w:val="24"/>
          <w:szCs w:val="24"/>
        </w:rPr>
        <w:t>）根据工程量清单不可竞争项目，结合第3.2.1项编制依据确定，安全文明施工费费率</w:t>
      </w:r>
      <w:r>
        <w:rPr>
          <w:rFonts w:hint="eastAsia" w:asciiTheme="minorEastAsia" w:hAnsiTheme="minorEastAsia" w:eastAsiaTheme="minorEastAsia" w:cstheme="minorEastAsia"/>
          <w:color w:val="auto"/>
          <w:sz w:val="24"/>
          <w:szCs w:val="24"/>
          <w:lang w:val="en-US" w:eastAsia="zh-CN"/>
        </w:rPr>
        <w:t>和</w:t>
      </w:r>
      <w:r>
        <w:rPr>
          <w:rFonts w:hint="eastAsia" w:asciiTheme="minorEastAsia" w:hAnsiTheme="minorEastAsia" w:eastAsiaTheme="minorEastAsia" w:cstheme="minorEastAsia"/>
          <w:color w:val="auto"/>
          <w:sz w:val="24"/>
          <w:szCs w:val="24"/>
          <w:lang w:eastAsia="zh-CN"/>
        </w:rPr>
        <w:t>安全生产责任保险费</w:t>
      </w:r>
      <w:r>
        <w:rPr>
          <w:rFonts w:hint="eastAsia" w:asciiTheme="minorEastAsia" w:hAnsiTheme="minorEastAsia" w:eastAsiaTheme="minorEastAsia" w:cstheme="minorEastAsia"/>
          <w:color w:val="auto"/>
          <w:sz w:val="24"/>
          <w:szCs w:val="24"/>
          <w:lang w:val="en-US" w:eastAsia="zh-CN"/>
        </w:rPr>
        <w:t>费率</w:t>
      </w:r>
      <w:r>
        <w:rPr>
          <w:rFonts w:hint="eastAsia" w:asciiTheme="minorEastAsia" w:hAnsiTheme="minorEastAsia" w:eastAsiaTheme="minorEastAsia" w:cstheme="minorEastAsia"/>
          <w:color w:val="auto"/>
          <w:sz w:val="24"/>
          <w:szCs w:val="24"/>
        </w:rPr>
        <w:t>不得调整。</w:t>
      </w:r>
    </w:p>
    <w:p>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3.2.7其他项目费用应按照下列规定计价：</w:t>
      </w:r>
    </w:p>
    <w:p>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（1）暂列金额按工程量清单中列出的金额填写，不得更改；</w:t>
      </w:r>
    </w:p>
    <w:p>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（2）专业工程暂估价按工程量清单中列出的金额填写，不得更改；</w:t>
      </w:r>
    </w:p>
    <w:p>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（3）计日工按采购人列出项目和数量，结合第3.2.1项编制依据的要求确定综合单价并计算费用； </w:t>
      </w:r>
    </w:p>
    <w:p>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（4）总承包服务费根据采购文件列出的内容和要求计算。</w:t>
      </w:r>
    </w:p>
    <w:p>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3.2.8税金（增值税）按税金项目清单，结合第3.2.1项编制依据的要求编制，不得调整。</w:t>
      </w:r>
    </w:p>
    <w:p>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3.2.9 响应报价编制注意事项</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对于受施工现场场地限制，如需要另外寻找场地解决临时住宿、材料及设备堆放，由此所产生的费用应包含在响应报价范围内，采购人不再承担该费用</w:t>
      </w:r>
      <w:r>
        <w:rPr>
          <w:rFonts w:hint="eastAsia" w:asciiTheme="minorEastAsia" w:hAnsiTheme="minorEastAsia" w:eastAsiaTheme="minorEastAsia" w:cstheme="minorEastAsia"/>
          <w:bCs/>
          <w:sz w:val="24"/>
          <w:szCs w:val="24"/>
        </w:rPr>
        <w:t>。</w:t>
      </w:r>
    </w:p>
    <w:bookmarkEnd w:id="15"/>
    <w:p>
      <w:pPr>
        <w:keepNext/>
        <w:keepLines/>
        <w:spacing w:line="360" w:lineRule="auto"/>
        <w:outlineLvl w:val="1"/>
        <w:rPr>
          <w:rFonts w:ascii="宋体" w:hAnsi="宋体" w:eastAsia="宋体" w:cs="宋体"/>
          <w:b/>
          <w:bCs/>
          <w:kern w:val="2"/>
          <w:sz w:val="24"/>
          <w:szCs w:val="24"/>
          <w:lang w:val="zh-CN"/>
        </w:rPr>
      </w:pPr>
      <w:bookmarkStart w:id="23" w:name="_Toc527541657"/>
      <w:bookmarkStart w:id="24" w:name="_Toc25124"/>
      <w:bookmarkStart w:id="25" w:name="_Toc26113"/>
      <w:r>
        <w:rPr>
          <w:rFonts w:hint="eastAsia" w:asciiTheme="minorEastAsia" w:hAnsiTheme="minorEastAsia" w:eastAsiaTheme="minorEastAsia" w:cstheme="minorEastAsia"/>
          <w:b/>
          <w:bCs/>
          <w:sz w:val="24"/>
          <w:szCs w:val="24"/>
          <w:lang w:val="en-US"/>
        </w:rPr>
        <w:t>四、</w:t>
      </w:r>
      <w:bookmarkEnd w:id="23"/>
      <w:bookmarkEnd w:id="24"/>
      <w:bookmarkEnd w:id="25"/>
      <w:r>
        <w:rPr>
          <w:rFonts w:hint="eastAsia" w:ascii="宋体" w:hAnsi="宋体" w:eastAsia="宋体" w:cs="宋体"/>
          <w:b/>
          <w:bCs/>
          <w:kern w:val="2"/>
          <w:sz w:val="24"/>
          <w:szCs w:val="24"/>
          <w:lang w:val="zh-CN"/>
        </w:rPr>
        <w:t>相当于或优于以下品牌（如有）</w:t>
      </w:r>
    </w:p>
    <w:tbl>
      <w:tblPr>
        <w:tblStyle w:val="5"/>
        <w:tblW w:w="8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470"/>
        <w:gridCol w:w="3343"/>
        <w:gridCol w:w="2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tcPr>
          <w:p>
            <w:pPr>
              <w:spacing w:line="360" w:lineRule="auto"/>
              <w:rPr>
                <w:rFonts w:ascii="宋体" w:hAnsi="宋体" w:eastAsia="宋体" w:cs="宋体"/>
                <w:b/>
                <w:bCs/>
                <w:kern w:val="2"/>
                <w:sz w:val="24"/>
                <w:szCs w:val="24"/>
              </w:rPr>
            </w:pPr>
            <w:r>
              <w:rPr>
                <w:rFonts w:hint="eastAsia" w:ascii="宋体" w:hAnsi="宋体" w:eastAsia="宋体" w:cs="宋体"/>
                <w:b/>
                <w:bCs/>
                <w:kern w:val="2"/>
                <w:sz w:val="24"/>
                <w:szCs w:val="24"/>
              </w:rPr>
              <w:t>序号</w:t>
            </w:r>
          </w:p>
        </w:tc>
        <w:tc>
          <w:tcPr>
            <w:tcW w:w="2470" w:type="dxa"/>
          </w:tcPr>
          <w:p>
            <w:pPr>
              <w:spacing w:line="360" w:lineRule="auto"/>
              <w:jc w:val="center"/>
              <w:rPr>
                <w:rFonts w:ascii="宋体" w:hAnsi="宋体" w:eastAsia="宋体" w:cs="宋体"/>
                <w:b/>
                <w:bCs/>
                <w:kern w:val="2"/>
                <w:sz w:val="24"/>
                <w:szCs w:val="24"/>
              </w:rPr>
            </w:pPr>
            <w:r>
              <w:rPr>
                <w:rFonts w:hint="eastAsia" w:ascii="宋体" w:hAnsi="宋体" w:eastAsia="宋体" w:cs="宋体"/>
                <w:b/>
                <w:bCs/>
                <w:kern w:val="2"/>
                <w:sz w:val="24"/>
                <w:szCs w:val="24"/>
              </w:rPr>
              <w:t>材料名称（如有）</w:t>
            </w:r>
          </w:p>
        </w:tc>
        <w:tc>
          <w:tcPr>
            <w:tcW w:w="3343" w:type="dxa"/>
          </w:tcPr>
          <w:p>
            <w:pPr>
              <w:spacing w:line="360" w:lineRule="auto"/>
              <w:jc w:val="center"/>
              <w:rPr>
                <w:rFonts w:ascii="宋体" w:hAnsi="宋体" w:eastAsia="宋体" w:cs="宋体"/>
                <w:b/>
                <w:bCs/>
                <w:kern w:val="2"/>
                <w:sz w:val="24"/>
                <w:szCs w:val="24"/>
              </w:rPr>
            </w:pPr>
            <w:r>
              <w:rPr>
                <w:rFonts w:hint="eastAsia" w:ascii="宋体" w:hAnsi="宋体" w:eastAsia="宋体" w:cs="宋体"/>
                <w:b/>
                <w:bCs/>
                <w:kern w:val="2"/>
                <w:sz w:val="24"/>
                <w:szCs w:val="24"/>
              </w:rPr>
              <w:t>相当于或优于以下品牌</w:t>
            </w:r>
          </w:p>
        </w:tc>
        <w:tc>
          <w:tcPr>
            <w:tcW w:w="2065" w:type="dxa"/>
          </w:tcPr>
          <w:p>
            <w:pPr>
              <w:spacing w:line="360" w:lineRule="auto"/>
              <w:jc w:val="center"/>
              <w:rPr>
                <w:rFonts w:ascii="宋体" w:hAnsi="宋体" w:eastAsia="宋体" w:cs="宋体"/>
                <w:b/>
                <w:bCs/>
                <w:kern w:val="2"/>
                <w:sz w:val="24"/>
                <w:szCs w:val="24"/>
              </w:rPr>
            </w:pPr>
            <w:r>
              <w:rPr>
                <w:rFonts w:hint="eastAsia" w:ascii="宋体" w:hAnsi="宋体" w:eastAsia="宋体" w:cs="宋体"/>
                <w:b/>
                <w:bCs/>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tcPr>
          <w:p>
            <w:pPr>
              <w:spacing w:line="360" w:lineRule="auto"/>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c>
          <w:tcPr>
            <w:tcW w:w="2470" w:type="dxa"/>
            <w:vAlign w:val="center"/>
          </w:tcPr>
          <w:p>
            <w:pPr>
              <w:spacing w:line="360" w:lineRule="auto"/>
              <w:jc w:val="center"/>
              <w:rPr>
                <w:rFonts w:hint="eastAsia" w:ascii="宋体" w:hAnsi="宋体" w:eastAsia="宋体" w:cs="宋体"/>
                <w:kern w:val="2"/>
                <w:sz w:val="24"/>
                <w:szCs w:val="24"/>
                <w:lang w:val="en-US" w:eastAsia="zh-CN"/>
              </w:rPr>
            </w:pPr>
            <w:r>
              <w:rPr>
                <w:rFonts w:hint="default" w:ascii="宋体" w:hAnsi="宋体" w:eastAsia="宋体" w:cs="宋体"/>
                <w:kern w:val="2"/>
                <w:sz w:val="24"/>
                <w:szCs w:val="24"/>
                <w:lang w:val="en-GB" w:eastAsia="zh-CN"/>
              </w:rPr>
              <w:t>HDPE</w:t>
            </w:r>
            <w:r>
              <w:rPr>
                <w:rFonts w:hint="eastAsia" w:ascii="宋体" w:hAnsi="宋体" w:eastAsia="宋体" w:cs="宋体"/>
                <w:kern w:val="2"/>
                <w:sz w:val="24"/>
                <w:szCs w:val="24"/>
                <w:lang w:val="en-US" w:eastAsia="zh-CN"/>
              </w:rPr>
              <w:t>钢丝网骨架复合管</w:t>
            </w:r>
          </w:p>
        </w:tc>
        <w:tc>
          <w:tcPr>
            <w:tcW w:w="3343" w:type="dxa"/>
            <w:vAlign w:val="center"/>
          </w:tcPr>
          <w:p>
            <w:pPr>
              <w:spacing w:line="360" w:lineRule="auto"/>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联塑、伟星、中财</w:t>
            </w:r>
          </w:p>
        </w:tc>
        <w:tc>
          <w:tcPr>
            <w:tcW w:w="2065" w:type="dxa"/>
            <w:vAlign w:val="center"/>
          </w:tcPr>
          <w:p>
            <w:pPr>
              <w:spacing w:line="360" w:lineRule="auto"/>
              <w:jc w:val="center"/>
              <w:rPr>
                <w:rFonts w:hint="default" w:ascii="宋体" w:hAnsi="宋体" w:eastAsia="宋体" w:cs="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tcPr>
          <w:p>
            <w:pPr>
              <w:spacing w:line="360" w:lineRule="auto"/>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470" w:type="dxa"/>
            <w:vAlign w:val="center"/>
          </w:tcPr>
          <w:p>
            <w:pPr>
              <w:spacing w:line="360" w:lineRule="auto"/>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衬塑钢管</w:t>
            </w:r>
          </w:p>
        </w:tc>
        <w:tc>
          <w:tcPr>
            <w:tcW w:w="3343" w:type="dxa"/>
            <w:vAlign w:val="center"/>
          </w:tcPr>
          <w:p>
            <w:pPr>
              <w:spacing w:line="360" w:lineRule="auto"/>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友发、华岐、金洲</w:t>
            </w:r>
          </w:p>
        </w:tc>
        <w:tc>
          <w:tcPr>
            <w:tcW w:w="2065" w:type="dxa"/>
            <w:vAlign w:val="center"/>
          </w:tcPr>
          <w:p>
            <w:pPr>
              <w:spacing w:line="360" w:lineRule="auto"/>
              <w:jc w:val="center"/>
              <w:rPr>
                <w:rFonts w:hint="default" w:ascii="宋体" w:hAnsi="宋体" w:eastAsia="宋体" w:cs="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tcPr>
          <w:p>
            <w:pPr>
              <w:spacing w:line="360" w:lineRule="auto"/>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w:t>
            </w:r>
          </w:p>
        </w:tc>
        <w:tc>
          <w:tcPr>
            <w:tcW w:w="2470" w:type="dxa"/>
            <w:vAlign w:val="center"/>
          </w:tcPr>
          <w:p>
            <w:pPr>
              <w:spacing w:line="360" w:lineRule="auto"/>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阀门</w:t>
            </w:r>
          </w:p>
        </w:tc>
        <w:tc>
          <w:tcPr>
            <w:tcW w:w="3343" w:type="dxa"/>
            <w:vAlign w:val="center"/>
          </w:tcPr>
          <w:p>
            <w:pPr>
              <w:spacing w:line="360" w:lineRule="auto"/>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三花、良工、良精</w:t>
            </w:r>
          </w:p>
        </w:tc>
        <w:tc>
          <w:tcPr>
            <w:tcW w:w="2065" w:type="dxa"/>
            <w:vAlign w:val="center"/>
          </w:tcPr>
          <w:p>
            <w:pPr>
              <w:spacing w:line="360" w:lineRule="auto"/>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304不锈钢、球墨铸铁材质、铜质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tcPr>
          <w:p>
            <w:pPr>
              <w:spacing w:line="360" w:lineRule="auto"/>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w:t>
            </w:r>
          </w:p>
        </w:tc>
        <w:tc>
          <w:tcPr>
            <w:tcW w:w="2470" w:type="dxa"/>
            <w:vAlign w:val="center"/>
          </w:tcPr>
          <w:p>
            <w:pPr>
              <w:spacing w:line="360" w:lineRule="auto"/>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消火栓</w:t>
            </w:r>
          </w:p>
        </w:tc>
        <w:tc>
          <w:tcPr>
            <w:tcW w:w="3343" w:type="dxa"/>
            <w:vAlign w:val="center"/>
          </w:tcPr>
          <w:p>
            <w:pPr>
              <w:spacing w:line="360" w:lineRule="auto"/>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川消、南京消防、天广消防</w:t>
            </w:r>
          </w:p>
        </w:tc>
        <w:tc>
          <w:tcPr>
            <w:tcW w:w="2065" w:type="dxa"/>
            <w:vAlign w:val="center"/>
          </w:tcPr>
          <w:p>
            <w:pPr>
              <w:spacing w:line="360" w:lineRule="auto"/>
              <w:jc w:val="center"/>
              <w:rPr>
                <w:rFonts w:hint="default" w:ascii="宋体" w:hAnsi="宋体" w:eastAsia="宋体" w:cs="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tcPr>
          <w:p>
            <w:pPr>
              <w:spacing w:line="360" w:lineRule="auto"/>
              <w:jc w:val="center"/>
              <w:rPr>
                <w:rFonts w:hint="default" w:ascii="宋体" w:hAnsi="宋体" w:eastAsia="宋体" w:cs="宋体"/>
                <w:kern w:val="2"/>
                <w:sz w:val="24"/>
                <w:szCs w:val="24"/>
                <w:lang w:val="en-US" w:eastAsia="zh-CN"/>
              </w:rPr>
            </w:pPr>
            <w:r>
              <w:rPr>
                <w:rFonts w:hint="eastAsia" w:cs="宋体"/>
                <w:kern w:val="2"/>
                <w:sz w:val="24"/>
                <w:szCs w:val="24"/>
                <w:lang w:val="en-US" w:eastAsia="zh-CN"/>
              </w:rPr>
              <w:t>5</w:t>
            </w:r>
          </w:p>
        </w:tc>
        <w:tc>
          <w:tcPr>
            <w:tcW w:w="2470" w:type="dxa"/>
            <w:vAlign w:val="center"/>
          </w:tcPr>
          <w:p>
            <w:pPr>
              <w:spacing w:line="360" w:lineRule="auto"/>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电缆保护管</w:t>
            </w:r>
          </w:p>
        </w:tc>
        <w:tc>
          <w:tcPr>
            <w:tcW w:w="3343" w:type="dxa"/>
            <w:vAlign w:val="center"/>
          </w:tcPr>
          <w:p>
            <w:pPr>
              <w:spacing w:line="360" w:lineRule="auto"/>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公元、联塑、伟星</w:t>
            </w:r>
          </w:p>
        </w:tc>
        <w:tc>
          <w:tcPr>
            <w:tcW w:w="2065" w:type="dxa"/>
            <w:vAlign w:val="center"/>
          </w:tcPr>
          <w:p>
            <w:pPr>
              <w:spacing w:line="360" w:lineRule="auto"/>
              <w:jc w:val="center"/>
              <w:rPr>
                <w:rFonts w:hint="default" w:ascii="宋体" w:hAnsi="宋体" w:eastAsia="宋体" w:cs="宋体"/>
                <w:kern w:val="2"/>
                <w:sz w:val="24"/>
                <w:szCs w:val="24"/>
                <w:lang w:val="en-US" w:eastAsia="zh-CN"/>
              </w:rPr>
            </w:pPr>
          </w:p>
        </w:tc>
      </w:tr>
    </w:tbl>
    <w:p>
      <w:pPr>
        <w:topLinePunct/>
        <w:spacing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rPr>
        <w:t>注：</w:t>
      </w:r>
    </w:p>
    <w:p>
      <w:pPr>
        <w:topLinePunct/>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（1）以上产品设备，不具有限制性和排他性；</w:t>
      </w:r>
    </w:p>
    <w:p>
      <w:pPr>
        <w:topLinePunct/>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供应商可选用不低于以上品牌技术性能指标的其他品牌；采用其他品牌的应在响应文件中注明并提供相关技术性能指标等供磋商小组评审，未在响应文件中注明或未提供相关技术性能指标，或经磋商小组评审未通过的，成交后成交供应商只能从采购人以上品牌中进行选择，合同价格不予调整。</w:t>
      </w:r>
    </w:p>
    <w:p>
      <w:pPr>
        <w:pStyle w:val="3"/>
        <w:pageBreakBefore w:val="0"/>
        <w:widowControl w:val="0"/>
        <w:kinsoku/>
        <w:wordWrap/>
        <w:overflowPunct/>
        <w:topLinePunct w:val="0"/>
        <w:autoSpaceDE/>
        <w:autoSpaceDN/>
        <w:bidi w:val="0"/>
        <w:adjustRightInd/>
        <w:snapToGrid/>
        <w:spacing w:before="0" w:after="0"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lang w:val="en-US"/>
        </w:rPr>
        <w:t>、</w:t>
      </w:r>
      <w:r>
        <w:rPr>
          <w:rFonts w:hint="eastAsia" w:asciiTheme="minorEastAsia" w:hAnsiTheme="minorEastAsia" w:eastAsiaTheme="minorEastAsia" w:cstheme="minorEastAsia"/>
          <w:sz w:val="24"/>
          <w:szCs w:val="24"/>
        </w:rPr>
        <w:t>工程量清单</w:t>
      </w:r>
    </w:p>
    <w:p>
      <w:pPr>
        <w:pStyle w:val="10"/>
        <w:pageBreakBefore w:val="0"/>
        <w:widowControl w:val="0"/>
        <w:kinsoku/>
        <w:wordWrap/>
        <w:overflowPunct/>
        <w:topLinePunct w:val="0"/>
        <w:autoSpaceDE/>
        <w:autoSpaceDN/>
        <w:bidi w:val="0"/>
        <w:adjustRightInd/>
        <w:snapToGrid/>
        <w:ind w:firstLine="482"/>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另行发放。如工程量清单中涉及证明材料，供应商无须提供。如工程量清单中出现特定性、唯一性品牌的表述，该品牌仅作为参考，施工过程中不具有限定性。</w:t>
      </w:r>
    </w:p>
    <w:p>
      <w:pPr>
        <w:pStyle w:val="3"/>
        <w:pageBreakBefore w:val="0"/>
        <w:widowControl w:val="0"/>
        <w:kinsoku/>
        <w:wordWrap/>
        <w:overflowPunct/>
        <w:topLinePunct w:val="0"/>
        <w:autoSpaceDE/>
        <w:autoSpaceDN/>
        <w:bidi w:val="0"/>
        <w:adjustRightInd/>
        <w:snapToGrid/>
        <w:spacing w:before="0" w:after="0" w:line="360" w:lineRule="auto"/>
        <w:rPr>
          <w:rFonts w:asciiTheme="minorEastAsia" w:hAnsiTheme="minorEastAsia" w:eastAsiaTheme="minorEastAsia" w:cstheme="minorEastAsia"/>
          <w:sz w:val="24"/>
          <w:szCs w:val="24"/>
        </w:rPr>
      </w:pPr>
      <w:bookmarkStart w:id="26" w:name="_Hlk165186373"/>
      <w:bookmarkStart w:id="27" w:name="_Toc527541659"/>
      <w:bookmarkStart w:id="28" w:name="_Toc31135"/>
      <w:bookmarkStart w:id="29" w:name="_Toc4770"/>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lang w:val="en-US"/>
        </w:rPr>
        <w:t>、</w:t>
      </w:r>
      <w:r>
        <w:rPr>
          <w:rFonts w:hint="eastAsia" w:asciiTheme="minorEastAsia" w:hAnsiTheme="minorEastAsia" w:eastAsiaTheme="minorEastAsia" w:cstheme="minorEastAsia"/>
          <w:sz w:val="24"/>
          <w:szCs w:val="24"/>
        </w:rPr>
        <w:t>图纸</w:t>
      </w:r>
      <w:bookmarkEnd w:id="26"/>
      <w:bookmarkEnd w:id="27"/>
      <w:r>
        <w:rPr>
          <w:rFonts w:hint="eastAsia" w:asciiTheme="minorEastAsia" w:hAnsiTheme="minorEastAsia" w:eastAsiaTheme="minorEastAsia" w:cstheme="minorEastAsia"/>
          <w:sz w:val="24"/>
          <w:szCs w:val="24"/>
        </w:rPr>
        <w:t>（如有）</w:t>
      </w:r>
      <w:bookmarkEnd w:id="28"/>
      <w:bookmarkEnd w:id="29"/>
    </w:p>
    <w:p>
      <w:r>
        <w:rPr>
          <w:rFonts w:hint="eastAsia" w:asciiTheme="minorEastAsia" w:hAnsiTheme="minorEastAsia" w:eastAsiaTheme="minorEastAsia" w:cstheme="minorEastAsia"/>
          <w:b/>
          <w:bCs/>
          <w:sz w:val="24"/>
          <w:szCs w:val="24"/>
        </w:rPr>
        <w:t>另行发放。如图纸中涉及证明材料，供应商无须提供。如图纸中出现特定性、唯一性品牌的表述，该品牌仅作为参考，施工过程中不具有限定性。</w:t>
      </w:r>
      <w:bookmarkStart w:id="30" w:name="_GoBack"/>
      <w:bookmarkEnd w:id="3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1C76BE"/>
    <w:rsid w:val="2B1C7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Plain Text"/>
    <w:basedOn w:val="1"/>
    <w:qFormat/>
    <w:uiPriority w:val="0"/>
    <w:rPr>
      <w:rFonts w:hAnsi="Courier New" w:eastAsiaTheme="minorEastAsia"/>
      <w:szCs w:val="22"/>
    </w:rPr>
  </w:style>
  <w:style w:type="table" w:customStyle="1" w:styleId="7">
    <w:name w:val="网格型2"/>
    <w:basedOn w:val="5"/>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xl31"/>
    <w:basedOn w:val="1"/>
    <w:qFormat/>
    <w:uiPriority w:val="0"/>
    <w:pPr>
      <w:widowControl/>
      <w:spacing w:before="100" w:beforeAutospacing="1" w:after="100" w:afterAutospacing="1"/>
      <w:jc w:val="center"/>
    </w:pPr>
    <w:rPr>
      <w:b/>
      <w:bCs/>
      <w:sz w:val="28"/>
      <w:szCs w:val="28"/>
    </w:rPr>
  </w:style>
  <w:style w:type="character" w:customStyle="1" w:styleId="9">
    <w:name w:val="标题 2 Char Char"/>
    <w:qFormat/>
    <w:uiPriority w:val="0"/>
    <w:rPr>
      <w:rFonts w:ascii="Arial" w:hAnsi="Arial" w:eastAsia="黑体" w:cs="Times New Roman"/>
      <w:b/>
      <w:bCs/>
      <w:kern w:val="2"/>
      <w:sz w:val="32"/>
      <w:szCs w:val="32"/>
      <w:lang w:val="en-US" w:eastAsia="zh-CN" w:bidi="ar-SA"/>
    </w:rPr>
  </w:style>
  <w:style w:type="paragraph" w:customStyle="1" w:styleId="10">
    <w:name w:val="正文2"/>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2026-05-15T09:31:00Z</dcterms:created>
  <dc:creator>，，，</dc:creator>
  <cp:lastModifiedBy>，，，</cp:lastModifiedBy>
  <dcterms:modified xsi:type="dcterms:W3CDTF">2026-05-15T09:31:55Z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