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C20B3">
      <w:pPr>
        <w:widowControl/>
        <w:tabs>
          <w:tab w:val="center" w:pos="4153"/>
        </w:tabs>
        <w:spacing w:line="440" w:lineRule="exact"/>
        <w:jc w:val="center"/>
        <w:rPr>
          <w:rFonts w:hint="eastAsia" w:ascii="宋体" w:hAnsi="宋体" w:eastAsia="仿宋"/>
          <w:color w:val="auto"/>
          <w:sz w:val="36"/>
          <w:szCs w:val="36"/>
          <w:highlight w:val="none"/>
        </w:rPr>
      </w:pPr>
    </w:p>
    <w:p w14:paraId="5D3A4DE5">
      <w:pPr>
        <w:widowControl/>
        <w:tabs>
          <w:tab w:val="center" w:pos="4153"/>
        </w:tabs>
        <w:spacing w:line="440" w:lineRule="exact"/>
        <w:rPr>
          <w:rFonts w:hint="eastAsia" w:ascii="宋体" w:hAnsi="宋体" w:eastAsia="仿宋"/>
          <w:color w:val="auto"/>
          <w:sz w:val="36"/>
          <w:szCs w:val="36"/>
          <w:highlight w:val="none"/>
        </w:rPr>
      </w:pPr>
    </w:p>
    <w:p w14:paraId="7990D959">
      <w:pPr>
        <w:widowControl/>
        <w:tabs>
          <w:tab w:val="center" w:pos="4153"/>
        </w:tabs>
        <w:spacing w:line="440" w:lineRule="exact"/>
        <w:jc w:val="center"/>
        <w:rPr>
          <w:rFonts w:hint="eastAsia" w:ascii="宋体" w:hAnsi="宋体" w:eastAsia="仿宋"/>
          <w:color w:val="auto"/>
          <w:sz w:val="36"/>
          <w:szCs w:val="36"/>
          <w:highlight w:val="none"/>
        </w:rPr>
      </w:pPr>
    </w:p>
    <w:p w14:paraId="56269F5D">
      <w:pPr>
        <w:widowControl/>
        <w:tabs>
          <w:tab w:val="center" w:pos="4153"/>
        </w:tabs>
        <w:spacing w:line="440" w:lineRule="exact"/>
        <w:jc w:val="center"/>
        <w:rPr>
          <w:rFonts w:hint="eastAsia" w:ascii="宋体" w:hAnsi="宋体" w:eastAsia="仿宋"/>
          <w:color w:val="auto"/>
          <w:sz w:val="36"/>
          <w:szCs w:val="36"/>
          <w:highlight w:val="none"/>
        </w:rPr>
      </w:pPr>
    </w:p>
    <w:p w14:paraId="5B7A0EED">
      <w:pPr>
        <w:widowControl/>
        <w:spacing w:line="360" w:lineRule="auto"/>
        <w:jc w:val="center"/>
        <w:rPr>
          <w:rFonts w:hint="eastAsia" w:eastAsia="仿宋"/>
          <w:b/>
          <w:color w:val="auto"/>
          <w:sz w:val="44"/>
          <w:szCs w:val="44"/>
          <w:highlight w:val="none"/>
          <w:lang w:val="en-US" w:eastAsia="zh-CN"/>
        </w:rPr>
      </w:pPr>
      <w:r>
        <w:rPr>
          <w:rFonts w:hint="eastAsia" w:eastAsia="仿宋"/>
          <w:b/>
          <w:color w:val="auto"/>
          <w:sz w:val="44"/>
          <w:szCs w:val="44"/>
          <w:highlight w:val="none"/>
          <w:lang w:eastAsia="zh-CN"/>
        </w:rPr>
        <w:t>安徽医科大学第一附属医院数字一体化手术室设备（含无影灯、手术床、吊塔）采购项目</w:t>
      </w:r>
    </w:p>
    <w:p w14:paraId="6A880D48">
      <w:pPr>
        <w:widowControl/>
        <w:jc w:val="center"/>
        <w:rPr>
          <w:rFonts w:hint="eastAsia" w:ascii="宋体" w:hAnsi="宋体" w:eastAsia="仿宋"/>
          <w:b/>
          <w:color w:val="auto"/>
          <w:sz w:val="72"/>
          <w:highlight w:val="none"/>
        </w:rPr>
      </w:pPr>
      <w:r>
        <w:rPr>
          <w:rFonts w:hint="eastAsia" w:ascii="宋体" w:hAnsi="宋体" w:eastAsia="仿宋"/>
          <w:b/>
          <w:color w:val="auto"/>
          <w:sz w:val="72"/>
          <w:highlight w:val="none"/>
        </w:rPr>
        <w:t>招标文件</w:t>
      </w:r>
    </w:p>
    <w:p w14:paraId="01B5CDAB">
      <w:pPr>
        <w:widowControl/>
        <w:jc w:val="center"/>
        <w:rPr>
          <w:rFonts w:hint="eastAsia" w:ascii="宋体" w:hAnsi="宋体" w:eastAsia="仿宋"/>
          <w:b/>
          <w:color w:val="auto"/>
          <w:sz w:val="72"/>
          <w:highlight w:val="none"/>
        </w:rPr>
      </w:pPr>
    </w:p>
    <w:p w14:paraId="0DAE104D">
      <w:pPr>
        <w:widowControl/>
        <w:jc w:val="center"/>
        <w:rPr>
          <w:rFonts w:hint="eastAsia" w:ascii="宋体" w:hAnsi="宋体" w:eastAsia="仿宋"/>
          <w:b/>
          <w:color w:val="auto"/>
          <w:sz w:val="72"/>
          <w:highlight w:val="none"/>
        </w:rPr>
      </w:pPr>
    </w:p>
    <w:p w14:paraId="21C6C82C">
      <w:pPr>
        <w:widowControl/>
        <w:spacing w:line="360" w:lineRule="auto"/>
        <w:jc w:val="center"/>
        <w:rPr>
          <w:rFonts w:hint="eastAsia" w:ascii="宋体" w:hAnsi="宋体" w:eastAsia="仿宋"/>
          <w:b/>
          <w:color w:val="auto"/>
          <w:sz w:val="28"/>
          <w:szCs w:val="28"/>
          <w:highlight w:val="none"/>
          <w:lang w:eastAsia="zh-CN"/>
        </w:rPr>
      </w:pPr>
      <w:r>
        <w:rPr>
          <w:rFonts w:hint="eastAsia" w:ascii="宋体" w:hAnsi="宋体" w:eastAsia="仿宋"/>
          <w:b/>
          <w:color w:val="auto"/>
          <w:sz w:val="28"/>
          <w:szCs w:val="28"/>
          <w:highlight w:val="none"/>
        </w:rPr>
        <w:t>项目编号：</w:t>
      </w:r>
      <w:r>
        <w:rPr>
          <w:rFonts w:hint="eastAsia" w:ascii="宋体" w:hAnsi="宋体" w:eastAsia="仿宋"/>
          <w:b/>
          <w:color w:val="auto"/>
          <w:sz w:val="28"/>
          <w:szCs w:val="28"/>
          <w:highlight w:val="none"/>
          <w:lang w:eastAsia="zh-CN"/>
        </w:rPr>
        <w:t>ZF2025-36-1923</w:t>
      </w:r>
    </w:p>
    <w:p w14:paraId="110775D2">
      <w:pPr>
        <w:widowControl/>
        <w:tabs>
          <w:tab w:val="center" w:pos="4153"/>
        </w:tabs>
        <w:spacing w:line="480" w:lineRule="auto"/>
        <w:jc w:val="center"/>
        <w:rPr>
          <w:rFonts w:hint="eastAsia" w:ascii="宋体" w:hAnsi="宋体" w:eastAsia="仿宋"/>
          <w:color w:val="auto"/>
          <w:sz w:val="36"/>
          <w:szCs w:val="36"/>
          <w:highlight w:val="none"/>
        </w:rPr>
      </w:pPr>
    </w:p>
    <w:p w14:paraId="61992570">
      <w:pPr>
        <w:widowControl/>
        <w:tabs>
          <w:tab w:val="center" w:pos="4153"/>
        </w:tabs>
        <w:spacing w:line="480" w:lineRule="auto"/>
        <w:jc w:val="center"/>
        <w:rPr>
          <w:rFonts w:hint="eastAsia" w:ascii="宋体" w:hAnsi="宋体" w:eastAsia="仿宋"/>
          <w:color w:val="auto"/>
          <w:sz w:val="36"/>
          <w:szCs w:val="36"/>
          <w:highlight w:val="none"/>
        </w:rPr>
      </w:pPr>
    </w:p>
    <w:p w14:paraId="56744738">
      <w:pPr>
        <w:widowControl/>
        <w:tabs>
          <w:tab w:val="center" w:pos="4153"/>
        </w:tabs>
        <w:spacing w:line="480" w:lineRule="auto"/>
        <w:rPr>
          <w:rFonts w:hint="eastAsia" w:ascii="宋体" w:hAnsi="宋体" w:eastAsia="仿宋"/>
          <w:color w:val="auto"/>
          <w:sz w:val="36"/>
          <w:szCs w:val="36"/>
          <w:highlight w:val="none"/>
        </w:rPr>
      </w:pPr>
    </w:p>
    <w:p w14:paraId="62E72F08">
      <w:pPr>
        <w:widowControl/>
        <w:tabs>
          <w:tab w:val="center" w:pos="4153"/>
        </w:tabs>
        <w:spacing w:line="480" w:lineRule="auto"/>
        <w:rPr>
          <w:rFonts w:hint="eastAsia" w:ascii="宋体" w:hAnsi="宋体" w:eastAsia="仿宋"/>
          <w:color w:val="auto"/>
          <w:sz w:val="36"/>
          <w:szCs w:val="36"/>
          <w:highlight w:val="none"/>
        </w:rPr>
      </w:pPr>
    </w:p>
    <w:p w14:paraId="69153081">
      <w:pPr>
        <w:widowControl/>
        <w:tabs>
          <w:tab w:val="center" w:pos="4153"/>
        </w:tabs>
        <w:spacing w:line="480" w:lineRule="auto"/>
        <w:jc w:val="center"/>
        <w:rPr>
          <w:rFonts w:hint="eastAsia" w:ascii="宋体" w:hAnsi="宋体" w:eastAsia="仿宋"/>
          <w:color w:val="auto"/>
          <w:sz w:val="36"/>
          <w:szCs w:val="36"/>
          <w:highlight w:val="none"/>
        </w:rPr>
      </w:pPr>
    </w:p>
    <w:p w14:paraId="11042BFC">
      <w:pPr>
        <w:widowControl/>
        <w:tabs>
          <w:tab w:val="center" w:pos="4153"/>
        </w:tabs>
        <w:spacing w:line="480" w:lineRule="auto"/>
        <w:ind w:firstLine="1699" w:firstLineChars="531"/>
        <w:rPr>
          <w:rFonts w:hint="eastAsia" w:ascii="宋体" w:hAnsi="宋体" w:eastAsia="仿宋"/>
          <w:color w:val="auto"/>
          <w:sz w:val="32"/>
          <w:szCs w:val="36"/>
          <w:highlight w:val="none"/>
          <w:lang w:eastAsia="zh-CN"/>
        </w:rPr>
      </w:pPr>
      <w:r>
        <w:rPr>
          <w:rFonts w:hint="eastAsia" w:ascii="宋体" w:hAnsi="宋体" w:eastAsia="仿宋"/>
          <w:color w:val="auto"/>
          <w:sz w:val="32"/>
          <w:szCs w:val="36"/>
          <w:highlight w:val="none"/>
        </w:rPr>
        <w:t>采   购   人：</w:t>
      </w:r>
      <w:r>
        <w:rPr>
          <w:rFonts w:hint="eastAsia" w:ascii="宋体" w:hAnsi="宋体" w:eastAsia="仿宋"/>
          <w:color w:val="auto"/>
          <w:sz w:val="32"/>
          <w:szCs w:val="36"/>
          <w:highlight w:val="none"/>
          <w:lang w:eastAsia="zh-CN"/>
        </w:rPr>
        <w:t>安徽医科大学第一附属医院</w:t>
      </w:r>
    </w:p>
    <w:p w14:paraId="23625578">
      <w:pPr>
        <w:widowControl/>
        <w:tabs>
          <w:tab w:val="center" w:pos="4153"/>
        </w:tabs>
        <w:spacing w:line="480" w:lineRule="auto"/>
        <w:ind w:firstLine="1699" w:firstLineChars="531"/>
        <w:rPr>
          <w:rFonts w:hint="eastAsia" w:ascii="宋体" w:hAnsi="宋体" w:eastAsia="仿宋"/>
          <w:color w:val="auto"/>
          <w:sz w:val="32"/>
          <w:szCs w:val="36"/>
          <w:highlight w:val="none"/>
        </w:rPr>
      </w:pPr>
      <w:r>
        <w:rPr>
          <w:rFonts w:hint="eastAsia" w:ascii="宋体" w:hAnsi="宋体" w:eastAsia="仿宋"/>
          <w:color w:val="auto"/>
          <w:sz w:val="32"/>
          <w:szCs w:val="36"/>
          <w:highlight w:val="none"/>
        </w:rPr>
        <w:t>采购代理机构：安徽省招标集团股份有限公司</w:t>
      </w:r>
    </w:p>
    <w:p w14:paraId="3E6B9158">
      <w:pPr>
        <w:widowControl/>
        <w:tabs>
          <w:tab w:val="center" w:pos="4153"/>
        </w:tabs>
        <w:spacing w:line="480" w:lineRule="auto"/>
        <w:jc w:val="center"/>
        <w:rPr>
          <w:rFonts w:hint="eastAsia" w:ascii="宋体" w:hAnsi="宋体" w:eastAsia="仿宋"/>
          <w:color w:val="auto"/>
          <w:sz w:val="36"/>
          <w:szCs w:val="36"/>
          <w:highlight w:val="none"/>
          <w:lang w:eastAsia="zh-CN"/>
        </w:rPr>
      </w:pPr>
      <w:r>
        <w:rPr>
          <w:rFonts w:hint="eastAsia" w:ascii="宋体" w:hAnsi="宋体" w:eastAsia="仿宋"/>
          <w:color w:val="auto"/>
          <w:sz w:val="36"/>
          <w:szCs w:val="36"/>
          <w:highlight w:val="none"/>
        </w:rPr>
        <w:t>2025年</w:t>
      </w:r>
      <w:r>
        <w:rPr>
          <w:rFonts w:hint="eastAsia" w:ascii="宋体" w:hAnsi="宋体" w:eastAsia="仿宋"/>
          <w:color w:val="auto"/>
          <w:sz w:val="36"/>
          <w:szCs w:val="36"/>
          <w:highlight w:val="none"/>
          <w:lang w:eastAsia="zh-CN"/>
        </w:rPr>
        <w:t>11月</w:t>
      </w:r>
    </w:p>
    <w:p w14:paraId="0D79ADC1">
      <w:pPr>
        <w:widowControl/>
        <w:tabs>
          <w:tab w:val="center" w:pos="4153"/>
        </w:tabs>
        <w:spacing w:line="480" w:lineRule="auto"/>
        <w:ind w:firstLine="849" w:firstLineChars="236"/>
        <w:rPr>
          <w:rFonts w:ascii="宋体" w:hAnsi="宋体" w:eastAsia="仿宋"/>
          <w:color w:val="auto"/>
          <w:sz w:val="36"/>
          <w:szCs w:val="36"/>
          <w:highlight w:val="none"/>
        </w:rPr>
        <w:sectPr>
          <w:footerReference r:id="rId4" w:type="default"/>
          <w:footnotePr>
            <w:numFmt w:val="decimalEnclosedCircleChinese"/>
            <w:numRestart w:val="eachPage"/>
          </w:footnotePr>
          <w:pgSz w:w="11906" w:h="16838"/>
          <w:pgMar w:top="1134" w:right="1134" w:bottom="1134" w:left="1134" w:header="851" w:footer="851" w:gutter="0"/>
          <w:cols w:space="720" w:num="1"/>
          <w:docGrid w:linePitch="312" w:charSpace="0"/>
        </w:sectPr>
      </w:pPr>
    </w:p>
    <w:p w14:paraId="121B6CFD">
      <w:pPr>
        <w:widowControl/>
        <w:tabs>
          <w:tab w:val="center" w:pos="4153"/>
        </w:tabs>
        <w:spacing w:line="480" w:lineRule="auto"/>
        <w:jc w:val="center"/>
        <w:outlineLvl w:val="0"/>
        <w:rPr>
          <w:rFonts w:hint="eastAsia" w:ascii="宋体" w:hAnsi="宋体" w:eastAsia="仿宋"/>
          <w:color w:val="auto"/>
          <w:sz w:val="44"/>
          <w:szCs w:val="52"/>
          <w:highlight w:val="none"/>
        </w:rPr>
      </w:pPr>
      <w:r>
        <w:rPr>
          <w:rFonts w:hint="eastAsia" w:ascii="宋体" w:hAnsi="宋体" w:eastAsia="仿宋"/>
          <w:color w:val="auto"/>
          <w:sz w:val="44"/>
          <w:szCs w:val="52"/>
          <w:highlight w:val="none"/>
        </w:rPr>
        <w:t>目  录</w:t>
      </w:r>
    </w:p>
    <w:p w14:paraId="4D18042C">
      <w:pPr>
        <w:pStyle w:val="14"/>
        <w:tabs>
          <w:tab w:val="right" w:leader="dot" w:pos="9638"/>
        </w:tabs>
        <w:rPr>
          <w:rFonts w:hint="eastAsia" w:ascii="仿宋" w:hAnsi="仿宋" w:eastAsia="仿宋" w:cs="仿宋"/>
          <w:color w:val="auto"/>
          <w:sz w:val="28"/>
          <w:szCs w:val="28"/>
          <w:highlight w:val="none"/>
        </w:rPr>
      </w:pPr>
      <w:r>
        <w:rPr>
          <w:rFonts w:ascii="Times New Roman" w:hAnsi="Times New Roman" w:eastAsia="仿宋"/>
          <w:color w:val="auto"/>
          <w:sz w:val="28"/>
          <w:szCs w:val="28"/>
          <w:highlight w:val="none"/>
        </w:rPr>
        <w:fldChar w:fldCharType="begin"/>
      </w:r>
      <w:r>
        <w:rPr>
          <w:rFonts w:ascii="Times New Roman" w:hAnsi="Times New Roman" w:eastAsia="仿宋"/>
          <w:color w:val="auto"/>
          <w:sz w:val="28"/>
          <w:szCs w:val="28"/>
          <w:highlight w:val="none"/>
        </w:rPr>
        <w:instrText xml:space="preserve"> TOC \o "1-1" \h \z \u </w:instrText>
      </w:r>
      <w:r>
        <w:rPr>
          <w:rFonts w:ascii="Times New Roman" w:hAnsi="Times New Roman" w:eastAsia="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_Toc1434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第一章  招标公告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_Toc1434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7D5D4BE">
      <w:pPr>
        <w:pStyle w:val="14"/>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_Toc26870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第二章  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_Toc26870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2CF9D37">
      <w:pPr>
        <w:pStyle w:val="14"/>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_Toc24366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第三章  采购需求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_Toc24366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231C16FE">
      <w:pPr>
        <w:pStyle w:val="14"/>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_Toc9357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第四章  资格审查和评标办法（综合评分法）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_Toc9357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30EB2862">
      <w:pPr>
        <w:pStyle w:val="14"/>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_Toc395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第五章  合同条款及格式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_Toc395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83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A841A9F">
      <w:pPr>
        <w:pStyle w:val="14"/>
        <w:tabs>
          <w:tab w:val="right" w:leader="dot" w:pos="9638"/>
        </w:tabs>
        <w:rPr>
          <w:color w:val="auto"/>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_Toc13236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第六章  投标文件格式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_Toc13236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95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4FB19C31">
      <w:pPr>
        <w:widowControl/>
        <w:spacing w:line="360" w:lineRule="auto"/>
        <w:rPr>
          <w:rFonts w:hint="eastAsia" w:ascii="宋体" w:hAnsi="宋体" w:eastAsia="仿宋"/>
          <w:color w:val="auto"/>
          <w:sz w:val="52"/>
          <w:szCs w:val="52"/>
          <w:highlight w:val="none"/>
        </w:rPr>
      </w:pPr>
      <w:r>
        <w:rPr>
          <w:rFonts w:eastAsia="仿宋"/>
          <w:color w:val="auto"/>
          <w:szCs w:val="28"/>
          <w:highlight w:val="none"/>
        </w:rPr>
        <w:fldChar w:fldCharType="end"/>
      </w:r>
    </w:p>
    <w:p w14:paraId="20CA8F2D">
      <w:pPr>
        <w:widowControl/>
        <w:tabs>
          <w:tab w:val="center" w:pos="4153"/>
        </w:tabs>
        <w:spacing w:line="480" w:lineRule="auto"/>
        <w:jc w:val="center"/>
        <w:rPr>
          <w:rFonts w:ascii="宋体" w:hAnsi="宋体" w:eastAsia="仿宋"/>
          <w:color w:val="auto"/>
          <w:sz w:val="52"/>
          <w:szCs w:val="52"/>
          <w:highlight w:val="none"/>
        </w:rPr>
        <w:sectPr>
          <w:headerReference r:id="rId5" w:type="first"/>
          <w:footerReference r:id="rId7" w:type="first"/>
          <w:footerReference r:id="rId6"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p w14:paraId="07429215">
      <w:pPr>
        <w:pStyle w:val="2"/>
        <w:widowControl/>
        <w:spacing w:before="0" w:after="0" w:line="240" w:lineRule="auto"/>
        <w:jc w:val="center"/>
        <w:rPr>
          <w:rFonts w:hint="eastAsia" w:ascii="宋体" w:hAnsi="宋体" w:eastAsia="仿宋"/>
          <w:color w:val="auto"/>
          <w:highlight w:val="none"/>
        </w:rPr>
      </w:pPr>
      <w:bookmarkStart w:id="0" w:name="_Toc466024489"/>
      <w:bookmarkStart w:id="1" w:name="_Toc1434"/>
      <w:r>
        <w:rPr>
          <w:rFonts w:hint="eastAsia" w:ascii="宋体" w:hAnsi="宋体" w:eastAsia="仿宋"/>
          <w:color w:val="auto"/>
          <w:highlight w:val="none"/>
        </w:rPr>
        <w:t>第一章  招标公告</w:t>
      </w:r>
      <w:bookmarkEnd w:id="0"/>
      <w:bookmarkEnd w:id="1"/>
    </w:p>
    <w:p w14:paraId="4A229919">
      <w:pPr>
        <w:rPr>
          <w:rFonts w:hint="eastAsia" w:eastAsia="仿宋"/>
          <w:color w:val="auto"/>
          <w:highlight w:val="none"/>
        </w:rPr>
      </w:pPr>
    </w:p>
    <w:p w14:paraId="2FBA3178">
      <w:pPr>
        <w:pageBreakBefore w:val="0"/>
        <w:widowControl/>
        <w:kinsoku/>
        <w:overflowPunct/>
        <w:autoSpaceDE/>
        <w:autoSpaceDN/>
        <w:bidi w:val="0"/>
        <w:spacing w:line="560" w:lineRule="atLeast"/>
        <w:jc w:val="center"/>
        <w:rPr>
          <w:rFonts w:hint="eastAsia" w:ascii="宋体" w:hAnsi="宋体" w:eastAsia="宋体" w:cs="宋体"/>
          <w:b/>
          <w:bCs/>
          <w:color w:val="auto"/>
          <w:sz w:val="44"/>
          <w:szCs w:val="44"/>
          <w:highlight w:val="none"/>
          <w:shd w:val="clear" w:color="auto" w:fill="FFFFFF"/>
        </w:rPr>
      </w:pPr>
      <w:r>
        <w:rPr>
          <w:rFonts w:hint="eastAsia" w:ascii="宋体" w:hAnsi="宋体" w:cs="宋体"/>
          <w:b/>
          <w:bCs/>
          <w:color w:val="auto"/>
          <w:sz w:val="44"/>
          <w:szCs w:val="44"/>
          <w:highlight w:val="none"/>
          <w:shd w:val="clear" w:color="auto" w:fill="FFFFFF"/>
          <w:lang w:eastAsia="zh-CN"/>
        </w:rPr>
        <w:t>安徽医科大学第一附属医院数字一体化手术室设备（含无影灯、手术床、吊塔）采购项目</w:t>
      </w:r>
      <w:r>
        <w:rPr>
          <w:rFonts w:hint="eastAsia" w:ascii="宋体" w:hAnsi="宋体" w:eastAsia="宋体" w:cs="宋体"/>
          <w:b/>
          <w:bCs/>
          <w:color w:val="auto"/>
          <w:sz w:val="44"/>
          <w:szCs w:val="44"/>
          <w:highlight w:val="none"/>
          <w:shd w:val="clear" w:color="auto" w:fill="FFFFFF"/>
        </w:rPr>
        <w:t>招标公告</w:t>
      </w:r>
    </w:p>
    <w:p w14:paraId="7004AB6B">
      <w:pPr>
        <w:pageBreakBefore w:val="0"/>
        <w:kinsoku/>
        <w:overflowPunct/>
        <w:autoSpaceDE/>
        <w:autoSpaceDN/>
        <w:bidi w:val="0"/>
        <w:spacing w:line="560" w:lineRule="atLeast"/>
        <w:jc w:val="center"/>
        <w:rPr>
          <w:rFonts w:ascii="Times New Roman" w:hAnsi="Times New Roman" w:eastAsia="黑体"/>
          <w:color w:val="auto"/>
          <w:sz w:val="28"/>
          <w:szCs w:val="28"/>
          <w:highlight w:val="none"/>
          <w:u w:val="single"/>
        </w:rPr>
      </w:pPr>
    </w:p>
    <w:p w14:paraId="71A7E5D0">
      <w:pPr>
        <w:pageBreakBefore w:val="0"/>
        <w:pBdr>
          <w:top w:val="single" w:color="auto" w:sz="4" w:space="1"/>
          <w:left w:val="single" w:color="auto" w:sz="4" w:space="4"/>
          <w:bottom w:val="single" w:color="auto" w:sz="4" w:space="13"/>
          <w:right w:val="single" w:color="auto" w:sz="4" w:space="4"/>
        </w:pBdr>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2CCB28BB">
      <w:pPr>
        <w:pageBreakBefore w:val="0"/>
        <w:pBdr>
          <w:top w:val="single" w:color="auto" w:sz="4" w:space="1"/>
          <w:left w:val="single" w:color="auto" w:sz="4" w:space="4"/>
          <w:bottom w:val="single" w:color="auto" w:sz="4" w:space="13"/>
          <w:right w:val="single" w:color="auto" w:sz="4" w:space="4"/>
        </w:pBdr>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安徽医科大学第一附属医院数字一体化手术室设备（含无影灯、手术床、吊塔）采购项目</w:t>
      </w:r>
      <w:r>
        <w:rPr>
          <w:rFonts w:hint="eastAsia" w:ascii="仿宋" w:hAnsi="仿宋" w:eastAsia="仿宋" w:cs="仿宋"/>
          <w:color w:val="auto"/>
          <w:sz w:val="28"/>
          <w:szCs w:val="28"/>
          <w:highlight w:val="none"/>
        </w:rPr>
        <w:t>的潜在投标人应在优质采云采购平台（http://www.youzhicai.com/）获取招标文件，并于</w:t>
      </w:r>
      <w:r>
        <w:rPr>
          <w:rFonts w:hint="eastAsia" w:ascii="仿宋" w:hAnsi="仿宋" w:eastAsia="仿宋" w:cs="仿宋"/>
          <w:color w:val="auto"/>
          <w:sz w:val="28"/>
          <w:szCs w:val="28"/>
          <w:highlight w:val="none"/>
          <w:lang w:val="en-US" w:eastAsia="zh-CN"/>
        </w:rPr>
        <w:t>2025</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12月10日9</w:t>
      </w:r>
      <w:r>
        <w:rPr>
          <w:rFonts w:hint="eastAsia" w:ascii="仿宋" w:hAnsi="仿宋" w:eastAsia="仿宋" w:cs="仿宋"/>
          <w:bCs/>
          <w:color w:val="auto"/>
          <w:sz w:val="28"/>
          <w:szCs w:val="28"/>
          <w:highlight w:val="none"/>
        </w:rPr>
        <w:t>点</w:t>
      </w:r>
      <w:r>
        <w:rPr>
          <w:rFonts w:hint="eastAsia" w:ascii="仿宋" w:hAnsi="仿宋" w:eastAsia="仿宋" w:cs="仿宋"/>
          <w:bCs/>
          <w:color w:val="auto"/>
          <w:sz w:val="28"/>
          <w:szCs w:val="28"/>
          <w:highlight w:val="none"/>
          <w:lang w:val="en-US" w:eastAsia="zh-CN"/>
        </w:rPr>
        <w:t>30</w:t>
      </w:r>
      <w:r>
        <w:rPr>
          <w:rFonts w:hint="eastAsia" w:ascii="仿宋" w:hAnsi="仿宋" w:eastAsia="仿宋" w:cs="仿宋"/>
          <w:bCs/>
          <w:color w:val="auto"/>
          <w:sz w:val="28"/>
          <w:szCs w:val="28"/>
          <w:highlight w:val="none"/>
        </w:rPr>
        <w:t>分（北京时间）前递交投标文件</w:t>
      </w:r>
      <w:r>
        <w:rPr>
          <w:rFonts w:hint="eastAsia" w:ascii="仿宋" w:hAnsi="仿宋" w:eastAsia="仿宋" w:cs="仿宋"/>
          <w:color w:val="auto"/>
          <w:sz w:val="28"/>
          <w:szCs w:val="28"/>
          <w:highlight w:val="none"/>
        </w:rPr>
        <w:t>。</w:t>
      </w:r>
    </w:p>
    <w:p w14:paraId="65D7C07C">
      <w:pPr>
        <w:pStyle w:val="3"/>
        <w:pageBreakBefore w:val="0"/>
        <w:widowControl/>
        <w:kinsoku/>
        <w:overflowPunct/>
        <w:autoSpaceDE/>
        <w:autoSpaceDN/>
        <w:bidi w:val="0"/>
        <w:adjustRightInd w:val="0"/>
        <w:snapToGrid w:val="0"/>
        <w:spacing w:before="0" w:beforeLines="0" w:after="0" w:afterLines="0" w:line="560" w:lineRule="atLeast"/>
        <w:rPr>
          <w:rStyle w:val="23"/>
          <w:rFonts w:hAnsi="宋体"/>
          <w:b w:val="0"/>
          <w:bCs w:val="0"/>
          <w:color w:val="auto"/>
          <w:sz w:val="28"/>
          <w:szCs w:val="28"/>
          <w:highlight w:val="none"/>
        </w:rPr>
      </w:pPr>
      <w:bookmarkStart w:id="2" w:name="_Toc28359079"/>
      <w:bookmarkStart w:id="3" w:name="_Toc28359002"/>
      <w:bookmarkStart w:id="4" w:name="_Toc35393790"/>
      <w:bookmarkStart w:id="5" w:name="_Toc35393621"/>
      <w:bookmarkStart w:id="6" w:name="_Hlk24379207"/>
      <w:r>
        <w:rPr>
          <w:rStyle w:val="23"/>
          <w:rFonts w:hint="eastAsia" w:hAnsi="宋体"/>
          <w:b w:val="0"/>
          <w:bCs w:val="0"/>
          <w:color w:val="auto"/>
          <w:sz w:val="28"/>
          <w:szCs w:val="28"/>
          <w:highlight w:val="none"/>
        </w:rPr>
        <w:t>一、项目基本情况</w:t>
      </w:r>
      <w:bookmarkEnd w:id="2"/>
      <w:bookmarkEnd w:id="3"/>
      <w:bookmarkEnd w:id="4"/>
      <w:bookmarkEnd w:id="5"/>
    </w:p>
    <w:p w14:paraId="3550093A">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ZF2025-36-1923</w:t>
      </w:r>
    </w:p>
    <w:p w14:paraId="05C8997E">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lang w:eastAsia="zh-CN"/>
        </w:rPr>
        <w:t>安徽医科大学第一附属医院数字一体化手术室设备（含无影灯、手术床、吊塔）采购项目</w:t>
      </w:r>
    </w:p>
    <w:bookmarkEnd w:id="6"/>
    <w:p w14:paraId="27F3BE4D">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lang w:val="en-US" w:eastAsia="zh-CN"/>
        </w:rPr>
        <w:t>4678.5</w:t>
      </w:r>
      <w:r>
        <w:rPr>
          <w:rFonts w:hint="eastAsia" w:ascii="仿宋" w:hAnsi="仿宋" w:eastAsia="仿宋" w:cs="仿宋"/>
          <w:color w:val="auto"/>
          <w:sz w:val="28"/>
          <w:szCs w:val="28"/>
          <w:highlight w:val="none"/>
        </w:rPr>
        <w:t>万元</w:t>
      </w:r>
    </w:p>
    <w:p w14:paraId="74711B36">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最高限价（如有）：</w:t>
      </w:r>
      <w:r>
        <w:rPr>
          <w:rFonts w:hint="eastAsia" w:ascii="仿宋" w:hAnsi="仿宋" w:eastAsia="仿宋" w:cs="仿宋"/>
          <w:color w:val="auto"/>
          <w:sz w:val="28"/>
          <w:szCs w:val="28"/>
          <w:highlight w:val="none"/>
          <w:lang w:val="en-US" w:eastAsia="zh-CN"/>
        </w:rPr>
        <w:t>3502万元</w:t>
      </w:r>
    </w:p>
    <w:p w14:paraId="4BBCF465">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p>
    <w:tbl>
      <w:tblPr>
        <w:tblStyle w:val="17"/>
        <w:tblW w:w="949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627"/>
        <w:gridCol w:w="1141"/>
        <w:gridCol w:w="1409"/>
        <w:gridCol w:w="1519"/>
        <w:gridCol w:w="1528"/>
        <w:gridCol w:w="1331"/>
      </w:tblGrid>
      <w:tr w14:paraId="5CDB6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474B1">
            <w:pPr>
              <w:keepNext w:val="0"/>
              <w:keepLines w:val="0"/>
              <w:widowControl/>
              <w:suppressLineNumbers w:val="0"/>
              <w:jc w:val="center"/>
              <w:textAlignment w:val="center"/>
              <w:rPr>
                <w:rFonts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品目号</w:t>
            </w:r>
          </w:p>
        </w:tc>
        <w:tc>
          <w:tcPr>
            <w:tcW w:w="1627" w:type="dxa"/>
            <w:tcBorders>
              <w:top w:val="single" w:color="000000" w:sz="8" w:space="0"/>
              <w:left w:val="nil"/>
              <w:bottom w:val="single" w:color="000000" w:sz="8" w:space="0"/>
              <w:right w:val="single" w:color="000000" w:sz="8" w:space="0"/>
            </w:tcBorders>
            <w:shd w:val="clear" w:color="auto" w:fill="auto"/>
            <w:vAlign w:val="center"/>
          </w:tcPr>
          <w:p w14:paraId="3CCB8E6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货物名称</w:t>
            </w:r>
          </w:p>
        </w:tc>
        <w:tc>
          <w:tcPr>
            <w:tcW w:w="1141" w:type="dxa"/>
            <w:tcBorders>
              <w:top w:val="single" w:color="000000" w:sz="8" w:space="0"/>
              <w:left w:val="nil"/>
              <w:bottom w:val="single" w:color="000000" w:sz="8" w:space="0"/>
              <w:right w:val="single" w:color="000000" w:sz="8" w:space="0"/>
            </w:tcBorders>
            <w:shd w:val="clear" w:color="auto" w:fill="auto"/>
            <w:vAlign w:val="center"/>
          </w:tcPr>
          <w:p w14:paraId="4317D7D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数量（台/套）</w:t>
            </w:r>
          </w:p>
        </w:tc>
        <w:tc>
          <w:tcPr>
            <w:tcW w:w="1409" w:type="dxa"/>
            <w:tcBorders>
              <w:top w:val="single" w:color="000000" w:sz="8" w:space="0"/>
              <w:left w:val="nil"/>
              <w:bottom w:val="single" w:color="000000" w:sz="8" w:space="0"/>
              <w:right w:val="single" w:color="000000" w:sz="8" w:space="0"/>
            </w:tcBorders>
            <w:shd w:val="clear" w:color="auto" w:fill="auto"/>
            <w:vAlign w:val="center"/>
          </w:tcPr>
          <w:p w14:paraId="79A8305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总预算/最高投标限价（万元）</w:t>
            </w:r>
          </w:p>
        </w:tc>
        <w:tc>
          <w:tcPr>
            <w:tcW w:w="1519" w:type="dxa"/>
            <w:tcBorders>
              <w:top w:val="single" w:color="000000" w:sz="8" w:space="0"/>
              <w:left w:val="nil"/>
              <w:bottom w:val="single" w:color="000000" w:sz="8" w:space="0"/>
              <w:right w:val="single" w:color="000000" w:sz="8" w:space="0"/>
            </w:tcBorders>
            <w:shd w:val="clear" w:color="auto" w:fill="auto"/>
            <w:vAlign w:val="center"/>
          </w:tcPr>
          <w:p w14:paraId="558230C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所属行业</w:t>
            </w:r>
          </w:p>
        </w:tc>
        <w:tc>
          <w:tcPr>
            <w:tcW w:w="1528" w:type="dxa"/>
            <w:tcBorders>
              <w:top w:val="single" w:color="000000" w:sz="8" w:space="0"/>
              <w:left w:val="nil"/>
              <w:bottom w:val="single" w:color="000000" w:sz="8" w:space="0"/>
              <w:right w:val="single" w:color="000000" w:sz="8" w:space="0"/>
            </w:tcBorders>
            <w:shd w:val="clear" w:color="auto" w:fill="auto"/>
            <w:vAlign w:val="center"/>
          </w:tcPr>
          <w:p w14:paraId="76BF7A0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是否接受进口</w:t>
            </w:r>
          </w:p>
        </w:tc>
        <w:tc>
          <w:tcPr>
            <w:tcW w:w="1331" w:type="dxa"/>
            <w:tcBorders>
              <w:top w:val="single" w:color="000000" w:sz="8" w:space="0"/>
              <w:left w:val="nil"/>
              <w:bottom w:val="single" w:color="000000" w:sz="8" w:space="0"/>
              <w:right w:val="single" w:color="000000" w:sz="8" w:space="0"/>
            </w:tcBorders>
            <w:shd w:val="clear" w:color="auto" w:fill="auto"/>
            <w:vAlign w:val="center"/>
          </w:tcPr>
          <w:p w14:paraId="2F4323C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备注</w:t>
            </w:r>
          </w:p>
        </w:tc>
      </w:tr>
      <w:tr w14:paraId="4DC49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91" w:type="dxa"/>
            <w:gridSpan w:val="7"/>
            <w:tcBorders>
              <w:top w:val="nil"/>
              <w:left w:val="single" w:color="000000" w:sz="8" w:space="0"/>
              <w:bottom w:val="single" w:color="000000" w:sz="8" w:space="0"/>
              <w:right w:val="single" w:color="000000" w:sz="8" w:space="0"/>
            </w:tcBorders>
            <w:shd w:val="clear" w:color="auto" w:fill="auto"/>
            <w:vAlign w:val="center"/>
          </w:tcPr>
          <w:p w14:paraId="763D9C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灯床塔</w:t>
            </w:r>
          </w:p>
        </w:tc>
      </w:tr>
      <w:tr w14:paraId="3B9D0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4DD377E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品目1</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42B5E0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高端双头无影灯</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148ADC8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11D374F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81</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201EE31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4D6D1FB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6F0C18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医疗器械</w:t>
            </w:r>
          </w:p>
        </w:tc>
      </w:tr>
      <w:tr w14:paraId="79F54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7F555D5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品目2</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44064C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中端双头无影灯</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736960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638FBBE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144</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29B62A7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57A84DF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5B5733B7">
            <w:pPr>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医疗器械</w:t>
            </w:r>
          </w:p>
        </w:tc>
      </w:tr>
      <w:tr w14:paraId="6B7D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6374AB5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品目3</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260A89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单头无影灯</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4AC4DFE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3A823D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275.5</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6A6D733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6F53420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29318AAD">
            <w:pPr>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医疗器械</w:t>
            </w:r>
          </w:p>
        </w:tc>
      </w:tr>
      <w:tr w14:paraId="752C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021DA06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品目4</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613597F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中高档手术床</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2B6E5A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055CF08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319</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1B420F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0E2D1B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51FFE2F4">
            <w:pPr>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医疗器械</w:t>
            </w:r>
          </w:p>
        </w:tc>
      </w:tr>
      <w:tr w14:paraId="2B2C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07540B9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品目5</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1E9E4F0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麻醉塔</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6FE0A5C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4614EA8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138</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75FC6B1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46EA231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63FF2D71">
            <w:pPr>
              <w:jc w:val="center"/>
              <w:rPr>
                <w:rFonts w:hint="eastAsia" w:ascii="仿宋" w:hAnsi="仿宋" w:eastAsia="仿宋" w:cs="仿宋"/>
                <w:i w:val="0"/>
                <w:iCs w:val="0"/>
                <w:color w:val="auto"/>
                <w:sz w:val="24"/>
                <w:szCs w:val="24"/>
                <w:highlight w:val="none"/>
                <w:u w:val="none"/>
              </w:rPr>
            </w:pPr>
          </w:p>
        </w:tc>
      </w:tr>
      <w:tr w14:paraId="3F02E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7E4ABF2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品目6</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52AE19F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外科塔</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47F1073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27AF703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115</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2795C98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4A12339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77096281">
            <w:pPr>
              <w:jc w:val="center"/>
              <w:rPr>
                <w:rFonts w:hint="eastAsia" w:ascii="仿宋" w:hAnsi="仿宋" w:eastAsia="仿宋" w:cs="仿宋"/>
                <w:i w:val="0"/>
                <w:iCs w:val="0"/>
                <w:color w:val="auto"/>
                <w:sz w:val="24"/>
                <w:szCs w:val="24"/>
                <w:highlight w:val="none"/>
                <w:u w:val="none"/>
              </w:rPr>
            </w:pPr>
          </w:p>
        </w:tc>
      </w:tr>
      <w:tr w14:paraId="293A6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1943DE8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品目7</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5510A8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腔镜 (体外循环) 塔</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2304A84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6E36229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58.5</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4114E3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6D79CF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7E47EE69">
            <w:pPr>
              <w:jc w:val="center"/>
              <w:rPr>
                <w:rFonts w:hint="eastAsia" w:ascii="仿宋" w:hAnsi="仿宋" w:eastAsia="仿宋" w:cs="仿宋"/>
                <w:i w:val="0"/>
                <w:iCs w:val="0"/>
                <w:color w:val="auto"/>
                <w:sz w:val="24"/>
                <w:szCs w:val="24"/>
                <w:highlight w:val="none"/>
                <w:u w:val="none"/>
              </w:rPr>
            </w:pPr>
          </w:p>
        </w:tc>
      </w:tr>
      <w:tr w14:paraId="4B01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3C9A28A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品目8</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07939F3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吊桥</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3610901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105</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79C3011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504</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00D78AD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56FD5BD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32968D67">
            <w:pPr>
              <w:jc w:val="center"/>
              <w:rPr>
                <w:rFonts w:hint="eastAsia" w:ascii="仿宋" w:hAnsi="仿宋" w:eastAsia="仿宋" w:cs="仿宋"/>
                <w:i w:val="0"/>
                <w:iCs w:val="0"/>
                <w:color w:val="auto"/>
                <w:sz w:val="24"/>
                <w:szCs w:val="24"/>
                <w:highlight w:val="none"/>
                <w:u w:val="none"/>
              </w:rPr>
            </w:pPr>
          </w:p>
        </w:tc>
      </w:tr>
      <w:tr w14:paraId="51860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4E42BB5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品目9</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1F3BE63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显示器吊臂</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7B1EBB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3AA1C31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61160F6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4D46503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02A6F21E">
            <w:pPr>
              <w:jc w:val="center"/>
              <w:rPr>
                <w:rFonts w:hint="eastAsia" w:ascii="仿宋" w:hAnsi="仿宋" w:eastAsia="仿宋" w:cs="仿宋"/>
                <w:i w:val="0"/>
                <w:iCs w:val="0"/>
                <w:color w:val="auto"/>
                <w:sz w:val="24"/>
                <w:szCs w:val="24"/>
                <w:highlight w:val="none"/>
                <w:u w:val="none"/>
              </w:rPr>
            </w:pPr>
          </w:p>
        </w:tc>
      </w:tr>
      <w:tr w14:paraId="6DD91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67D2077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品目10</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29C76BB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大屏悬吊系统</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165E9DE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39E7B6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79A942A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23FFA4A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28D5C4F3">
            <w:pPr>
              <w:jc w:val="center"/>
              <w:rPr>
                <w:rFonts w:hint="eastAsia" w:ascii="仿宋" w:hAnsi="仿宋" w:eastAsia="仿宋" w:cs="仿宋"/>
                <w:i w:val="0"/>
                <w:iCs w:val="0"/>
                <w:color w:val="auto"/>
                <w:sz w:val="24"/>
                <w:szCs w:val="24"/>
                <w:highlight w:val="none"/>
                <w:u w:val="none"/>
              </w:rPr>
            </w:pPr>
          </w:p>
        </w:tc>
      </w:tr>
      <w:tr w14:paraId="3DB6C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91" w:type="dxa"/>
            <w:gridSpan w:val="7"/>
            <w:tcBorders>
              <w:top w:val="nil"/>
              <w:left w:val="single" w:color="000000" w:sz="8" w:space="0"/>
              <w:bottom w:val="single" w:color="000000" w:sz="8" w:space="0"/>
              <w:right w:val="single" w:color="000000" w:sz="8" w:space="0"/>
            </w:tcBorders>
            <w:shd w:val="clear" w:color="auto" w:fill="auto"/>
            <w:vAlign w:val="center"/>
          </w:tcPr>
          <w:p w14:paraId="1E2120D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数字一体化手术室</w:t>
            </w:r>
          </w:p>
        </w:tc>
      </w:tr>
      <w:tr w14:paraId="18D8B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65FE90F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品目11</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7E70A4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复合数字一体化手术室</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4466305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04D1510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229.8</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0D2195F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53FD8E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4527F838">
            <w:pPr>
              <w:jc w:val="center"/>
              <w:rPr>
                <w:rFonts w:hint="eastAsia" w:ascii="仿宋" w:hAnsi="仿宋" w:eastAsia="仿宋" w:cs="仿宋"/>
                <w:i w:val="0"/>
                <w:iCs w:val="0"/>
                <w:color w:val="auto"/>
                <w:sz w:val="24"/>
                <w:szCs w:val="24"/>
                <w:highlight w:val="none"/>
                <w:u w:val="none"/>
              </w:rPr>
            </w:pPr>
          </w:p>
        </w:tc>
      </w:tr>
      <w:tr w14:paraId="2A53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1C44062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品目12</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2637842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机器人数字化手术室</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77BEE1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3CDC919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126.9</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00C5AB1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5745A3A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5F36A170">
            <w:pPr>
              <w:jc w:val="center"/>
              <w:rPr>
                <w:rFonts w:hint="eastAsia" w:ascii="仿宋" w:hAnsi="仿宋" w:eastAsia="仿宋" w:cs="仿宋"/>
                <w:i w:val="0"/>
                <w:iCs w:val="0"/>
                <w:color w:val="auto"/>
                <w:sz w:val="24"/>
                <w:szCs w:val="24"/>
                <w:highlight w:val="none"/>
                <w:u w:val="none"/>
              </w:rPr>
            </w:pPr>
          </w:p>
        </w:tc>
      </w:tr>
      <w:tr w14:paraId="681E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0A1D8C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品目13</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03126C2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负压（心脏移植）数字化手术室</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33C5C37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0B18595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82.9</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7686949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70D7D9F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528FD925">
            <w:pPr>
              <w:jc w:val="center"/>
              <w:rPr>
                <w:rFonts w:hint="eastAsia" w:ascii="仿宋" w:hAnsi="仿宋" w:eastAsia="仿宋" w:cs="仿宋"/>
                <w:i w:val="0"/>
                <w:iCs w:val="0"/>
                <w:color w:val="auto"/>
                <w:sz w:val="24"/>
                <w:szCs w:val="24"/>
                <w:highlight w:val="none"/>
                <w:u w:val="none"/>
              </w:rPr>
            </w:pPr>
          </w:p>
        </w:tc>
      </w:tr>
      <w:tr w14:paraId="37110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370C56A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品目14</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5F627E2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基础版数字化手术室</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40CB90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4C15A58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515.7</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07BCE8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480D427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6A67FD5E">
            <w:pPr>
              <w:jc w:val="center"/>
              <w:rPr>
                <w:rFonts w:hint="eastAsia" w:ascii="仿宋" w:hAnsi="仿宋" w:eastAsia="仿宋" w:cs="仿宋"/>
                <w:i w:val="0"/>
                <w:iCs w:val="0"/>
                <w:color w:val="auto"/>
                <w:sz w:val="24"/>
                <w:szCs w:val="24"/>
                <w:highlight w:val="none"/>
                <w:u w:val="none"/>
              </w:rPr>
            </w:pPr>
          </w:p>
        </w:tc>
      </w:tr>
      <w:tr w14:paraId="7C97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1E32233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品目15</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2ED3193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门口信息屏系统（手术室版）</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3993F8B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574FDE8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2A05B6E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79F3D28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50E97459">
            <w:pPr>
              <w:jc w:val="center"/>
              <w:rPr>
                <w:rFonts w:hint="eastAsia" w:ascii="仿宋" w:hAnsi="仿宋" w:eastAsia="仿宋" w:cs="仿宋"/>
                <w:i w:val="0"/>
                <w:iCs w:val="0"/>
                <w:color w:val="auto"/>
                <w:sz w:val="24"/>
                <w:szCs w:val="24"/>
                <w:highlight w:val="none"/>
                <w:u w:val="none"/>
              </w:rPr>
            </w:pPr>
          </w:p>
        </w:tc>
      </w:tr>
      <w:tr w14:paraId="40E1F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5E2B4AF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品目16</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3CD5BDD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谈话间设备</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61ADCBF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264D037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21F89BB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6B60344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05AB6CFE">
            <w:pPr>
              <w:jc w:val="center"/>
              <w:rPr>
                <w:rFonts w:hint="eastAsia" w:ascii="仿宋" w:hAnsi="仿宋" w:eastAsia="仿宋" w:cs="仿宋"/>
                <w:i w:val="0"/>
                <w:iCs w:val="0"/>
                <w:color w:val="auto"/>
                <w:sz w:val="24"/>
                <w:szCs w:val="24"/>
                <w:highlight w:val="none"/>
                <w:u w:val="none"/>
              </w:rPr>
            </w:pPr>
          </w:p>
        </w:tc>
      </w:tr>
      <w:tr w14:paraId="4BE17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4E752E6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品目17</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641E06C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3轴电动云台旋转4K摄像（含吊臂）</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7B8995C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0C73187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2989EEA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44BEF9E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25B40E91">
            <w:pPr>
              <w:jc w:val="center"/>
              <w:rPr>
                <w:rFonts w:hint="eastAsia" w:ascii="仿宋" w:hAnsi="仿宋" w:eastAsia="仿宋" w:cs="仿宋"/>
                <w:i w:val="0"/>
                <w:iCs w:val="0"/>
                <w:color w:val="auto"/>
                <w:sz w:val="24"/>
                <w:szCs w:val="24"/>
                <w:highlight w:val="none"/>
                <w:u w:val="none"/>
              </w:rPr>
            </w:pPr>
          </w:p>
        </w:tc>
      </w:tr>
      <w:tr w14:paraId="045ED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078C224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品目18</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51561A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手术床旁麒麟臂</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79A9B56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0DBD0AA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230714C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180083C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54C74A3F">
            <w:pPr>
              <w:jc w:val="center"/>
              <w:rPr>
                <w:rFonts w:hint="eastAsia" w:ascii="仿宋" w:hAnsi="仿宋" w:eastAsia="仿宋" w:cs="仿宋"/>
                <w:i w:val="0"/>
                <w:iCs w:val="0"/>
                <w:color w:val="auto"/>
                <w:sz w:val="24"/>
                <w:szCs w:val="24"/>
                <w:highlight w:val="none"/>
                <w:u w:val="none"/>
              </w:rPr>
            </w:pPr>
          </w:p>
        </w:tc>
      </w:tr>
      <w:tr w14:paraId="28D3E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2D9D1B4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品目19</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21EAA4E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护士工作平台（含护士站+收纳柜）</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2CDC59F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498F95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65</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033FE68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0048CD3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3233C673">
            <w:pPr>
              <w:jc w:val="center"/>
              <w:rPr>
                <w:rFonts w:hint="eastAsia" w:ascii="仿宋" w:hAnsi="仿宋" w:eastAsia="仿宋" w:cs="仿宋"/>
                <w:i w:val="0"/>
                <w:iCs w:val="0"/>
                <w:color w:val="auto"/>
                <w:sz w:val="24"/>
                <w:szCs w:val="24"/>
                <w:highlight w:val="none"/>
                <w:u w:val="none"/>
              </w:rPr>
            </w:pPr>
          </w:p>
        </w:tc>
      </w:tr>
      <w:tr w14:paraId="567BD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6FA0524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品目20</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67AE8D9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数字化导管室</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0588E5A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5795A52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356</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2F4758D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6D9BDF1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6C45F16E">
            <w:pPr>
              <w:jc w:val="center"/>
              <w:rPr>
                <w:rFonts w:hint="eastAsia" w:ascii="仿宋" w:hAnsi="仿宋" w:eastAsia="仿宋" w:cs="仿宋"/>
                <w:i w:val="0"/>
                <w:iCs w:val="0"/>
                <w:color w:val="auto"/>
                <w:sz w:val="24"/>
                <w:szCs w:val="24"/>
                <w:highlight w:val="none"/>
                <w:u w:val="none"/>
              </w:rPr>
            </w:pPr>
          </w:p>
        </w:tc>
      </w:tr>
      <w:tr w14:paraId="78A4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6364E12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品目21</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7EB9221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基础版数字化导管室</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54FCCD4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6275118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1D80E86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7DCC9C9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18DF4AD9">
            <w:pPr>
              <w:jc w:val="center"/>
              <w:rPr>
                <w:rFonts w:hint="eastAsia" w:ascii="仿宋" w:hAnsi="仿宋" w:eastAsia="仿宋" w:cs="仿宋"/>
                <w:i w:val="0"/>
                <w:iCs w:val="0"/>
                <w:color w:val="auto"/>
                <w:sz w:val="24"/>
                <w:szCs w:val="24"/>
                <w:highlight w:val="none"/>
                <w:u w:val="none"/>
              </w:rPr>
            </w:pPr>
          </w:p>
        </w:tc>
      </w:tr>
      <w:tr w14:paraId="3063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6EA05AE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品目22</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74E1CFF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门口信息屏系统（导管室版）</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6EC5B85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6FCFDBE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6C4132C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56D2DB1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3D2A6563">
            <w:pPr>
              <w:jc w:val="center"/>
              <w:rPr>
                <w:rFonts w:hint="eastAsia" w:ascii="仿宋" w:hAnsi="仿宋" w:eastAsia="仿宋" w:cs="仿宋"/>
                <w:i w:val="0"/>
                <w:iCs w:val="0"/>
                <w:color w:val="auto"/>
                <w:sz w:val="24"/>
                <w:szCs w:val="24"/>
                <w:highlight w:val="none"/>
                <w:u w:val="none"/>
              </w:rPr>
            </w:pPr>
          </w:p>
        </w:tc>
      </w:tr>
      <w:tr w14:paraId="33DE3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3959BEF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品目23</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4ABE517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护士工作平台（含护士站+收纳柜）</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0BDF846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55B460D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6ADABF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264BC53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02320C14">
            <w:pPr>
              <w:jc w:val="center"/>
              <w:rPr>
                <w:rFonts w:hint="eastAsia" w:ascii="仿宋" w:hAnsi="仿宋" w:eastAsia="仿宋" w:cs="仿宋"/>
                <w:i w:val="0"/>
                <w:iCs w:val="0"/>
                <w:color w:val="auto"/>
                <w:sz w:val="24"/>
                <w:szCs w:val="24"/>
                <w:highlight w:val="none"/>
                <w:u w:val="none"/>
              </w:rPr>
            </w:pPr>
          </w:p>
        </w:tc>
      </w:tr>
      <w:tr w14:paraId="2A63A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5021682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品目24</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0A3EB3D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手术会议室（光纤版，100平米）</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6B7D2A3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7471157B">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50.11</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39D2C1E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384C0D2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5076260E">
            <w:pPr>
              <w:jc w:val="center"/>
              <w:rPr>
                <w:rFonts w:hint="eastAsia" w:ascii="仿宋" w:hAnsi="仿宋" w:eastAsia="仿宋" w:cs="仿宋"/>
                <w:i w:val="0"/>
                <w:iCs w:val="0"/>
                <w:color w:val="auto"/>
                <w:sz w:val="24"/>
                <w:szCs w:val="24"/>
                <w:highlight w:val="none"/>
                <w:u w:val="none"/>
              </w:rPr>
            </w:pPr>
          </w:p>
        </w:tc>
      </w:tr>
      <w:tr w14:paraId="2A978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37842B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品目25</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2655D77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大会议室（光纤版）数字化</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0127D4C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26B5C41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19.59</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2732BFB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6A5802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4A36634E">
            <w:pPr>
              <w:jc w:val="center"/>
              <w:rPr>
                <w:rFonts w:hint="eastAsia" w:ascii="仿宋" w:hAnsi="仿宋" w:eastAsia="仿宋" w:cs="仿宋"/>
                <w:i w:val="0"/>
                <w:iCs w:val="0"/>
                <w:color w:val="auto"/>
                <w:sz w:val="24"/>
                <w:szCs w:val="24"/>
                <w:highlight w:val="none"/>
                <w:u w:val="none"/>
              </w:rPr>
            </w:pPr>
          </w:p>
        </w:tc>
      </w:tr>
      <w:tr w14:paraId="0495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7C2245C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品目26</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2F6B0F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培训室(光纤版)数字化</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59D3BB4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177760F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5E34635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411ACB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2EF0FA3B">
            <w:pPr>
              <w:jc w:val="center"/>
              <w:rPr>
                <w:rFonts w:hint="eastAsia" w:ascii="仿宋" w:hAnsi="仿宋" w:eastAsia="仿宋" w:cs="仿宋"/>
                <w:i w:val="0"/>
                <w:iCs w:val="0"/>
                <w:color w:val="auto"/>
                <w:sz w:val="24"/>
                <w:szCs w:val="24"/>
                <w:highlight w:val="none"/>
                <w:u w:val="none"/>
              </w:rPr>
            </w:pPr>
          </w:p>
        </w:tc>
      </w:tr>
      <w:tr w14:paraId="2F9A1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090463A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品目27</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5F94F54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手术运营看板&amp;总控中心</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12E109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7886F1C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0AB45C7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79F8524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6DD0344C">
            <w:pPr>
              <w:jc w:val="center"/>
              <w:rPr>
                <w:rFonts w:hint="eastAsia" w:ascii="仿宋" w:hAnsi="仿宋" w:eastAsia="仿宋" w:cs="仿宋"/>
                <w:i w:val="0"/>
                <w:iCs w:val="0"/>
                <w:color w:val="auto"/>
                <w:sz w:val="24"/>
                <w:szCs w:val="24"/>
                <w:highlight w:val="none"/>
                <w:u w:val="none"/>
              </w:rPr>
            </w:pPr>
          </w:p>
        </w:tc>
      </w:tr>
    </w:tbl>
    <w:p w14:paraId="460639D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合同履行期限：交货期为合同签订后接院方供货通知后60天内完成安装、调试及验收。</w:t>
      </w:r>
    </w:p>
    <w:p w14:paraId="6BFCE87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本项目不接受联合体投标。</w:t>
      </w:r>
      <w:bookmarkStart w:id="7" w:name="_Toc28359080"/>
      <w:bookmarkStart w:id="8" w:name="_Toc35393622"/>
      <w:bookmarkStart w:id="9" w:name="_Toc35393791"/>
      <w:bookmarkStart w:id="10" w:name="_Toc28359003"/>
    </w:p>
    <w:p w14:paraId="28EE03D9">
      <w:pPr>
        <w:pStyle w:val="3"/>
        <w:pageBreakBefore w:val="0"/>
        <w:widowControl/>
        <w:kinsoku/>
        <w:overflowPunct/>
        <w:autoSpaceDE/>
        <w:autoSpaceDN/>
        <w:bidi w:val="0"/>
        <w:adjustRightInd w:val="0"/>
        <w:snapToGrid w:val="0"/>
        <w:spacing w:before="0" w:beforeLines="0" w:after="0" w:afterLines="0" w:line="560" w:lineRule="atLeast"/>
        <w:rPr>
          <w:rStyle w:val="23"/>
          <w:rFonts w:hAnsi="宋体"/>
          <w:b w:val="0"/>
          <w:bCs w:val="0"/>
          <w:color w:val="auto"/>
          <w:sz w:val="28"/>
          <w:szCs w:val="28"/>
          <w:highlight w:val="none"/>
        </w:rPr>
      </w:pPr>
      <w:r>
        <w:rPr>
          <w:rStyle w:val="23"/>
          <w:rFonts w:hint="eastAsia" w:hAnsi="宋体"/>
          <w:b w:val="0"/>
          <w:bCs w:val="0"/>
          <w:color w:val="auto"/>
          <w:sz w:val="28"/>
          <w:szCs w:val="28"/>
          <w:highlight w:val="none"/>
        </w:rPr>
        <w:t>二、申请人的资格要求：</w:t>
      </w:r>
      <w:bookmarkEnd w:id="7"/>
      <w:bookmarkEnd w:id="8"/>
      <w:bookmarkEnd w:id="9"/>
      <w:bookmarkEnd w:id="10"/>
    </w:p>
    <w:p w14:paraId="668D4B86">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1.满足《中华人民共和国政府采购法》第二十二条规定；</w:t>
      </w:r>
    </w:p>
    <w:p w14:paraId="5171C120">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bookmarkStart w:id="11" w:name="_Toc28359004"/>
      <w:bookmarkStart w:id="12" w:name="_Toc28359081"/>
      <w:r>
        <w:rPr>
          <w:rFonts w:hint="eastAsia" w:ascii="仿宋" w:hAnsi="仿宋" w:eastAsia="仿宋" w:cs="仿宋"/>
          <w:color w:val="auto"/>
          <w:sz w:val="28"/>
          <w:szCs w:val="28"/>
          <w:highlight w:val="none"/>
        </w:rPr>
        <w:t>2.落实政府采购政策需满足的资格要求：</w:t>
      </w:r>
      <w:bookmarkStart w:id="13" w:name="_Toc35393792"/>
      <w:bookmarkStart w:id="14" w:name="_Toc35393623"/>
      <w:r>
        <w:rPr>
          <w:rFonts w:hint="eastAsia" w:ascii="仿宋" w:hAnsi="仿宋" w:eastAsia="仿宋" w:cs="仿宋"/>
          <w:color w:val="auto"/>
          <w:sz w:val="28"/>
          <w:szCs w:val="28"/>
          <w:highlight w:val="none"/>
        </w:rPr>
        <w:t>本项目不属于专门面向中小企业采购，但落实中小微企业、监狱企业、残疾人福利性单位扶持政策；</w:t>
      </w:r>
    </w:p>
    <w:p w14:paraId="5AF38A0B">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08402F02">
      <w:pPr>
        <w:pageBreakBefore w:val="0"/>
        <w:widowControl/>
        <w:kinsoku/>
        <w:overflowPunct/>
        <w:autoSpaceDE/>
        <w:autoSpaceDN/>
        <w:bidi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3.1.1在我国关境内注册的产品制造商或经销/代理商。</w:t>
      </w:r>
    </w:p>
    <w:p w14:paraId="6FB183A6">
      <w:pPr>
        <w:pageBreakBefore w:val="0"/>
        <w:widowControl/>
        <w:kinsoku/>
        <w:overflowPunct/>
        <w:autoSpaceDE/>
        <w:autoSpaceDN/>
        <w:bidi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3.1.2投标产品制造商在中国关境内时：若投标产品为第二类和第三类医疗器械，应提供有效的医疗器械生产许可证；若投标产品为第一类医疗器械，须在投标文件中提供备案证明材料或承诺函，承诺在合同签订前提供其向所在地设区的市级负责药品监督管理部门完成生产备案的证明材料，若未按规定提供视为自动放弃中标资格；</w:t>
      </w:r>
    </w:p>
    <w:p w14:paraId="251CDE52">
      <w:pPr>
        <w:pageBreakBefore w:val="0"/>
        <w:widowControl/>
        <w:kinsoku/>
        <w:overflowPunct/>
        <w:autoSpaceDE/>
        <w:autoSpaceDN/>
        <w:bidi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3.1.3若投标产品为第二类和第三类医疗器械，投标产品须具有有效的医疗器械注册证；若投标产品为第一类医疗器械，须在投标文件中提供备案证明材料或承诺函，承诺在合同签订前提供其向相应药品监督管理部门完成产品备案的证明材料，若未按规定提供视为自动放弃中标资格；</w:t>
      </w:r>
    </w:p>
    <w:p w14:paraId="1E0EADC5">
      <w:pPr>
        <w:pageBreakBefore w:val="0"/>
        <w:widowControl/>
        <w:kinsoku/>
        <w:overflowPunct/>
        <w:autoSpaceDE/>
        <w:autoSpaceDN/>
        <w:bidi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3.1.4供应商非所投产品制造商时：若投标产品为第三类医疗器械，应提供有效的医疗器械经营许可证；若投标产品为第二类医疗器械，须在投标文件中提供备案证明材料或承诺函，承诺在合同签订前提供其向所在地设区的市级负责药品监督管理部门完成经营备案的证明材料，若未按规定提供视为自动放弃中标资格；若投标产品在《免于经营备案的第二类医疗器械产品目录》中，可不提供备案证明材料或者承诺函，但需要投标文件中提供目录或说明；</w:t>
      </w:r>
    </w:p>
    <w:p w14:paraId="79D4C439">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3.2信誉要求</w:t>
      </w:r>
    </w:p>
    <w:p w14:paraId="5ECD1CDE">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截至提交投标文件截止时间，投标人（含其不具有独立法人资格的分支机构）存在下列有效情形之一的，其投标文件按无效处理。</w:t>
      </w:r>
    </w:p>
    <w:p w14:paraId="17F048E0">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（1）被人民法院列入失信被执行人名单的；</w:t>
      </w:r>
    </w:p>
    <w:p w14:paraId="67754FB2">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（2）被税务机关列入重大税收违法案件当事人名单的；</w:t>
      </w:r>
    </w:p>
    <w:p w14:paraId="5520BF5F">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（3）被财政部门列入政府采购严重违法失信名单的；</w:t>
      </w:r>
    </w:p>
    <w:p w14:paraId="20FB543F">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被市场监督管理部门（或工商行政管理部门）列入经营异常名录（未按照《企业信息公示暂行条例》（国务院令第654号）第八条规定的期限公示年度报告被列入经营异常名录的除外）或者严重违法失信企业名单的。</w:t>
      </w:r>
    </w:p>
    <w:p w14:paraId="2E802F27">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注：“有效”是指“情形”规定的程度、起止期间处于有效状态。投标人为联合体的，对投标人的要求视同对联合体成员的要求。</w:t>
      </w:r>
    </w:p>
    <w:p w14:paraId="3CE2F1AA">
      <w:pPr>
        <w:pStyle w:val="3"/>
        <w:pageBreakBefore w:val="0"/>
        <w:widowControl/>
        <w:kinsoku/>
        <w:overflowPunct/>
        <w:autoSpaceDE/>
        <w:autoSpaceDN/>
        <w:bidi w:val="0"/>
        <w:adjustRightInd w:val="0"/>
        <w:snapToGrid w:val="0"/>
        <w:spacing w:before="0" w:beforeLines="0" w:after="0" w:afterLines="0" w:line="560" w:lineRule="atLeast"/>
        <w:rPr>
          <w:rStyle w:val="23"/>
          <w:rFonts w:hAnsi="宋体"/>
          <w:b w:val="0"/>
          <w:bCs w:val="0"/>
          <w:color w:val="auto"/>
          <w:sz w:val="28"/>
          <w:szCs w:val="28"/>
          <w:highlight w:val="none"/>
        </w:rPr>
      </w:pPr>
      <w:r>
        <w:rPr>
          <w:rStyle w:val="23"/>
          <w:rFonts w:hint="eastAsia" w:hAnsi="宋体"/>
          <w:b w:val="0"/>
          <w:bCs w:val="0"/>
          <w:color w:val="auto"/>
          <w:sz w:val="28"/>
          <w:szCs w:val="28"/>
          <w:highlight w:val="none"/>
        </w:rPr>
        <w:t>三、获取招标文件</w:t>
      </w:r>
      <w:bookmarkEnd w:id="11"/>
      <w:bookmarkEnd w:id="12"/>
      <w:bookmarkEnd w:id="13"/>
      <w:bookmarkEnd w:id="14"/>
    </w:p>
    <w:p w14:paraId="07C92FC7">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时间：</w:t>
      </w: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11月19日</w:t>
      </w:r>
      <w:r>
        <w:rPr>
          <w:rFonts w:hint="eastAsia" w:ascii="仿宋" w:hAnsi="仿宋" w:eastAsia="仿宋" w:cs="仿宋"/>
          <w:color w:val="auto"/>
          <w:sz w:val="28"/>
          <w:szCs w:val="28"/>
          <w:highlight w:val="none"/>
        </w:rPr>
        <w:t>至</w:t>
      </w: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11月26日</w:t>
      </w:r>
      <w:r>
        <w:rPr>
          <w:rFonts w:hint="eastAsia" w:ascii="仿宋" w:hAnsi="仿宋" w:eastAsia="仿宋" w:cs="仿宋"/>
          <w:color w:val="auto"/>
          <w:sz w:val="28"/>
          <w:szCs w:val="28"/>
          <w:highlight w:val="none"/>
        </w:rPr>
        <w:t>（北京时间，法定节假日除外）。</w:t>
      </w:r>
    </w:p>
    <w:p w14:paraId="20551A63">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地点：“优质采云采购平台”（http://www.youzhicai.com/）</w:t>
      </w:r>
    </w:p>
    <w:p w14:paraId="1BD69257">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方式：在线下载</w:t>
      </w:r>
    </w:p>
    <w:p w14:paraId="2BA4CBB0">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售价(元)：0</w:t>
      </w:r>
    </w:p>
    <w:p w14:paraId="407C0AEC">
      <w:pPr>
        <w:pStyle w:val="3"/>
        <w:pageBreakBefore w:val="0"/>
        <w:widowControl/>
        <w:kinsoku/>
        <w:overflowPunct/>
        <w:autoSpaceDE/>
        <w:autoSpaceDN/>
        <w:bidi w:val="0"/>
        <w:adjustRightInd w:val="0"/>
        <w:snapToGrid w:val="0"/>
        <w:spacing w:before="0" w:beforeLines="0" w:after="0" w:afterLines="0" w:line="560" w:lineRule="atLeast"/>
        <w:rPr>
          <w:rStyle w:val="23"/>
          <w:rFonts w:hAnsi="宋体"/>
          <w:b w:val="0"/>
          <w:bCs w:val="0"/>
          <w:color w:val="auto"/>
          <w:sz w:val="28"/>
          <w:szCs w:val="28"/>
          <w:highlight w:val="none"/>
          <w:u w:val="none"/>
        </w:rPr>
      </w:pPr>
      <w:bookmarkStart w:id="15" w:name="_Toc28359082"/>
      <w:bookmarkStart w:id="16" w:name="_Toc28359005"/>
      <w:bookmarkStart w:id="17" w:name="_Toc35393624"/>
      <w:bookmarkStart w:id="18" w:name="_Toc35393793"/>
      <w:r>
        <w:rPr>
          <w:rStyle w:val="23"/>
          <w:rFonts w:hint="eastAsia" w:hAnsi="宋体"/>
          <w:b w:val="0"/>
          <w:bCs w:val="0"/>
          <w:color w:val="auto"/>
          <w:sz w:val="28"/>
          <w:szCs w:val="28"/>
          <w:highlight w:val="none"/>
          <w:u w:val="none"/>
        </w:rPr>
        <w:t>四、提交投标文件</w:t>
      </w:r>
      <w:bookmarkEnd w:id="15"/>
      <w:bookmarkEnd w:id="16"/>
      <w:r>
        <w:rPr>
          <w:rStyle w:val="23"/>
          <w:rFonts w:hint="eastAsia" w:hAnsi="宋体"/>
          <w:b w:val="0"/>
          <w:bCs w:val="0"/>
          <w:color w:val="auto"/>
          <w:sz w:val="28"/>
          <w:szCs w:val="28"/>
          <w:highlight w:val="none"/>
          <w:u w:val="none"/>
        </w:rPr>
        <w:t>截止时间、开标时间和地点</w:t>
      </w:r>
      <w:bookmarkEnd w:id="17"/>
      <w:bookmarkEnd w:id="18"/>
    </w:p>
    <w:p w14:paraId="67E3E592">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12月10日9</w:t>
      </w:r>
      <w:r>
        <w:rPr>
          <w:rFonts w:hint="eastAsia" w:ascii="仿宋" w:hAnsi="仿宋" w:eastAsia="仿宋" w:cs="仿宋"/>
          <w:color w:val="auto"/>
          <w:sz w:val="28"/>
          <w:szCs w:val="28"/>
          <w:highlight w:val="none"/>
        </w:rPr>
        <w:t>点</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分（北京时间）</w:t>
      </w:r>
    </w:p>
    <w:p w14:paraId="4F02CB79">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地点：</w:t>
      </w:r>
      <w:bookmarkStart w:id="19" w:name="_Hlk44253880"/>
      <w:r>
        <w:rPr>
          <w:rFonts w:hint="eastAsia" w:ascii="仿宋" w:hAnsi="仿宋" w:eastAsia="仿宋" w:cs="仿宋"/>
          <w:color w:val="auto"/>
          <w:sz w:val="28"/>
          <w:szCs w:val="28"/>
          <w:highlight w:val="none"/>
        </w:rPr>
        <w:t>线上开标：“优质采云采购平台”（http://www.youzhicai.com/）；</w:t>
      </w:r>
      <w:bookmarkEnd w:id="19"/>
    </w:p>
    <w:p w14:paraId="4F9D73B0">
      <w:pPr>
        <w:pStyle w:val="3"/>
        <w:pageBreakBefore w:val="0"/>
        <w:widowControl/>
        <w:kinsoku/>
        <w:overflowPunct/>
        <w:autoSpaceDE/>
        <w:autoSpaceDN/>
        <w:bidi w:val="0"/>
        <w:adjustRightInd w:val="0"/>
        <w:snapToGrid w:val="0"/>
        <w:spacing w:before="0" w:beforeLines="0" w:after="0" w:afterLines="0" w:line="560" w:lineRule="atLeast"/>
        <w:rPr>
          <w:rStyle w:val="23"/>
          <w:rFonts w:hAnsi="宋体"/>
          <w:b w:val="0"/>
          <w:bCs w:val="0"/>
          <w:color w:val="auto"/>
          <w:sz w:val="28"/>
          <w:szCs w:val="28"/>
          <w:highlight w:val="none"/>
        </w:rPr>
      </w:pPr>
      <w:bookmarkStart w:id="20" w:name="_Toc28359007"/>
      <w:bookmarkStart w:id="21" w:name="_Toc35393794"/>
      <w:bookmarkStart w:id="22" w:name="_Toc28359084"/>
      <w:bookmarkStart w:id="23" w:name="_Toc35393625"/>
      <w:r>
        <w:rPr>
          <w:rStyle w:val="23"/>
          <w:rFonts w:hint="eastAsia" w:hAnsi="宋体"/>
          <w:b w:val="0"/>
          <w:bCs w:val="0"/>
          <w:color w:val="auto"/>
          <w:sz w:val="28"/>
          <w:szCs w:val="28"/>
          <w:highlight w:val="none"/>
        </w:rPr>
        <w:t>五、公告期限</w:t>
      </w:r>
      <w:bookmarkEnd w:id="20"/>
      <w:bookmarkEnd w:id="21"/>
      <w:bookmarkEnd w:id="22"/>
      <w:bookmarkEnd w:id="23"/>
    </w:p>
    <w:p w14:paraId="1621FF9E">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自本公告发布之日起5个工作日。</w:t>
      </w:r>
    </w:p>
    <w:p w14:paraId="0950E01A">
      <w:pPr>
        <w:pStyle w:val="3"/>
        <w:pageBreakBefore w:val="0"/>
        <w:widowControl/>
        <w:kinsoku/>
        <w:overflowPunct/>
        <w:autoSpaceDE/>
        <w:autoSpaceDN/>
        <w:bidi w:val="0"/>
        <w:adjustRightInd w:val="0"/>
        <w:snapToGrid w:val="0"/>
        <w:spacing w:before="0" w:beforeLines="0" w:after="0" w:afterLines="0" w:line="560" w:lineRule="atLeast"/>
        <w:rPr>
          <w:rStyle w:val="23"/>
          <w:rFonts w:hAnsi="宋体"/>
          <w:b w:val="0"/>
          <w:bCs w:val="0"/>
          <w:color w:val="auto"/>
          <w:sz w:val="28"/>
          <w:szCs w:val="28"/>
          <w:highlight w:val="none"/>
        </w:rPr>
      </w:pPr>
      <w:bookmarkStart w:id="24" w:name="_Toc35393626"/>
      <w:bookmarkStart w:id="25" w:name="_Toc35393795"/>
      <w:r>
        <w:rPr>
          <w:rStyle w:val="23"/>
          <w:rFonts w:hint="eastAsia" w:hAnsi="宋体"/>
          <w:b w:val="0"/>
          <w:bCs w:val="0"/>
          <w:color w:val="auto"/>
          <w:sz w:val="28"/>
          <w:szCs w:val="28"/>
          <w:highlight w:val="none"/>
        </w:rPr>
        <w:t>六、其他补充事宜</w:t>
      </w:r>
      <w:bookmarkEnd w:id="24"/>
      <w:bookmarkEnd w:id="25"/>
    </w:p>
    <w:p w14:paraId="5C829CA2">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项目相关信息同时在“安徽省政府采购网、中国招标投标公共服务平台（www.cebpubservice.com）、安徽省招标投标信息网（www.ahtba.org.cn）、优质采云采购平台（网址：www.youzhicai.com）、优质采招标采购平台（www.yzczb.com）”等媒介上发布；</w:t>
      </w:r>
    </w:p>
    <w:p w14:paraId="444804FD">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2.本项目需落实的节能环保、中小企业扶持等相关政府采购政策详见招标文件。</w:t>
      </w:r>
    </w:p>
    <w:p w14:paraId="3AF51829">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3.政府采购电子化交易要求：</w:t>
      </w:r>
    </w:p>
    <w:p w14:paraId="0209B5F8">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（1）潜在投标人/供应商须登录“优质采云采购平台”（网址：</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"http://www.youzhicai.com"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www.youzhicai.com</w:t>
      </w:r>
      <w:r>
        <w:rPr>
          <w:rFonts w:hint="eastAsia" w:ascii="仿宋" w:hAnsi="仿宋" w:eastAsia="仿宋" w:cs="仿宋"/>
          <w:color w:val="auto"/>
          <w:sz w:val="28"/>
          <w:szCs w:val="28"/>
          <w:highlight w:val="none"/>
          <w:lang w:val="en-US" w:eastAsia="zh-CN"/>
        </w:rPr>
        <w:fldChar w:fldCharType="end"/>
      </w:r>
      <w:r>
        <w:rPr>
          <w:rFonts w:hint="eastAsia" w:ascii="仿宋" w:hAnsi="仿宋" w:eastAsia="仿宋" w:cs="仿宋"/>
          <w:color w:val="auto"/>
          <w:sz w:val="28"/>
          <w:szCs w:val="28"/>
          <w:highlight w:val="none"/>
          <w:lang w:val="en-US" w:eastAsia="zh-CN"/>
        </w:rPr>
        <w:t>，以下称“优质采平台”）参与本项目招标采购活动。首次登录须办理注册手续，请务必选择注册为“投标人角色”类型。注册流程见优质采平台“用户注册”栏目，咨询电话：400-0099-555。因未及时办理注册手续影响参加招标采购活动的，责任自负。</w:t>
      </w:r>
    </w:p>
    <w:p w14:paraId="3B8E30BA">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已注册的潜在投标人/供应商可登录优质采平台获取招标采购文件，本项目的招标采购文件及其他资料（含澄清、答疑及相关补充文件）通过优质采平台发布，采购人/代理机构不再另行书面通知，潜在投标人/供应商应及时关注、查阅优质采平台。因未及时查看导致不利后果的，责任自负。</w:t>
      </w:r>
    </w:p>
    <w:p w14:paraId="7DC72E29">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（3）已注册的潜在投标人/供应商若注册信息发生变更（如：与初始注册信息不一致），应及时网上提交变更申请。因未及时变更导致不利后果的，责任自负。</w:t>
      </w:r>
    </w:p>
    <w:p w14:paraId="028E66B1">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236D1891">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（5）电子投标/响应文件必须使用“优质采投标文件制作工具”制作生成并上传。下载地址：http://toolcdn.youzhicai.com/tools/BidderTools.zip，使用说明书及视频教程下载地址: http://file.youzhicai.com/files/BidderHelp.rar。</w:t>
      </w:r>
    </w:p>
    <w:p w14:paraId="4F3BC30C">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根据《政府采购促进中小企业发展管理办法》（财库〔2020〕46号）第六条规定，本次采购符合不专门面向中小企业预留采购份额的情形：本项目符合财政部、工业和信息化部制定的《政府采购促进中小企业发展管理办法》第六条第3款之规定，为非专门面向中小企业采购项目。具体原因如下：按照本办法规定预留采购份额无法确保充分供应、充分竞争，或者存在可能影响政府采购目标实现的情形。投标人如有异议，可按招标文件约定提出询问或质疑。</w:t>
      </w:r>
    </w:p>
    <w:p w14:paraId="2B6ACEDF">
      <w:pPr>
        <w:pStyle w:val="3"/>
        <w:pageBreakBefore w:val="0"/>
        <w:widowControl/>
        <w:kinsoku/>
        <w:overflowPunct/>
        <w:autoSpaceDE/>
        <w:autoSpaceDN/>
        <w:bidi w:val="0"/>
        <w:adjustRightInd w:val="0"/>
        <w:snapToGrid w:val="0"/>
        <w:spacing w:before="0" w:beforeLines="0" w:after="0" w:afterLines="0" w:line="560" w:lineRule="atLeast"/>
        <w:rPr>
          <w:rStyle w:val="23"/>
          <w:rFonts w:hint="eastAsia" w:ascii="黑体" w:hAnsi="黑体" w:eastAsia="黑体" w:cs="黑体"/>
          <w:b w:val="0"/>
          <w:bCs w:val="0"/>
          <w:color w:val="auto"/>
          <w:sz w:val="28"/>
          <w:szCs w:val="28"/>
          <w:highlight w:val="none"/>
        </w:rPr>
      </w:pPr>
      <w:bookmarkStart w:id="26" w:name="_Toc35393627"/>
      <w:bookmarkStart w:id="27" w:name="_Toc28359085"/>
      <w:bookmarkStart w:id="28" w:name="_Toc28359008"/>
      <w:bookmarkStart w:id="29" w:name="_Toc35393796"/>
      <w:r>
        <w:rPr>
          <w:rStyle w:val="23"/>
          <w:rFonts w:hint="eastAsia" w:ascii="黑体" w:hAnsi="黑体" w:eastAsia="黑体" w:cs="黑体"/>
          <w:b w:val="0"/>
          <w:bCs w:val="0"/>
          <w:color w:val="auto"/>
          <w:sz w:val="28"/>
          <w:szCs w:val="28"/>
          <w:highlight w:val="none"/>
        </w:rPr>
        <w:t>七、对本次招标提出询问，请按以下方式联系。</w:t>
      </w:r>
      <w:bookmarkEnd w:id="26"/>
      <w:bookmarkEnd w:id="27"/>
      <w:bookmarkEnd w:id="28"/>
      <w:bookmarkEnd w:id="29"/>
    </w:p>
    <w:p w14:paraId="6D5E03E5">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1.采购人信息</w:t>
      </w:r>
    </w:p>
    <w:p w14:paraId="7372EAD4">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 称：安徽医科大学第一附属医院</w:t>
      </w:r>
    </w:p>
    <w:p w14:paraId="5E069140">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址：合肥市绩溪路218号</w:t>
      </w:r>
    </w:p>
    <w:p w14:paraId="5BAA7610">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w:t>
      </w:r>
      <w:bookmarkStart w:id="30" w:name="_Toc28359086"/>
      <w:bookmarkStart w:id="31" w:name="_Toc28359009"/>
      <w:r>
        <w:rPr>
          <w:rFonts w:hint="eastAsia" w:ascii="仿宋" w:hAnsi="仿宋" w:eastAsia="仿宋" w:cs="仿宋"/>
          <w:color w:val="auto"/>
          <w:sz w:val="28"/>
          <w:szCs w:val="28"/>
          <w:highlight w:val="none"/>
          <w:lang w:val="en-US" w:eastAsia="zh-CN"/>
        </w:rPr>
        <w:t>刘老师0551-62922911</w:t>
      </w:r>
    </w:p>
    <w:p w14:paraId="190A2E58">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2.采购代理机构信息</w:t>
      </w:r>
      <w:bookmarkEnd w:id="30"/>
      <w:bookmarkEnd w:id="31"/>
    </w:p>
    <w:p w14:paraId="16BF6AF5">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 称：安徽省招标集团股份有限公司</w:t>
      </w:r>
    </w:p>
    <w:p w14:paraId="20EE9B0B">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址：安徽省合肥市包河区紫云路888号</w:t>
      </w:r>
    </w:p>
    <w:p w14:paraId="2B8A0FF4">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w:t>
      </w:r>
      <w:bookmarkStart w:id="32" w:name="_Toc28359087"/>
      <w:bookmarkStart w:id="33" w:name="_Toc28359010"/>
      <w:r>
        <w:rPr>
          <w:rFonts w:hint="eastAsia" w:ascii="仿宋" w:hAnsi="仿宋" w:eastAsia="仿宋" w:cs="仿宋"/>
          <w:color w:val="auto"/>
          <w:sz w:val="28"/>
          <w:szCs w:val="28"/>
          <w:highlight w:val="none"/>
          <w:lang w:val="en-US" w:eastAsia="zh-CN"/>
        </w:rPr>
        <w:t>应急客服电话：0551-62220153（接听时间：8:30-12:00,13:30-17:30，节假日除外。潜在投标人应优先拨打联系电话，无人接听时再拨打该“应急客服电话”）</w:t>
      </w:r>
    </w:p>
    <w:p w14:paraId="5075EF79">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3.项目联系方式</w:t>
      </w:r>
      <w:bookmarkEnd w:id="32"/>
      <w:bookmarkEnd w:id="33"/>
    </w:p>
    <w:p w14:paraId="0B62C274">
      <w:pPr>
        <w:pageBreakBefore w:val="0"/>
        <w:kinsoku/>
        <w:overflowPunct/>
        <w:autoSpaceDE/>
        <w:autoSpaceDN/>
        <w:bidi w:val="0"/>
        <w:adjustRightInd w:val="0"/>
        <w:snapToGrid w:val="0"/>
        <w:spacing w:line="560" w:lineRule="atLeas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项目联系人：李星、程椿、倪孟杰、施雨朦</w:t>
      </w:r>
    </w:p>
    <w:p w14:paraId="3AA98D46">
      <w:pPr>
        <w:pageBreakBefore w:val="0"/>
        <w:kinsoku/>
        <w:overflowPunct/>
        <w:autoSpaceDE/>
        <w:autoSpaceDN/>
        <w:bidi w:val="0"/>
        <w:adjustRightInd w:val="0"/>
        <w:snapToGrid w:val="0"/>
        <w:spacing w:line="560" w:lineRule="atLeast"/>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电 话：0551-66061350、66061352、66061356、66061355、18256096609（无人接听可短信留言） </w:t>
      </w:r>
    </w:p>
    <w:p w14:paraId="47FE414F">
      <w:pPr>
        <w:widowControl/>
        <w:adjustRightInd w:val="0"/>
        <w:snapToGrid w:val="0"/>
        <w:spacing w:line="560" w:lineRule="atLeast"/>
        <w:ind w:firstLine="560" w:firstLineChars="200"/>
        <w:jc w:val="left"/>
        <w:rPr>
          <w:rFonts w:ascii="楷体" w:hAnsi="楷体" w:eastAsia="仿宋"/>
          <w:i/>
          <w:color w:val="auto"/>
          <w:sz w:val="28"/>
          <w:szCs w:val="28"/>
          <w:highlight w:val="none"/>
        </w:rPr>
      </w:pPr>
      <w:r>
        <w:rPr>
          <w:rFonts w:hint="eastAsia" w:ascii="仿宋" w:hAnsi="仿宋" w:eastAsia="仿宋" w:cs="仿宋"/>
          <w:color w:val="auto"/>
          <w:sz w:val="28"/>
          <w:szCs w:val="28"/>
          <w:highlight w:val="none"/>
          <w:lang w:val="en-US" w:eastAsia="zh-CN"/>
        </w:rPr>
        <w:t>附件：招标文件</w:t>
      </w:r>
    </w:p>
    <w:p w14:paraId="0FA15708">
      <w:pPr>
        <w:pStyle w:val="2"/>
        <w:widowControl/>
        <w:spacing w:before="0" w:after="0" w:line="240" w:lineRule="auto"/>
        <w:jc w:val="center"/>
        <w:rPr>
          <w:rFonts w:ascii="宋体" w:hAnsi="宋体" w:eastAsia="仿宋"/>
          <w:color w:val="auto"/>
          <w:highlight w:val="none"/>
        </w:rPr>
      </w:pPr>
      <w:bookmarkStart w:id="34" w:name="_Toc445554685"/>
      <w:bookmarkStart w:id="35" w:name="_Toc241459614"/>
      <w:bookmarkStart w:id="36" w:name="_Toc466024497"/>
      <w:bookmarkStart w:id="37" w:name="_Toc333587477"/>
      <w:bookmarkStart w:id="38" w:name="_Toc342297617"/>
      <w:bookmarkStart w:id="39" w:name="_Toc342296160"/>
      <w:bookmarkStart w:id="40" w:name="_Toc371415919"/>
      <w:r>
        <w:rPr>
          <w:rFonts w:ascii="宋体" w:hAnsi="宋体" w:eastAsia="仿宋"/>
          <w:color w:val="auto"/>
          <w:sz w:val="24"/>
          <w:szCs w:val="24"/>
          <w:highlight w:val="none"/>
        </w:rPr>
        <w:br w:type="page"/>
      </w:r>
      <w:bookmarkStart w:id="41" w:name="_Toc26870"/>
      <w:r>
        <w:rPr>
          <w:rFonts w:hint="eastAsia" w:ascii="宋体" w:hAnsi="宋体" w:eastAsia="仿宋"/>
          <w:color w:val="auto"/>
          <w:highlight w:val="none"/>
        </w:rPr>
        <w:t>第二章</w:t>
      </w:r>
      <w:r>
        <w:rPr>
          <w:rFonts w:ascii="宋体" w:hAnsi="宋体" w:eastAsia="仿宋"/>
          <w:color w:val="auto"/>
          <w:highlight w:val="none"/>
        </w:rPr>
        <w:t xml:space="preserve"> </w:t>
      </w:r>
      <w:r>
        <w:rPr>
          <w:rFonts w:hint="eastAsia" w:ascii="宋体" w:hAnsi="宋体" w:eastAsia="仿宋"/>
          <w:color w:val="auto"/>
          <w:highlight w:val="none"/>
        </w:rPr>
        <w:t xml:space="preserve"> 投标人须知</w:t>
      </w:r>
      <w:bookmarkEnd w:id="34"/>
      <w:bookmarkEnd w:id="35"/>
      <w:bookmarkEnd w:id="36"/>
      <w:bookmarkEnd w:id="41"/>
    </w:p>
    <w:p w14:paraId="3B205937">
      <w:pPr>
        <w:pStyle w:val="3"/>
        <w:widowControl/>
        <w:spacing w:before="120" w:after="120" w:line="240" w:lineRule="auto"/>
        <w:jc w:val="center"/>
        <w:rPr>
          <w:rStyle w:val="23"/>
          <w:rFonts w:hint="eastAsia" w:ascii="仿宋" w:hAnsi="仿宋" w:eastAsia="仿宋" w:cs="仿宋"/>
          <w:b/>
          <w:bCs w:val="0"/>
          <w:color w:val="auto"/>
          <w:sz w:val="28"/>
          <w:szCs w:val="28"/>
          <w:highlight w:val="none"/>
        </w:rPr>
      </w:pPr>
      <w:bookmarkStart w:id="42" w:name="_Toc466024498"/>
      <w:bookmarkStart w:id="43" w:name="_Toc445554686"/>
      <w:r>
        <w:rPr>
          <w:rStyle w:val="23"/>
          <w:rFonts w:hint="eastAsia" w:ascii="仿宋" w:hAnsi="仿宋" w:eastAsia="仿宋" w:cs="仿宋"/>
          <w:b/>
          <w:bCs w:val="0"/>
          <w:color w:val="auto"/>
          <w:sz w:val="28"/>
          <w:szCs w:val="28"/>
          <w:highlight w:val="none"/>
        </w:rPr>
        <w:t>投标人须知前附表</w:t>
      </w:r>
      <w:bookmarkEnd w:id="42"/>
      <w:bookmarkEnd w:id="43"/>
    </w:p>
    <w:p w14:paraId="15DC5097">
      <w:pPr>
        <w:widowControl/>
        <w:adjustRightInd w:val="0"/>
        <w:snapToGrid w:val="0"/>
        <w:spacing w:before="240" w:beforeLines="100" w:after="120" w:afterLines="50" w:line="360" w:lineRule="auto"/>
        <w:ind w:firstLine="482" w:firstLineChars="200"/>
        <w:rPr>
          <w:rFonts w:hint="eastAsia" w:ascii="宋体" w:hAnsi="宋体" w:eastAsia="仿宋"/>
          <w:b/>
          <w:bCs/>
          <w:color w:val="auto"/>
          <w:sz w:val="24"/>
          <w:highlight w:val="none"/>
        </w:rPr>
      </w:pPr>
      <w:r>
        <w:rPr>
          <w:rFonts w:hint="eastAsia" w:ascii="宋体" w:hAnsi="宋体" w:eastAsia="仿宋"/>
          <w:b/>
          <w:bCs/>
          <w:color w:val="auto"/>
          <w:sz w:val="24"/>
          <w:highlight w:val="none"/>
        </w:rPr>
        <w:t>本《投标人须知前附表》是对本章《投标人须知》的具体补充和修改，如有不一致，以本《投标人须知前附表》为准。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7"/>
        <w:gridCol w:w="1581"/>
        <w:gridCol w:w="7229"/>
      </w:tblGrid>
      <w:tr w14:paraId="49D0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857" w:type="dxa"/>
            <w:noWrap w:val="0"/>
            <w:vAlign w:val="center"/>
          </w:tcPr>
          <w:p w14:paraId="5BE76BF3">
            <w:pPr>
              <w:widowControl/>
              <w:adjustRightInd w:val="0"/>
              <w:snapToGrid w:val="0"/>
              <w:spacing w:line="288" w:lineRule="auto"/>
              <w:jc w:val="center"/>
              <w:rPr>
                <w:rFonts w:ascii="宋体" w:hAnsi="宋体" w:cs="Calibri"/>
                <w:b/>
                <w:color w:val="auto"/>
                <w:sz w:val="24"/>
                <w:highlight w:val="none"/>
              </w:rPr>
            </w:pPr>
            <w:r>
              <w:rPr>
                <w:rFonts w:hint="eastAsia" w:ascii="宋体" w:hAnsi="宋体" w:eastAsia="仿宋" w:cs="Calibri"/>
                <w:b/>
                <w:color w:val="auto"/>
                <w:sz w:val="24"/>
                <w:highlight w:val="none"/>
              </w:rPr>
              <w:t>条款号</w:t>
            </w:r>
          </w:p>
        </w:tc>
        <w:tc>
          <w:tcPr>
            <w:tcW w:w="1581" w:type="dxa"/>
            <w:noWrap w:val="0"/>
            <w:vAlign w:val="center"/>
          </w:tcPr>
          <w:p w14:paraId="34486EEC">
            <w:pPr>
              <w:widowControl/>
              <w:adjustRightInd w:val="0"/>
              <w:snapToGrid w:val="0"/>
              <w:spacing w:line="288" w:lineRule="auto"/>
              <w:jc w:val="center"/>
              <w:rPr>
                <w:rFonts w:ascii="宋体" w:hAnsi="宋体" w:cs="Calibri"/>
                <w:b/>
                <w:color w:val="auto"/>
                <w:sz w:val="24"/>
                <w:highlight w:val="none"/>
              </w:rPr>
            </w:pPr>
            <w:r>
              <w:rPr>
                <w:rFonts w:hint="eastAsia" w:ascii="宋体" w:hAnsi="宋体" w:eastAsia="仿宋" w:cs="Calibri"/>
                <w:b/>
                <w:color w:val="auto"/>
                <w:sz w:val="24"/>
                <w:highlight w:val="none"/>
              </w:rPr>
              <w:t>条款名称</w:t>
            </w:r>
          </w:p>
        </w:tc>
        <w:tc>
          <w:tcPr>
            <w:tcW w:w="7229" w:type="dxa"/>
            <w:noWrap w:val="0"/>
            <w:vAlign w:val="center"/>
          </w:tcPr>
          <w:p w14:paraId="6EE5FA22">
            <w:pPr>
              <w:widowControl/>
              <w:adjustRightInd w:val="0"/>
              <w:snapToGrid w:val="0"/>
              <w:spacing w:line="288" w:lineRule="auto"/>
              <w:jc w:val="center"/>
              <w:rPr>
                <w:rFonts w:ascii="宋体" w:hAnsi="宋体" w:cs="Calibri"/>
                <w:b/>
                <w:color w:val="auto"/>
                <w:sz w:val="24"/>
                <w:highlight w:val="none"/>
              </w:rPr>
            </w:pPr>
            <w:r>
              <w:rPr>
                <w:rFonts w:hint="eastAsia" w:ascii="宋体" w:hAnsi="宋体" w:eastAsia="仿宋" w:cs="Calibri"/>
                <w:b/>
                <w:color w:val="auto"/>
                <w:sz w:val="24"/>
                <w:highlight w:val="none"/>
              </w:rPr>
              <w:t>编</w:t>
            </w:r>
            <w:r>
              <w:rPr>
                <w:rFonts w:ascii="宋体" w:hAnsi="宋体" w:eastAsia="仿宋" w:cs="Calibri"/>
                <w:b/>
                <w:color w:val="auto"/>
                <w:sz w:val="24"/>
                <w:highlight w:val="none"/>
              </w:rPr>
              <w:t xml:space="preserve">  </w:t>
            </w:r>
            <w:r>
              <w:rPr>
                <w:rFonts w:hint="eastAsia" w:ascii="宋体" w:hAnsi="宋体" w:eastAsia="仿宋" w:cs="Calibri"/>
                <w:b/>
                <w:color w:val="auto"/>
                <w:sz w:val="24"/>
                <w:highlight w:val="none"/>
              </w:rPr>
              <w:t>列</w:t>
            </w:r>
            <w:r>
              <w:rPr>
                <w:rFonts w:ascii="宋体" w:hAnsi="宋体" w:eastAsia="仿宋" w:cs="Calibri"/>
                <w:b/>
                <w:color w:val="auto"/>
                <w:sz w:val="24"/>
                <w:highlight w:val="none"/>
              </w:rPr>
              <w:t xml:space="preserve">  </w:t>
            </w:r>
            <w:r>
              <w:rPr>
                <w:rFonts w:hint="eastAsia" w:ascii="宋体" w:hAnsi="宋体" w:eastAsia="仿宋" w:cs="Calibri"/>
                <w:b/>
                <w:color w:val="auto"/>
                <w:sz w:val="24"/>
                <w:highlight w:val="none"/>
              </w:rPr>
              <w:t>内</w:t>
            </w:r>
            <w:r>
              <w:rPr>
                <w:rFonts w:ascii="宋体" w:hAnsi="宋体" w:eastAsia="仿宋" w:cs="Calibri"/>
                <w:b/>
                <w:color w:val="auto"/>
                <w:sz w:val="24"/>
                <w:highlight w:val="none"/>
              </w:rPr>
              <w:t xml:space="preserve">  </w:t>
            </w:r>
            <w:r>
              <w:rPr>
                <w:rFonts w:hint="eastAsia" w:ascii="宋体" w:hAnsi="宋体" w:eastAsia="仿宋" w:cs="Calibri"/>
                <w:b/>
                <w:color w:val="auto"/>
                <w:sz w:val="24"/>
                <w:highlight w:val="none"/>
              </w:rPr>
              <w:t>容</w:t>
            </w:r>
          </w:p>
        </w:tc>
      </w:tr>
      <w:tr w14:paraId="6C60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9C4638F">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1.1.2</w:t>
            </w:r>
          </w:p>
        </w:tc>
        <w:tc>
          <w:tcPr>
            <w:tcW w:w="1581" w:type="dxa"/>
            <w:noWrap w:val="0"/>
            <w:vAlign w:val="center"/>
          </w:tcPr>
          <w:p w14:paraId="1C370A0C">
            <w:pPr>
              <w:adjustRightInd w:val="0"/>
              <w:snapToGrid w:val="0"/>
              <w:spacing w:line="288" w:lineRule="auto"/>
              <w:jc w:val="center"/>
              <w:rPr>
                <w:rFonts w:hint="eastAsia" w:ascii="宋体" w:hAnsi="宋体"/>
                <w:color w:val="auto"/>
                <w:sz w:val="24"/>
                <w:highlight w:val="none"/>
              </w:rPr>
            </w:pPr>
            <w:r>
              <w:rPr>
                <w:rFonts w:hint="eastAsia" w:ascii="宋体" w:hAnsi="宋体" w:eastAsia="仿宋"/>
                <w:color w:val="auto"/>
                <w:sz w:val="24"/>
                <w:highlight w:val="none"/>
              </w:rPr>
              <w:t>采购人</w:t>
            </w:r>
          </w:p>
        </w:tc>
        <w:tc>
          <w:tcPr>
            <w:tcW w:w="7229" w:type="dxa"/>
            <w:noWrap w:val="0"/>
            <w:vAlign w:val="center"/>
          </w:tcPr>
          <w:p w14:paraId="2349F4E1">
            <w:pPr>
              <w:adjustRightInd w:val="0"/>
              <w:snapToGrid w:val="0"/>
              <w:spacing w:line="288" w:lineRule="auto"/>
              <w:rPr>
                <w:rFonts w:ascii="宋体" w:hAnsi="宋体"/>
                <w:color w:val="auto"/>
                <w:sz w:val="24"/>
                <w:highlight w:val="none"/>
              </w:rPr>
            </w:pPr>
            <w:r>
              <w:rPr>
                <w:rFonts w:hint="eastAsia" w:ascii="宋体" w:hAnsi="宋体" w:eastAsia="仿宋"/>
                <w:color w:val="auto"/>
                <w:sz w:val="24"/>
                <w:highlight w:val="none"/>
              </w:rPr>
              <w:t>见招标公告</w:t>
            </w:r>
          </w:p>
        </w:tc>
      </w:tr>
      <w:tr w14:paraId="21F9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42CD31E">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1.1.3</w:t>
            </w:r>
          </w:p>
        </w:tc>
        <w:tc>
          <w:tcPr>
            <w:tcW w:w="1581" w:type="dxa"/>
            <w:noWrap w:val="0"/>
            <w:vAlign w:val="center"/>
          </w:tcPr>
          <w:p w14:paraId="5169A966">
            <w:pPr>
              <w:adjustRightInd w:val="0"/>
              <w:snapToGrid w:val="0"/>
              <w:spacing w:line="288" w:lineRule="auto"/>
              <w:jc w:val="center"/>
              <w:rPr>
                <w:rFonts w:ascii="宋体" w:hAnsi="宋体"/>
                <w:color w:val="auto"/>
                <w:sz w:val="24"/>
                <w:highlight w:val="none"/>
              </w:rPr>
            </w:pPr>
            <w:r>
              <w:rPr>
                <w:rFonts w:hint="eastAsia" w:ascii="宋体" w:hAnsi="宋体" w:eastAsia="仿宋"/>
                <w:color w:val="auto"/>
                <w:sz w:val="24"/>
                <w:highlight w:val="none"/>
              </w:rPr>
              <w:t>采购代理机构</w:t>
            </w:r>
          </w:p>
        </w:tc>
        <w:tc>
          <w:tcPr>
            <w:tcW w:w="7229" w:type="dxa"/>
            <w:noWrap w:val="0"/>
            <w:vAlign w:val="center"/>
          </w:tcPr>
          <w:p w14:paraId="0DB64BCF">
            <w:pPr>
              <w:adjustRightInd w:val="0"/>
              <w:snapToGrid w:val="0"/>
              <w:spacing w:line="288" w:lineRule="auto"/>
              <w:rPr>
                <w:rFonts w:hint="eastAsia" w:ascii="宋体" w:hAnsi="宋体"/>
                <w:color w:val="auto"/>
                <w:sz w:val="24"/>
                <w:highlight w:val="none"/>
              </w:rPr>
            </w:pPr>
            <w:r>
              <w:rPr>
                <w:rFonts w:hint="eastAsia" w:ascii="宋体" w:hAnsi="宋体" w:eastAsia="仿宋"/>
                <w:color w:val="auto"/>
                <w:sz w:val="24"/>
                <w:highlight w:val="none"/>
              </w:rPr>
              <w:t>见招标公告</w:t>
            </w:r>
          </w:p>
        </w:tc>
      </w:tr>
      <w:tr w14:paraId="21A3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23F3AC7">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1.1.4</w:t>
            </w:r>
          </w:p>
        </w:tc>
        <w:tc>
          <w:tcPr>
            <w:tcW w:w="1581" w:type="dxa"/>
            <w:noWrap w:val="0"/>
            <w:vAlign w:val="center"/>
          </w:tcPr>
          <w:p w14:paraId="7D1C7D26">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采购项目名称</w:t>
            </w:r>
          </w:p>
        </w:tc>
        <w:tc>
          <w:tcPr>
            <w:tcW w:w="7229" w:type="dxa"/>
            <w:noWrap w:val="0"/>
            <w:vAlign w:val="center"/>
          </w:tcPr>
          <w:p w14:paraId="1133CCDC">
            <w:pPr>
              <w:widowControl/>
              <w:adjustRightInd w:val="0"/>
              <w:snapToGrid w:val="0"/>
              <w:spacing w:line="288" w:lineRule="auto"/>
              <w:rPr>
                <w:rFonts w:ascii="宋体" w:hAnsi="宋体" w:cs="Calibri"/>
                <w:color w:val="auto"/>
                <w:sz w:val="24"/>
                <w:highlight w:val="none"/>
              </w:rPr>
            </w:pPr>
            <w:r>
              <w:rPr>
                <w:rFonts w:hint="eastAsia" w:ascii="宋体" w:hAnsi="宋体" w:eastAsia="仿宋"/>
                <w:color w:val="auto"/>
                <w:sz w:val="24"/>
                <w:highlight w:val="none"/>
              </w:rPr>
              <w:t>见招标公告</w:t>
            </w:r>
          </w:p>
        </w:tc>
      </w:tr>
      <w:tr w14:paraId="0255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763E0BB">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1.1.5</w:t>
            </w:r>
          </w:p>
        </w:tc>
        <w:tc>
          <w:tcPr>
            <w:tcW w:w="1581" w:type="dxa"/>
            <w:noWrap w:val="0"/>
            <w:vAlign w:val="center"/>
          </w:tcPr>
          <w:p w14:paraId="2D2BBA8C">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采购包划分</w:t>
            </w:r>
          </w:p>
        </w:tc>
        <w:tc>
          <w:tcPr>
            <w:tcW w:w="7229" w:type="dxa"/>
            <w:noWrap w:val="0"/>
            <w:vAlign w:val="center"/>
          </w:tcPr>
          <w:p w14:paraId="6DD8FDB9">
            <w:pPr>
              <w:widowControl/>
              <w:adjustRightInd w:val="0"/>
              <w:snapToGrid w:val="0"/>
              <w:spacing w:line="288" w:lineRule="auto"/>
              <w:rPr>
                <w:rFonts w:ascii="宋体" w:hAnsi="宋体" w:eastAsia="楷体" w:cs="Calibri"/>
                <w:color w:val="auto"/>
                <w:sz w:val="24"/>
                <w:highlight w:val="none"/>
              </w:rPr>
            </w:pPr>
            <w:r>
              <w:rPr>
                <w:rFonts w:hint="eastAsia" w:ascii="仿宋" w:hAnsi="仿宋" w:eastAsia="仿宋" w:cs="仿宋"/>
                <w:iCs/>
                <w:color w:val="auto"/>
                <w:sz w:val="24"/>
                <w:highlight w:val="none"/>
              </w:rPr>
              <w:t>1个标包</w:t>
            </w:r>
          </w:p>
        </w:tc>
      </w:tr>
      <w:tr w14:paraId="2914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00E1878">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1.1.6</w:t>
            </w:r>
          </w:p>
        </w:tc>
        <w:tc>
          <w:tcPr>
            <w:tcW w:w="1581" w:type="dxa"/>
            <w:noWrap w:val="0"/>
            <w:vAlign w:val="center"/>
          </w:tcPr>
          <w:p w14:paraId="1E0C5149">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采购预算</w:t>
            </w:r>
          </w:p>
        </w:tc>
        <w:tc>
          <w:tcPr>
            <w:tcW w:w="7229" w:type="dxa"/>
            <w:noWrap w:val="0"/>
            <w:vAlign w:val="center"/>
          </w:tcPr>
          <w:p w14:paraId="1682613F">
            <w:pPr>
              <w:widowControl/>
              <w:adjustRightInd w:val="0"/>
              <w:snapToGrid w:val="0"/>
              <w:spacing w:line="288" w:lineRule="auto"/>
              <w:rPr>
                <w:rFonts w:ascii="宋体" w:hAnsi="宋体" w:cs="Calibri"/>
                <w:color w:val="auto"/>
                <w:sz w:val="24"/>
                <w:highlight w:val="none"/>
              </w:rPr>
            </w:pPr>
            <w:r>
              <w:rPr>
                <w:rFonts w:hint="eastAsia" w:ascii="宋体" w:hAnsi="宋体" w:eastAsia="仿宋"/>
                <w:color w:val="auto"/>
                <w:sz w:val="24"/>
                <w:highlight w:val="none"/>
              </w:rPr>
              <w:t>见招标公告</w:t>
            </w:r>
          </w:p>
        </w:tc>
      </w:tr>
      <w:tr w14:paraId="3F32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4D5AE51">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1.1.7</w:t>
            </w:r>
          </w:p>
        </w:tc>
        <w:tc>
          <w:tcPr>
            <w:tcW w:w="1581" w:type="dxa"/>
            <w:noWrap w:val="0"/>
            <w:vAlign w:val="center"/>
          </w:tcPr>
          <w:p w14:paraId="40CDDBBA">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专门面向中小企业采购</w:t>
            </w:r>
          </w:p>
        </w:tc>
        <w:tc>
          <w:tcPr>
            <w:tcW w:w="7229" w:type="dxa"/>
            <w:noWrap w:val="0"/>
            <w:vAlign w:val="center"/>
          </w:tcPr>
          <w:p w14:paraId="6F895107">
            <w:pPr>
              <w:widowControl/>
              <w:adjustRightInd w:val="0"/>
              <w:snapToGrid w:val="0"/>
              <w:spacing w:line="288" w:lineRule="auto"/>
              <w:rPr>
                <w:rFonts w:ascii="宋体" w:hAnsi="宋体" w:cs="Calibri"/>
                <w:color w:val="auto"/>
                <w:sz w:val="24"/>
                <w:highlight w:val="none"/>
              </w:rPr>
            </w:pPr>
            <w:r>
              <w:rPr>
                <w:rFonts w:hint="eastAsia" w:ascii="宋体" w:hAnsi="宋体" w:eastAsia="仿宋"/>
                <w:color w:val="auto"/>
                <w:sz w:val="24"/>
                <w:highlight w:val="none"/>
              </w:rPr>
              <w:t>见招标公告</w:t>
            </w:r>
          </w:p>
        </w:tc>
      </w:tr>
      <w:tr w14:paraId="79AB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2CAC930">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宋体"/>
                <w:color w:val="auto"/>
                <w:sz w:val="24"/>
                <w:highlight w:val="none"/>
                <w:lang w:bidi="ar"/>
              </w:rPr>
              <w:t>1.2.1</w:t>
            </w:r>
          </w:p>
        </w:tc>
        <w:tc>
          <w:tcPr>
            <w:tcW w:w="1581" w:type="dxa"/>
            <w:noWrap w:val="0"/>
            <w:vAlign w:val="center"/>
          </w:tcPr>
          <w:p w14:paraId="0925EB6B">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仿宋"/>
                <w:color w:val="auto"/>
                <w:sz w:val="24"/>
                <w:highlight w:val="none"/>
                <w:lang w:bidi="ar"/>
              </w:rPr>
              <w:t>资金来源及比例</w:t>
            </w:r>
          </w:p>
        </w:tc>
        <w:tc>
          <w:tcPr>
            <w:tcW w:w="7229" w:type="dxa"/>
            <w:noWrap w:val="0"/>
            <w:vAlign w:val="center"/>
          </w:tcPr>
          <w:p w14:paraId="4FA488BA">
            <w:pPr>
              <w:widowControl/>
              <w:adjustRightInd w:val="0"/>
              <w:snapToGrid w:val="0"/>
              <w:spacing w:line="288" w:lineRule="auto"/>
              <w:rPr>
                <w:rFonts w:ascii="宋体" w:hAnsi="宋体" w:eastAsia="仿宋"/>
                <w:color w:val="auto"/>
                <w:sz w:val="24"/>
                <w:highlight w:val="none"/>
              </w:rPr>
            </w:pPr>
            <w:r>
              <w:rPr>
                <w:rFonts w:hint="eastAsia" w:ascii="宋体" w:hAnsi="宋体" w:eastAsia="仿宋" w:cs="Calibri"/>
                <w:color w:val="auto"/>
                <w:sz w:val="24"/>
                <w:highlight w:val="none"/>
              </w:rPr>
              <w:t>财政资金100%</w:t>
            </w:r>
          </w:p>
        </w:tc>
      </w:tr>
      <w:tr w14:paraId="6028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A4AEF26">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1.3.1</w:t>
            </w:r>
          </w:p>
        </w:tc>
        <w:tc>
          <w:tcPr>
            <w:tcW w:w="1581" w:type="dxa"/>
            <w:noWrap w:val="0"/>
            <w:vAlign w:val="center"/>
          </w:tcPr>
          <w:p w14:paraId="0FBD8BBB">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资格要求</w:t>
            </w:r>
          </w:p>
        </w:tc>
        <w:tc>
          <w:tcPr>
            <w:tcW w:w="7229" w:type="dxa"/>
            <w:noWrap w:val="0"/>
            <w:vAlign w:val="center"/>
          </w:tcPr>
          <w:p w14:paraId="5115E2A9">
            <w:pPr>
              <w:widowControl/>
              <w:adjustRightInd w:val="0"/>
              <w:snapToGrid w:val="0"/>
              <w:spacing w:line="288" w:lineRule="auto"/>
              <w:rPr>
                <w:rFonts w:ascii="宋体" w:hAnsi="宋体" w:eastAsia="楷体_GB2312" w:cs="Calibri"/>
                <w:color w:val="auto"/>
                <w:sz w:val="24"/>
                <w:highlight w:val="none"/>
              </w:rPr>
            </w:pPr>
            <w:r>
              <w:rPr>
                <w:rFonts w:hint="eastAsia" w:ascii="宋体" w:hAnsi="宋体" w:eastAsia="仿宋" w:cs="Calibri"/>
                <w:color w:val="auto"/>
                <w:sz w:val="24"/>
                <w:highlight w:val="none"/>
              </w:rPr>
              <w:t>见招标公告</w:t>
            </w:r>
          </w:p>
        </w:tc>
      </w:tr>
      <w:tr w14:paraId="17F0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22E4BB6">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1.3.2</w:t>
            </w:r>
          </w:p>
        </w:tc>
        <w:tc>
          <w:tcPr>
            <w:tcW w:w="1581" w:type="dxa"/>
            <w:noWrap w:val="0"/>
            <w:vAlign w:val="center"/>
          </w:tcPr>
          <w:p w14:paraId="5806E249">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联合体投标的其他要求</w:t>
            </w:r>
          </w:p>
        </w:tc>
        <w:tc>
          <w:tcPr>
            <w:tcW w:w="7229" w:type="dxa"/>
            <w:noWrap w:val="0"/>
            <w:vAlign w:val="center"/>
          </w:tcPr>
          <w:p w14:paraId="06B03192">
            <w:pPr>
              <w:widowControl/>
              <w:adjustRightInd w:val="0"/>
              <w:snapToGrid w:val="0"/>
              <w:spacing w:line="288" w:lineRule="auto"/>
              <w:rPr>
                <w:rFonts w:ascii="宋体" w:hAnsi="宋体" w:cs="Calibri"/>
                <w:color w:val="auto"/>
                <w:sz w:val="24"/>
                <w:highlight w:val="none"/>
                <w:u w:val="single"/>
              </w:rPr>
            </w:pPr>
            <w:r>
              <w:rPr>
                <w:rFonts w:hint="eastAsia" w:ascii="仿宋" w:hAnsi="仿宋" w:eastAsia="仿宋" w:cs="仿宋"/>
                <w:iCs/>
                <w:color w:val="auto"/>
                <w:sz w:val="24"/>
                <w:highlight w:val="none"/>
              </w:rPr>
              <w:t>/</w:t>
            </w:r>
          </w:p>
        </w:tc>
      </w:tr>
      <w:tr w14:paraId="3B3C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FE1E835">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1.3.3</w:t>
            </w:r>
          </w:p>
        </w:tc>
        <w:tc>
          <w:tcPr>
            <w:tcW w:w="1581" w:type="dxa"/>
            <w:noWrap w:val="0"/>
            <w:vAlign w:val="center"/>
          </w:tcPr>
          <w:p w14:paraId="17018448">
            <w:pPr>
              <w:widowControl/>
              <w:adjustRightInd w:val="0"/>
              <w:snapToGrid w:val="0"/>
              <w:spacing w:line="288" w:lineRule="auto"/>
              <w:rPr>
                <w:rFonts w:hint="eastAsia" w:ascii="宋体" w:hAnsi="宋体" w:cs="宋体"/>
                <w:iCs/>
                <w:color w:val="auto"/>
                <w:sz w:val="24"/>
                <w:highlight w:val="none"/>
              </w:rPr>
            </w:pPr>
            <w:r>
              <w:rPr>
                <w:rFonts w:hint="eastAsia" w:ascii="宋体" w:hAnsi="宋体" w:eastAsia="仿宋" w:cs="Calibri"/>
                <w:color w:val="auto"/>
                <w:sz w:val="24"/>
                <w:highlight w:val="none"/>
              </w:rPr>
              <w:t>投标人不得存在的其他情形</w:t>
            </w:r>
          </w:p>
        </w:tc>
        <w:tc>
          <w:tcPr>
            <w:tcW w:w="7229" w:type="dxa"/>
            <w:noWrap w:val="0"/>
            <w:vAlign w:val="center"/>
          </w:tcPr>
          <w:p w14:paraId="1F402038">
            <w:pPr>
              <w:widowControl/>
              <w:adjustRightInd w:val="0"/>
              <w:snapToGrid w:val="0"/>
              <w:spacing w:line="288" w:lineRule="auto"/>
              <w:rPr>
                <w:rFonts w:hint="eastAsia" w:ascii="宋体" w:hAnsi="宋体" w:cs="宋体"/>
                <w:iCs/>
                <w:color w:val="auto"/>
                <w:sz w:val="24"/>
                <w:highlight w:val="none"/>
              </w:rPr>
            </w:pPr>
            <w:r>
              <w:rPr>
                <w:rFonts w:hint="eastAsia" w:ascii="仿宋" w:hAnsi="仿宋" w:eastAsia="仿宋" w:cs="仿宋"/>
                <w:iCs/>
                <w:color w:val="auto"/>
                <w:sz w:val="24"/>
                <w:highlight w:val="none"/>
              </w:rPr>
              <w:t>/</w:t>
            </w:r>
          </w:p>
        </w:tc>
      </w:tr>
      <w:tr w14:paraId="0604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DB8CB78">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1.8.1</w:t>
            </w:r>
          </w:p>
        </w:tc>
        <w:tc>
          <w:tcPr>
            <w:tcW w:w="1581" w:type="dxa"/>
            <w:noWrap w:val="0"/>
            <w:vAlign w:val="center"/>
          </w:tcPr>
          <w:p w14:paraId="049E865B">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是否组织现场考察</w:t>
            </w:r>
          </w:p>
        </w:tc>
        <w:tc>
          <w:tcPr>
            <w:tcW w:w="7229" w:type="dxa"/>
            <w:noWrap w:val="0"/>
            <w:vAlign w:val="center"/>
          </w:tcPr>
          <w:p w14:paraId="5055998C">
            <w:pPr>
              <w:widowControl/>
              <w:topLinePunct/>
              <w:adjustRightInd w:val="0"/>
              <w:snapToGrid w:val="0"/>
              <w:spacing w:line="288" w:lineRule="auto"/>
              <w:ind w:left="187" w:hanging="187" w:hangingChars="78"/>
              <w:rPr>
                <w:rFonts w:ascii="宋体" w:hAnsi="宋体" w:eastAsia="仿宋" w:cs="Calibri"/>
                <w:color w:val="auto"/>
                <w:sz w:val="24"/>
                <w:highlight w:val="none"/>
              </w:rPr>
            </w:pPr>
            <w:r>
              <w:rPr>
                <w:rFonts w:hint="eastAsia" w:ascii="宋体" w:hAnsi="宋体" w:eastAsia="仿宋"/>
                <w:bCs/>
                <w:color w:val="auto"/>
                <w:sz w:val="24"/>
                <w:highlight w:val="none"/>
              </w:rPr>
              <w:sym w:font="Wingdings" w:char="F0FE"/>
            </w:r>
            <w:r>
              <w:rPr>
                <w:rFonts w:hint="eastAsia" w:ascii="宋体" w:hAnsi="宋体" w:eastAsia="仿宋" w:cs="Calibri"/>
                <w:color w:val="auto"/>
                <w:sz w:val="24"/>
                <w:highlight w:val="none"/>
              </w:rPr>
              <w:t>不组织，</w:t>
            </w:r>
            <w:r>
              <w:rPr>
                <w:rFonts w:hint="eastAsia" w:ascii="宋体" w:hAnsi="宋体" w:eastAsia="仿宋"/>
                <w:color w:val="auto"/>
                <w:sz w:val="24"/>
                <w:highlight w:val="none"/>
              </w:rPr>
              <w:t>由投标人自行考察现场。</w:t>
            </w:r>
          </w:p>
          <w:p w14:paraId="3C57AB43">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□组织，时间：</w:t>
            </w:r>
          </w:p>
          <w:p w14:paraId="6B2130F4">
            <w:pPr>
              <w:widowControl/>
              <w:topLinePunct/>
              <w:adjustRightInd w:val="0"/>
              <w:snapToGrid w:val="0"/>
              <w:spacing w:line="288" w:lineRule="auto"/>
              <w:ind w:firstLine="840" w:firstLineChars="350"/>
              <w:rPr>
                <w:rFonts w:hint="eastAsia" w:ascii="宋体" w:hAnsi="宋体" w:eastAsia="仿宋" w:cs="Calibri"/>
                <w:color w:val="auto"/>
                <w:sz w:val="24"/>
                <w:highlight w:val="none"/>
                <w:u w:val="single"/>
              </w:rPr>
            </w:pPr>
            <w:r>
              <w:rPr>
                <w:rFonts w:hint="eastAsia" w:ascii="宋体" w:hAnsi="宋体" w:eastAsia="仿宋" w:cs="Calibri"/>
                <w:color w:val="auto"/>
                <w:sz w:val="24"/>
                <w:highlight w:val="none"/>
              </w:rPr>
              <w:t xml:space="preserve"> 集中地点：</w:t>
            </w:r>
            <w:r>
              <w:rPr>
                <w:rFonts w:hint="eastAsia" w:ascii="仿宋" w:hAnsi="仿宋" w:eastAsia="仿宋" w:cs="仿宋"/>
                <w:iCs/>
                <w:color w:val="auto"/>
                <w:sz w:val="24"/>
                <w:highlight w:val="none"/>
              </w:rPr>
              <w:t>/</w:t>
            </w:r>
          </w:p>
          <w:p w14:paraId="385B5114">
            <w:pPr>
              <w:widowControl/>
              <w:topLinePunct/>
              <w:adjustRightInd w:val="0"/>
              <w:snapToGrid w:val="0"/>
              <w:spacing w:line="288" w:lineRule="auto"/>
              <w:ind w:firstLine="840" w:firstLineChars="350"/>
              <w:rPr>
                <w:rFonts w:ascii="宋体" w:hAnsi="宋体" w:cs="Calibri"/>
                <w:color w:val="auto"/>
                <w:sz w:val="24"/>
                <w:highlight w:val="none"/>
              </w:rPr>
            </w:pPr>
            <w:r>
              <w:rPr>
                <w:rFonts w:hint="eastAsia" w:ascii="宋体" w:hAnsi="宋体" w:eastAsia="仿宋" w:cs="Calibri"/>
                <w:color w:val="auto"/>
                <w:sz w:val="24"/>
                <w:highlight w:val="none"/>
              </w:rPr>
              <w:t xml:space="preserve"> 联系方式：</w:t>
            </w:r>
            <w:r>
              <w:rPr>
                <w:rFonts w:hint="eastAsia" w:ascii="仿宋" w:hAnsi="仿宋" w:eastAsia="仿宋" w:cs="仿宋"/>
                <w:iCs/>
                <w:color w:val="auto"/>
                <w:sz w:val="24"/>
                <w:highlight w:val="none"/>
              </w:rPr>
              <w:t>/</w:t>
            </w:r>
          </w:p>
        </w:tc>
      </w:tr>
      <w:tr w14:paraId="369F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EDAA791">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1.9</w:t>
            </w:r>
          </w:p>
        </w:tc>
        <w:tc>
          <w:tcPr>
            <w:tcW w:w="1581" w:type="dxa"/>
            <w:noWrap w:val="0"/>
            <w:vAlign w:val="center"/>
          </w:tcPr>
          <w:p w14:paraId="4F02C3F2">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开标前答疑会</w:t>
            </w:r>
          </w:p>
        </w:tc>
        <w:tc>
          <w:tcPr>
            <w:tcW w:w="7229" w:type="dxa"/>
            <w:noWrap w:val="0"/>
            <w:vAlign w:val="center"/>
          </w:tcPr>
          <w:p w14:paraId="50747311">
            <w:pPr>
              <w:widowControl/>
              <w:topLinePunct/>
              <w:adjustRightInd w:val="0"/>
              <w:snapToGrid w:val="0"/>
              <w:spacing w:line="288" w:lineRule="auto"/>
              <w:ind w:left="187" w:hanging="187" w:hangingChars="78"/>
              <w:rPr>
                <w:rFonts w:ascii="宋体" w:hAnsi="宋体" w:eastAsia="仿宋" w:cs="Calibri"/>
                <w:color w:val="auto"/>
                <w:sz w:val="24"/>
                <w:highlight w:val="none"/>
              </w:rPr>
            </w:pPr>
            <w:r>
              <w:rPr>
                <w:rFonts w:hint="eastAsia" w:ascii="宋体" w:hAnsi="宋体" w:eastAsia="仿宋"/>
                <w:bCs/>
                <w:color w:val="auto"/>
                <w:sz w:val="24"/>
                <w:highlight w:val="none"/>
              </w:rPr>
              <w:sym w:font="Wingdings" w:char="F0FE"/>
            </w:r>
            <w:r>
              <w:rPr>
                <w:rFonts w:hint="eastAsia" w:ascii="宋体" w:hAnsi="宋体" w:eastAsia="仿宋" w:cs="Calibri"/>
                <w:color w:val="auto"/>
                <w:sz w:val="24"/>
                <w:highlight w:val="none"/>
              </w:rPr>
              <w:t>不召开</w:t>
            </w:r>
          </w:p>
          <w:p w14:paraId="4FE98802">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□召开，召开时间：</w:t>
            </w:r>
            <w:r>
              <w:rPr>
                <w:rFonts w:hint="eastAsia" w:ascii="仿宋" w:hAnsi="仿宋" w:eastAsia="仿宋" w:cs="仿宋"/>
                <w:iCs/>
                <w:color w:val="auto"/>
                <w:sz w:val="24"/>
                <w:highlight w:val="none"/>
              </w:rPr>
              <w:t>/</w:t>
            </w:r>
          </w:p>
          <w:p w14:paraId="2809CF53">
            <w:pPr>
              <w:widowControl/>
              <w:adjustRightInd w:val="0"/>
              <w:snapToGrid w:val="0"/>
              <w:spacing w:line="288" w:lineRule="auto"/>
              <w:ind w:firstLine="960" w:firstLineChars="400"/>
              <w:rPr>
                <w:rFonts w:hint="eastAsia" w:ascii="宋体" w:hAnsi="宋体" w:eastAsia="仿宋" w:cs="Calibri"/>
                <w:color w:val="auto"/>
                <w:sz w:val="24"/>
                <w:highlight w:val="none"/>
                <w:u w:val="single"/>
              </w:rPr>
            </w:pPr>
            <w:r>
              <w:rPr>
                <w:rFonts w:hint="eastAsia" w:ascii="宋体" w:hAnsi="宋体" w:eastAsia="仿宋" w:cs="Calibri"/>
                <w:color w:val="auto"/>
                <w:sz w:val="24"/>
                <w:highlight w:val="none"/>
              </w:rPr>
              <w:t>召开地点：</w:t>
            </w:r>
            <w:r>
              <w:rPr>
                <w:rFonts w:hint="eastAsia" w:ascii="仿宋" w:hAnsi="仿宋" w:eastAsia="仿宋" w:cs="仿宋"/>
                <w:iCs/>
                <w:color w:val="auto"/>
                <w:sz w:val="24"/>
                <w:highlight w:val="none"/>
              </w:rPr>
              <w:t>/</w:t>
            </w:r>
          </w:p>
          <w:p w14:paraId="732EF8D7">
            <w:pPr>
              <w:widowControl/>
              <w:adjustRightInd w:val="0"/>
              <w:snapToGrid w:val="0"/>
              <w:spacing w:line="288" w:lineRule="auto"/>
              <w:ind w:firstLine="960" w:firstLineChars="400"/>
              <w:rPr>
                <w:rFonts w:ascii="宋体" w:hAnsi="宋体" w:cs="Calibri"/>
                <w:color w:val="auto"/>
                <w:sz w:val="24"/>
                <w:highlight w:val="none"/>
              </w:rPr>
            </w:pPr>
            <w:r>
              <w:rPr>
                <w:rFonts w:hint="eastAsia" w:ascii="宋体" w:hAnsi="宋体" w:eastAsia="仿宋" w:cs="Calibri"/>
                <w:color w:val="auto"/>
                <w:sz w:val="24"/>
                <w:highlight w:val="none"/>
              </w:rPr>
              <w:t>联系方式：</w:t>
            </w:r>
            <w:r>
              <w:rPr>
                <w:rFonts w:hint="eastAsia" w:ascii="仿宋" w:hAnsi="仿宋" w:eastAsia="仿宋" w:cs="仿宋"/>
                <w:iCs/>
                <w:color w:val="auto"/>
                <w:sz w:val="24"/>
                <w:highlight w:val="none"/>
              </w:rPr>
              <w:t>/</w:t>
            </w:r>
          </w:p>
        </w:tc>
      </w:tr>
      <w:tr w14:paraId="1026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267BCD1">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1.10.1</w:t>
            </w:r>
          </w:p>
        </w:tc>
        <w:tc>
          <w:tcPr>
            <w:tcW w:w="1581" w:type="dxa"/>
            <w:noWrap w:val="0"/>
            <w:vAlign w:val="center"/>
          </w:tcPr>
          <w:p w14:paraId="2A481209">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分包</w:t>
            </w:r>
          </w:p>
        </w:tc>
        <w:tc>
          <w:tcPr>
            <w:tcW w:w="7229" w:type="dxa"/>
            <w:noWrap w:val="0"/>
            <w:vAlign w:val="center"/>
          </w:tcPr>
          <w:p w14:paraId="5FF623B9">
            <w:pPr>
              <w:widowControl/>
              <w:topLinePunct/>
              <w:adjustRightInd w:val="0"/>
              <w:snapToGrid w:val="0"/>
              <w:spacing w:line="288" w:lineRule="auto"/>
              <w:ind w:left="187" w:hanging="187" w:hangingChars="78"/>
              <w:rPr>
                <w:rFonts w:ascii="宋体" w:hAnsi="宋体" w:eastAsia="仿宋" w:cs="Calibri"/>
                <w:color w:val="auto"/>
                <w:sz w:val="24"/>
                <w:highlight w:val="none"/>
              </w:rPr>
            </w:pPr>
            <w:r>
              <w:rPr>
                <w:rFonts w:hint="eastAsia" w:ascii="宋体" w:hAnsi="宋体" w:eastAsia="仿宋"/>
                <w:bCs/>
                <w:color w:val="auto"/>
                <w:sz w:val="24"/>
                <w:highlight w:val="none"/>
              </w:rPr>
              <w:t>☑</w:t>
            </w:r>
            <w:r>
              <w:rPr>
                <w:rFonts w:hint="eastAsia" w:ascii="宋体" w:hAnsi="宋体" w:eastAsia="仿宋" w:cs="Calibri"/>
                <w:color w:val="auto"/>
                <w:sz w:val="24"/>
                <w:highlight w:val="none"/>
              </w:rPr>
              <w:t>不允许</w:t>
            </w:r>
          </w:p>
          <w:p w14:paraId="5DACAB9D">
            <w:pPr>
              <w:widowControl/>
              <w:snapToGrid w:val="0"/>
              <w:spacing w:line="288" w:lineRule="auto"/>
              <w:rPr>
                <w:rFonts w:hint="eastAsia" w:ascii="宋体" w:hAnsi="宋体" w:eastAsia="仿宋"/>
                <w:color w:val="auto"/>
                <w:sz w:val="24"/>
                <w:highlight w:val="none"/>
              </w:rPr>
            </w:pPr>
            <w:r>
              <w:rPr>
                <w:rFonts w:hint="eastAsia" w:ascii="宋体" w:hAnsi="宋体" w:eastAsia="仿宋" w:cs="Calibri"/>
                <w:color w:val="auto"/>
                <w:sz w:val="24"/>
                <w:highlight w:val="none"/>
              </w:rPr>
              <w:t>□允许：</w:t>
            </w:r>
          </w:p>
          <w:p w14:paraId="58A5F59E">
            <w:pPr>
              <w:widowControl/>
              <w:snapToGrid w:val="0"/>
              <w:spacing w:line="288" w:lineRule="auto"/>
              <w:rPr>
                <w:rFonts w:hint="eastAsia" w:ascii="楷体" w:hAnsi="楷体" w:eastAsia="仿宋"/>
                <w:color w:val="auto"/>
                <w:sz w:val="24"/>
                <w:highlight w:val="none"/>
                <w:u w:val="single"/>
              </w:rPr>
            </w:pPr>
            <w:r>
              <w:rPr>
                <w:rFonts w:hint="eastAsia" w:ascii="楷体" w:hAnsi="楷体" w:eastAsia="仿宋"/>
                <w:color w:val="auto"/>
                <w:sz w:val="24"/>
                <w:highlight w:val="none"/>
              </w:rPr>
              <w:t>（1）允许分包的范围和内容：/</w:t>
            </w:r>
          </w:p>
          <w:p w14:paraId="367913AC">
            <w:pPr>
              <w:widowControl/>
              <w:snapToGrid w:val="0"/>
              <w:spacing w:line="288" w:lineRule="auto"/>
              <w:rPr>
                <w:rFonts w:hint="eastAsia" w:ascii="楷体" w:hAnsi="楷体" w:eastAsia="仿宋"/>
                <w:color w:val="auto"/>
                <w:sz w:val="24"/>
                <w:highlight w:val="none"/>
              </w:rPr>
            </w:pPr>
            <w:r>
              <w:rPr>
                <w:rFonts w:hint="eastAsia" w:ascii="楷体" w:hAnsi="楷体" w:eastAsia="仿宋"/>
                <w:color w:val="auto"/>
                <w:sz w:val="24"/>
                <w:highlight w:val="none"/>
              </w:rPr>
              <w:t>（2）对分包人资质要求：/</w:t>
            </w:r>
          </w:p>
          <w:p w14:paraId="75F4D7BB">
            <w:pPr>
              <w:widowControl/>
              <w:snapToGrid w:val="0"/>
              <w:spacing w:line="288" w:lineRule="auto"/>
              <w:rPr>
                <w:rFonts w:hint="eastAsia" w:ascii="宋体" w:hAnsi="宋体"/>
                <w:color w:val="auto"/>
                <w:sz w:val="24"/>
                <w:highlight w:val="none"/>
              </w:rPr>
            </w:pPr>
            <w:r>
              <w:rPr>
                <w:rFonts w:hint="eastAsia" w:ascii="楷体" w:hAnsi="楷体" w:eastAsia="仿宋"/>
                <w:color w:val="auto"/>
                <w:sz w:val="24"/>
                <w:highlight w:val="none"/>
              </w:rPr>
              <w:t>（3）为享受政府采购支持中小企业发展政策，参与政府采购活动的大型企业可向中小微企业分包，中型企业可向小微企业分包。</w:t>
            </w:r>
          </w:p>
        </w:tc>
      </w:tr>
      <w:tr w14:paraId="61EA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7107894">
            <w:pPr>
              <w:widowControl/>
              <w:adjustRightInd w:val="0"/>
              <w:snapToGrid w:val="0"/>
              <w:spacing w:line="288" w:lineRule="auto"/>
              <w:jc w:val="center"/>
              <w:rPr>
                <w:rFonts w:ascii="宋体" w:hAnsi="宋体" w:eastAsia="仿宋" w:cs="Calibri"/>
                <w:color w:val="auto"/>
                <w:sz w:val="24"/>
                <w:highlight w:val="none"/>
              </w:rPr>
            </w:pPr>
            <w:r>
              <w:rPr>
                <w:rFonts w:hint="eastAsia" w:ascii="宋体" w:hAnsi="宋体" w:eastAsia="仿宋" w:cs="Calibri"/>
                <w:color w:val="auto"/>
                <w:sz w:val="24"/>
                <w:highlight w:val="none"/>
              </w:rPr>
              <w:t>2.2.2</w:t>
            </w:r>
          </w:p>
        </w:tc>
        <w:tc>
          <w:tcPr>
            <w:tcW w:w="1581" w:type="dxa"/>
            <w:noWrap w:val="0"/>
            <w:vAlign w:val="center"/>
          </w:tcPr>
          <w:p w14:paraId="3A082785">
            <w:pPr>
              <w:widowControl/>
              <w:adjustRightInd w:val="0"/>
              <w:snapToGrid w:val="0"/>
              <w:spacing w:line="300" w:lineRule="auto"/>
              <w:jc w:val="center"/>
              <w:rPr>
                <w:rFonts w:eastAsia="仿宋"/>
                <w:color w:val="auto"/>
                <w:sz w:val="24"/>
                <w:highlight w:val="none"/>
              </w:rPr>
            </w:pPr>
            <w:r>
              <w:rPr>
                <w:rFonts w:hint="eastAsia" w:ascii="宋体" w:hAnsi="宋体" w:eastAsia="仿宋" w:cs="Calibri"/>
                <w:color w:val="auto"/>
                <w:sz w:val="24"/>
                <w:highlight w:val="none"/>
              </w:rPr>
              <w:t>招标文件澄清发出的形式</w:t>
            </w:r>
          </w:p>
        </w:tc>
        <w:tc>
          <w:tcPr>
            <w:tcW w:w="7229" w:type="dxa"/>
            <w:noWrap w:val="0"/>
            <w:vAlign w:val="center"/>
          </w:tcPr>
          <w:p w14:paraId="57304CFF">
            <w:pPr>
              <w:widowControl/>
              <w:adjustRightInd w:val="0"/>
              <w:snapToGrid w:val="0"/>
              <w:spacing w:line="300" w:lineRule="auto"/>
              <w:rPr>
                <w:rFonts w:hint="eastAsia" w:ascii="宋体" w:hAnsi="宋体" w:eastAsia="仿宋" w:cs="Calibri"/>
                <w:color w:val="auto"/>
                <w:sz w:val="24"/>
                <w:highlight w:val="none"/>
              </w:rPr>
            </w:pPr>
            <w:r>
              <w:rPr>
                <w:rFonts w:hint="eastAsia" w:ascii="宋体" w:hAnsi="宋体" w:eastAsia="仿宋"/>
                <w:color w:val="auto"/>
                <w:sz w:val="24"/>
                <w:highlight w:val="none"/>
              </w:rPr>
              <w:t>发出形式：在优质采云采购平台发布，投标人自行查看、下载，无需确认。其他方式发布的，投标人应书面确认。</w:t>
            </w:r>
          </w:p>
        </w:tc>
      </w:tr>
      <w:tr w14:paraId="46ED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43EA52D">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3.1.1</w:t>
            </w:r>
          </w:p>
        </w:tc>
        <w:tc>
          <w:tcPr>
            <w:tcW w:w="1581" w:type="dxa"/>
            <w:noWrap w:val="0"/>
            <w:vAlign w:val="center"/>
          </w:tcPr>
          <w:p w14:paraId="58CEF29F">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构成投标文件的其他资料</w:t>
            </w:r>
          </w:p>
        </w:tc>
        <w:tc>
          <w:tcPr>
            <w:tcW w:w="7229" w:type="dxa"/>
            <w:noWrap w:val="0"/>
            <w:vAlign w:val="center"/>
          </w:tcPr>
          <w:p w14:paraId="687BB266">
            <w:pPr>
              <w:adjustRightInd w:val="0"/>
              <w:snapToGrid w:val="0"/>
              <w:spacing w:line="288" w:lineRule="auto"/>
              <w:rPr>
                <w:rFonts w:hint="eastAsia" w:eastAsia="楷体"/>
                <w:color w:val="auto"/>
                <w:sz w:val="24"/>
                <w:highlight w:val="none"/>
              </w:rPr>
            </w:pPr>
            <w:r>
              <w:rPr>
                <w:rFonts w:hint="eastAsia" w:ascii="楷体" w:hAnsi="楷体" w:eastAsia="仿宋"/>
                <w:color w:val="auto"/>
                <w:sz w:val="24"/>
                <w:highlight w:val="none"/>
              </w:rPr>
              <w:t>/</w:t>
            </w:r>
          </w:p>
        </w:tc>
      </w:tr>
      <w:tr w14:paraId="5286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09" w:hRule="atLeast"/>
        </w:trPr>
        <w:tc>
          <w:tcPr>
            <w:tcW w:w="857" w:type="dxa"/>
            <w:noWrap w:val="0"/>
            <w:vAlign w:val="center"/>
          </w:tcPr>
          <w:p w14:paraId="11735C19">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3.1.4</w:t>
            </w:r>
          </w:p>
        </w:tc>
        <w:tc>
          <w:tcPr>
            <w:tcW w:w="1581" w:type="dxa"/>
            <w:noWrap w:val="0"/>
            <w:vAlign w:val="center"/>
          </w:tcPr>
          <w:p w14:paraId="20FB904A">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样品</w:t>
            </w:r>
          </w:p>
        </w:tc>
        <w:tc>
          <w:tcPr>
            <w:tcW w:w="7229" w:type="dxa"/>
            <w:noWrap w:val="0"/>
            <w:vAlign w:val="center"/>
          </w:tcPr>
          <w:p w14:paraId="0CAC6B57">
            <w:pPr>
              <w:widowControl/>
              <w:adjustRightInd w:val="0"/>
              <w:snapToGrid w:val="0"/>
              <w:spacing w:line="288" w:lineRule="auto"/>
              <w:rPr>
                <w:rFonts w:hint="eastAsia" w:ascii="宋体" w:hAnsi="宋体" w:eastAsia="仿宋"/>
                <w:b/>
                <w:bCs/>
                <w:color w:val="auto"/>
                <w:sz w:val="24"/>
                <w:highlight w:val="none"/>
              </w:rPr>
            </w:pPr>
            <w:r>
              <w:rPr>
                <w:rFonts w:hint="eastAsia" w:ascii="宋体" w:hAnsi="宋体" w:eastAsia="仿宋"/>
                <w:b/>
                <w:bCs/>
                <w:color w:val="auto"/>
                <w:sz w:val="24"/>
                <w:highlight w:val="none"/>
              </w:rPr>
              <w:t>是否要求投标人提交样品：</w:t>
            </w:r>
          </w:p>
          <w:p w14:paraId="4397F8B1">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☑否</w:t>
            </w:r>
          </w:p>
          <w:p w14:paraId="23E61B8A">
            <w:pPr>
              <w:adjustRightInd w:val="0"/>
              <w:spacing w:line="288" w:lineRule="auto"/>
              <w:rPr>
                <w:rFonts w:ascii="仿宋" w:hAnsi="仿宋" w:eastAsia="仿宋" w:cs="仿宋"/>
                <w:color w:val="auto"/>
                <w:sz w:val="24"/>
                <w:highlight w:val="none"/>
                <w:lang w:bidi="ar"/>
              </w:rPr>
            </w:pPr>
            <w:r>
              <w:rPr>
                <w:rFonts w:hint="eastAsia" w:ascii="宋体" w:hAnsi="宋体" w:eastAsia="仿宋" w:cs="Calibri"/>
                <w:color w:val="auto"/>
                <w:sz w:val="24"/>
                <w:highlight w:val="none"/>
              </w:rPr>
              <w:t>□是</w:t>
            </w:r>
          </w:p>
        </w:tc>
      </w:tr>
      <w:tr w14:paraId="3B33F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3D4E78D">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3.2.1</w:t>
            </w:r>
          </w:p>
        </w:tc>
        <w:tc>
          <w:tcPr>
            <w:tcW w:w="1581" w:type="dxa"/>
            <w:noWrap w:val="0"/>
            <w:vAlign w:val="center"/>
          </w:tcPr>
          <w:p w14:paraId="5E0B49F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投标报价包括的内容</w:t>
            </w:r>
          </w:p>
        </w:tc>
        <w:tc>
          <w:tcPr>
            <w:tcW w:w="7229" w:type="dxa"/>
            <w:noWrap w:val="0"/>
            <w:vAlign w:val="center"/>
          </w:tcPr>
          <w:p w14:paraId="3CB7D974">
            <w:pPr>
              <w:widowControl/>
              <w:adjustRightInd w:val="0"/>
              <w:snapToGrid w:val="0"/>
              <w:spacing w:line="288" w:lineRule="auto"/>
              <w:rPr>
                <w:rFonts w:hint="eastAsia" w:ascii="楷体" w:hAnsi="楷体" w:eastAsia="楷体"/>
                <w:bCs/>
                <w:color w:val="auto"/>
                <w:sz w:val="24"/>
                <w:highlight w:val="none"/>
              </w:rPr>
            </w:pPr>
            <w:r>
              <w:rPr>
                <w:rFonts w:hint="eastAsia" w:ascii="楷体" w:hAnsi="楷体" w:eastAsia="仿宋" w:cs="Calibri"/>
                <w:color w:val="auto"/>
                <w:sz w:val="24"/>
                <w:highlight w:val="none"/>
              </w:rPr>
              <w:t>投标报价</w:t>
            </w:r>
            <w:r>
              <w:rPr>
                <w:rFonts w:ascii="楷体" w:hAnsi="楷体" w:eastAsia="仿宋"/>
                <w:color w:val="auto"/>
                <w:sz w:val="24"/>
                <w:highlight w:val="none"/>
              </w:rPr>
              <w:t>包括货物从设计、采购、制造、交货（包括运输至采购人指定地点卸车就位）至验收和售后服务的一切费用（如设计费、采购费、制造费、包装费、运输费、运输保险费、装卸费</w:t>
            </w:r>
            <w:r>
              <w:rPr>
                <w:rFonts w:hint="eastAsia" w:ascii="楷体" w:hAnsi="楷体" w:eastAsia="仿宋"/>
                <w:color w:val="auto"/>
                <w:sz w:val="24"/>
                <w:highlight w:val="none"/>
              </w:rPr>
              <w:t>、</w:t>
            </w:r>
            <w:r>
              <w:rPr>
                <w:rFonts w:ascii="楷体" w:hAnsi="楷体" w:eastAsia="仿宋"/>
                <w:color w:val="auto"/>
                <w:sz w:val="24"/>
                <w:highlight w:val="none"/>
              </w:rPr>
              <w:t>其他技术服务及质保期服务费等）、管理费、利润和税金，以及</w:t>
            </w:r>
            <w:r>
              <w:rPr>
                <w:rFonts w:hint="eastAsia" w:ascii="楷体" w:hAnsi="楷体" w:eastAsia="仿宋"/>
                <w:color w:val="auto"/>
                <w:sz w:val="24"/>
                <w:highlight w:val="none"/>
              </w:rPr>
              <w:t>采购</w:t>
            </w:r>
            <w:r>
              <w:rPr>
                <w:rFonts w:ascii="楷体" w:hAnsi="楷体" w:eastAsia="仿宋"/>
                <w:color w:val="auto"/>
                <w:sz w:val="24"/>
                <w:highlight w:val="none"/>
              </w:rPr>
              <w:t>合同中明示或暗示的所有责任、义务和风险。</w:t>
            </w:r>
          </w:p>
        </w:tc>
      </w:tr>
      <w:tr w14:paraId="2DAD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8C1FD89">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3.2.4</w:t>
            </w:r>
          </w:p>
        </w:tc>
        <w:tc>
          <w:tcPr>
            <w:tcW w:w="1581" w:type="dxa"/>
            <w:noWrap w:val="0"/>
            <w:vAlign w:val="center"/>
          </w:tcPr>
          <w:p w14:paraId="7F920917">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投标报价的其他要求</w:t>
            </w:r>
          </w:p>
        </w:tc>
        <w:tc>
          <w:tcPr>
            <w:tcW w:w="7229" w:type="dxa"/>
            <w:noWrap w:val="0"/>
            <w:vAlign w:val="center"/>
          </w:tcPr>
          <w:p w14:paraId="683EECDF">
            <w:pPr>
              <w:pStyle w:val="24"/>
              <w:snapToGrid w:val="0"/>
              <w:spacing w:line="240" w:lineRule="auto"/>
              <w:rPr>
                <w:rFonts w:hint="eastAsia" w:ascii="楷体" w:hAnsi="楷体" w:eastAsia="仿宋"/>
                <w:b w:val="0"/>
                <w:color w:val="auto"/>
                <w:sz w:val="24"/>
                <w:szCs w:val="24"/>
                <w:highlight w:val="none"/>
              </w:rPr>
            </w:pPr>
            <w:r>
              <w:rPr>
                <w:rFonts w:hint="eastAsia" w:ascii="楷体" w:hAnsi="楷体" w:eastAsia="仿宋"/>
                <w:b w:val="0"/>
                <w:color w:val="auto"/>
                <w:sz w:val="24"/>
                <w:szCs w:val="24"/>
                <w:highlight w:val="none"/>
              </w:rPr>
              <w:t>☑除招标文件另有规定外，投标人所报的价格在合同执行过程中固定不变,不得以任何理由予以变更。</w:t>
            </w:r>
          </w:p>
          <w:p w14:paraId="12A9DD89">
            <w:pPr>
              <w:pStyle w:val="24"/>
              <w:tabs>
                <w:tab w:val="left" w:pos="2149"/>
              </w:tabs>
              <w:snapToGrid w:val="0"/>
              <w:spacing w:line="240" w:lineRule="auto"/>
              <w:rPr>
                <w:rFonts w:hint="eastAsia" w:hAnsi="宋体"/>
                <w:bCs/>
                <w:color w:val="auto"/>
                <w:sz w:val="24"/>
                <w:szCs w:val="24"/>
                <w:highlight w:val="none"/>
              </w:rPr>
            </w:pPr>
            <w:r>
              <w:rPr>
                <w:rFonts w:hint="eastAsia" w:ascii="楷体" w:hAnsi="楷体" w:eastAsia="仿宋"/>
                <w:b w:val="0"/>
                <w:color w:val="auto"/>
                <w:sz w:val="24"/>
                <w:szCs w:val="24"/>
                <w:highlight w:val="none"/>
              </w:rPr>
              <w:t>□采购</w:t>
            </w:r>
            <w:r>
              <w:rPr>
                <w:rFonts w:ascii="楷体" w:hAnsi="楷体" w:eastAsia="仿宋"/>
                <w:b w:val="0"/>
                <w:color w:val="auto"/>
                <w:sz w:val="24"/>
                <w:szCs w:val="24"/>
                <w:highlight w:val="none"/>
              </w:rPr>
              <w:t>人在“</w:t>
            </w:r>
            <w:r>
              <w:rPr>
                <w:rFonts w:hint="eastAsia" w:ascii="楷体" w:hAnsi="楷体" w:eastAsia="仿宋"/>
                <w:b w:val="0"/>
                <w:color w:val="auto"/>
                <w:sz w:val="24"/>
                <w:szCs w:val="24"/>
                <w:highlight w:val="none"/>
              </w:rPr>
              <w:t>采购需求</w:t>
            </w:r>
            <w:r>
              <w:rPr>
                <w:rFonts w:ascii="楷体" w:hAnsi="楷体" w:eastAsia="仿宋"/>
                <w:b w:val="0"/>
                <w:color w:val="auto"/>
                <w:sz w:val="24"/>
                <w:szCs w:val="24"/>
                <w:highlight w:val="none"/>
              </w:rPr>
              <w:t>”中所提供的各种货物的数量是计划采购数量，仅作为投标报价的依据，不作为最终结算与支付的依据。在合同实施期间，</w:t>
            </w:r>
            <w:r>
              <w:rPr>
                <w:rFonts w:hint="eastAsia" w:ascii="楷体" w:hAnsi="楷体" w:eastAsia="仿宋"/>
                <w:b w:val="0"/>
                <w:color w:val="auto"/>
                <w:sz w:val="24"/>
                <w:szCs w:val="24"/>
                <w:highlight w:val="none"/>
              </w:rPr>
              <w:t>采购人可以按照政府采购政策规定对</w:t>
            </w:r>
            <w:r>
              <w:rPr>
                <w:rFonts w:ascii="楷体" w:hAnsi="楷体" w:eastAsia="仿宋"/>
                <w:b w:val="0"/>
                <w:color w:val="auto"/>
                <w:sz w:val="24"/>
                <w:szCs w:val="24"/>
                <w:highlight w:val="none"/>
              </w:rPr>
              <w:t>货物数量适当增减。投标人不得以货物的实际供货数量有变化为理由</w:t>
            </w:r>
            <w:r>
              <w:rPr>
                <w:rFonts w:hint="eastAsia" w:ascii="楷体" w:hAnsi="楷体" w:eastAsia="仿宋"/>
                <w:b w:val="0"/>
                <w:color w:val="auto"/>
                <w:sz w:val="24"/>
                <w:szCs w:val="24"/>
                <w:highlight w:val="none"/>
              </w:rPr>
              <w:t>要求</w:t>
            </w:r>
            <w:r>
              <w:rPr>
                <w:rFonts w:ascii="楷体" w:hAnsi="楷体" w:eastAsia="仿宋"/>
                <w:b w:val="0"/>
                <w:color w:val="auto"/>
                <w:sz w:val="24"/>
                <w:szCs w:val="24"/>
                <w:highlight w:val="none"/>
              </w:rPr>
              <w:t>对各种货物的单价进行变更。</w:t>
            </w:r>
          </w:p>
        </w:tc>
      </w:tr>
      <w:tr w14:paraId="02A9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648CA81">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3.3.1</w:t>
            </w:r>
          </w:p>
        </w:tc>
        <w:tc>
          <w:tcPr>
            <w:tcW w:w="1581" w:type="dxa"/>
            <w:noWrap w:val="0"/>
            <w:vAlign w:val="center"/>
          </w:tcPr>
          <w:p w14:paraId="083360EF">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投标有效期</w:t>
            </w:r>
          </w:p>
        </w:tc>
        <w:tc>
          <w:tcPr>
            <w:tcW w:w="7229" w:type="dxa"/>
            <w:noWrap w:val="0"/>
            <w:vAlign w:val="center"/>
          </w:tcPr>
          <w:p w14:paraId="26F1AABA">
            <w:pPr>
              <w:widowControl/>
              <w:adjustRightInd w:val="0"/>
              <w:snapToGrid w:val="0"/>
              <w:spacing w:line="288" w:lineRule="auto"/>
              <w:rPr>
                <w:rFonts w:ascii="宋体" w:hAnsi="宋体" w:cs="Calibri"/>
                <w:color w:val="auto"/>
                <w:sz w:val="24"/>
                <w:highlight w:val="none"/>
              </w:rPr>
            </w:pPr>
            <w:r>
              <w:rPr>
                <w:rFonts w:hint="eastAsia" w:ascii="宋体" w:hAnsi="宋体" w:eastAsia="仿宋" w:cs="Calibri"/>
                <w:color w:val="auto"/>
                <w:sz w:val="24"/>
                <w:highlight w:val="none"/>
              </w:rPr>
              <w:t>90日历天</w:t>
            </w:r>
            <w:r>
              <w:rPr>
                <w:rFonts w:hint="eastAsia" w:ascii="宋体" w:hAnsi="宋体" w:eastAsia="仿宋"/>
                <w:color w:val="auto"/>
                <w:sz w:val="24"/>
                <w:highlight w:val="none"/>
              </w:rPr>
              <w:t>（从投标截止之日算起）</w:t>
            </w:r>
          </w:p>
        </w:tc>
      </w:tr>
      <w:tr w14:paraId="1614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52B0EC4">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3.4</w:t>
            </w:r>
          </w:p>
        </w:tc>
        <w:tc>
          <w:tcPr>
            <w:tcW w:w="1581" w:type="dxa"/>
            <w:noWrap w:val="0"/>
            <w:vAlign w:val="center"/>
          </w:tcPr>
          <w:p w14:paraId="178092E4">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投标保证金</w:t>
            </w:r>
          </w:p>
        </w:tc>
        <w:tc>
          <w:tcPr>
            <w:tcW w:w="7229" w:type="dxa"/>
            <w:noWrap w:val="0"/>
            <w:vAlign w:val="center"/>
          </w:tcPr>
          <w:p w14:paraId="21B64F43">
            <w:pPr>
              <w:widowControl/>
              <w:adjustRightInd w:val="0"/>
              <w:snapToGrid w:val="0"/>
              <w:spacing w:line="288" w:lineRule="auto"/>
              <w:rPr>
                <w:rFonts w:ascii="宋体" w:hAnsi="宋体" w:eastAsia="楷体_GB2312"/>
                <w:i/>
                <w:color w:val="auto"/>
                <w:sz w:val="24"/>
                <w:highlight w:val="none"/>
              </w:rPr>
            </w:pPr>
            <w:r>
              <w:rPr>
                <w:rFonts w:hint="eastAsia" w:eastAsia="仿宋"/>
                <w:color w:val="auto"/>
                <w:sz w:val="24"/>
                <w:highlight w:val="none"/>
              </w:rPr>
              <w:t>不要求提交。</w:t>
            </w:r>
          </w:p>
        </w:tc>
      </w:tr>
      <w:tr w14:paraId="571E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AB22A4C">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3.6.1</w:t>
            </w:r>
          </w:p>
        </w:tc>
        <w:tc>
          <w:tcPr>
            <w:tcW w:w="1581" w:type="dxa"/>
            <w:noWrap w:val="0"/>
            <w:vAlign w:val="center"/>
          </w:tcPr>
          <w:p w14:paraId="7A73D422">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是否允许递交备选投标方案</w:t>
            </w:r>
          </w:p>
        </w:tc>
        <w:tc>
          <w:tcPr>
            <w:tcW w:w="7229" w:type="dxa"/>
            <w:noWrap w:val="0"/>
            <w:vAlign w:val="center"/>
          </w:tcPr>
          <w:p w14:paraId="51A3FDD1">
            <w:pPr>
              <w:widowControl/>
              <w:topLinePunct/>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☑不允许</w:t>
            </w:r>
          </w:p>
          <w:p w14:paraId="0C15E7C0">
            <w:pPr>
              <w:widowControl/>
              <w:adjustRightInd w:val="0"/>
              <w:snapToGrid w:val="0"/>
              <w:spacing w:line="288" w:lineRule="auto"/>
              <w:rPr>
                <w:rFonts w:ascii="宋体" w:hAnsi="宋体" w:cs="Calibri"/>
                <w:color w:val="auto"/>
                <w:sz w:val="24"/>
                <w:highlight w:val="none"/>
                <w:u w:val="single"/>
              </w:rPr>
            </w:pPr>
            <w:r>
              <w:rPr>
                <w:rFonts w:hint="eastAsia" w:ascii="宋体" w:hAnsi="宋体" w:eastAsia="仿宋" w:cs="Calibri"/>
                <w:color w:val="auto"/>
                <w:sz w:val="24"/>
                <w:highlight w:val="none"/>
              </w:rPr>
              <w:t>□允许，并满足以下条件：</w:t>
            </w:r>
          </w:p>
        </w:tc>
      </w:tr>
      <w:tr w14:paraId="5B04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909D64B">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3.7.4（1）</w:t>
            </w:r>
          </w:p>
        </w:tc>
        <w:tc>
          <w:tcPr>
            <w:tcW w:w="1581" w:type="dxa"/>
            <w:noWrap w:val="0"/>
            <w:vAlign w:val="center"/>
          </w:tcPr>
          <w:p w14:paraId="3885A8F5">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投标文件制作</w:t>
            </w:r>
          </w:p>
        </w:tc>
        <w:tc>
          <w:tcPr>
            <w:tcW w:w="7229" w:type="dxa"/>
            <w:noWrap w:val="0"/>
            <w:vAlign w:val="center"/>
          </w:tcPr>
          <w:p w14:paraId="2E628568">
            <w:pPr>
              <w:widowControl/>
              <w:topLinePunct/>
              <w:adjustRightInd w:val="0"/>
              <w:snapToGrid w:val="0"/>
              <w:spacing w:line="288" w:lineRule="auto"/>
              <w:rPr>
                <w:rFonts w:hint="eastAsia" w:ascii="宋体" w:hAnsi="宋体" w:cs="Calibri"/>
                <w:color w:val="auto"/>
                <w:sz w:val="24"/>
                <w:highlight w:val="none"/>
              </w:rPr>
            </w:pPr>
            <w:r>
              <w:rPr>
                <w:rFonts w:hint="eastAsia" w:ascii="楷体" w:hAnsi="楷体" w:eastAsia="仿宋" w:cs="Calibri"/>
                <w:color w:val="auto"/>
                <w:sz w:val="24"/>
                <w:highlight w:val="none"/>
              </w:rPr>
              <w:t>见本章附件一《全流程电子招标采购具体要求》</w:t>
            </w:r>
          </w:p>
        </w:tc>
      </w:tr>
      <w:tr w14:paraId="10F8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8CE6550">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3.7.4（3）</w:t>
            </w:r>
          </w:p>
        </w:tc>
        <w:tc>
          <w:tcPr>
            <w:tcW w:w="1581" w:type="dxa"/>
            <w:noWrap w:val="0"/>
            <w:vAlign w:val="center"/>
          </w:tcPr>
          <w:p w14:paraId="35606F72">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投标文件所附证书证件要求</w:t>
            </w:r>
          </w:p>
        </w:tc>
        <w:tc>
          <w:tcPr>
            <w:tcW w:w="7229" w:type="dxa"/>
            <w:noWrap w:val="0"/>
            <w:vAlign w:val="center"/>
          </w:tcPr>
          <w:p w14:paraId="3A922DF7">
            <w:pPr>
              <w:widowControl/>
              <w:topLinePunct/>
              <w:adjustRightInd w:val="0"/>
              <w:snapToGrid w:val="0"/>
              <w:spacing w:line="288" w:lineRule="auto"/>
              <w:rPr>
                <w:rFonts w:ascii="楷体" w:hAnsi="楷体" w:eastAsia="仿宋"/>
                <w:bCs/>
                <w:color w:val="auto"/>
                <w:sz w:val="24"/>
                <w:highlight w:val="none"/>
              </w:rPr>
            </w:pPr>
            <w:r>
              <w:rPr>
                <w:rFonts w:hint="eastAsia" w:ascii="楷体" w:hAnsi="楷体" w:eastAsia="仿宋" w:cs="Calibri"/>
                <w:color w:val="auto"/>
                <w:sz w:val="24"/>
                <w:highlight w:val="none"/>
              </w:rPr>
              <w:t>电子投标文件所附证书证件均应为投标人证书证件的原件扫描件或电子证照。</w:t>
            </w:r>
          </w:p>
        </w:tc>
      </w:tr>
      <w:tr w14:paraId="7D7A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D59479D">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3.7.4（5）</w:t>
            </w:r>
          </w:p>
        </w:tc>
        <w:tc>
          <w:tcPr>
            <w:tcW w:w="1581" w:type="dxa"/>
            <w:noWrap w:val="0"/>
            <w:vAlign w:val="center"/>
          </w:tcPr>
          <w:p w14:paraId="7945608E">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投标文件份数及其他要求</w:t>
            </w:r>
          </w:p>
        </w:tc>
        <w:tc>
          <w:tcPr>
            <w:tcW w:w="7229" w:type="dxa"/>
            <w:noWrap w:val="0"/>
            <w:vAlign w:val="center"/>
          </w:tcPr>
          <w:p w14:paraId="0681B2D1">
            <w:pPr>
              <w:widowControl/>
              <w:topLinePunct/>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投标人应提交的投标文件：</w:t>
            </w:r>
          </w:p>
          <w:p w14:paraId="106E7F31">
            <w:pPr>
              <w:widowControl/>
              <w:topLinePunct/>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（1）加密的电子投标文件：使用优质采云采购平台电子标书制作工具制作生成的加密投标文件，应在投标截止时间前通过</w:t>
            </w:r>
            <w:r>
              <w:rPr>
                <w:rFonts w:hint="eastAsia" w:ascii="楷体" w:hAnsi="楷体" w:eastAsia="仿宋" w:cs="Microsoft JhengHei"/>
                <w:color w:val="auto"/>
                <w:kern w:val="0"/>
                <w:sz w:val="24"/>
                <w:highlight w:val="none"/>
              </w:rPr>
              <w:t>优质采云采购平台</w:t>
            </w:r>
            <w:r>
              <w:rPr>
                <w:rFonts w:hint="eastAsia" w:ascii="楷体" w:hAnsi="楷体" w:eastAsia="仿宋" w:cs="Calibri"/>
                <w:color w:val="auto"/>
                <w:sz w:val="24"/>
                <w:highlight w:val="none"/>
              </w:rPr>
              <w:t>会员系统上传；</w:t>
            </w:r>
          </w:p>
          <w:p w14:paraId="786BCF65">
            <w:pPr>
              <w:widowControl/>
              <w:topLinePunct/>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（2）未加密的电子投标文件：生成加密投标文件时同时生成的版本，提供1份（光盘或U盘介质，格式为bzc格式），可密封提交（投标人自行确定是否提交）。</w:t>
            </w:r>
          </w:p>
          <w:p w14:paraId="032C377E">
            <w:pPr>
              <w:widowControl/>
              <w:topLinePunct/>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投标文件如不一致时，按以下顺序确定其投标文件效力：</w:t>
            </w:r>
          </w:p>
          <w:p w14:paraId="18BA2505">
            <w:pPr>
              <w:widowControl/>
              <w:topLinePunct/>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（1）加密的电子投标文件；</w:t>
            </w:r>
          </w:p>
          <w:p w14:paraId="3414F6BA">
            <w:pPr>
              <w:widowControl/>
              <w:topLinePunct/>
              <w:adjustRightInd w:val="0"/>
              <w:snapToGrid w:val="0"/>
              <w:spacing w:line="288" w:lineRule="auto"/>
              <w:rPr>
                <w:rFonts w:hint="eastAsia" w:ascii="楷体" w:hAnsi="楷体" w:eastAsia="楷体" w:cs="Calibri"/>
                <w:color w:val="auto"/>
                <w:sz w:val="24"/>
                <w:highlight w:val="none"/>
              </w:rPr>
            </w:pPr>
            <w:r>
              <w:rPr>
                <w:rFonts w:hint="eastAsia" w:ascii="楷体" w:hAnsi="楷体" w:eastAsia="仿宋" w:cs="Calibri"/>
                <w:color w:val="auto"/>
                <w:sz w:val="24"/>
                <w:highlight w:val="none"/>
              </w:rPr>
              <w:t>（2）未加密的电子投标文件。</w:t>
            </w:r>
          </w:p>
        </w:tc>
      </w:tr>
      <w:tr w14:paraId="1D80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2862683">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4.1.1</w:t>
            </w:r>
          </w:p>
        </w:tc>
        <w:tc>
          <w:tcPr>
            <w:tcW w:w="1581" w:type="dxa"/>
            <w:noWrap w:val="0"/>
            <w:vAlign w:val="center"/>
          </w:tcPr>
          <w:p w14:paraId="2CB4DC6D">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投标文件加密要求</w:t>
            </w:r>
          </w:p>
        </w:tc>
        <w:tc>
          <w:tcPr>
            <w:tcW w:w="7229" w:type="dxa"/>
            <w:noWrap w:val="0"/>
            <w:vAlign w:val="center"/>
          </w:tcPr>
          <w:p w14:paraId="618C037A">
            <w:pPr>
              <w:widowControl/>
              <w:wordWrap w:val="0"/>
              <w:adjustRightInd w:val="0"/>
              <w:snapToGrid w:val="0"/>
              <w:spacing w:line="288" w:lineRule="auto"/>
              <w:rPr>
                <w:rFonts w:hint="eastAsia" w:ascii="楷体" w:hAnsi="楷体" w:eastAsia="楷体" w:cs="Calibri"/>
                <w:color w:val="auto"/>
                <w:sz w:val="24"/>
                <w:highlight w:val="none"/>
              </w:rPr>
            </w:pPr>
            <w:r>
              <w:rPr>
                <w:rFonts w:hint="eastAsia" w:ascii="楷体" w:hAnsi="楷体" w:eastAsia="仿宋" w:cs="Calibri"/>
                <w:color w:val="auto"/>
                <w:sz w:val="24"/>
                <w:highlight w:val="none"/>
              </w:rPr>
              <w:t>见本章附件一《全流程电子招标采购具体要求》</w:t>
            </w:r>
          </w:p>
        </w:tc>
      </w:tr>
      <w:tr w14:paraId="3AF3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879F629">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4.2.2</w:t>
            </w:r>
          </w:p>
        </w:tc>
        <w:tc>
          <w:tcPr>
            <w:tcW w:w="1581" w:type="dxa"/>
            <w:noWrap w:val="0"/>
            <w:vAlign w:val="center"/>
          </w:tcPr>
          <w:p w14:paraId="6EA6A0F2">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递交投标文件的电子交易平台</w:t>
            </w:r>
          </w:p>
        </w:tc>
        <w:tc>
          <w:tcPr>
            <w:tcW w:w="7229" w:type="dxa"/>
            <w:noWrap w:val="0"/>
            <w:vAlign w:val="center"/>
          </w:tcPr>
          <w:p w14:paraId="164227FB">
            <w:pPr>
              <w:widowControl/>
              <w:adjustRightInd w:val="0"/>
              <w:snapToGrid w:val="0"/>
              <w:spacing w:line="288" w:lineRule="auto"/>
              <w:rPr>
                <w:rFonts w:hint="eastAsia" w:ascii="楷体" w:hAnsi="楷体" w:eastAsia="仿宋" w:cs="Microsoft JhengHei"/>
                <w:color w:val="auto"/>
                <w:kern w:val="0"/>
                <w:sz w:val="24"/>
                <w:highlight w:val="none"/>
              </w:rPr>
            </w:pPr>
            <w:r>
              <w:rPr>
                <w:rFonts w:hint="eastAsia" w:ascii="楷体" w:hAnsi="楷体" w:eastAsia="仿宋" w:cs="Microsoft JhengHei"/>
                <w:color w:val="auto"/>
                <w:kern w:val="0"/>
                <w:sz w:val="24"/>
                <w:highlight w:val="none"/>
              </w:rPr>
              <w:t>优质采云采购平台（网址：https://www.youzhicai.com/）</w:t>
            </w:r>
          </w:p>
          <w:p w14:paraId="262C7AE0">
            <w:pPr>
              <w:widowControl/>
              <w:adjustRightInd w:val="0"/>
              <w:snapToGrid w:val="0"/>
              <w:spacing w:line="288" w:lineRule="auto"/>
              <w:rPr>
                <w:rFonts w:hint="eastAsia" w:ascii="宋体" w:hAnsi="宋体" w:cs="Calibri"/>
                <w:iCs/>
                <w:color w:val="auto"/>
                <w:sz w:val="24"/>
                <w:highlight w:val="none"/>
              </w:rPr>
            </w:pPr>
            <w:r>
              <w:rPr>
                <w:rFonts w:hint="eastAsia" w:ascii="楷体" w:hAnsi="楷体" w:eastAsia="仿宋"/>
                <w:color w:val="auto"/>
                <w:sz w:val="24"/>
                <w:highlight w:val="none"/>
              </w:rPr>
              <w:t>如未在招标文件规定的投标时间截止前网上上传加密的电子投标文件，而只递交了未加密的电子投标文件的，投标无效。</w:t>
            </w:r>
          </w:p>
        </w:tc>
      </w:tr>
      <w:tr w14:paraId="3DA6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9335103">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4.2.3</w:t>
            </w:r>
          </w:p>
        </w:tc>
        <w:tc>
          <w:tcPr>
            <w:tcW w:w="1581" w:type="dxa"/>
            <w:noWrap w:val="0"/>
            <w:vAlign w:val="center"/>
          </w:tcPr>
          <w:p w14:paraId="370E6CE0">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是否退还投标文件</w:t>
            </w:r>
          </w:p>
        </w:tc>
        <w:tc>
          <w:tcPr>
            <w:tcW w:w="7229" w:type="dxa"/>
            <w:noWrap w:val="0"/>
            <w:vAlign w:val="center"/>
          </w:tcPr>
          <w:p w14:paraId="4B5792FB">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b/>
                <w:bCs/>
                <w:color w:val="auto"/>
                <w:sz w:val="24"/>
                <w:highlight w:val="none"/>
              </w:rPr>
              <w:sym w:font="Wingdings" w:char="F0FE"/>
            </w:r>
            <w:r>
              <w:rPr>
                <w:rFonts w:hint="eastAsia" w:ascii="宋体" w:hAnsi="宋体" w:eastAsia="仿宋" w:cs="Calibri"/>
                <w:color w:val="auto"/>
                <w:sz w:val="24"/>
                <w:highlight w:val="none"/>
              </w:rPr>
              <w:t>否，其中样品的退还规定见本章第3.1.4项</w:t>
            </w:r>
          </w:p>
          <w:p w14:paraId="4BFEE286">
            <w:pPr>
              <w:widowControl/>
              <w:adjustRightInd w:val="0"/>
              <w:snapToGrid w:val="0"/>
              <w:spacing w:line="288" w:lineRule="auto"/>
              <w:rPr>
                <w:rFonts w:ascii="宋体" w:hAnsi="宋体" w:cs="Calibri"/>
                <w:color w:val="auto"/>
                <w:sz w:val="24"/>
                <w:highlight w:val="none"/>
              </w:rPr>
            </w:pPr>
            <w:r>
              <w:rPr>
                <w:rFonts w:hint="eastAsia" w:ascii="宋体" w:hAnsi="宋体" w:eastAsia="仿宋" w:cs="Calibri"/>
                <w:color w:val="auto"/>
                <w:sz w:val="24"/>
                <w:highlight w:val="none"/>
              </w:rPr>
              <w:t>□是，退还安排：</w:t>
            </w:r>
            <w:r>
              <w:rPr>
                <w:rFonts w:ascii="宋体" w:hAnsi="宋体" w:eastAsia="仿宋" w:cs="Calibri"/>
                <w:color w:val="auto"/>
                <w:sz w:val="24"/>
                <w:highlight w:val="none"/>
                <w:u w:val="single"/>
              </w:rPr>
              <w:t xml:space="preserve">                         </w:t>
            </w:r>
          </w:p>
        </w:tc>
      </w:tr>
      <w:tr w14:paraId="234D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C1D3E8E">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5.2（4）</w:t>
            </w:r>
          </w:p>
        </w:tc>
        <w:tc>
          <w:tcPr>
            <w:tcW w:w="1581" w:type="dxa"/>
            <w:noWrap w:val="0"/>
            <w:vAlign w:val="center"/>
          </w:tcPr>
          <w:p w14:paraId="086AEBBE">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开标程序</w:t>
            </w:r>
          </w:p>
        </w:tc>
        <w:tc>
          <w:tcPr>
            <w:tcW w:w="7229" w:type="dxa"/>
            <w:noWrap w:val="0"/>
            <w:vAlign w:val="center"/>
          </w:tcPr>
          <w:p w14:paraId="171E5E8D">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解密时间要求：</w:t>
            </w:r>
            <w:r>
              <w:rPr>
                <w:rFonts w:hint="eastAsia" w:ascii="楷体" w:hAnsi="楷体" w:eastAsia="仿宋" w:cs="Calibri"/>
                <w:color w:val="auto"/>
                <w:sz w:val="24"/>
                <w:highlight w:val="none"/>
              </w:rPr>
              <w:t>30分钟以内，以电子交易平台时间为准</w:t>
            </w:r>
          </w:p>
          <w:p w14:paraId="23DB58E0">
            <w:pPr>
              <w:widowControl/>
              <w:adjustRightInd w:val="0"/>
              <w:snapToGrid w:val="0"/>
              <w:spacing w:line="288" w:lineRule="auto"/>
              <w:rPr>
                <w:rFonts w:hint="eastAsia" w:ascii="宋体" w:hAnsi="宋体" w:cs="Calibri"/>
                <w:color w:val="auto"/>
                <w:sz w:val="24"/>
                <w:highlight w:val="none"/>
              </w:rPr>
            </w:pPr>
            <w:r>
              <w:rPr>
                <w:rFonts w:hint="eastAsia" w:ascii="宋体" w:hAnsi="宋体" w:eastAsia="仿宋" w:cs="Calibri"/>
                <w:color w:val="auto"/>
                <w:sz w:val="24"/>
                <w:highlight w:val="none"/>
              </w:rPr>
              <w:t>其他要求：</w:t>
            </w:r>
            <w:r>
              <w:rPr>
                <w:rFonts w:hint="eastAsia" w:ascii="楷体" w:hAnsi="楷体" w:eastAsia="仿宋" w:cs="Calibri"/>
                <w:color w:val="auto"/>
                <w:sz w:val="24"/>
                <w:highlight w:val="none"/>
              </w:rPr>
              <w:t>投标文件解密可以采用网上远程方式，无需到开标现场进行解密。解密的CA锁必须与投标文件加密的CA锁一致，否则造成的后果由投标人自行承担</w:t>
            </w:r>
          </w:p>
        </w:tc>
      </w:tr>
      <w:tr w14:paraId="4C78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1D8E92B">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6.3.2</w:t>
            </w:r>
          </w:p>
        </w:tc>
        <w:tc>
          <w:tcPr>
            <w:tcW w:w="1581" w:type="dxa"/>
            <w:noWrap w:val="0"/>
            <w:vAlign w:val="center"/>
          </w:tcPr>
          <w:p w14:paraId="73CBE659">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评标委员会推荐中标候选人的人数</w:t>
            </w:r>
          </w:p>
        </w:tc>
        <w:tc>
          <w:tcPr>
            <w:tcW w:w="7229" w:type="dxa"/>
            <w:noWrap w:val="0"/>
            <w:vAlign w:val="center"/>
          </w:tcPr>
          <w:p w14:paraId="1ED29C36">
            <w:pPr>
              <w:widowControl/>
              <w:adjustRightInd w:val="0"/>
              <w:snapToGrid w:val="0"/>
              <w:spacing w:line="288" w:lineRule="auto"/>
              <w:rPr>
                <w:rFonts w:ascii="宋体" w:hAnsi="宋体" w:cs="Calibri"/>
                <w:color w:val="auto"/>
                <w:sz w:val="24"/>
                <w:highlight w:val="none"/>
                <w:u w:val="single"/>
              </w:rPr>
            </w:pPr>
            <w:r>
              <w:rPr>
                <w:rFonts w:hint="eastAsia" w:ascii="宋体" w:hAnsi="宋体" w:eastAsia="仿宋" w:cs="Calibri"/>
                <w:color w:val="auto"/>
                <w:sz w:val="24"/>
                <w:highlight w:val="none"/>
              </w:rPr>
              <w:t>评标委员会推荐的中标候选人数量：1-3名</w:t>
            </w:r>
          </w:p>
        </w:tc>
      </w:tr>
      <w:tr w14:paraId="6B1C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8C91D2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7.1.1</w:t>
            </w:r>
          </w:p>
        </w:tc>
        <w:tc>
          <w:tcPr>
            <w:tcW w:w="1581" w:type="dxa"/>
            <w:noWrap w:val="0"/>
            <w:vAlign w:val="center"/>
          </w:tcPr>
          <w:p w14:paraId="5BDFB80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是否授权评标委员会确定中标人</w:t>
            </w:r>
          </w:p>
        </w:tc>
        <w:tc>
          <w:tcPr>
            <w:tcW w:w="7229" w:type="dxa"/>
            <w:noWrap w:val="0"/>
            <w:vAlign w:val="center"/>
          </w:tcPr>
          <w:p w14:paraId="44C48B48">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☑否</w:t>
            </w:r>
          </w:p>
          <w:p w14:paraId="75BFD92C">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□是</w:t>
            </w:r>
          </w:p>
        </w:tc>
      </w:tr>
      <w:tr w14:paraId="7516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A6B81EA">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7.1.2</w:t>
            </w:r>
          </w:p>
        </w:tc>
        <w:tc>
          <w:tcPr>
            <w:tcW w:w="1581" w:type="dxa"/>
            <w:noWrap w:val="0"/>
            <w:vAlign w:val="center"/>
          </w:tcPr>
          <w:p w14:paraId="3BA94ABB">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中标结果公告</w:t>
            </w:r>
          </w:p>
        </w:tc>
        <w:tc>
          <w:tcPr>
            <w:tcW w:w="7229" w:type="dxa"/>
            <w:noWrap w:val="0"/>
            <w:vAlign w:val="center"/>
          </w:tcPr>
          <w:p w14:paraId="44E07F2D">
            <w:pPr>
              <w:widowControl/>
              <w:adjustRightInd w:val="0"/>
              <w:snapToGrid w:val="0"/>
              <w:spacing w:line="288" w:lineRule="auto"/>
              <w:rPr>
                <w:rFonts w:hint="eastAsia" w:ascii="宋体" w:hAnsi="宋体" w:eastAsia="仿宋"/>
                <w:color w:val="auto"/>
                <w:sz w:val="24"/>
                <w:highlight w:val="none"/>
              </w:rPr>
            </w:pPr>
            <w:r>
              <w:rPr>
                <w:rFonts w:hint="eastAsia" w:ascii="宋体" w:hAnsi="宋体" w:eastAsia="仿宋"/>
                <w:color w:val="auto"/>
                <w:sz w:val="24"/>
                <w:highlight w:val="none"/>
              </w:rPr>
              <w:t>公告方式：在发布招标公告的媒介上发布本项目中标结果公告</w:t>
            </w:r>
          </w:p>
          <w:p w14:paraId="540B94B0">
            <w:pPr>
              <w:widowControl/>
              <w:adjustRightInd w:val="0"/>
              <w:snapToGrid w:val="0"/>
              <w:spacing w:line="288" w:lineRule="auto"/>
              <w:rPr>
                <w:rFonts w:hint="eastAsia" w:ascii="宋体" w:hAnsi="宋体"/>
                <w:color w:val="auto"/>
                <w:sz w:val="24"/>
                <w:highlight w:val="none"/>
                <w:u w:val="single"/>
              </w:rPr>
            </w:pPr>
            <w:r>
              <w:rPr>
                <w:rFonts w:hint="eastAsia" w:ascii="宋体" w:hAnsi="宋体" w:eastAsia="仿宋"/>
                <w:color w:val="auto"/>
                <w:sz w:val="24"/>
                <w:highlight w:val="none"/>
              </w:rPr>
              <w:t>公告内容：按照财政部《政府采购公告和公示信息格式规范（2020年版）》中的“中标（成交）结果公告”格式及内容编制</w:t>
            </w:r>
          </w:p>
        </w:tc>
      </w:tr>
      <w:tr w14:paraId="25FD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EB35B8C">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7.2.2</w:t>
            </w:r>
          </w:p>
        </w:tc>
        <w:tc>
          <w:tcPr>
            <w:tcW w:w="1581" w:type="dxa"/>
            <w:noWrap w:val="0"/>
            <w:vAlign w:val="center"/>
          </w:tcPr>
          <w:p w14:paraId="6CE7A037">
            <w:pPr>
              <w:widowControl/>
              <w:adjustRightInd w:val="0"/>
              <w:snapToGrid w:val="0"/>
              <w:spacing w:line="288" w:lineRule="auto"/>
              <w:jc w:val="center"/>
              <w:rPr>
                <w:rFonts w:hint="eastAsia" w:ascii="宋体" w:hAnsi="宋体" w:cs="Calibri"/>
                <w:color w:val="auto"/>
                <w:kern w:val="2"/>
                <w:sz w:val="24"/>
                <w:szCs w:val="24"/>
                <w:highlight w:val="none"/>
                <w:lang w:val="en-US" w:eastAsia="zh-CN" w:bidi="ar-SA"/>
              </w:rPr>
            </w:pPr>
            <w:r>
              <w:rPr>
                <w:rFonts w:hint="eastAsia" w:ascii="宋体" w:hAnsi="宋体" w:eastAsia="仿宋" w:cs="Calibri"/>
                <w:color w:val="auto"/>
                <w:sz w:val="24"/>
                <w:highlight w:val="none"/>
              </w:rPr>
              <w:t>招标代理服务费</w:t>
            </w:r>
          </w:p>
        </w:tc>
        <w:tc>
          <w:tcPr>
            <w:tcW w:w="7229" w:type="dxa"/>
            <w:noWrap w:val="0"/>
            <w:vAlign w:val="center"/>
          </w:tcPr>
          <w:p w14:paraId="336EADC9">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中标人须向招标代理机构按如下标准和规定交纳招标代理服务费：</w:t>
            </w:r>
          </w:p>
          <w:p w14:paraId="4931F64E">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（1）招标代理服务费收费以中标金额为计算基数，中标金额以中标通知书列明的金额为准。</w:t>
            </w:r>
          </w:p>
          <w:p w14:paraId="685EA6AA">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（2）招标代理服务费收费根据中标标的性质类型，按如下标准，差额定率累进法计算：</w:t>
            </w: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2"/>
              <w:gridCol w:w="1259"/>
              <w:gridCol w:w="1218"/>
              <w:gridCol w:w="1349"/>
            </w:tblGrid>
            <w:tr w14:paraId="37752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vMerge w:val="restart"/>
                  <w:noWrap/>
                  <w:vAlign w:val="center"/>
                </w:tcPr>
                <w:p w14:paraId="5DB5120B">
                  <w:pPr>
                    <w:tabs>
                      <w:tab w:val="left" w:pos="6255"/>
                    </w:tabs>
                    <w:spacing w:line="4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中标金额</w:t>
                  </w:r>
                </w:p>
                <w:p w14:paraId="210B5D27">
                  <w:pPr>
                    <w:tabs>
                      <w:tab w:val="left" w:pos="6255"/>
                    </w:tabs>
                    <w:spacing w:line="4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（万元）</w:t>
                  </w:r>
                </w:p>
              </w:tc>
              <w:tc>
                <w:tcPr>
                  <w:tcW w:w="3826" w:type="dxa"/>
                  <w:gridSpan w:val="3"/>
                  <w:noWrap/>
                  <w:vAlign w:val="center"/>
                </w:tcPr>
                <w:p w14:paraId="124B835A">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类型</w:t>
                  </w:r>
                </w:p>
              </w:tc>
            </w:tr>
            <w:tr w14:paraId="08FA5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vMerge w:val="continue"/>
                  <w:noWrap/>
                  <w:vAlign w:val="center"/>
                </w:tcPr>
                <w:p w14:paraId="6ACB4627">
                  <w:pPr>
                    <w:rPr>
                      <w:rFonts w:hint="eastAsia" w:ascii="仿宋" w:hAnsi="仿宋" w:eastAsia="仿宋" w:cs="仿宋"/>
                      <w:color w:val="auto"/>
                      <w:sz w:val="24"/>
                      <w:szCs w:val="24"/>
                      <w:highlight w:val="none"/>
                    </w:rPr>
                  </w:pPr>
                </w:p>
              </w:tc>
              <w:tc>
                <w:tcPr>
                  <w:tcW w:w="1259" w:type="dxa"/>
                  <w:noWrap/>
                  <w:vAlign w:val="center"/>
                </w:tcPr>
                <w:p w14:paraId="2C2F3E0C">
                  <w:pPr>
                    <w:tabs>
                      <w:tab w:val="left" w:pos="6255"/>
                    </w:tabs>
                    <w:spacing w:line="4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货物类</w:t>
                  </w:r>
                </w:p>
              </w:tc>
              <w:tc>
                <w:tcPr>
                  <w:tcW w:w="1218" w:type="dxa"/>
                  <w:noWrap/>
                  <w:vAlign w:val="center"/>
                </w:tcPr>
                <w:p w14:paraId="2047357F">
                  <w:pPr>
                    <w:tabs>
                      <w:tab w:val="left" w:pos="6255"/>
                    </w:tabs>
                    <w:spacing w:line="4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服务类</w:t>
                  </w:r>
                </w:p>
              </w:tc>
              <w:tc>
                <w:tcPr>
                  <w:tcW w:w="1349" w:type="dxa"/>
                  <w:noWrap/>
                  <w:vAlign w:val="center"/>
                </w:tcPr>
                <w:p w14:paraId="322A7A39">
                  <w:pPr>
                    <w:tabs>
                      <w:tab w:val="left" w:pos="6255"/>
                    </w:tabs>
                    <w:spacing w:line="48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工程类</w:t>
                  </w:r>
                </w:p>
              </w:tc>
            </w:tr>
            <w:tr w14:paraId="63D1B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noWrap/>
                  <w:vAlign w:val="center"/>
                </w:tcPr>
                <w:p w14:paraId="0C135A71">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100以下</w:t>
                  </w:r>
                </w:p>
              </w:tc>
              <w:tc>
                <w:tcPr>
                  <w:tcW w:w="1259" w:type="dxa"/>
                  <w:noWrap/>
                  <w:vAlign w:val="center"/>
                </w:tcPr>
                <w:p w14:paraId="219FD81E">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218" w:type="dxa"/>
                  <w:noWrap/>
                  <w:vAlign w:val="center"/>
                </w:tcPr>
                <w:p w14:paraId="42E7DD03">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1.50%</w:t>
                  </w:r>
                </w:p>
              </w:tc>
              <w:tc>
                <w:tcPr>
                  <w:tcW w:w="1349" w:type="dxa"/>
                  <w:noWrap/>
                  <w:vAlign w:val="center"/>
                </w:tcPr>
                <w:p w14:paraId="6B2E2E4A">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w:t>
                  </w:r>
                </w:p>
              </w:tc>
            </w:tr>
            <w:tr w14:paraId="79EEE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noWrap/>
                  <w:vAlign w:val="center"/>
                </w:tcPr>
                <w:p w14:paraId="35CF9FF3">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100-500</w:t>
                  </w:r>
                </w:p>
              </w:tc>
              <w:tc>
                <w:tcPr>
                  <w:tcW w:w="1259" w:type="dxa"/>
                  <w:noWrap/>
                  <w:vAlign w:val="center"/>
                </w:tcPr>
                <w:p w14:paraId="3ED2C074">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1218" w:type="dxa"/>
                  <w:noWrap/>
                  <w:vAlign w:val="center"/>
                </w:tcPr>
                <w:p w14:paraId="26F4C9EE">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0.80%</w:t>
                  </w:r>
                </w:p>
              </w:tc>
              <w:tc>
                <w:tcPr>
                  <w:tcW w:w="1349" w:type="dxa"/>
                  <w:noWrap/>
                  <w:vAlign w:val="center"/>
                </w:tcPr>
                <w:p w14:paraId="5FD204D4">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0.70%</w:t>
                  </w:r>
                </w:p>
              </w:tc>
            </w:tr>
            <w:tr w14:paraId="16E74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442" w:type="dxa"/>
                  <w:noWrap/>
                  <w:vAlign w:val="center"/>
                </w:tcPr>
                <w:p w14:paraId="3AD09752">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500-1000</w:t>
                  </w:r>
                </w:p>
              </w:tc>
              <w:tc>
                <w:tcPr>
                  <w:tcW w:w="1259" w:type="dxa"/>
                  <w:noWrap/>
                  <w:vAlign w:val="center"/>
                </w:tcPr>
                <w:p w14:paraId="4FFC21CB">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1218" w:type="dxa"/>
                  <w:noWrap/>
                  <w:vAlign w:val="center"/>
                </w:tcPr>
                <w:p w14:paraId="602878C0">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0.45%</w:t>
                  </w:r>
                </w:p>
              </w:tc>
              <w:tc>
                <w:tcPr>
                  <w:tcW w:w="1349" w:type="dxa"/>
                  <w:noWrap/>
                  <w:vAlign w:val="center"/>
                </w:tcPr>
                <w:p w14:paraId="65E0A228">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0.55%</w:t>
                  </w:r>
                </w:p>
              </w:tc>
            </w:tr>
            <w:tr w14:paraId="36FB1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442" w:type="dxa"/>
                  <w:noWrap/>
                  <w:vAlign w:val="center"/>
                </w:tcPr>
                <w:p w14:paraId="06DE09E1">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1000-5000</w:t>
                  </w:r>
                </w:p>
              </w:tc>
              <w:tc>
                <w:tcPr>
                  <w:tcW w:w="1259" w:type="dxa"/>
                  <w:noWrap/>
                  <w:vAlign w:val="center"/>
                </w:tcPr>
                <w:p w14:paraId="0883F8E9">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0.5%</w:t>
                  </w:r>
                </w:p>
              </w:tc>
              <w:tc>
                <w:tcPr>
                  <w:tcW w:w="1218" w:type="dxa"/>
                  <w:noWrap/>
                  <w:vAlign w:val="center"/>
                </w:tcPr>
                <w:p w14:paraId="450CF376">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349" w:type="dxa"/>
                  <w:noWrap/>
                  <w:vAlign w:val="center"/>
                </w:tcPr>
                <w:p w14:paraId="25D7DEFF">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0.35%</w:t>
                  </w:r>
                </w:p>
              </w:tc>
            </w:tr>
            <w:tr w14:paraId="1404A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442" w:type="dxa"/>
                  <w:noWrap/>
                  <w:vAlign w:val="center"/>
                </w:tcPr>
                <w:p w14:paraId="28996CB8">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5000-10000</w:t>
                  </w:r>
                </w:p>
              </w:tc>
              <w:tc>
                <w:tcPr>
                  <w:tcW w:w="1259" w:type="dxa"/>
                  <w:noWrap/>
                  <w:vAlign w:val="center"/>
                </w:tcPr>
                <w:p w14:paraId="0E645AC4">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0.25%</w:t>
                  </w:r>
                </w:p>
              </w:tc>
              <w:tc>
                <w:tcPr>
                  <w:tcW w:w="1218" w:type="dxa"/>
                  <w:noWrap/>
                  <w:vAlign w:val="center"/>
                </w:tcPr>
                <w:p w14:paraId="2FA99D44">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0.10%</w:t>
                  </w:r>
                </w:p>
              </w:tc>
              <w:tc>
                <w:tcPr>
                  <w:tcW w:w="1349" w:type="dxa"/>
                  <w:noWrap/>
                  <w:vAlign w:val="center"/>
                </w:tcPr>
                <w:p w14:paraId="76FD8C4A">
                  <w:pPr>
                    <w:tabs>
                      <w:tab w:val="left" w:pos="6255"/>
                    </w:tabs>
                    <w:spacing w:line="48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0.20%</w:t>
                  </w:r>
                </w:p>
              </w:tc>
            </w:tr>
            <w:tr w14:paraId="5E9EE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5268" w:type="dxa"/>
                  <w:gridSpan w:val="4"/>
                  <w:noWrap/>
                  <w:vAlign w:val="center"/>
                </w:tcPr>
                <w:p w14:paraId="0F6B1198">
                  <w:pPr>
                    <w:widowControl/>
                    <w:spacing w:line="28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中标人</w:t>
                  </w:r>
                  <w:r>
                    <w:rPr>
                      <w:rFonts w:hint="eastAsia" w:ascii="仿宋" w:hAnsi="仿宋" w:eastAsia="仿宋" w:cs="仿宋"/>
                      <w:color w:val="auto"/>
                      <w:sz w:val="24"/>
                      <w:szCs w:val="24"/>
                      <w:highlight w:val="none"/>
                    </w:rPr>
                    <w:t>应参照以上规定的</w:t>
                  </w:r>
                  <w:r>
                    <w:rPr>
                      <w:rFonts w:hint="eastAsia" w:ascii="仿宋" w:hAnsi="仿宋" w:eastAsia="仿宋" w:cs="仿宋"/>
                      <w:color w:val="auto"/>
                      <w:sz w:val="24"/>
                      <w:szCs w:val="24"/>
                      <w:highlight w:val="none"/>
                      <w:lang w:val="en-US" w:eastAsia="zh-CN"/>
                    </w:rPr>
                    <w:t>货物类</w:t>
                  </w:r>
                  <w:r>
                    <w:rPr>
                      <w:rFonts w:hint="eastAsia" w:ascii="仿宋" w:hAnsi="仿宋" w:eastAsia="仿宋" w:cs="仿宋"/>
                      <w:color w:val="auto"/>
                      <w:sz w:val="24"/>
                      <w:szCs w:val="24"/>
                      <w:highlight w:val="none"/>
                    </w:rPr>
                    <w:t>标准</w:t>
                  </w:r>
                  <w:r>
                    <w:rPr>
                      <w:rFonts w:hint="eastAsia" w:ascii="仿宋" w:hAnsi="仿宋" w:eastAsia="仿宋" w:cs="仿宋"/>
                      <w:color w:val="auto"/>
                      <w:sz w:val="24"/>
                      <w:szCs w:val="24"/>
                      <w:highlight w:val="none"/>
                      <w:lang w:val="en-US" w:eastAsia="zh-CN"/>
                    </w:rPr>
                    <w:t>*70%</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代理机构交纳采购代理服务费。</w:t>
                  </w:r>
                </w:p>
              </w:tc>
            </w:tr>
          </w:tbl>
          <w:p w14:paraId="5547C6C7">
            <w:pPr>
              <w:widowControl/>
              <w:adjustRightInd w:val="0"/>
              <w:snapToGrid w:val="0"/>
              <w:spacing w:line="288" w:lineRule="auto"/>
              <w:rPr>
                <w:rFonts w:hint="eastAsia" w:ascii="楷体" w:hAnsi="楷体" w:eastAsia="仿宋" w:cs="Calibri"/>
                <w:color w:val="auto"/>
                <w:kern w:val="2"/>
                <w:sz w:val="24"/>
                <w:szCs w:val="24"/>
                <w:highlight w:val="none"/>
                <w:lang w:val="en-US" w:eastAsia="zh-CN" w:bidi="ar-SA"/>
              </w:rPr>
            </w:pPr>
          </w:p>
        </w:tc>
      </w:tr>
      <w:tr w14:paraId="7B26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8E32261">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7.3.1</w:t>
            </w:r>
          </w:p>
        </w:tc>
        <w:tc>
          <w:tcPr>
            <w:tcW w:w="1581" w:type="dxa"/>
            <w:noWrap w:val="0"/>
            <w:vAlign w:val="center"/>
          </w:tcPr>
          <w:p w14:paraId="6E10D468">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履约保证金</w:t>
            </w:r>
          </w:p>
        </w:tc>
        <w:tc>
          <w:tcPr>
            <w:tcW w:w="7229" w:type="dxa"/>
            <w:noWrap w:val="0"/>
            <w:vAlign w:val="top"/>
          </w:tcPr>
          <w:p w14:paraId="34CA0A9C">
            <w:pPr>
              <w:kinsoku w:val="0"/>
              <w:overflowPunct w:val="0"/>
              <w:autoSpaceDE w:val="0"/>
              <w:autoSpaceDN w:val="0"/>
              <w:adjustRightInd w:val="0"/>
              <w:snapToGrid w:val="0"/>
              <w:spacing w:line="288" w:lineRule="auto"/>
              <w:rPr>
                <w:rFonts w:hint="eastAsia" w:eastAsia="仿宋"/>
                <w:color w:val="auto"/>
                <w:sz w:val="24"/>
                <w:highlight w:val="none"/>
              </w:rPr>
            </w:pPr>
            <w:r>
              <w:rPr>
                <w:rFonts w:hint="eastAsia" w:eastAsia="仿宋"/>
                <w:color w:val="auto"/>
                <w:sz w:val="24"/>
                <w:highlight w:val="none"/>
              </w:rPr>
              <w:t>是否要求投标人提交履约保证金：</w:t>
            </w:r>
          </w:p>
          <w:p w14:paraId="11201B30">
            <w:pPr>
              <w:kinsoku w:val="0"/>
              <w:overflowPunct w:val="0"/>
              <w:autoSpaceDE w:val="0"/>
              <w:autoSpaceDN w:val="0"/>
              <w:adjustRightInd w:val="0"/>
              <w:snapToGrid w:val="0"/>
              <w:spacing w:line="288" w:lineRule="auto"/>
              <w:rPr>
                <w:rFonts w:hint="eastAsia" w:ascii="宋体" w:hAnsi="宋体" w:eastAsia="仿宋"/>
                <w:color w:val="auto"/>
                <w:sz w:val="24"/>
                <w:highlight w:val="none"/>
              </w:rPr>
            </w:pPr>
            <w:r>
              <w:rPr>
                <w:rFonts w:hint="eastAsia" w:ascii="宋体" w:hAnsi="宋体" w:eastAsia="仿宋"/>
                <w:color w:val="auto"/>
                <w:sz w:val="24"/>
                <w:highlight w:val="none"/>
              </w:rPr>
              <w:t>□</w:t>
            </w:r>
            <w:r>
              <w:rPr>
                <w:rFonts w:hint="eastAsia" w:eastAsia="仿宋"/>
                <w:color w:val="auto"/>
                <w:sz w:val="24"/>
                <w:highlight w:val="none"/>
              </w:rPr>
              <w:t>不要求。</w:t>
            </w:r>
          </w:p>
          <w:p w14:paraId="0CA75CEB">
            <w:pPr>
              <w:widowControl/>
              <w:adjustRightInd w:val="0"/>
              <w:snapToGrid w:val="0"/>
              <w:spacing w:line="288" w:lineRule="auto"/>
              <w:rPr>
                <w:rFonts w:ascii="宋体" w:hAnsi="宋体" w:eastAsia="仿宋"/>
                <w:color w:val="auto"/>
                <w:sz w:val="24"/>
                <w:highlight w:val="none"/>
              </w:rPr>
            </w:pPr>
            <w:r>
              <w:rPr>
                <w:rFonts w:hint="eastAsia" w:ascii="宋体" w:hAnsi="宋体" w:eastAsia="仿宋"/>
                <w:color w:val="auto"/>
                <w:sz w:val="24"/>
                <w:highlight w:val="none"/>
              </w:rPr>
              <w:t>☑</w:t>
            </w:r>
            <w:r>
              <w:rPr>
                <w:rFonts w:hint="eastAsia" w:eastAsia="仿宋"/>
                <w:color w:val="auto"/>
                <w:sz w:val="24"/>
                <w:highlight w:val="none"/>
              </w:rPr>
              <w:t>要求，</w:t>
            </w:r>
            <w:r>
              <w:rPr>
                <w:rFonts w:ascii="宋体" w:hAnsi="宋体" w:eastAsia="仿宋"/>
                <w:color w:val="auto"/>
                <w:sz w:val="24"/>
                <w:highlight w:val="none"/>
              </w:rPr>
              <w:t>履约保证金的形式：</w:t>
            </w:r>
            <w:r>
              <w:rPr>
                <w:rFonts w:hint="eastAsia" w:ascii="楷体" w:hAnsi="楷体" w:eastAsia="仿宋"/>
                <w:color w:val="auto"/>
                <w:sz w:val="24"/>
                <w:highlight w:val="none"/>
              </w:rPr>
              <w:t>保函（格式：见招标文件第五章附件）、转账/电汇、支票、汇票、本票、保险</w:t>
            </w:r>
          </w:p>
          <w:p w14:paraId="1F3A9758">
            <w:pPr>
              <w:widowControl/>
              <w:adjustRightInd w:val="0"/>
              <w:snapToGrid w:val="0"/>
              <w:spacing w:line="288" w:lineRule="auto"/>
              <w:rPr>
                <w:rFonts w:hint="eastAsia" w:ascii="宋体" w:hAnsi="宋体" w:eastAsia="仿宋"/>
                <w:color w:val="auto"/>
                <w:sz w:val="24"/>
                <w:highlight w:val="none"/>
              </w:rPr>
            </w:pPr>
            <w:r>
              <w:rPr>
                <w:rFonts w:ascii="宋体" w:hAnsi="宋体" w:eastAsia="仿宋"/>
                <w:color w:val="auto"/>
                <w:sz w:val="24"/>
                <w:highlight w:val="none"/>
              </w:rPr>
              <w:t>履约保证金的金额：</w:t>
            </w:r>
            <w:r>
              <w:rPr>
                <w:rFonts w:hint="eastAsia" w:ascii="楷体" w:hAnsi="楷体" w:eastAsia="仿宋"/>
                <w:color w:val="auto"/>
                <w:sz w:val="24"/>
                <w:highlight w:val="none"/>
              </w:rPr>
              <w:t>合同金额的2.5%</w:t>
            </w:r>
          </w:p>
          <w:p w14:paraId="4C902E27">
            <w:pPr>
              <w:pStyle w:val="10"/>
              <w:widowControl/>
              <w:adjustRightInd w:val="0"/>
              <w:snapToGrid w:val="0"/>
              <w:spacing w:line="288" w:lineRule="auto"/>
              <w:rPr>
                <w:rFonts w:hint="eastAsia" w:ascii="楷体" w:hAnsi="楷体" w:eastAsia="仿宋"/>
                <w:color w:val="auto"/>
                <w:sz w:val="24"/>
                <w:szCs w:val="24"/>
                <w:highlight w:val="none"/>
              </w:rPr>
            </w:pPr>
            <w:r>
              <w:rPr>
                <w:rFonts w:hint="eastAsia" w:hAnsi="宋体" w:eastAsia="仿宋"/>
                <w:color w:val="auto"/>
                <w:sz w:val="24"/>
                <w:szCs w:val="24"/>
                <w:highlight w:val="none"/>
              </w:rPr>
              <w:t>履约保证金提交时间：采购</w:t>
            </w:r>
            <w:r>
              <w:rPr>
                <w:rFonts w:hint="eastAsia" w:ascii="楷体" w:hAnsi="楷体" w:eastAsia="仿宋"/>
                <w:color w:val="auto"/>
                <w:sz w:val="24"/>
                <w:szCs w:val="24"/>
                <w:highlight w:val="none"/>
              </w:rPr>
              <w:t>合同签订前</w:t>
            </w:r>
          </w:p>
          <w:p w14:paraId="119724AD">
            <w:pPr>
              <w:pStyle w:val="10"/>
              <w:widowControl/>
              <w:adjustRightInd w:val="0"/>
              <w:snapToGrid w:val="0"/>
              <w:spacing w:line="288" w:lineRule="auto"/>
              <w:rPr>
                <w:rFonts w:hint="eastAsia" w:ascii="楷体" w:hAnsi="楷体" w:eastAsia="仿宋"/>
                <w:color w:val="auto"/>
                <w:sz w:val="24"/>
                <w:szCs w:val="24"/>
                <w:highlight w:val="none"/>
              </w:rPr>
            </w:pPr>
            <w:r>
              <w:rPr>
                <w:rFonts w:hint="eastAsia" w:hAnsi="宋体" w:eastAsia="仿宋"/>
                <w:color w:val="auto"/>
                <w:sz w:val="24"/>
                <w:szCs w:val="24"/>
                <w:highlight w:val="none"/>
              </w:rPr>
              <w:t>履约保证金退还时间：</w:t>
            </w:r>
            <w:r>
              <w:rPr>
                <w:rFonts w:hint="eastAsia" w:ascii="楷体" w:hAnsi="楷体" w:eastAsia="仿宋"/>
                <w:color w:val="auto"/>
                <w:sz w:val="24"/>
                <w:szCs w:val="24"/>
                <w:highlight w:val="none"/>
              </w:rPr>
              <w:t>验收合格后退还</w:t>
            </w:r>
          </w:p>
          <w:p w14:paraId="2A8CFE9A">
            <w:pPr>
              <w:pStyle w:val="10"/>
              <w:widowControl/>
              <w:adjustRightInd w:val="0"/>
              <w:snapToGrid w:val="0"/>
              <w:spacing w:line="288" w:lineRule="auto"/>
              <w:rPr>
                <w:rFonts w:hint="eastAsia" w:hAnsi="宋体" w:eastAsia="仿宋"/>
                <w:color w:val="auto"/>
                <w:sz w:val="24"/>
                <w:szCs w:val="24"/>
                <w:highlight w:val="none"/>
              </w:rPr>
            </w:pPr>
            <w:r>
              <w:rPr>
                <w:rFonts w:hint="eastAsia" w:hAnsi="宋体" w:eastAsia="仿宋"/>
                <w:color w:val="auto"/>
                <w:sz w:val="24"/>
                <w:szCs w:val="24"/>
                <w:highlight w:val="none"/>
              </w:rPr>
              <w:t>未按规定提交履约保证金，视为中标人拒绝与采购人签订合同。采购人可按评标委员会推荐的中标候选人名单排序确定下一候选人为中标人，或者重新开展采购活动。</w:t>
            </w:r>
          </w:p>
          <w:p w14:paraId="6D2D552D">
            <w:pPr>
              <w:pStyle w:val="10"/>
              <w:widowControl/>
              <w:adjustRightInd w:val="0"/>
              <w:snapToGrid w:val="0"/>
              <w:spacing w:line="288" w:lineRule="auto"/>
              <w:rPr>
                <w:rFonts w:hint="eastAsia" w:hAnsi="宋体" w:eastAsia="仿宋"/>
                <w:color w:val="auto"/>
                <w:sz w:val="24"/>
                <w:szCs w:val="24"/>
                <w:highlight w:val="none"/>
              </w:rPr>
            </w:pPr>
          </w:p>
          <w:p w14:paraId="4D02F5C1">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保函要求：</w:t>
            </w:r>
          </w:p>
          <w:p w14:paraId="6CB09EE5">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72FCA0F0">
            <w:pPr>
              <w:widowControl/>
              <w:adjustRightInd w:val="0"/>
              <w:snapToGrid w:val="0"/>
              <w:spacing w:line="288" w:lineRule="auto"/>
              <w:rPr>
                <w:rFonts w:ascii="宋体" w:hAnsi="宋体" w:cs="Calibri"/>
                <w:color w:val="auto"/>
                <w:sz w:val="24"/>
                <w:highlight w:val="none"/>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电子保函</w:t>
            </w:r>
          </w:p>
          <w:p w14:paraId="06F001B2">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4DC65141">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①如采用银行保函，银行保函应为见索即付无条件独立保函，且应将原件交至采购人保管。</w:t>
            </w:r>
          </w:p>
          <w:p w14:paraId="2AD0FAF1">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337A5A64">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6B17CB06">
            <w:pPr>
              <w:widowControl/>
              <w:adjustRightInd w:val="0"/>
              <w:snapToGrid w:val="0"/>
              <w:spacing w:line="288" w:lineRule="auto"/>
              <w:rPr>
                <w:rFonts w:hint="eastAsia" w:ascii="宋体" w:hAnsi="宋体" w:eastAsia="仿宋" w:cs="Calibri"/>
                <w:color w:val="auto"/>
                <w:sz w:val="24"/>
                <w:highlight w:val="none"/>
              </w:rPr>
            </w:pPr>
            <w:r>
              <w:rPr>
                <w:rFonts w:hint="eastAsia" w:ascii="仿宋" w:hAnsi="仿宋" w:eastAsia="仿宋" w:cs="仿宋"/>
                <w:color w:val="auto"/>
                <w:sz w:val="24"/>
                <w:highlight w:val="none"/>
                <w:lang w:bidi="ar"/>
              </w:rPr>
              <w:t>④</w:t>
            </w:r>
            <w:r>
              <w:rPr>
                <w:rFonts w:hint="eastAsia" w:ascii="宋体" w:hAnsi="宋体" w:eastAsia="仿宋" w:cs="Calibri"/>
                <w:color w:val="auto"/>
                <w:sz w:val="24"/>
                <w:highlight w:val="none"/>
                <w:lang w:bidi="ar"/>
              </w:rPr>
              <w:t>采用电子保函的，</w:t>
            </w:r>
            <w:r>
              <w:rPr>
                <w:rFonts w:hint="eastAsia" w:ascii="宋体" w:hAnsi="宋体" w:eastAsia="仿宋"/>
                <w:color w:val="auto"/>
                <w:sz w:val="24"/>
                <w:highlight w:val="none"/>
              </w:rPr>
              <w:t>可访问安徽省政府采购网“融资/保函”栏目进行申请。</w:t>
            </w:r>
          </w:p>
        </w:tc>
      </w:tr>
      <w:tr w14:paraId="3697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5354F95">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7.4.1</w:t>
            </w:r>
          </w:p>
        </w:tc>
        <w:tc>
          <w:tcPr>
            <w:tcW w:w="1581" w:type="dxa"/>
            <w:noWrap w:val="0"/>
            <w:vAlign w:val="center"/>
          </w:tcPr>
          <w:p w14:paraId="58B72F9F">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合同签订时间</w:t>
            </w:r>
          </w:p>
        </w:tc>
        <w:tc>
          <w:tcPr>
            <w:tcW w:w="7229" w:type="dxa"/>
            <w:noWrap w:val="0"/>
            <w:vAlign w:val="center"/>
          </w:tcPr>
          <w:p w14:paraId="2FADCD54">
            <w:pPr>
              <w:pStyle w:val="10"/>
              <w:widowControl/>
              <w:adjustRightInd w:val="0"/>
              <w:snapToGrid w:val="0"/>
              <w:spacing w:line="288" w:lineRule="auto"/>
              <w:rPr>
                <w:rFonts w:hint="eastAsia" w:hAnsi="宋体"/>
                <w:color w:val="auto"/>
                <w:sz w:val="24"/>
                <w:szCs w:val="24"/>
                <w:highlight w:val="none"/>
              </w:rPr>
            </w:pPr>
            <w:r>
              <w:rPr>
                <w:rFonts w:hint="eastAsia" w:ascii="楷体" w:hAnsi="楷体" w:eastAsia="仿宋" w:cs="楷体"/>
                <w:color w:val="auto"/>
                <w:sz w:val="24"/>
                <w:szCs w:val="24"/>
                <w:highlight w:val="none"/>
              </w:rPr>
              <w:t>中标结果公告发布（中标通知书发出）之日起7个工作日内</w:t>
            </w:r>
          </w:p>
        </w:tc>
      </w:tr>
      <w:tr w14:paraId="54CC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50C09F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9.1.1</w:t>
            </w:r>
          </w:p>
        </w:tc>
        <w:tc>
          <w:tcPr>
            <w:tcW w:w="1581" w:type="dxa"/>
            <w:noWrap w:val="0"/>
            <w:vAlign w:val="center"/>
          </w:tcPr>
          <w:p w14:paraId="563A68AE">
            <w:pPr>
              <w:widowControl/>
              <w:adjustRightInd w:val="0"/>
              <w:snapToGrid w:val="0"/>
              <w:spacing w:line="288" w:lineRule="auto"/>
              <w:jc w:val="center"/>
              <w:rPr>
                <w:rFonts w:ascii="宋体" w:hAnsi="宋体" w:eastAsia="仿宋" w:cs="Calibri"/>
                <w:color w:val="auto"/>
                <w:sz w:val="24"/>
                <w:highlight w:val="none"/>
              </w:rPr>
            </w:pPr>
            <w:r>
              <w:rPr>
                <w:rFonts w:eastAsia="仿宋"/>
                <w:color w:val="auto"/>
                <w:sz w:val="24"/>
                <w:highlight w:val="none"/>
              </w:rPr>
              <w:t>投标人</w:t>
            </w:r>
            <w:r>
              <w:rPr>
                <w:rFonts w:hint="eastAsia" w:eastAsia="仿宋"/>
                <w:color w:val="auto"/>
                <w:sz w:val="24"/>
                <w:highlight w:val="none"/>
              </w:rPr>
              <w:t>提出询问</w:t>
            </w:r>
            <w:r>
              <w:rPr>
                <w:rFonts w:hint="eastAsia" w:ascii="宋体" w:hAnsi="宋体" w:eastAsia="仿宋" w:cs="Calibri"/>
                <w:color w:val="auto"/>
                <w:sz w:val="24"/>
                <w:highlight w:val="none"/>
              </w:rPr>
              <w:t>的时间</w:t>
            </w:r>
          </w:p>
        </w:tc>
        <w:tc>
          <w:tcPr>
            <w:tcW w:w="7229" w:type="dxa"/>
            <w:noWrap w:val="0"/>
            <w:vAlign w:val="center"/>
          </w:tcPr>
          <w:p w14:paraId="10608EF0">
            <w:pPr>
              <w:widowControl/>
              <w:adjustRightInd w:val="0"/>
              <w:snapToGrid w:val="0"/>
              <w:spacing w:line="288" w:lineRule="auto"/>
              <w:rPr>
                <w:rFonts w:hint="eastAsia" w:ascii="宋体" w:hAnsi="宋体" w:eastAsia="仿宋" w:cs="Calibri"/>
                <w:color w:val="auto"/>
                <w:sz w:val="24"/>
                <w:highlight w:val="none"/>
              </w:rPr>
            </w:pPr>
            <w:r>
              <w:rPr>
                <w:rFonts w:hint="eastAsia" w:eastAsia="仿宋"/>
                <w:color w:val="auto"/>
                <w:sz w:val="24"/>
                <w:highlight w:val="none"/>
              </w:rPr>
              <w:t>提出</w:t>
            </w:r>
            <w:r>
              <w:rPr>
                <w:rFonts w:hint="eastAsia" w:ascii="宋体" w:hAnsi="宋体" w:eastAsia="仿宋" w:cs="Calibri"/>
                <w:color w:val="auto"/>
                <w:sz w:val="24"/>
                <w:highlight w:val="none"/>
              </w:rPr>
              <w:t>时间：</w:t>
            </w:r>
            <w:r>
              <w:rPr>
                <w:rFonts w:ascii="楷体" w:hAnsi="楷体" w:eastAsia="仿宋"/>
                <w:color w:val="auto"/>
                <w:sz w:val="24"/>
                <w:highlight w:val="none"/>
              </w:rPr>
              <w:t>在</w:t>
            </w:r>
            <w:r>
              <w:rPr>
                <w:rFonts w:hint="eastAsia" w:ascii="楷体" w:hAnsi="楷体" w:eastAsia="仿宋"/>
                <w:color w:val="auto"/>
                <w:sz w:val="24"/>
                <w:highlight w:val="none"/>
              </w:rPr>
              <w:t>投标截止时间16日</w:t>
            </w:r>
            <w:r>
              <w:rPr>
                <w:rFonts w:ascii="楷体" w:hAnsi="楷体" w:eastAsia="仿宋"/>
                <w:color w:val="auto"/>
                <w:sz w:val="24"/>
                <w:highlight w:val="none"/>
              </w:rPr>
              <w:t>前（以收到日期为准）</w:t>
            </w:r>
          </w:p>
          <w:p w14:paraId="585A02BF">
            <w:pPr>
              <w:widowControl/>
              <w:adjustRightInd w:val="0"/>
              <w:snapToGrid w:val="0"/>
              <w:spacing w:line="288" w:lineRule="auto"/>
              <w:rPr>
                <w:rFonts w:hint="eastAsia" w:ascii="楷体" w:hAnsi="楷体" w:eastAsia="仿宋"/>
                <w:color w:val="auto"/>
                <w:sz w:val="24"/>
                <w:highlight w:val="none"/>
                <w:u w:val="single"/>
              </w:rPr>
            </w:pPr>
            <w:r>
              <w:rPr>
                <w:rFonts w:hint="eastAsia" w:ascii="宋体" w:hAnsi="宋体" w:eastAsia="仿宋"/>
                <w:color w:val="auto"/>
                <w:sz w:val="24"/>
                <w:highlight w:val="none"/>
              </w:rPr>
              <w:t>询问函格式：见本章附件二</w:t>
            </w:r>
          </w:p>
        </w:tc>
      </w:tr>
      <w:tr w14:paraId="2EA0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9D8A3B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9.2.1</w:t>
            </w:r>
          </w:p>
        </w:tc>
        <w:tc>
          <w:tcPr>
            <w:tcW w:w="1581" w:type="dxa"/>
            <w:noWrap w:val="0"/>
            <w:vAlign w:val="center"/>
          </w:tcPr>
          <w:p w14:paraId="5143A00A">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投标人提出质疑的时间</w:t>
            </w:r>
          </w:p>
        </w:tc>
        <w:tc>
          <w:tcPr>
            <w:tcW w:w="7229" w:type="dxa"/>
            <w:noWrap w:val="0"/>
            <w:vAlign w:val="center"/>
          </w:tcPr>
          <w:p w14:paraId="339006E0">
            <w:pPr>
              <w:widowControl/>
              <w:adjustRightInd w:val="0"/>
              <w:snapToGrid w:val="0"/>
              <w:spacing w:line="288" w:lineRule="auto"/>
              <w:rPr>
                <w:rFonts w:hint="eastAsia" w:ascii="宋体" w:hAnsi="宋体" w:eastAsia="仿宋" w:cs="Calibri"/>
                <w:color w:val="auto"/>
                <w:sz w:val="24"/>
                <w:highlight w:val="none"/>
                <w:u w:val="single"/>
              </w:rPr>
            </w:pPr>
            <w:r>
              <w:rPr>
                <w:rFonts w:hint="eastAsia" w:eastAsia="仿宋"/>
                <w:color w:val="auto"/>
                <w:sz w:val="24"/>
                <w:highlight w:val="none"/>
              </w:rPr>
              <w:t>提出</w:t>
            </w:r>
            <w:r>
              <w:rPr>
                <w:rFonts w:hint="eastAsia" w:ascii="宋体" w:hAnsi="宋体" w:eastAsia="仿宋" w:cs="Calibri"/>
                <w:color w:val="auto"/>
                <w:sz w:val="24"/>
                <w:highlight w:val="none"/>
              </w:rPr>
              <w:t>时间：</w:t>
            </w:r>
            <w:r>
              <w:rPr>
                <w:rFonts w:hint="eastAsia" w:ascii="楷体" w:hAnsi="楷体" w:eastAsia="仿宋" w:cs="Calibri"/>
                <w:color w:val="auto"/>
                <w:sz w:val="24"/>
                <w:highlight w:val="none"/>
              </w:rPr>
              <w:t>知道或者应知其权益受到损害之日起7个工作日内</w:t>
            </w:r>
          </w:p>
          <w:p w14:paraId="53C7B99C">
            <w:pPr>
              <w:widowControl/>
              <w:adjustRightInd w:val="0"/>
              <w:snapToGrid w:val="0"/>
              <w:spacing w:line="288" w:lineRule="auto"/>
              <w:rPr>
                <w:rFonts w:ascii="宋体" w:hAnsi="宋体" w:eastAsia="仿宋"/>
                <w:color w:val="auto"/>
                <w:sz w:val="24"/>
                <w:highlight w:val="none"/>
              </w:rPr>
            </w:pPr>
            <w:r>
              <w:rPr>
                <w:rFonts w:hint="eastAsia" w:ascii="宋体" w:hAnsi="宋体" w:eastAsia="仿宋"/>
                <w:color w:val="auto"/>
                <w:sz w:val="24"/>
                <w:highlight w:val="none"/>
              </w:rPr>
              <w:t>质疑函格式：见本章附件二</w:t>
            </w:r>
          </w:p>
        </w:tc>
      </w:tr>
      <w:tr w14:paraId="7D6D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EC7A1B4">
            <w:pPr>
              <w:widowControl/>
              <w:adjustRightInd w:val="0"/>
              <w:snapToGrid w:val="0"/>
              <w:spacing w:line="288" w:lineRule="auto"/>
              <w:jc w:val="center"/>
              <w:rPr>
                <w:rFonts w:ascii="宋体" w:hAnsi="宋体" w:eastAsia="仿宋" w:cs="Calibri"/>
                <w:color w:val="auto"/>
                <w:sz w:val="24"/>
                <w:highlight w:val="none"/>
              </w:rPr>
            </w:pPr>
            <w:r>
              <w:rPr>
                <w:rFonts w:hint="eastAsia" w:ascii="宋体" w:hAnsi="宋体" w:eastAsia="仿宋" w:cs="Calibri"/>
                <w:color w:val="auto"/>
                <w:sz w:val="24"/>
                <w:highlight w:val="none"/>
              </w:rPr>
              <w:t>9.2.2</w:t>
            </w:r>
          </w:p>
        </w:tc>
        <w:tc>
          <w:tcPr>
            <w:tcW w:w="1581" w:type="dxa"/>
            <w:noWrap w:val="0"/>
            <w:vAlign w:val="center"/>
          </w:tcPr>
          <w:p w14:paraId="29A5C5D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olor w:val="auto"/>
                <w:sz w:val="24"/>
                <w:highlight w:val="none"/>
              </w:rPr>
              <w:t>接收质疑的联系方式</w:t>
            </w:r>
          </w:p>
        </w:tc>
        <w:tc>
          <w:tcPr>
            <w:tcW w:w="7229" w:type="dxa"/>
            <w:noWrap w:val="0"/>
            <w:vAlign w:val="center"/>
          </w:tcPr>
          <w:p w14:paraId="1F0B832D">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采购代理机构：安徽省招标集团股份有限公司</w:t>
            </w:r>
          </w:p>
          <w:p w14:paraId="1216D99C">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地址：安徽省合肥市包河区紫云路888号安徽省招标集团总部基地407室。（法务办公室）</w:t>
            </w:r>
          </w:p>
          <w:p w14:paraId="78869C75">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联系电话：0551-62220155</w:t>
            </w:r>
          </w:p>
          <w:p w14:paraId="455286D6">
            <w:pPr>
              <w:widowControl/>
              <w:adjustRightInd w:val="0"/>
              <w:snapToGrid w:val="0"/>
              <w:spacing w:line="288" w:lineRule="auto"/>
              <w:rPr>
                <w:rFonts w:hint="eastAsia" w:ascii="宋体" w:hAnsi="宋体" w:cs="Calibri"/>
                <w:color w:val="auto"/>
                <w:sz w:val="24"/>
                <w:highlight w:val="none"/>
              </w:rPr>
            </w:pPr>
            <w:r>
              <w:rPr>
                <w:rFonts w:hint="eastAsia" w:ascii="宋体" w:hAnsi="宋体" w:eastAsia="仿宋" w:cs="Calibri"/>
                <w:color w:val="auto"/>
                <w:sz w:val="24"/>
                <w:highlight w:val="none"/>
              </w:rPr>
              <w:t>联系人：张怀远</w:t>
            </w:r>
          </w:p>
        </w:tc>
      </w:tr>
      <w:tr w14:paraId="1D72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93A3125">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11.1.1</w:t>
            </w:r>
          </w:p>
        </w:tc>
        <w:tc>
          <w:tcPr>
            <w:tcW w:w="1581" w:type="dxa"/>
            <w:noWrap w:val="0"/>
            <w:vAlign w:val="center"/>
          </w:tcPr>
          <w:p w14:paraId="2C9CFAD2">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olor w:val="auto"/>
                <w:sz w:val="24"/>
                <w:highlight w:val="none"/>
              </w:rPr>
              <w:t>是否有强制采购的节能产品</w:t>
            </w:r>
          </w:p>
        </w:tc>
        <w:tc>
          <w:tcPr>
            <w:tcW w:w="7229" w:type="dxa"/>
            <w:noWrap w:val="0"/>
            <w:vAlign w:val="top"/>
          </w:tcPr>
          <w:p w14:paraId="22FB4CFF">
            <w:pPr>
              <w:widowControl/>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☑没有</w:t>
            </w:r>
          </w:p>
          <w:p w14:paraId="17183CD9">
            <w:pPr>
              <w:widowControl/>
              <w:snapToGrid w:val="0"/>
              <w:spacing w:line="288" w:lineRule="auto"/>
              <w:jc w:val="left"/>
              <w:rPr>
                <w:rFonts w:hint="eastAsia" w:ascii="宋体" w:hAnsi="宋体" w:eastAsia="仿宋"/>
                <w:color w:val="auto"/>
                <w:sz w:val="24"/>
                <w:highlight w:val="none"/>
                <w:u w:val="single"/>
              </w:rPr>
            </w:pPr>
            <w:r>
              <w:rPr>
                <w:rFonts w:hint="eastAsia" w:ascii="宋体" w:hAnsi="宋体" w:eastAsia="仿宋"/>
                <w:color w:val="auto"/>
                <w:sz w:val="24"/>
                <w:highlight w:val="none"/>
              </w:rPr>
              <w:t>□有，详见第三章“采购需求”。</w:t>
            </w:r>
          </w:p>
          <w:p w14:paraId="1278A73C">
            <w:pPr>
              <w:widowControl/>
              <w:snapToGrid w:val="0"/>
              <w:spacing w:line="288" w:lineRule="auto"/>
              <w:jc w:val="left"/>
              <w:rPr>
                <w:rFonts w:hint="eastAsia" w:ascii="宋体" w:hAnsi="宋体"/>
                <w:color w:val="auto"/>
                <w:sz w:val="24"/>
                <w:highlight w:val="none"/>
              </w:rPr>
            </w:pPr>
            <w:r>
              <w:rPr>
                <w:rFonts w:ascii="宋体" w:hAnsi="宋体" w:eastAsia="仿宋"/>
                <w:color w:val="auto"/>
                <w:sz w:val="24"/>
                <w:highlight w:val="none"/>
              </w:rPr>
              <w:t>根据</w:t>
            </w:r>
            <w:r>
              <w:rPr>
                <w:rFonts w:hint="eastAsia" w:ascii="宋体" w:hAnsi="宋体" w:eastAsia="仿宋"/>
                <w:color w:val="auto"/>
                <w:sz w:val="24"/>
                <w:highlight w:val="none"/>
              </w:rPr>
              <w:t>《关于印发节能产品政府采购品目清单的通知》（财库〔2019〕19号）、</w:t>
            </w:r>
            <w:r>
              <w:rPr>
                <w:rFonts w:ascii="宋体" w:hAnsi="宋体" w:eastAsia="仿宋"/>
                <w:color w:val="auto"/>
                <w:sz w:val="24"/>
                <w:highlight w:val="none"/>
              </w:rPr>
              <w:t>《</w:t>
            </w:r>
            <w:r>
              <w:rPr>
                <w:rFonts w:hint="eastAsia" w:ascii="宋体" w:hAnsi="宋体" w:eastAsia="仿宋"/>
                <w:color w:val="auto"/>
                <w:sz w:val="24"/>
                <w:highlight w:val="none"/>
              </w:rPr>
              <w:t>关于发布参与实施政府采购节能产品、环境标志产品认证机构名录的公告</w:t>
            </w:r>
            <w:r>
              <w:rPr>
                <w:rFonts w:ascii="宋体" w:hAnsi="宋体" w:eastAsia="仿宋"/>
                <w:color w:val="auto"/>
                <w:sz w:val="24"/>
                <w:highlight w:val="none"/>
              </w:rPr>
              <w:t>》</w:t>
            </w:r>
            <w:r>
              <w:rPr>
                <w:rFonts w:hint="eastAsia" w:ascii="宋体" w:hAnsi="宋体" w:eastAsia="仿宋"/>
                <w:color w:val="auto"/>
                <w:sz w:val="24"/>
                <w:highlight w:val="none"/>
              </w:rPr>
              <w:t>（</w:t>
            </w:r>
            <w:r>
              <w:rPr>
                <w:rFonts w:ascii="宋体" w:hAnsi="宋体" w:eastAsia="仿宋"/>
                <w:color w:val="auto"/>
                <w:sz w:val="24"/>
                <w:highlight w:val="none"/>
              </w:rPr>
              <w:t>市场监管总局2019年第16号</w:t>
            </w:r>
            <w:r>
              <w:rPr>
                <w:rFonts w:hint="eastAsia" w:ascii="宋体" w:hAnsi="宋体" w:eastAsia="仿宋"/>
                <w:color w:val="auto"/>
                <w:sz w:val="24"/>
                <w:highlight w:val="none"/>
              </w:rPr>
              <w:t>）</w:t>
            </w:r>
            <w:r>
              <w:rPr>
                <w:rFonts w:ascii="宋体" w:hAnsi="宋体" w:eastAsia="仿宋"/>
                <w:color w:val="auto"/>
                <w:sz w:val="24"/>
                <w:highlight w:val="none"/>
              </w:rPr>
              <w:t>，投标人提供拟投产品在规定认证机构范围内的节字标志认证证书，方予以认定其所投产品为节能产品。</w:t>
            </w:r>
          </w:p>
        </w:tc>
      </w:tr>
      <w:tr w14:paraId="6049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9F50D11">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11.1.2</w:t>
            </w:r>
          </w:p>
        </w:tc>
        <w:tc>
          <w:tcPr>
            <w:tcW w:w="1581" w:type="dxa"/>
            <w:noWrap w:val="0"/>
            <w:vAlign w:val="center"/>
          </w:tcPr>
          <w:p w14:paraId="2C804254">
            <w:pPr>
              <w:widowControl/>
              <w:adjustRightInd w:val="0"/>
              <w:snapToGrid w:val="0"/>
              <w:spacing w:line="288" w:lineRule="auto"/>
              <w:jc w:val="center"/>
              <w:rPr>
                <w:rFonts w:hint="eastAsia" w:ascii="宋体" w:hAnsi="宋体"/>
                <w:color w:val="auto"/>
                <w:sz w:val="24"/>
                <w:highlight w:val="none"/>
              </w:rPr>
            </w:pPr>
            <w:r>
              <w:rPr>
                <w:rFonts w:hint="eastAsia" w:eastAsia="仿宋"/>
                <w:color w:val="auto"/>
                <w:sz w:val="24"/>
                <w:highlight w:val="none"/>
                <w:lang w:bidi="en-US"/>
              </w:rPr>
              <w:t>环境标志产品政府采购清单</w:t>
            </w:r>
          </w:p>
        </w:tc>
        <w:tc>
          <w:tcPr>
            <w:tcW w:w="7229" w:type="dxa"/>
            <w:noWrap w:val="0"/>
            <w:vAlign w:val="top"/>
          </w:tcPr>
          <w:p w14:paraId="413704D5">
            <w:pPr>
              <w:widowControl/>
              <w:snapToGrid w:val="0"/>
              <w:spacing w:line="288" w:lineRule="auto"/>
              <w:jc w:val="left"/>
              <w:rPr>
                <w:rFonts w:hint="eastAsia" w:ascii="宋体" w:hAnsi="宋体"/>
                <w:color w:val="auto"/>
                <w:sz w:val="24"/>
                <w:highlight w:val="none"/>
              </w:rPr>
            </w:pPr>
            <w:r>
              <w:rPr>
                <w:rFonts w:ascii="宋体" w:hAnsi="宋体" w:eastAsia="仿宋"/>
                <w:color w:val="auto"/>
                <w:sz w:val="24"/>
                <w:highlight w:val="none"/>
              </w:rPr>
              <w:t>根据</w:t>
            </w:r>
            <w:r>
              <w:rPr>
                <w:rFonts w:hint="eastAsia" w:ascii="宋体" w:hAnsi="宋体" w:eastAsia="仿宋"/>
                <w:color w:val="auto"/>
                <w:sz w:val="24"/>
                <w:highlight w:val="none"/>
              </w:rPr>
              <w:t>《关于印发环境标志产品政府采购品目清单的通知》（财库〔2019〕18号）、</w:t>
            </w:r>
            <w:r>
              <w:rPr>
                <w:rFonts w:ascii="宋体" w:hAnsi="宋体" w:eastAsia="仿宋"/>
                <w:color w:val="auto"/>
                <w:sz w:val="24"/>
                <w:highlight w:val="none"/>
              </w:rPr>
              <w:t>《</w:t>
            </w:r>
            <w:r>
              <w:rPr>
                <w:rFonts w:hint="eastAsia" w:ascii="宋体" w:hAnsi="宋体" w:eastAsia="仿宋"/>
                <w:color w:val="auto"/>
                <w:sz w:val="24"/>
                <w:highlight w:val="none"/>
              </w:rPr>
              <w:t>关于发布参与实施政府采购节能产品、环境标志产品认证机构名录的公告</w:t>
            </w:r>
            <w:r>
              <w:rPr>
                <w:rFonts w:ascii="宋体" w:hAnsi="宋体" w:eastAsia="仿宋"/>
                <w:color w:val="auto"/>
                <w:sz w:val="24"/>
                <w:highlight w:val="none"/>
              </w:rPr>
              <w:t>》</w:t>
            </w:r>
            <w:r>
              <w:rPr>
                <w:rFonts w:hint="eastAsia" w:ascii="宋体" w:hAnsi="宋体" w:eastAsia="仿宋"/>
                <w:color w:val="auto"/>
                <w:sz w:val="24"/>
                <w:highlight w:val="none"/>
              </w:rPr>
              <w:t>（市场监管总局</w:t>
            </w:r>
            <w:r>
              <w:rPr>
                <w:rFonts w:ascii="宋体" w:hAnsi="宋体" w:eastAsia="仿宋"/>
                <w:color w:val="auto"/>
                <w:sz w:val="24"/>
                <w:highlight w:val="none"/>
              </w:rPr>
              <w:t>2019年第16号</w:t>
            </w:r>
            <w:r>
              <w:rPr>
                <w:rFonts w:hint="eastAsia" w:ascii="宋体" w:hAnsi="宋体" w:eastAsia="仿宋"/>
                <w:color w:val="auto"/>
                <w:sz w:val="24"/>
                <w:highlight w:val="none"/>
              </w:rPr>
              <w:t>），在规定的认证机构范围内，投标人提供拟投产品环境标志认证证书的，方予以认定其所投产品为环境标志产品。</w:t>
            </w:r>
          </w:p>
        </w:tc>
      </w:tr>
      <w:tr w14:paraId="2023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1D74F38">
            <w:pPr>
              <w:widowControl/>
              <w:adjustRightInd w:val="0"/>
              <w:snapToGrid w:val="0"/>
              <w:spacing w:line="288" w:lineRule="auto"/>
              <w:jc w:val="center"/>
              <w:rPr>
                <w:rFonts w:ascii="宋体" w:hAnsi="宋体" w:eastAsia="仿宋" w:cs="Calibri"/>
                <w:color w:val="auto"/>
                <w:sz w:val="24"/>
                <w:highlight w:val="none"/>
              </w:rPr>
            </w:pPr>
            <w:r>
              <w:rPr>
                <w:rFonts w:hint="eastAsia" w:ascii="宋体" w:hAnsi="宋体" w:eastAsia="仿宋" w:cs="Calibri"/>
                <w:color w:val="auto"/>
                <w:sz w:val="24"/>
                <w:highlight w:val="none"/>
              </w:rPr>
              <w:t>11.2.1</w:t>
            </w:r>
          </w:p>
        </w:tc>
        <w:tc>
          <w:tcPr>
            <w:tcW w:w="1581" w:type="dxa"/>
            <w:noWrap w:val="0"/>
            <w:vAlign w:val="center"/>
          </w:tcPr>
          <w:p w14:paraId="5B5EB445">
            <w:pPr>
              <w:widowControl/>
              <w:adjustRightInd w:val="0"/>
              <w:snapToGrid w:val="0"/>
              <w:spacing w:line="288" w:lineRule="auto"/>
              <w:jc w:val="center"/>
              <w:rPr>
                <w:rFonts w:hint="eastAsia" w:eastAsia="仿宋"/>
                <w:color w:val="auto"/>
                <w:sz w:val="24"/>
                <w:highlight w:val="none"/>
                <w:lang w:bidi="en-US"/>
              </w:rPr>
            </w:pPr>
            <w:r>
              <w:rPr>
                <w:rFonts w:hint="eastAsia" w:eastAsia="仿宋"/>
                <w:color w:val="auto"/>
                <w:sz w:val="24"/>
                <w:highlight w:val="none"/>
                <w:lang w:bidi="en-US"/>
              </w:rPr>
              <w:t>中小企业认定标准</w:t>
            </w:r>
          </w:p>
        </w:tc>
        <w:tc>
          <w:tcPr>
            <w:tcW w:w="7229" w:type="dxa"/>
            <w:noWrap w:val="0"/>
            <w:vAlign w:val="top"/>
          </w:tcPr>
          <w:p w14:paraId="202EC410">
            <w:pPr>
              <w:widowControl/>
              <w:snapToGrid w:val="0"/>
              <w:spacing w:line="288" w:lineRule="auto"/>
              <w:jc w:val="left"/>
              <w:rPr>
                <w:rFonts w:ascii="宋体" w:hAnsi="宋体" w:eastAsia="仿宋"/>
                <w:color w:val="auto"/>
                <w:sz w:val="24"/>
                <w:highlight w:val="none"/>
              </w:rPr>
            </w:pPr>
            <w:r>
              <w:rPr>
                <w:rFonts w:hint="eastAsia" w:ascii="宋体" w:hAnsi="宋体" w:eastAsia="仿宋"/>
                <w:color w:val="auto"/>
                <w:sz w:val="24"/>
                <w:highlight w:val="none"/>
              </w:rPr>
              <w:t>根据工业和信息化部、国家统计局、国家发展和改革委员会、财政部《关于印发中小企业划型标准规定的通知》（工信部联企业〔2011〕300号），采购标的对应的中小企业划分标准所属行业见第三章采购需求。</w:t>
            </w:r>
          </w:p>
        </w:tc>
      </w:tr>
      <w:tr w14:paraId="59AF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930ED72">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11.2.3</w:t>
            </w:r>
          </w:p>
        </w:tc>
        <w:tc>
          <w:tcPr>
            <w:tcW w:w="1581" w:type="dxa"/>
            <w:noWrap w:val="0"/>
            <w:vAlign w:val="center"/>
          </w:tcPr>
          <w:p w14:paraId="48926DDF">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价格扣除标准</w:t>
            </w:r>
          </w:p>
        </w:tc>
        <w:tc>
          <w:tcPr>
            <w:tcW w:w="7229" w:type="dxa"/>
            <w:noWrap w:val="0"/>
            <w:vAlign w:val="center"/>
          </w:tcPr>
          <w:p w14:paraId="7ECC02FF">
            <w:pPr>
              <w:widowControl/>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未预留份额专门面向中小企业采购的采购项目，以及预留份额项目中的非预留部分采购包采购时，小微企业报价扣除比例：</w:t>
            </w:r>
          </w:p>
          <w:p w14:paraId="3526FA93">
            <w:pPr>
              <w:widowControl/>
              <w:snapToGrid w:val="0"/>
              <w:spacing w:line="288" w:lineRule="auto"/>
              <w:jc w:val="left"/>
              <w:rPr>
                <w:rFonts w:hint="eastAsia" w:eastAsia="仿宋"/>
                <w:color w:val="auto"/>
                <w:sz w:val="24"/>
                <w:highlight w:val="none"/>
                <w:lang w:bidi="en-US"/>
              </w:rPr>
            </w:pPr>
            <w:r>
              <w:rPr>
                <w:rFonts w:hint="eastAsia" w:eastAsia="仿宋"/>
                <w:color w:val="auto"/>
                <w:sz w:val="24"/>
                <w:highlight w:val="none"/>
                <w:lang w:bidi="en-US"/>
              </w:rPr>
              <w:t>（1）小型和微型企业：</w:t>
            </w:r>
            <w:r>
              <w:rPr>
                <w:rFonts w:hint="eastAsia" w:eastAsia="仿宋"/>
                <w:color w:val="auto"/>
                <w:sz w:val="24"/>
                <w:highlight w:val="none"/>
                <w:u w:val="single"/>
                <w:lang w:bidi="en-US"/>
              </w:rPr>
              <w:t xml:space="preserve"> 10  </w:t>
            </w:r>
            <w:r>
              <w:rPr>
                <w:rFonts w:hint="eastAsia" w:eastAsia="仿宋"/>
                <w:color w:val="auto"/>
                <w:sz w:val="24"/>
                <w:highlight w:val="none"/>
                <w:lang w:bidi="en-US"/>
              </w:rPr>
              <w:t>%</w:t>
            </w:r>
          </w:p>
          <w:p w14:paraId="4E1EC20F">
            <w:pPr>
              <w:widowControl/>
              <w:snapToGrid w:val="0"/>
              <w:spacing w:line="288" w:lineRule="auto"/>
              <w:jc w:val="left"/>
              <w:rPr>
                <w:rFonts w:hint="eastAsia" w:ascii="宋体" w:hAnsi="宋体" w:eastAsia="仿宋"/>
                <w:color w:val="auto"/>
                <w:sz w:val="24"/>
                <w:highlight w:val="none"/>
              </w:rPr>
            </w:pPr>
            <w:r>
              <w:rPr>
                <w:rFonts w:hint="eastAsia" w:eastAsia="仿宋"/>
                <w:color w:val="auto"/>
                <w:sz w:val="24"/>
                <w:highlight w:val="none"/>
                <w:lang w:bidi="en-US"/>
              </w:rPr>
              <w:t>（2）</w:t>
            </w:r>
            <w:r>
              <w:rPr>
                <w:rFonts w:hint="eastAsia" w:ascii="宋体" w:hAnsi="宋体" w:eastAsia="仿宋"/>
                <w:color w:val="auto"/>
                <w:sz w:val="24"/>
                <w:highlight w:val="none"/>
              </w:rPr>
              <w:t>对于联合协议或者分包意向协议约定小微企业的合同份额占到合同总金额30%时，对联合体或者大中型企业的报价的扣除比例</w:t>
            </w:r>
            <w:r>
              <w:rPr>
                <w:rFonts w:hint="eastAsia" w:ascii="宋体" w:hAnsi="宋体" w:eastAsia="仿宋"/>
                <w:color w:val="auto"/>
                <w:sz w:val="24"/>
                <w:highlight w:val="none"/>
                <w:u w:val="single"/>
              </w:rPr>
              <w:t>/</w:t>
            </w:r>
            <w:r>
              <w:rPr>
                <w:rFonts w:hint="eastAsia" w:ascii="宋体" w:hAnsi="宋体" w:eastAsia="仿宋"/>
                <w:color w:val="auto"/>
                <w:sz w:val="24"/>
                <w:highlight w:val="none"/>
              </w:rPr>
              <w:t>%</w:t>
            </w:r>
          </w:p>
          <w:p w14:paraId="5275AF0E">
            <w:pPr>
              <w:widowControl/>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注：1.价格扣除举例说明：</w:t>
            </w:r>
            <w:r>
              <w:rPr>
                <w:rFonts w:ascii="宋体" w:hAnsi="宋体" w:eastAsia="仿宋"/>
                <w:color w:val="auto"/>
                <w:sz w:val="24"/>
                <w:highlight w:val="none"/>
              </w:rPr>
              <w:t>某</w:t>
            </w:r>
            <w:r>
              <w:rPr>
                <w:rFonts w:hint="eastAsia" w:ascii="宋体" w:hAnsi="宋体" w:eastAsia="仿宋"/>
                <w:color w:val="auto"/>
                <w:sz w:val="24"/>
                <w:highlight w:val="none"/>
              </w:rPr>
              <w:t>残疾人福利单位符合财库〔2017〕141号规定的政策支持单位，属于小微企业，其投标报价为</w:t>
            </w:r>
            <w:r>
              <w:rPr>
                <w:rFonts w:ascii="宋体" w:hAnsi="宋体" w:eastAsia="仿宋"/>
                <w:color w:val="auto"/>
                <w:sz w:val="24"/>
                <w:highlight w:val="none"/>
              </w:rPr>
              <w:t>100万元，“扣除后的价格”为：100万元-100万元×</w:t>
            </w:r>
            <w:r>
              <w:rPr>
                <w:rFonts w:hint="eastAsia" w:ascii="宋体" w:hAnsi="宋体" w:eastAsia="仿宋"/>
                <w:color w:val="auto"/>
                <w:sz w:val="24"/>
                <w:highlight w:val="none"/>
              </w:rPr>
              <w:t>扣除比例，用扣除后的价格参与评审。</w:t>
            </w:r>
          </w:p>
          <w:p w14:paraId="5B9BE824">
            <w:pPr>
              <w:widowControl/>
              <w:snapToGrid w:val="0"/>
              <w:spacing w:line="288" w:lineRule="auto"/>
              <w:jc w:val="left"/>
              <w:rPr>
                <w:rFonts w:hint="eastAsia"/>
                <w:color w:val="auto"/>
                <w:sz w:val="24"/>
                <w:highlight w:val="none"/>
                <w:lang w:bidi="en-US"/>
              </w:rPr>
            </w:pPr>
            <w:r>
              <w:rPr>
                <w:rFonts w:hint="eastAsia" w:ascii="宋体" w:hAnsi="宋体" w:eastAsia="仿宋"/>
                <w:b/>
                <w:color w:val="auto"/>
                <w:sz w:val="24"/>
                <w:highlight w:val="none"/>
              </w:rPr>
              <w:t>2.本项目将对中标人提供的《中小企业声明函》，随中标结果一并公布。如提供虚假材料，将取消中标资格并报相关部门按有关规定处理，并计入不良记录。</w:t>
            </w:r>
          </w:p>
        </w:tc>
      </w:tr>
      <w:tr w14:paraId="1AA3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57" w:type="dxa"/>
            <w:noWrap w:val="0"/>
            <w:vAlign w:val="center"/>
          </w:tcPr>
          <w:p w14:paraId="159AB48D">
            <w:pPr>
              <w:widowControl/>
              <w:adjustRightInd w:val="0"/>
              <w:snapToGrid w:val="0"/>
              <w:spacing w:line="288" w:lineRule="auto"/>
              <w:jc w:val="center"/>
              <w:rPr>
                <w:rFonts w:ascii="宋体" w:hAnsi="宋体" w:cs="Calibri"/>
                <w:color w:val="auto"/>
                <w:sz w:val="24"/>
                <w:highlight w:val="none"/>
              </w:rPr>
            </w:pPr>
            <w:r>
              <w:rPr>
                <w:rFonts w:hint="eastAsia" w:ascii="宋体" w:hAnsi="宋体" w:eastAsia="仿宋" w:cs="Calibri"/>
                <w:color w:val="auto"/>
                <w:sz w:val="24"/>
                <w:highlight w:val="none"/>
              </w:rPr>
              <w:t>11.3.2</w:t>
            </w:r>
          </w:p>
        </w:tc>
        <w:tc>
          <w:tcPr>
            <w:tcW w:w="1581" w:type="dxa"/>
            <w:noWrap w:val="0"/>
            <w:vAlign w:val="center"/>
          </w:tcPr>
          <w:p w14:paraId="4B970B09">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进口产品采购</w:t>
            </w:r>
          </w:p>
        </w:tc>
        <w:tc>
          <w:tcPr>
            <w:tcW w:w="7229" w:type="dxa"/>
            <w:noWrap w:val="0"/>
            <w:vAlign w:val="center"/>
          </w:tcPr>
          <w:p w14:paraId="18FF3E3D">
            <w:pPr>
              <w:widowControl/>
              <w:rPr>
                <w:rFonts w:hint="eastAsia" w:ascii="楷体" w:hAnsi="楷体" w:eastAsia="仿宋" w:cs="Calibri"/>
                <w:color w:val="auto"/>
                <w:sz w:val="24"/>
                <w:highlight w:val="none"/>
              </w:rPr>
            </w:pPr>
            <w:r>
              <w:rPr>
                <w:rFonts w:hint="eastAsia" w:ascii="楷体" w:hAnsi="楷体" w:eastAsia="仿宋" w:cs="Calibri"/>
                <w:color w:val="auto"/>
                <w:sz w:val="24"/>
                <w:highlight w:val="none"/>
                <w:lang w:eastAsia="zh-CN"/>
              </w:rPr>
              <w:t>☑</w:t>
            </w:r>
            <w:r>
              <w:rPr>
                <w:rFonts w:hint="eastAsia" w:ascii="楷体" w:hAnsi="楷体" w:eastAsia="仿宋"/>
                <w:bCs/>
                <w:color w:val="auto"/>
                <w:sz w:val="24"/>
                <w:highlight w:val="none"/>
              </w:rPr>
              <w:t>本项目</w:t>
            </w:r>
            <w:r>
              <w:rPr>
                <w:rFonts w:hint="eastAsia" w:ascii="楷体" w:hAnsi="楷体" w:eastAsia="仿宋" w:cs="Calibri"/>
                <w:color w:val="auto"/>
                <w:sz w:val="24"/>
                <w:highlight w:val="none"/>
              </w:rPr>
              <w:t>拒绝进口产品参加投标</w:t>
            </w:r>
          </w:p>
          <w:p w14:paraId="41F8E50F">
            <w:pPr>
              <w:widowControl/>
              <w:rPr>
                <w:rFonts w:hint="eastAsia" w:ascii="宋体" w:hAnsi="宋体" w:cs="Calibri"/>
                <w:color w:val="auto"/>
                <w:sz w:val="24"/>
                <w:highlight w:val="none"/>
              </w:rPr>
            </w:pP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本项目包含接受进口产品投标的品目，具体要求</w:t>
            </w:r>
            <w:r>
              <w:rPr>
                <w:rFonts w:hint="eastAsia" w:ascii="宋体" w:hAnsi="宋体" w:eastAsia="仿宋" w:cs="Calibri"/>
                <w:color w:val="auto"/>
                <w:sz w:val="24"/>
                <w:highlight w:val="none"/>
              </w:rPr>
              <w:t>详见第三章采购需求。</w:t>
            </w:r>
          </w:p>
        </w:tc>
      </w:tr>
      <w:tr w14:paraId="1A2A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D663393">
            <w:pPr>
              <w:widowControl/>
              <w:adjustRightInd w:val="0"/>
              <w:snapToGrid w:val="0"/>
              <w:spacing w:line="288" w:lineRule="auto"/>
              <w:jc w:val="center"/>
              <w:rPr>
                <w:rFonts w:ascii="宋体" w:hAnsi="宋体" w:eastAsia="仿宋" w:cs="Calibri"/>
                <w:b/>
                <w:color w:val="auto"/>
                <w:sz w:val="24"/>
                <w:highlight w:val="none"/>
              </w:rPr>
            </w:pPr>
            <w:r>
              <w:rPr>
                <w:rFonts w:hint="eastAsia" w:ascii="宋体" w:hAnsi="宋体" w:eastAsia="仿宋" w:cs="Calibri"/>
                <w:bCs/>
                <w:color w:val="auto"/>
                <w:sz w:val="24"/>
                <w:highlight w:val="none"/>
              </w:rPr>
              <w:t>11.4</w:t>
            </w:r>
          </w:p>
        </w:tc>
        <w:tc>
          <w:tcPr>
            <w:tcW w:w="1581" w:type="dxa"/>
            <w:noWrap w:val="0"/>
            <w:vAlign w:val="center"/>
          </w:tcPr>
          <w:p w14:paraId="2A716ED3">
            <w:pPr>
              <w:widowControl/>
              <w:adjustRightInd w:val="0"/>
              <w:snapToGrid w:val="0"/>
              <w:spacing w:line="288" w:lineRule="auto"/>
              <w:jc w:val="center"/>
              <w:rPr>
                <w:rFonts w:hint="eastAsia" w:ascii="宋体" w:hAnsi="宋体" w:cs="Calibri"/>
                <w:b/>
                <w:color w:val="auto"/>
                <w:sz w:val="24"/>
                <w:highlight w:val="none"/>
              </w:rPr>
            </w:pPr>
            <w:r>
              <w:rPr>
                <w:rFonts w:hint="eastAsia" w:ascii="宋体" w:hAnsi="宋体" w:eastAsia="仿宋"/>
                <w:color w:val="auto"/>
                <w:sz w:val="24"/>
                <w:highlight w:val="none"/>
                <w:lang w:bidi="en-US"/>
              </w:rPr>
              <w:t>其他政府采购政策</w:t>
            </w:r>
          </w:p>
        </w:tc>
        <w:tc>
          <w:tcPr>
            <w:tcW w:w="7229" w:type="dxa"/>
            <w:noWrap w:val="0"/>
            <w:vAlign w:val="center"/>
          </w:tcPr>
          <w:p w14:paraId="218B4C9E">
            <w:pPr>
              <w:widowControl/>
              <w:adjustRightInd w:val="0"/>
              <w:snapToGrid w:val="0"/>
              <w:spacing w:line="288" w:lineRule="auto"/>
              <w:jc w:val="left"/>
              <w:rPr>
                <w:rFonts w:ascii="宋体" w:hAnsi="宋体" w:eastAsia="仿宋" w:cs="Calibri"/>
                <w:b/>
                <w:color w:val="auto"/>
                <w:sz w:val="24"/>
                <w:highlight w:val="none"/>
              </w:rPr>
            </w:pPr>
            <w:r>
              <w:rPr>
                <w:rFonts w:hint="eastAsia" w:ascii="宋体" w:hAnsi="宋体" w:eastAsia="仿宋" w:cs="Calibri"/>
                <w:b/>
                <w:color w:val="auto"/>
                <w:sz w:val="24"/>
                <w:highlight w:val="none"/>
              </w:rPr>
              <w:t>/</w:t>
            </w:r>
          </w:p>
        </w:tc>
      </w:tr>
      <w:tr w14:paraId="2929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52F5426">
            <w:pPr>
              <w:widowControl/>
              <w:adjustRightInd w:val="0"/>
              <w:snapToGrid w:val="0"/>
              <w:spacing w:line="288" w:lineRule="auto"/>
              <w:jc w:val="center"/>
              <w:rPr>
                <w:rFonts w:hint="eastAsia" w:ascii="宋体" w:hAnsi="宋体" w:cs="Calibri"/>
                <w:b/>
                <w:color w:val="auto"/>
                <w:sz w:val="24"/>
                <w:highlight w:val="none"/>
              </w:rPr>
            </w:pPr>
            <w:r>
              <w:rPr>
                <w:rFonts w:hint="eastAsia" w:ascii="宋体" w:hAnsi="宋体" w:eastAsia="仿宋" w:cs="Calibri"/>
                <w:b/>
                <w:color w:val="auto"/>
                <w:sz w:val="24"/>
                <w:highlight w:val="none"/>
              </w:rPr>
              <w:t>12</w:t>
            </w:r>
          </w:p>
        </w:tc>
        <w:tc>
          <w:tcPr>
            <w:tcW w:w="1581" w:type="dxa"/>
            <w:noWrap w:val="0"/>
            <w:vAlign w:val="center"/>
          </w:tcPr>
          <w:p w14:paraId="32C21E1D">
            <w:pPr>
              <w:widowControl/>
              <w:adjustRightInd w:val="0"/>
              <w:snapToGrid w:val="0"/>
              <w:spacing w:line="288" w:lineRule="auto"/>
              <w:jc w:val="center"/>
              <w:rPr>
                <w:rFonts w:hint="eastAsia" w:ascii="宋体" w:hAnsi="宋体" w:cs="Calibri"/>
                <w:b/>
                <w:color w:val="auto"/>
                <w:sz w:val="24"/>
                <w:highlight w:val="none"/>
              </w:rPr>
            </w:pPr>
          </w:p>
        </w:tc>
        <w:tc>
          <w:tcPr>
            <w:tcW w:w="7229" w:type="dxa"/>
            <w:noWrap w:val="0"/>
            <w:vAlign w:val="center"/>
          </w:tcPr>
          <w:p w14:paraId="39386CA4">
            <w:pPr>
              <w:widowControl/>
              <w:adjustRightInd w:val="0"/>
              <w:snapToGrid w:val="0"/>
              <w:spacing w:line="288" w:lineRule="auto"/>
              <w:jc w:val="center"/>
              <w:rPr>
                <w:rFonts w:ascii="宋体" w:hAnsi="宋体"/>
                <w:b/>
                <w:color w:val="auto"/>
                <w:sz w:val="24"/>
                <w:highlight w:val="none"/>
              </w:rPr>
            </w:pPr>
            <w:r>
              <w:rPr>
                <w:rFonts w:hint="eastAsia" w:ascii="宋体" w:hAnsi="宋体" w:eastAsia="仿宋" w:cs="Calibri"/>
                <w:b/>
                <w:color w:val="auto"/>
                <w:sz w:val="24"/>
                <w:highlight w:val="none"/>
              </w:rPr>
              <w:t>需要补充的其他内容</w:t>
            </w:r>
          </w:p>
        </w:tc>
      </w:tr>
      <w:tr w14:paraId="6B80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0D51DB9">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12.1</w:t>
            </w:r>
          </w:p>
        </w:tc>
        <w:tc>
          <w:tcPr>
            <w:tcW w:w="1581" w:type="dxa"/>
            <w:noWrap w:val="0"/>
            <w:vAlign w:val="center"/>
          </w:tcPr>
          <w:p w14:paraId="562DB9FA">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电子招标投标</w:t>
            </w:r>
          </w:p>
        </w:tc>
        <w:tc>
          <w:tcPr>
            <w:tcW w:w="7229" w:type="dxa"/>
            <w:noWrap w:val="0"/>
            <w:vAlign w:val="top"/>
          </w:tcPr>
          <w:p w14:paraId="2400D25F">
            <w:pPr>
              <w:widowControl/>
              <w:snapToGrid w:val="0"/>
              <w:spacing w:line="288" w:lineRule="auto"/>
              <w:jc w:val="left"/>
              <w:rPr>
                <w:rFonts w:hint="eastAsia" w:ascii="宋体" w:hAnsi="宋体" w:cs="Calibri"/>
                <w:b/>
                <w:color w:val="auto"/>
                <w:sz w:val="24"/>
                <w:highlight w:val="none"/>
              </w:rPr>
            </w:pPr>
            <w:r>
              <w:rPr>
                <w:rFonts w:hint="eastAsia" w:ascii="宋体" w:hAnsi="宋体" w:eastAsia="仿宋"/>
                <w:color w:val="auto"/>
                <w:sz w:val="24"/>
                <w:highlight w:val="none"/>
              </w:rPr>
              <w:t>采用电子招标投标，</w:t>
            </w:r>
            <w:r>
              <w:rPr>
                <w:rFonts w:eastAsia="仿宋"/>
                <w:bCs/>
                <w:snapToGrid w:val="0"/>
                <w:color w:val="auto"/>
                <w:kern w:val="0"/>
                <w:sz w:val="24"/>
                <w:highlight w:val="none"/>
              </w:rPr>
              <w:t>除招标文件另有规定外，电子招标投标操作要求详见本章附件《</w:t>
            </w:r>
            <w:r>
              <w:rPr>
                <w:rFonts w:hint="eastAsia" w:eastAsia="仿宋"/>
                <w:bCs/>
                <w:snapToGrid w:val="0"/>
                <w:color w:val="auto"/>
                <w:kern w:val="0"/>
                <w:sz w:val="24"/>
                <w:highlight w:val="none"/>
              </w:rPr>
              <w:t>全流程电子招标采购具体要求</w:t>
            </w:r>
            <w:r>
              <w:rPr>
                <w:rFonts w:eastAsia="仿宋"/>
                <w:bCs/>
                <w:snapToGrid w:val="0"/>
                <w:color w:val="auto"/>
                <w:kern w:val="0"/>
                <w:sz w:val="24"/>
                <w:highlight w:val="none"/>
              </w:rPr>
              <w:t>》</w:t>
            </w:r>
            <w:r>
              <w:rPr>
                <w:rFonts w:hint="eastAsia" w:eastAsia="仿宋"/>
                <w:bCs/>
                <w:snapToGrid w:val="0"/>
                <w:color w:val="auto"/>
                <w:kern w:val="0"/>
                <w:sz w:val="24"/>
                <w:highlight w:val="none"/>
              </w:rPr>
              <w:t>。</w:t>
            </w:r>
          </w:p>
        </w:tc>
      </w:tr>
      <w:tr w14:paraId="1274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BB0965F">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12.2</w:t>
            </w:r>
          </w:p>
        </w:tc>
        <w:tc>
          <w:tcPr>
            <w:tcW w:w="1581" w:type="dxa"/>
            <w:noWrap w:val="0"/>
            <w:vAlign w:val="center"/>
          </w:tcPr>
          <w:p w14:paraId="428E2454">
            <w:pPr>
              <w:adjustRightInd w:val="0"/>
              <w:snapToGrid w:val="0"/>
              <w:spacing w:line="288" w:lineRule="auto"/>
              <w:jc w:val="center"/>
              <w:rPr>
                <w:rFonts w:ascii="宋体" w:hAnsi="宋体"/>
                <w:color w:val="auto"/>
                <w:sz w:val="24"/>
                <w:highlight w:val="none"/>
              </w:rPr>
            </w:pPr>
            <w:r>
              <w:rPr>
                <w:rFonts w:hint="eastAsia" w:ascii="宋体" w:hAnsi="宋体" w:eastAsia="仿宋"/>
                <w:color w:val="auto"/>
                <w:sz w:val="24"/>
                <w:highlight w:val="none"/>
              </w:rPr>
              <w:t>原则规定与定义</w:t>
            </w:r>
          </w:p>
        </w:tc>
        <w:tc>
          <w:tcPr>
            <w:tcW w:w="7229" w:type="dxa"/>
            <w:noWrap w:val="0"/>
            <w:vAlign w:val="center"/>
          </w:tcPr>
          <w:p w14:paraId="2655C656">
            <w:pPr>
              <w:adjustRightInd w:val="0"/>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（1）投标人</w:t>
            </w:r>
            <w:r>
              <w:rPr>
                <w:rFonts w:ascii="宋体" w:hAnsi="宋体" w:eastAsia="仿宋"/>
                <w:color w:val="auto"/>
                <w:sz w:val="24"/>
                <w:highlight w:val="none"/>
              </w:rPr>
              <w:t>须知前附表是对</w:t>
            </w:r>
            <w:r>
              <w:rPr>
                <w:rFonts w:hint="eastAsia" w:ascii="宋体" w:hAnsi="宋体" w:eastAsia="仿宋"/>
                <w:color w:val="auto"/>
                <w:sz w:val="24"/>
                <w:highlight w:val="none"/>
              </w:rPr>
              <w:t>投标人</w:t>
            </w:r>
            <w:r>
              <w:rPr>
                <w:rFonts w:ascii="宋体" w:hAnsi="宋体" w:eastAsia="仿宋"/>
                <w:color w:val="auto"/>
                <w:sz w:val="24"/>
                <w:highlight w:val="none"/>
              </w:rPr>
              <w:t>须知正文部分对应条款的补充、细化，</w:t>
            </w:r>
            <w:r>
              <w:rPr>
                <w:rFonts w:hint="eastAsia" w:ascii="宋体" w:hAnsi="宋体" w:eastAsia="仿宋"/>
                <w:color w:val="auto"/>
                <w:sz w:val="24"/>
                <w:highlight w:val="none"/>
              </w:rPr>
              <w:t>投标人</w:t>
            </w:r>
            <w:r>
              <w:rPr>
                <w:rFonts w:ascii="宋体" w:hAnsi="宋体" w:eastAsia="仿宋"/>
                <w:color w:val="auto"/>
                <w:sz w:val="24"/>
                <w:highlight w:val="none"/>
              </w:rPr>
              <w:t>阅读时应与正文部分一并阅读，</w:t>
            </w:r>
            <w:r>
              <w:rPr>
                <w:rFonts w:hint="eastAsia" w:ascii="宋体" w:hAnsi="宋体" w:eastAsia="仿宋"/>
                <w:color w:val="auto"/>
                <w:sz w:val="24"/>
                <w:highlight w:val="none"/>
              </w:rPr>
              <w:t>投标人</w:t>
            </w:r>
            <w:r>
              <w:rPr>
                <w:rFonts w:ascii="宋体" w:hAnsi="宋体" w:eastAsia="仿宋"/>
                <w:color w:val="auto"/>
                <w:sz w:val="24"/>
                <w:highlight w:val="none"/>
              </w:rPr>
              <w:t>须知前附表与正文部分不一致处，应以</w:t>
            </w:r>
            <w:r>
              <w:rPr>
                <w:rFonts w:hint="eastAsia" w:ascii="宋体" w:hAnsi="宋体" w:eastAsia="仿宋"/>
                <w:color w:val="auto"/>
                <w:sz w:val="24"/>
                <w:highlight w:val="none"/>
              </w:rPr>
              <w:t>投标人</w:t>
            </w:r>
            <w:r>
              <w:rPr>
                <w:rFonts w:ascii="宋体" w:hAnsi="宋体" w:eastAsia="仿宋"/>
                <w:color w:val="auto"/>
                <w:sz w:val="24"/>
                <w:highlight w:val="none"/>
              </w:rPr>
              <w:t>须知前附表为准。</w:t>
            </w:r>
          </w:p>
          <w:p w14:paraId="67981889">
            <w:pPr>
              <w:adjustRightInd w:val="0"/>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（2）</w:t>
            </w:r>
            <w:r>
              <w:rPr>
                <w:rFonts w:ascii="宋体" w:hAnsi="宋体" w:eastAsia="仿宋"/>
                <w:color w:val="auto"/>
                <w:sz w:val="24"/>
                <w:highlight w:val="none"/>
              </w:rPr>
              <w:t>“</w:t>
            </w:r>
            <w:r>
              <w:rPr>
                <w:rFonts w:ascii="宋体" w:hAnsi="宋体" w:eastAsia="仿宋"/>
                <w:color w:val="auto"/>
                <w:sz w:val="24"/>
                <w:highlight w:val="none"/>
              </w:rPr>
              <w:sym w:font="Wingdings" w:char="F0FE"/>
            </w:r>
            <w:r>
              <w:rPr>
                <w:rFonts w:ascii="宋体" w:hAnsi="宋体" w:eastAsia="仿宋"/>
                <w:color w:val="auto"/>
                <w:sz w:val="24"/>
                <w:highlight w:val="none"/>
              </w:rPr>
              <w:t>”符号表示本招标文件选定的内容；“</w:t>
            </w:r>
            <w:r>
              <w:rPr>
                <w:rFonts w:hint="eastAsia" w:ascii="宋体" w:hAnsi="宋体" w:eastAsia="仿宋"/>
                <w:color w:val="auto"/>
                <w:sz w:val="24"/>
                <w:highlight w:val="none"/>
              </w:rPr>
              <w:t>□</w:t>
            </w:r>
            <w:r>
              <w:rPr>
                <w:rFonts w:ascii="宋体" w:hAnsi="宋体" w:eastAsia="仿宋"/>
                <w:color w:val="auto"/>
                <w:sz w:val="24"/>
                <w:highlight w:val="none"/>
              </w:rPr>
              <w:t>”符号表示本招标文件未选定的内容；空格中的“/”表示没有具体内容。投标人投标时请按“</w:t>
            </w:r>
            <w:r>
              <w:rPr>
                <w:rFonts w:ascii="宋体" w:hAnsi="宋体" w:eastAsia="仿宋"/>
                <w:color w:val="auto"/>
                <w:sz w:val="24"/>
                <w:highlight w:val="none"/>
              </w:rPr>
              <w:sym w:font="Wingdings" w:char="F0FE"/>
            </w:r>
            <w:r>
              <w:rPr>
                <w:rFonts w:ascii="宋体" w:hAnsi="宋体" w:eastAsia="仿宋"/>
                <w:color w:val="auto"/>
                <w:sz w:val="24"/>
                <w:highlight w:val="none"/>
              </w:rPr>
              <w:t>符号”选定的内容和要求参加投标。</w:t>
            </w:r>
          </w:p>
          <w:p w14:paraId="5B55AFEE">
            <w:pPr>
              <w:adjustRightInd w:val="0"/>
              <w:snapToGrid w:val="0"/>
              <w:spacing w:line="288" w:lineRule="auto"/>
              <w:jc w:val="left"/>
              <w:rPr>
                <w:rFonts w:hint="eastAsia" w:ascii="宋体" w:hAnsi="宋体"/>
                <w:color w:val="auto"/>
                <w:sz w:val="24"/>
                <w:highlight w:val="none"/>
              </w:rPr>
            </w:pPr>
            <w:r>
              <w:rPr>
                <w:rFonts w:hint="eastAsia" w:ascii="宋体" w:hAnsi="宋体" w:eastAsia="仿宋"/>
                <w:color w:val="auto"/>
                <w:sz w:val="24"/>
                <w:highlight w:val="none"/>
              </w:rPr>
              <w:t>（3）与合同履行有关条款中注明的“甲方”、“买方”，在招标投标阶段按“采购人”理解；注明的“乙方”、“卖方”，按“投标人”理解。</w:t>
            </w:r>
          </w:p>
        </w:tc>
      </w:tr>
      <w:tr w14:paraId="7873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55930B5">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12.3</w:t>
            </w:r>
          </w:p>
        </w:tc>
        <w:tc>
          <w:tcPr>
            <w:tcW w:w="1581" w:type="dxa"/>
            <w:noWrap w:val="0"/>
            <w:vAlign w:val="center"/>
          </w:tcPr>
          <w:p w14:paraId="3B43D40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知识产权</w:t>
            </w:r>
          </w:p>
        </w:tc>
        <w:tc>
          <w:tcPr>
            <w:tcW w:w="7229" w:type="dxa"/>
            <w:noWrap w:val="0"/>
            <w:vAlign w:val="top"/>
          </w:tcPr>
          <w:p w14:paraId="4953FAAF">
            <w:pPr>
              <w:adjustRightInd w:val="0"/>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（1）构成本招标文件各个组成部分的文件，未经采购人书面同意，投标人不得擅自复印和用于非本招标项目所需的其他目的。</w:t>
            </w:r>
            <w:r>
              <w:rPr>
                <w:rFonts w:ascii="宋体" w:hAnsi="宋体" w:eastAsia="仿宋"/>
                <w:color w:val="auto"/>
                <w:sz w:val="24"/>
                <w:highlight w:val="none"/>
              </w:rPr>
              <w:t>如因此导致</w:t>
            </w:r>
            <w:r>
              <w:rPr>
                <w:rFonts w:hint="eastAsia" w:ascii="宋体" w:hAnsi="宋体" w:eastAsia="仿宋"/>
                <w:color w:val="auto"/>
                <w:sz w:val="24"/>
                <w:highlight w:val="none"/>
              </w:rPr>
              <w:t>采购人</w:t>
            </w:r>
            <w:r>
              <w:rPr>
                <w:rFonts w:ascii="宋体" w:hAnsi="宋体" w:eastAsia="仿宋"/>
                <w:color w:val="auto"/>
                <w:sz w:val="24"/>
                <w:highlight w:val="none"/>
              </w:rPr>
              <w:t>损失的，投标人须承担全部赔偿责任。</w:t>
            </w:r>
          </w:p>
          <w:p w14:paraId="5A9EE658">
            <w:pPr>
              <w:adjustRightInd w:val="0"/>
              <w:snapToGrid w:val="0"/>
              <w:spacing w:line="288" w:lineRule="auto"/>
              <w:jc w:val="left"/>
              <w:rPr>
                <w:rFonts w:ascii="宋体" w:hAnsi="宋体"/>
                <w:color w:val="auto"/>
                <w:sz w:val="24"/>
                <w:highlight w:val="none"/>
              </w:rPr>
            </w:pPr>
            <w:r>
              <w:rPr>
                <w:rFonts w:hint="eastAsia" w:ascii="宋体" w:hAnsi="宋体" w:eastAsia="仿宋"/>
                <w:color w:val="auto"/>
                <w:sz w:val="24"/>
                <w:highlight w:val="none"/>
              </w:rPr>
              <w:t>（2）采购人</w:t>
            </w:r>
            <w:r>
              <w:rPr>
                <w:rFonts w:ascii="宋体" w:hAnsi="宋体" w:eastAsia="仿宋"/>
                <w:color w:val="auto"/>
                <w:sz w:val="24"/>
                <w:highlight w:val="none"/>
              </w:rPr>
              <w:t>在中华人民共和国境内使用</w:t>
            </w:r>
            <w:r>
              <w:rPr>
                <w:rFonts w:hint="eastAsia" w:ascii="宋体" w:hAnsi="宋体" w:eastAsia="仿宋"/>
                <w:color w:val="auto"/>
                <w:sz w:val="24"/>
                <w:highlight w:val="none"/>
              </w:rPr>
              <w:t>中</w:t>
            </w:r>
            <w:r>
              <w:rPr>
                <w:rFonts w:ascii="宋体" w:hAnsi="宋体" w:eastAsia="仿宋"/>
                <w:color w:val="auto"/>
                <w:sz w:val="24"/>
                <w:highlight w:val="none"/>
              </w:rPr>
              <w:t>标货物</w:t>
            </w:r>
            <w:r>
              <w:rPr>
                <w:rFonts w:hint="eastAsia" w:ascii="宋体" w:hAnsi="宋体" w:eastAsia="仿宋"/>
                <w:color w:val="auto"/>
                <w:sz w:val="24"/>
                <w:highlight w:val="none"/>
              </w:rPr>
              <w:t>（服务）</w:t>
            </w:r>
            <w:r>
              <w:rPr>
                <w:rFonts w:ascii="宋体" w:hAnsi="宋体" w:eastAsia="仿宋"/>
                <w:color w:val="auto"/>
                <w:sz w:val="24"/>
                <w:highlight w:val="none"/>
              </w:rPr>
              <w:t>、资料、技术、服务或其任何一部分时</w:t>
            </w:r>
            <w:r>
              <w:rPr>
                <w:rFonts w:hint="eastAsia" w:ascii="宋体" w:hAnsi="宋体" w:eastAsia="仿宋"/>
                <w:color w:val="auto"/>
                <w:sz w:val="24"/>
                <w:highlight w:val="none"/>
              </w:rPr>
              <w:t>，履行合同义务后</w:t>
            </w:r>
            <w:r>
              <w:rPr>
                <w:rFonts w:ascii="宋体" w:hAnsi="宋体" w:eastAsia="仿宋"/>
                <w:color w:val="auto"/>
                <w:sz w:val="24"/>
                <w:highlight w:val="none"/>
              </w:rPr>
              <w:t>，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w:t>
            </w:r>
            <w:r>
              <w:rPr>
                <w:rFonts w:hint="eastAsia" w:ascii="宋体" w:hAnsi="宋体" w:eastAsia="仿宋"/>
                <w:color w:val="auto"/>
                <w:sz w:val="24"/>
                <w:highlight w:val="none"/>
              </w:rPr>
              <w:t>采购人</w:t>
            </w:r>
            <w:r>
              <w:rPr>
                <w:rFonts w:ascii="宋体" w:hAnsi="宋体" w:eastAsia="仿宋"/>
                <w:color w:val="auto"/>
                <w:sz w:val="24"/>
                <w:highlight w:val="none"/>
              </w:rPr>
              <w:t>损失的，投标人须承担全部赔偿责任。</w:t>
            </w:r>
          </w:p>
        </w:tc>
      </w:tr>
      <w:tr w14:paraId="33C1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00A1291">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12.4</w:t>
            </w:r>
          </w:p>
        </w:tc>
        <w:tc>
          <w:tcPr>
            <w:tcW w:w="1581" w:type="dxa"/>
            <w:noWrap w:val="0"/>
            <w:vAlign w:val="center"/>
          </w:tcPr>
          <w:p w14:paraId="135AB3C1">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olor w:val="auto"/>
                <w:sz w:val="24"/>
                <w:highlight w:val="none"/>
              </w:rPr>
              <w:t>投标专用章、业务专用章等效力规定</w:t>
            </w:r>
          </w:p>
        </w:tc>
        <w:tc>
          <w:tcPr>
            <w:tcW w:w="7229" w:type="dxa"/>
            <w:noWrap w:val="0"/>
            <w:vAlign w:val="center"/>
          </w:tcPr>
          <w:p w14:paraId="7572716E">
            <w:pPr>
              <w:widowControl/>
              <w:snapToGrid w:val="0"/>
              <w:spacing w:line="288" w:lineRule="auto"/>
              <w:jc w:val="left"/>
              <w:rPr>
                <w:rFonts w:hint="eastAsia" w:ascii="宋体" w:hAnsi="宋体"/>
                <w:color w:val="auto"/>
                <w:sz w:val="24"/>
                <w:highlight w:val="none"/>
              </w:rPr>
            </w:pPr>
            <w:r>
              <w:rPr>
                <w:rFonts w:hint="eastAsia" w:ascii="宋体" w:hAnsi="宋体" w:eastAsia="仿宋"/>
                <w:color w:val="auto"/>
                <w:sz w:val="24"/>
                <w:highlight w:val="none"/>
              </w:rPr>
              <w:t>招标文件中明确要求加盖公章的，投标人必须加盖投标人公章。在有授权文件(原件)表明投标专用章、业务专用章等法律效力等同于投标人公章的情况下，可以加盖投标专用章或业务专用章，否则将导致投标无效。</w:t>
            </w:r>
          </w:p>
        </w:tc>
      </w:tr>
      <w:tr w14:paraId="6B59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6DB1796">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12.5</w:t>
            </w:r>
          </w:p>
        </w:tc>
        <w:tc>
          <w:tcPr>
            <w:tcW w:w="1581" w:type="dxa"/>
            <w:noWrap w:val="0"/>
            <w:vAlign w:val="center"/>
          </w:tcPr>
          <w:p w14:paraId="4B19F4F3">
            <w:pPr>
              <w:widowControl/>
              <w:snapToGrid w:val="0"/>
              <w:spacing w:line="288" w:lineRule="auto"/>
              <w:jc w:val="center"/>
              <w:rPr>
                <w:rFonts w:hint="eastAsia" w:ascii="宋体" w:hAnsi="宋体" w:cs="Calibri"/>
                <w:b/>
                <w:color w:val="auto"/>
                <w:sz w:val="24"/>
                <w:highlight w:val="none"/>
              </w:rPr>
            </w:pPr>
            <w:r>
              <w:rPr>
                <w:rFonts w:hint="eastAsia" w:ascii="宋体" w:hAnsi="宋体" w:eastAsia="仿宋"/>
                <w:color w:val="auto"/>
                <w:sz w:val="24"/>
                <w:highlight w:val="none"/>
              </w:rPr>
              <w:t>多包投标、多包中标的规定</w:t>
            </w:r>
          </w:p>
        </w:tc>
        <w:tc>
          <w:tcPr>
            <w:tcW w:w="7229" w:type="dxa"/>
            <w:noWrap w:val="0"/>
            <w:vAlign w:val="center"/>
          </w:tcPr>
          <w:p w14:paraId="3C19DE91">
            <w:pPr>
              <w:widowControl/>
              <w:snapToGrid w:val="0"/>
              <w:spacing w:line="288" w:lineRule="auto"/>
              <w:jc w:val="left"/>
              <w:rPr>
                <w:rFonts w:ascii="仿宋" w:hAnsi="仿宋" w:eastAsia="仿宋" w:cs="Calibri"/>
                <w:color w:val="auto"/>
                <w:sz w:val="24"/>
                <w:highlight w:val="none"/>
              </w:rPr>
            </w:pPr>
            <w:r>
              <w:rPr>
                <w:rFonts w:hint="eastAsia" w:ascii="仿宋" w:hAnsi="仿宋" w:eastAsia="仿宋" w:cs="Calibri"/>
                <w:color w:val="auto"/>
                <w:sz w:val="24"/>
                <w:highlight w:val="none"/>
              </w:rPr>
              <w:t>☑</w:t>
            </w:r>
            <w:r>
              <w:rPr>
                <w:rFonts w:hint="eastAsia" w:ascii="仿宋" w:hAnsi="仿宋" w:eastAsia="仿宋" w:cs="仿宋"/>
                <w:color w:val="auto"/>
                <w:kern w:val="0"/>
                <w:sz w:val="24"/>
                <w:highlight w:val="none"/>
                <w:lang w:bidi="ar"/>
              </w:rPr>
              <w:t>本项目不适用</w:t>
            </w:r>
          </w:p>
          <w:p w14:paraId="61C3C4C1">
            <w:pPr>
              <w:widowControl/>
              <w:snapToGrid w:val="0"/>
              <w:spacing w:line="288" w:lineRule="auto"/>
              <w:jc w:val="left"/>
              <w:rPr>
                <w:rFonts w:ascii="仿宋" w:hAnsi="仿宋" w:eastAsia="仿宋" w:cs="Calibri"/>
                <w:color w:val="auto"/>
                <w:sz w:val="24"/>
                <w:highlight w:val="none"/>
              </w:rPr>
            </w:pPr>
            <w:r>
              <w:rPr>
                <w:rFonts w:hint="eastAsia" w:ascii="仿宋" w:hAnsi="仿宋" w:eastAsia="仿宋" w:cs="Calibri"/>
                <w:color w:val="auto"/>
                <w:sz w:val="24"/>
                <w:highlight w:val="none"/>
              </w:rPr>
              <w:t>□投标人可对本项目一个或多个包进行投标，也可中多个包。</w:t>
            </w:r>
          </w:p>
          <w:p w14:paraId="161304E9">
            <w:pPr>
              <w:widowControl/>
              <w:snapToGrid w:val="0"/>
              <w:spacing w:line="288" w:lineRule="auto"/>
              <w:jc w:val="left"/>
              <w:rPr>
                <w:rFonts w:ascii="仿宋" w:hAnsi="仿宋" w:eastAsia="仿宋"/>
                <w:color w:val="auto"/>
                <w:sz w:val="24"/>
                <w:highlight w:val="none"/>
              </w:rPr>
            </w:pPr>
            <w:r>
              <w:rPr>
                <w:rFonts w:hint="eastAsia" w:ascii="仿宋" w:hAnsi="仿宋" w:eastAsia="仿宋" w:cs="Calibri"/>
                <w:color w:val="auto"/>
                <w:sz w:val="24"/>
                <w:highlight w:val="none"/>
              </w:rPr>
              <w:t>□</w:t>
            </w:r>
            <w:r>
              <w:rPr>
                <w:rFonts w:hint="eastAsia" w:ascii="仿宋" w:hAnsi="仿宋" w:eastAsia="仿宋"/>
                <w:color w:val="auto"/>
                <w:sz w:val="24"/>
                <w:highlight w:val="none"/>
              </w:rPr>
              <w:t>本项目评审时按“第1包→第2包→第3包”的包号递增顺序评审。</w:t>
            </w:r>
            <w:r>
              <w:rPr>
                <w:rFonts w:hint="eastAsia" w:ascii="仿宋" w:hAnsi="仿宋" w:eastAsia="仿宋" w:cs="Calibri"/>
                <w:color w:val="auto"/>
                <w:sz w:val="24"/>
                <w:highlight w:val="none"/>
              </w:rPr>
              <w:t>投标人可对本项目一个或多个包进行投标</w:t>
            </w:r>
            <w:r>
              <w:rPr>
                <w:rFonts w:hint="eastAsia" w:ascii="仿宋" w:hAnsi="仿宋" w:eastAsia="仿宋"/>
                <w:color w:val="auto"/>
                <w:sz w:val="24"/>
                <w:highlight w:val="none"/>
              </w:rPr>
              <w:t>，但只能在单个标包中取得中标资格，且在后续标包的评审中均视为无效投标人。如某标包因中标人放弃中标资格、质疑或投诉等原因导致评审结果变更的，不影响其他包评审结果，也不受多投单中规则影响。</w:t>
            </w:r>
          </w:p>
        </w:tc>
      </w:tr>
      <w:tr w14:paraId="6F0C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9F8F894">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12.6</w:t>
            </w:r>
          </w:p>
        </w:tc>
        <w:tc>
          <w:tcPr>
            <w:tcW w:w="1581" w:type="dxa"/>
            <w:noWrap w:val="0"/>
            <w:vAlign w:val="center"/>
          </w:tcPr>
          <w:p w14:paraId="5FE443CA">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相关提示</w:t>
            </w:r>
          </w:p>
        </w:tc>
        <w:tc>
          <w:tcPr>
            <w:tcW w:w="7229" w:type="dxa"/>
            <w:noWrap w:val="0"/>
            <w:vAlign w:val="center"/>
          </w:tcPr>
          <w:p w14:paraId="2CE0D19B">
            <w:pPr>
              <w:widowControl/>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（1）招标文件中所称时间均指北京时间，采用电子招标投标时，以交易平台时间为准。</w:t>
            </w:r>
          </w:p>
          <w:p w14:paraId="153766CE">
            <w:pPr>
              <w:widowControl/>
              <w:snapToGrid w:val="0"/>
              <w:spacing w:line="288" w:lineRule="auto"/>
              <w:jc w:val="left"/>
              <w:rPr>
                <w:rFonts w:hint="eastAsia" w:ascii="宋体" w:hAnsi="宋体" w:eastAsia="仿宋"/>
                <w:color w:val="auto"/>
                <w:sz w:val="24"/>
                <w:highlight w:val="none"/>
              </w:rPr>
            </w:pPr>
            <w:r>
              <w:rPr>
                <w:rFonts w:hint="eastAsia" w:ascii="宋体" w:hAnsi="宋体" w:eastAsia="仿宋"/>
                <w:color w:val="auto"/>
                <w:sz w:val="24"/>
                <w:highlight w:val="none"/>
              </w:rPr>
              <w:t>（2）投标人应注意规定的开标地点和投标截止时间，为了使招标投标工作有条不紊进行，避免因网络等问题导致投标文件无法按时加密并提交的情况发生，建议投标人提前30分钟做好准备工作。</w:t>
            </w:r>
          </w:p>
          <w:p w14:paraId="298EB319">
            <w:pPr>
              <w:widowControl/>
              <w:snapToGrid w:val="0"/>
              <w:spacing w:line="288" w:lineRule="auto"/>
              <w:jc w:val="left"/>
              <w:rPr>
                <w:rFonts w:hint="eastAsia" w:ascii="宋体" w:hAnsi="宋体"/>
                <w:color w:val="auto"/>
                <w:sz w:val="24"/>
                <w:highlight w:val="none"/>
              </w:rPr>
            </w:pPr>
            <w:r>
              <w:rPr>
                <w:rFonts w:hint="eastAsia" w:ascii="宋体" w:hAnsi="宋体" w:eastAsia="仿宋"/>
                <w:color w:val="auto"/>
                <w:sz w:val="24"/>
                <w:highlight w:val="none"/>
              </w:rPr>
              <w:t>（3）本项目保证金账户采用虚拟账号，每个项目均不同，同一个项目不同标包也不同。投标标包应与保证金相匹配。如项目招标失败再次招标时，保证金账号也会发生变化。请投标人仔细核对账户信息。</w:t>
            </w:r>
          </w:p>
        </w:tc>
      </w:tr>
      <w:tr w14:paraId="7D66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D0167A9">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12.7</w:t>
            </w:r>
          </w:p>
        </w:tc>
        <w:tc>
          <w:tcPr>
            <w:tcW w:w="1581" w:type="dxa"/>
            <w:noWrap w:val="0"/>
            <w:vAlign w:val="center"/>
          </w:tcPr>
          <w:p w14:paraId="441A6518">
            <w:pPr>
              <w:widowControl/>
              <w:adjustRightInd w:val="0"/>
              <w:snapToGrid w:val="0"/>
              <w:spacing w:line="288" w:lineRule="auto"/>
              <w:jc w:val="center"/>
              <w:rPr>
                <w:rFonts w:hint="eastAsia" w:ascii="宋体" w:hAnsi="宋体" w:cs="Calibri"/>
                <w:color w:val="auto"/>
                <w:sz w:val="24"/>
                <w:highlight w:val="none"/>
              </w:rPr>
            </w:pPr>
            <w:r>
              <w:rPr>
                <w:rFonts w:hint="eastAsia" w:ascii="宋体" w:hAnsi="宋体" w:eastAsia="仿宋" w:cs="Calibri"/>
                <w:color w:val="auto"/>
                <w:sz w:val="24"/>
                <w:highlight w:val="none"/>
              </w:rPr>
              <w:t>招标文件的解释</w:t>
            </w:r>
          </w:p>
        </w:tc>
        <w:tc>
          <w:tcPr>
            <w:tcW w:w="7229" w:type="dxa"/>
            <w:noWrap w:val="0"/>
            <w:vAlign w:val="top"/>
          </w:tcPr>
          <w:p w14:paraId="725CE90A">
            <w:pPr>
              <w:widowControl/>
              <w:adjustRightInd w:val="0"/>
              <w:snapToGrid w:val="0"/>
              <w:spacing w:line="288" w:lineRule="auto"/>
              <w:rPr>
                <w:rFonts w:hint="eastAsia" w:ascii="宋体" w:hAnsi="宋体"/>
                <w:color w:val="auto"/>
                <w:sz w:val="24"/>
                <w:highlight w:val="none"/>
              </w:rPr>
            </w:pPr>
            <w:r>
              <w:rPr>
                <w:rFonts w:hint="eastAsia" w:ascii="宋体" w:hAnsi="宋体" w:eastAsia="仿宋"/>
                <w:color w:val="auto"/>
                <w:sz w:val="24"/>
                <w:highlight w:val="none"/>
              </w:rPr>
              <w:t>构成本招标文件的各个组成文件应互为解释，互为说明；如有不明确或不一致，除招标文件中有特别规定外，仅适用于招标投标阶段规定的，按招标公告、投标人须知、评标办法、投标文件格式的先后顺序解释；同一组成文件中就同一事项的规定或约定不一致的，以编排顺序在后者为准；同一文件不同版本之间有不一致的，以形成时间在后者为准。按本款前述规定仍不能形成结论的，</w:t>
            </w:r>
            <w:r>
              <w:rPr>
                <w:rFonts w:hint="eastAsia" w:ascii="宋体" w:hAnsi="宋体" w:eastAsia="仿宋"/>
                <w:bCs/>
                <w:color w:val="auto"/>
                <w:sz w:val="24"/>
                <w:highlight w:val="none"/>
              </w:rPr>
              <w:t>由采购人和采购代理机构负责解释。</w:t>
            </w:r>
          </w:p>
        </w:tc>
      </w:tr>
      <w:tr w14:paraId="2729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B55D265">
            <w:pPr>
              <w:widowControl/>
              <w:adjustRightInd w:val="0"/>
              <w:snapToGrid w:val="0"/>
              <w:spacing w:line="288" w:lineRule="auto"/>
              <w:jc w:val="center"/>
              <w:rPr>
                <w:rFonts w:ascii="宋体" w:hAnsi="宋体" w:eastAsia="仿宋" w:cs="Calibri"/>
                <w:color w:val="auto"/>
                <w:sz w:val="24"/>
                <w:highlight w:val="none"/>
              </w:rPr>
            </w:pPr>
            <w:r>
              <w:rPr>
                <w:rFonts w:hint="eastAsia" w:ascii="宋体" w:hAnsi="宋体" w:eastAsia="仿宋" w:cs="Calibri"/>
                <w:color w:val="auto"/>
                <w:sz w:val="24"/>
                <w:highlight w:val="none"/>
              </w:rPr>
              <w:t>12.8</w:t>
            </w:r>
          </w:p>
        </w:tc>
        <w:tc>
          <w:tcPr>
            <w:tcW w:w="1581" w:type="dxa"/>
            <w:noWrap w:val="0"/>
            <w:vAlign w:val="center"/>
          </w:tcPr>
          <w:p w14:paraId="5CA800C5">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“政采贷”融资指引</w:t>
            </w:r>
          </w:p>
        </w:tc>
        <w:tc>
          <w:tcPr>
            <w:tcW w:w="7229" w:type="dxa"/>
            <w:noWrap w:val="0"/>
            <w:vAlign w:val="top"/>
          </w:tcPr>
          <w:p w14:paraId="40F1CC3F">
            <w:pPr>
              <w:widowControl/>
              <w:adjustRightInd w:val="0"/>
              <w:snapToGrid w:val="0"/>
              <w:spacing w:line="288" w:lineRule="auto"/>
              <w:rPr>
                <w:rFonts w:hint="eastAsia" w:ascii="宋体" w:hAnsi="宋体" w:eastAsia="仿宋"/>
                <w:color w:val="auto"/>
                <w:sz w:val="24"/>
                <w:highlight w:val="none"/>
              </w:rPr>
            </w:pPr>
            <w:r>
              <w:rPr>
                <w:rFonts w:hint="eastAsia" w:ascii="宋体" w:hAnsi="宋体" w:eastAsia="仿宋"/>
                <w:color w:val="auto"/>
                <w:sz w:val="24"/>
                <w:highlight w:val="none"/>
              </w:rPr>
              <w:t>有融资需求的供应商在取得政府采购中标或成交通知书后，可访问安徽省政府采购网“融资/保函”栏目，查看和联系第三方平台或者金融机构，商洽融资事项，确定融资意向。</w:t>
            </w:r>
          </w:p>
          <w:p w14:paraId="2BF9EB10">
            <w:pPr>
              <w:widowControl/>
              <w:adjustRightInd w:val="0"/>
              <w:snapToGrid w:val="0"/>
              <w:spacing w:line="288" w:lineRule="auto"/>
              <w:rPr>
                <w:rFonts w:hint="eastAsia" w:ascii="宋体" w:hAnsi="宋体" w:eastAsia="仿宋"/>
                <w:color w:val="auto"/>
                <w:sz w:val="24"/>
                <w:highlight w:val="none"/>
              </w:rPr>
            </w:pPr>
            <w:r>
              <w:rPr>
                <w:rFonts w:hint="eastAsia" w:ascii="宋体" w:hAnsi="宋体" w:eastAsia="仿宋"/>
                <w:color w:val="auto"/>
                <w:sz w:val="24"/>
                <w:highlight w:val="none"/>
              </w:rPr>
              <w:t>供应商签署政府采购中标（成交）合同后，登录“徽采云”金融服务模块，选择意向产品进行申请，并填写相关信息，“徽采云”金融服务模块将供应商融资申请信息推送第三方平台、意向金融机构。</w:t>
            </w:r>
          </w:p>
        </w:tc>
      </w:tr>
      <w:tr w14:paraId="7820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C2F1249">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Calibri"/>
                <w:b/>
                <w:bCs/>
                <w:color w:val="auto"/>
                <w:sz w:val="24"/>
                <w:highlight w:val="none"/>
              </w:rPr>
              <w:t>12.9</w:t>
            </w:r>
          </w:p>
        </w:tc>
        <w:tc>
          <w:tcPr>
            <w:tcW w:w="1581" w:type="dxa"/>
            <w:noWrap w:val="0"/>
            <w:vAlign w:val="center"/>
          </w:tcPr>
          <w:p w14:paraId="32EECA0B">
            <w:pPr>
              <w:widowControl/>
              <w:adjustRightInd w:val="0"/>
              <w:snapToGrid w:val="0"/>
              <w:spacing w:line="288" w:lineRule="auto"/>
              <w:jc w:val="center"/>
              <w:rPr>
                <w:rFonts w:hint="eastAsia" w:ascii="宋体" w:hAnsi="宋体" w:eastAsia="仿宋" w:cs="Calibri"/>
                <w:color w:val="auto"/>
                <w:sz w:val="24"/>
                <w:highlight w:val="none"/>
              </w:rPr>
            </w:pPr>
            <w:r>
              <w:rPr>
                <w:rFonts w:hint="eastAsia" w:ascii="宋体" w:hAnsi="宋体" w:eastAsia="仿宋" w:cs="Calibri"/>
                <w:b/>
                <w:bCs/>
                <w:color w:val="auto"/>
                <w:sz w:val="24"/>
                <w:highlight w:val="none"/>
              </w:rPr>
              <w:t>说明</w:t>
            </w:r>
          </w:p>
        </w:tc>
        <w:tc>
          <w:tcPr>
            <w:tcW w:w="7229" w:type="dxa"/>
            <w:noWrap w:val="0"/>
            <w:vAlign w:val="top"/>
          </w:tcPr>
          <w:p w14:paraId="010F19FB">
            <w:pPr>
              <w:widowControl/>
              <w:adjustRightInd w:val="0"/>
              <w:snapToGrid w:val="0"/>
              <w:spacing w:line="288" w:lineRule="auto"/>
              <w:rPr>
                <w:rFonts w:hint="eastAsia" w:ascii="宋体" w:hAnsi="宋体" w:eastAsia="仿宋"/>
                <w:color w:val="auto"/>
                <w:sz w:val="24"/>
                <w:highlight w:val="none"/>
              </w:rPr>
            </w:pPr>
            <w:r>
              <w:rPr>
                <w:rFonts w:hint="eastAsia" w:ascii="宋体" w:hAnsi="宋体" w:eastAsia="仿宋"/>
                <w:b/>
                <w:bCs/>
                <w:color w:val="auto"/>
                <w:sz w:val="24"/>
                <w:highlight w:val="none"/>
              </w:rPr>
              <w:t>本项目为政府采购项目，须在“徽采云”平台完成合同备案和资金支付等。请各投标人及时进行“徽采云”平台注册，完成正式入库。未完成正式入库的投标人中标后将影响后续合同备案，无法完成合同执行、付款等。相关操作流程详见“徽采云”-徽采学院-供应商注册与配置。</w:t>
            </w:r>
          </w:p>
        </w:tc>
      </w:tr>
    </w:tbl>
    <w:p w14:paraId="6B87DEBE">
      <w:pPr>
        <w:widowControl/>
        <w:spacing w:line="360" w:lineRule="auto"/>
        <w:rPr>
          <w:rFonts w:ascii="宋体" w:hAnsi="宋体" w:eastAsia="仿宋" w:cs="Calibri"/>
          <w:b/>
          <w:bCs/>
          <w:color w:val="auto"/>
          <w:sz w:val="24"/>
          <w:highlight w:val="none"/>
        </w:rPr>
      </w:pPr>
    </w:p>
    <w:p w14:paraId="69FF9EAA">
      <w:pPr>
        <w:widowControl/>
        <w:rPr>
          <w:rStyle w:val="23"/>
          <w:rFonts w:ascii="宋体" w:hAnsi="宋体" w:eastAsia="仿宋"/>
          <w:bCs w:val="0"/>
          <w:color w:val="auto"/>
          <w:sz w:val="24"/>
          <w:szCs w:val="24"/>
          <w:highlight w:val="none"/>
        </w:rPr>
        <w:sectPr>
          <w:footerReference r:id="rId8"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bookmarkEnd w:id="37"/>
    <w:bookmarkEnd w:id="38"/>
    <w:bookmarkEnd w:id="39"/>
    <w:bookmarkEnd w:id="40"/>
    <w:p w14:paraId="5F963579">
      <w:pPr>
        <w:pStyle w:val="3"/>
        <w:rPr>
          <w:rStyle w:val="23"/>
          <w:rFonts w:ascii="宋体" w:hAnsi="宋体" w:eastAsia="仿宋"/>
          <w:b/>
          <w:bCs/>
          <w:color w:val="auto"/>
          <w:sz w:val="24"/>
          <w:szCs w:val="24"/>
          <w:highlight w:val="none"/>
        </w:rPr>
      </w:pPr>
      <w:bookmarkStart w:id="44" w:name="_Toc342297618"/>
      <w:bookmarkStart w:id="45" w:name="_Toc333600682"/>
      <w:bookmarkStart w:id="46" w:name="_Toc455587216"/>
      <w:bookmarkStart w:id="47" w:name="_Toc152042305"/>
      <w:bookmarkStart w:id="48" w:name="_Toc445554688"/>
      <w:bookmarkStart w:id="49" w:name="_Toc371415920"/>
      <w:bookmarkStart w:id="50" w:name="_Toc144974497"/>
      <w:bookmarkStart w:id="51" w:name="_Toc342296161"/>
      <w:bookmarkStart w:id="52" w:name="_Toc152045529"/>
      <w:bookmarkStart w:id="53" w:name="_Toc338943699"/>
      <w:bookmarkStart w:id="54" w:name="_Toc338944604"/>
      <w:bookmarkStart w:id="55" w:name="_Toc466024500"/>
      <w:bookmarkStart w:id="56" w:name="_Toc333599658"/>
      <w:bookmarkStart w:id="57" w:name="_Toc455587032"/>
      <w:bookmarkStart w:id="58" w:name="_Toc342294713"/>
      <w:bookmarkStart w:id="59" w:name="_Toc179632546"/>
      <w:bookmarkStart w:id="60" w:name="_Toc458504818"/>
      <w:r>
        <w:rPr>
          <w:rStyle w:val="23"/>
          <w:rFonts w:hint="eastAsia" w:ascii="宋体" w:hAnsi="宋体" w:eastAsia="仿宋"/>
          <w:b/>
          <w:bCs/>
          <w:color w:val="auto"/>
          <w:sz w:val="24"/>
          <w:szCs w:val="24"/>
          <w:highlight w:val="none"/>
        </w:rPr>
        <w:t>1. 总则</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09544EB3">
      <w:pPr>
        <w:pStyle w:val="4"/>
        <w:adjustRightInd w:val="0"/>
        <w:ind w:firstLine="482" w:firstLineChars="200"/>
        <w:rPr>
          <w:rFonts w:eastAsia="仿宋"/>
          <w:color w:val="auto"/>
          <w:sz w:val="24"/>
          <w:highlight w:val="none"/>
          <w:lang w:eastAsia="zh-CN"/>
        </w:rPr>
      </w:pPr>
      <w:bookmarkStart w:id="61" w:name="_Toc371415921"/>
      <w:bookmarkStart w:id="62" w:name="_Toc152045530"/>
      <w:bookmarkStart w:id="63" w:name="_Toc458504819"/>
      <w:bookmarkStart w:id="64" w:name="_Toc179632547"/>
      <w:bookmarkStart w:id="65" w:name="_Toc445554689"/>
      <w:bookmarkStart w:id="66" w:name="_Toc342296162"/>
      <w:bookmarkStart w:id="67" w:name="_Toc144974498"/>
      <w:bookmarkStart w:id="68" w:name="_Toc342297619"/>
      <w:bookmarkStart w:id="69" w:name="_Toc455587033"/>
      <w:bookmarkStart w:id="70" w:name="_Toc455587217"/>
      <w:bookmarkStart w:id="71" w:name="_Toc152042306"/>
      <w:bookmarkStart w:id="72" w:name="_Toc338944605"/>
      <w:bookmarkStart w:id="73" w:name="_Toc333599659"/>
      <w:bookmarkStart w:id="74" w:name="_Toc338943700"/>
      <w:bookmarkStart w:id="75" w:name="_Toc333600683"/>
      <w:bookmarkStart w:id="76" w:name="_Toc333587853"/>
      <w:bookmarkStart w:id="77" w:name="_Toc466024501"/>
      <w:bookmarkStart w:id="78" w:name="_Toc342294714"/>
      <w:r>
        <w:rPr>
          <w:rFonts w:eastAsia="仿宋"/>
          <w:color w:val="auto"/>
          <w:sz w:val="24"/>
          <w:highlight w:val="none"/>
          <w:lang w:eastAsia="zh-CN"/>
        </w:rPr>
        <w:t>1</w:t>
      </w:r>
      <w:r>
        <w:rPr>
          <w:rFonts w:hint="eastAsia" w:eastAsia="仿宋"/>
          <w:color w:val="auto"/>
          <w:sz w:val="24"/>
          <w:highlight w:val="none"/>
          <w:lang w:eastAsia="zh-CN"/>
        </w:rPr>
        <w:t>.1 项目概况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569E54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1.1.1 根据《中华人民共和国政府采购法》《中华人民共和国政府采购法实施条例》《政府采购货物和服务招标投标管理办法》等有关法律、法规和规章的规定，本项目已具备政府采购条件，现以招标方式进行政府采购。</w:t>
      </w:r>
    </w:p>
    <w:p w14:paraId="1429C48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1.1.2 采购人：见投标人须知前附表。</w:t>
      </w:r>
    </w:p>
    <w:p w14:paraId="1AEA272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1.1.3 采购代理机构：见投标人须知前附表。</w:t>
      </w:r>
    </w:p>
    <w:p w14:paraId="7098A77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1.1.4 采购项目名称：见投标人须知前附表。</w:t>
      </w:r>
    </w:p>
    <w:p w14:paraId="6A6A2C3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1.1.5 采购包划分：见投标人须知前附表。</w:t>
      </w:r>
    </w:p>
    <w:p w14:paraId="396A8D7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1.1.6 采购预算：见投标人须知前附表。</w:t>
      </w:r>
    </w:p>
    <w:p w14:paraId="2999F3B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1.1.7 专门面向中小企业采购：见投标人须知前附表。</w:t>
      </w:r>
    </w:p>
    <w:p w14:paraId="7E1583C6">
      <w:pPr>
        <w:pStyle w:val="4"/>
        <w:adjustRightInd w:val="0"/>
        <w:ind w:firstLine="482" w:firstLineChars="200"/>
        <w:rPr>
          <w:rFonts w:eastAsia="仿宋"/>
          <w:color w:val="auto"/>
          <w:sz w:val="24"/>
          <w:highlight w:val="none"/>
          <w:lang w:eastAsia="zh-CN"/>
        </w:rPr>
      </w:pPr>
      <w:bookmarkStart w:id="79" w:name="_Toc445554690"/>
      <w:bookmarkStart w:id="80" w:name="_Toc455587034"/>
      <w:bookmarkStart w:id="81" w:name="_Toc458504820"/>
      <w:bookmarkStart w:id="82" w:name="_Toc466024502"/>
      <w:bookmarkStart w:id="83" w:name="_Toc455587218"/>
      <w:r>
        <w:rPr>
          <w:rFonts w:hint="eastAsia" w:eastAsia="仿宋"/>
          <w:color w:val="auto"/>
          <w:sz w:val="24"/>
          <w:highlight w:val="none"/>
          <w:lang w:eastAsia="zh-CN"/>
        </w:rPr>
        <w:t>1.2 资金落实情况与核心产品</w:t>
      </w:r>
    </w:p>
    <w:p w14:paraId="30DE67D4">
      <w:pPr>
        <w:widowControl/>
        <w:adjustRightInd w:val="0"/>
        <w:snapToGrid w:val="0"/>
        <w:spacing w:line="360" w:lineRule="auto"/>
        <w:ind w:firstLine="480" w:firstLineChars="200"/>
        <w:rPr>
          <w:rFonts w:hint="eastAsia" w:ascii="宋体" w:hAnsi="宋体" w:eastAsia="仿宋" w:cs="宋体"/>
          <w:color w:val="auto"/>
          <w:sz w:val="24"/>
          <w:highlight w:val="none"/>
        </w:rPr>
      </w:pPr>
      <w:r>
        <w:rPr>
          <w:rFonts w:hint="eastAsia" w:ascii="宋体" w:hAnsi="宋体" w:eastAsia="仿宋" w:cs="宋体"/>
          <w:color w:val="auto"/>
          <w:sz w:val="24"/>
          <w:highlight w:val="none"/>
          <w:lang w:bidi="ar"/>
        </w:rPr>
        <w:t xml:space="preserve">1.2.1 </w:t>
      </w:r>
      <w:r>
        <w:rPr>
          <w:rFonts w:hint="eastAsia" w:ascii="宋体" w:hAnsi="宋体" w:eastAsia="仿宋" w:cs="仿宋"/>
          <w:color w:val="auto"/>
          <w:sz w:val="24"/>
          <w:highlight w:val="none"/>
          <w:lang w:bidi="ar"/>
        </w:rPr>
        <w:t>资金来源及比例：见投标人须知前附表。</w:t>
      </w:r>
    </w:p>
    <w:p w14:paraId="78B017C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s="宋体"/>
          <w:color w:val="auto"/>
          <w:sz w:val="24"/>
          <w:highlight w:val="none"/>
          <w:lang w:bidi="ar"/>
        </w:rPr>
        <w:t>1.2.2</w:t>
      </w:r>
      <w:r>
        <w:rPr>
          <w:rFonts w:hint="eastAsia" w:ascii="宋体" w:hAnsi="宋体" w:eastAsia="仿宋"/>
          <w:color w:val="auto"/>
          <w:sz w:val="24"/>
          <w:highlight w:val="none"/>
        </w:rPr>
        <w:t xml:space="preserve"> 资金落实情况：本项目的采购人已获得足以支付本次招标后所签订的合同项下的资金。</w:t>
      </w:r>
    </w:p>
    <w:p w14:paraId="1C62909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1.2.3 核心产品：非单一产品采购项目，采购人应当根据采购项目技术构成、产品价格比重等合理确定核心产品，并在招标文件中载明。提供的核心产品品牌相同的不同投标人参加同一合同项下投标的，按一家投标人计算。</w:t>
      </w:r>
    </w:p>
    <w:bookmarkEnd w:id="79"/>
    <w:bookmarkEnd w:id="80"/>
    <w:bookmarkEnd w:id="81"/>
    <w:bookmarkEnd w:id="82"/>
    <w:bookmarkEnd w:id="83"/>
    <w:p w14:paraId="681B077A">
      <w:pPr>
        <w:pStyle w:val="4"/>
        <w:adjustRightInd w:val="0"/>
        <w:ind w:firstLine="482" w:firstLineChars="200"/>
        <w:rPr>
          <w:rFonts w:eastAsia="仿宋"/>
          <w:color w:val="auto"/>
          <w:sz w:val="24"/>
          <w:highlight w:val="none"/>
          <w:lang w:eastAsia="zh-CN"/>
        </w:rPr>
      </w:pPr>
      <w:bookmarkStart w:id="84" w:name="_Toc342297623"/>
      <w:bookmarkStart w:id="85" w:name="_Toc445554692"/>
      <w:bookmarkStart w:id="86" w:name="_Toc333599663"/>
      <w:bookmarkStart w:id="87" w:name="_Toc455587035"/>
      <w:bookmarkStart w:id="88" w:name="_Toc338943704"/>
      <w:bookmarkStart w:id="89" w:name="_Toc152045534"/>
      <w:bookmarkStart w:id="90" w:name="_Toc152042310"/>
      <w:bookmarkStart w:id="91" w:name="_Toc466024503"/>
      <w:bookmarkStart w:id="92" w:name="_Toc144974502"/>
      <w:bookmarkStart w:id="93" w:name="_Toc455587219"/>
      <w:bookmarkStart w:id="94" w:name="_Toc371415924"/>
      <w:bookmarkStart w:id="95" w:name="_Toc333600687"/>
      <w:bookmarkStart w:id="96" w:name="_Toc458504821"/>
      <w:bookmarkStart w:id="97" w:name="_Toc179632551"/>
      <w:bookmarkStart w:id="98" w:name="_Toc342296166"/>
      <w:bookmarkStart w:id="99" w:name="_Toc333587857"/>
      <w:bookmarkStart w:id="100" w:name="_Toc342294718"/>
      <w:bookmarkStart w:id="101" w:name="_Toc338944609"/>
      <w:r>
        <w:rPr>
          <w:rFonts w:hint="eastAsia" w:eastAsia="仿宋"/>
          <w:color w:val="auto"/>
          <w:sz w:val="24"/>
          <w:highlight w:val="none"/>
          <w:lang w:eastAsia="zh-CN"/>
        </w:rPr>
        <w:t>1.3 资格要求</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75D9D15">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1.3.1 投标人应具备承担本采购项目的资质条件、能力和信誉，具体资格要求见投标人须知前附表。</w:t>
      </w:r>
    </w:p>
    <w:p w14:paraId="5D90D96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1.3.2 接受联合体投标的，除应符合本章第1.3</w:t>
      </w:r>
      <w:r>
        <w:rPr>
          <w:rFonts w:ascii="宋体" w:hAnsi="宋体" w:eastAsia="仿宋"/>
          <w:color w:val="auto"/>
          <w:sz w:val="24"/>
          <w:highlight w:val="none"/>
        </w:rPr>
        <w:t>.1</w:t>
      </w:r>
      <w:r>
        <w:rPr>
          <w:rFonts w:hint="eastAsia" w:ascii="宋体" w:hAnsi="宋体" w:eastAsia="仿宋"/>
          <w:color w:val="auto"/>
          <w:sz w:val="24"/>
          <w:highlight w:val="none"/>
        </w:rPr>
        <w:t>项和投标人须知前附表的要求外，还应遵守以下规定：</w:t>
      </w:r>
    </w:p>
    <w:p w14:paraId="73F5AB9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）联合体各方应按招标文件提供的格式签订联合体协议书，明确联合体牵头人和各方权利义务，并承诺就中标项目向采购人承担连带责任；</w:t>
      </w:r>
    </w:p>
    <w:p w14:paraId="450F062E">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（2）由同一专业的单位组成的联合体，按照资质等级较低的单位确定资质等级；</w:t>
      </w:r>
    </w:p>
    <w:p w14:paraId="4653E47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（3）联合体各方不得再以自己名义单独或参加其他联合体在本项目中投标，否则各相关投标均无效；</w:t>
      </w:r>
    </w:p>
    <w:p w14:paraId="08029CA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4）联合体各方应分别按照本招标文件的要求，填写投标文件中的相应表格，并由联合体牵头人负责对联合体各成员的资料进行统一汇总后一并提交给</w:t>
      </w:r>
      <w:r>
        <w:rPr>
          <w:rFonts w:hint="eastAsia" w:ascii="宋体" w:hAnsi="宋体" w:eastAsia="仿宋"/>
          <w:color w:val="auto"/>
          <w:sz w:val="24"/>
          <w:highlight w:val="none"/>
        </w:rPr>
        <w:t>采购</w:t>
      </w:r>
      <w:r>
        <w:rPr>
          <w:rFonts w:ascii="宋体" w:hAnsi="宋体" w:eastAsia="仿宋"/>
          <w:color w:val="auto"/>
          <w:sz w:val="24"/>
          <w:highlight w:val="none"/>
        </w:rPr>
        <w:t>人；联合体牵头人所提交的投标文件应认为已代表了联合体各成员的真实情况；</w:t>
      </w:r>
    </w:p>
    <w:p w14:paraId="0151702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5）尽管委任了联合体牵头人，但联合体各成员在投标、签订合同与履行合同过程中，仍负有连带的和各自的法律责任。</w:t>
      </w:r>
    </w:p>
    <w:p w14:paraId="075040CD">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1.3.3 投标人</w:t>
      </w:r>
      <w:r>
        <w:rPr>
          <w:rFonts w:hAnsi="宋体" w:eastAsia="仿宋"/>
          <w:color w:val="auto"/>
          <w:sz w:val="24"/>
          <w:highlight w:val="none"/>
        </w:rPr>
        <w:t>（包括联合体各成员）</w:t>
      </w:r>
      <w:r>
        <w:rPr>
          <w:rFonts w:hint="eastAsia" w:ascii="宋体" w:hAnsi="宋体" w:eastAsia="仿宋"/>
          <w:color w:val="auto"/>
          <w:sz w:val="24"/>
          <w:highlight w:val="none"/>
        </w:rPr>
        <w:t>不得存在下列情形之一：</w:t>
      </w:r>
    </w:p>
    <w:p w14:paraId="29B4E2D0">
      <w:pPr>
        <w:widowControl/>
        <w:adjustRightInd w:val="0"/>
        <w:snapToGrid w:val="0"/>
        <w:spacing w:line="360" w:lineRule="auto"/>
        <w:ind w:firstLine="480" w:firstLineChars="200"/>
        <w:rPr>
          <w:rFonts w:hint="eastAsia" w:ascii="宋体" w:hAnsi="宋体" w:eastAsia="仿宋"/>
          <w:color w:val="auto"/>
          <w:sz w:val="24"/>
          <w:highlight w:val="none"/>
        </w:rPr>
      </w:pPr>
      <w:bookmarkStart w:id="102" w:name="_Toc144974503"/>
      <w:bookmarkStart w:id="103" w:name="_Toc342296167"/>
      <w:bookmarkStart w:id="104" w:name="_Toc179632552"/>
      <w:bookmarkStart w:id="105" w:name="_Toc342294719"/>
      <w:bookmarkStart w:id="106" w:name="_Toc333587858"/>
      <w:bookmarkStart w:id="107" w:name="_Toc333600688"/>
      <w:bookmarkStart w:id="108" w:name="_Toc152042311"/>
      <w:bookmarkStart w:id="109" w:name="_Toc338943705"/>
      <w:bookmarkStart w:id="110" w:name="_Toc338944610"/>
      <w:bookmarkStart w:id="111" w:name="_Toc342297624"/>
      <w:bookmarkStart w:id="112" w:name="_Toc152045535"/>
      <w:bookmarkStart w:id="113" w:name="_Toc333599664"/>
      <w:r>
        <w:rPr>
          <w:rFonts w:hint="eastAsia" w:ascii="宋体" w:hAnsi="宋体" w:eastAsia="仿宋"/>
          <w:color w:val="auto"/>
          <w:sz w:val="24"/>
          <w:highlight w:val="none"/>
        </w:rPr>
        <w:t>（1）</w:t>
      </w:r>
      <w:r>
        <w:rPr>
          <w:rFonts w:ascii="宋体" w:hAnsi="宋体" w:eastAsia="仿宋"/>
          <w:color w:val="auto"/>
          <w:sz w:val="24"/>
          <w:highlight w:val="none"/>
        </w:rPr>
        <w:t>为本采购项目的采购代理机构；</w:t>
      </w:r>
    </w:p>
    <w:p w14:paraId="57FD677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w:t>
      </w:r>
      <w:r>
        <w:rPr>
          <w:rFonts w:ascii="宋体" w:hAnsi="宋体" w:eastAsia="仿宋"/>
          <w:color w:val="auto"/>
          <w:sz w:val="24"/>
          <w:highlight w:val="none"/>
        </w:rPr>
        <w:t>为采购人</w:t>
      </w:r>
      <w:r>
        <w:rPr>
          <w:rFonts w:hint="eastAsia" w:ascii="宋体" w:hAnsi="宋体" w:eastAsia="仿宋"/>
          <w:color w:val="auto"/>
          <w:sz w:val="24"/>
          <w:highlight w:val="none"/>
        </w:rPr>
        <w:t>不具有独立承担民事责任能力的</w:t>
      </w:r>
      <w:r>
        <w:rPr>
          <w:rFonts w:ascii="宋体" w:hAnsi="宋体" w:eastAsia="仿宋"/>
          <w:color w:val="auto"/>
          <w:sz w:val="24"/>
          <w:highlight w:val="none"/>
        </w:rPr>
        <w:t>附属机构</w:t>
      </w:r>
      <w:r>
        <w:rPr>
          <w:rFonts w:hint="eastAsia" w:ascii="宋体" w:hAnsi="宋体" w:eastAsia="仿宋"/>
          <w:color w:val="auto"/>
          <w:sz w:val="24"/>
          <w:highlight w:val="none"/>
        </w:rPr>
        <w:t>；</w:t>
      </w:r>
    </w:p>
    <w:p w14:paraId="02CFF61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与采购人存在利害关系且可能影响采购公正性；</w:t>
      </w:r>
    </w:p>
    <w:p w14:paraId="56B5B1E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w:t>
      </w:r>
      <w:r>
        <w:rPr>
          <w:rFonts w:ascii="宋体" w:hAnsi="宋体" w:eastAsia="仿宋"/>
          <w:color w:val="auto"/>
          <w:sz w:val="24"/>
          <w:highlight w:val="none"/>
        </w:rPr>
        <w:t>由本</w:t>
      </w:r>
      <w:r>
        <w:rPr>
          <w:rFonts w:hint="eastAsia" w:ascii="宋体" w:hAnsi="宋体" w:eastAsia="仿宋"/>
          <w:color w:val="auto"/>
          <w:sz w:val="24"/>
          <w:highlight w:val="none"/>
        </w:rPr>
        <w:t>采购项目</w:t>
      </w:r>
      <w:r>
        <w:rPr>
          <w:rFonts w:ascii="宋体" w:hAnsi="宋体" w:eastAsia="仿宋"/>
          <w:color w:val="auto"/>
          <w:sz w:val="24"/>
          <w:highlight w:val="none"/>
        </w:rPr>
        <w:t>采购代理机构代理</w:t>
      </w:r>
      <w:r>
        <w:rPr>
          <w:rFonts w:hint="eastAsia" w:ascii="宋体" w:hAnsi="宋体" w:eastAsia="仿宋"/>
          <w:color w:val="auto"/>
          <w:sz w:val="24"/>
          <w:highlight w:val="none"/>
        </w:rPr>
        <w:t>投标</w:t>
      </w:r>
      <w:r>
        <w:rPr>
          <w:rFonts w:ascii="宋体" w:hAnsi="宋体" w:eastAsia="仿宋"/>
          <w:color w:val="auto"/>
          <w:sz w:val="24"/>
          <w:highlight w:val="none"/>
        </w:rPr>
        <w:t>，或者接受过本</w:t>
      </w:r>
      <w:r>
        <w:rPr>
          <w:rFonts w:hint="eastAsia" w:ascii="宋体" w:hAnsi="宋体" w:eastAsia="仿宋"/>
          <w:color w:val="auto"/>
          <w:sz w:val="24"/>
          <w:highlight w:val="none"/>
        </w:rPr>
        <w:t>采购项目</w:t>
      </w:r>
      <w:r>
        <w:rPr>
          <w:rFonts w:ascii="宋体" w:hAnsi="宋体" w:eastAsia="仿宋"/>
          <w:color w:val="auto"/>
          <w:sz w:val="24"/>
          <w:highlight w:val="none"/>
        </w:rPr>
        <w:t>的采购代理机构为本</w:t>
      </w:r>
      <w:r>
        <w:rPr>
          <w:rFonts w:hint="eastAsia" w:ascii="宋体" w:hAnsi="宋体" w:eastAsia="仿宋"/>
          <w:color w:val="auto"/>
          <w:sz w:val="24"/>
          <w:highlight w:val="none"/>
        </w:rPr>
        <w:t>采购项目</w:t>
      </w:r>
      <w:r>
        <w:rPr>
          <w:rFonts w:ascii="宋体" w:hAnsi="宋体" w:eastAsia="仿宋"/>
          <w:color w:val="auto"/>
          <w:sz w:val="24"/>
          <w:highlight w:val="none"/>
        </w:rPr>
        <w:t>提供咨询</w:t>
      </w:r>
      <w:r>
        <w:rPr>
          <w:rFonts w:hint="eastAsia" w:ascii="宋体" w:hAnsi="宋体" w:eastAsia="仿宋"/>
          <w:color w:val="auto"/>
          <w:sz w:val="24"/>
          <w:highlight w:val="none"/>
        </w:rPr>
        <w:t>；</w:t>
      </w:r>
    </w:p>
    <w:p w14:paraId="03667E5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（5）</w:t>
      </w:r>
      <w:r>
        <w:rPr>
          <w:rFonts w:ascii="宋体" w:hAnsi="宋体" w:eastAsia="仿宋"/>
          <w:color w:val="auto"/>
          <w:sz w:val="24"/>
          <w:highlight w:val="none"/>
        </w:rPr>
        <w:t>被责令停产停业、暂扣或者吊销许可证、暂扣或者吊销执照；</w:t>
      </w:r>
    </w:p>
    <w:p w14:paraId="359B413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w:t>
      </w:r>
      <w:r>
        <w:rPr>
          <w:rFonts w:ascii="宋体" w:hAnsi="宋体" w:eastAsia="仿宋"/>
          <w:color w:val="auto"/>
          <w:sz w:val="24"/>
          <w:highlight w:val="none"/>
        </w:rPr>
        <w:t>进入清算程序，或被宣告破产，或其他丧失履约能力的情形；</w:t>
      </w:r>
    </w:p>
    <w:p w14:paraId="3078030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（7）与本项目其他投标人的</w:t>
      </w:r>
      <w:r>
        <w:rPr>
          <w:rFonts w:ascii="宋体" w:hAnsi="宋体" w:eastAsia="仿宋"/>
          <w:color w:val="auto"/>
          <w:sz w:val="24"/>
          <w:highlight w:val="none"/>
        </w:rPr>
        <w:t>单位负责人为同一人或者存在直接控股、管理关系的不同投标人</w:t>
      </w:r>
      <w:r>
        <w:rPr>
          <w:rFonts w:hint="eastAsia" w:ascii="宋体" w:hAnsi="宋体" w:eastAsia="仿宋"/>
          <w:color w:val="auto"/>
          <w:sz w:val="24"/>
          <w:highlight w:val="none"/>
        </w:rPr>
        <w:t>；</w:t>
      </w:r>
    </w:p>
    <w:p w14:paraId="0C0EAE0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（8）被依法禁止参加政府采购活动并在有效期内；</w:t>
      </w:r>
    </w:p>
    <w:p w14:paraId="7DB7560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（9）为采购项目提供整体设计、规范编制或者项目管理、监理、检测等服务的投标人，不得再参加该采购项目的其他采购活动，具体按财政部财办库〔2015〕295号文件规定；</w:t>
      </w:r>
    </w:p>
    <w:p w14:paraId="7C5F9E6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（10）截至投标截止时间，</w:t>
      </w:r>
      <w:r>
        <w:rPr>
          <w:rFonts w:ascii="宋体" w:hAnsi="宋体" w:eastAsia="仿宋"/>
          <w:color w:val="auto"/>
          <w:sz w:val="24"/>
          <w:highlight w:val="none"/>
        </w:rPr>
        <w:t>被人民法院列入失信被执行人名单</w:t>
      </w:r>
      <w:r>
        <w:rPr>
          <w:rFonts w:hint="eastAsia" w:ascii="宋体" w:hAnsi="宋体" w:eastAsia="仿宋"/>
          <w:color w:val="auto"/>
          <w:sz w:val="24"/>
          <w:highlight w:val="none"/>
        </w:rPr>
        <w:t>的（以信用中国</w:t>
      </w:r>
      <w:r>
        <w:rPr>
          <w:rFonts w:ascii="宋体" w:hAnsi="宋体" w:eastAsia="仿宋"/>
          <w:color w:val="auto"/>
          <w:sz w:val="24"/>
          <w:highlight w:val="none"/>
        </w:rPr>
        <w:t>www.creditchina.gov.cn</w:t>
      </w:r>
      <w:r>
        <w:rPr>
          <w:rFonts w:hint="eastAsia" w:ascii="宋体" w:hAnsi="宋体" w:eastAsia="仿宋"/>
          <w:color w:val="auto"/>
          <w:sz w:val="24"/>
          <w:highlight w:val="none"/>
        </w:rPr>
        <w:t>、中国执行信息公开网</w:t>
      </w:r>
      <w:r>
        <w:rPr>
          <w:rFonts w:ascii="宋体" w:hAnsi="宋体" w:eastAsia="仿宋"/>
          <w:color w:val="auto"/>
          <w:sz w:val="24"/>
          <w:highlight w:val="none"/>
        </w:rPr>
        <w:t>http://zxgk.court.gov.cn/</w:t>
      </w:r>
      <w:r>
        <w:rPr>
          <w:rFonts w:hint="eastAsia" w:ascii="宋体" w:hAnsi="宋体" w:eastAsia="仿宋"/>
          <w:color w:val="auto"/>
          <w:sz w:val="24"/>
          <w:highlight w:val="none"/>
        </w:rPr>
        <w:t>查询为准）</w:t>
      </w:r>
      <w:r>
        <w:rPr>
          <w:rFonts w:ascii="宋体" w:hAnsi="宋体" w:eastAsia="仿宋"/>
          <w:color w:val="auto"/>
          <w:sz w:val="24"/>
          <w:highlight w:val="none"/>
        </w:rPr>
        <w:t>；</w:t>
      </w:r>
    </w:p>
    <w:p w14:paraId="1BFC8EA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（11）截至投标截止时间，被列入重大税收违法案件当事人（重大税收违法失信主体）名单的（以信用中国网站</w:t>
      </w:r>
      <w:r>
        <w:rPr>
          <w:rFonts w:ascii="宋体" w:hAnsi="宋体" w:eastAsia="仿宋"/>
          <w:color w:val="auto"/>
          <w:sz w:val="24"/>
          <w:highlight w:val="none"/>
        </w:rPr>
        <w:t>www.creditchina.gov.cn</w:t>
      </w:r>
      <w:r>
        <w:rPr>
          <w:rFonts w:hint="eastAsia" w:ascii="宋体" w:hAnsi="宋体" w:eastAsia="仿宋"/>
          <w:color w:val="auto"/>
          <w:sz w:val="24"/>
          <w:highlight w:val="none"/>
        </w:rPr>
        <w:t>查询为准）；</w:t>
      </w:r>
    </w:p>
    <w:p w14:paraId="17946E5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（12）截至投标截止时间，被列入政府采购严重违法失信名单的（以信用中国网站</w:t>
      </w:r>
      <w:r>
        <w:rPr>
          <w:rFonts w:ascii="宋体" w:hAnsi="宋体" w:eastAsia="仿宋"/>
          <w:color w:val="auto"/>
          <w:sz w:val="24"/>
          <w:highlight w:val="none"/>
        </w:rPr>
        <w:t>www.creditchina.gov.cn</w:t>
      </w:r>
      <w:r>
        <w:rPr>
          <w:rFonts w:hint="eastAsia" w:ascii="宋体" w:hAnsi="宋体" w:eastAsia="仿宋"/>
          <w:color w:val="auto"/>
          <w:sz w:val="24"/>
          <w:highlight w:val="none"/>
        </w:rPr>
        <w:t>、中国政府采购网</w:t>
      </w:r>
      <w:r>
        <w:rPr>
          <w:rFonts w:ascii="宋体" w:hAnsi="宋体" w:eastAsia="仿宋"/>
          <w:color w:val="auto"/>
          <w:sz w:val="24"/>
          <w:highlight w:val="none"/>
        </w:rPr>
        <w:t>http://www.ccgp.gov.cn/</w:t>
      </w:r>
      <w:r>
        <w:rPr>
          <w:rFonts w:hint="eastAsia" w:ascii="宋体" w:hAnsi="宋体" w:eastAsia="仿宋"/>
          <w:color w:val="auto"/>
          <w:sz w:val="24"/>
          <w:highlight w:val="none"/>
        </w:rPr>
        <w:t>查询为准）；</w:t>
      </w:r>
    </w:p>
    <w:p w14:paraId="4D12193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截至投标截止时间，被市场监督管理部门（或工商行政管理部门）列入经营异常名录或者严重违法失信企业名单的（未按照《企业信息公示暂行条例》（国务院令第654号）第八条规定的期限公示年度报告被列入经营异常名录的除外）（以国家企业信用信息公示系统http://www.gsxt.gov.cn/查询为准）；</w:t>
      </w:r>
    </w:p>
    <w:p w14:paraId="509E67B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w:t>
      </w:r>
      <w:r>
        <w:rPr>
          <w:rFonts w:ascii="宋体" w:hAnsi="宋体" w:eastAsia="仿宋"/>
          <w:color w:val="auto"/>
          <w:sz w:val="24"/>
          <w:highlight w:val="none"/>
        </w:rPr>
        <w:t>法律法规</w:t>
      </w:r>
      <w:r>
        <w:rPr>
          <w:rFonts w:hint="eastAsia" w:ascii="宋体" w:hAnsi="宋体" w:eastAsia="仿宋"/>
          <w:color w:val="auto"/>
          <w:sz w:val="24"/>
          <w:highlight w:val="none"/>
        </w:rPr>
        <w:t>规定的其他情形；</w:t>
      </w:r>
    </w:p>
    <w:p w14:paraId="275A63B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w:t>
      </w:r>
      <w:r>
        <w:rPr>
          <w:rFonts w:ascii="宋体" w:hAnsi="宋体" w:eastAsia="仿宋"/>
          <w:color w:val="auto"/>
          <w:sz w:val="24"/>
          <w:highlight w:val="none"/>
        </w:rPr>
        <w:t>投标人须知前附表规定的其他情形。</w:t>
      </w:r>
    </w:p>
    <w:p w14:paraId="5E0F9CE5">
      <w:pPr>
        <w:pStyle w:val="4"/>
        <w:adjustRightInd w:val="0"/>
        <w:ind w:firstLine="482" w:firstLineChars="200"/>
        <w:rPr>
          <w:rFonts w:eastAsia="仿宋"/>
          <w:color w:val="auto"/>
          <w:sz w:val="24"/>
          <w:highlight w:val="none"/>
          <w:lang w:eastAsia="zh-CN"/>
        </w:rPr>
      </w:pPr>
      <w:bookmarkStart w:id="114" w:name="_Toc371415925"/>
      <w:bookmarkStart w:id="115" w:name="_Toc455587036"/>
      <w:bookmarkStart w:id="116" w:name="_Toc458504822"/>
      <w:bookmarkStart w:id="117" w:name="_Toc466024504"/>
      <w:bookmarkStart w:id="118" w:name="_Toc455587220"/>
      <w:bookmarkStart w:id="119" w:name="_Toc445554693"/>
      <w:r>
        <w:rPr>
          <w:rFonts w:hint="eastAsia" w:eastAsia="仿宋"/>
          <w:color w:val="auto"/>
          <w:sz w:val="24"/>
          <w:highlight w:val="none"/>
          <w:lang w:eastAsia="zh-CN"/>
        </w:rPr>
        <w:t>1.4 费用承担</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37E953CE">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投标人准备和参加投标活动发生的费用自理。</w:t>
      </w:r>
    </w:p>
    <w:p w14:paraId="55EBB4A9">
      <w:pPr>
        <w:pStyle w:val="4"/>
        <w:adjustRightInd w:val="0"/>
        <w:ind w:firstLine="482" w:firstLineChars="200"/>
        <w:rPr>
          <w:rFonts w:eastAsia="仿宋"/>
          <w:color w:val="auto"/>
          <w:sz w:val="24"/>
          <w:highlight w:val="none"/>
          <w:lang w:eastAsia="zh-CN"/>
        </w:rPr>
      </w:pPr>
      <w:bookmarkStart w:id="120" w:name="_Toc445554694"/>
      <w:bookmarkStart w:id="121" w:name="_Toc458504823"/>
      <w:bookmarkStart w:id="122" w:name="_Toc455587221"/>
      <w:bookmarkStart w:id="123" w:name="_Toc455587037"/>
      <w:bookmarkStart w:id="124" w:name="_Toc466024505"/>
      <w:bookmarkStart w:id="125" w:name="_Toc300834956"/>
      <w:bookmarkStart w:id="126" w:name="_Toc144974504"/>
      <w:bookmarkStart w:id="127" w:name="_Toc152045536"/>
      <w:bookmarkStart w:id="128" w:name="_Toc247527560"/>
      <w:bookmarkStart w:id="129" w:name="_Toc247513959"/>
      <w:bookmarkStart w:id="130" w:name="_Toc152042312"/>
      <w:r>
        <w:rPr>
          <w:rFonts w:hint="eastAsia" w:eastAsia="仿宋"/>
          <w:color w:val="auto"/>
          <w:sz w:val="24"/>
          <w:highlight w:val="none"/>
          <w:lang w:eastAsia="zh-CN"/>
        </w:rPr>
        <w:t>1.5 保密</w:t>
      </w:r>
      <w:bookmarkEnd w:id="120"/>
      <w:bookmarkEnd w:id="121"/>
      <w:bookmarkEnd w:id="122"/>
      <w:bookmarkEnd w:id="123"/>
      <w:bookmarkEnd w:id="124"/>
    </w:p>
    <w:p w14:paraId="7622C04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参与招标投标活动的各方应当对招标文件和投标文件中的商业和技术等秘密保密，否则应当承担相应的法律责任。</w:t>
      </w:r>
    </w:p>
    <w:p w14:paraId="69C85E86">
      <w:pPr>
        <w:pStyle w:val="4"/>
        <w:adjustRightInd w:val="0"/>
        <w:ind w:firstLine="482" w:firstLineChars="200"/>
        <w:rPr>
          <w:rFonts w:eastAsia="仿宋"/>
          <w:color w:val="auto"/>
          <w:sz w:val="24"/>
          <w:highlight w:val="none"/>
          <w:lang w:eastAsia="zh-CN"/>
        </w:rPr>
      </w:pPr>
      <w:bookmarkStart w:id="131" w:name="_Toc455587222"/>
      <w:bookmarkStart w:id="132" w:name="_Toc466024506"/>
      <w:bookmarkStart w:id="133" w:name="_Toc458504824"/>
      <w:bookmarkStart w:id="134" w:name="_Toc445554695"/>
      <w:bookmarkStart w:id="135" w:name="_Toc455587038"/>
      <w:r>
        <w:rPr>
          <w:rFonts w:hint="eastAsia" w:eastAsia="仿宋"/>
          <w:color w:val="auto"/>
          <w:sz w:val="24"/>
          <w:highlight w:val="none"/>
          <w:lang w:eastAsia="zh-CN"/>
        </w:rPr>
        <w:t>1.6 语言文字</w:t>
      </w:r>
      <w:bookmarkEnd w:id="125"/>
      <w:bookmarkEnd w:id="126"/>
      <w:bookmarkEnd w:id="127"/>
      <w:bookmarkEnd w:id="128"/>
      <w:bookmarkEnd w:id="129"/>
      <w:bookmarkEnd w:id="130"/>
      <w:bookmarkEnd w:id="131"/>
      <w:bookmarkEnd w:id="132"/>
      <w:bookmarkEnd w:id="133"/>
      <w:bookmarkEnd w:id="134"/>
      <w:bookmarkEnd w:id="135"/>
    </w:p>
    <w:p w14:paraId="14BEF03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除专用术语外，与招标投标有关的语言均应当使用中文。必要时专用术语应附有中文注释。</w:t>
      </w:r>
    </w:p>
    <w:p w14:paraId="28875AF8">
      <w:pPr>
        <w:pStyle w:val="4"/>
        <w:adjustRightInd w:val="0"/>
        <w:ind w:firstLine="482" w:firstLineChars="200"/>
        <w:rPr>
          <w:rFonts w:eastAsia="仿宋"/>
          <w:color w:val="auto"/>
          <w:sz w:val="24"/>
          <w:highlight w:val="none"/>
          <w:lang w:eastAsia="zh-CN"/>
        </w:rPr>
      </w:pPr>
      <w:bookmarkStart w:id="136" w:name="_Toc445554696"/>
      <w:bookmarkStart w:id="137" w:name="_Toc371415926"/>
      <w:bookmarkStart w:id="138" w:name="_Toc152045538"/>
      <w:bookmarkStart w:id="139" w:name="_Toc338944613"/>
      <w:bookmarkStart w:id="140" w:name="_Toc342294722"/>
      <w:bookmarkStart w:id="141" w:name="_Toc179632555"/>
      <w:bookmarkStart w:id="142" w:name="_Toc458504825"/>
      <w:bookmarkStart w:id="143" w:name="_Toc333600691"/>
      <w:bookmarkStart w:id="144" w:name="_Toc466024507"/>
      <w:bookmarkStart w:id="145" w:name="_Toc333587861"/>
      <w:bookmarkStart w:id="146" w:name="_Toc152042314"/>
      <w:bookmarkStart w:id="147" w:name="_Toc338943708"/>
      <w:bookmarkStart w:id="148" w:name="_Toc144974506"/>
      <w:bookmarkStart w:id="149" w:name="_Toc455587223"/>
      <w:bookmarkStart w:id="150" w:name="_Toc342297627"/>
      <w:bookmarkStart w:id="151" w:name="_Toc455587039"/>
      <w:bookmarkStart w:id="152" w:name="_Toc342296170"/>
      <w:bookmarkStart w:id="153" w:name="_Toc333599667"/>
      <w:r>
        <w:rPr>
          <w:rFonts w:hint="eastAsia" w:eastAsia="仿宋"/>
          <w:color w:val="auto"/>
          <w:sz w:val="24"/>
          <w:highlight w:val="none"/>
          <w:lang w:eastAsia="zh-CN"/>
        </w:rPr>
        <w:t>1.7 计量单位</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188E8132">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除招标文件另有规定外，所有计量均采用中华人民共和国法定计量单位。</w:t>
      </w:r>
    </w:p>
    <w:p w14:paraId="254E9AB0">
      <w:pPr>
        <w:pStyle w:val="4"/>
        <w:adjustRightInd w:val="0"/>
        <w:ind w:firstLine="482" w:firstLineChars="200"/>
        <w:rPr>
          <w:rFonts w:eastAsia="仿宋"/>
          <w:color w:val="auto"/>
          <w:sz w:val="24"/>
          <w:highlight w:val="none"/>
          <w:lang w:eastAsia="zh-CN"/>
        </w:rPr>
      </w:pPr>
      <w:bookmarkStart w:id="154" w:name="_Toc371415927"/>
      <w:bookmarkStart w:id="155" w:name="_Toc455587040"/>
      <w:bookmarkStart w:id="156" w:name="_Toc455587224"/>
      <w:bookmarkStart w:id="157" w:name="_Toc458504826"/>
      <w:bookmarkStart w:id="158" w:name="_Toc445554697"/>
      <w:bookmarkStart w:id="159" w:name="_Toc466024508"/>
      <w:bookmarkStart w:id="160" w:name="_Toc338943710"/>
      <w:bookmarkStart w:id="161" w:name="_Toc333587863"/>
      <w:bookmarkStart w:id="162" w:name="_Toc342294724"/>
      <w:bookmarkStart w:id="163" w:name="_Toc338944615"/>
      <w:bookmarkStart w:id="164" w:name="_Toc179632557"/>
      <w:bookmarkStart w:id="165" w:name="_Toc333599669"/>
      <w:bookmarkStart w:id="166" w:name="_Toc152042316"/>
      <w:bookmarkStart w:id="167" w:name="_Toc342296172"/>
      <w:bookmarkStart w:id="168" w:name="_Toc152045540"/>
      <w:bookmarkStart w:id="169" w:name="_Toc144974508"/>
      <w:bookmarkStart w:id="170" w:name="_Toc342297629"/>
      <w:bookmarkStart w:id="171" w:name="_Toc333600693"/>
      <w:r>
        <w:rPr>
          <w:rFonts w:hint="eastAsia" w:eastAsia="仿宋"/>
          <w:color w:val="auto"/>
          <w:sz w:val="24"/>
          <w:highlight w:val="none"/>
          <w:lang w:eastAsia="zh-CN"/>
        </w:rPr>
        <w:t>1.</w:t>
      </w:r>
      <w:bookmarkEnd w:id="154"/>
      <w:bookmarkEnd w:id="155"/>
      <w:bookmarkEnd w:id="156"/>
      <w:bookmarkEnd w:id="157"/>
      <w:bookmarkEnd w:id="158"/>
      <w:r>
        <w:rPr>
          <w:rFonts w:hint="eastAsia" w:eastAsia="仿宋"/>
          <w:color w:val="auto"/>
          <w:sz w:val="24"/>
          <w:highlight w:val="none"/>
          <w:lang w:eastAsia="zh-CN"/>
        </w:rPr>
        <w:t>8 现场考察</w:t>
      </w:r>
      <w:bookmarkEnd w:id="159"/>
    </w:p>
    <w:p w14:paraId="1259263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.1</w:t>
      </w:r>
      <w:r>
        <w:rPr>
          <w:rFonts w:hint="eastAsia" w:ascii="宋体" w:hAnsi="宋体" w:eastAsia="仿宋"/>
          <w:color w:val="auto"/>
          <w:sz w:val="24"/>
          <w:highlight w:val="none"/>
        </w:rPr>
        <w:t xml:space="preserve"> 投标人须知前附表规定组织现场考察的，采购人按投标人须知前附表规定的时间、地点组织投标人现场考察。采购人不组织统一现场考察的，由投标人自行考察现场。</w:t>
      </w:r>
    </w:p>
    <w:p w14:paraId="3431B24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2</w:t>
      </w:r>
      <w:r>
        <w:rPr>
          <w:rFonts w:hint="eastAsia" w:ascii="宋体" w:hAnsi="宋体" w:eastAsia="仿宋"/>
          <w:color w:val="auto"/>
          <w:sz w:val="24"/>
          <w:highlight w:val="none"/>
        </w:rPr>
        <w:t xml:space="preserve"> 投标人现场考察发生的费用自理。</w:t>
      </w:r>
    </w:p>
    <w:p w14:paraId="001E085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.3</w:t>
      </w:r>
      <w:r>
        <w:rPr>
          <w:rFonts w:hint="eastAsia" w:ascii="宋体" w:hAnsi="宋体" w:eastAsia="仿宋"/>
          <w:color w:val="auto"/>
          <w:sz w:val="24"/>
          <w:highlight w:val="none"/>
        </w:rPr>
        <w:t xml:space="preserve"> 除采购人的原因外，投标人自行负责在现场考察中所发生的人员伤亡和财产损失。</w:t>
      </w:r>
    </w:p>
    <w:p w14:paraId="01AA71D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.4</w:t>
      </w:r>
      <w:r>
        <w:rPr>
          <w:rFonts w:hint="eastAsia" w:ascii="宋体" w:hAnsi="宋体" w:eastAsia="仿宋"/>
          <w:color w:val="auto"/>
          <w:sz w:val="24"/>
          <w:highlight w:val="none"/>
        </w:rPr>
        <w:t xml:space="preserve"> 采购人在现场考察中介绍的现场情况和周边相关的环境情况，仅作为投标人在编制投标文件时参考，采购人不对投标人据此作出的判断和决策负责。</w:t>
      </w:r>
    </w:p>
    <w:p w14:paraId="3BFDCE9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1.8.5 除非有特殊要求，招标文件不单独提供供货使用地的自然环境、气候条件、公用设施等情况，投标人被视为熟悉上述与履行合同有关的一切情况。</w:t>
      </w:r>
    </w:p>
    <w:p w14:paraId="6AB9AD1C">
      <w:pPr>
        <w:pStyle w:val="4"/>
        <w:adjustRightInd w:val="0"/>
        <w:ind w:firstLine="482" w:firstLineChars="200"/>
        <w:rPr>
          <w:rFonts w:eastAsia="仿宋"/>
          <w:color w:val="auto"/>
          <w:sz w:val="24"/>
          <w:highlight w:val="none"/>
          <w:lang w:eastAsia="zh-CN"/>
        </w:rPr>
      </w:pPr>
      <w:bookmarkStart w:id="172" w:name="_Toc455587225"/>
      <w:bookmarkStart w:id="173" w:name="_Toc455587041"/>
      <w:bookmarkStart w:id="174" w:name="_Toc458504827"/>
      <w:bookmarkStart w:id="175" w:name="_Toc445554698"/>
      <w:bookmarkStart w:id="176" w:name="_Toc466024509"/>
      <w:r>
        <w:rPr>
          <w:rFonts w:hint="eastAsia" w:eastAsia="仿宋"/>
          <w:color w:val="auto"/>
          <w:sz w:val="24"/>
          <w:highlight w:val="none"/>
          <w:lang w:eastAsia="zh-CN"/>
        </w:rPr>
        <w:t>1.</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hint="eastAsia" w:eastAsia="仿宋"/>
          <w:color w:val="auto"/>
          <w:sz w:val="24"/>
          <w:highlight w:val="none"/>
          <w:lang w:eastAsia="zh-CN"/>
        </w:rPr>
        <w:t>9 开标前答疑会</w:t>
      </w:r>
      <w:bookmarkEnd w:id="176"/>
    </w:p>
    <w:p w14:paraId="2B42C54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投标人须知前附表规定召开开标前答疑会（以下简称答疑会）的，采购人按照投标人须知前附表规定的时间和地点召开答疑会，澄清投标人提出的问题。</w:t>
      </w:r>
    </w:p>
    <w:p w14:paraId="08E0498F">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1.10 分包</w:t>
      </w:r>
    </w:p>
    <w:p w14:paraId="3494290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1.10.1 投标人拟在中标后将中标项目的非主体、非关键性工作进行分包的，应符合投标人须知前附表规定的分包要求，分包承担主体应当具备相应资质条件且不得再次分包，除投标人须知前附表规定的非主体、非关键性工作外，其他工作不得分包。 </w:t>
      </w:r>
    </w:p>
    <w:p w14:paraId="699105E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1.10.2 中标人不得向他人转让中标项目。中标人应当就分包项目向采购人负责，分包承担主体就分包项目承担连带责任。</w:t>
      </w:r>
    </w:p>
    <w:p w14:paraId="26BA92B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1.10.3 中标人享受政府采购扶持政策获得政府采购合同的，小微企业不得将合同分包给大中型企业，中型企业不得将合同分包给大型企业。</w:t>
      </w:r>
    </w:p>
    <w:p w14:paraId="480F4B6F">
      <w:pPr>
        <w:pStyle w:val="3"/>
        <w:rPr>
          <w:rStyle w:val="23"/>
          <w:rFonts w:ascii="宋体" w:hAnsi="宋体" w:eastAsia="仿宋"/>
          <w:b/>
          <w:bCs/>
          <w:color w:val="auto"/>
          <w:sz w:val="24"/>
          <w:szCs w:val="24"/>
          <w:highlight w:val="none"/>
        </w:rPr>
      </w:pPr>
      <w:bookmarkStart w:id="177" w:name="_Toc179632560"/>
      <w:bookmarkStart w:id="178" w:name="_Toc458504828"/>
      <w:bookmarkStart w:id="179" w:name="_Toc333599672"/>
      <w:bookmarkStart w:id="180" w:name="_Toc342296175"/>
      <w:bookmarkStart w:id="181" w:name="_Toc338943713"/>
      <w:bookmarkStart w:id="182" w:name="_Toc144974510"/>
      <w:bookmarkStart w:id="183" w:name="_Toc466024510"/>
      <w:bookmarkStart w:id="184" w:name="_Toc152042318"/>
      <w:bookmarkStart w:id="185" w:name="_Toc342294727"/>
      <w:bookmarkStart w:id="186" w:name="_Toc371415929"/>
      <w:bookmarkStart w:id="187" w:name="_Toc333600696"/>
      <w:bookmarkStart w:id="188" w:name="_Toc152045542"/>
      <w:bookmarkStart w:id="189" w:name="_Toc455587227"/>
      <w:bookmarkStart w:id="190" w:name="_Toc455587043"/>
      <w:bookmarkStart w:id="191" w:name="_Toc342297632"/>
      <w:bookmarkStart w:id="192" w:name="_Toc338944618"/>
      <w:bookmarkStart w:id="193" w:name="_Toc445554700"/>
      <w:r>
        <w:rPr>
          <w:rStyle w:val="23"/>
          <w:rFonts w:hint="eastAsia" w:ascii="宋体" w:hAnsi="宋体" w:eastAsia="仿宋"/>
          <w:b/>
          <w:bCs/>
          <w:color w:val="auto"/>
          <w:sz w:val="24"/>
          <w:szCs w:val="24"/>
          <w:highlight w:val="none"/>
        </w:rPr>
        <w:t>2. 招标文件</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7454AD8">
      <w:pPr>
        <w:pStyle w:val="4"/>
        <w:adjustRightInd w:val="0"/>
        <w:ind w:firstLine="482" w:firstLineChars="200"/>
        <w:rPr>
          <w:rFonts w:eastAsia="仿宋"/>
          <w:color w:val="auto"/>
          <w:sz w:val="24"/>
          <w:highlight w:val="none"/>
          <w:lang w:eastAsia="zh-CN"/>
        </w:rPr>
      </w:pPr>
      <w:bookmarkStart w:id="194" w:name="_Toc371415930"/>
      <w:bookmarkStart w:id="195" w:name="_Toc179632561"/>
      <w:bookmarkStart w:id="196" w:name="_Toc338944619"/>
      <w:bookmarkStart w:id="197" w:name="_Toc445554701"/>
      <w:bookmarkStart w:id="198" w:name="_Toc333587867"/>
      <w:bookmarkStart w:id="199" w:name="_Toc152042319"/>
      <w:bookmarkStart w:id="200" w:name="_Toc333599673"/>
      <w:bookmarkStart w:id="201" w:name="_Toc342296176"/>
      <w:bookmarkStart w:id="202" w:name="_Toc466024511"/>
      <w:bookmarkStart w:id="203" w:name="_Toc458504829"/>
      <w:bookmarkStart w:id="204" w:name="_Toc342294728"/>
      <w:bookmarkStart w:id="205" w:name="_Toc342297633"/>
      <w:bookmarkStart w:id="206" w:name="_Toc144974511"/>
      <w:bookmarkStart w:id="207" w:name="_Toc152045543"/>
      <w:bookmarkStart w:id="208" w:name="_Toc338943714"/>
      <w:bookmarkStart w:id="209" w:name="_Toc455587044"/>
      <w:bookmarkStart w:id="210" w:name="_Toc333600697"/>
      <w:bookmarkStart w:id="211" w:name="_Toc455587228"/>
      <w:r>
        <w:rPr>
          <w:rFonts w:hint="eastAsia" w:eastAsia="仿宋"/>
          <w:color w:val="auto"/>
          <w:sz w:val="24"/>
          <w:highlight w:val="none"/>
          <w:lang w:eastAsia="zh-CN"/>
        </w:rPr>
        <w:t>2.1 招标文件的组成</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7334297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本招标文件包括：</w:t>
      </w:r>
    </w:p>
    <w:p w14:paraId="683FF3F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）招标公告；</w:t>
      </w:r>
    </w:p>
    <w:p w14:paraId="6279BBC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）投标人须知；</w:t>
      </w:r>
    </w:p>
    <w:p w14:paraId="015E7FD2">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3</w:t>
      </w:r>
      <w:r>
        <w:rPr>
          <w:rFonts w:hint="eastAsia" w:ascii="宋体" w:hAnsi="宋体" w:eastAsia="仿宋"/>
          <w:color w:val="auto"/>
          <w:sz w:val="24"/>
          <w:highlight w:val="none"/>
        </w:rPr>
        <w:t>）采购需求；</w:t>
      </w:r>
    </w:p>
    <w:p w14:paraId="51C9482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4</w:t>
      </w:r>
      <w:r>
        <w:rPr>
          <w:rFonts w:hint="eastAsia" w:ascii="宋体" w:hAnsi="宋体" w:eastAsia="仿宋"/>
          <w:color w:val="auto"/>
          <w:sz w:val="24"/>
          <w:highlight w:val="none"/>
        </w:rPr>
        <w:t>）资格审查和评标办法；</w:t>
      </w:r>
    </w:p>
    <w:p w14:paraId="0CAA7CA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（5）合同条款及格式；</w:t>
      </w:r>
    </w:p>
    <w:p w14:paraId="3DC2F9C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（6）投标文件格式。</w:t>
      </w:r>
    </w:p>
    <w:p w14:paraId="10D13D2D">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对招标文件所作的澄清、修改、补充通知，构成招标文件的组成部分。当招标文件、招标文件的澄清或修改等在同一内容的</w:t>
      </w:r>
      <w:r>
        <w:rPr>
          <w:rFonts w:hint="eastAsia" w:eastAsia="仿宋"/>
          <w:color w:val="auto"/>
          <w:sz w:val="24"/>
          <w:highlight w:val="none"/>
        </w:rPr>
        <w:t>表述</w:t>
      </w:r>
      <w:r>
        <w:rPr>
          <w:rFonts w:hint="eastAsia" w:ascii="宋体" w:hAnsi="宋体" w:eastAsia="仿宋"/>
          <w:color w:val="auto"/>
          <w:sz w:val="24"/>
          <w:highlight w:val="none"/>
        </w:rPr>
        <w:t>上不一致时，以最后发出的书面文件为准。</w:t>
      </w:r>
    </w:p>
    <w:p w14:paraId="3E65F30F">
      <w:pPr>
        <w:pStyle w:val="4"/>
        <w:adjustRightInd w:val="0"/>
        <w:ind w:firstLine="482" w:firstLineChars="200"/>
        <w:rPr>
          <w:rFonts w:eastAsia="仿宋"/>
          <w:color w:val="auto"/>
          <w:sz w:val="24"/>
          <w:highlight w:val="none"/>
          <w:lang w:eastAsia="zh-CN"/>
        </w:rPr>
      </w:pPr>
      <w:bookmarkStart w:id="212" w:name="_Toc455587045"/>
      <w:bookmarkStart w:id="213" w:name="_Toc466024512"/>
      <w:bookmarkStart w:id="214" w:name="_Toc247527569"/>
      <w:bookmarkStart w:id="215" w:name="_Toc300834965"/>
      <w:bookmarkStart w:id="216" w:name="_Toc144974512"/>
      <w:bookmarkStart w:id="217" w:name="_Toc458504830"/>
      <w:bookmarkStart w:id="218" w:name="_Toc247513968"/>
      <w:bookmarkStart w:id="219" w:name="_Toc152045544"/>
      <w:bookmarkStart w:id="220" w:name="_Toc152042320"/>
      <w:bookmarkStart w:id="221" w:name="_Toc371415931"/>
      <w:bookmarkStart w:id="222" w:name="_Toc445554702"/>
      <w:bookmarkStart w:id="223" w:name="_Toc455587229"/>
      <w:r>
        <w:rPr>
          <w:rFonts w:hint="eastAsia" w:eastAsia="仿宋"/>
          <w:color w:val="auto"/>
          <w:sz w:val="24"/>
          <w:highlight w:val="none"/>
          <w:lang w:eastAsia="zh-CN"/>
        </w:rPr>
        <w:t>2.2 招标文件的澄清</w:t>
      </w:r>
      <w:bookmarkEnd w:id="212"/>
      <w:bookmarkEnd w:id="213"/>
      <w:bookmarkEnd w:id="214"/>
      <w:bookmarkEnd w:id="215"/>
      <w:bookmarkEnd w:id="216"/>
      <w:bookmarkEnd w:id="217"/>
      <w:bookmarkEnd w:id="218"/>
      <w:bookmarkEnd w:id="219"/>
      <w:bookmarkEnd w:id="220"/>
      <w:bookmarkEnd w:id="221"/>
      <w:bookmarkEnd w:id="222"/>
      <w:bookmarkEnd w:id="223"/>
    </w:p>
    <w:p w14:paraId="070F62C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2.2.</w:t>
      </w:r>
      <w:r>
        <w:rPr>
          <w:rFonts w:ascii="宋体" w:hAnsi="宋体" w:eastAsia="仿宋"/>
          <w:color w:val="auto"/>
          <w:sz w:val="24"/>
          <w:highlight w:val="none"/>
        </w:rPr>
        <w:t>1</w:t>
      </w:r>
      <w:r>
        <w:rPr>
          <w:rFonts w:hint="eastAsia" w:ascii="宋体" w:hAnsi="宋体" w:eastAsia="仿宋"/>
          <w:color w:val="auto"/>
          <w:sz w:val="24"/>
          <w:highlight w:val="none"/>
        </w:rPr>
        <w:t xml:space="preserve"> </w:t>
      </w:r>
      <w:r>
        <w:rPr>
          <w:rFonts w:eastAsia="仿宋"/>
          <w:color w:val="auto"/>
          <w:sz w:val="24"/>
          <w:highlight w:val="none"/>
        </w:rPr>
        <w:t>投标人应仔细阅读和检查招标文件的全部内容。如发现缺页或附件不全，应及时向</w:t>
      </w:r>
      <w:r>
        <w:rPr>
          <w:rFonts w:hint="eastAsia" w:eastAsia="仿宋"/>
          <w:color w:val="auto"/>
          <w:sz w:val="24"/>
          <w:highlight w:val="none"/>
        </w:rPr>
        <w:t>采购</w:t>
      </w:r>
      <w:r>
        <w:rPr>
          <w:rFonts w:eastAsia="仿宋"/>
          <w:color w:val="auto"/>
          <w:sz w:val="24"/>
          <w:highlight w:val="none"/>
        </w:rPr>
        <w:t>人提出，以便补齐。</w:t>
      </w:r>
      <w:r>
        <w:rPr>
          <w:rFonts w:hint="eastAsia" w:eastAsia="仿宋"/>
          <w:color w:val="auto"/>
          <w:sz w:val="24"/>
          <w:highlight w:val="none"/>
        </w:rPr>
        <w:t>投标人对</w:t>
      </w:r>
      <w:r>
        <w:rPr>
          <w:rFonts w:eastAsia="仿宋"/>
          <w:color w:val="auto"/>
          <w:sz w:val="24"/>
          <w:highlight w:val="none"/>
        </w:rPr>
        <w:t>招标文件</w:t>
      </w:r>
      <w:r>
        <w:rPr>
          <w:rFonts w:hint="eastAsia" w:eastAsia="仿宋"/>
          <w:color w:val="auto"/>
          <w:sz w:val="24"/>
          <w:highlight w:val="none"/>
        </w:rPr>
        <w:t>有疑问的，可依法按本章第9.1款提出询问</w:t>
      </w:r>
      <w:r>
        <w:rPr>
          <w:rFonts w:eastAsia="仿宋"/>
          <w:color w:val="auto"/>
          <w:sz w:val="24"/>
          <w:highlight w:val="none"/>
        </w:rPr>
        <w:t>。</w:t>
      </w:r>
    </w:p>
    <w:p w14:paraId="46D29EC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2.2.2 招标文件的澄清按投标人须知前附表规定的形式发出，但不指明澄清问题的来源，该澄清的内容为招标文件的组成部分。如果澄清发出的时间距本章第4.2.1项规定的投标截止时间不足</w:t>
      </w:r>
      <w:r>
        <w:rPr>
          <w:rFonts w:ascii="宋体" w:hAnsi="宋体" w:eastAsia="仿宋"/>
          <w:color w:val="auto"/>
          <w:sz w:val="24"/>
          <w:highlight w:val="none"/>
        </w:rPr>
        <w:t>15</w:t>
      </w:r>
      <w:r>
        <w:rPr>
          <w:rFonts w:hint="eastAsia" w:ascii="宋体" w:hAnsi="宋体" w:eastAsia="仿宋"/>
          <w:color w:val="auto"/>
          <w:sz w:val="24"/>
          <w:highlight w:val="none"/>
        </w:rPr>
        <w:t>日的，并且澄清内容可能影响投标文件编制，将相应顺延投标截止时间。</w:t>
      </w:r>
    </w:p>
    <w:p w14:paraId="30287C1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2.2</w:t>
      </w:r>
      <w:r>
        <w:rPr>
          <w:rFonts w:ascii="宋体" w:hAnsi="宋体" w:eastAsia="仿宋"/>
          <w:color w:val="auto"/>
          <w:sz w:val="24"/>
          <w:highlight w:val="none"/>
        </w:rPr>
        <w:t>.3</w:t>
      </w:r>
      <w:r>
        <w:rPr>
          <w:rFonts w:hint="eastAsia" w:ascii="宋体" w:hAnsi="宋体" w:eastAsia="仿宋"/>
          <w:color w:val="auto"/>
          <w:sz w:val="24"/>
          <w:highlight w:val="none"/>
        </w:rPr>
        <w:t xml:space="preserve"> 投标人应主动上网查询对招标文件的澄清，无需投标人书面确认。投标人未及时关注相关信息的，其责任自负。对招标文件进行的澄清，通过其他方式发布的，投标人收到澄清后24小时内书面确认（以发出时间为准），逾期未确认的，视为投标人完整收到。</w:t>
      </w:r>
    </w:p>
    <w:p w14:paraId="44367E13">
      <w:pPr>
        <w:pStyle w:val="4"/>
        <w:adjustRightInd w:val="0"/>
        <w:ind w:firstLine="482" w:firstLineChars="200"/>
        <w:rPr>
          <w:rFonts w:eastAsia="仿宋"/>
          <w:color w:val="auto"/>
          <w:sz w:val="24"/>
          <w:highlight w:val="none"/>
          <w:lang w:eastAsia="zh-CN"/>
        </w:rPr>
      </w:pPr>
      <w:bookmarkStart w:id="224" w:name="_Toc455587230"/>
      <w:bookmarkStart w:id="225" w:name="_Toc466024513"/>
      <w:bookmarkStart w:id="226" w:name="_Toc455587046"/>
      <w:bookmarkStart w:id="227" w:name="_Toc152045545"/>
      <w:bookmarkStart w:id="228" w:name="_Toc247513969"/>
      <w:bookmarkStart w:id="229" w:name="_Toc152042321"/>
      <w:bookmarkStart w:id="230" w:name="_Toc371415932"/>
      <w:bookmarkStart w:id="231" w:name="_Toc247527570"/>
      <w:bookmarkStart w:id="232" w:name="_Toc144974513"/>
      <w:bookmarkStart w:id="233" w:name="_Toc300834966"/>
      <w:bookmarkStart w:id="234" w:name="_Toc458504831"/>
      <w:bookmarkStart w:id="235" w:name="_Toc445554703"/>
      <w:r>
        <w:rPr>
          <w:rFonts w:hint="eastAsia" w:eastAsia="仿宋"/>
          <w:color w:val="auto"/>
          <w:sz w:val="24"/>
          <w:highlight w:val="none"/>
          <w:lang w:eastAsia="zh-CN"/>
        </w:rPr>
        <w:t>2.3 招标文件的修改</w:t>
      </w:r>
      <w:bookmarkEnd w:id="224"/>
      <w:bookmarkEnd w:id="225"/>
      <w:bookmarkEnd w:id="226"/>
      <w:bookmarkEnd w:id="227"/>
      <w:bookmarkEnd w:id="228"/>
      <w:bookmarkEnd w:id="229"/>
      <w:bookmarkEnd w:id="230"/>
      <w:bookmarkEnd w:id="231"/>
      <w:bookmarkEnd w:id="232"/>
      <w:bookmarkEnd w:id="233"/>
      <w:bookmarkEnd w:id="234"/>
      <w:bookmarkEnd w:id="235"/>
    </w:p>
    <w:p w14:paraId="719C0DC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2.3</w:t>
      </w:r>
      <w:r>
        <w:rPr>
          <w:rFonts w:ascii="宋体" w:hAnsi="宋体" w:eastAsia="仿宋"/>
          <w:color w:val="auto"/>
          <w:sz w:val="24"/>
          <w:highlight w:val="none"/>
        </w:rPr>
        <w:t>.1</w:t>
      </w:r>
      <w:r>
        <w:rPr>
          <w:rFonts w:hint="eastAsia" w:ascii="宋体" w:hAnsi="宋体" w:eastAsia="仿宋"/>
          <w:color w:val="auto"/>
          <w:sz w:val="24"/>
          <w:highlight w:val="none"/>
        </w:rPr>
        <w:t xml:space="preserve"> 对招标文件的修改将在招标公告发布的媒介以发布更正公告的方式公开。如果修改招标文件的时间距本章第4.2.1项规定的投标截止时间不足</w:t>
      </w:r>
      <w:r>
        <w:rPr>
          <w:rFonts w:ascii="宋体" w:hAnsi="宋体" w:eastAsia="仿宋"/>
          <w:color w:val="auto"/>
          <w:sz w:val="24"/>
          <w:highlight w:val="none"/>
        </w:rPr>
        <w:t>15</w:t>
      </w:r>
      <w:r>
        <w:rPr>
          <w:rFonts w:hint="eastAsia" w:ascii="宋体" w:hAnsi="宋体" w:eastAsia="仿宋"/>
          <w:color w:val="auto"/>
          <w:sz w:val="24"/>
          <w:highlight w:val="none"/>
        </w:rPr>
        <w:t>日的，且修改内容影响投标文件编制，将相应顺延投标截止时间。</w:t>
      </w:r>
    </w:p>
    <w:p w14:paraId="0AEA702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2.3</w:t>
      </w:r>
      <w:r>
        <w:rPr>
          <w:rFonts w:ascii="宋体" w:hAnsi="宋体" w:eastAsia="仿宋"/>
          <w:color w:val="auto"/>
          <w:sz w:val="24"/>
          <w:highlight w:val="none"/>
        </w:rPr>
        <w:t>.2</w:t>
      </w:r>
      <w:r>
        <w:rPr>
          <w:rFonts w:hint="eastAsia" w:ascii="宋体" w:hAnsi="宋体" w:eastAsia="仿宋"/>
          <w:color w:val="auto"/>
          <w:sz w:val="24"/>
          <w:highlight w:val="none"/>
        </w:rPr>
        <w:t xml:space="preserve"> 更正公告的内容作为招标文件的组成部分，对投标人起约束作用。投标人应主动上网查询，采购人及采购代理机构不承担投标人未及时关注相关信息引发的相关责任。</w:t>
      </w:r>
    </w:p>
    <w:p w14:paraId="0A1B564F">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2.4 招标文件的质疑</w:t>
      </w:r>
    </w:p>
    <w:p w14:paraId="76E63CEE">
      <w:pPr>
        <w:widowControl/>
        <w:adjustRightInd w:val="0"/>
        <w:snapToGrid w:val="0"/>
        <w:spacing w:line="360" w:lineRule="auto"/>
        <w:ind w:firstLine="480" w:firstLineChars="200"/>
        <w:rPr>
          <w:rFonts w:hint="eastAsia" w:ascii="宋体" w:hAnsi="宋体" w:eastAsia="仿宋"/>
          <w:color w:val="auto"/>
          <w:sz w:val="24"/>
          <w:highlight w:val="none"/>
        </w:rPr>
      </w:pPr>
      <w:bookmarkStart w:id="236" w:name="_Toc371415933"/>
      <w:bookmarkStart w:id="237" w:name="_Toc179632564"/>
      <w:bookmarkStart w:id="238" w:name="_Toc458504832"/>
      <w:bookmarkStart w:id="239" w:name="_Toc338943717"/>
      <w:bookmarkStart w:id="240" w:name="_Toc455587232"/>
      <w:bookmarkStart w:id="241" w:name="_Toc455587048"/>
      <w:bookmarkStart w:id="242" w:name="_Toc342296179"/>
      <w:bookmarkStart w:id="243" w:name="_Toc445554705"/>
      <w:bookmarkStart w:id="244" w:name="_Toc342297636"/>
      <w:bookmarkStart w:id="245" w:name="_Toc338944622"/>
      <w:bookmarkStart w:id="246" w:name="_Toc333600700"/>
      <w:bookmarkStart w:id="247" w:name="_Toc152045546"/>
      <w:bookmarkStart w:id="248" w:name="_Toc466024514"/>
      <w:bookmarkStart w:id="249" w:name="_Toc333599676"/>
      <w:bookmarkStart w:id="250" w:name="_Toc144974514"/>
      <w:bookmarkStart w:id="251" w:name="_Toc152042322"/>
      <w:bookmarkStart w:id="252" w:name="_Toc342294731"/>
      <w:r>
        <w:rPr>
          <w:rFonts w:hint="eastAsia" w:ascii="宋体" w:hAnsi="宋体" w:eastAsia="仿宋"/>
          <w:color w:val="auto"/>
          <w:sz w:val="24"/>
          <w:highlight w:val="none"/>
        </w:rPr>
        <w:t>2.4.1 投标人对招标文件的质疑须符合本章第9.2款规定。</w:t>
      </w:r>
    </w:p>
    <w:p w14:paraId="3D8DF36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2.4.2 采购人对质疑的答复构成对招标文件澄清或者修改的，采购人将按照本章第2.2款、第2.3款规定办理。</w:t>
      </w:r>
    </w:p>
    <w:p w14:paraId="4AF623FA">
      <w:pPr>
        <w:pStyle w:val="3"/>
        <w:rPr>
          <w:rStyle w:val="23"/>
          <w:rFonts w:ascii="宋体" w:hAnsi="宋体" w:eastAsia="仿宋"/>
          <w:b/>
          <w:bCs/>
          <w:color w:val="auto"/>
          <w:sz w:val="24"/>
          <w:szCs w:val="24"/>
          <w:highlight w:val="none"/>
        </w:rPr>
      </w:pPr>
      <w:r>
        <w:rPr>
          <w:rStyle w:val="23"/>
          <w:rFonts w:hint="eastAsia" w:ascii="宋体" w:hAnsi="宋体" w:eastAsia="仿宋"/>
          <w:b/>
          <w:bCs/>
          <w:color w:val="auto"/>
          <w:sz w:val="24"/>
          <w:szCs w:val="24"/>
          <w:highlight w:val="none"/>
        </w:rPr>
        <w:t>3. 投标文件</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5511CFA4">
      <w:pPr>
        <w:pStyle w:val="4"/>
        <w:adjustRightInd w:val="0"/>
        <w:ind w:firstLine="482" w:firstLineChars="200"/>
        <w:rPr>
          <w:rFonts w:eastAsia="仿宋"/>
          <w:color w:val="auto"/>
          <w:sz w:val="24"/>
          <w:highlight w:val="none"/>
          <w:lang w:eastAsia="zh-CN"/>
        </w:rPr>
      </w:pPr>
      <w:bookmarkStart w:id="253" w:name="_Toc445554706"/>
      <w:bookmarkStart w:id="254" w:name="_Toc152045547"/>
      <w:bookmarkStart w:id="255" w:name="_Toc458504833"/>
      <w:bookmarkStart w:id="256" w:name="_Toc333600701"/>
      <w:bookmarkStart w:id="257" w:name="_Toc179632565"/>
      <w:bookmarkStart w:id="258" w:name="_Toc371415934"/>
      <w:bookmarkStart w:id="259" w:name="_Toc144974515"/>
      <w:bookmarkStart w:id="260" w:name="_Toc333587871"/>
      <w:bookmarkStart w:id="261" w:name="_Toc338944623"/>
      <w:bookmarkStart w:id="262" w:name="_Toc333599677"/>
      <w:bookmarkStart w:id="263" w:name="_Toc466024515"/>
      <w:bookmarkStart w:id="264" w:name="_Toc455587233"/>
      <w:bookmarkStart w:id="265" w:name="_Toc342296180"/>
      <w:bookmarkStart w:id="266" w:name="_Toc338943718"/>
      <w:bookmarkStart w:id="267" w:name="_Toc455587049"/>
      <w:bookmarkStart w:id="268" w:name="_Toc342294732"/>
      <w:bookmarkStart w:id="269" w:name="_Toc152042323"/>
      <w:bookmarkStart w:id="270" w:name="_Toc342297637"/>
      <w:r>
        <w:rPr>
          <w:rFonts w:hint="eastAsia" w:eastAsia="仿宋"/>
          <w:color w:val="auto"/>
          <w:sz w:val="24"/>
          <w:highlight w:val="none"/>
          <w:lang w:eastAsia="zh-CN"/>
        </w:rPr>
        <w:t>3.1 投标文件的组成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1A255D53">
      <w:pPr>
        <w:widowControl/>
        <w:adjustRightInd w:val="0"/>
        <w:snapToGrid w:val="0"/>
        <w:spacing w:line="360" w:lineRule="auto"/>
        <w:ind w:firstLine="480" w:firstLineChars="200"/>
        <w:rPr>
          <w:rFonts w:hint="eastAsia" w:ascii="宋体" w:hAnsi="宋体" w:eastAsia="仿宋"/>
          <w:color w:val="auto"/>
          <w:sz w:val="24"/>
          <w:highlight w:val="none"/>
        </w:rPr>
      </w:pPr>
      <w:bookmarkStart w:id="271" w:name="_Toc342296181"/>
      <w:bookmarkStart w:id="272" w:name="_Toc338943719"/>
      <w:bookmarkStart w:id="273" w:name="_Toc144974516"/>
      <w:bookmarkStart w:id="274" w:name="_Toc152045548"/>
      <w:bookmarkStart w:id="275" w:name="_Toc333587872"/>
      <w:bookmarkStart w:id="276" w:name="_Toc338944624"/>
      <w:bookmarkStart w:id="277" w:name="_Toc333599678"/>
      <w:bookmarkStart w:id="278" w:name="_Toc333600702"/>
      <w:bookmarkStart w:id="279" w:name="_Toc342297638"/>
      <w:bookmarkStart w:id="280" w:name="_Toc152042324"/>
      <w:bookmarkStart w:id="281" w:name="_Toc179632566"/>
      <w:bookmarkStart w:id="282" w:name="_Toc342294733"/>
      <w:r>
        <w:rPr>
          <w:rFonts w:hint="eastAsia" w:ascii="宋体" w:hAnsi="宋体" w:eastAsia="仿宋"/>
          <w:color w:val="auto"/>
          <w:sz w:val="24"/>
          <w:highlight w:val="none"/>
        </w:rPr>
        <w:t>3.1</w:t>
      </w:r>
      <w:r>
        <w:rPr>
          <w:rFonts w:ascii="宋体" w:hAnsi="宋体" w:eastAsia="仿宋"/>
          <w:color w:val="auto"/>
          <w:sz w:val="24"/>
          <w:highlight w:val="none"/>
        </w:rPr>
        <w:t>.1</w:t>
      </w:r>
      <w:r>
        <w:rPr>
          <w:rFonts w:hint="eastAsia" w:ascii="宋体" w:hAnsi="宋体" w:eastAsia="仿宋"/>
          <w:color w:val="auto"/>
          <w:sz w:val="24"/>
          <w:highlight w:val="none"/>
        </w:rPr>
        <w:t xml:space="preserve"> 投标文件应包括下列内容：</w:t>
      </w:r>
    </w:p>
    <w:p w14:paraId="5F63D94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（1）投标函；</w:t>
      </w:r>
    </w:p>
    <w:p w14:paraId="5D2FC77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（2）开标一览表；</w:t>
      </w:r>
    </w:p>
    <w:p w14:paraId="6416D37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（3）分项报价表；</w:t>
      </w:r>
    </w:p>
    <w:p w14:paraId="643C448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（4）投标人综合情况简介；</w:t>
      </w:r>
    </w:p>
    <w:p w14:paraId="79BA3D5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（5）中小企业声明函（货物）；</w:t>
      </w:r>
    </w:p>
    <w:p w14:paraId="0D53F5F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（6）法定代表人（单位负责人）身份证明或授权委托书；</w:t>
      </w:r>
    </w:p>
    <w:p w14:paraId="478B48E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（7）联合体协议书（如有）；</w:t>
      </w:r>
    </w:p>
    <w:p w14:paraId="1A7CD42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（8）分包意向协议书（如有）；</w:t>
      </w:r>
    </w:p>
    <w:p w14:paraId="6D2B227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（9）资格审查材料；</w:t>
      </w:r>
    </w:p>
    <w:p w14:paraId="66B17AF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（10）符合性审查与详细评审材料；</w:t>
      </w:r>
    </w:p>
    <w:p w14:paraId="683A03A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（11）主要标的承诺函；</w:t>
      </w:r>
    </w:p>
    <w:p w14:paraId="65F81A7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（12）投标人认为应该提供的其他材料。</w:t>
      </w:r>
    </w:p>
    <w:p w14:paraId="1C0A432F">
      <w:pPr>
        <w:widowControl/>
        <w:adjustRightInd w:val="0"/>
        <w:snapToGrid w:val="0"/>
        <w:spacing w:line="360" w:lineRule="auto"/>
        <w:ind w:firstLine="480" w:firstLineChars="200"/>
        <w:rPr>
          <w:rFonts w:eastAsia="仿宋"/>
          <w:color w:val="auto"/>
          <w:sz w:val="24"/>
          <w:highlight w:val="none"/>
        </w:rPr>
      </w:pPr>
      <w:r>
        <w:rPr>
          <w:rFonts w:eastAsia="仿宋"/>
          <w:color w:val="auto"/>
          <w:sz w:val="24"/>
          <w:highlight w:val="none"/>
        </w:rPr>
        <w:t>投标人在评标过程中作出的符合法律法规和招标文件规定的澄清确认，构成投标文件的组成部分。</w:t>
      </w:r>
    </w:p>
    <w:p w14:paraId="7A76099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3.1.2 投标人须知前附表规定不接受联合体投标的，或投标人没有组成联合体的，投标文件不包括本章第3.1.1（7）目所指的联合体协议书。</w:t>
      </w:r>
    </w:p>
    <w:p w14:paraId="572BCDD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3.1.3 投标人须知前附表规定不接受分包的，或投标人没有分包的，投标文件不包括本章第3.1.1（8）目所指的分包意向协议书。</w:t>
      </w:r>
    </w:p>
    <w:p w14:paraId="6A756A7F">
      <w:pPr>
        <w:adjustRightInd w:val="0"/>
        <w:spacing w:line="360" w:lineRule="auto"/>
        <w:ind w:firstLine="480" w:firstLineChars="200"/>
        <w:rPr>
          <w:rFonts w:hint="eastAsia" w:ascii="宋体" w:hAnsi="宋体" w:eastAsia="仿宋"/>
          <w:color w:val="auto"/>
          <w:sz w:val="24"/>
          <w:highlight w:val="none"/>
        </w:rPr>
      </w:pPr>
      <w:bookmarkStart w:id="283" w:name="_Toc466024516"/>
      <w:bookmarkStart w:id="284" w:name="_Toc455587234"/>
      <w:bookmarkStart w:id="285" w:name="_Toc445554707"/>
      <w:bookmarkStart w:id="286" w:name="_Toc455587050"/>
      <w:bookmarkStart w:id="287" w:name="_Toc458504834"/>
      <w:r>
        <w:rPr>
          <w:rFonts w:hint="eastAsia" w:ascii="宋体" w:hAnsi="宋体" w:eastAsia="仿宋"/>
          <w:color w:val="auto"/>
          <w:sz w:val="24"/>
          <w:highlight w:val="none"/>
        </w:rPr>
        <w:t>3.1.4 投标人须知前附表规定要求递交投标货物样品的，投标人应按照投标人须知前附表的规定提供投标货物样品。</w:t>
      </w:r>
    </w:p>
    <w:p w14:paraId="56CFF0EA">
      <w:pPr>
        <w:pStyle w:val="4"/>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3.2 投标报价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Start w:id="288" w:name="_Toc370199958"/>
    </w:p>
    <w:p w14:paraId="411F1C3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3.2</w:t>
      </w:r>
      <w:r>
        <w:rPr>
          <w:rFonts w:ascii="宋体" w:hAnsi="宋体" w:eastAsia="仿宋"/>
          <w:color w:val="auto"/>
          <w:sz w:val="24"/>
          <w:highlight w:val="none"/>
        </w:rPr>
        <w:t>.1</w:t>
      </w:r>
      <w:r>
        <w:rPr>
          <w:rFonts w:hint="eastAsia" w:ascii="宋体" w:hAnsi="宋体" w:eastAsia="仿宋"/>
          <w:color w:val="auto"/>
          <w:sz w:val="24"/>
          <w:highlight w:val="none"/>
        </w:rPr>
        <w:t xml:space="preserve"> 投标报价应当包括的内容见投标人须知前附表规定。投标人应当按招标文件规定进行投标报价，并按给定格式填写投标报价表格。</w:t>
      </w:r>
      <w:bookmarkEnd w:id="288"/>
      <w:bookmarkStart w:id="289" w:name="_Toc370199959"/>
    </w:p>
    <w:p w14:paraId="04069B5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3.2.2 </w:t>
      </w:r>
      <w:r>
        <w:rPr>
          <w:rFonts w:ascii="宋体" w:hAnsi="宋体" w:eastAsia="仿宋"/>
          <w:color w:val="auto"/>
          <w:sz w:val="24"/>
          <w:highlight w:val="none"/>
        </w:rPr>
        <w:t>投标人应充分了解该项目的总体情况以及影响报价的其他要素。</w:t>
      </w:r>
    </w:p>
    <w:p w14:paraId="4AEF3D1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3.2.3 投标报价为各分项报价之和。如分项报价中存在缺漏项，则视为缺漏项价格已包含在其他分项报价之中。投标人在投标截止时间前修改开标一览表中的投标报价总额，应同时修改投标文件“分项报价表”中的相应报价。此修改须符合本章第4.3款的有关要求。</w:t>
      </w:r>
    </w:p>
    <w:p w14:paraId="319689C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3.2.4 投标报价的其他要求见投标人须知前附表。</w:t>
      </w:r>
    </w:p>
    <w:bookmarkEnd w:id="289"/>
    <w:p w14:paraId="6B36354E">
      <w:pPr>
        <w:pStyle w:val="4"/>
        <w:adjustRightInd w:val="0"/>
        <w:ind w:firstLine="482" w:firstLineChars="200"/>
        <w:rPr>
          <w:rFonts w:eastAsia="仿宋"/>
          <w:color w:val="auto"/>
          <w:sz w:val="24"/>
          <w:highlight w:val="none"/>
          <w:lang w:eastAsia="zh-CN"/>
        </w:rPr>
      </w:pPr>
      <w:bookmarkStart w:id="290" w:name="_Toc338943720"/>
      <w:bookmarkStart w:id="291" w:name="_Toc333600703"/>
      <w:bookmarkStart w:id="292" w:name="_Toc179632567"/>
      <w:bookmarkStart w:id="293" w:name="_Toc144974517"/>
      <w:bookmarkStart w:id="294" w:name="_Toc338944625"/>
      <w:bookmarkStart w:id="295" w:name="_Toc342297639"/>
      <w:bookmarkStart w:id="296" w:name="_Toc333587873"/>
      <w:bookmarkStart w:id="297" w:name="_Toc333599679"/>
      <w:bookmarkStart w:id="298" w:name="_Toc342296182"/>
      <w:bookmarkStart w:id="299" w:name="_Toc152042325"/>
      <w:bookmarkStart w:id="300" w:name="_Toc445554708"/>
      <w:bookmarkStart w:id="301" w:name="_Toc342294734"/>
      <w:bookmarkStart w:id="302" w:name="_Toc466024517"/>
      <w:bookmarkStart w:id="303" w:name="_Toc458504835"/>
      <w:bookmarkStart w:id="304" w:name="_Toc152045549"/>
      <w:bookmarkStart w:id="305" w:name="_Toc455587051"/>
      <w:bookmarkStart w:id="306" w:name="_Toc371415937"/>
      <w:bookmarkStart w:id="307" w:name="_Toc455587235"/>
      <w:r>
        <w:rPr>
          <w:rFonts w:hint="eastAsia" w:eastAsia="仿宋"/>
          <w:color w:val="auto"/>
          <w:sz w:val="24"/>
          <w:highlight w:val="none"/>
          <w:lang w:eastAsia="zh-CN"/>
        </w:rPr>
        <w:t>3.3 投标有效期</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208091C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3.3</w:t>
      </w:r>
      <w:r>
        <w:rPr>
          <w:rFonts w:ascii="宋体" w:hAnsi="宋体" w:eastAsia="仿宋"/>
          <w:color w:val="auto"/>
          <w:sz w:val="24"/>
          <w:highlight w:val="none"/>
        </w:rPr>
        <w:t>.1</w:t>
      </w:r>
      <w:r>
        <w:rPr>
          <w:rFonts w:hint="eastAsia" w:ascii="宋体" w:hAnsi="宋体" w:eastAsia="仿宋"/>
          <w:color w:val="auto"/>
          <w:sz w:val="24"/>
          <w:highlight w:val="none"/>
        </w:rPr>
        <w:t xml:space="preserve"> 在投标人须知前附表规定的投标有效期内，投标文件保持有效，投标人不得要求撤销或修改其投标文件，否则应承担招标文件和法律法规规定的责任。</w:t>
      </w:r>
    </w:p>
    <w:p w14:paraId="3952D97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3.3</w:t>
      </w:r>
      <w:r>
        <w:rPr>
          <w:rFonts w:ascii="宋体" w:hAnsi="宋体" w:eastAsia="仿宋"/>
          <w:color w:val="auto"/>
          <w:sz w:val="24"/>
          <w:highlight w:val="none"/>
        </w:rPr>
        <w:t>.2</w:t>
      </w:r>
      <w:r>
        <w:rPr>
          <w:rFonts w:hint="eastAsia" w:ascii="宋体" w:hAnsi="宋体" w:eastAsia="仿宋"/>
          <w:color w:val="auto"/>
          <w:sz w:val="24"/>
          <w:highlight w:val="none"/>
        </w:rPr>
        <w:t xml:space="preserve"> 出现特殊情况需要延长投标有效期的，采购人以书面形式通知所有投标人延长投标有效期。投标人同意延长的，应当相应延长其投标保证金的有效期，但不得要求或被允许修改或撤销其投标文件；投标人拒绝延长的，其投标失效，但投标人有权收回其投标保证金。</w:t>
      </w:r>
      <w:r>
        <w:rPr>
          <w:rFonts w:ascii="宋体" w:hAnsi="宋体" w:eastAsia="仿宋"/>
          <w:color w:val="auto"/>
          <w:sz w:val="24"/>
          <w:highlight w:val="none"/>
        </w:rPr>
        <w:t xml:space="preserve"> </w:t>
      </w:r>
    </w:p>
    <w:p w14:paraId="0FF55E27">
      <w:pPr>
        <w:pStyle w:val="4"/>
        <w:adjustRightInd w:val="0"/>
        <w:ind w:firstLine="482" w:firstLineChars="200"/>
        <w:rPr>
          <w:rFonts w:eastAsia="仿宋"/>
          <w:color w:val="auto"/>
          <w:sz w:val="24"/>
          <w:highlight w:val="none"/>
          <w:lang w:eastAsia="zh-CN"/>
        </w:rPr>
      </w:pPr>
      <w:bookmarkStart w:id="308" w:name="_Toc371415938"/>
      <w:bookmarkStart w:id="309" w:name="_Toc333587874"/>
      <w:bookmarkStart w:id="310" w:name="_Toc342296183"/>
      <w:bookmarkStart w:id="311" w:name="_Toc179632568"/>
      <w:bookmarkStart w:id="312" w:name="_Toc338943721"/>
      <w:bookmarkStart w:id="313" w:name="_Toc455587052"/>
      <w:bookmarkStart w:id="314" w:name="_Toc144974518"/>
      <w:bookmarkStart w:id="315" w:name="_Toc455587236"/>
      <w:bookmarkStart w:id="316" w:name="_Toc342297640"/>
      <w:bookmarkStart w:id="317" w:name="_Toc338944626"/>
      <w:bookmarkStart w:id="318" w:name="_Toc342294735"/>
      <w:bookmarkStart w:id="319" w:name="_Toc333600704"/>
      <w:bookmarkStart w:id="320" w:name="_Toc333599680"/>
      <w:bookmarkStart w:id="321" w:name="_Toc152042326"/>
      <w:bookmarkStart w:id="322" w:name="_Toc445554709"/>
      <w:bookmarkStart w:id="323" w:name="_Toc152045550"/>
      <w:bookmarkStart w:id="324" w:name="_Toc466024518"/>
      <w:bookmarkStart w:id="325" w:name="_Toc458504836"/>
      <w:r>
        <w:rPr>
          <w:rFonts w:hint="eastAsia" w:eastAsia="仿宋"/>
          <w:color w:val="auto"/>
          <w:sz w:val="24"/>
          <w:highlight w:val="none"/>
          <w:lang w:eastAsia="zh-CN"/>
        </w:rPr>
        <w:t>3.4 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7E88DF3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对投标保证金的要求见投标人须知前附表。</w:t>
      </w:r>
    </w:p>
    <w:p w14:paraId="2CB1F961">
      <w:pPr>
        <w:pStyle w:val="4"/>
        <w:adjustRightInd w:val="0"/>
        <w:ind w:firstLine="482" w:firstLineChars="200"/>
        <w:rPr>
          <w:rFonts w:eastAsia="仿宋"/>
          <w:color w:val="auto"/>
          <w:sz w:val="24"/>
          <w:highlight w:val="none"/>
          <w:lang w:eastAsia="zh-CN"/>
        </w:rPr>
      </w:pPr>
      <w:bookmarkStart w:id="326" w:name="_Toc445554710"/>
      <w:bookmarkStart w:id="327" w:name="_Toc342296184"/>
      <w:bookmarkStart w:id="328" w:name="_Toc371415939"/>
      <w:bookmarkStart w:id="329" w:name="_Toc333599681"/>
      <w:bookmarkStart w:id="330" w:name="_Toc458504837"/>
      <w:bookmarkStart w:id="331" w:name="_Toc338943722"/>
      <w:bookmarkStart w:id="332" w:name="_Toc455587237"/>
      <w:bookmarkStart w:id="333" w:name="_Toc179632569"/>
      <w:bookmarkStart w:id="334" w:name="_Toc342294736"/>
      <w:bookmarkStart w:id="335" w:name="_Toc144974519"/>
      <w:bookmarkStart w:id="336" w:name="_Toc338944627"/>
      <w:bookmarkStart w:id="337" w:name="_Toc455587053"/>
      <w:bookmarkStart w:id="338" w:name="_Toc342297641"/>
      <w:bookmarkStart w:id="339" w:name="_Toc333587875"/>
      <w:bookmarkStart w:id="340" w:name="_Toc152045551"/>
      <w:bookmarkStart w:id="341" w:name="_Toc152042327"/>
      <w:bookmarkStart w:id="342" w:name="_Toc333600705"/>
      <w:bookmarkStart w:id="343" w:name="_Toc466024519"/>
      <w:r>
        <w:rPr>
          <w:rFonts w:hint="eastAsia" w:eastAsia="仿宋"/>
          <w:color w:val="auto"/>
          <w:sz w:val="24"/>
          <w:highlight w:val="none"/>
          <w:lang w:eastAsia="zh-CN"/>
        </w:rPr>
        <w:t>3.5 资格审查资料（适用于已进行资格预审的）</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3A97929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3.5.1 投标人在递交投标文件前，发生可能影响其投标资格的新情况的，应更新或补充其在申请资格预审时提供的资料，以证实其各项资格条件仍能继续满足资格预审文件的要求。</w:t>
      </w:r>
    </w:p>
    <w:p w14:paraId="064D6C9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3.5.2 投标人是代理商或经销商的，通过资格预审后如确定了拟投标货物（服务）的制造商（提供商）的，投标时不得更换，否则其投标将按无效处理。</w:t>
      </w:r>
    </w:p>
    <w:p w14:paraId="5B7D97D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3.5.3 如本招标文件“评标办法”中涉及对相关投标人资格进行评审的，投标人应在投标文件相应的“资格审查资料”中提供证明文件。</w:t>
      </w:r>
    </w:p>
    <w:p w14:paraId="723FB126">
      <w:pPr>
        <w:pStyle w:val="4"/>
        <w:adjustRightInd w:val="0"/>
        <w:ind w:firstLine="482" w:firstLineChars="200"/>
        <w:rPr>
          <w:rFonts w:hint="eastAsia" w:eastAsia="仿宋"/>
          <w:color w:val="auto"/>
          <w:sz w:val="24"/>
          <w:highlight w:val="none"/>
          <w:lang w:eastAsia="zh-CN"/>
        </w:rPr>
      </w:pPr>
      <w:bookmarkStart w:id="344" w:name="_Toc338943723"/>
      <w:bookmarkStart w:id="345" w:name="_Toc466024520"/>
      <w:bookmarkStart w:id="346" w:name="_Toc371415940"/>
      <w:bookmarkStart w:id="347" w:name="_Toc333599682"/>
      <w:bookmarkStart w:id="348" w:name="_Toc333600706"/>
      <w:bookmarkStart w:id="349" w:name="_Toc333587876"/>
      <w:bookmarkStart w:id="350" w:name="_Toc445554711"/>
      <w:bookmarkStart w:id="351" w:name="_Toc458504838"/>
      <w:bookmarkStart w:id="352" w:name="_Toc342296185"/>
      <w:bookmarkStart w:id="353" w:name="_Toc342294737"/>
      <w:bookmarkStart w:id="354" w:name="_Toc342297642"/>
      <w:bookmarkStart w:id="355" w:name="_Toc179632570"/>
      <w:bookmarkStart w:id="356" w:name="_Toc152042328"/>
      <w:bookmarkStart w:id="357" w:name="_Toc455587054"/>
      <w:bookmarkStart w:id="358" w:name="_Toc144974520"/>
      <w:bookmarkStart w:id="359" w:name="_Toc152045552"/>
      <w:bookmarkStart w:id="360" w:name="_Toc338944628"/>
      <w:bookmarkStart w:id="361" w:name="_Toc455587238"/>
      <w:r>
        <w:rPr>
          <w:rFonts w:hint="eastAsia" w:eastAsia="仿宋"/>
          <w:color w:val="auto"/>
          <w:sz w:val="24"/>
          <w:highlight w:val="none"/>
          <w:lang w:eastAsia="zh-CN"/>
        </w:rPr>
        <w:t>3.5 资格审查资料（适用于未进行资格预审的）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6982D13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3.5.1 资格审查办法见第四章第一节 资格审查。</w:t>
      </w:r>
    </w:p>
    <w:p w14:paraId="028D142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3.5.2 “资格审查材料”应按规定格式填写，并提供符合要求的相关证明材料的扫描件或电子证照。</w:t>
      </w:r>
    </w:p>
    <w:p w14:paraId="17BDAA4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3.5.3 投标人须知前附表规定接受联合体投标的，本章第3.5.1项至第3.5.2项规定的表格和资料包括联合体各方成员相关情况。</w:t>
      </w:r>
    </w:p>
    <w:p w14:paraId="4CAFC4DC">
      <w:pPr>
        <w:pStyle w:val="4"/>
        <w:adjustRightInd w:val="0"/>
        <w:ind w:firstLine="482" w:firstLineChars="200"/>
        <w:rPr>
          <w:rFonts w:eastAsia="仿宋"/>
          <w:color w:val="auto"/>
          <w:sz w:val="24"/>
          <w:highlight w:val="none"/>
          <w:lang w:eastAsia="zh-CN"/>
        </w:rPr>
      </w:pPr>
      <w:bookmarkStart w:id="362" w:name="_Toc445554713"/>
      <w:bookmarkStart w:id="363" w:name="_Toc455587056"/>
      <w:bookmarkStart w:id="364" w:name="_Toc342294738"/>
      <w:bookmarkStart w:id="365" w:name="_Toc371415941"/>
      <w:bookmarkStart w:id="366" w:name="_Toc338944629"/>
      <w:bookmarkStart w:id="367" w:name="_Toc144974521"/>
      <w:bookmarkStart w:id="368" w:name="_Toc455587240"/>
      <w:bookmarkStart w:id="369" w:name="_Toc179632571"/>
      <w:bookmarkStart w:id="370" w:name="_Toc333600707"/>
      <w:bookmarkStart w:id="371" w:name="_Toc342297643"/>
      <w:bookmarkStart w:id="372" w:name="_Toc152045553"/>
      <w:bookmarkStart w:id="373" w:name="_Toc338943724"/>
      <w:bookmarkStart w:id="374" w:name="_Toc466024522"/>
      <w:bookmarkStart w:id="375" w:name="_Toc458504840"/>
      <w:bookmarkStart w:id="376" w:name="_Toc342296186"/>
      <w:bookmarkStart w:id="377" w:name="_Toc333587877"/>
      <w:bookmarkStart w:id="378" w:name="_Toc152042329"/>
      <w:bookmarkStart w:id="379" w:name="_Toc333599683"/>
      <w:r>
        <w:rPr>
          <w:rFonts w:hint="eastAsia" w:eastAsia="仿宋"/>
          <w:color w:val="auto"/>
          <w:sz w:val="24"/>
          <w:highlight w:val="none"/>
          <w:lang w:eastAsia="zh-CN"/>
        </w:rPr>
        <w:t>3.6 备选投标方案</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4C45A75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3.6.1 除投标人须知前附表另有规定外，投标人不得递交备选投标方案，</w:t>
      </w:r>
      <w:r>
        <w:rPr>
          <w:rFonts w:eastAsia="仿宋"/>
          <w:color w:val="auto"/>
          <w:sz w:val="24"/>
          <w:highlight w:val="none"/>
        </w:rPr>
        <w:t>否则其投标将</w:t>
      </w:r>
      <w:r>
        <w:rPr>
          <w:rFonts w:hint="eastAsia" w:eastAsia="仿宋"/>
          <w:color w:val="auto"/>
          <w:sz w:val="24"/>
          <w:highlight w:val="none"/>
        </w:rPr>
        <w:t>按无效处理</w:t>
      </w:r>
      <w:r>
        <w:rPr>
          <w:rFonts w:hint="eastAsia" w:ascii="宋体" w:hAnsi="宋体" w:eastAsia="仿宋"/>
          <w:color w:val="auto"/>
          <w:sz w:val="24"/>
          <w:highlight w:val="none"/>
        </w:rPr>
        <w:t>。</w:t>
      </w:r>
    </w:p>
    <w:p w14:paraId="7471A799">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 xml:space="preserve">3.6.2 </w:t>
      </w:r>
      <w:r>
        <w:rPr>
          <w:rFonts w:eastAsia="仿宋"/>
          <w:color w:val="auto"/>
          <w:sz w:val="24"/>
          <w:highlight w:val="none"/>
        </w:rPr>
        <w:t>允许投标人递交备选投标方案的，只有中标人所递交的备选投标方案方可予以考虑。评标委员会认为中标人的备选投标方案优于其按照招标文件要求编制的投标方案的，</w:t>
      </w:r>
      <w:r>
        <w:rPr>
          <w:rFonts w:hint="eastAsia" w:eastAsia="仿宋"/>
          <w:color w:val="auto"/>
          <w:sz w:val="24"/>
          <w:highlight w:val="none"/>
        </w:rPr>
        <w:t>采购</w:t>
      </w:r>
      <w:r>
        <w:rPr>
          <w:rFonts w:eastAsia="仿宋"/>
          <w:color w:val="auto"/>
          <w:sz w:val="24"/>
          <w:highlight w:val="none"/>
        </w:rPr>
        <w:t>人可以接受该备选投标方案。</w:t>
      </w:r>
    </w:p>
    <w:p w14:paraId="67B4DE91">
      <w:pPr>
        <w:widowControl/>
        <w:adjustRightInd w:val="0"/>
        <w:snapToGrid w:val="0"/>
        <w:spacing w:line="360" w:lineRule="auto"/>
        <w:ind w:firstLine="480" w:firstLineChars="200"/>
        <w:rPr>
          <w:rFonts w:eastAsia="仿宋"/>
          <w:color w:val="auto"/>
          <w:sz w:val="24"/>
          <w:highlight w:val="none"/>
        </w:rPr>
      </w:pPr>
      <w:r>
        <w:rPr>
          <w:rFonts w:ascii="宋体" w:hAnsi="宋体" w:eastAsia="仿宋"/>
          <w:color w:val="auto"/>
          <w:sz w:val="24"/>
          <w:highlight w:val="none"/>
        </w:rPr>
        <w:t>3.6.3 投标人提供两个或两个以上投标报价，或者在投标文件中提供一个报价，但同时提供两个或两</w:t>
      </w:r>
      <w:r>
        <w:rPr>
          <w:rFonts w:eastAsia="仿宋"/>
          <w:color w:val="auto"/>
          <w:sz w:val="24"/>
          <w:highlight w:val="none"/>
        </w:rPr>
        <w:t>个以上</w:t>
      </w:r>
      <w:bookmarkStart w:id="380" w:name="_Toc247527575"/>
      <w:bookmarkStart w:id="381" w:name="_Toc247513974"/>
      <w:bookmarkStart w:id="382" w:name="_Toc384308232"/>
      <w:bookmarkStart w:id="383" w:name="_Toc29902"/>
      <w:bookmarkStart w:id="384" w:name="_Toc300834971"/>
      <w:bookmarkStart w:id="385" w:name="_Toc369531538"/>
      <w:bookmarkStart w:id="386" w:name="_Toc352691495"/>
      <w:bookmarkStart w:id="387" w:name="_Toc361508607"/>
      <w:r>
        <w:rPr>
          <w:rFonts w:hint="eastAsia" w:eastAsia="仿宋"/>
          <w:color w:val="auto"/>
          <w:sz w:val="24"/>
          <w:highlight w:val="none"/>
        </w:rPr>
        <w:t>供货方案</w:t>
      </w:r>
      <w:r>
        <w:rPr>
          <w:rFonts w:eastAsia="仿宋"/>
          <w:color w:val="auto"/>
          <w:sz w:val="24"/>
          <w:highlight w:val="none"/>
        </w:rPr>
        <w:t>的</w:t>
      </w:r>
      <w:bookmarkEnd w:id="380"/>
      <w:bookmarkEnd w:id="381"/>
      <w:bookmarkEnd w:id="382"/>
      <w:bookmarkEnd w:id="383"/>
      <w:bookmarkEnd w:id="384"/>
      <w:bookmarkEnd w:id="385"/>
      <w:bookmarkEnd w:id="386"/>
      <w:bookmarkEnd w:id="387"/>
      <w:r>
        <w:rPr>
          <w:rFonts w:eastAsia="仿宋"/>
          <w:color w:val="auto"/>
          <w:sz w:val="24"/>
          <w:highlight w:val="none"/>
        </w:rPr>
        <w:t>，视为提供备选方案。</w:t>
      </w:r>
    </w:p>
    <w:p w14:paraId="73235907">
      <w:pPr>
        <w:pStyle w:val="4"/>
        <w:adjustRightInd w:val="0"/>
        <w:ind w:firstLine="482" w:firstLineChars="200"/>
        <w:rPr>
          <w:rFonts w:eastAsia="仿宋"/>
          <w:color w:val="auto"/>
          <w:sz w:val="24"/>
          <w:highlight w:val="none"/>
          <w:lang w:eastAsia="zh-CN"/>
        </w:rPr>
      </w:pPr>
      <w:bookmarkStart w:id="388" w:name="_Toc445554714"/>
      <w:bookmarkStart w:id="389" w:name="_Toc371415942"/>
      <w:bookmarkStart w:id="390" w:name="_Toc455587241"/>
      <w:bookmarkStart w:id="391" w:name="_Toc455587057"/>
      <w:bookmarkStart w:id="392" w:name="_Toc458504841"/>
      <w:bookmarkStart w:id="393" w:name="_Toc466024523"/>
      <w:r>
        <w:rPr>
          <w:rFonts w:hint="eastAsia" w:eastAsia="仿宋"/>
          <w:color w:val="auto"/>
          <w:sz w:val="24"/>
          <w:highlight w:val="none"/>
          <w:lang w:eastAsia="zh-CN"/>
        </w:rPr>
        <w:t>3.7 投标文件的编制</w:t>
      </w:r>
      <w:bookmarkEnd w:id="388"/>
      <w:bookmarkEnd w:id="389"/>
      <w:bookmarkEnd w:id="390"/>
      <w:bookmarkEnd w:id="391"/>
      <w:bookmarkEnd w:id="392"/>
      <w:bookmarkEnd w:id="393"/>
    </w:p>
    <w:p w14:paraId="53E6141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w:t>
      </w:r>
      <w:r>
        <w:rPr>
          <w:rFonts w:ascii="宋体" w:hAnsi="宋体" w:eastAsia="仿宋"/>
          <w:color w:val="auto"/>
          <w:sz w:val="24"/>
          <w:highlight w:val="none"/>
        </w:rPr>
        <w:t>.1</w:t>
      </w:r>
      <w:r>
        <w:rPr>
          <w:rFonts w:hint="eastAsia" w:ascii="宋体" w:hAnsi="宋体" w:eastAsia="仿宋"/>
          <w:color w:val="auto"/>
          <w:sz w:val="24"/>
          <w:highlight w:val="none"/>
        </w:rPr>
        <w:t xml:space="preserve"> 投标文件应按</w:t>
      </w:r>
      <w:r>
        <w:rPr>
          <w:rFonts w:hint="eastAsia" w:eastAsia="仿宋"/>
          <w:color w:val="auto"/>
          <w:sz w:val="24"/>
          <w:highlight w:val="none"/>
        </w:rPr>
        <w:t>招标文件</w:t>
      </w:r>
      <w:r>
        <w:rPr>
          <w:rFonts w:hint="eastAsia" w:ascii="宋体" w:hAnsi="宋体" w:eastAsia="仿宋"/>
          <w:color w:val="auto"/>
          <w:sz w:val="24"/>
          <w:highlight w:val="none"/>
        </w:rPr>
        <w:t>规定格式进行编写，如有必要，可以增加附页、扩展表格，作为投标文件的组成部分。</w:t>
      </w:r>
    </w:p>
    <w:p w14:paraId="2CB1FAC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w:t>
      </w:r>
      <w:r>
        <w:rPr>
          <w:rFonts w:ascii="宋体" w:hAnsi="宋体" w:eastAsia="仿宋"/>
          <w:color w:val="auto"/>
          <w:sz w:val="24"/>
          <w:highlight w:val="none"/>
        </w:rPr>
        <w:t>.2</w:t>
      </w:r>
      <w:r>
        <w:rPr>
          <w:rFonts w:hint="eastAsia" w:ascii="宋体" w:hAnsi="宋体" w:eastAsia="仿宋"/>
          <w:color w:val="auto"/>
          <w:sz w:val="24"/>
          <w:highlight w:val="none"/>
        </w:rPr>
        <w:t xml:space="preserve"> 投标文件应当对招标文件有关采购需求、交付（实施）的时间（期限）、交付（实施）的地点（范围）、质保期、技术与服务要求、投标报价要求、投标有效期、付款方式、合同条款等实质性</w:t>
      </w:r>
      <w:r>
        <w:rPr>
          <w:rFonts w:hint="eastAsia" w:eastAsia="仿宋"/>
          <w:color w:val="auto"/>
          <w:sz w:val="24"/>
          <w:highlight w:val="none"/>
        </w:rPr>
        <w:t>内容</w:t>
      </w:r>
      <w:r>
        <w:rPr>
          <w:rFonts w:hint="eastAsia" w:ascii="宋体" w:hAnsi="宋体" w:eastAsia="仿宋"/>
          <w:color w:val="auto"/>
          <w:sz w:val="24"/>
          <w:highlight w:val="none"/>
        </w:rPr>
        <w:t>作出响应。投标文件在满足招标文件实质性要求的基础上，可以提出比招标文件要求更有利于采购人的承诺。</w:t>
      </w:r>
    </w:p>
    <w:p w14:paraId="1290238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3.7.3 投标人必须对其提交的资料的真实性负责，并接受采购人对其中任何资料进一步审查的要求。</w:t>
      </w:r>
    </w:p>
    <w:p w14:paraId="64F92304">
      <w:pPr>
        <w:widowControl/>
        <w:adjustRightInd w:val="0"/>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3.7.</w:t>
      </w:r>
      <w:r>
        <w:rPr>
          <w:rFonts w:hint="eastAsia" w:ascii="宋体" w:hAnsi="宋体" w:eastAsia="仿宋"/>
          <w:color w:val="auto"/>
          <w:sz w:val="24"/>
          <w:highlight w:val="none"/>
        </w:rPr>
        <w:t>4 投标文件的制作应满足以下规定：</w:t>
      </w:r>
    </w:p>
    <w:p w14:paraId="4AD3AC0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）投标文件由投标人使用</w:t>
      </w:r>
      <w:r>
        <w:rPr>
          <w:rFonts w:ascii="宋体" w:hAnsi="宋体" w:eastAsia="仿宋"/>
          <w:color w:val="auto"/>
          <w:sz w:val="24"/>
          <w:highlight w:val="none"/>
        </w:rPr>
        <w:t>“</w:t>
      </w:r>
      <w:r>
        <w:rPr>
          <w:rFonts w:hint="eastAsia" w:ascii="宋体" w:hAnsi="宋体" w:eastAsia="仿宋"/>
          <w:color w:val="auto"/>
          <w:sz w:val="24"/>
          <w:highlight w:val="none"/>
        </w:rPr>
        <w:t>电子交易平台</w:t>
      </w:r>
      <w:r>
        <w:rPr>
          <w:rFonts w:ascii="宋体" w:hAnsi="宋体" w:eastAsia="仿宋"/>
          <w:color w:val="auto"/>
          <w:sz w:val="24"/>
          <w:highlight w:val="none"/>
        </w:rPr>
        <w:t>”</w:t>
      </w:r>
      <w:r>
        <w:rPr>
          <w:rFonts w:hint="eastAsia" w:ascii="宋体" w:hAnsi="宋体" w:eastAsia="仿宋"/>
          <w:color w:val="auto"/>
          <w:sz w:val="24"/>
          <w:highlight w:val="none"/>
        </w:rPr>
        <w:t>自带的</w:t>
      </w:r>
      <w:r>
        <w:rPr>
          <w:rFonts w:ascii="宋体" w:hAnsi="宋体" w:eastAsia="仿宋"/>
          <w:color w:val="auto"/>
          <w:sz w:val="24"/>
          <w:highlight w:val="none"/>
        </w:rPr>
        <w:t>“</w:t>
      </w:r>
      <w:r>
        <w:rPr>
          <w:rFonts w:hint="eastAsia" w:ascii="宋体" w:hAnsi="宋体" w:eastAsia="仿宋"/>
          <w:color w:val="auto"/>
          <w:sz w:val="24"/>
          <w:highlight w:val="none"/>
        </w:rPr>
        <w:t>投标文件制作工具</w:t>
      </w:r>
      <w:r>
        <w:rPr>
          <w:rFonts w:ascii="宋体" w:hAnsi="宋体" w:eastAsia="仿宋"/>
          <w:color w:val="auto"/>
          <w:sz w:val="24"/>
          <w:highlight w:val="none"/>
        </w:rPr>
        <w:t>”</w:t>
      </w:r>
      <w:r>
        <w:rPr>
          <w:rFonts w:hint="eastAsia" w:ascii="宋体" w:hAnsi="宋体" w:eastAsia="仿宋"/>
          <w:color w:val="auto"/>
          <w:sz w:val="24"/>
          <w:highlight w:val="none"/>
        </w:rPr>
        <w:t>制作生成，详见投标人须知前附表规定。</w:t>
      </w:r>
    </w:p>
    <w:p w14:paraId="0724AD4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）投标人在编制投标文件时应建立分级目录，并按照标签提示导入相关内容。</w:t>
      </w:r>
    </w:p>
    <w:p w14:paraId="7780571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（3）除投标人须知前附表另有规定外，</w:t>
      </w:r>
      <w:r>
        <w:rPr>
          <w:rFonts w:ascii="宋体" w:hAnsi="宋体" w:eastAsia="仿宋"/>
          <w:color w:val="auto"/>
          <w:sz w:val="24"/>
          <w:highlight w:val="none"/>
        </w:rPr>
        <w:t>投标文件</w:t>
      </w:r>
      <w:r>
        <w:rPr>
          <w:rFonts w:hint="eastAsia" w:ascii="宋体" w:hAnsi="宋体" w:eastAsia="仿宋"/>
          <w:color w:val="auto"/>
          <w:sz w:val="24"/>
          <w:highlight w:val="none"/>
        </w:rPr>
        <w:t>中证明资料的</w:t>
      </w:r>
      <w:r>
        <w:rPr>
          <w:rFonts w:ascii="宋体" w:hAnsi="宋体" w:eastAsia="仿宋"/>
          <w:color w:val="auto"/>
          <w:sz w:val="24"/>
          <w:highlight w:val="none"/>
        </w:rPr>
        <w:t>“</w:t>
      </w:r>
      <w:r>
        <w:rPr>
          <w:rFonts w:hint="eastAsia" w:ascii="宋体" w:hAnsi="宋体" w:eastAsia="仿宋"/>
          <w:color w:val="auto"/>
          <w:sz w:val="24"/>
          <w:highlight w:val="none"/>
        </w:rPr>
        <w:t>复印件</w:t>
      </w:r>
      <w:r>
        <w:rPr>
          <w:rFonts w:ascii="宋体" w:hAnsi="宋体" w:eastAsia="仿宋"/>
          <w:color w:val="auto"/>
          <w:sz w:val="24"/>
          <w:highlight w:val="none"/>
        </w:rPr>
        <w:t>”均为原件扫描件。</w:t>
      </w:r>
    </w:p>
    <w:p w14:paraId="35D78D1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w:t>
      </w:r>
      <w:r>
        <w:rPr>
          <w:rFonts w:ascii="宋体" w:hAnsi="宋体" w:eastAsia="仿宋"/>
          <w:color w:val="auto"/>
          <w:sz w:val="24"/>
          <w:highlight w:val="none"/>
        </w:rPr>
        <w:t>“</w:t>
      </w:r>
      <w:r>
        <w:rPr>
          <w:rFonts w:hint="eastAsia" w:ascii="宋体" w:hAnsi="宋体" w:eastAsia="仿宋"/>
          <w:color w:val="auto"/>
          <w:sz w:val="24"/>
          <w:highlight w:val="none"/>
        </w:rPr>
        <w:t>投标文件格式</w:t>
      </w:r>
      <w:r>
        <w:rPr>
          <w:rFonts w:ascii="宋体" w:hAnsi="宋体" w:eastAsia="仿宋"/>
          <w:color w:val="auto"/>
          <w:sz w:val="24"/>
          <w:highlight w:val="none"/>
        </w:rPr>
        <w:t>”</w:t>
      </w:r>
      <w:r>
        <w:rPr>
          <w:rFonts w:hint="eastAsia" w:ascii="宋体" w:hAnsi="宋体" w:eastAsia="仿宋"/>
          <w:color w:val="auto"/>
          <w:sz w:val="24"/>
          <w:highlight w:val="none"/>
        </w:rPr>
        <w:t>中要求盖单位章和（或）签字的地方，投标人均应使用</w:t>
      </w:r>
      <w:r>
        <w:rPr>
          <w:rFonts w:ascii="宋体" w:hAnsi="宋体" w:eastAsia="仿宋"/>
          <w:color w:val="auto"/>
          <w:sz w:val="24"/>
          <w:highlight w:val="none"/>
        </w:rPr>
        <w:t xml:space="preserve">CA </w:t>
      </w:r>
      <w:r>
        <w:rPr>
          <w:rFonts w:hint="eastAsia" w:ascii="宋体" w:hAnsi="宋体" w:eastAsia="仿宋"/>
          <w:color w:val="auto"/>
          <w:sz w:val="24"/>
          <w:highlight w:val="none"/>
        </w:rPr>
        <w:t>数字证书加盖投标人的单位电子印章和（或）法定代表人的个人电子印章或电子签名章。联合体投标的，投标文件由联合体牵头人按上述规定加盖联合体牵头人单位电子印章和（或）法定代表人的个人电子印章或电子签名章。</w:t>
      </w:r>
    </w:p>
    <w:p w14:paraId="1B6A96A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（5）投标文件制作完成后，投标人应使用</w:t>
      </w:r>
      <w:r>
        <w:rPr>
          <w:rFonts w:ascii="宋体" w:hAnsi="宋体" w:eastAsia="仿宋"/>
          <w:color w:val="auto"/>
          <w:sz w:val="24"/>
          <w:highlight w:val="none"/>
        </w:rPr>
        <w:t xml:space="preserve">CA </w:t>
      </w:r>
      <w:r>
        <w:rPr>
          <w:rFonts w:hint="eastAsia" w:ascii="宋体" w:hAnsi="宋体" w:eastAsia="仿宋"/>
          <w:color w:val="auto"/>
          <w:sz w:val="24"/>
          <w:highlight w:val="none"/>
        </w:rPr>
        <w:t>数字证书对投标文件进行文件加密，形成加密的投标文件、非加密的投标文件，非加密的投标文件提交形式见投标人须知前附表规定。</w:t>
      </w:r>
    </w:p>
    <w:p w14:paraId="78845F2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（6）投标文件制作的具体方法详见</w:t>
      </w:r>
      <w:r>
        <w:rPr>
          <w:rFonts w:ascii="宋体" w:hAnsi="宋体" w:eastAsia="仿宋"/>
          <w:color w:val="auto"/>
          <w:sz w:val="24"/>
          <w:highlight w:val="none"/>
        </w:rPr>
        <w:t>“</w:t>
      </w:r>
      <w:r>
        <w:rPr>
          <w:rFonts w:hint="eastAsia" w:ascii="宋体" w:hAnsi="宋体" w:eastAsia="仿宋"/>
          <w:color w:val="auto"/>
          <w:sz w:val="24"/>
          <w:highlight w:val="none"/>
        </w:rPr>
        <w:t>投标文件制作工具</w:t>
      </w:r>
      <w:r>
        <w:rPr>
          <w:rFonts w:ascii="宋体" w:hAnsi="宋体" w:eastAsia="仿宋"/>
          <w:color w:val="auto"/>
          <w:sz w:val="24"/>
          <w:highlight w:val="none"/>
        </w:rPr>
        <w:t>”</w:t>
      </w:r>
      <w:r>
        <w:rPr>
          <w:rFonts w:hint="eastAsia" w:ascii="宋体" w:hAnsi="宋体" w:eastAsia="仿宋"/>
          <w:color w:val="auto"/>
          <w:sz w:val="24"/>
          <w:highlight w:val="none"/>
        </w:rPr>
        <w:t>中的帮助文档。</w:t>
      </w:r>
    </w:p>
    <w:p w14:paraId="35FA9975">
      <w:pPr>
        <w:widowControl/>
        <w:adjustRightInd w:val="0"/>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3.7.</w:t>
      </w:r>
      <w:r>
        <w:rPr>
          <w:rFonts w:hint="eastAsia" w:ascii="宋体" w:hAnsi="宋体" w:eastAsia="仿宋"/>
          <w:color w:val="auto"/>
          <w:sz w:val="24"/>
          <w:highlight w:val="none"/>
        </w:rPr>
        <w:t>5</w:t>
      </w:r>
      <w:r>
        <w:rPr>
          <w:rFonts w:ascii="宋体" w:hAnsi="宋体" w:eastAsia="仿宋"/>
          <w:color w:val="auto"/>
          <w:sz w:val="24"/>
          <w:highlight w:val="none"/>
        </w:rPr>
        <w:t xml:space="preserve"> </w:t>
      </w:r>
      <w:r>
        <w:rPr>
          <w:rFonts w:hint="eastAsia" w:ascii="宋体" w:hAnsi="宋体" w:eastAsia="仿宋"/>
          <w:color w:val="auto"/>
          <w:sz w:val="24"/>
          <w:highlight w:val="none"/>
        </w:rPr>
        <w:t>因投标人自身原因而导致投标文件无法导入</w:t>
      </w:r>
      <w:r>
        <w:rPr>
          <w:rFonts w:ascii="宋体" w:hAnsi="宋体" w:eastAsia="仿宋"/>
          <w:color w:val="auto"/>
          <w:sz w:val="24"/>
          <w:highlight w:val="none"/>
        </w:rPr>
        <w:t>“</w:t>
      </w:r>
      <w:r>
        <w:rPr>
          <w:rFonts w:hint="eastAsia" w:ascii="宋体" w:hAnsi="宋体" w:eastAsia="仿宋"/>
          <w:color w:val="auto"/>
          <w:sz w:val="24"/>
          <w:highlight w:val="none"/>
        </w:rPr>
        <w:t>电子交易平台</w:t>
      </w:r>
      <w:r>
        <w:rPr>
          <w:rFonts w:ascii="宋体" w:hAnsi="宋体" w:eastAsia="仿宋"/>
          <w:color w:val="auto"/>
          <w:sz w:val="24"/>
          <w:highlight w:val="none"/>
        </w:rPr>
        <w:t>”</w:t>
      </w:r>
      <w:r>
        <w:rPr>
          <w:rFonts w:hint="eastAsia" w:ascii="宋体" w:hAnsi="宋体" w:eastAsia="仿宋"/>
          <w:color w:val="auto"/>
          <w:sz w:val="24"/>
          <w:highlight w:val="none"/>
        </w:rPr>
        <w:t>电子开标、评标系统，该投标视为无效投标，投标人自行承担由此导致的全部责任。</w:t>
      </w:r>
    </w:p>
    <w:p w14:paraId="3D87CEA5">
      <w:pPr>
        <w:pStyle w:val="3"/>
        <w:rPr>
          <w:rStyle w:val="23"/>
          <w:rFonts w:ascii="宋体" w:hAnsi="宋体" w:eastAsia="仿宋"/>
          <w:b/>
          <w:bCs/>
          <w:color w:val="auto"/>
          <w:sz w:val="24"/>
          <w:szCs w:val="24"/>
          <w:highlight w:val="none"/>
        </w:rPr>
      </w:pPr>
      <w:bookmarkStart w:id="394" w:name="_Toc371415943"/>
      <w:bookmarkStart w:id="395" w:name="_Toc152042331"/>
      <w:bookmarkStart w:id="396" w:name="_Toc455587058"/>
      <w:bookmarkStart w:id="397" w:name="_Toc342296188"/>
      <w:bookmarkStart w:id="398" w:name="_Toc144974523"/>
      <w:bookmarkStart w:id="399" w:name="_Toc458504842"/>
      <w:bookmarkStart w:id="400" w:name="_Toc338943726"/>
      <w:bookmarkStart w:id="401" w:name="_Toc338944631"/>
      <w:bookmarkStart w:id="402" w:name="_Toc333599685"/>
      <w:bookmarkStart w:id="403" w:name="_Toc333600709"/>
      <w:bookmarkStart w:id="404" w:name="_Toc445554715"/>
      <w:bookmarkStart w:id="405" w:name="_Toc455587242"/>
      <w:bookmarkStart w:id="406" w:name="_Toc342297645"/>
      <w:bookmarkStart w:id="407" w:name="_Toc152045555"/>
      <w:bookmarkStart w:id="408" w:name="_Toc179632573"/>
      <w:bookmarkStart w:id="409" w:name="_Toc466024524"/>
      <w:bookmarkStart w:id="410" w:name="_Toc342294740"/>
      <w:r>
        <w:rPr>
          <w:rStyle w:val="23"/>
          <w:rFonts w:hint="eastAsia" w:ascii="宋体" w:hAnsi="宋体" w:eastAsia="仿宋"/>
          <w:b/>
          <w:bCs/>
          <w:color w:val="auto"/>
          <w:sz w:val="24"/>
          <w:szCs w:val="24"/>
          <w:highlight w:val="none"/>
        </w:rPr>
        <w:t>4. 投标</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4B9E10FB">
      <w:pPr>
        <w:pStyle w:val="4"/>
        <w:adjustRightInd w:val="0"/>
        <w:ind w:firstLine="482" w:firstLineChars="200"/>
        <w:rPr>
          <w:rFonts w:eastAsia="仿宋"/>
          <w:color w:val="auto"/>
          <w:sz w:val="24"/>
          <w:highlight w:val="none"/>
          <w:lang w:eastAsia="zh-CN"/>
        </w:rPr>
      </w:pPr>
      <w:bookmarkStart w:id="411" w:name="_Toc455587243"/>
      <w:bookmarkStart w:id="412" w:name="_Toc342296189"/>
      <w:bookmarkStart w:id="413" w:name="_Toc342294741"/>
      <w:bookmarkStart w:id="414" w:name="_Toc455587059"/>
      <w:bookmarkStart w:id="415" w:name="_Toc333587880"/>
      <w:bookmarkStart w:id="416" w:name="_Toc458504843"/>
      <w:bookmarkStart w:id="417" w:name="_Toc333600710"/>
      <w:bookmarkStart w:id="418" w:name="_Toc342297646"/>
      <w:bookmarkStart w:id="419" w:name="_Toc371415944"/>
      <w:bookmarkStart w:id="420" w:name="_Toc152045556"/>
      <w:bookmarkStart w:id="421" w:name="_Toc445554716"/>
      <w:bookmarkStart w:id="422" w:name="_Toc152042332"/>
      <w:bookmarkStart w:id="423" w:name="_Toc338943727"/>
      <w:bookmarkStart w:id="424" w:name="_Toc179632574"/>
      <w:bookmarkStart w:id="425" w:name="_Toc144974524"/>
      <w:bookmarkStart w:id="426" w:name="_Toc333599686"/>
      <w:bookmarkStart w:id="427" w:name="_Toc466024525"/>
      <w:bookmarkStart w:id="428" w:name="_Toc338944632"/>
      <w:r>
        <w:rPr>
          <w:rFonts w:hint="eastAsia" w:eastAsia="仿宋"/>
          <w:color w:val="auto"/>
          <w:sz w:val="24"/>
          <w:highlight w:val="none"/>
          <w:lang w:eastAsia="zh-CN"/>
        </w:rPr>
        <w:t>4.1 投标文件的加密</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3E3E9BE3">
      <w:pPr>
        <w:widowControl/>
        <w:adjustRightInd w:val="0"/>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4.1.1</w:t>
      </w:r>
      <w:r>
        <w:rPr>
          <w:rFonts w:hint="eastAsia" w:ascii="宋体" w:hAnsi="宋体" w:eastAsia="仿宋"/>
          <w:color w:val="auto"/>
          <w:sz w:val="24"/>
          <w:highlight w:val="none"/>
        </w:rPr>
        <w:t xml:space="preserve"> </w:t>
      </w:r>
      <w:r>
        <w:rPr>
          <w:rFonts w:ascii="宋体" w:hAnsi="宋体" w:eastAsia="仿宋"/>
          <w:color w:val="auto"/>
          <w:sz w:val="24"/>
          <w:highlight w:val="none"/>
        </w:rPr>
        <w:t>投标人应当按照招标文件和电子交易平台的要求加密投标文件，具体要求见投标人须知前附表。</w:t>
      </w:r>
    </w:p>
    <w:p w14:paraId="4F85C47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4.1.2 未按照上述要求加密的投标文件，电子交易平台将予以拒收。</w:t>
      </w:r>
    </w:p>
    <w:p w14:paraId="776BA826">
      <w:pPr>
        <w:pStyle w:val="4"/>
        <w:adjustRightInd w:val="0"/>
        <w:ind w:firstLine="482" w:firstLineChars="200"/>
        <w:rPr>
          <w:rFonts w:eastAsia="仿宋"/>
          <w:color w:val="auto"/>
          <w:sz w:val="24"/>
          <w:highlight w:val="none"/>
          <w:lang w:eastAsia="zh-CN"/>
        </w:rPr>
      </w:pPr>
      <w:bookmarkStart w:id="429" w:name="_Toc455587244"/>
      <w:bookmarkStart w:id="430" w:name="_Toc455587060"/>
      <w:bookmarkStart w:id="431" w:name="_Toc466024526"/>
      <w:bookmarkStart w:id="432" w:name="_Toc445554717"/>
      <w:bookmarkStart w:id="433" w:name="_Toc458504844"/>
      <w:bookmarkStart w:id="434" w:name="_Toc371415945"/>
      <w:r>
        <w:rPr>
          <w:rFonts w:hint="eastAsia" w:eastAsia="仿宋"/>
          <w:color w:val="auto"/>
          <w:sz w:val="24"/>
          <w:highlight w:val="none"/>
          <w:lang w:eastAsia="zh-CN"/>
        </w:rPr>
        <w:t>4.2 投标文件的递交</w:t>
      </w:r>
      <w:bookmarkEnd w:id="429"/>
      <w:bookmarkEnd w:id="430"/>
      <w:bookmarkEnd w:id="431"/>
      <w:bookmarkEnd w:id="432"/>
      <w:bookmarkEnd w:id="433"/>
      <w:bookmarkEnd w:id="434"/>
    </w:p>
    <w:p w14:paraId="539ED9EE">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 xml:space="preserve">4.2.1 </w:t>
      </w:r>
      <w:r>
        <w:rPr>
          <w:rFonts w:eastAsia="仿宋"/>
          <w:color w:val="auto"/>
          <w:sz w:val="24"/>
          <w:highlight w:val="none"/>
        </w:rPr>
        <w:t>投标人应在</w:t>
      </w:r>
      <w:r>
        <w:rPr>
          <w:rFonts w:hint="eastAsia" w:eastAsia="仿宋"/>
          <w:color w:val="auto"/>
          <w:sz w:val="24"/>
          <w:highlight w:val="none"/>
        </w:rPr>
        <w:t>招标公告规定的</w:t>
      </w:r>
      <w:r>
        <w:rPr>
          <w:rFonts w:eastAsia="仿宋"/>
          <w:color w:val="auto"/>
          <w:sz w:val="24"/>
          <w:highlight w:val="none"/>
        </w:rPr>
        <w:t>投标截止时间前递交投标文件。</w:t>
      </w:r>
    </w:p>
    <w:p w14:paraId="1D7740FB">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olor w:val="auto"/>
          <w:sz w:val="24"/>
          <w:highlight w:val="none"/>
        </w:rPr>
        <w:t>4.2.2</w:t>
      </w:r>
      <w:r>
        <w:rPr>
          <w:rFonts w:hint="eastAsia" w:eastAsia="仿宋"/>
          <w:color w:val="auto"/>
          <w:sz w:val="24"/>
          <w:highlight w:val="none"/>
        </w:rPr>
        <w:t xml:space="preserve"> 投标人应当通过电子交易平台递交投标文件。投标人应充分考虑上传文件时的不可预见因素，未在投标截止时间前完成上传的，视为逾期送达，采购人（</w:t>
      </w:r>
      <w:r>
        <w:rPr>
          <w:rFonts w:eastAsia="仿宋"/>
          <w:color w:val="auto"/>
          <w:sz w:val="24"/>
          <w:highlight w:val="none"/>
        </w:rPr>
        <w:t>“</w:t>
      </w:r>
      <w:r>
        <w:rPr>
          <w:rFonts w:hint="eastAsia" w:eastAsia="仿宋"/>
          <w:color w:val="auto"/>
          <w:sz w:val="24"/>
          <w:highlight w:val="none"/>
        </w:rPr>
        <w:t>电子交易平台</w:t>
      </w:r>
      <w:r>
        <w:rPr>
          <w:rFonts w:eastAsia="仿宋"/>
          <w:color w:val="auto"/>
          <w:sz w:val="24"/>
          <w:highlight w:val="none"/>
        </w:rPr>
        <w:t>”</w:t>
      </w:r>
      <w:r>
        <w:rPr>
          <w:rFonts w:hint="eastAsia" w:eastAsia="仿宋"/>
          <w:color w:val="auto"/>
          <w:sz w:val="24"/>
          <w:highlight w:val="none"/>
        </w:rPr>
        <w:t>）将拒绝接收。详见投标人须知前附表规定。</w:t>
      </w:r>
    </w:p>
    <w:p w14:paraId="1A43DD65">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olor w:val="auto"/>
          <w:sz w:val="24"/>
          <w:highlight w:val="none"/>
        </w:rPr>
        <w:t>4.2.3</w:t>
      </w:r>
      <w:r>
        <w:rPr>
          <w:rFonts w:hint="eastAsia" w:eastAsia="仿宋"/>
          <w:color w:val="auto"/>
          <w:sz w:val="24"/>
          <w:highlight w:val="none"/>
        </w:rPr>
        <w:t xml:space="preserve"> 除投标人须知前附表另有规定外，投标人所递交的投标文件不予退还。</w:t>
      </w:r>
    </w:p>
    <w:p w14:paraId="2422AB54">
      <w:pPr>
        <w:pStyle w:val="4"/>
        <w:adjustRightInd w:val="0"/>
        <w:ind w:firstLine="482" w:firstLineChars="200"/>
        <w:rPr>
          <w:rFonts w:eastAsia="仿宋"/>
          <w:color w:val="auto"/>
          <w:sz w:val="24"/>
          <w:highlight w:val="none"/>
          <w:lang w:eastAsia="zh-CN"/>
        </w:rPr>
      </w:pPr>
      <w:bookmarkStart w:id="435" w:name="_Toc371415946"/>
      <w:bookmarkStart w:id="436" w:name="_Toc338943729"/>
      <w:bookmarkStart w:id="437" w:name="_Toc455587061"/>
      <w:bookmarkStart w:id="438" w:name="_Toc152042334"/>
      <w:bookmarkStart w:id="439" w:name="_Toc342296191"/>
      <w:bookmarkStart w:id="440" w:name="_Toc445554718"/>
      <w:bookmarkStart w:id="441" w:name="_Toc144974526"/>
      <w:bookmarkStart w:id="442" w:name="_Toc152045558"/>
      <w:bookmarkStart w:id="443" w:name="_Toc342297648"/>
      <w:bookmarkStart w:id="444" w:name="_Toc342294743"/>
      <w:bookmarkStart w:id="445" w:name="_Toc466024527"/>
      <w:bookmarkStart w:id="446" w:name="_Toc179632576"/>
      <w:bookmarkStart w:id="447" w:name="_Toc333587882"/>
      <w:bookmarkStart w:id="448" w:name="_Toc333599688"/>
      <w:bookmarkStart w:id="449" w:name="_Toc338944634"/>
      <w:bookmarkStart w:id="450" w:name="_Toc455587245"/>
      <w:bookmarkStart w:id="451" w:name="_Toc458504845"/>
      <w:bookmarkStart w:id="452" w:name="_Toc333600712"/>
      <w:r>
        <w:rPr>
          <w:rFonts w:hint="eastAsia" w:eastAsia="仿宋"/>
          <w:color w:val="auto"/>
          <w:sz w:val="24"/>
          <w:highlight w:val="none"/>
          <w:lang w:eastAsia="zh-CN"/>
        </w:rPr>
        <w:t>4.3 投标文件的修改与撤回</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1E3037E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4.3</w:t>
      </w:r>
      <w:r>
        <w:rPr>
          <w:rFonts w:ascii="宋体" w:hAnsi="宋体" w:eastAsia="仿宋"/>
          <w:color w:val="auto"/>
          <w:sz w:val="24"/>
          <w:highlight w:val="none"/>
        </w:rPr>
        <w:t>.1</w:t>
      </w:r>
      <w:r>
        <w:rPr>
          <w:rFonts w:hint="eastAsia" w:ascii="宋体" w:hAnsi="宋体" w:eastAsia="仿宋"/>
          <w:color w:val="auto"/>
          <w:sz w:val="24"/>
          <w:highlight w:val="none"/>
        </w:rPr>
        <w:t xml:space="preserve"> 在规定的投标截止时间前，投标人可以补充、修改或撤回已递交的投标文件，但应以书面形式通知采购人。</w:t>
      </w:r>
    </w:p>
    <w:p w14:paraId="037BD2E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4.3.2 投标人修改或撤回已递交投标文件的通知，应按照本章第3.7.4项的要求加盖电子印章。电子交易平台收到通知后，即时向投标人发出确认回执通知。</w:t>
      </w:r>
    </w:p>
    <w:p w14:paraId="68255BA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4.3.3 投标人撤回投标文件的，</w:t>
      </w:r>
      <w:r>
        <w:rPr>
          <w:rFonts w:hint="eastAsia" w:eastAsia="仿宋"/>
          <w:color w:val="auto"/>
          <w:sz w:val="24"/>
          <w:highlight w:val="none"/>
        </w:rPr>
        <w:t>采购</w:t>
      </w:r>
      <w:r>
        <w:rPr>
          <w:rFonts w:hint="eastAsia" w:ascii="宋体" w:hAnsi="宋体" w:eastAsia="仿宋"/>
          <w:color w:val="auto"/>
          <w:sz w:val="24"/>
          <w:highlight w:val="none"/>
        </w:rPr>
        <w:t>人自收到投标人书面撤回通知之日起5日内退还已收取的投标保证金。</w:t>
      </w:r>
    </w:p>
    <w:p w14:paraId="015D7BA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4.3.4 补充、修改的内容为投标文件的组成部分，只需提供一份。补充、修改的投标文件应按照本章第3条、第4条的规定进行编制、加密、标记和递交，并标明“补充”或“修改”字样。</w:t>
      </w:r>
    </w:p>
    <w:p w14:paraId="3FCE8E1B">
      <w:pPr>
        <w:pStyle w:val="3"/>
        <w:rPr>
          <w:rStyle w:val="23"/>
          <w:rFonts w:hint="eastAsia" w:ascii="宋体" w:hAnsi="宋体" w:eastAsia="仿宋"/>
          <w:b/>
          <w:bCs/>
          <w:color w:val="auto"/>
          <w:sz w:val="24"/>
          <w:szCs w:val="24"/>
          <w:highlight w:val="none"/>
        </w:rPr>
      </w:pPr>
      <w:bookmarkStart w:id="453" w:name="_Toc333600713"/>
      <w:bookmarkStart w:id="454" w:name="_Toc333599689"/>
      <w:bookmarkStart w:id="455" w:name="_Toc338943730"/>
      <w:bookmarkStart w:id="456" w:name="_Toc342294744"/>
      <w:bookmarkStart w:id="457" w:name="_Toc144974527"/>
      <w:bookmarkStart w:id="458" w:name="_Toc342296192"/>
      <w:bookmarkStart w:id="459" w:name="_Toc371415947"/>
      <w:bookmarkStart w:id="460" w:name="_Toc455587062"/>
      <w:bookmarkStart w:id="461" w:name="_Toc458504846"/>
      <w:bookmarkStart w:id="462" w:name="_Toc466024528"/>
      <w:bookmarkStart w:id="463" w:name="_Toc342297649"/>
      <w:bookmarkStart w:id="464" w:name="_Toc455587246"/>
      <w:bookmarkStart w:id="465" w:name="_Toc152045559"/>
      <w:bookmarkStart w:id="466" w:name="_Toc179632577"/>
      <w:bookmarkStart w:id="467" w:name="_Toc445554719"/>
      <w:bookmarkStart w:id="468" w:name="_Toc152042335"/>
      <w:bookmarkStart w:id="469" w:name="_Toc338944635"/>
      <w:r>
        <w:rPr>
          <w:rStyle w:val="23"/>
          <w:rFonts w:hint="eastAsia" w:ascii="宋体" w:hAnsi="宋体" w:eastAsia="仿宋"/>
          <w:b/>
          <w:bCs/>
          <w:color w:val="auto"/>
          <w:sz w:val="24"/>
          <w:szCs w:val="24"/>
          <w:highlight w:val="none"/>
        </w:rPr>
        <w:t>5. 开标</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442216AB">
      <w:pPr>
        <w:pStyle w:val="4"/>
        <w:adjustRightInd w:val="0"/>
        <w:ind w:firstLine="482" w:firstLineChars="200"/>
        <w:rPr>
          <w:rFonts w:eastAsia="仿宋"/>
          <w:color w:val="auto"/>
          <w:sz w:val="24"/>
          <w:highlight w:val="none"/>
          <w:lang w:eastAsia="zh-CN"/>
        </w:rPr>
      </w:pPr>
      <w:bookmarkStart w:id="470" w:name="_Toc333587884"/>
      <w:bookmarkStart w:id="471" w:name="_Toc371415948"/>
      <w:bookmarkStart w:id="472" w:name="_Toc342297650"/>
      <w:bookmarkStart w:id="473" w:name="_Toc445554720"/>
      <w:bookmarkStart w:id="474" w:name="_Toc466024529"/>
      <w:bookmarkStart w:id="475" w:name="_Toc455587063"/>
      <w:bookmarkStart w:id="476" w:name="_Toc333600714"/>
      <w:bookmarkStart w:id="477" w:name="_Toc144974528"/>
      <w:bookmarkStart w:id="478" w:name="_Toc342296193"/>
      <w:bookmarkStart w:id="479" w:name="_Toc333599690"/>
      <w:bookmarkStart w:id="480" w:name="_Toc152045560"/>
      <w:bookmarkStart w:id="481" w:name="_Toc338944636"/>
      <w:bookmarkStart w:id="482" w:name="_Toc458504847"/>
      <w:bookmarkStart w:id="483" w:name="_Toc342294745"/>
      <w:bookmarkStart w:id="484" w:name="_Toc152042336"/>
      <w:bookmarkStart w:id="485" w:name="_Toc338943731"/>
      <w:bookmarkStart w:id="486" w:name="_Toc455587247"/>
      <w:bookmarkStart w:id="487" w:name="_Toc179632578"/>
      <w:r>
        <w:rPr>
          <w:rFonts w:hint="eastAsia" w:eastAsia="仿宋"/>
          <w:color w:val="auto"/>
          <w:sz w:val="24"/>
          <w:highlight w:val="none"/>
          <w:lang w:eastAsia="zh-CN"/>
        </w:rPr>
        <w:t xml:space="preserve">5.1 </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Fonts w:hint="eastAsia" w:eastAsia="仿宋"/>
          <w:color w:val="auto"/>
          <w:sz w:val="24"/>
          <w:highlight w:val="none"/>
          <w:lang w:eastAsia="zh-CN"/>
        </w:rPr>
        <w:t>开标时间和地点</w:t>
      </w:r>
    </w:p>
    <w:p w14:paraId="140032E8">
      <w:pPr>
        <w:widowControl/>
        <w:adjustRightInd w:val="0"/>
        <w:snapToGrid w:val="0"/>
        <w:spacing w:line="360" w:lineRule="auto"/>
        <w:ind w:firstLine="480" w:firstLineChars="200"/>
        <w:rPr>
          <w:rFonts w:eastAsia="仿宋"/>
          <w:color w:val="auto"/>
          <w:sz w:val="24"/>
          <w:highlight w:val="none"/>
        </w:rPr>
      </w:pPr>
      <w:r>
        <w:rPr>
          <w:rFonts w:hint="eastAsia" w:eastAsia="仿宋"/>
          <w:color w:val="auto"/>
          <w:sz w:val="24"/>
          <w:highlight w:val="none"/>
        </w:rPr>
        <w:t>采购</w:t>
      </w:r>
      <w:r>
        <w:rPr>
          <w:rFonts w:eastAsia="仿宋"/>
          <w:color w:val="auto"/>
          <w:sz w:val="24"/>
          <w:highlight w:val="none"/>
        </w:rPr>
        <w:t>人在</w:t>
      </w:r>
      <w:r>
        <w:rPr>
          <w:rFonts w:hint="eastAsia" w:eastAsia="仿宋"/>
          <w:color w:val="auto"/>
          <w:sz w:val="24"/>
          <w:highlight w:val="none"/>
        </w:rPr>
        <w:t>招标公告规定的</w:t>
      </w:r>
      <w:r>
        <w:rPr>
          <w:rFonts w:eastAsia="仿宋"/>
          <w:color w:val="auto"/>
          <w:sz w:val="24"/>
          <w:highlight w:val="none"/>
        </w:rPr>
        <w:t>开标时间</w:t>
      </w:r>
      <w:r>
        <w:rPr>
          <w:rFonts w:hint="eastAsia" w:eastAsia="仿宋"/>
          <w:color w:val="auto"/>
          <w:sz w:val="24"/>
          <w:highlight w:val="none"/>
        </w:rPr>
        <w:t>和开标地点，</w:t>
      </w:r>
      <w:r>
        <w:rPr>
          <w:rFonts w:eastAsia="仿宋"/>
          <w:color w:val="auto"/>
          <w:sz w:val="24"/>
          <w:highlight w:val="none"/>
        </w:rPr>
        <w:t>通过电子招标投标交易平台公开开标，所有投标人的法定代表人</w:t>
      </w:r>
      <w:r>
        <w:rPr>
          <w:rFonts w:hint="eastAsia" w:eastAsia="仿宋"/>
          <w:color w:val="auto"/>
          <w:sz w:val="24"/>
          <w:highlight w:val="none"/>
        </w:rPr>
        <w:t>（单位负责人）</w:t>
      </w:r>
      <w:r>
        <w:rPr>
          <w:rFonts w:eastAsia="仿宋"/>
          <w:color w:val="auto"/>
          <w:sz w:val="24"/>
          <w:highlight w:val="none"/>
        </w:rPr>
        <w:t>或其委托代理人应当准时参加。</w:t>
      </w:r>
    </w:p>
    <w:p w14:paraId="1E7ED3A2">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5.2 开标程序</w:t>
      </w:r>
    </w:p>
    <w:p w14:paraId="38543FB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主持人按下列程序进行开标：</w:t>
      </w:r>
    </w:p>
    <w:p w14:paraId="0BAAF38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）宣布开标纪律；</w:t>
      </w:r>
    </w:p>
    <w:p w14:paraId="19DA711D">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）公布在投标截止时间前递交投标文件的投标人名称；</w:t>
      </w:r>
    </w:p>
    <w:p w14:paraId="331F329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3</w:t>
      </w:r>
      <w:r>
        <w:rPr>
          <w:rFonts w:hint="eastAsia" w:ascii="宋体" w:hAnsi="宋体" w:eastAsia="仿宋"/>
          <w:color w:val="auto"/>
          <w:sz w:val="24"/>
          <w:highlight w:val="none"/>
        </w:rPr>
        <w:t>）宣布开标人、唱标人、记录人等有关人员姓名；</w:t>
      </w:r>
    </w:p>
    <w:p w14:paraId="04D406A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（4）按投标人须知前附表规定通过电子招标投标交易平台对已递交的电子投标文件进行解密，公布招标项目名称、投标人名称、投标报价及其他内容，并记录在案；</w:t>
      </w:r>
    </w:p>
    <w:p w14:paraId="3A65028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（5）开标结束。</w:t>
      </w:r>
    </w:p>
    <w:p w14:paraId="219A1634">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5.3 开标疑义</w:t>
      </w:r>
    </w:p>
    <w:p w14:paraId="7FB62BF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2F9657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投标人未参加开标的，视同认可开标结果。</w:t>
      </w:r>
    </w:p>
    <w:p w14:paraId="60F4DA12">
      <w:pPr>
        <w:pStyle w:val="3"/>
        <w:rPr>
          <w:rStyle w:val="23"/>
          <w:rFonts w:hint="eastAsia" w:ascii="宋体" w:hAnsi="宋体" w:eastAsia="仿宋"/>
          <w:b/>
          <w:bCs/>
          <w:color w:val="auto"/>
          <w:sz w:val="24"/>
          <w:szCs w:val="24"/>
          <w:highlight w:val="none"/>
        </w:rPr>
      </w:pPr>
      <w:bookmarkStart w:id="488" w:name="_Toc338944638"/>
      <w:bookmarkStart w:id="489" w:name="_Toc458504849"/>
      <w:bookmarkStart w:id="490" w:name="_Toc179632580"/>
      <w:bookmarkStart w:id="491" w:name="_Toc342296195"/>
      <w:bookmarkStart w:id="492" w:name="_Toc152045562"/>
      <w:bookmarkStart w:id="493" w:name="_Toc445554723"/>
      <w:bookmarkStart w:id="494" w:name="_Toc152042338"/>
      <w:bookmarkStart w:id="495" w:name="_Toc144974530"/>
      <w:bookmarkStart w:id="496" w:name="_Toc466024531"/>
      <w:bookmarkStart w:id="497" w:name="_Toc338943733"/>
      <w:bookmarkStart w:id="498" w:name="_Toc333600716"/>
      <w:bookmarkStart w:id="499" w:name="_Toc333599692"/>
      <w:bookmarkStart w:id="500" w:name="_Toc455587066"/>
      <w:bookmarkStart w:id="501" w:name="_Toc342294747"/>
      <w:bookmarkStart w:id="502" w:name="_Toc455587250"/>
      <w:bookmarkStart w:id="503" w:name="_Toc342297652"/>
      <w:bookmarkStart w:id="504" w:name="_Toc371415950"/>
      <w:r>
        <w:rPr>
          <w:rStyle w:val="23"/>
          <w:rFonts w:hint="eastAsia" w:ascii="宋体" w:hAnsi="宋体" w:eastAsia="仿宋"/>
          <w:b/>
          <w:bCs/>
          <w:color w:val="auto"/>
          <w:sz w:val="24"/>
          <w:szCs w:val="24"/>
          <w:highlight w:val="none"/>
        </w:rPr>
        <w:t>6. 评标</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51C33AA7">
      <w:pPr>
        <w:pStyle w:val="4"/>
        <w:adjustRightInd w:val="0"/>
        <w:ind w:firstLine="482" w:firstLineChars="200"/>
        <w:rPr>
          <w:rFonts w:eastAsia="仿宋"/>
          <w:color w:val="auto"/>
          <w:sz w:val="24"/>
          <w:highlight w:val="none"/>
          <w:lang w:eastAsia="zh-CN"/>
        </w:rPr>
      </w:pPr>
      <w:bookmarkStart w:id="505" w:name="_Toc333600717"/>
      <w:bookmarkStart w:id="506" w:name="_Toc342294748"/>
      <w:bookmarkStart w:id="507" w:name="_Toc144974531"/>
      <w:bookmarkStart w:id="508" w:name="_Toc338943734"/>
      <w:bookmarkStart w:id="509" w:name="_Toc466024532"/>
      <w:bookmarkStart w:id="510" w:name="_Toc333599693"/>
      <w:bookmarkStart w:id="511" w:name="_Toc338944639"/>
      <w:bookmarkStart w:id="512" w:name="_Toc342297653"/>
      <w:bookmarkStart w:id="513" w:name="_Toc342296196"/>
      <w:bookmarkStart w:id="514" w:name="_Toc455587251"/>
      <w:bookmarkStart w:id="515" w:name="_Toc455587067"/>
      <w:bookmarkStart w:id="516" w:name="_Toc179632581"/>
      <w:bookmarkStart w:id="517" w:name="_Toc333587887"/>
      <w:bookmarkStart w:id="518" w:name="_Toc458504850"/>
      <w:bookmarkStart w:id="519" w:name="_Toc152045563"/>
      <w:bookmarkStart w:id="520" w:name="_Toc371415951"/>
      <w:bookmarkStart w:id="521" w:name="_Toc152042339"/>
      <w:bookmarkStart w:id="522" w:name="_Toc445554724"/>
      <w:r>
        <w:rPr>
          <w:rFonts w:hint="eastAsia" w:eastAsia="仿宋"/>
          <w:color w:val="auto"/>
          <w:sz w:val="24"/>
          <w:highlight w:val="none"/>
          <w:lang w:eastAsia="zh-CN"/>
        </w:rPr>
        <w:t>6.1 评标委员会</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73BFD2E6">
      <w:pPr>
        <w:widowControl/>
        <w:adjustRightInd w:val="0"/>
        <w:snapToGrid w:val="0"/>
        <w:spacing w:line="360" w:lineRule="auto"/>
        <w:ind w:firstLine="480" w:firstLineChars="200"/>
        <w:rPr>
          <w:rFonts w:hint="eastAsia" w:ascii="楷体" w:hAnsi="楷体" w:eastAsia="楷体" w:cs="楷体"/>
          <w:i/>
          <w:iCs/>
          <w:color w:val="auto"/>
          <w:sz w:val="24"/>
          <w:highlight w:val="none"/>
          <w:u w:val="single"/>
          <w:lang w:bidi="ar"/>
        </w:rPr>
      </w:pPr>
      <w:r>
        <w:rPr>
          <w:rFonts w:hint="eastAsia" w:ascii="宋体" w:hAnsi="宋体" w:eastAsia="仿宋"/>
          <w:color w:val="auto"/>
          <w:sz w:val="24"/>
          <w:highlight w:val="none"/>
        </w:rPr>
        <w:t>6.1</w:t>
      </w:r>
      <w:r>
        <w:rPr>
          <w:rFonts w:ascii="宋体" w:hAnsi="宋体" w:eastAsia="仿宋"/>
          <w:color w:val="auto"/>
          <w:sz w:val="24"/>
          <w:highlight w:val="none"/>
        </w:rPr>
        <w:t>.1</w:t>
      </w:r>
      <w:r>
        <w:rPr>
          <w:rFonts w:hint="eastAsia" w:ascii="宋体" w:hAnsi="宋体" w:eastAsia="仿宋"/>
          <w:color w:val="auto"/>
          <w:sz w:val="24"/>
          <w:highlight w:val="none"/>
        </w:rPr>
        <w:t xml:space="preserve"> 按照《中华人民共和国政府采购法》《中华人民共和国政府采购法实施条例》及本项目本级和上级财政部门、政府采购监督管理部门的有关规定依法组建的评标委员会，负责本项目评标工作。</w:t>
      </w:r>
      <w:r>
        <w:rPr>
          <w:rFonts w:hint="eastAsia" w:ascii="宋体" w:hAnsi="宋体" w:eastAsia="仿宋" w:cs="Calibri"/>
          <w:color w:val="auto"/>
          <w:sz w:val="24"/>
          <w:highlight w:val="none"/>
          <w:lang w:bidi="ar"/>
        </w:rPr>
        <w:t>评标委员会</w:t>
      </w:r>
      <w:r>
        <w:rPr>
          <w:rFonts w:hint="eastAsia" w:ascii="宋体" w:hAnsi="宋体" w:eastAsia="仿宋"/>
          <w:color w:val="auto"/>
          <w:sz w:val="24"/>
          <w:highlight w:val="none"/>
        </w:rPr>
        <w:t>成员人数应当为5人以上单数，</w:t>
      </w:r>
      <w:r>
        <w:rPr>
          <w:rFonts w:hint="eastAsia" w:ascii="宋体" w:hAnsi="宋体" w:eastAsia="仿宋"/>
          <w:color w:val="auto"/>
          <w:sz w:val="24"/>
          <w:highlight w:val="none"/>
          <w:lang w:bidi="ar"/>
        </w:rPr>
        <w:t>其中采购预算金额在1000万元以上或者技术复杂或者社会影响较大的项目，评标委员会成员人数应当为7人以上单数。</w:t>
      </w:r>
    </w:p>
    <w:p w14:paraId="0698C82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6.1</w:t>
      </w:r>
      <w:r>
        <w:rPr>
          <w:rFonts w:ascii="宋体" w:hAnsi="宋体" w:eastAsia="仿宋"/>
          <w:color w:val="auto"/>
          <w:sz w:val="24"/>
          <w:highlight w:val="none"/>
        </w:rPr>
        <w:t>.2</w:t>
      </w:r>
      <w:r>
        <w:rPr>
          <w:rFonts w:hint="eastAsia" w:ascii="宋体" w:hAnsi="宋体" w:eastAsia="仿宋"/>
          <w:color w:val="auto"/>
          <w:sz w:val="24"/>
          <w:highlight w:val="none"/>
        </w:rPr>
        <w:t xml:space="preserve"> 评标委员会成员有下列情形之一的，应当回避：</w:t>
      </w:r>
    </w:p>
    <w:p w14:paraId="286440A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（1）参加采购活动前三年内，与投标人存在劳动关系，或者担任过投标人的董事、监事，或者是投标人的控股股东或实际控制人；</w:t>
      </w:r>
    </w:p>
    <w:p w14:paraId="7635514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（2）与投标人的法定代表人或者负责人有夫妻、直系血亲、三代以内旁系血亲或者近姻亲关系；</w:t>
      </w:r>
    </w:p>
    <w:p w14:paraId="2CB5DEA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（3）参与本项目进口产品论证的专家；</w:t>
      </w:r>
    </w:p>
    <w:p w14:paraId="0A12672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（4）与投标人有其他可能影响政府采购活动公平、公正进行的关系。</w:t>
      </w:r>
    </w:p>
    <w:p w14:paraId="175A526F">
      <w:pPr>
        <w:widowControl/>
        <w:topLinePunct/>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6.1.3 评标过程中，评标委员会成员有回避事由、擅离职守或者因健康等原因不能继续评标的，采购人有权更换。被更换的评标委员会成员作出的评审结论无效，由更换后的评标委员会成员重新进行评审。</w:t>
      </w:r>
    </w:p>
    <w:p w14:paraId="57F56C19">
      <w:pPr>
        <w:pStyle w:val="4"/>
        <w:adjustRightInd w:val="0"/>
        <w:ind w:firstLine="482" w:firstLineChars="200"/>
        <w:rPr>
          <w:rFonts w:hint="eastAsia" w:eastAsia="楷体_GB2312"/>
          <w:i/>
          <w:color w:val="auto"/>
          <w:sz w:val="24"/>
          <w:highlight w:val="none"/>
          <w:lang w:eastAsia="zh-CN"/>
        </w:rPr>
      </w:pPr>
      <w:bookmarkStart w:id="523" w:name="_Toc144974532"/>
      <w:bookmarkStart w:id="524" w:name="_Toc338944640"/>
      <w:bookmarkStart w:id="525" w:name="_Toc342296197"/>
      <w:bookmarkStart w:id="526" w:name="_Toc455587068"/>
      <w:bookmarkStart w:id="527" w:name="_Toc458504851"/>
      <w:bookmarkStart w:id="528" w:name="_Toc333587888"/>
      <w:bookmarkStart w:id="529" w:name="_Toc342294749"/>
      <w:bookmarkStart w:id="530" w:name="_Toc342297654"/>
      <w:bookmarkStart w:id="531" w:name="_Toc152042340"/>
      <w:bookmarkStart w:id="532" w:name="_Toc455587252"/>
      <w:bookmarkStart w:id="533" w:name="_Toc333599694"/>
      <w:bookmarkStart w:id="534" w:name="_Toc152045564"/>
      <w:bookmarkStart w:id="535" w:name="_Toc338943735"/>
      <w:bookmarkStart w:id="536" w:name="_Toc466024533"/>
      <w:bookmarkStart w:id="537" w:name="_Toc371415952"/>
      <w:bookmarkStart w:id="538" w:name="_Toc333600718"/>
      <w:bookmarkStart w:id="539" w:name="_Toc445554725"/>
      <w:bookmarkStart w:id="540" w:name="_Toc179632582"/>
      <w:r>
        <w:rPr>
          <w:rFonts w:hint="eastAsia" w:eastAsia="仿宋"/>
          <w:color w:val="auto"/>
          <w:sz w:val="24"/>
          <w:highlight w:val="none"/>
          <w:lang w:eastAsia="zh-CN"/>
        </w:rPr>
        <w:t>6.2 评标原则</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1F6AE42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评标委员会应该按照客观、公正、审慎的原则，根据招标文件规定的评审程序、评审方法和评审标准进行独立评审。</w:t>
      </w:r>
    </w:p>
    <w:p w14:paraId="3EBAA8BB">
      <w:pPr>
        <w:pStyle w:val="4"/>
        <w:adjustRightInd w:val="0"/>
        <w:ind w:firstLine="482" w:firstLineChars="200"/>
        <w:rPr>
          <w:rFonts w:eastAsia="仿宋"/>
          <w:color w:val="auto"/>
          <w:sz w:val="24"/>
          <w:highlight w:val="none"/>
          <w:lang w:eastAsia="zh-CN"/>
        </w:rPr>
      </w:pPr>
      <w:bookmarkStart w:id="541" w:name="_Toc455587069"/>
      <w:bookmarkStart w:id="542" w:name="_Toc371415953"/>
      <w:bookmarkStart w:id="543" w:name="_Toc342294750"/>
      <w:bookmarkStart w:id="544" w:name="_Toc466024534"/>
      <w:bookmarkStart w:id="545" w:name="_Toc333599695"/>
      <w:bookmarkStart w:id="546" w:name="_Toc445554726"/>
      <w:bookmarkStart w:id="547" w:name="_Toc333600719"/>
      <w:bookmarkStart w:id="548" w:name="_Toc338944641"/>
      <w:bookmarkStart w:id="549" w:name="_Toc152045565"/>
      <w:bookmarkStart w:id="550" w:name="_Toc342297655"/>
      <w:bookmarkStart w:id="551" w:name="_Toc338943736"/>
      <w:bookmarkStart w:id="552" w:name="_Toc455587253"/>
      <w:bookmarkStart w:id="553" w:name="_Toc152042341"/>
      <w:bookmarkStart w:id="554" w:name="_Toc333587889"/>
      <w:bookmarkStart w:id="555" w:name="_Toc458504852"/>
      <w:bookmarkStart w:id="556" w:name="_Toc144974533"/>
      <w:bookmarkStart w:id="557" w:name="_Toc342296198"/>
      <w:bookmarkStart w:id="558" w:name="_Toc179632583"/>
      <w:r>
        <w:rPr>
          <w:rFonts w:hint="eastAsia" w:eastAsia="仿宋"/>
          <w:color w:val="auto"/>
          <w:sz w:val="24"/>
          <w:highlight w:val="none"/>
          <w:lang w:eastAsia="zh-CN"/>
        </w:rPr>
        <w:t>6.3 评标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2C7D366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6.3.1 评标委员会按照招标文件第四章“资格审查和评标办法”规定的方法、评审因素、标准和程序对投标文件进行评审。“评标办法”没有规定的方法、评审因素和标准，不作为评标依据。</w:t>
      </w:r>
      <w:bookmarkStart w:id="559" w:name="_Toc342294751"/>
      <w:bookmarkStart w:id="560" w:name="_Toc179632584"/>
      <w:bookmarkStart w:id="561" w:name="_Toc152045566"/>
      <w:bookmarkStart w:id="562" w:name="_Toc333599696"/>
      <w:bookmarkStart w:id="563" w:name="_Toc144974534"/>
      <w:bookmarkStart w:id="564" w:name="_Toc338944642"/>
      <w:bookmarkStart w:id="565" w:name="_Toc342297656"/>
      <w:bookmarkStart w:id="566" w:name="_Toc342296199"/>
      <w:bookmarkStart w:id="567" w:name="_Toc338943737"/>
      <w:bookmarkStart w:id="568" w:name="_Toc152042342"/>
      <w:bookmarkStart w:id="569" w:name="_Toc333600720"/>
    </w:p>
    <w:p w14:paraId="685EA94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6.3.2 </w:t>
      </w:r>
      <w:r>
        <w:rPr>
          <w:rFonts w:ascii="宋体" w:hAnsi="宋体" w:eastAsia="仿宋"/>
          <w:color w:val="auto"/>
          <w:sz w:val="24"/>
          <w:highlight w:val="none"/>
        </w:rPr>
        <w:t>评标完成后，评标委员会应当向</w:t>
      </w:r>
      <w:r>
        <w:rPr>
          <w:rFonts w:hint="eastAsia" w:eastAsia="仿宋"/>
          <w:color w:val="auto"/>
          <w:sz w:val="24"/>
          <w:highlight w:val="none"/>
        </w:rPr>
        <w:t>采购</w:t>
      </w:r>
      <w:r>
        <w:rPr>
          <w:rFonts w:ascii="宋体" w:hAnsi="宋体" w:eastAsia="仿宋"/>
          <w:color w:val="auto"/>
          <w:sz w:val="24"/>
          <w:highlight w:val="none"/>
        </w:rPr>
        <w:t>人提交书面评标报告和中标候选人名单。评标委员会推荐中标</w:t>
      </w:r>
      <w:bookmarkStart w:id="570" w:name="_Toc247527583"/>
      <w:bookmarkStart w:id="571" w:name="_Toc247513982"/>
      <w:bookmarkStart w:id="572" w:name="_Toc12259"/>
      <w:bookmarkStart w:id="573" w:name="_Toc352691502"/>
      <w:bookmarkStart w:id="574" w:name="_Toc384308240"/>
      <w:bookmarkStart w:id="575" w:name="_Toc361508615"/>
      <w:bookmarkStart w:id="576" w:name="_Toc300834979"/>
      <w:bookmarkStart w:id="577" w:name="_Toc369531546"/>
      <w:r>
        <w:rPr>
          <w:rFonts w:ascii="宋体" w:hAnsi="宋体" w:eastAsia="仿宋"/>
          <w:color w:val="auto"/>
          <w:sz w:val="24"/>
          <w:highlight w:val="none"/>
        </w:rPr>
        <w:t>候选人的人数见投标人须知前附</w:t>
      </w:r>
      <w:bookmarkEnd w:id="570"/>
      <w:bookmarkEnd w:id="571"/>
      <w:bookmarkEnd w:id="572"/>
      <w:bookmarkEnd w:id="573"/>
      <w:bookmarkEnd w:id="574"/>
      <w:bookmarkEnd w:id="575"/>
      <w:bookmarkEnd w:id="576"/>
      <w:bookmarkEnd w:id="577"/>
      <w:r>
        <w:rPr>
          <w:rFonts w:ascii="宋体" w:hAnsi="宋体" w:eastAsia="仿宋"/>
          <w:color w:val="auto"/>
          <w:sz w:val="24"/>
          <w:highlight w:val="none"/>
        </w:rPr>
        <w:t>表。</w:t>
      </w:r>
    </w:p>
    <w:p w14:paraId="19C7320A">
      <w:pPr>
        <w:pStyle w:val="3"/>
        <w:rPr>
          <w:rStyle w:val="23"/>
          <w:rFonts w:hint="eastAsia" w:ascii="宋体" w:hAnsi="宋体" w:eastAsia="仿宋"/>
          <w:b/>
          <w:bCs/>
          <w:color w:val="auto"/>
          <w:sz w:val="24"/>
          <w:szCs w:val="24"/>
          <w:highlight w:val="none"/>
        </w:rPr>
      </w:pPr>
      <w:bookmarkStart w:id="578" w:name="_Toc466024535"/>
      <w:bookmarkStart w:id="579" w:name="_Toc445554727"/>
      <w:bookmarkStart w:id="580" w:name="_Toc371415954"/>
      <w:bookmarkStart w:id="581" w:name="_Toc455587254"/>
      <w:bookmarkStart w:id="582" w:name="_Toc455587070"/>
      <w:bookmarkStart w:id="583" w:name="_Toc458504853"/>
      <w:r>
        <w:rPr>
          <w:rStyle w:val="23"/>
          <w:rFonts w:hint="eastAsia" w:ascii="宋体" w:hAnsi="宋体" w:eastAsia="仿宋"/>
          <w:b/>
          <w:bCs/>
          <w:color w:val="auto"/>
          <w:sz w:val="24"/>
          <w:szCs w:val="24"/>
          <w:highlight w:val="none"/>
        </w:rPr>
        <w:t>7. 合同授予</w:t>
      </w:r>
      <w:bookmarkEnd w:id="559"/>
      <w:bookmarkEnd w:id="560"/>
      <w:bookmarkEnd w:id="561"/>
      <w:bookmarkEnd w:id="562"/>
      <w:bookmarkEnd w:id="563"/>
      <w:bookmarkEnd w:id="564"/>
      <w:bookmarkEnd w:id="565"/>
      <w:bookmarkEnd w:id="566"/>
      <w:bookmarkEnd w:id="567"/>
      <w:bookmarkEnd w:id="568"/>
      <w:bookmarkEnd w:id="569"/>
      <w:bookmarkEnd w:id="578"/>
      <w:bookmarkEnd w:id="579"/>
      <w:bookmarkEnd w:id="580"/>
      <w:bookmarkEnd w:id="581"/>
      <w:bookmarkEnd w:id="582"/>
      <w:bookmarkEnd w:id="583"/>
    </w:p>
    <w:p w14:paraId="36CC8641">
      <w:pPr>
        <w:pStyle w:val="4"/>
        <w:adjustRightInd w:val="0"/>
        <w:ind w:firstLine="482" w:firstLineChars="200"/>
        <w:rPr>
          <w:rFonts w:eastAsia="仿宋"/>
          <w:color w:val="auto"/>
          <w:sz w:val="24"/>
          <w:highlight w:val="none"/>
          <w:lang w:eastAsia="zh-CN"/>
        </w:rPr>
      </w:pPr>
      <w:bookmarkStart w:id="584" w:name="_Toc455587255"/>
      <w:bookmarkStart w:id="585" w:name="_Toc466024536"/>
      <w:bookmarkStart w:id="586" w:name="_Toc349730879"/>
      <w:bookmarkStart w:id="587" w:name="_Toc362252685"/>
      <w:bookmarkStart w:id="588" w:name="_Toc455587071"/>
      <w:bookmarkStart w:id="589" w:name="_Toc371415955"/>
      <w:bookmarkStart w:id="590" w:name="_Toc445554728"/>
      <w:bookmarkStart w:id="591" w:name="_Toc458504854"/>
      <w:bookmarkStart w:id="592" w:name="_Toc152045567"/>
      <w:bookmarkStart w:id="593" w:name="_Toc342294752"/>
      <w:bookmarkStart w:id="594" w:name="_Toc338943738"/>
      <w:bookmarkStart w:id="595" w:name="_Toc342296200"/>
      <w:bookmarkStart w:id="596" w:name="_Toc338944643"/>
      <w:bookmarkStart w:id="597" w:name="_Toc333600721"/>
      <w:bookmarkStart w:id="598" w:name="_Toc152042343"/>
      <w:bookmarkStart w:id="599" w:name="_Toc144974535"/>
      <w:bookmarkStart w:id="600" w:name="_Toc333587891"/>
      <w:bookmarkStart w:id="601" w:name="_Toc342297657"/>
      <w:bookmarkStart w:id="602" w:name="_Toc333599697"/>
      <w:bookmarkStart w:id="603" w:name="_Toc179632585"/>
      <w:r>
        <w:rPr>
          <w:rFonts w:hint="eastAsia" w:eastAsia="仿宋"/>
          <w:color w:val="auto"/>
          <w:sz w:val="24"/>
          <w:highlight w:val="none"/>
          <w:lang w:eastAsia="zh-CN"/>
        </w:rPr>
        <w:t>7.1</w:t>
      </w:r>
      <w:bookmarkEnd w:id="584"/>
      <w:bookmarkEnd w:id="585"/>
      <w:bookmarkEnd w:id="586"/>
      <w:bookmarkEnd w:id="587"/>
      <w:bookmarkEnd w:id="588"/>
      <w:bookmarkEnd w:id="589"/>
      <w:bookmarkEnd w:id="590"/>
      <w:bookmarkEnd w:id="591"/>
      <w:r>
        <w:rPr>
          <w:rFonts w:hint="eastAsia" w:eastAsia="仿宋"/>
          <w:color w:val="auto"/>
          <w:sz w:val="24"/>
          <w:highlight w:val="none"/>
          <w:lang w:eastAsia="zh-CN"/>
        </w:rPr>
        <w:t xml:space="preserve"> 确定中标人</w:t>
      </w:r>
    </w:p>
    <w:p w14:paraId="4B9FA7C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7.1.1 按照投标人须知前附表规定，采购人或采购人授权评标委员会</w:t>
      </w:r>
      <w:r>
        <w:rPr>
          <w:rFonts w:hint="eastAsia" w:ascii="宋体" w:hAnsi="宋体" w:eastAsia="仿宋" w:cs="宋体"/>
          <w:color w:val="auto"/>
          <w:kern w:val="0"/>
          <w:sz w:val="24"/>
          <w:highlight w:val="none"/>
        </w:rPr>
        <w:t>在评标报告确定的中标候选人名单中按顺序确定中标人。</w:t>
      </w:r>
    </w:p>
    <w:p w14:paraId="5AC949E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7.1.2 采购人确定中标人后，按投标人须知前附表规定的方式与内容公告中标结果。</w:t>
      </w:r>
    </w:p>
    <w:p w14:paraId="6DE8765D">
      <w:pPr>
        <w:pStyle w:val="4"/>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7.2</w:t>
      </w:r>
      <w:bookmarkStart w:id="604" w:name="_Toc455587072"/>
      <w:bookmarkStart w:id="605" w:name="_Toc371415957"/>
      <w:bookmarkStart w:id="606" w:name="_Toc362252686"/>
      <w:bookmarkStart w:id="607" w:name="_Toc445554730"/>
      <w:bookmarkStart w:id="608" w:name="_Toc349730880"/>
      <w:bookmarkStart w:id="609" w:name="_Toc466024537"/>
      <w:bookmarkStart w:id="610" w:name="_Toc458504855"/>
      <w:bookmarkStart w:id="611" w:name="_Toc455587256"/>
      <w:r>
        <w:rPr>
          <w:rFonts w:hint="eastAsia" w:eastAsia="仿宋"/>
          <w:color w:val="auto"/>
          <w:sz w:val="24"/>
          <w:highlight w:val="none"/>
          <w:lang w:eastAsia="zh-CN"/>
        </w:rPr>
        <w:t xml:space="preserve"> 中标通知</w:t>
      </w:r>
      <w:bookmarkEnd w:id="604"/>
      <w:bookmarkEnd w:id="605"/>
      <w:bookmarkEnd w:id="606"/>
      <w:bookmarkEnd w:id="607"/>
      <w:bookmarkEnd w:id="608"/>
      <w:bookmarkEnd w:id="609"/>
      <w:bookmarkEnd w:id="610"/>
      <w:bookmarkEnd w:id="611"/>
    </w:p>
    <w:p w14:paraId="043CDCF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7.2.1 中标结果确定后，采购人以书面形式向中标人发出中标通知书。</w:t>
      </w:r>
    </w:p>
    <w:p w14:paraId="0C57B16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7.2.2 中标人须按投标人须知前附表规定向采购代理机构支付招标代理服务费，其计取标准见投标人须知前附表。</w:t>
      </w:r>
    </w:p>
    <w:p w14:paraId="40C24380">
      <w:pPr>
        <w:pStyle w:val="4"/>
        <w:adjustRightInd w:val="0"/>
        <w:ind w:firstLine="482" w:firstLineChars="200"/>
        <w:rPr>
          <w:rFonts w:eastAsia="仿宋"/>
          <w:color w:val="auto"/>
          <w:sz w:val="24"/>
          <w:highlight w:val="none"/>
          <w:lang w:eastAsia="zh-CN"/>
        </w:rPr>
      </w:pPr>
      <w:bookmarkStart w:id="612" w:name="_Toc349730881"/>
      <w:bookmarkStart w:id="613" w:name="_Toc455587073"/>
      <w:bookmarkStart w:id="614" w:name="_Toc362252687"/>
      <w:bookmarkStart w:id="615" w:name="_Toc445554731"/>
      <w:bookmarkStart w:id="616" w:name="_Toc371415958"/>
      <w:bookmarkStart w:id="617" w:name="_Toc455587257"/>
      <w:bookmarkStart w:id="618" w:name="_Toc466024538"/>
      <w:bookmarkStart w:id="619" w:name="_Toc458504856"/>
      <w:r>
        <w:rPr>
          <w:rFonts w:hint="eastAsia" w:eastAsia="仿宋"/>
          <w:color w:val="auto"/>
          <w:sz w:val="24"/>
          <w:highlight w:val="none"/>
          <w:lang w:eastAsia="zh-CN"/>
        </w:rPr>
        <w:t>7.3 履约</w:t>
      </w:r>
      <w:bookmarkEnd w:id="612"/>
      <w:bookmarkEnd w:id="613"/>
      <w:bookmarkEnd w:id="614"/>
      <w:bookmarkEnd w:id="615"/>
      <w:bookmarkEnd w:id="616"/>
      <w:bookmarkEnd w:id="617"/>
      <w:bookmarkEnd w:id="618"/>
      <w:bookmarkEnd w:id="619"/>
      <w:r>
        <w:rPr>
          <w:rFonts w:hint="eastAsia" w:eastAsia="仿宋"/>
          <w:color w:val="auto"/>
          <w:sz w:val="24"/>
          <w:highlight w:val="none"/>
          <w:lang w:eastAsia="zh-CN"/>
        </w:rPr>
        <w:t>保证金</w:t>
      </w:r>
    </w:p>
    <w:p w14:paraId="6FCFD2E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7.3</w:t>
      </w:r>
      <w:r>
        <w:rPr>
          <w:rFonts w:ascii="宋体" w:hAnsi="宋体" w:eastAsia="仿宋"/>
          <w:color w:val="auto"/>
          <w:sz w:val="24"/>
          <w:highlight w:val="none"/>
        </w:rPr>
        <w:t>.1</w:t>
      </w:r>
      <w:r>
        <w:rPr>
          <w:rFonts w:hint="eastAsia" w:ascii="宋体" w:hAnsi="宋体" w:eastAsia="仿宋"/>
          <w:color w:val="auto"/>
          <w:sz w:val="24"/>
          <w:highlight w:val="none"/>
        </w:rPr>
        <w:t xml:space="preserve"> 在签订合同前，中标人应按投标人须知前附表规定的金额、形式向采购人提交履约保证金。</w:t>
      </w:r>
      <w:r>
        <w:rPr>
          <w:rFonts w:eastAsia="仿宋"/>
          <w:color w:val="auto"/>
          <w:sz w:val="24"/>
          <w:highlight w:val="none"/>
        </w:rPr>
        <w:t>除投标人须知前附表另有规定外，履约保证金为中标合同金额的</w:t>
      </w:r>
      <w:r>
        <w:rPr>
          <w:rFonts w:hint="eastAsia" w:eastAsia="仿宋"/>
          <w:color w:val="auto"/>
          <w:sz w:val="24"/>
          <w:highlight w:val="none"/>
        </w:rPr>
        <w:t>2.5</w:t>
      </w:r>
      <w:r>
        <w:rPr>
          <w:rFonts w:eastAsia="仿宋"/>
          <w:color w:val="auto"/>
          <w:sz w:val="24"/>
          <w:highlight w:val="none"/>
        </w:rPr>
        <w:t>%。联合体中标的，其履约保证金以联合体各方或者联合体中牵头人的名义提交。</w:t>
      </w:r>
    </w:p>
    <w:p w14:paraId="4B7466B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7.3</w:t>
      </w:r>
      <w:r>
        <w:rPr>
          <w:rFonts w:ascii="宋体" w:hAnsi="宋体" w:eastAsia="仿宋"/>
          <w:color w:val="auto"/>
          <w:sz w:val="24"/>
          <w:highlight w:val="none"/>
        </w:rPr>
        <w:t>.2</w:t>
      </w:r>
      <w:r>
        <w:rPr>
          <w:rFonts w:hint="eastAsia" w:ascii="宋体" w:hAnsi="宋体" w:eastAsia="仿宋"/>
          <w:color w:val="auto"/>
          <w:sz w:val="24"/>
          <w:highlight w:val="none"/>
        </w:rPr>
        <w:t xml:space="preserve"> 中标人不能按要求提交履约保证金的，视为中标人拒绝与采购人签订合同，其投标保证金不予退还；给采购人造成的损失超过投标保证金数额的，中标人还应当对超过部分予以赔偿。</w:t>
      </w:r>
    </w:p>
    <w:p w14:paraId="4D13F06E">
      <w:pPr>
        <w:pStyle w:val="4"/>
        <w:adjustRightInd w:val="0"/>
        <w:ind w:firstLine="482" w:firstLineChars="200"/>
        <w:rPr>
          <w:rFonts w:eastAsia="仿宋"/>
          <w:color w:val="auto"/>
          <w:sz w:val="24"/>
          <w:highlight w:val="none"/>
          <w:lang w:eastAsia="zh-CN"/>
        </w:rPr>
      </w:pPr>
      <w:bookmarkStart w:id="620" w:name="_Toc458504857"/>
      <w:bookmarkStart w:id="621" w:name="_Toc362252688"/>
      <w:bookmarkStart w:id="622" w:name="_Toc338944646"/>
      <w:bookmarkStart w:id="623" w:name="_Toc333599700"/>
      <w:bookmarkStart w:id="624" w:name="_Toc349730882"/>
      <w:bookmarkStart w:id="625" w:name="_Toc179632588"/>
      <w:bookmarkStart w:id="626" w:name="_Toc342294755"/>
      <w:bookmarkStart w:id="627" w:name="_Toc342296203"/>
      <w:bookmarkStart w:id="628" w:name="_Toc445554732"/>
      <w:bookmarkStart w:id="629" w:name="_Toc455587258"/>
      <w:bookmarkStart w:id="630" w:name="_Toc455587074"/>
      <w:bookmarkStart w:id="631" w:name="_Toc333587894"/>
      <w:bookmarkStart w:id="632" w:name="_Toc466024539"/>
      <w:bookmarkStart w:id="633" w:name="_Toc371415959"/>
      <w:bookmarkStart w:id="634" w:name="_Toc338943741"/>
      <w:bookmarkStart w:id="635" w:name="_Toc333600724"/>
      <w:r>
        <w:rPr>
          <w:rFonts w:hint="eastAsia" w:eastAsia="仿宋"/>
          <w:color w:val="auto"/>
          <w:sz w:val="24"/>
          <w:highlight w:val="none"/>
          <w:lang w:eastAsia="zh-CN"/>
        </w:rPr>
        <w:t>7.4 签订合同</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575C6011">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7.4</w:t>
      </w:r>
      <w:r>
        <w:rPr>
          <w:rFonts w:ascii="宋体" w:hAnsi="宋体" w:eastAsia="仿宋"/>
          <w:color w:val="auto"/>
          <w:sz w:val="24"/>
          <w:highlight w:val="none"/>
        </w:rPr>
        <w:t>.1</w:t>
      </w:r>
      <w:r>
        <w:rPr>
          <w:rFonts w:hint="eastAsia" w:ascii="宋体" w:hAnsi="宋体" w:eastAsia="仿宋"/>
          <w:color w:val="auto"/>
          <w:sz w:val="24"/>
          <w:highlight w:val="none"/>
        </w:rPr>
        <w:t xml:space="preserve"> 除投标人须知前附表另有规定外，</w:t>
      </w:r>
      <w:r>
        <w:rPr>
          <w:rFonts w:eastAsia="仿宋"/>
          <w:color w:val="auto"/>
          <w:sz w:val="24"/>
          <w:highlight w:val="none"/>
        </w:rPr>
        <w:t>采购人和中标人应当在中标通知书发出之日起</w:t>
      </w:r>
      <w:r>
        <w:rPr>
          <w:rFonts w:hint="eastAsia" w:eastAsia="仿宋"/>
          <w:color w:val="auto"/>
          <w:sz w:val="24"/>
          <w:highlight w:val="none"/>
        </w:rPr>
        <w:t>三十日内</w:t>
      </w:r>
      <w:r>
        <w:rPr>
          <w:rFonts w:eastAsia="仿宋"/>
          <w:color w:val="auto"/>
          <w:sz w:val="24"/>
          <w:highlight w:val="none"/>
        </w:rPr>
        <w:t>，根据招标文件和中标人的投标文件订立书面合同</w:t>
      </w:r>
      <w:r>
        <w:rPr>
          <w:rFonts w:hint="eastAsia" w:eastAsia="仿宋"/>
          <w:color w:val="auto"/>
          <w:sz w:val="24"/>
          <w:highlight w:val="none"/>
        </w:rPr>
        <w:t>，所签订的合同不得对招标文件确定的事项和中标人投标文件作实质性修改。</w:t>
      </w:r>
      <w:r>
        <w:rPr>
          <w:rFonts w:eastAsia="仿宋"/>
          <w:color w:val="auto"/>
          <w:sz w:val="24"/>
          <w:highlight w:val="none"/>
        </w:rPr>
        <w:t>中标人无正当理由</w:t>
      </w:r>
      <w:r>
        <w:rPr>
          <w:rFonts w:hint="eastAsia" w:eastAsia="仿宋"/>
          <w:color w:val="auto"/>
          <w:sz w:val="24"/>
          <w:highlight w:val="none"/>
        </w:rPr>
        <w:t>拒签</w:t>
      </w:r>
      <w:r>
        <w:rPr>
          <w:rFonts w:eastAsia="仿宋"/>
          <w:color w:val="auto"/>
          <w:sz w:val="24"/>
          <w:highlight w:val="none"/>
        </w:rPr>
        <w:t>合同，</w:t>
      </w:r>
      <w:r>
        <w:rPr>
          <w:rFonts w:hint="eastAsia" w:eastAsia="仿宋"/>
          <w:color w:val="auto"/>
          <w:sz w:val="24"/>
          <w:highlight w:val="none"/>
        </w:rPr>
        <w:t>包括但不限于</w:t>
      </w:r>
      <w:r>
        <w:rPr>
          <w:rFonts w:eastAsia="仿宋"/>
          <w:color w:val="auto"/>
          <w:sz w:val="24"/>
          <w:highlight w:val="none"/>
        </w:rPr>
        <w:t>在签订合同时向采购人提出</w:t>
      </w:r>
      <w:r>
        <w:rPr>
          <w:rFonts w:hint="eastAsia" w:eastAsia="仿宋"/>
          <w:color w:val="auto"/>
          <w:sz w:val="24"/>
          <w:highlight w:val="none"/>
        </w:rPr>
        <w:t>非法的附加条件</w:t>
      </w:r>
      <w:r>
        <w:rPr>
          <w:rFonts w:eastAsia="仿宋"/>
          <w:color w:val="auto"/>
          <w:sz w:val="24"/>
          <w:highlight w:val="none"/>
        </w:rPr>
        <w:t>，其投标保证金不予退还；给采购人造成的损失超过投标保证金数额的，中标人还应当对超过部分予以赔偿。</w:t>
      </w:r>
    </w:p>
    <w:p w14:paraId="2E987F0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7.4</w:t>
      </w:r>
      <w:r>
        <w:rPr>
          <w:rFonts w:ascii="宋体" w:hAnsi="宋体" w:eastAsia="仿宋"/>
          <w:color w:val="auto"/>
          <w:sz w:val="24"/>
          <w:highlight w:val="none"/>
        </w:rPr>
        <w:t>.2</w:t>
      </w:r>
      <w:r>
        <w:rPr>
          <w:rFonts w:hint="eastAsia" w:ascii="宋体" w:hAnsi="宋体" w:eastAsia="仿宋"/>
          <w:color w:val="auto"/>
          <w:sz w:val="24"/>
          <w:highlight w:val="none"/>
        </w:rPr>
        <w:t xml:space="preserve"> 因中标人原因未签订合同的，采购人可以按照评审报告推荐的中标候选人名单排序，确定下一候选人为中标人，也可以重新开展政府采购活动。</w:t>
      </w:r>
    </w:p>
    <w:p w14:paraId="4B3C9F16">
      <w:pPr>
        <w:widowControl/>
        <w:adjustRightInd w:val="0"/>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7.</w:t>
      </w:r>
      <w:r>
        <w:rPr>
          <w:rFonts w:hint="eastAsia" w:ascii="宋体" w:hAnsi="宋体" w:eastAsia="仿宋"/>
          <w:color w:val="auto"/>
          <w:sz w:val="24"/>
          <w:highlight w:val="none"/>
        </w:rPr>
        <w:t>4</w:t>
      </w:r>
      <w:r>
        <w:rPr>
          <w:rFonts w:ascii="宋体" w:hAnsi="宋体" w:eastAsia="仿宋"/>
          <w:color w:val="auto"/>
          <w:sz w:val="24"/>
          <w:highlight w:val="none"/>
        </w:rPr>
        <w:t>.</w:t>
      </w:r>
      <w:r>
        <w:rPr>
          <w:rFonts w:hint="eastAsia" w:ascii="宋体" w:hAnsi="宋体" w:eastAsia="仿宋"/>
          <w:color w:val="auto"/>
          <w:sz w:val="24"/>
          <w:highlight w:val="none"/>
        </w:rPr>
        <w:t xml:space="preserve">3 </w:t>
      </w:r>
      <w:r>
        <w:rPr>
          <w:rFonts w:ascii="宋体" w:hAnsi="宋体" w:eastAsia="仿宋"/>
          <w:color w:val="auto"/>
          <w:sz w:val="24"/>
          <w:highlight w:val="none"/>
        </w:rPr>
        <w:t>联合体中标的，联合体各方应当共同与采购人签订合同，就中标项目向采购人承担连带责任。</w:t>
      </w:r>
    </w:p>
    <w:bookmarkEnd w:id="592"/>
    <w:bookmarkEnd w:id="593"/>
    <w:bookmarkEnd w:id="594"/>
    <w:bookmarkEnd w:id="595"/>
    <w:bookmarkEnd w:id="596"/>
    <w:bookmarkEnd w:id="597"/>
    <w:bookmarkEnd w:id="598"/>
    <w:bookmarkEnd w:id="599"/>
    <w:bookmarkEnd w:id="600"/>
    <w:bookmarkEnd w:id="601"/>
    <w:bookmarkEnd w:id="602"/>
    <w:bookmarkEnd w:id="603"/>
    <w:p w14:paraId="00D2A934">
      <w:pPr>
        <w:pStyle w:val="3"/>
        <w:rPr>
          <w:rStyle w:val="23"/>
          <w:rFonts w:hint="eastAsia" w:ascii="宋体" w:hAnsi="宋体" w:eastAsia="仿宋"/>
          <w:b/>
          <w:bCs/>
          <w:color w:val="auto"/>
          <w:sz w:val="24"/>
          <w:szCs w:val="24"/>
          <w:highlight w:val="none"/>
        </w:rPr>
      </w:pPr>
      <w:bookmarkStart w:id="636" w:name="_Toc455587259"/>
      <w:bookmarkStart w:id="637" w:name="_Toc455587075"/>
      <w:bookmarkStart w:id="638" w:name="_Toc458504860"/>
      <w:bookmarkStart w:id="639" w:name="_Toc466024542"/>
      <w:r>
        <w:rPr>
          <w:rStyle w:val="23"/>
          <w:rFonts w:hint="eastAsia" w:ascii="宋体" w:hAnsi="宋体" w:eastAsia="仿宋"/>
          <w:b/>
          <w:bCs/>
          <w:color w:val="auto"/>
          <w:sz w:val="24"/>
          <w:szCs w:val="24"/>
          <w:highlight w:val="none"/>
        </w:rPr>
        <w:t>8. 废标</w:t>
      </w:r>
      <w:bookmarkEnd w:id="636"/>
      <w:bookmarkEnd w:id="637"/>
      <w:bookmarkEnd w:id="638"/>
      <w:r>
        <w:rPr>
          <w:rStyle w:val="23"/>
          <w:rFonts w:hint="eastAsia" w:ascii="宋体" w:hAnsi="宋体" w:eastAsia="仿宋"/>
          <w:b/>
          <w:bCs/>
          <w:color w:val="auto"/>
          <w:sz w:val="24"/>
          <w:szCs w:val="24"/>
          <w:highlight w:val="none"/>
        </w:rPr>
        <w:t>、变更采购方式与终止招标</w:t>
      </w:r>
      <w:bookmarkEnd w:id="639"/>
    </w:p>
    <w:p w14:paraId="63A98ACA">
      <w:pPr>
        <w:pStyle w:val="4"/>
        <w:adjustRightInd w:val="0"/>
        <w:ind w:firstLine="482" w:firstLineChars="200"/>
        <w:rPr>
          <w:rFonts w:hint="eastAsia" w:eastAsia="仿宋"/>
          <w:color w:val="auto"/>
          <w:sz w:val="24"/>
          <w:highlight w:val="none"/>
          <w:lang w:eastAsia="zh-CN"/>
        </w:rPr>
      </w:pPr>
      <w:bookmarkStart w:id="640" w:name="_Toc455587260"/>
      <w:bookmarkStart w:id="641" w:name="_Toc466024543"/>
      <w:bookmarkStart w:id="642" w:name="_Toc455587076"/>
      <w:bookmarkStart w:id="643" w:name="_Toc458504861"/>
      <w:bookmarkStart w:id="644" w:name="_Toc342297662"/>
      <w:bookmarkStart w:id="645" w:name="_Toc144974540"/>
      <w:bookmarkStart w:id="646" w:name="_Toc152045572"/>
      <w:bookmarkStart w:id="647" w:name="_Toc342294757"/>
      <w:bookmarkStart w:id="648" w:name="_Toc342296205"/>
      <w:bookmarkStart w:id="649" w:name="_Toc338943743"/>
      <w:bookmarkStart w:id="650" w:name="_Toc338944648"/>
      <w:bookmarkStart w:id="651" w:name="_Toc333587896"/>
      <w:bookmarkStart w:id="652" w:name="_Toc333600726"/>
      <w:bookmarkStart w:id="653" w:name="_Toc371415961"/>
      <w:bookmarkStart w:id="654" w:name="_Toc152042348"/>
      <w:bookmarkStart w:id="655" w:name="_Toc333599702"/>
      <w:bookmarkStart w:id="656" w:name="_Toc179632590"/>
      <w:bookmarkStart w:id="657" w:name="_Toc445554734"/>
      <w:r>
        <w:rPr>
          <w:rFonts w:hint="eastAsia" w:eastAsia="仿宋"/>
          <w:color w:val="auto"/>
          <w:sz w:val="24"/>
          <w:highlight w:val="none"/>
          <w:lang w:eastAsia="zh-CN"/>
        </w:rPr>
        <w:t>8.1 废标</w:t>
      </w:r>
      <w:bookmarkEnd w:id="640"/>
      <w:bookmarkEnd w:id="641"/>
      <w:bookmarkEnd w:id="642"/>
      <w:bookmarkEnd w:id="643"/>
    </w:p>
    <w:p w14:paraId="707D2C3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8.1.1 出现下列情形之一的，应予废标：</w:t>
      </w:r>
    </w:p>
    <w:p w14:paraId="3D9AFDE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（1）符合专业条件的投标人或者对招标文件作实质响应的投标人不足3家的；</w:t>
      </w:r>
    </w:p>
    <w:p w14:paraId="07F75E5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（2）出现影响采购公正的违法、违规行为的；</w:t>
      </w:r>
    </w:p>
    <w:p w14:paraId="21F0A72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（3）投标人的报价均超过了采购预算或最高限价，采购人不能支付的；</w:t>
      </w:r>
    </w:p>
    <w:p w14:paraId="190B022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（4）因重大变故，采购任务取消的。</w:t>
      </w:r>
    </w:p>
    <w:p w14:paraId="59824255">
      <w:pPr>
        <w:pStyle w:val="4"/>
        <w:adjustRightInd w:val="0"/>
        <w:ind w:firstLine="482" w:firstLineChars="200"/>
        <w:rPr>
          <w:rFonts w:eastAsia="仿宋"/>
          <w:color w:val="auto"/>
          <w:sz w:val="24"/>
          <w:highlight w:val="none"/>
          <w:lang w:eastAsia="zh-CN"/>
        </w:rPr>
      </w:pPr>
      <w:bookmarkStart w:id="658" w:name="_Toc455587261"/>
      <w:bookmarkStart w:id="659" w:name="_Toc455587077"/>
      <w:bookmarkStart w:id="660" w:name="_Toc466024544"/>
      <w:bookmarkStart w:id="661" w:name="_Toc458504862"/>
      <w:r>
        <w:rPr>
          <w:rFonts w:hint="eastAsia" w:eastAsia="仿宋"/>
          <w:color w:val="auto"/>
          <w:sz w:val="24"/>
          <w:highlight w:val="none"/>
          <w:lang w:eastAsia="zh-CN"/>
        </w:rPr>
        <w:t>8.2</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Pr>
          <w:rFonts w:hint="eastAsia" w:eastAsia="仿宋"/>
          <w:color w:val="auto"/>
          <w:sz w:val="24"/>
          <w:highlight w:val="none"/>
          <w:lang w:eastAsia="zh-CN"/>
        </w:rPr>
        <w:t xml:space="preserve"> 重新招标与变更采购方式</w:t>
      </w:r>
      <w:bookmarkEnd w:id="660"/>
      <w:bookmarkEnd w:id="661"/>
    </w:p>
    <w:p w14:paraId="79FE6A7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8.2.1 公开招标数额标准以上的采购项目，投标截止后投标人不足3家或者通过资格审查或符合性审查的投标人不足3家的，除采购任务取消情形外，按照以下方式处理：</w:t>
      </w:r>
    </w:p>
    <w:p w14:paraId="096CA28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（1）招标文件存在不合理条款或者招标程序不符合规定的，采购人、采购代理机构改正后依法重新招标；</w:t>
      </w:r>
    </w:p>
    <w:p w14:paraId="35B3EF7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（2）招标文件没有不合理条款、招标程序符合规定，需要采用其他采购方式采购的，采购人应当依法报财政部门批准。</w:t>
      </w:r>
    </w:p>
    <w:p w14:paraId="46E518B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8.2.2 公开招标数额标准以上的采购项目，出现本章8.2.1项情形或者重新招标未能成立的，采购人拟申请采用其他方式采购的，应由评标委员会或者3名以上评审专家出具招标文件没有不合理条款的论证意见。</w:t>
      </w:r>
    </w:p>
    <w:p w14:paraId="5496FA79">
      <w:pPr>
        <w:pStyle w:val="4"/>
        <w:adjustRightInd w:val="0"/>
        <w:ind w:firstLine="482" w:firstLineChars="200"/>
        <w:rPr>
          <w:rFonts w:hint="eastAsia" w:eastAsia="仿宋"/>
          <w:color w:val="auto"/>
          <w:sz w:val="24"/>
          <w:highlight w:val="none"/>
          <w:lang w:eastAsia="zh-CN"/>
        </w:rPr>
      </w:pPr>
      <w:bookmarkStart w:id="662" w:name="_Toc458504863"/>
      <w:bookmarkStart w:id="663" w:name="_Toc455587078"/>
      <w:bookmarkStart w:id="664" w:name="_Toc445554736"/>
      <w:bookmarkStart w:id="665" w:name="_Toc466024545"/>
      <w:bookmarkStart w:id="666" w:name="_Toc455587262"/>
      <w:bookmarkStart w:id="667" w:name="_Toc333599704"/>
      <w:bookmarkStart w:id="668" w:name="_Toc152045574"/>
      <w:bookmarkStart w:id="669" w:name="_Toc179632592"/>
      <w:bookmarkStart w:id="670" w:name="_Toc152042350"/>
      <w:bookmarkStart w:id="671" w:name="_Toc342297664"/>
      <w:bookmarkStart w:id="672" w:name="_Toc144974542"/>
      <w:bookmarkStart w:id="673" w:name="_Toc333600728"/>
      <w:bookmarkStart w:id="674" w:name="_Toc342296207"/>
      <w:bookmarkStart w:id="675" w:name="_Toc338943745"/>
      <w:bookmarkStart w:id="676" w:name="_Toc338944650"/>
      <w:bookmarkStart w:id="677" w:name="_Toc342294759"/>
      <w:r>
        <w:rPr>
          <w:rFonts w:hint="eastAsia" w:eastAsia="仿宋"/>
          <w:color w:val="auto"/>
          <w:sz w:val="24"/>
          <w:highlight w:val="none"/>
          <w:lang w:eastAsia="zh-CN"/>
        </w:rPr>
        <w:t>8.3 终止招标</w:t>
      </w:r>
      <w:bookmarkEnd w:id="662"/>
      <w:bookmarkEnd w:id="663"/>
      <w:bookmarkEnd w:id="664"/>
      <w:bookmarkEnd w:id="665"/>
      <w:bookmarkEnd w:id="666"/>
    </w:p>
    <w:p w14:paraId="0ADE37F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因不可抗力等原因，采购人终止招标的，将及时发布公告，或者以书面形式通知被邀请的或者已经获取招标文件的潜在投标人。</w:t>
      </w:r>
    </w:p>
    <w:bookmarkEnd w:id="667"/>
    <w:bookmarkEnd w:id="668"/>
    <w:bookmarkEnd w:id="669"/>
    <w:bookmarkEnd w:id="670"/>
    <w:bookmarkEnd w:id="671"/>
    <w:bookmarkEnd w:id="672"/>
    <w:bookmarkEnd w:id="673"/>
    <w:bookmarkEnd w:id="674"/>
    <w:bookmarkEnd w:id="675"/>
    <w:bookmarkEnd w:id="676"/>
    <w:bookmarkEnd w:id="677"/>
    <w:p w14:paraId="52ED953B">
      <w:pPr>
        <w:pStyle w:val="3"/>
        <w:rPr>
          <w:rStyle w:val="23"/>
          <w:rFonts w:hint="eastAsia" w:ascii="宋体" w:hAnsi="宋体" w:eastAsia="仿宋"/>
          <w:b/>
          <w:bCs/>
          <w:color w:val="auto"/>
          <w:sz w:val="24"/>
          <w:szCs w:val="24"/>
          <w:highlight w:val="none"/>
        </w:rPr>
      </w:pPr>
      <w:bookmarkStart w:id="678" w:name="_Toc455587079"/>
      <w:bookmarkStart w:id="679" w:name="_Toc455587263"/>
      <w:bookmarkStart w:id="680" w:name="_Toc445554737"/>
      <w:bookmarkStart w:id="681" w:name="_Toc458504864"/>
      <w:bookmarkStart w:id="682" w:name="_Toc466024546"/>
      <w:r>
        <w:rPr>
          <w:rStyle w:val="23"/>
          <w:rFonts w:hint="eastAsia" w:ascii="宋体" w:hAnsi="宋体" w:eastAsia="仿宋"/>
          <w:b/>
          <w:bCs/>
          <w:color w:val="auto"/>
          <w:sz w:val="24"/>
          <w:szCs w:val="24"/>
          <w:highlight w:val="none"/>
        </w:rPr>
        <w:t>9. 询问与质疑</w:t>
      </w:r>
    </w:p>
    <w:p w14:paraId="406BBC9C">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9.1 询问</w:t>
      </w:r>
    </w:p>
    <w:p w14:paraId="5A675B1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9.1.1 投标人对政府采购活动事项有疑问的，可依法按投标人须知前附表载明的时间提出询问。</w:t>
      </w:r>
    </w:p>
    <w:p w14:paraId="092AA72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9.1.2 采购人或采购代理机构对供应商依法提出的询问，在3个工作日内作出答复，但答复的内容不得涉及商业秘密。</w:t>
      </w:r>
    </w:p>
    <w:p w14:paraId="2495EAD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9.1.3 除非采购人认为确有必要答复，否则，采购人有权拒绝回复投标人在本章第9.1.1项规定的时间后的询问。</w:t>
      </w:r>
    </w:p>
    <w:p w14:paraId="1EF70B38">
      <w:pPr>
        <w:pStyle w:val="4"/>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9.2 质疑</w:t>
      </w:r>
    </w:p>
    <w:p w14:paraId="1188BEC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9.2.1 投标人认为招标文件、采购过程、中标结果使自己的权益受到损害的，可以在投标人须知前附表载明的时间向采购人、采购代理机构提出质疑，逾期提出的，采购人、采购代理机构可不予受理。对招标文件提出质疑的，质疑期限为供应商获得招标文件之日或者招标文件公告期限届满之日起计算。对采购过程提出质疑的，质疑期限为各采购程序环节结束之日起计算。对采购结果提出质疑的，质疑期限自采购结果公告期限届满之日起计算。</w:t>
      </w:r>
    </w:p>
    <w:p w14:paraId="3C06262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投标人应以书面形式向采购人、采购代理机构提出质疑，质疑函须使用财政部制定的《政府采购供应商质疑函范本》格式，详见本章附件二“政府采购供应商询问函和质疑函范本”。质疑材料应当采用中文，有关材料是外文的，应当同时提供其中文译本。</w:t>
      </w:r>
    </w:p>
    <w:p w14:paraId="7EAF66E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9.2.2 接收质疑的联系方式见投标人须知前附表，采购人、采购代理机构在收到质疑函后7个工作日内作出答复。</w:t>
      </w:r>
    </w:p>
    <w:p w14:paraId="078A638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9.2.3 投标人为自然人的，质疑函应当由本人签字；投标人为法人或者其他组织的，质疑函应当由法定代表人、主要负责人，或者其授权代表签字或者盖章，并加盖公章，附法定代表人（单位负责人）及其委托联系人的有效身份证复印件。</w:t>
      </w:r>
    </w:p>
    <w:p w14:paraId="1A3A54F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9.2.4 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53B419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9.2.5 投标人应在法定质疑期内一次性提出针对同一采购程序环节的质疑，法定质疑期内针对同一采购程序环节再次提出的质疑，采购人、采购代理机构有权不予答复。质疑应当有具体的事项及根据，不得进行虚假、恶意质疑，扰乱政府采购活动正常的工作秩序。</w:t>
      </w:r>
    </w:p>
    <w:p w14:paraId="723A118D">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olor w:val="auto"/>
          <w:sz w:val="24"/>
          <w:highlight w:val="none"/>
        </w:rPr>
        <w:t xml:space="preserve">9.2.6 </w:t>
      </w:r>
      <w:r>
        <w:rPr>
          <w:rFonts w:eastAsia="仿宋"/>
          <w:color w:val="auto"/>
          <w:sz w:val="24"/>
          <w:highlight w:val="none"/>
        </w:rPr>
        <w:t>提出质疑的</w:t>
      </w:r>
      <w:r>
        <w:rPr>
          <w:rFonts w:hint="eastAsia" w:eastAsia="仿宋"/>
          <w:color w:val="auto"/>
          <w:sz w:val="24"/>
          <w:highlight w:val="none"/>
        </w:rPr>
        <w:t>投标人</w:t>
      </w:r>
      <w:r>
        <w:rPr>
          <w:rFonts w:eastAsia="仿宋"/>
          <w:color w:val="auto"/>
          <w:sz w:val="24"/>
          <w:highlight w:val="none"/>
        </w:rPr>
        <w:t>应当是参与所质疑项目采购活动的</w:t>
      </w:r>
      <w:r>
        <w:rPr>
          <w:rFonts w:hint="eastAsia" w:eastAsia="仿宋"/>
          <w:color w:val="auto"/>
          <w:sz w:val="24"/>
          <w:highlight w:val="none"/>
        </w:rPr>
        <w:t>投标人</w:t>
      </w:r>
      <w:r>
        <w:rPr>
          <w:rFonts w:eastAsia="仿宋"/>
          <w:color w:val="auto"/>
          <w:sz w:val="24"/>
          <w:highlight w:val="none"/>
        </w:rPr>
        <w:t>。潜在</w:t>
      </w:r>
      <w:r>
        <w:rPr>
          <w:rFonts w:hint="eastAsia" w:eastAsia="仿宋"/>
          <w:color w:val="auto"/>
          <w:sz w:val="24"/>
          <w:highlight w:val="none"/>
        </w:rPr>
        <w:t>投标人</w:t>
      </w:r>
      <w:r>
        <w:rPr>
          <w:rFonts w:eastAsia="仿宋"/>
          <w:color w:val="auto"/>
          <w:sz w:val="24"/>
          <w:highlight w:val="none"/>
        </w:rPr>
        <w:t>已依法获取其可质疑的</w:t>
      </w:r>
      <w:r>
        <w:rPr>
          <w:rFonts w:hint="eastAsia" w:eastAsia="仿宋"/>
          <w:color w:val="auto"/>
          <w:sz w:val="24"/>
          <w:highlight w:val="none"/>
        </w:rPr>
        <w:t>招标</w:t>
      </w:r>
      <w:r>
        <w:rPr>
          <w:rFonts w:eastAsia="仿宋"/>
          <w:color w:val="auto"/>
          <w:sz w:val="24"/>
          <w:highlight w:val="none"/>
        </w:rPr>
        <w:t>文件的，可以对</w:t>
      </w:r>
      <w:r>
        <w:rPr>
          <w:rFonts w:hint="eastAsia" w:eastAsia="仿宋"/>
          <w:color w:val="auto"/>
          <w:sz w:val="24"/>
          <w:highlight w:val="none"/>
        </w:rPr>
        <w:t>招标</w:t>
      </w:r>
      <w:r>
        <w:rPr>
          <w:rFonts w:eastAsia="仿宋"/>
          <w:color w:val="auto"/>
          <w:sz w:val="24"/>
          <w:highlight w:val="none"/>
        </w:rPr>
        <w:t>文件提出</w:t>
      </w:r>
      <w:r>
        <w:rPr>
          <w:rFonts w:hint="eastAsia" w:eastAsia="仿宋"/>
          <w:color w:val="auto"/>
          <w:sz w:val="24"/>
          <w:highlight w:val="none"/>
        </w:rPr>
        <w:t>质疑</w:t>
      </w:r>
      <w:r>
        <w:rPr>
          <w:rFonts w:eastAsia="仿宋"/>
          <w:color w:val="auto"/>
          <w:sz w:val="24"/>
          <w:highlight w:val="none"/>
        </w:rPr>
        <w:t>。</w:t>
      </w:r>
    </w:p>
    <w:p w14:paraId="1C30437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9.2.7 质疑材料存在以下情形的，采购人、采购代理机构不予受理。</w:t>
      </w:r>
    </w:p>
    <w:p w14:paraId="640DE7E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（1）提起质疑的主体不是参与该政府采购项目活动的供应商；</w:t>
      </w:r>
    </w:p>
    <w:p w14:paraId="6AAB35B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（2）提起质疑的时间超过规定时限的；</w:t>
      </w:r>
    </w:p>
    <w:p w14:paraId="4D80D6C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（3）质疑材料不完整的；</w:t>
      </w:r>
    </w:p>
    <w:p w14:paraId="77D3E02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（4）质疑事项含有主观猜测等内容且未提供充分有效线索、难以查证的；</w:t>
      </w:r>
    </w:p>
    <w:p w14:paraId="3BCC535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（5）质疑</w:t>
      </w:r>
      <w:r>
        <w:rPr>
          <w:rFonts w:ascii="宋体" w:hAnsi="宋体" w:eastAsia="仿宋"/>
          <w:color w:val="auto"/>
          <w:sz w:val="24"/>
          <w:highlight w:val="none"/>
        </w:rPr>
        <w:t>事项缺乏事实依据，</w:t>
      </w:r>
      <w:r>
        <w:rPr>
          <w:rFonts w:hint="eastAsia" w:ascii="宋体" w:hAnsi="宋体" w:eastAsia="仿宋"/>
          <w:color w:val="auto"/>
          <w:sz w:val="24"/>
          <w:highlight w:val="none"/>
        </w:rPr>
        <w:t>质疑</w:t>
      </w:r>
      <w:r>
        <w:rPr>
          <w:rFonts w:ascii="宋体" w:hAnsi="宋体" w:eastAsia="仿宋"/>
          <w:color w:val="auto"/>
          <w:sz w:val="24"/>
          <w:highlight w:val="none"/>
        </w:rPr>
        <w:t>事项不成立</w:t>
      </w:r>
      <w:r>
        <w:rPr>
          <w:rFonts w:hint="eastAsia" w:ascii="宋体" w:hAnsi="宋体" w:eastAsia="仿宋"/>
          <w:color w:val="auto"/>
          <w:sz w:val="24"/>
          <w:highlight w:val="none"/>
        </w:rPr>
        <w:t>的；</w:t>
      </w:r>
    </w:p>
    <w:p w14:paraId="7F6385E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w:t>
      </w:r>
      <w:r>
        <w:rPr>
          <w:rFonts w:ascii="宋体" w:hAnsi="宋体" w:eastAsia="仿宋"/>
          <w:color w:val="auto"/>
          <w:sz w:val="24"/>
          <w:highlight w:val="none"/>
        </w:rPr>
        <w:t>捏造事实或者提供虚假材料；</w:t>
      </w:r>
    </w:p>
    <w:p w14:paraId="4A91FC4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w:t>
      </w:r>
      <w:r>
        <w:rPr>
          <w:rFonts w:ascii="宋体" w:hAnsi="宋体" w:eastAsia="仿宋"/>
          <w:color w:val="auto"/>
          <w:sz w:val="24"/>
          <w:highlight w:val="none"/>
        </w:rPr>
        <w:t>以非法手段取得证明材料。</w:t>
      </w:r>
      <w:r>
        <w:rPr>
          <w:rFonts w:hint="eastAsia" w:ascii="宋体" w:hAnsi="宋体" w:eastAsia="仿宋"/>
          <w:color w:val="auto"/>
          <w:sz w:val="24"/>
          <w:highlight w:val="none"/>
        </w:rPr>
        <w:t>证明材料</w:t>
      </w:r>
      <w:r>
        <w:rPr>
          <w:rFonts w:ascii="宋体" w:hAnsi="宋体" w:eastAsia="仿宋"/>
          <w:color w:val="auto"/>
          <w:sz w:val="24"/>
          <w:highlight w:val="none"/>
        </w:rPr>
        <w:t>来源的合法性存在明显疑问，</w:t>
      </w:r>
      <w:r>
        <w:rPr>
          <w:rFonts w:hint="eastAsia" w:ascii="宋体" w:hAnsi="宋体" w:eastAsia="仿宋"/>
          <w:color w:val="auto"/>
          <w:sz w:val="24"/>
          <w:highlight w:val="none"/>
        </w:rPr>
        <w:t>质疑</w:t>
      </w:r>
      <w:r>
        <w:rPr>
          <w:rFonts w:ascii="宋体" w:hAnsi="宋体" w:eastAsia="仿宋"/>
          <w:color w:val="auto"/>
          <w:sz w:val="24"/>
          <w:highlight w:val="none"/>
        </w:rPr>
        <w:t>人无法证明其取得方式合法的，视为以非法手段取得证明材料</w:t>
      </w:r>
      <w:r>
        <w:rPr>
          <w:rFonts w:hint="eastAsia" w:ascii="宋体" w:hAnsi="宋体" w:eastAsia="仿宋"/>
          <w:color w:val="auto"/>
          <w:sz w:val="24"/>
          <w:highlight w:val="none"/>
        </w:rPr>
        <w:t>；</w:t>
      </w:r>
    </w:p>
    <w:p w14:paraId="1E0F69B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（8）对其他投标人的投标文件详细内容质疑，无法提供合法来源渠道的。</w:t>
      </w:r>
    </w:p>
    <w:p w14:paraId="5D96801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9.2.8 质疑人在答复期满前撤回质疑的，应由法定代表人或授权代表人签字确认。质疑人不得以同一理由再次提出质疑。</w:t>
      </w:r>
    </w:p>
    <w:p w14:paraId="683479A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9.2.9 因处理质疑发生的检验、检测、鉴定等费用，</w:t>
      </w:r>
      <w:r>
        <w:rPr>
          <w:rFonts w:ascii="宋体" w:hAnsi="宋体" w:eastAsia="仿宋"/>
          <w:color w:val="auto"/>
          <w:sz w:val="24"/>
          <w:highlight w:val="none"/>
        </w:rPr>
        <w:t>由提出申请的</w:t>
      </w:r>
      <w:r>
        <w:rPr>
          <w:rFonts w:hint="eastAsia" w:ascii="宋体" w:hAnsi="宋体" w:eastAsia="仿宋"/>
          <w:color w:val="auto"/>
          <w:sz w:val="24"/>
          <w:highlight w:val="none"/>
        </w:rPr>
        <w:t>投标人</w:t>
      </w:r>
      <w:r>
        <w:rPr>
          <w:rFonts w:ascii="宋体" w:hAnsi="宋体" w:eastAsia="仿宋"/>
          <w:color w:val="auto"/>
          <w:sz w:val="24"/>
          <w:highlight w:val="none"/>
        </w:rPr>
        <w:t>先行垫付。</w:t>
      </w:r>
      <w:r>
        <w:rPr>
          <w:rFonts w:hint="eastAsia" w:ascii="宋体" w:hAnsi="宋体" w:eastAsia="仿宋"/>
          <w:color w:val="auto"/>
          <w:sz w:val="24"/>
          <w:highlight w:val="none"/>
        </w:rPr>
        <w:t>质疑处理决定各方无异议</w:t>
      </w:r>
      <w:r>
        <w:rPr>
          <w:rFonts w:ascii="宋体" w:hAnsi="宋体" w:eastAsia="仿宋"/>
          <w:color w:val="auto"/>
          <w:sz w:val="24"/>
          <w:highlight w:val="none"/>
        </w:rPr>
        <w:t>后，按照</w:t>
      </w:r>
      <w:r>
        <w:rPr>
          <w:rFonts w:hint="eastAsia" w:ascii="宋体" w:hAnsi="宋体" w:eastAsia="仿宋"/>
          <w:color w:val="auto"/>
          <w:sz w:val="24"/>
          <w:highlight w:val="none"/>
        </w:rPr>
        <w:t>“</w:t>
      </w:r>
      <w:r>
        <w:rPr>
          <w:rFonts w:ascii="宋体" w:hAnsi="宋体" w:eastAsia="仿宋"/>
          <w:color w:val="auto"/>
          <w:sz w:val="24"/>
          <w:highlight w:val="none"/>
        </w:rPr>
        <w:t>谁过错谁负担</w:t>
      </w:r>
      <w:r>
        <w:rPr>
          <w:rFonts w:hint="eastAsia" w:ascii="宋体" w:hAnsi="宋体" w:eastAsia="仿宋"/>
          <w:color w:val="auto"/>
          <w:sz w:val="24"/>
          <w:highlight w:val="none"/>
        </w:rPr>
        <w:t>”</w:t>
      </w:r>
      <w:r>
        <w:rPr>
          <w:rFonts w:ascii="宋体" w:hAnsi="宋体" w:eastAsia="仿宋"/>
          <w:color w:val="auto"/>
          <w:sz w:val="24"/>
          <w:highlight w:val="none"/>
        </w:rPr>
        <w:t>的原则由承担责任的一方负担；双方都有责任的，由双方合理分担。</w:t>
      </w:r>
    </w:p>
    <w:p w14:paraId="6D261FF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9.2.10 投标人不得以质疑为名进行虚假、恶意质疑，扰乱政府采购正常的工作秩序。投标人有下列情形之一的，属于虚假、恶意质疑，被质疑人应当驳回质疑，并向同级政府采购监督管理部门报告，将其列入不良行为记录名单，并依法予以处罚：</w:t>
      </w:r>
    </w:p>
    <w:p w14:paraId="627A879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（1）一年内三次以上质疑均查无实据的；</w:t>
      </w:r>
    </w:p>
    <w:p w14:paraId="61269DB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（2）捏造事实或者提供虚假质疑材料的；</w:t>
      </w:r>
    </w:p>
    <w:p w14:paraId="51395A09">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以非法手段取</w:t>
      </w:r>
      <w:r>
        <w:rPr>
          <w:rFonts w:eastAsia="仿宋"/>
          <w:color w:val="auto"/>
          <w:sz w:val="24"/>
          <w:highlight w:val="none"/>
        </w:rPr>
        <w:t>得证明材料。</w:t>
      </w:r>
      <w:r>
        <w:rPr>
          <w:rFonts w:hint="eastAsia" w:eastAsia="仿宋"/>
          <w:color w:val="auto"/>
          <w:sz w:val="24"/>
          <w:highlight w:val="none"/>
        </w:rPr>
        <w:t>证明材料</w:t>
      </w:r>
      <w:r>
        <w:rPr>
          <w:rFonts w:eastAsia="仿宋"/>
          <w:color w:val="auto"/>
          <w:sz w:val="24"/>
          <w:highlight w:val="none"/>
        </w:rPr>
        <w:t>来源的合法性存在明显疑问，</w:t>
      </w:r>
      <w:r>
        <w:rPr>
          <w:rFonts w:hint="eastAsia" w:eastAsia="仿宋"/>
          <w:color w:val="auto"/>
          <w:sz w:val="24"/>
          <w:highlight w:val="none"/>
        </w:rPr>
        <w:t>质疑</w:t>
      </w:r>
      <w:r>
        <w:rPr>
          <w:rFonts w:eastAsia="仿宋"/>
          <w:color w:val="auto"/>
          <w:sz w:val="24"/>
          <w:highlight w:val="none"/>
        </w:rPr>
        <w:t>人无法证明其取得方式</w:t>
      </w:r>
      <w:r>
        <w:rPr>
          <w:rFonts w:ascii="宋体" w:hAnsi="宋体" w:eastAsia="仿宋"/>
          <w:color w:val="auto"/>
          <w:sz w:val="24"/>
          <w:highlight w:val="none"/>
        </w:rPr>
        <w:t>合法的，视为以非法手段取得证明材料</w:t>
      </w:r>
      <w:r>
        <w:rPr>
          <w:rFonts w:hint="eastAsia" w:ascii="宋体" w:hAnsi="宋体" w:eastAsia="仿宋"/>
          <w:color w:val="auto"/>
          <w:sz w:val="24"/>
          <w:highlight w:val="none"/>
        </w:rPr>
        <w:t>。</w:t>
      </w:r>
    </w:p>
    <w:p w14:paraId="59BAC246">
      <w:pPr>
        <w:pStyle w:val="3"/>
        <w:rPr>
          <w:rStyle w:val="23"/>
          <w:rFonts w:hint="eastAsia" w:ascii="宋体" w:hAnsi="宋体" w:eastAsia="仿宋"/>
          <w:b/>
          <w:bCs/>
          <w:color w:val="auto"/>
          <w:sz w:val="24"/>
          <w:szCs w:val="24"/>
          <w:highlight w:val="none"/>
        </w:rPr>
      </w:pPr>
      <w:r>
        <w:rPr>
          <w:rStyle w:val="23"/>
          <w:rFonts w:hint="eastAsia" w:ascii="宋体" w:hAnsi="宋体" w:eastAsia="仿宋"/>
          <w:b/>
          <w:bCs/>
          <w:color w:val="auto"/>
          <w:sz w:val="24"/>
          <w:szCs w:val="24"/>
          <w:highlight w:val="none"/>
        </w:rPr>
        <w:t>10. 纪律和监督</w:t>
      </w:r>
      <w:bookmarkEnd w:id="678"/>
      <w:bookmarkEnd w:id="679"/>
      <w:bookmarkEnd w:id="680"/>
      <w:bookmarkEnd w:id="681"/>
      <w:bookmarkEnd w:id="682"/>
    </w:p>
    <w:p w14:paraId="3C7A59AD">
      <w:pPr>
        <w:pStyle w:val="4"/>
        <w:adjustRightInd w:val="0"/>
        <w:ind w:firstLine="482" w:firstLineChars="200"/>
        <w:rPr>
          <w:rFonts w:eastAsia="仿宋"/>
          <w:color w:val="auto"/>
          <w:sz w:val="24"/>
          <w:highlight w:val="none"/>
          <w:lang w:eastAsia="zh-CN"/>
        </w:rPr>
      </w:pPr>
      <w:bookmarkStart w:id="683" w:name="_Toc342296208"/>
      <w:bookmarkStart w:id="684" w:name="_Toc338943746"/>
      <w:bookmarkStart w:id="685" w:name="_Toc152045575"/>
      <w:bookmarkStart w:id="686" w:name="_Toc144974543"/>
      <w:bookmarkStart w:id="687" w:name="_Toc455587080"/>
      <w:bookmarkStart w:id="688" w:name="_Toc333599705"/>
      <w:bookmarkStart w:id="689" w:name="_Toc338944651"/>
      <w:bookmarkStart w:id="690" w:name="_Toc333587899"/>
      <w:bookmarkStart w:id="691" w:name="_Toc342294760"/>
      <w:bookmarkStart w:id="692" w:name="_Toc466024547"/>
      <w:bookmarkStart w:id="693" w:name="_Toc179632593"/>
      <w:bookmarkStart w:id="694" w:name="_Toc152042351"/>
      <w:bookmarkStart w:id="695" w:name="_Toc371415965"/>
      <w:bookmarkStart w:id="696" w:name="_Toc455587264"/>
      <w:bookmarkStart w:id="697" w:name="_Toc342297665"/>
      <w:bookmarkStart w:id="698" w:name="_Toc333600729"/>
      <w:bookmarkStart w:id="699" w:name="_Toc445554738"/>
      <w:bookmarkStart w:id="700" w:name="_Toc458504865"/>
      <w:r>
        <w:rPr>
          <w:rFonts w:hint="eastAsia" w:eastAsia="仿宋"/>
          <w:color w:val="auto"/>
          <w:sz w:val="24"/>
          <w:highlight w:val="none"/>
          <w:lang w:eastAsia="zh-CN"/>
        </w:rPr>
        <w:t>10.1 对采购人的纪律要求</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3AAF064E">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采购人不得泄露招标投标活动中应当保密的情况和资料，不得与投标人串通损害国家利益、社会公共利益或者他人合法权益。</w:t>
      </w:r>
    </w:p>
    <w:p w14:paraId="7C1C5AD1">
      <w:pPr>
        <w:pStyle w:val="4"/>
        <w:adjustRightInd w:val="0"/>
        <w:ind w:firstLine="482" w:firstLineChars="200"/>
        <w:rPr>
          <w:rFonts w:eastAsia="仿宋"/>
          <w:color w:val="auto"/>
          <w:sz w:val="24"/>
          <w:highlight w:val="none"/>
          <w:lang w:eastAsia="zh-CN"/>
        </w:rPr>
      </w:pPr>
      <w:bookmarkStart w:id="701" w:name="_Toc333587900"/>
      <w:bookmarkStart w:id="702" w:name="_Toc342294761"/>
      <w:bookmarkStart w:id="703" w:name="_Toc144974544"/>
      <w:bookmarkStart w:id="704" w:name="_Toc342297666"/>
      <w:bookmarkStart w:id="705" w:name="_Toc333599706"/>
      <w:bookmarkStart w:id="706" w:name="_Toc338944652"/>
      <w:bookmarkStart w:id="707" w:name="_Toc152045576"/>
      <w:bookmarkStart w:id="708" w:name="_Toc458504866"/>
      <w:bookmarkStart w:id="709" w:name="_Toc179632594"/>
      <w:bookmarkStart w:id="710" w:name="_Toc455587265"/>
      <w:bookmarkStart w:id="711" w:name="_Toc445554739"/>
      <w:bookmarkStart w:id="712" w:name="_Toc455587081"/>
      <w:bookmarkStart w:id="713" w:name="_Toc333600730"/>
      <w:bookmarkStart w:id="714" w:name="_Toc466024548"/>
      <w:bookmarkStart w:id="715" w:name="_Toc338943747"/>
      <w:bookmarkStart w:id="716" w:name="_Toc342296209"/>
      <w:bookmarkStart w:id="717" w:name="_Toc371415966"/>
      <w:bookmarkStart w:id="718" w:name="_Toc152042352"/>
      <w:r>
        <w:rPr>
          <w:rFonts w:hint="eastAsia" w:eastAsia="仿宋"/>
          <w:color w:val="auto"/>
          <w:sz w:val="24"/>
          <w:highlight w:val="none"/>
          <w:lang w:eastAsia="zh-CN"/>
        </w:rPr>
        <w:t>10.2 对投标人的纪律要求</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6FD1E7F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167EEAE5">
      <w:pPr>
        <w:pStyle w:val="3"/>
        <w:rPr>
          <w:rStyle w:val="23"/>
          <w:rFonts w:hint="eastAsia" w:ascii="宋体" w:hAnsi="宋体" w:eastAsia="仿宋"/>
          <w:b/>
          <w:bCs/>
          <w:color w:val="auto"/>
          <w:sz w:val="24"/>
          <w:szCs w:val="24"/>
          <w:highlight w:val="none"/>
        </w:rPr>
      </w:pPr>
      <w:bookmarkStart w:id="719" w:name="_Toc179632598"/>
      <w:bookmarkStart w:id="720" w:name="_Toc342296213"/>
      <w:bookmarkStart w:id="721" w:name="_Toc333600734"/>
      <w:bookmarkStart w:id="722" w:name="_Toc458504870"/>
      <w:bookmarkStart w:id="723" w:name="_Toc333599710"/>
      <w:bookmarkStart w:id="724" w:name="_Toc445554743"/>
      <w:bookmarkStart w:id="725" w:name="_Toc455587085"/>
      <w:bookmarkStart w:id="726" w:name="_Toc152045580"/>
      <w:bookmarkStart w:id="727" w:name="_Toc342297670"/>
      <w:bookmarkStart w:id="728" w:name="_Toc338944656"/>
      <w:bookmarkStart w:id="729" w:name="_Toc466024552"/>
      <w:bookmarkStart w:id="730" w:name="_Toc144974547"/>
      <w:bookmarkStart w:id="731" w:name="_Toc338943751"/>
      <w:bookmarkStart w:id="732" w:name="_Toc371415963"/>
      <w:bookmarkStart w:id="733" w:name="_Toc152042357"/>
      <w:bookmarkStart w:id="734" w:name="_Toc342294765"/>
      <w:bookmarkStart w:id="735" w:name="_Toc455587269"/>
      <w:r>
        <w:rPr>
          <w:rStyle w:val="23"/>
          <w:rFonts w:hint="eastAsia" w:ascii="宋体" w:hAnsi="宋体" w:eastAsia="仿宋"/>
          <w:b/>
          <w:bCs/>
          <w:color w:val="auto"/>
          <w:sz w:val="24"/>
          <w:szCs w:val="24"/>
          <w:highlight w:val="none"/>
        </w:rPr>
        <w:t>11. 政府采购政策</w:t>
      </w:r>
    </w:p>
    <w:p w14:paraId="4BD41842">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11.1 节能与环保</w:t>
      </w:r>
    </w:p>
    <w:p w14:paraId="390EDE59">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11.1.1 采购标的在《关于印发节能产品政府采购品目清单的通知》（财库〔2019〕19号）清单内的，应当实行强制采购或优先采购。投标人所投产品如不具备国家确定的认证机构出具的、处于有效期内的节字标志认证证书，其投标将被认定为投标无效（产品属于强制采购）或不具有优先采购的条件（产品属于优先采购）。本次招标实行政府强制采购的节能产品详见投标人须知前附表。</w:t>
      </w:r>
    </w:p>
    <w:p w14:paraId="102B4534">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11.1.2 采购标的在《关于印发环境标志产品政府采购品目清单的通知》（财库〔2019〕18号）清单内的，应当实行优先采购。投标人所投产品如不具备国家确定的认证机构出具的、处于有效期内的环境标志产品认证证书，其投标不具有优先采购的条件。</w:t>
      </w:r>
    </w:p>
    <w:p w14:paraId="1B0B2E5E">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11.2 促进中小企业发展</w:t>
      </w:r>
    </w:p>
    <w:p w14:paraId="6A645714">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11.2.1根据《政府采购促进中小企业发展管理办法》（财库〔2020〕46号）规定，投标人提供的货物、工程或者服务符合下列情形的，享受本条规定的中小企业扶持政策：</w:t>
      </w:r>
    </w:p>
    <w:p w14:paraId="6DCEB124">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（1）在货物采购项目中，货物由中小企业制造，即货物由中小企业生产且使用该中小企业商号或者注册商标；</w:t>
      </w:r>
    </w:p>
    <w:p w14:paraId="60B5AAA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（2）在工程采购项目中，工程由中小企业承建，即工程施工单位为中小企业；</w:t>
      </w:r>
    </w:p>
    <w:p w14:paraId="2FAD947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（3）在服务采购项目中，服务由中小企业承接，即提供服务的人员为中小企业依照《中华人民共和国劳动合同法》订立劳动合同的从业人员。</w:t>
      </w:r>
    </w:p>
    <w:p w14:paraId="20344EE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在货物采购项目中，供应商提供的货物既有中小企业制造货物，也有大型企业制造货物的，不享受本条规定的中小企业扶持政策。</w:t>
      </w:r>
    </w:p>
    <w:p w14:paraId="504754F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以联合体形式参加政府采购活动（如接受联合体投标时），联合体各方均为中小企业的，联合体视同中小企业。其中，联合体各方均为小微企业的，联合体视同小微企业。</w:t>
      </w:r>
    </w:p>
    <w:p w14:paraId="1DCD8F1D">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中小企业应当在投标文件中提供招标文件规定格式的《中小企业声明函》，并对其真实性负责。</w:t>
      </w:r>
    </w:p>
    <w:p w14:paraId="0DB9567E">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中小企业划型标准见工信部联企业〔2011〕300号文件。</w:t>
      </w:r>
    </w:p>
    <w:p w14:paraId="2F6CAF6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11.2.2投标人须知前附表第1.1.7项规定本项目属于专门面向中小企业（含中型、小型、微型企业，下同）采购的，投标人应符合本章第11.2.1项规定外，还应符合本项目的资格要求。</w:t>
      </w:r>
    </w:p>
    <w:p w14:paraId="1666D6AC">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11.2.3</w:t>
      </w:r>
      <w:r>
        <w:rPr>
          <w:rFonts w:hint="eastAsia" w:ascii="宋体" w:hAnsi="宋体" w:eastAsia="仿宋"/>
          <w:color w:val="auto"/>
          <w:sz w:val="24"/>
          <w:highlight w:val="none"/>
        </w:rPr>
        <w:t>投标人须知前附表第1.1.7项规定</w:t>
      </w:r>
      <w:r>
        <w:rPr>
          <w:rFonts w:hint="eastAsia" w:ascii="宋体" w:hAnsi="宋体" w:eastAsia="仿宋"/>
          <w:color w:val="auto"/>
          <w:sz w:val="24"/>
          <w:highlight w:val="none"/>
          <w:lang w:bidi="en-US"/>
        </w:rPr>
        <w:t>本项目属于未预留份额专门面向中小企业采购的采购项目，以及预留份额项目中的非预留部分采购时，对小微企业的投标报价按照投标人须知前附表规定的比例给予扣除；</w:t>
      </w:r>
      <w:r>
        <w:rPr>
          <w:rFonts w:hint="eastAsia" w:ascii="宋体" w:hAnsi="宋体" w:eastAsia="仿宋"/>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对联合体或者大中型企业的报价按照投标人须知前附表规定的比例给予报价扣除。用扣除后的价格参加评审。组成联合体或者接受分包的小微企业与联合体内其他企业、分包企业之间存在直接控股、管理关系的，不享受价格扣除优惠政策。</w:t>
      </w:r>
    </w:p>
    <w:p w14:paraId="6D931B7A">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11.2.4 根据《关于政府采购支持监狱企业发展有关问题的通知》(财库〔2014〕68号)，监狱企业视同小型、微型企业。监狱企业参加政府采购活动时，提供由省级以上监狱管理局、戒毒管理局(含新疆生产建设兵团)出具的属于监狱企业的证明文件，无需提供《中小企业声明函》。</w:t>
      </w:r>
    </w:p>
    <w:p w14:paraId="3A93E282">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11.2.5 按照《财政部 民政部 中国残疾人联合会关于促进残疾人就业政府采购政策的通知》（财库〔2017〕141号）的规定，在</w:t>
      </w:r>
      <w:r>
        <w:rPr>
          <w:rFonts w:hint="eastAsia" w:ascii="宋体" w:hAnsi="宋体" w:eastAsia="仿宋"/>
          <w:color w:val="auto"/>
          <w:sz w:val="24"/>
          <w:highlight w:val="none"/>
        </w:rPr>
        <w:t>政府</w:t>
      </w:r>
      <w:r>
        <w:rPr>
          <w:rFonts w:hint="eastAsia" w:ascii="宋体" w:hAnsi="宋体" w:eastAsia="仿宋"/>
          <w:color w:val="auto"/>
          <w:sz w:val="24"/>
          <w:highlight w:val="none"/>
          <w:lang w:bidi="en-US"/>
        </w:rPr>
        <w:t>采购活动中，符合条件的残疾人福利性单位视同小型、微型企业，享受评审价格扣除的政府采购政策。符合条件的残疾人福利性单位在参加政府采购活动时，应当提供招标文件规定格式的《残疾人福利性单位声明函》，无需提供《中小企业声明函》。</w:t>
      </w:r>
    </w:p>
    <w:p w14:paraId="73F6F2F7">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11.2.6 监狱企业、残疾人福利性单位属于小微企业的，不重复享受中小企业价格评审优惠政策。</w:t>
      </w:r>
    </w:p>
    <w:p w14:paraId="4158C29F">
      <w:pPr>
        <w:widowControl/>
        <w:adjustRightInd w:val="0"/>
        <w:snapToGrid w:val="0"/>
        <w:spacing w:line="360" w:lineRule="auto"/>
        <w:ind w:firstLine="482" w:firstLineChars="200"/>
        <w:outlineLvl w:val="2"/>
        <w:rPr>
          <w:rFonts w:hint="eastAsia" w:ascii="宋体" w:hAnsi="宋体" w:eastAsia="仿宋"/>
          <w:b/>
          <w:bCs/>
          <w:color w:val="auto"/>
          <w:kern w:val="0"/>
          <w:sz w:val="24"/>
          <w:highlight w:val="none"/>
          <w:lang w:bidi="en-US"/>
        </w:rPr>
      </w:pPr>
      <w:r>
        <w:rPr>
          <w:rFonts w:hint="eastAsia" w:ascii="宋体" w:hAnsi="宋体" w:eastAsia="仿宋"/>
          <w:b/>
          <w:bCs/>
          <w:color w:val="auto"/>
          <w:kern w:val="0"/>
          <w:sz w:val="24"/>
          <w:highlight w:val="none"/>
          <w:lang w:bidi="en-US"/>
        </w:rPr>
        <w:t>11.3 采购本国货物、工程和服务</w:t>
      </w:r>
    </w:p>
    <w:p w14:paraId="2970FAD9">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w:t>
      </w:r>
      <w:r>
        <w:rPr>
          <w:rFonts w:ascii="宋体" w:hAnsi="宋体" w:eastAsia="仿宋"/>
          <w:color w:val="auto"/>
          <w:sz w:val="24"/>
          <w:highlight w:val="none"/>
          <w:lang w:bidi="en-US"/>
        </w:rPr>
        <w:t>.</w:t>
      </w:r>
      <w:r>
        <w:rPr>
          <w:rFonts w:hint="eastAsia" w:ascii="宋体" w:hAnsi="宋体" w:eastAsia="仿宋"/>
          <w:color w:val="auto"/>
          <w:sz w:val="24"/>
          <w:highlight w:val="none"/>
          <w:lang w:bidi="en-US"/>
        </w:rPr>
        <w:t>3</w:t>
      </w:r>
      <w:r>
        <w:rPr>
          <w:rFonts w:ascii="宋体" w:hAnsi="宋体" w:eastAsia="仿宋"/>
          <w:color w:val="auto"/>
          <w:sz w:val="24"/>
          <w:highlight w:val="none"/>
          <w:lang w:bidi="en-US"/>
        </w:rPr>
        <w:t>.1 政府采购应当采购本国货物、工程和服务。但有《中华人民共和国政府采购法》第十条规定情形的除外。</w:t>
      </w:r>
    </w:p>
    <w:p w14:paraId="2BB266E9">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w:t>
      </w:r>
      <w:r>
        <w:rPr>
          <w:rFonts w:ascii="宋体" w:hAnsi="宋体" w:eastAsia="仿宋"/>
          <w:color w:val="auto"/>
          <w:sz w:val="24"/>
          <w:highlight w:val="none"/>
          <w:lang w:bidi="en-US"/>
        </w:rPr>
        <w:t>.</w:t>
      </w:r>
      <w:r>
        <w:rPr>
          <w:rFonts w:hint="eastAsia" w:ascii="宋体" w:hAnsi="宋体" w:eastAsia="仿宋"/>
          <w:color w:val="auto"/>
          <w:sz w:val="24"/>
          <w:highlight w:val="none"/>
          <w:lang w:bidi="en-US"/>
        </w:rPr>
        <w:t>3</w:t>
      </w:r>
      <w:r>
        <w:rPr>
          <w:rFonts w:ascii="宋体" w:hAnsi="宋体" w:eastAsia="仿宋"/>
          <w:color w:val="auto"/>
          <w:sz w:val="24"/>
          <w:highlight w:val="none"/>
          <w:lang w:bidi="en-US"/>
        </w:rPr>
        <w:t>.2 本项目进口产品采购情况见投标人须知前附表。本项目如接受非本国货物、工程、服务参与投标，则具体要求见第</w:t>
      </w:r>
      <w:r>
        <w:rPr>
          <w:rFonts w:hint="eastAsia" w:ascii="宋体" w:hAnsi="宋体" w:eastAsia="仿宋"/>
          <w:color w:val="auto"/>
          <w:sz w:val="24"/>
          <w:highlight w:val="none"/>
          <w:lang w:bidi="en-US"/>
        </w:rPr>
        <w:t>三</w:t>
      </w:r>
      <w:r>
        <w:rPr>
          <w:rFonts w:ascii="宋体" w:hAnsi="宋体" w:eastAsia="仿宋"/>
          <w:color w:val="auto"/>
          <w:sz w:val="24"/>
          <w:highlight w:val="none"/>
          <w:lang w:bidi="en-US"/>
        </w:rPr>
        <w:t>章《采购需求》。</w:t>
      </w:r>
    </w:p>
    <w:p w14:paraId="66779173">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w:t>
      </w:r>
      <w:r>
        <w:rPr>
          <w:rFonts w:ascii="宋体" w:hAnsi="宋体" w:eastAsia="仿宋"/>
          <w:color w:val="auto"/>
          <w:sz w:val="24"/>
          <w:highlight w:val="none"/>
          <w:lang w:bidi="en-US"/>
        </w:rPr>
        <w:t>.</w:t>
      </w:r>
      <w:r>
        <w:rPr>
          <w:rFonts w:hint="eastAsia" w:ascii="宋体" w:hAnsi="宋体" w:eastAsia="仿宋"/>
          <w:color w:val="auto"/>
          <w:sz w:val="24"/>
          <w:highlight w:val="none"/>
          <w:lang w:bidi="en-US"/>
        </w:rPr>
        <w:t>3</w:t>
      </w:r>
      <w:r>
        <w:rPr>
          <w:rFonts w:ascii="宋体" w:hAnsi="宋体" w:eastAsia="仿宋"/>
          <w:color w:val="auto"/>
          <w:sz w:val="24"/>
          <w:highlight w:val="none"/>
          <w:lang w:bidi="en-US"/>
        </w:rPr>
        <w:t>.3 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D9257C3">
      <w:pPr>
        <w:widowControl/>
        <w:adjustRightInd w:val="0"/>
        <w:snapToGrid w:val="0"/>
        <w:spacing w:line="360" w:lineRule="auto"/>
        <w:ind w:firstLine="482" w:firstLineChars="200"/>
        <w:outlineLvl w:val="2"/>
        <w:rPr>
          <w:rFonts w:hint="eastAsia" w:ascii="宋体" w:hAnsi="宋体" w:eastAsia="仿宋"/>
          <w:b/>
          <w:bCs/>
          <w:color w:val="auto"/>
          <w:kern w:val="0"/>
          <w:sz w:val="24"/>
          <w:highlight w:val="none"/>
          <w:lang w:bidi="en-US"/>
        </w:rPr>
      </w:pPr>
      <w:r>
        <w:rPr>
          <w:rFonts w:hint="eastAsia" w:ascii="宋体" w:hAnsi="宋体" w:eastAsia="仿宋"/>
          <w:b/>
          <w:bCs/>
          <w:color w:val="auto"/>
          <w:kern w:val="0"/>
          <w:sz w:val="24"/>
          <w:highlight w:val="none"/>
          <w:lang w:bidi="en-US"/>
        </w:rPr>
        <w:t>11.4 需要执行的其他政府采购政策</w:t>
      </w:r>
    </w:p>
    <w:p w14:paraId="599D14D5">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需要执行的其他政府采购政策：见投标人须知前附表。</w:t>
      </w:r>
    </w:p>
    <w:p w14:paraId="26CE5C1B">
      <w:pPr>
        <w:pStyle w:val="3"/>
        <w:rPr>
          <w:rStyle w:val="23"/>
          <w:rFonts w:hint="eastAsia" w:ascii="宋体" w:hAnsi="宋体" w:eastAsia="仿宋"/>
          <w:b/>
          <w:bCs/>
          <w:color w:val="auto"/>
          <w:sz w:val="24"/>
          <w:szCs w:val="24"/>
          <w:highlight w:val="none"/>
        </w:rPr>
      </w:pPr>
      <w:r>
        <w:rPr>
          <w:rStyle w:val="23"/>
          <w:rFonts w:hint="eastAsia" w:ascii="宋体" w:hAnsi="宋体" w:eastAsia="仿宋"/>
          <w:b/>
          <w:bCs/>
          <w:color w:val="auto"/>
          <w:sz w:val="24"/>
          <w:szCs w:val="24"/>
          <w:highlight w:val="none"/>
        </w:rPr>
        <w:t>12. 需要补充的其他内容</w:t>
      </w:r>
    </w:p>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14:paraId="6FB785BE">
      <w:pPr>
        <w:widowControl/>
        <w:adjustRightInd w:val="0"/>
        <w:snapToGrid w:val="0"/>
        <w:spacing w:line="360" w:lineRule="auto"/>
        <w:ind w:firstLine="480" w:firstLineChars="200"/>
        <w:rPr>
          <w:rFonts w:hint="eastAsia" w:eastAsia="仿宋"/>
          <w:color w:val="auto"/>
          <w:sz w:val="24"/>
          <w:highlight w:val="none"/>
          <w:lang w:bidi="en-US"/>
        </w:rPr>
      </w:pPr>
      <w:bookmarkStart w:id="736" w:name="_Toc458504872"/>
      <w:bookmarkStart w:id="737" w:name="_Toc445554745"/>
      <w:bookmarkStart w:id="738" w:name="_Toc466024554"/>
      <w:bookmarkStart w:id="739" w:name="_Toc455587271"/>
      <w:bookmarkStart w:id="740" w:name="_Toc455587087"/>
      <w:r>
        <w:rPr>
          <w:rFonts w:hint="eastAsia" w:eastAsia="仿宋"/>
          <w:color w:val="auto"/>
          <w:sz w:val="24"/>
          <w:highlight w:val="none"/>
          <w:lang w:bidi="en-US"/>
        </w:rPr>
        <w:t>需要补充的其他内容</w:t>
      </w:r>
      <w:bookmarkEnd w:id="736"/>
      <w:bookmarkEnd w:id="737"/>
      <w:bookmarkEnd w:id="738"/>
      <w:bookmarkEnd w:id="739"/>
      <w:bookmarkEnd w:id="740"/>
      <w:r>
        <w:rPr>
          <w:rFonts w:hint="eastAsia" w:eastAsia="仿宋"/>
          <w:color w:val="auto"/>
          <w:sz w:val="24"/>
          <w:highlight w:val="none"/>
          <w:lang w:bidi="en-US"/>
        </w:rPr>
        <w:t>：见投标人须知前附表。</w:t>
      </w:r>
    </w:p>
    <w:p w14:paraId="41B50146">
      <w:pPr>
        <w:pStyle w:val="3"/>
        <w:jc w:val="center"/>
        <w:rPr>
          <w:rFonts w:eastAsia="黑体"/>
          <w:color w:val="auto"/>
          <w:highlight w:val="none"/>
        </w:rPr>
      </w:pPr>
      <w:r>
        <w:rPr>
          <w:rFonts w:ascii="宋体" w:hAnsi="宋体" w:eastAsia="仿宋"/>
          <w:color w:val="auto"/>
          <w:szCs w:val="21"/>
          <w:highlight w:val="none"/>
        </w:rPr>
        <w:br w:type="page"/>
      </w:r>
      <w:bookmarkStart w:id="741" w:name="_Toc24418"/>
      <w:bookmarkStart w:id="742" w:name="_Hlk44246314"/>
      <w:r>
        <w:rPr>
          <w:rFonts w:eastAsia="黑体"/>
          <w:color w:val="auto"/>
          <w:highlight w:val="none"/>
        </w:rPr>
        <w:t>附件</w:t>
      </w:r>
      <w:r>
        <w:rPr>
          <w:rFonts w:hint="eastAsia" w:eastAsia="黑体"/>
          <w:color w:val="auto"/>
          <w:highlight w:val="none"/>
        </w:rPr>
        <w:t>一</w:t>
      </w:r>
      <w:r>
        <w:rPr>
          <w:rFonts w:eastAsia="黑体"/>
          <w:color w:val="auto"/>
          <w:highlight w:val="none"/>
        </w:rPr>
        <w:t>：</w:t>
      </w:r>
      <w:r>
        <w:rPr>
          <w:rFonts w:hint="eastAsia" w:eastAsia="黑体"/>
          <w:color w:val="auto"/>
          <w:highlight w:val="none"/>
        </w:rPr>
        <w:t>全流程电子招标采购</w:t>
      </w:r>
      <w:r>
        <w:rPr>
          <w:rFonts w:eastAsia="黑体"/>
          <w:color w:val="auto"/>
          <w:highlight w:val="none"/>
        </w:rPr>
        <w:t>具体要求</w:t>
      </w:r>
      <w:bookmarkEnd w:id="741"/>
    </w:p>
    <w:bookmarkEnd w:id="742"/>
    <w:p w14:paraId="6FDE4C7E">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说明：当采用非招标方式进行全流程电子采购活动时，按照本规定执行，其中本要求“投标人”按“供应商”理解，“投标文件”按“响应文件”理解，“招标文件”按“采购文件”理解，“投标文件递交截止时间”按“首次递交响应文件截止时间”理解，“开标”按“开启响应文件”理解，“</w:t>
      </w:r>
      <w:r>
        <w:rPr>
          <w:rFonts w:ascii="黑体" w:hAnsi="黑体" w:eastAsia="黑体"/>
          <w:color w:val="auto"/>
          <w:highlight w:val="none"/>
        </w:rPr>
        <w:t>评标委员会</w:t>
      </w:r>
      <w:r>
        <w:rPr>
          <w:rFonts w:hint="eastAsia" w:ascii="黑体" w:hAnsi="黑体" w:eastAsia="黑体"/>
          <w:color w:val="auto"/>
          <w:highlight w:val="none"/>
        </w:rPr>
        <w:t>”按“评审小组”理解，“投标无效”按“响应文件无效”理解。</w:t>
      </w:r>
    </w:p>
    <w:p w14:paraId="6ABC6AC7">
      <w:pPr>
        <w:spacing w:line="400" w:lineRule="exact"/>
        <w:ind w:firstLine="420" w:firstLineChars="200"/>
        <w:rPr>
          <w:rFonts w:ascii="黑体" w:hAnsi="黑体" w:eastAsia="黑体"/>
          <w:color w:val="auto"/>
          <w:highlight w:val="none"/>
        </w:rPr>
      </w:pPr>
    </w:p>
    <w:p w14:paraId="4D322428">
      <w:pPr>
        <w:spacing w:line="400" w:lineRule="exact"/>
        <w:ind w:firstLine="420" w:firstLineChars="200"/>
        <w:rPr>
          <w:rFonts w:hint="eastAsia" w:ascii="黑体" w:hAnsi="黑体" w:eastAsia="黑体"/>
          <w:color w:val="auto"/>
          <w:highlight w:val="none"/>
        </w:rPr>
      </w:pPr>
      <w:r>
        <w:rPr>
          <w:rFonts w:hint="eastAsia" w:ascii="黑体" w:hAnsi="黑体" w:eastAsia="黑体"/>
          <w:color w:val="auto"/>
          <w:highlight w:val="none"/>
        </w:rPr>
        <w:t>一</w:t>
      </w:r>
      <w:r>
        <w:rPr>
          <w:rFonts w:ascii="黑体" w:hAnsi="黑体" w:eastAsia="黑体"/>
          <w:color w:val="auto"/>
          <w:highlight w:val="none"/>
        </w:rPr>
        <w:t>、</w:t>
      </w:r>
      <w:r>
        <w:rPr>
          <w:rFonts w:hint="eastAsia"/>
          <w:color w:val="auto"/>
          <w:highlight w:val="none"/>
        </w:rPr>
        <w:t>CA</w:t>
      </w:r>
      <w:r>
        <w:rPr>
          <w:rFonts w:hint="eastAsia" w:ascii="黑体" w:hAnsi="黑体" w:eastAsia="黑体"/>
          <w:color w:val="auto"/>
          <w:highlight w:val="none"/>
        </w:rPr>
        <w:t>证书办理和</w:t>
      </w:r>
      <w:r>
        <w:rPr>
          <w:rFonts w:ascii="黑体" w:hAnsi="黑体" w:eastAsia="黑体"/>
          <w:color w:val="auto"/>
          <w:highlight w:val="none"/>
        </w:rPr>
        <w:t>注意事项</w:t>
      </w:r>
    </w:p>
    <w:p w14:paraId="1FE2B4D3">
      <w:pPr>
        <w:spacing w:line="400" w:lineRule="exact"/>
        <w:ind w:firstLine="420" w:firstLineChars="200"/>
        <w:rPr>
          <w:color w:val="auto"/>
          <w:highlight w:val="none"/>
        </w:rPr>
      </w:pPr>
      <w:r>
        <w:rPr>
          <w:rFonts w:ascii="宋体" w:hAnsi="宋体"/>
          <w:color w:val="auto"/>
          <w:highlight w:val="none"/>
        </w:rPr>
        <w:t>1.</w:t>
      </w:r>
      <w:r>
        <w:rPr>
          <w:rFonts w:hint="eastAsia" w:ascii="宋体" w:hAnsi="宋体"/>
          <w:color w:val="auto"/>
          <w:highlight w:val="none"/>
        </w:rPr>
        <w:t>本项目采用全流程电子招标采购方式，</w:t>
      </w:r>
      <w:r>
        <w:rPr>
          <w:rFonts w:hint="eastAsia"/>
          <w:color w:val="auto"/>
          <w:highlight w:val="none"/>
        </w:rPr>
        <w:t>潜在投标人应及时办理CA证书，用于对投标文件进行电子签章及加、解密。</w:t>
      </w:r>
    </w:p>
    <w:p w14:paraId="5CAA80B5">
      <w:pPr>
        <w:spacing w:line="400" w:lineRule="exact"/>
        <w:ind w:firstLine="420" w:firstLineChars="200"/>
        <w:rPr>
          <w:bCs/>
          <w:color w:val="auto"/>
          <w:highlight w:val="none"/>
        </w:rPr>
      </w:pPr>
      <w:r>
        <w:rPr>
          <w:rFonts w:ascii="宋体" w:hAnsi="宋体"/>
          <w:color w:val="auto"/>
          <w:highlight w:val="none"/>
        </w:rPr>
        <w:t>2.</w:t>
      </w:r>
      <w:r>
        <w:rPr>
          <w:rFonts w:hint="eastAsia" w:ascii="宋体" w:hAnsi="宋体"/>
          <w:color w:val="auto"/>
          <w:highlight w:val="none"/>
        </w:rPr>
        <w:t>CA</w:t>
      </w:r>
      <w:r>
        <w:rPr>
          <w:rFonts w:hint="eastAsia"/>
          <w:color w:val="auto"/>
          <w:highlight w:val="none"/>
        </w:rPr>
        <w:t>证书</w:t>
      </w:r>
      <w:r>
        <w:rPr>
          <w:rFonts w:hint="eastAsia" w:ascii="宋体" w:hAnsi="宋体"/>
          <w:color w:val="auto"/>
          <w:highlight w:val="none"/>
        </w:rPr>
        <w:t>办理详见</w:t>
      </w:r>
      <w:r>
        <w:rPr>
          <w:rFonts w:hint="eastAsia"/>
          <w:bCs/>
          <w:color w:val="auto"/>
          <w:highlight w:val="none"/>
        </w:rPr>
        <w:t>《优质采平台CA数字证书办理说明》：</w:t>
      </w:r>
    </w:p>
    <w:p w14:paraId="1CAB620E">
      <w:pPr>
        <w:spacing w:line="400" w:lineRule="exact"/>
        <w:rPr>
          <w:rFonts w:hint="eastAsia"/>
          <w:b/>
          <w:bCs/>
          <w:color w:val="auto"/>
          <w:highlight w:val="none"/>
        </w:rPr>
      </w:pPr>
      <w:r>
        <w:rPr>
          <w:bCs/>
          <w:color w:val="auto"/>
          <w:highlight w:val="none"/>
          <w:u w:val="single"/>
        </w:rPr>
        <w:fldChar w:fldCharType="begin"/>
      </w:r>
      <w:r>
        <w:rPr>
          <w:bCs/>
          <w:color w:val="auto"/>
          <w:highlight w:val="none"/>
          <w:u w:val="single"/>
        </w:rPr>
        <w:instrText xml:space="preserve"> HYPERLINK "http://www.youzhicai.com/ActivityTopic/AdviceDetail/8f80a7ec-911f-4c4d-a123-f8849880f045" </w:instrText>
      </w:r>
      <w:r>
        <w:rPr>
          <w:bCs/>
          <w:color w:val="auto"/>
          <w:highlight w:val="none"/>
          <w:u w:val="single"/>
        </w:rPr>
        <w:fldChar w:fldCharType="separate"/>
      </w:r>
      <w:r>
        <w:rPr>
          <w:rStyle w:val="21"/>
          <w:bCs/>
          <w:color w:val="auto"/>
          <w:highlight w:val="none"/>
        </w:rPr>
        <w:t>http://www.youzhicai.com/ActivityTopic/AdviceDetail/8f80a7ec-911f-4c4d-a123-f</w:t>
      </w:r>
      <w:bookmarkStart w:id="743" w:name="_Hlt105085548"/>
      <w:bookmarkStart w:id="744" w:name="_Hlt105085547"/>
      <w:r>
        <w:rPr>
          <w:rStyle w:val="21"/>
          <w:bCs/>
          <w:color w:val="auto"/>
          <w:highlight w:val="none"/>
        </w:rPr>
        <w:t>8</w:t>
      </w:r>
      <w:bookmarkEnd w:id="743"/>
      <w:bookmarkEnd w:id="744"/>
      <w:r>
        <w:rPr>
          <w:rStyle w:val="21"/>
          <w:bCs/>
          <w:color w:val="auto"/>
          <w:highlight w:val="none"/>
        </w:rPr>
        <w:t>849880f045</w:t>
      </w:r>
      <w:r>
        <w:rPr>
          <w:bCs/>
          <w:color w:val="auto"/>
          <w:highlight w:val="none"/>
          <w:u w:val="single"/>
        </w:rPr>
        <w:fldChar w:fldCharType="end"/>
      </w:r>
      <w:r>
        <w:rPr>
          <w:bCs/>
          <w:color w:val="auto"/>
          <w:highlight w:val="none"/>
        </w:rPr>
        <w:t>。</w:t>
      </w:r>
    </w:p>
    <w:p w14:paraId="27AD2AA0">
      <w:pPr>
        <w:spacing w:line="400" w:lineRule="exact"/>
        <w:ind w:firstLine="420" w:firstLineChars="200"/>
        <w:rPr>
          <w:color w:val="auto"/>
          <w:highlight w:val="none"/>
        </w:rPr>
      </w:pPr>
      <w:r>
        <w:rPr>
          <w:rFonts w:ascii="宋体" w:hAnsi="宋体"/>
          <w:color w:val="auto"/>
          <w:highlight w:val="none"/>
        </w:rPr>
        <w:t>3.</w:t>
      </w:r>
      <w:r>
        <w:rPr>
          <w:rFonts w:hint="eastAsia" w:ascii="宋体" w:hAnsi="宋体"/>
          <w:color w:val="auto"/>
          <w:highlight w:val="none"/>
        </w:rPr>
        <w:t>CA</w:t>
      </w:r>
      <w:r>
        <w:rPr>
          <w:rFonts w:hint="eastAsia"/>
          <w:color w:val="auto"/>
          <w:highlight w:val="none"/>
        </w:rPr>
        <w:t>证书</w:t>
      </w:r>
      <w:r>
        <w:rPr>
          <w:rFonts w:hint="eastAsia" w:ascii="宋体" w:hAnsi="宋体"/>
          <w:color w:val="auto"/>
          <w:highlight w:val="none"/>
        </w:rPr>
        <w:t>到期或即将到期，须在递交投标文件前办理续期。</w:t>
      </w:r>
    </w:p>
    <w:p w14:paraId="69C2F5B2">
      <w:pPr>
        <w:spacing w:line="400" w:lineRule="exact"/>
        <w:ind w:firstLine="420"/>
        <w:rPr>
          <w:color w:val="auto"/>
          <w:highlight w:val="none"/>
        </w:rPr>
      </w:pPr>
      <w:r>
        <w:rPr>
          <w:rFonts w:hint="eastAsia" w:ascii="宋体" w:hAnsi="宋体"/>
          <w:color w:val="auto"/>
          <w:highlight w:val="none"/>
        </w:rPr>
        <w:t>4</w:t>
      </w:r>
      <w:r>
        <w:rPr>
          <w:rFonts w:ascii="宋体" w:hAnsi="宋体"/>
          <w:color w:val="auto"/>
          <w:highlight w:val="none"/>
        </w:rPr>
        <w:t>.</w:t>
      </w:r>
      <w:r>
        <w:rPr>
          <w:rFonts w:hint="eastAsia" w:ascii="宋体" w:hAnsi="宋体"/>
          <w:color w:val="auto"/>
          <w:highlight w:val="none"/>
        </w:rPr>
        <w:t>CA锁</w:t>
      </w:r>
      <w:r>
        <w:rPr>
          <w:rFonts w:hint="eastAsia"/>
          <w:color w:val="auto"/>
          <w:highlight w:val="none"/>
        </w:rPr>
        <w:t>遗失、损坏等无法使用，须在递交投标文件前补办CA锁。</w:t>
      </w:r>
    </w:p>
    <w:p w14:paraId="0D2CC090">
      <w:pPr>
        <w:spacing w:line="400" w:lineRule="exact"/>
        <w:ind w:firstLine="420"/>
        <w:rPr>
          <w:color w:val="auto"/>
          <w:highlight w:val="none"/>
        </w:rPr>
      </w:pPr>
      <w:r>
        <w:rPr>
          <w:rFonts w:ascii="宋体" w:hAnsi="宋体"/>
          <w:color w:val="auto"/>
          <w:highlight w:val="none"/>
        </w:rPr>
        <w:t>5.</w:t>
      </w:r>
      <w:r>
        <w:rPr>
          <w:rFonts w:hint="eastAsia" w:ascii="宋体" w:hAnsi="宋体"/>
          <w:color w:val="auto"/>
          <w:highlight w:val="none"/>
        </w:rPr>
        <w:t>企业</w:t>
      </w:r>
      <w:r>
        <w:rPr>
          <w:rFonts w:hint="eastAsia"/>
          <w:color w:val="auto"/>
          <w:highlight w:val="none"/>
        </w:rPr>
        <w:t>信息（包括但不限于企业名称和法定代表人信息）发生变更的，须在递交投标文件前变更CA证书。</w:t>
      </w:r>
    </w:p>
    <w:p w14:paraId="6B215C4B">
      <w:pPr>
        <w:spacing w:line="400" w:lineRule="exact"/>
        <w:rPr>
          <w:rFonts w:ascii="宋体" w:hAnsi="宋体"/>
          <w:color w:val="auto"/>
          <w:highlight w:val="none"/>
        </w:rPr>
      </w:pPr>
      <w:r>
        <w:rPr>
          <w:rFonts w:ascii="宋体" w:hAnsi="宋体"/>
          <w:color w:val="auto"/>
          <w:highlight w:val="none"/>
        </w:rPr>
        <w:tab/>
      </w:r>
      <w:r>
        <w:rPr>
          <w:rFonts w:ascii="宋体" w:hAnsi="宋体"/>
          <w:color w:val="auto"/>
          <w:highlight w:val="none"/>
        </w:rPr>
        <w:t>6.</w:t>
      </w:r>
      <w:r>
        <w:rPr>
          <w:rFonts w:hint="eastAsia" w:ascii="宋体" w:hAnsi="宋体"/>
          <w:color w:val="auto"/>
          <w:highlight w:val="none"/>
        </w:rPr>
        <w:t>投标人由于</w:t>
      </w:r>
      <w:r>
        <w:rPr>
          <w:rFonts w:hint="eastAsia"/>
          <w:color w:val="auto"/>
          <w:highlight w:val="none"/>
        </w:rPr>
        <w:t>CA证书</w:t>
      </w:r>
      <w:r>
        <w:rPr>
          <w:rFonts w:hint="eastAsia" w:ascii="宋体" w:hAnsi="宋体"/>
          <w:color w:val="auto"/>
          <w:highlight w:val="none"/>
        </w:rPr>
        <w:t>遗失、损坏、更换、续期、企业信息变更等情况导致投标文件无法解密的，由投标人自行承担责任；</w:t>
      </w:r>
    </w:p>
    <w:p w14:paraId="751F9825">
      <w:pPr>
        <w:spacing w:line="400" w:lineRule="exact"/>
        <w:ind w:firstLine="420" w:firstLineChars="200"/>
        <w:rPr>
          <w:rFonts w:ascii="宋体" w:hAnsi="宋体"/>
          <w:color w:val="auto"/>
          <w:highlight w:val="none"/>
        </w:rPr>
      </w:pPr>
      <w:r>
        <w:rPr>
          <w:rFonts w:ascii="宋体" w:hAnsi="宋体"/>
          <w:color w:val="auto"/>
          <w:highlight w:val="none"/>
        </w:rPr>
        <w:t>7.</w:t>
      </w:r>
      <w:r>
        <w:rPr>
          <w:rFonts w:hint="eastAsia" w:ascii="宋体" w:hAnsi="宋体"/>
          <w:color w:val="auto"/>
          <w:highlight w:val="none"/>
        </w:rPr>
        <w:t>加密和解密投标文件</w:t>
      </w:r>
      <w:r>
        <w:rPr>
          <w:rFonts w:hint="eastAsia"/>
          <w:color w:val="auto"/>
          <w:highlight w:val="none"/>
        </w:rPr>
        <w:t>必须使用同一个CA证书</w:t>
      </w:r>
      <w:r>
        <w:rPr>
          <w:rFonts w:hint="eastAsia" w:ascii="宋体" w:hAnsi="宋体"/>
          <w:color w:val="auto"/>
          <w:highlight w:val="none"/>
        </w:rPr>
        <w:t>。</w:t>
      </w:r>
    </w:p>
    <w:p w14:paraId="7114A521">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二</w:t>
      </w:r>
      <w:r>
        <w:rPr>
          <w:rFonts w:ascii="黑体" w:hAnsi="黑体" w:eastAsia="黑体"/>
          <w:color w:val="auto"/>
          <w:highlight w:val="none"/>
        </w:rPr>
        <w:t>、制作、签章、加密、上传电子投标文件</w:t>
      </w:r>
    </w:p>
    <w:p w14:paraId="05A68DB4">
      <w:pPr>
        <w:spacing w:line="400" w:lineRule="exact"/>
        <w:ind w:firstLine="420" w:firstLineChars="200"/>
        <w:rPr>
          <w:rStyle w:val="21"/>
          <w:color w:val="auto"/>
          <w:highlight w:val="none"/>
        </w:rPr>
      </w:pPr>
      <w:r>
        <w:rPr>
          <w:rFonts w:ascii="宋体" w:hAnsi="宋体"/>
          <w:color w:val="auto"/>
          <w:highlight w:val="none"/>
        </w:rPr>
        <w:t>8.</w:t>
      </w:r>
      <w:r>
        <w:rPr>
          <w:rFonts w:hint="eastAsia" w:ascii="宋体" w:hAnsi="宋体"/>
          <w:color w:val="auto"/>
          <w:highlight w:val="none"/>
        </w:rPr>
        <w:t>本项目采用全流程电子化招标采购方式，潜在</w:t>
      </w:r>
      <w:r>
        <w:rPr>
          <w:rFonts w:hint="eastAsia"/>
          <w:color w:val="auto"/>
          <w:highlight w:val="none"/>
        </w:rPr>
        <w:t>投标人需使用</w:t>
      </w:r>
      <w:r>
        <w:rPr>
          <w:rFonts w:hint="eastAsia" w:ascii="宋体" w:hAnsi="宋体"/>
          <w:color w:val="auto"/>
          <w:highlight w:val="none"/>
        </w:rPr>
        <w:t>“</w:t>
      </w:r>
      <w:r>
        <w:rPr>
          <w:rFonts w:ascii="宋体" w:hAnsi="宋体"/>
          <w:color w:val="auto"/>
          <w:highlight w:val="none"/>
        </w:rPr>
        <w:t>优质采投标工具</w:t>
      </w:r>
      <w:r>
        <w:rPr>
          <w:rFonts w:hint="eastAsia" w:ascii="宋体" w:hAnsi="宋体"/>
          <w:color w:val="auto"/>
          <w:highlight w:val="none"/>
        </w:rPr>
        <w:t>客户端”（以下简称“投标工具”）制作</w:t>
      </w:r>
      <w:r>
        <w:rPr>
          <w:color w:val="auto"/>
          <w:highlight w:val="none"/>
        </w:rPr>
        <w:t>电子投标文件</w:t>
      </w:r>
      <w:r>
        <w:rPr>
          <w:rFonts w:hint="eastAsia"/>
          <w:color w:val="auto"/>
          <w:highlight w:val="none"/>
        </w:rPr>
        <w:t>，</w:t>
      </w:r>
      <w:r>
        <w:rPr>
          <w:rFonts w:hint="eastAsia" w:ascii="宋体" w:hAnsi="宋体"/>
          <w:color w:val="auto"/>
          <w:highlight w:val="none"/>
        </w:rPr>
        <w:t>投标工具及操作说明下载地址：</w:t>
      </w:r>
      <w:r>
        <w:rPr>
          <w:rStyle w:val="21"/>
          <w:rFonts w:hint="eastAsia"/>
          <w:color w:val="auto"/>
          <w:highlight w:val="none"/>
        </w:rPr>
        <w:fldChar w:fldCharType="begin"/>
      </w:r>
      <w:r>
        <w:rPr>
          <w:rStyle w:val="21"/>
          <w:rFonts w:hint="eastAsia"/>
          <w:color w:val="auto"/>
          <w:highlight w:val="none"/>
        </w:rPr>
        <w:instrText xml:space="preserve"> HYPERLINK "https://toolcdn.youzhicai.com/tools/BidderTools.zip" </w:instrText>
      </w:r>
      <w:r>
        <w:rPr>
          <w:rStyle w:val="21"/>
          <w:rFonts w:hint="eastAsia"/>
          <w:color w:val="auto"/>
          <w:highlight w:val="none"/>
        </w:rPr>
        <w:fldChar w:fldCharType="separate"/>
      </w:r>
      <w:r>
        <w:rPr>
          <w:rStyle w:val="21"/>
          <w:rFonts w:hint="eastAsia"/>
          <w:color w:val="auto"/>
          <w:highlight w:val="none"/>
        </w:rPr>
        <w:t>https://toolcdn.youzhicai.com/tools/BidderTools.zip</w:t>
      </w:r>
      <w:r>
        <w:rPr>
          <w:rStyle w:val="21"/>
          <w:rFonts w:hint="eastAsia"/>
          <w:color w:val="auto"/>
          <w:highlight w:val="none"/>
        </w:rPr>
        <w:fldChar w:fldCharType="end"/>
      </w:r>
      <w:r>
        <w:rPr>
          <w:rStyle w:val="21"/>
          <w:rFonts w:hint="eastAsia"/>
          <w:color w:val="auto"/>
          <w:highlight w:val="none"/>
        </w:rPr>
        <w:t>。</w:t>
      </w:r>
    </w:p>
    <w:p w14:paraId="0290F1A0">
      <w:pPr>
        <w:spacing w:line="400" w:lineRule="exact"/>
        <w:ind w:firstLine="420" w:firstLineChars="200"/>
        <w:rPr>
          <w:rStyle w:val="21"/>
          <w:color w:val="auto"/>
          <w:highlight w:val="none"/>
        </w:rPr>
      </w:pPr>
      <w:r>
        <w:rPr>
          <w:rStyle w:val="21"/>
          <w:color w:val="auto"/>
          <w:highlight w:val="none"/>
        </w:rPr>
        <w:tab/>
      </w:r>
      <w:r>
        <w:rPr>
          <w:rStyle w:val="21"/>
          <w:color w:val="auto"/>
          <w:highlight w:val="none"/>
        </w:rPr>
        <w:t>8.1.投标工具建议在window7或windows10操作系统下使用；</w:t>
      </w:r>
    </w:p>
    <w:p w14:paraId="6702AFAC">
      <w:pPr>
        <w:spacing w:line="400" w:lineRule="exact"/>
        <w:ind w:firstLine="420" w:firstLineChars="200"/>
        <w:rPr>
          <w:rFonts w:hint="eastAsia"/>
          <w:bCs/>
          <w:color w:val="auto"/>
          <w:sz w:val="18"/>
          <w:highlight w:val="none"/>
        </w:rPr>
      </w:pPr>
      <w:r>
        <w:rPr>
          <w:rStyle w:val="21"/>
          <w:color w:val="auto"/>
          <w:highlight w:val="none"/>
        </w:rPr>
        <w:tab/>
      </w:r>
      <w:r>
        <w:rPr>
          <w:rStyle w:val="21"/>
          <w:color w:val="auto"/>
          <w:highlight w:val="none"/>
        </w:rPr>
        <w:t>8.2.电子投标文件编制建议使用</w:t>
      </w:r>
      <w:r>
        <w:rPr>
          <w:color w:val="auto"/>
          <w:highlight w:val="none"/>
        </w:rPr>
        <w:t>office2010版本。</w:t>
      </w:r>
    </w:p>
    <w:p w14:paraId="23A14EAB">
      <w:pPr>
        <w:wordWrap w:val="0"/>
        <w:spacing w:line="400" w:lineRule="exact"/>
        <w:rPr>
          <w:bCs/>
          <w:color w:val="auto"/>
          <w:highlight w:val="none"/>
          <w:u w:val="single"/>
        </w:rPr>
      </w:pPr>
      <w:r>
        <w:rPr>
          <w:rFonts w:ascii="宋体" w:hAnsi="宋体"/>
          <w:color w:val="auto"/>
          <w:highlight w:val="none"/>
        </w:rPr>
        <w:tab/>
      </w:r>
      <w:r>
        <w:rPr>
          <w:rFonts w:hint="eastAsia" w:ascii="宋体" w:hAnsi="宋体"/>
          <w:color w:val="auto"/>
          <w:highlight w:val="none"/>
        </w:rPr>
        <w:t>9</w:t>
      </w:r>
      <w:r>
        <w:rPr>
          <w:rFonts w:ascii="宋体" w:hAnsi="宋体"/>
          <w:color w:val="auto"/>
          <w:highlight w:val="none"/>
        </w:rPr>
        <w:t>.</w:t>
      </w:r>
      <w:r>
        <w:rPr>
          <w:rFonts w:hint="eastAsia"/>
          <w:color w:val="auto"/>
          <w:highlight w:val="none"/>
        </w:rPr>
        <w:t>潜在投标人制作电子投标文件后，需在</w:t>
      </w:r>
      <w:r>
        <w:rPr>
          <w:rFonts w:hint="eastAsia" w:ascii="宋体" w:hAnsi="宋体"/>
          <w:color w:val="auto"/>
          <w:highlight w:val="none"/>
        </w:rPr>
        <w:t>投标工具</w:t>
      </w:r>
      <w:r>
        <w:rPr>
          <w:rFonts w:hint="eastAsia"/>
          <w:color w:val="auto"/>
          <w:highlight w:val="none"/>
        </w:rPr>
        <w:t>对</w:t>
      </w:r>
      <w:r>
        <w:rPr>
          <w:color w:val="auto"/>
          <w:highlight w:val="none"/>
        </w:rPr>
        <w:t>电子</w:t>
      </w:r>
      <w:r>
        <w:rPr>
          <w:rFonts w:hint="eastAsia"/>
          <w:color w:val="auto"/>
          <w:highlight w:val="none"/>
        </w:rPr>
        <w:t>投标文件进行电子签章（项目有特殊说明的除外），并使用CA</w:t>
      </w:r>
      <w:r>
        <w:rPr>
          <w:rFonts w:hint="eastAsia" w:ascii="宋体" w:hAnsi="宋体"/>
          <w:color w:val="auto"/>
          <w:highlight w:val="none"/>
        </w:rPr>
        <w:t>证书进行</w:t>
      </w:r>
      <w:r>
        <w:rPr>
          <w:rFonts w:hint="eastAsia"/>
          <w:color w:val="auto"/>
          <w:highlight w:val="none"/>
        </w:rPr>
        <w:t>加密。在</w:t>
      </w:r>
      <w:r>
        <w:rPr>
          <w:rFonts w:hint="eastAsia" w:ascii="宋体" w:hAnsi="宋体"/>
          <w:color w:val="auto"/>
          <w:highlight w:val="none"/>
        </w:rPr>
        <w:t>投标工具使用</w:t>
      </w:r>
      <w:r>
        <w:rPr>
          <w:rFonts w:ascii="宋体" w:hAnsi="宋体"/>
          <w:color w:val="auto"/>
          <w:highlight w:val="none"/>
        </w:rPr>
        <w:t>CA证书</w:t>
      </w:r>
      <w:r>
        <w:rPr>
          <w:rFonts w:hint="eastAsia"/>
          <w:color w:val="auto"/>
          <w:highlight w:val="none"/>
        </w:rPr>
        <w:t>时需安装“优质采数字证书助手”</w:t>
      </w:r>
      <w:r>
        <w:rPr>
          <w:rFonts w:hint="eastAsia" w:ascii="宋体" w:hAnsi="宋体"/>
          <w:color w:val="auto"/>
          <w:highlight w:val="none"/>
        </w:rPr>
        <w:t xml:space="preserve"> （即数字证书驱动）</w:t>
      </w:r>
      <w:r>
        <w:rPr>
          <w:rFonts w:hint="eastAsia"/>
          <w:color w:val="auto"/>
          <w:highlight w:val="none"/>
        </w:rPr>
        <w:t>，下载地址：</w:t>
      </w:r>
      <w:r>
        <w:rPr>
          <w:rStyle w:val="21"/>
          <w:rFonts w:hint="eastAsia"/>
          <w:color w:val="auto"/>
          <w:highlight w:val="none"/>
        </w:rPr>
        <w:fldChar w:fldCharType="begin"/>
      </w:r>
      <w:r>
        <w:rPr>
          <w:rStyle w:val="21"/>
          <w:rFonts w:hint="eastAsia"/>
          <w:color w:val="auto"/>
          <w:highlight w:val="none"/>
        </w:rPr>
        <w:instrText xml:space="preserve"> HYPERLINK "https://toolcdn.youzhicai.com/ca.zip" </w:instrText>
      </w:r>
      <w:r>
        <w:rPr>
          <w:rStyle w:val="21"/>
          <w:rFonts w:hint="eastAsia"/>
          <w:color w:val="auto"/>
          <w:highlight w:val="none"/>
        </w:rPr>
        <w:fldChar w:fldCharType="separate"/>
      </w:r>
      <w:r>
        <w:rPr>
          <w:rStyle w:val="21"/>
          <w:rFonts w:hint="eastAsia"/>
          <w:color w:val="auto"/>
          <w:highlight w:val="none"/>
        </w:rPr>
        <w:t>https://toolcdn.youzhicai.com/ca.zip</w:t>
      </w:r>
      <w:r>
        <w:rPr>
          <w:rStyle w:val="21"/>
          <w:rFonts w:hint="eastAsia"/>
          <w:color w:val="auto"/>
          <w:highlight w:val="none"/>
        </w:rPr>
        <w:fldChar w:fldCharType="end"/>
      </w:r>
      <w:r>
        <w:rPr>
          <w:rStyle w:val="21"/>
          <w:rFonts w:hint="eastAsia"/>
          <w:color w:val="auto"/>
          <w:highlight w:val="none"/>
        </w:rPr>
        <w:t>。</w:t>
      </w:r>
    </w:p>
    <w:p w14:paraId="3DCFA30E">
      <w:pPr>
        <w:wordWrap w:val="0"/>
        <w:spacing w:line="400" w:lineRule="exact"/>
        <w:rPr>
          <w:rFonts w:ascii="宋体" w:hAnsi="宋体"/>
          <w:color w:val="auto"/>
          <w:highlight w:val="none"/>
        </w:rPr>
      </w:pPr>
      <w:r>
        <w:rPr>
          <w:color w:val="auto"/>
          <w:highlight w:val="none"/>
        </w:rPr>
        <w:tab/>
      </w:r>
      <w:r>
        <w:rPr>
          <w:rFonts w:ascii="宋体" w:hAnsi="宋体"/>
          <w:color w:val="auto"/>
          <w:highlight w:val="none"/>
        </w:rPr>
        <w:t>10.</w:t>
      </w:r>
      <w:r>
        <w:rPr>
          <w:rFonts w:hint="eastAsia" w:ascii="宋体" w:hAnsi="宋体"/>
          <w:color w:val="auto"/>
          <w:highlight w:val="none"/>
        </w:rPr>
        <w:t>潜在投标人完成制作、签章、加密投标文件后，需在</w:t>
      </w:r>
      <w:r>
        <w:rPr>
          <w:rFonts w:hint="eastAsia"/>
          <w:color w:val="auto"/>
          <w:highlight w:val="none"/>
        </w:rPr>
        <w:t>招标文件规定的投标截止时间前在</w:t>
      </w:r>
      <w:r>
        <w:rPr>
          <w:rFonts w:hint="eastAsia" w:ascii="宋体" w:hAnsi="宋体"/>
          <w:color w:val="auto"/>
          <w:highlight w:val="none"/>
        </w:rPr>
        <w:t>投标工具</w:t>
      </w:r>
      <w:r>
        <w:rPr>
          <w:rFonts w:hint="eastAsia"/>
          <w:color w:val="auto"/>
          <w:highlight w:val="none"/>
        </w:rPr>
        <w:t>完成上传。</w:t>
      </w:r>
      <w:r>
        <w:rPr>
          <w:rFonts w:hint="eastAsia" w:ascii="宋体" w:hAnsi="宋体"/>
          <w:color w:val="auto"/>
          <w:highlight w:val="none"/>
        </w:rPr>
        <w:t>投标截止时间以优质采云采购平台（</w:t>
      </w:r>
      <w:r>
        <w:rPr>
          <w:rFonts w:ascii="宋体" w:hAnsi="宋体"/>
          <w:color w:val="auto"/>
          <w:highlight w:val="none"/>
        </w:rPr>
        <w:t>www.youzhicai.com</w:t>
      </w:r>
      <w:r>
        <w:rPr>
          <w:rFonts w:hint="eastAsia" w:ascii="宋体" w:hAnsi="宋体"/>
          <w:color w:val="auto"/>
          <w:highlight w:val="none"/>
        </w:rPr>
        <w:t>）系统的时间为准，如未在投标截止时间前完成电子投标文件上传，系统将自动关闭上传通道。潜在投标人未完成电子投标文件上传的，视为没有递交投标文件。</w:t>
      </w:r>
    </w:p>
    <w:p w14:paraId="2BE2AB9D">
      <w:pPr>
        <w:wordWrap w:val="0"/>
        <w:spacing w:line="400" w:lineRule="exact"/>
        <w:ind w:firstLine="420"/>
        <w:rPr>
          <w:rFonts w:ascii="宋体" w:hAnsi="宋体"/>
          <w:color w:val="auto"/>
          <w:highlight w:val="none"/>
        </w:rPr>
      </w:pPr>
      <w:r>
        <w:rPr>
          <w:rFonts w:hint="eastAsia" w:ascii="宋体" w:hAnsi="宋体"/>
          <w:color w:val="auto"/>
          <w:highlight w:val="none"/>
        </w:rPr>
        <w:t>1</w:t>
      </w:r>
      <w:r>
        <w:rPr>
          <w:rFonts w:ascii="宋体" w:hAnsi="宋体"/>
          <w:color w:val="auto"/>
          <w:highlight w:val="none"/>
        </w:rPr>
        <w:t>1.</w:t>
      </w:r>
      <w:r>
        <w:rPr>
          <w:rFonts w:hint="eastAsia" w:ascii="宋体" w:hAnsi="宋体"/>
          <w:color w:val="auto"/>
          <w:highlight w:val="none"/>
        </w:rPr>
        <w:t>潜在投标人在投标文件递交截止时间前，可以对其所递交的电子投标文件进行撤回，修改后重新上传。</w:t>
      </w:r>
    </w:p>
    <w:p w14:paraId="629939C5">
      <w:pPr>
        <w:spacing w:line="400" w:lineRule="exact"/>
        <w:ind w:firstLine="420" w:firstLineChars="200"/>
        <w:rPr>
          <w:rFonts w:ascii="宋体" w:hAnsi="宋体"/>
          <w:color w:val="auto"/>
          <w:highlight w:val="none"/>
        </w:rPr>
      </w:pPr>
      <w:r>
        <w:rPr>
          <w:rFonts w:hint="eastAsia" w:ascii="宋体" w:hAnsi="宋体"/>
          <w:color w:val="auto"/>
          <w:highlight w:val="none"/>
        </w:rPr>
        <w:t>1</w:t>
      </w:r>
      <w:r>
        <w:rPr>
          <w:rFonts w:ascii="宋体" w:hAnsi="宋体"/>
          <w:color w:val="auto"/>
          <w:highlight w:val="none"/>
        </w:rPr>
        <w:t>2.</w:t>
      </w:r>
      <w:r>
        <w:rPr>
          <w:rFonts w:hint="eastAsia" w:ascii="宋体" w:hAnsi="宋体"/>
          <w:color w:val="auto"/>
          <w:highlight w:val="none"/>
        </w:rPr>
        <w:t>潜在投标人在制作、签章、加密、上传电子投标文件过程中，若存在技术操作问题，请及时联系优质采云采购平台客服人员，客服电话：</w:t>
      </w:r>
      <w:r>
        <w:rPr>
          <w:rFonts w:ascii="宋体" w:hAnsi="宋体"/>
          <w:color w:val="auto"/>
          <w:highlight w:val="none"/>
        </w:rPr>
        <w:t>400-0099-555</w:t>
      </w:r>
      <w:r>
        <w:rPr>
          <w:rFonts w:hint="eastAsia" w:ascii="宋体" w:hAnsi="宋体"/>
          <w:color w:val="auto"/>
          <w:highlight w:val="none"/>
        </w:rPr>
        <w:t>，</w:t>
      </w:r>
      <w:r>
        <w:rPr>
          <w:rFonts w:ascii="宋体" w:hAnsi="宋体"/>
          <w:color w:val="auto"/>
          <w:highlight w:val="none"/>
        </w:rPr>
        <w:t>0551-62220164</w:t>
      </w:r>
      <w:r>
        <w:rPr>
          <w:rFonts w:hint="eastAsia" w:ascii="宋体" w:hAnsi="宋体"/>
          <w:color w:val="auto"/>
          <w:highlight w:val="none"/>
        </w:rPr>
        <w:t>。</w:t>
      </w:r>
    </w:p>
    <w:p w14:paraId="21A3411C">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三</w:t>
      </w:r>
      <w:r>
        <w:rPr>
          <w:rFonts w:ascii="黑体" w:hAnsi="黑体" w:eastAsia="黑体"/>
          <w:color w:val="auto"/>
          <w:highlight w:val="none"/>
        </w:rPr>
        <w:t>、</w:t>
      </w:r>
      <w:r>
        <w:rPr>
          <w:rFonts w:hint="eastAsia" w:ascii="黑体" w:hAnsi="黑体" w:eastAsia="黑体"/>
          <w:color w:val="auto"/>
          <w:highlight w:val="none"/>
        </w:rPr>
        <w:t>开标</w:t>
      </w:r>
      <w:r>
        <w:rPr>
          <w:rFonts w:ascii="黑体" w:hAnsi="黑体" w:eastAsia="黑体"/>
          <w:color w:val="auto"/>
          <w:highlight w:val="none"/>
        </w:rPr>
        <w:t>和解密</w:t>
      </w:r>
    </w:p>
    <w:p w14:paraId="0F8B3CB6">
      <w:pPr>
        <w:spacing w:line="400" w:lineRule="exact"/>
        <w:ind w:firstLine="420" w:firstLineChars="200"/>
        <w:rPr>
          <w:rFonts w:ascii="宋体" w:hAnsi="宋体"/>
          <w:color w:val="auto"/>
          <w:highlight w:val="none"/>
        </w:rPr>
      </w:pPr>
      <w:r>
        <w:rPr>
          <w:rFonts w:ascii="宋体" w:hAnsi="宋体"/>
          <w:color w:val="auto"/>
          <w:highlight w:val="none"/>
        </w:rPr>
        <w:t>13.</w:t>
      </w:r>
      <w:r>
        <w:rPr>
          <w:rFonts w:hint="eastAsia" w:ascii="宋体" w:hAnsi="宋体"/>
          <w:color w:val="auto"/>
          <w:highlight w:val="none"/>
        </w:rPr>
        <w:t>招标人或招标代理机构工作人员（以下简称工作人员）根据有关规定登录系统组织开标。投标文件递交截止时间后由投标人使用</w:t>
      </w:r>
      <w:r>
        <w:rPr>
          <w:rFonts w:hint="eastAsia"/>
          <w:color w:val="auto"/>
          <w:highlight w:val="none"/>
        </w:rPr>
        <w:t>CA证书</w:t>
      </w:r>
      <w:r>
        <w:rPr>
          <w:rFonts w:hint="eastAsia" w:ascii="宋体" w:hAnsi="宋体"/>
          <w:color w:val="auto"/>
          <w:highlight w:val="none"/>
        </w:rPr>
        <w:t>解密投标文件，工作人员导入已解密投标文件并公布开标结果。</w:t>
      </w:r>
    </w:p>
    <w:p w14:paraId="71861622">
      <w:pPr>
        <w:spacing w:line="400" w:lineRule="exact"/>
        <w:ind w:firstLine="420" w:firstLineChars="200"/>
        <w:rPr>
          <w:rFonts w:ascii="宋体" w:hAnsi="宋体"/>
          <w:color w:val="auto"/>
          <w:highlight w:val="none"/>
        </w:rPr>
      </w:pPr>
      <w:r>
        <w:rPr>
          <w:rFonts w:ascii="宋体" w:hAnsi="宋体"/>
          <w:color w:val="auto"/>
          <w:highlight w:val="none"/>
        </w:rPr>
        <w:t>14.</w:t>
      </w:r>
      <w:r>
        <w:rPr>
          <w:rFonts w:hint="eastAsia" w:ascii="宋体" w:hAnsi="宋体"/>
          <w:color w:val="auto"/>
          <w:highlight w:val="none"/>
        </w:rPr>
        <w:t>投标文件可远程解密，投标人无需到达开标现场。招标文件“投标人须知”中另有规定的，从其规定。</w:t>
      </w:r>
    </w:p>
    <w:p w14:paraId="7DC12BDF">
      <w:pPr>
        <w:spacing w:line="400" w:lineRule="exact"/>
        <w:ind w:firstLine="420" w:firstLineChars="200"/>
        <w:rPr>
          <w:rFonts w:ascii="宋体" w:hAnsi="宋体"/>
          <w:color w:val="auto"/>
          <w:highlight w:val="none"/>
        </w:rPr>
      </w:pPr>
      <w:r>
        <w:rPr>
          <w:rFonts w:ascii="宋体" w:hAnsi="宋体"/>
          <w:color w:val="auto"/>
          <w:highlight w:val="none"/>
        </w:rPr>
        <w:t>15.</w:t>
      </w:r>
      <w:r>
        <w:rPr>
          <w:rFonts w:hint="eastAsia" w:ascii="宋体" w:hAnsi="宋体"/>
          <w:color w:val="auto"/>
          <w:highlight w:val="none"/>
        </w:rPr>
        <w:t>潜在投标人须按照招标文件的要求在投标文件递交截止时间前登录投标工具并保持在线，关注开标互动大厅消息直到项目评审结束。</w:t>
      </w:r>
    </w:p>
    <w:p w14:paraId="44CC7F54">
      <w:pPr>
        <w:spacing w:line="400" w:lineRule="exact"/>
        <w:ind w:firstLine="420" w:firstLineChars="200"/>
        <w:rPr>
          <w:rFonts w:ascii="宋体" w:hAnsi="宋体"/>
          <w:color w:val="auto"/>
          <w:highlight w:val="none"/>
        </w:rPr>
      </w:pPr>
      <w:r>
        <w:rPr>
          <w:rFonts w:ascii="宋体" w:hAnsi="宋体"/>
          <w:color w:val="auto"/>
          <w:highlight w:val="none"/>
        </w:rPr>
        <w:t>16.</w:t>
      </w:r>
      <w:r>
        <w:rPr>
          <w:rFonts w:hint="eastAsia" w:ascii="宋体" w:hAnsi="宋体"/>
          <w:color w:val="auto"/>
          <w:highlight w:val="none"/>
        </w:rPr>
        <w:t>投标文件解密时限为投标文件递交截止时间后</w:t>
      </w:r>
      <w:r>
        <w:rPr>
          <w:rFonts w:ascii="宋体" w:hAnsi="宋体"/>
          <w:color w:val="auto"/>
          <w:highlight w:val="none"/>
        </w:rPr>
        <w:t>30</w:t>
      </w:r>
      <w:r>
        <w:rPr>
          <w:rFonts w:hint="eastAsia" w:ascii="宋体" w:hAnsi="宋体"/>
          <w:color w:val="auto"/>
          <w:highlight w:val="none"/>
        </w:rPr>
        <w:t>分钟（招标文件</w:t>
      </w:r>
      <w:r>
        <w:rPr>
          <w:rFonts w:ascii="宋体" w:hAnsi="宋体"/>
          <w:color w:val="auto"/>
          <w:highlight w:val="none"/>
        </w:rPr>
        <w:t>“</w:t>
      </w:r>
      <w:r>
        <w:rPr>
          <w:rFonts w:hint="eastAsia" w:ascii="宋体" w:hAnsi="宋体"/>
          <w:color w:val="auto"/>
          <w:highlight w:val="none"/>
        </w:rPr>
        <w:t>投标人须知</w:t>
      </w:r>
      <w:r>
        <w:rPr>
          <w:rFonts w:ascii="宋体" w:hAnsi="宋体"/>
          <w:color w:val="auto"/>
          <w:highlight w:val="none"/>
        </w:rPr>
        <w:t>”</w:t>
      </w:r>
      <w:r>
        <w:rPr>
          <w:rFonts w:hint="eastAsia" w:ascii="宋体" w:hAnsi="宋体"/>
          <w:color w:val="auto"/>
          <w:highlight w:val="none"/>
        </w:rPr>
        <w:t>中另有规定的，从其规定）。潜在投标人须在投标文件解密时限内完成投标文件解密，未能成功解密的视为放弃投标。招标文件</w:t>
      </w:r>
      <w:r>
        <w:rPr>
          <w:rFonts w:ascii="宋体" w:hAnsi="宋体"/>
          <w:color w:val="auto"/>
          <w:highlight w:val="none"/>
        </w:rPr>
        <w:t>“</w:t>
      </w:r>
      <w:r>
        <w:rPr>
          <w:rFonts w:hint="eastAsia" w:ascii="宋体" w:hAnsi="宋体"/>
          <w:color w:val="auto"/>
          <w:highlight w:val="none"/>
        </w:rPr>
        <w:t>投标人须知</w:t>
      </w:r>
      <w:r>
        <w:rPr>
          <w:rFonts w:ascii="宋体" w:hAnsi="宋体"/>
          <w:color w:val="auto"/>
          <w:highlight w:val="none"/>
        </w:rPr>
        <w:t>”</w:t>
      </w:r>
      <w:r>
        <w:rPr>
          <w:rFonts w:hint="eastAsia" w:ascii="宋体" w:hAnsi="宋体"/>
          <w:color w:val="auto"/>
          <w:highlight w:val="none"/>
        </w:rPr>
        <w:t>中对投标文件解密设有线下补救方案的，执行该补救方案。</w:t>
      </w:r>
    </w:p>
    <w:p w14:paraId="1279AD32">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四</w:t>
      </w:r>
      <w:r>
        <w:rPr>
          <w:rFonts w:ascii="黑体" w:hAnsi="黑体" w:eastAsia="黑体"/>
          <w:color w:val="auto"/>
          <w:highlight w:val="none"/>
        </w:rPr>
        <w:t>、</w:t>
      </w:r>
      <w:r>
        <w:rPr>
          <w:rFonts w:hint="eastAsia" w:ascii="黑体" w:hAnsi="黑体" w:eastAsia="黑体"/>
          <w:color w:val="auto"/>
          <w:highlight w:val="none"/>
        </w:rPr>
        <w:t>评标</w:t>
      </w:r>
      <w:r>
        <w:rPr>
          <w:rFonts w:ascii="黑体" w:hAnsi="黑体" w:eastAsia="黑体"/>
          <w:color w:val="auto"/>
          <w:highlight w:val="none"/>
        </w:rPr>
        <w:t>和询标</w:t>
      </w:r>
    </w:p>
    <w:p w14:paraId="5CEBB323">
      <w:pPr>
        <w:spacing w:line="400" w:lineRule="exact"/>
        <w:ind w:firstLine="420" w:firstLineChars="200"/>
        <w:rPr>
          <w:rFonts w:ascii="宋体" w:hAnsi="宋体"/>
          <w:color w:val="auto"/>
          <w:highlight w:val="none"/>
        </w:rPr>
      </w:pPr>
      <w:r>
        <w:rPr>
          <w:rFonts w:ascii="宋体" w:hAnsi="宋体"/>
          <w:color w:val="auto"/>
          <w:highlight w:val="none"/>
        </w:rPr>
        <w:t>17.</w:t>
      </w:r>
      <w:r>
        <w:rPr>
          <w:rFonts w:hint="eastAsia" w:ascii="宋体" w:hAnsi="宋体"/>
          <w:color w:val="auto"/>
          <w:highlight w:val="none"/>
        </w:rPr>
        <w:t>评标委员会通过优质采电子评标工具将需要澄清、说明或补正的内容以询标函的形式发送给投标人，投标人</w:t>
      </w:r>
      <w:r>
        <w:rPr>
          <w:rFonts w:ascii="宋体" w:hAnsi="宋体"/>
          <w:color w:val="auto"/>
          <w:highlight w:val="none"/>
        </w:rPr>
        <w:t>/</w:t>
      </w:r>
      <w:r>
        <w:rPr>
          <w:rFonts w:hint="eastAsia" w:ascii="宋体" w:hAnsi="宋体"/>
          <w:color w:val="auto"/>
          <w:highlight w:val="none"/>
        </w:rPr>
        <w:t>供应商应登录投标工具并保持在线状态，以便及时接收评标委员会可能发出的询标函，并在询标函载明的时间内回复，若投标人未及时回复，视为放弃澄清。</w:t>
      </w:r>
    </w:p>
    <w:p w14:paraId="4A30879D">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五、异常情形</w:t>
      </w:r>
    </w:p>
    <w:p w14:paraId="3FB459FF">
      <w:pPr>
        <w:spacing w:line="400" w:lineRule="exact"/>
        <w:ind w:firstLine="420" w:firstLineChars="200"/>
        <w:rPr>
          <w:rFonts w:ascii="宋体" w:hAnsi="宋体"/>
          <w:color w:val="auto"/>
          <w:highlight w:val="none"/>
        </w:rPr>
      </w:pPr>
      <w:r>
        <w:rPr>
          <w:rFonts w:hint="eastAsia" w:ascii="宋体" w:hAnsi="宋体"/>
          <w:color w:val="auto"/>
          <w:highlight w:val="none"/>
        </w:rPr>
        <w:t>1</w:t>
      </w:r>
      <w:r>
        <w:rPr>
          <w:rFonts w:ascii="宋体" w:hAnsi="宋体"/>
          <w:color w:val="auto"/>
          <w:highlight w:val="none"/>
        </w:rPr>
        <w:t>8</w:t>
      </w:r>
      <w:r>
        <w:rPr>
          <w:rFonts w:hint="eastAsia" w:ascii="宋体" w:hAnsi="宋体"/>
          <w:color w:val="auto"/>
          <w:highlight w:val="none"/>
        </w:rPr>
        <w:t>.出现下列情形导致电子交易系统无法正常运行，影响招投标过程的公平、公正和信息安全，经第三方机构认定后，各方当事人免责：</w:t>
      </w:r>
    </w:p>
    <w:p w14:paraId="175013E7">
      <w:pPr>
        <w:spacing w:line="400" w:lineRule="exact"/>
        <w:ind w:firstLine="420" w:firstLineChars="200"/>
        <w:rPr>
          <w:rFonts w:ascii="宋体" w:hAnsi="宋体"/>
          <w:color w:val="auto"/>
          <w:highlight w:val="none"/>
        </w:rPr>
      </w:pPr>
      <w:r>
        <w:rPr>
          <w:rFonts w:hint="eastAsia" w:ascii="宋体" w:hAnsi="宋体"/>
          <w:color w:val="auto"/>
          <w:highlight w:val="none"/>
        </w:rPr>
        <w:t>(1)网络、服务器、数据库发生故障造成无法访问或使用的；</w:t>
      </w:r>
    </w:p>
    <w:p w14:paraId="50671568">
      <w:pPr>
        <w:spacing w:line="400" w:lineRule="exact"/>
        <w:ind w:firstLine="420" w:firstLineChars="200"/>
        <w:rPr>
          <w:rFonts w:ascii="宋体" w:hAnsi="宋体"/>
          <w:color w:val="auto"/>
          <w:highlight w:val="none"/>
        </w:rPr>
      </w:pPr>
      <w:r>
        <w:rPr>
          <w:rFonts w:hint="eastAsia" w:ascii="宋体" w:hAnsi="宋体"/>
          <w:color w:val="auto"/>
          <w:highlight w:val="none"/>
        </w:rPr>
        <w:t>(2)电力系统发生故障导致电子服务系统或电子交易系统无法运行；</w:t>
      </w:r>
    </w:p>
    <w:p w14:paraId="56049C7D">
      <w:pPr>
        <w:spacing w:line="400" w:lineRule="exact"/>
        <w:ind w:firstLine="420" w:firstLineChars="200"/>
        <w:rPr>
          <w:rFonts w:ascii="宋体" w:hAnsi="宋体"/>
          <w:color w:val="auto"/>
          <w:highlight w:val="none"/>
        </w:rPr>
      </w:pPr>
      <w:r>
        <w:rPr>
          <w:rFonts w:hint="eastAsia" w:ascii="宋体" w:hAnsi="宋体"/>
          <w:color w:val="auto"/>
          <w:highlight w:val="none"/>
        </w:rPr>
        <w:t>(3)出现网络攻击、病毒入侵以及电子服务系统或电子交易系统安全漏洞导致无法正常提供服务的；</w:t>
      </w:r>
    </w:p>
    <w:p w14:paraId="5F73D737">
      <w:pPr>
        <w:spacing w:line="400" w:lineRule="exact"/>
        <w:ind w:firstLine="420" w:firstLineChars="200"/>
        <w:rPr>
          <w:rFonts w:ascii="宋体" w:hAnsi="宋体"/>
          <w:color w:val="auto"/>
          <w:highlight w:val="none"/>
        </w:rPr>
      </w:pPr>
      <w:r>
        <w:rPr>
          <w:rFonts w:hint="eastAsia" w:ascii="宋体" w:hAnsi="宋体"/>
          <w:color w:val="auto"/>
          <w:highlight w:val="none"/>
        </w:rPr>
        <w:t>(4)其他无法保证招投标过程公平、公正和信息安全的情形。</w:t>
      </w:r>
    </w:p>
    <w:p w14:paraId="51734807">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六、异常情形处理</w:t>
      </w:r>
    </w:p>
    <w:p w14:paraId="2531AE0B">
      <w:pPr>
        <w:spacing w:line="400" w:lineRule="exact"/>
        <w:ind w:firstLine="420" w:firstLineChars="200"/>
        <w:rPr>
          <w:color w:val="auto"/>
          <w:highlight w:val="none"/>
        </w:rPr>
      </w:pPr>
      <w:r>
        <w:rPr>
          <w:rFonts w:hint="eastAsia"/>
          <w:color w:val="auto"/>
          <w:highlight w:val="none"/>
        </w:rPr>
        <w:t>1</w:t>
      </w:r>
      <w:r>
        <w:rPr>
          <w:color w:val="auto"/>
          <w:highlight w:val="none"/>
        </w:rPr>
        <w:t>9</w:t>
      </w:r>
      <w:r>
        <w:rPr>
          <w:rFonts w:hint="eastAsia"/>
          <w:color w:val="auto"/>
          <w:highlight w:val="none"/>
        </w:rPr>
        <w:t>.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08D3F08D">
      <w:pPr>
        <w:spacing w:line="400" w:lineRule="exact"/>
        <w:ind w:firstLine="420" w:firstLineChars="200"/>
        <w:rPr>
          <w:color w:val="auto"/>
          <w:highlight w:val="none"/>
        </w:rPr>
      </w:pPr>
      <w:r>
        <w:rPr>
          <w:rFonts w:hint="eastAsia"/>
          <w:color w:val="auto"/>
          <w:highlight w:val="none"/>
        </w:rPr>
        <w:t>（1）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发布公布。</w:t>
      </w:r>
    </w:p>
    <w:p w14:paraId="49125EAE">
      <w:pPr>
        <w:spacing w:line="400" w:lineRule="exact"/>
        <w:ind w:firstLine="420" w:firstLineChars="200"/>
        <w:rPr>
          <w:color w:val="auto"/>
          <w:highlight w:val="none"/>
        </w:rPr>
      </w:pPr>
      <w:r>
        <w:rPr>
          <w:rFonts w:hint="eastAsia"/>
          <w:color w:val="auto"/>
          <w:highlight w:val="none"/>
        </w:rPr>
        <w:t>（2）项目恢复，导致项目中止的情形消除后，招标人或代理机构应当尽快恢复招投标程序，向投标人发出恢复交易通知，并发布公布；已发出延长中止期限通知的，按通知执行。</w:t>
      </w:r>
    </w:p>
    <w:p w14:paraId="65A39E2A">
      <w:pPr>
        <w:widowControl/>
        <w:adjustRightInd w:val="0"/>
        <w:snapToGrid w:val="0"/>
        <w:spacing w:line="360" w:lineRule="auto"/>
        <w:ind w:firstLine="420" w:firstLineChars="200"/>
        <w:rPr>
          <w:rFonts w:hint="eastAsia" w:ascii="宋体" w:hAnsi="宋体" w:eastAsia="仿宋"/>
          <w:color w:val="auto"/>
          <w:szCs w:val="21"/>
          <w:highlight w:val="none"/>
        </w:rPr>
      </w:pPr>
    </w:p>
    <w:p w14:paraId="7C1E4FCF">
      <w:pPr>
        <w:spacing w:line="360" w:lineRule="auto"/>
        <w:jc w:val="center"/>
        <w:outlineLvl w:val="1"/>
        <w:rPr>
          <w:rFonts w:hint="eastAsia" w:ascii="Cambria" w:hAnsi="Cambria" w:eastAsia="黑体"/>
          <w:b/>
          <w:bCs/>
          <w:color w:val="auto"/>
          <w:sz w:val="32"/>
          <w:szCs w:val="32"/>
          <w:highlight w:val="none"/>
        </w:rPr>
      </w:pPr>
      <w:r>
        <w:rPr>
          <w:rFonts w:hint="eastAsia" w:ascii="宋体" w:hAnsi="宋体" w:eastAsia="仿宋"/>
          <w:color w:val="auto"/>
          <w:szCs w:val="21"/>
          <w:highlight w:val="none"/>
        </w:rPr>
        <w:br w:type="page"/>
      </w:r>
      <w:r>
        <w:rPr>
          <w:rFonts w:ascii="Cambria" w:hAnsi="Cambria" w:eastAsia="黑体"/>
          <w:b/>
          <w:bCs/>
          <w:color w:val="auto"/>
          <w:sz w:val="32"/>
          <w:szCs w:val="32"/>
          <w:highlight w:val="none"/>
        </w:rPr>
        <w:t>附件</w:t>
      </w:r>
      <w:r>
        <w:rPr>
          <w:rFonts w:hint="eastAsia" w:ascii="Cambria" w:hAnsi="Cambria" w:eastAsia="黑体"/>
          <w:b/>
          <w:bCs/>
          <w:color w:val="auto"/>
          <w:sz w:val="32"/>
          <w:szCs w:val="32"/>
          <w:highlight w:val="none"/>
        </w:rPr>
        <w:t>二</w:t>
      </w:r>
      <w:r>
        <w:rPr>
          <w:rFonts w:ascii="Cambria" w:hAnsi="Cambria" w:eastAsia="黑体"/>
          <w:b/>
          <w:bCs/>
          <w:color w:val="auto"/>
          <w:sz w:val="32"/>
          <w:szCs w:val="32"/>
          <w:highlight w:val="none"/>
        </w:rPr>
        <w:t>：</w:t>
      </w:r>
      <w:r>
        <w:rPr>
          <w:rFonts w:hint="eastAsia" w:ascii="Cambria" w:hAnsi="Cambria" w:eastAsia="黑体"/>
          <w:b/>
          <w:bCs/>
          <w:color w:val="auto"/>
          <w:sz w:val="32"/>
          <w:szCs w:val="32"/>
          <w:highlight w:val="none"/>
        </w:rPr>
        <w:t>政府采购供应商询问函和质疑函范本</w:t>
      </w:r>
    </w:p>
    <w:p w14:paraId="49F25755">
      <w:pPr>
        <w:spacing w:line="360" w:lineRule="auto"/>
        <w:jc w:val="cente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询问函范本</w:t>
      </w:r>
    </w:p>
    <w:p w14:paraId="26F2B1C0">
      <w:pPr>
        <w:adjustRightInd w:val="0"/>
        <w:snapToGrid w:val="0"/>
        <w:spacing w:line="360" w:lineRule="auto"/>
        <w:ind w:firstLine="480" w:firstLineChars="200"/>
        <w:jc w:val="center"/>
        <w:rPr>
          <w:rFonts w:hint="eastAsia" w:ascii="仿宋" w:hAnsi="仿宋" w:eastAsia="仿宋" w:cs="仿宋"/>
          <w:b/>
          <w:bCs/>
          <w:color w:val="auto"/>
          <w:sz w:val="32"/>
          <w:szCs w:val="44"/>
          <w:highlight w:val="none"/>
        </w:rPr>
      </w:pPr>
      <w:r>
        <w:rPr>
          <w:rFonts w:hint="eastAsia" w:ascii="宋体" w:hAnsi="宋体" w:cs="仿宋"/>
          <w:i/>
          <w:iCs/>
          <w:color w:val="auto"/>
          <w:sz w:val="24"/>
          <w:highlight w:val="none"/>
        </w:rPr>
        <w:t>（如为对采购文件或采购程序的询问或疑问，请按询问函范本或电子交易系统中网上询问格式附件进行提交）</w:t>
      </w:r>
    </w:p>
    <w:p w14:paraId="5ED363F8">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某采购单位、某代理机构：</w:t>
      </w:r>
    </w:p>
    <w:p w14:paraId="3EE1AF1F">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我单位拟参与某项目(某编号)的采购活动，现有以下内容(或条款)存在疑问(或无法理解)，特提出询问。</w:t>
      </w:r>
    </w:p>
    <w:p w14:paraId="6E721F88">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一、(事项一)</w:t>
      </w:r>
    </w:p>
    <w:p w14:paraId="4678A65E">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1、(内容或条款)</w:t>
      </w:r>
    </w:p>
    <w:p w14:paraId="74F01B99">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2、(说明疑问或无法理解原因)</w:t>
      </w:r>
    </w:p>
    <w:p w14:paraId="72D4100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3、(建议)</w:t>
      </w:r>
    </w:p>
    <w:p w14:paraId="2358B508">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二、(事项二)</w:t>
      </w:r>
    </w:p>
    <w:p w14:paraId="59407970">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434FBC8E">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随附相关证明材料如下： </w:t>
      </w:r>
    </w:p>
    <w:p w14:paraId="2D10A3FF">
      <w:pPr>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u w:val="single"/>
        </w:rPr>
        <w:t xml:space="preserve">              </w:t>
      </w:r>
    </w:p>
    <w:p w14:paraId="48D8284A">
      <w:pPr>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 xml:space="preserve">              </w:t>
      </w:r>
    </w:p>
    <w:p w14:paraId="39F1C598">
      <w:pPr>
        <w:tabs>
          <w:tab w:val="left" w:pos="630"/>
        </w:tabs>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3F33A3FE">
      <w:pPr>
        <w:rPr>
          <w:rFonts w:ascii="宋体" w:hAnsi="宋体"/>
          <w:b/>
          <w:color w:val="auto"/>
          <w:sz w:val="52"/>
          <w:highlight w:val="none"/>
        </w:rPr>
      </w:pPr>
      <w:r>
        <w:rPr>
          <w:rFonts w:hint="eastAsia" w:ascii="仿宋" w:hAnsi="仿宋" w:eastAsia="仿宋" w:cs="仿宋"/>
          <w:b/>
          <w:bCs/>
          <w:color w:val="auto"/>
          <w:sz w:val="32"/>
          <w:szCs w:val="44"/>
          <w:highlight w:val="none"/>
        </w:rPr>
        <w:br w:type="page"/>
      </w:r>
    </w:p>
    <w:p w14:paraId="43F8A612">
      <w:pPr>
        <w:jc w:val="cente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3DF72F73">
      <w:pPr>
        <w:adjustRightInd w:val="0"/>
        <w:snapToGrid w:val="0"/>
        <w:spacing w:before="240" w:beforeLines="100"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一、质疑供应商基本信息</w:t>
      </w:r>
    </w:p>
    <w:p w14:paraId="4157FD46">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10779677">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36A22F86">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26788F3B">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7DDCB101">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11A10315">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7F755339">
      <w:pPr>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二、质疑项目基本情况</w:t>
      </w:r>
    </w:p>
    <w:p w14:paraId="01592B17">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5F95EC40">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466C5329">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196EA3CD">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0E4BF27D">
      <w:pPr>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三、质疑事项具体内容</w:t>
      </w:r>
    </w:p>
    <w:p w14:paraId="70283DAB">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646EA563">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664E68FE">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231BB887">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0F01E269">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40E2AD2C">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0B29E59C">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1A2E9A6D">
      <w:pPr>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四、与质疑事项相关的质疑请求</w:t>
      </w:r>
    </w:p>
    <w:p w14:paraId="6FB5F313">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48CAD15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49FCBDD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7726939B">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6724C18">
      <w:pPr>
        <w:rPr>
          <w:rFonts w:hint="eastAsia" w:ascii="仿宋" w:hAnsi="仿宋" w:eastAsia="仿宋" w:cs="仿宋"/>
          <w:b/>
          <w:color w:val="auto"/>
          <w:sz w:val="28"/>
          <w:szCs w:val="32"/>
          <w:highlight w:val="none"/>
        </w:rPr>
      </w:pPr>
      <w:bookmarkStart w:id="745" w:name="_Toc11441"/>
      <w:r>
        <w:rPr>
          <w:rFonts w:hint="eastAsia" w:ascii="仿宋" w:hAnsi="仿宋" w:eastAsia="仿宋" w:cs="仿宋"/>
          <w:b/>
          <w:color w:val="auto"/>
          <w:sz w:val="28"/>
          <w:szCs w:val="32"/>
          <w:highlight w:val="none"/>
        </w:rPr>
        <w:t>质疑函制作说明：</w:t>
      </w:r>
      <w:bookmarkEnd w:id="745"/>
    </w:p>
    <w:p w14:paraId="0749D90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2439511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授权代表进行质疑的，质疑函应按要求列明“授权代表”的有关内容，并在附件中提交由质疑供应商签署的授权委托书。授权委托书应载明授权代表的姓名或者名称、代理事项、具体权限、期限和相关事项。</w:t>
      </w:r>
    </w:p>
    <w:p w14:paraId="35BE4E5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3.质疑供应商若对项目的某一采购包进行质疑，质疑函中应列明具体包号。</w:t>
      </w:r>
    </w:p>
    <w:p w14:paraId="2CED9B7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5BD0EF5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6CCF7C11">
      <w:pPr>
        <w:spacing w:line="360" w:lineRule="auto"/>
        <w:ind w:firstLine="435"/>
        <w:rPr>
          <w:rFonts w:hint="eastAsia" w:ascii="宋体" w:hAnsi="宋体" w:cs="宋体"/>
          <w:color w:val="auto"/>
          <w:szCs w:val="28"/>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6.质疑供应商为自然人的，质疑函应由本人签字；质疑供应商为法人或者其他组织的，质疑函应由法定代表人/主要负责人/其授权代表签字或者盖签字章，并加盖公章。</w:t>
      </w:r>
    </w:p>
    <w:p w14:paraId="78A1ECBD">
      <w:pPr>
        <w:widowControl/>
        <w:adjustRightInd w:val="0"/>
        <w:snapToGrid w:val="0"/>
        <w:spacing w:line="360" w:lineRule="auto"/>
        <w:ind w:firstLine="420" w:firstLineChars="200"/>
        <w:rPr>
          <w:rFonts w:hint="eastAsia" w:ascii="宋体" w:hAnsi="宋体" w:eastAsia="仿宋"/>
          <w:color w:val="auto"/>
          <w:szCs w:val="21"/>
          <w:highlight w:val="none"/>
        </w:rPr>
      </w:pPr>
    </w:p>
    <w:p w14:paraId="10294E7A">
      <w:pPr>
        <w:widowControl/>
        <w:adjustRightInd w:val="0"/>
        <w:snapToGrid w:val="0"/>
        <w:spacing w:line="360" w:lineRule="auto"/>
        <w:ind w:firstLine="420" w:firstLineChars="200"/>
        <w:rPr>
          <w:rFonts w:hint="eastAsia" w:ascii="宋体" w:hAnsi="宋体" w:eastAsia="仿宋"/>
          <w:color w:val="auto"/>
          <w:szCs w:val="21"/>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5C025B2C">
      <w:pPr>
        <w:pStyle w:val="2"/>
        <w:widowControl/>
        <w:snapToGrid w:val="0"/>
        <w:spacing w:before="0" w:after="0" w:line="360" w:lineRule="auto"/>
        <w:jc w:val="center"/>
        <w:rPr>
          <w:rFonts w:hint="eastAsia" w:ascii="宋体" w:hAnsi="宋体" w:eastAsia="仿宋"/>
          <w:color w:val="auto"/>
          <w:highlight w:val="none"/>
        </w:rPr>
      </w:pPr>
      <w:bookmarkStart w:id="746" w:name="_Toc466024555"/>
      <w:bookmarkStart w:id="747" w:name="_Toc24366"/>
      <w:bookmarkStart w:id="748" w:name="_Toc445554746"/>
      <w:bookmarkStart w:id="749" w:name="_Toc179632616"/>
      <w:bookmarkStart w:id="750" w:name="_Toc241459648"/>
      <w:bookmarkStart w:id="751" w:name="_Toc342296244"/>
      <w:bookmarkStart w:id="752" w:name="_Toc342297701"/>
      <w:bookmarkStart w:id="753" w:name="_Toc152045598"/>
      <w:bookmarkStart w:id="754" w:name="_Toc144974565"/>
      <w:bookmarkStart w:id="755" w:name="_Toc342296242"/>
      <w:bookmarkStart w:id="756" w:name="_Toc342297699"/>
      <w:bookmarkStart w:id="757" w:name="_Toc152042375"/>
      <w:r>
        <w:rPr>
          <w:rFonts w:hint="eastAsia" w:ascii="宋体" w:hAnsi="宋体" w:eastAsia="仿宋"/>
          <w:color w:val="auto"/>
          <w:highlight w:val="none"/>
        </w:rPr>
        <w:t>第三章  采购需求</w:t>
      </w:r>
      <w:bookmarkEnd w:id="746"/>
      <w:bookmarkEnd w:id="747"/>
      <w:bookmarkEnd w:id="748"/>
    </w:p>
    <w:p w14:paraId="63A1604C">
      <w:pPr>
        <w:pStyle w:val="3"/>
        <w:rPr>
          <w:rStyle w:val="23"/>
          <w:rFonts w:ascii="宋体" w:hAnsi="宋体" w:eastAsia="仿宋"/>
          <w:b/>
          <w:bCs/>
          <w:color w:val="auto"/>
          <w:sz w:val="24"/>
          <w:szCs w:val="24"/>
          <w:highlight w:val="none"/>
        </w:rPr>
      </w:pPr>
      <w:bookmarkStart w:id="758" w:name="_Toc466024556"/>
      <w:bookmarkStart w:id="759" w:name="_Toc455587273"/>
      <w:bookmarkStart w:id="760" w:name="_Toc455587089"/>
      <w:bookmarkStart w:id="761" w:name="_Toc445554747"/>
      <w:r>
        <w:rPr>
          <w:rStyle w:val="23"/>
          <w:rFonts w:hint="eastAsia" w:ascii="宋体" w:hAnsi="宋体" w:eastAsia="仿宋"/>
          <w:b/>
          <w:bCs/>
          <w:color w:val="auto"/>
          <w:sz w:val="24"/>
          <w:szCs w:val="24"/>
          <w:highlight w:val="none"/>
        </w:rPr>
        <w:t xml:space="preserve">1. </w:t>
      </w:r>
      <w:bookmarkEnd w:id="758"/>
      <w:bookmarkEnd w:id="759"/>
      <w:bookmarkEnd w:id="760"/>
      <w:r>
        <w:rPr>
          <w:rStyle w:val="23"/>
          <w:rFonts w:hint="eastAsia" w:ascii="宋体" w:hAnsi="宋体" w:eastAsia="仿宋"/>
          <w:b/>
          <w:bCs/>
          <w:color w:val="auto"/>
          <w:sz w:val="24"/>
          <w:szCs w:val="24"/>
          <w:highlight w:val="none"/>
        </w:rPr>
        <w:t>总体说明</w:t>
      </w:r>
    </w:p>
    <w:p w14:paraId="69D74ACC">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679036B2">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4D459715">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除非有特别说明，本章中所列的具体参数或参数范围，均理解为采购人可接受的最低要求。</w:t>
      </w:r>
    </w:p>
    <w:p w14:paraId="28C1F9D4">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52B1ABD0">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12C65746">
      <w:pPr>
        <w:pStyle w:val="3"/>
        <w:rPr>
          <w:rStyle w:val="23"/>
          <w:rFonts w:hint="eastAsia" w:ascii="宋体" w:hAnsi="宋体" w:eastAsia="仿宋"/>
          <w:b/>
          <w:bCs/>
          <w:color w:val="auto"/>
          <w:sz w:val="24"/>
          <w:szCs w:val="24"/>
          <w:highlight w:val="none"/>
        </w:rPr>
      </w:pPr>
      <w:bookmarkStart w:id="762" w:name="_Toc466024557"/>
      <w:bookmarkStart w:id="763" w:name="_Toc455587090"/>
      <w:bookmarkStart w:id="764" w:name="_Toc455587274"/>
      <w:r>
        <w:rPr>
          <w:rStyle w:val="23"/>
          <w:rFonts w:hint="eastAsia" w:ascii="宋体" w:hAnsi="宋体" w:eastAsia="仿宋"/>
          <w:b/>
          <w:bCs/>
          <w:color w:val="auto"/>
          <w:sz w:val="24"/>
          <w:szCs w:val="24"/>
          <w:highlight w:val="none"/>
        </w:rPr>
        <w:t>2. 采购内容及范围</w:t>
      </w:r>
      <w:bookmarkEnd w:id="762"/>
      <w:bookmarkEnd w:id="763"/>
      <w:bookmarkEnd w:id="764"/>
    </w:p>
    <w:p w14:paraId="21D19F64">
      <w:pPr>
        <w:widowControl/>
        <w:tabs>
          <w:tab w:val="left" w:pos="1406"/>
        </w:tabs>
        <w:snapToGrid w:val="0"/>
        <w:spacing w:line="360" w:lineRule="auto"/>
        <w:ind w:firstLine="412" w:firstLineChars="171"/>
        <w:rPr>
          <w:rFonts w:hint="eastAsia" w:ascii="宋体" w:hAnsi="宋体"/>
          <w:b/>
          <w:color w:val="auto"/>
          <w:sz w:val="24"/>
          <w:highlight w:val="none"/>
        </w:rPr>
      </w:pPr>
      <w:r>
        <w:rPr>
          <w:rFonts w:hint="eastAsia" w:ascii="宋体" w:hAnsi="宋体" w:eastAsia="仿宋"/>
          <w:b/>
          <w:color w:val="auto"/>
          <w:sz w:val="24"/>
          <w:highlight w:val="none"/>
        </w:rPr>
        <w:t>2.1 采购内容</w:t>
      </w:r>
    </w:p>
    <w:tbl>
      <w:tblPr>
        <w:tblStyle w:val="17"/>
        <w:tblW w:w="949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627"/>
        <w:gridCol w:w="1141"/>
        <w:gridCol w:w="1409"/>
        <w:gridCol w:w="1519"/>
        <w:gridCol w:w="1528"/>
        <w:gridCol w:w="1331"/>
      </w:tblGrid>
      <w:tr w14:paraId="0D23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F419A">
            <w:pPr>
              <w:keepNext w:val="0"/>
              <w:keepLines w:val="0"/>
              <w:widowControl/>
              <w:suppressLineNumbers w:val="0"/>
              <w:jc w:val="center"/>
              <w:textAlignment w:val="center"/>
              <w:rPr>
                <w:rFonts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品目号</w:t>
            </w:r>
          </w:p>
        </w:tc>
        <w:tc>
          <w:tcPr>
            <w:tcW w:w="1627" w:type="dxa"/>
            <w:tcBorders>
              <w:top w:val="single" w:color="000000" w:sz="8" w:space="0"/>
              <w:left w:val="nil"/>
              <w:bottom w:val="single" w:color="000000" w:sz="8" w:space="0"/>
              <w:right w:val="single" w:color="000000" w:sz="8" w:space="0"/>
            </w:tcBorders>
            <w:shd w:val="clear" w:color="auto" w:fill="auto"/>
            <w:vAlign w:val="center"/>
          </w:tcPr>
          <w:p w14:paraId="04F325F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货物名称</w:t>
            </w:r>
          </w:p>
        </w:tc>
        <w:tc>
          <w:tcPr>
            <w:tcW w:w="1141" w:type="dxa"/>
            <w:tcBorders>
              <w:top w:val="single" w:color="000000" w:sz="8" w:space="0"/>
              <w:left w:val="nil"/>
              <w:bottom w:val="single" w:color="000000" w:sz="8" w:space="0"/>
              <w:right w:val="single" w:color="000000" w:sz="8" w:space="0"/>
            </w:tcBorders>
            <w:shd w:val="clear" w:color="auto" w:fill="auto"/>
            <w:vAlign w:val="center"/>
          </w:tcPr>
          <w:p w14:paraId="2D4EC53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数量（台/套）</w:t>
            </w:r>
          </w:p>
        </w:tc>
        <w:tc>
          <w:tcPr>
            <w:tcW w:w="1409" w:type="dxa"/>
            <w:tcBorders>
              <w:top w:val="single" w:color="000000" w:sz="8" w:space="0"/>
              <w:left w:val="nil"/>
              <w:bottom w:val="single" w:color="000000" w:sz="8" w:space="0"/>
              <w:right w:val="single" w:color="000000" w:sz="8" w:space="0"/>
            </w:tcBorders>
            <w:shd w:val="clear" w:color="auto" w:fill="auto"/>
            <w:vAlign w:val="center"/>
          </w:tcPr>
          <w:p w14:paraId="6F833F8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总预算/最高投标限价（万元）</w:t>
            </w:r>
          </w:p>
        </w:tc>
        <w:tc>
          <w:tcPr>
            <w:tcW w:w="1519" w:type="dxa"/>
            <w:tcBorders>
              <w:top w:val="single" w:color="000000" w:sz="8" w:space="0"/>
              <w:left w:val="nil"/>
              <w:bottom w:val="single" w:color="000000" w:sz="8" w:space="0"/>
              <w:right w:val="single" w:color="000000" w:sz="8" w:space="0"/>
            </w:tcBorders>
            <w:shd w:val="clear" w:color="auto" w:fill="auto"/>
            <w:vAlign w:val="center"/>
          </w:tcPr>
          <w:p w14:paraId="14A8BA6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所属行业</w:t>
            </w:r>
          </w:p>
        </w:tc>
        <w:tc>
          <w:tcPr>
            <w:tcW w:w="1528" w:type="dxa"/>
            <w:tcBorders>
              <w:top w:val="single" w:color="000000" w:sz="8" w:space="0"/>
              <w:left w:val="nil"/>
              <w:bottom w:val="single" w:color="000000" w:sz="8" w:space="0"/>
              <w:right w:val="single" w:color="000000" w:sz="8" w:space="0"/>
            </w:tcBorders>
            <w:shd w:val="clear" w:color="auto" w:fill="auto"/>
            <w:vAlign w:val="center"/>
          </w:tcPr>
          <w:p w14:paraId="1938C09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是否接受进口</w:t>
            </w:r>
          </w:p>
        </w:tc>
        <w:tc>
          <w:tcPr>
            <w:tcW w:w="1331" w:type="dxa"/>
            <w:tcBorders>
              <w:top w:val="single" w:color="000000" w:sz="8" w:space="0"/>
              <w:left w:val="nil"/>
              <w:bottom w:val="single" w:color="000000" w:sz="8" w:space="0"/>
              <w:right w:val="single" w:color="000000" w:sz="8" w:space="0"/>
            </w:tcBorders>
            <w:shd w:val="clear" w:color="auto" w:fill="auto"/>
            <w:vAlign w:val="center"/>
          </w:tcPr>
          <w:p w14:paraId="7E722A2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备注</w:t>
            </w:r>
          </w:p>
        </w:tc>
      </w:tr>
      <w:tr w14:paraId="3CDE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91" w:type="dxa"/>
            <w:gridSpan w:val="7"/>
            <w:tcBorders>
              <w:top w:val="nil"/>
              <w:left w:val="single" w:color="000000" w:sz="8" w:space="0"/>
              <w:bottom w:val="single" w:color="000000" w:sz="8" w:space="0"/>
              <w:right w:val="single" w:color="000000" w:sz="8" w:space="0"/>
            </w:tcBorders>
            <w:shd w:val="clear" w:color="auto" w:fill="auto"/>
            <w:vAlign w:val="center"/>
          </w:tcPr>
          <w:p w14:paraId="788A696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灯床塔</w:t>
            </w:r>
          </w:p>
        </w:tc>
      </w:tr>
      <w:tr w14:paraId="0052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5203BF5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品目1</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14AA980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高端双头无影灯</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066471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59C9E75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81</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7DFED02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2FB6CB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30155C9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医疗器械</w:t>
            </w:r>
          </w:p>
        </w:tc>
      </w:tr>
      <w:tr w14:paraId="452F4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2B637CC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品目2</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5C3714C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中端双头无影灯</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1D97C55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29D127D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144</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741F5F4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164229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2343DA81">
            <w:pPr>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医疗器械</w:t>
            </w:r>
          </w:p>
        </w:tc>
      </w:tr>
      <w:tr w14:paraId="5B9E4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2B1A5B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品目3</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3F9DAF9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单头无影灯</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1E3A4AB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38BC2D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275.5</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45942F2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0F6115C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5C714094">
            <w:pPr>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医疗器械</w:t>
            </w:r>
          </w:p>
        </w:tc>
      </w:tr>
      <w:tr w14:paraId="12A3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2F6259F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品目4</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1434026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中高档手术床</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14815AD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219A81B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319</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0B15A69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6F4CF25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3DBEF2DF">
            <w:pPr>
              <w:jc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医疗器械</w:t>
            </w:r>
          </w:p>
        </w:tc>
      </w:tr>
      <w:tr w14:paraId="4EF44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620B137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品目5</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39AB4C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麻醉塔</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21AF480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2548FFD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138</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2472C6E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5A62437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3E19B593">
            <w:pPr>
              <w:jc w:val="center"/>
              <w:rPr>
                <w:rFonts w:hint="eastAsia" w:ascii="仿宋" w:hAnsi="仿宋" w:eastAsia="仿宋" w:cs="仿宋"/>
                <w:i w:val="0"/>
                <w:iCs w:val="0"/>
                <w:color w:val="auto"/>
                <w:sz w:val="24"/>
                <w:szCs w:val="24"/>
                <w:highlight w:val="none"/>
                <w:u w:val="none"/>
              </w:rPr>
            </w:pPr>
          </w:p>
        </w:tc>
      </w:tr>
      <w:tr w14:paraId="52C14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05DBDF2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品目6</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18DAA23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外科塔</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4691FCA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0C4AD37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115</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627BE7E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6D1ABC7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0603E830">
            <w:pPr>
              <w:jc w:val="center"/>
              <w:rPr>
                <w:rFonts w:hint="eastAsia" w:ascii="仿宋" w:hAnsi="仿宋" w:eastAsia="仿宋" w:cs="仿宋"/>
                <w:i w:val="0"/>
                <w:iCs w:val="0"/>
                <w:color w:val="auto"/>
                <w:sz w:val="24"/>
                <w:szCs w:val="24"/>
                <w:highlight w:val="none"/>
                <w:u w:val="none"/>
              </w:rPr>
            </w:pPr>
          </w:p>
        </w:tc>
      </w:tr>
      <w:tr w14:paraId="2360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0A92C69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品目7</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4958ADA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腔镜 (体外循环) 塔</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09A0095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310333D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58.5</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20C1704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0194DB4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75DDA110">
            <w:pPr>
              <w:jc w:val="center"/>
              <w:rPr>
                <w:rFonts w:hint="eastAsia" w:ascii="仿宋" w:hAnsi="仿宋" w:eastAsia="仿宋" w:cs="仿宋"/>
                <w:i w:val="0"/>
                <w:iCs w:val="0"/>
                <w:color w:val="auto"/>
                <w:sz w:val="24"/>
                <w:szCs w:val="24"/>
                <w:highlight w:val="none"/>
                <w:u w:val="none"/>
              </w:rPr>
            </w:pPr>
          </w:p>
        </w:tc>
      </w:tr>
      <w:tr w14:paraId="0F7A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2F5438B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品目8</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1A29C7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吊桥</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0C4825B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105</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38FAC2F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504</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54E292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25DF117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59215A09">
            <w:pPr>
              <w:jc w:val="center"/>
              <w:rPr>
                <w:rFonts w:hint="eastAsia" w:ascii="仿宋" w:hAnsi="仿宋" w:eastAsia="仿宋" w:cs="仿宋"/>
                <w:i w:val="0"/>
                <w:iCs w:val="0"/>
                <w:color w:val="auto"/>
                <w:sz w:val="24"/>
                <w:szCs w:val="24"/>
                <w:highlight w:val="none"/>
                <w:u w:val="none"/>
              </w:rPr>
            </w:pPr>
          </w:p>
        </w:tc>
      </w:tr>
      <w:tr w14:paraId="4AA6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0F828F2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品目9</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4B33106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显示器吊臂</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3E09BF6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227F62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127E82C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19B7F09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4CA6FF5A">
            <w:pPr>
              <w:jc w:val="center"/>
              <w:rPr>
                <w:rFonts w:hint="eastAsia" w:ascii="仿宋" w:hAnsi="仿宋" w:eastAsia="仿宋" w:cs="仿宋"/>
                <w:i w:val="0"/>
                <w:iCs w:val="0"/>
                <w:color w:val="auto"/>
                <w:sz w:val="24"/>
                <w:szCs w:val="24"/>
                <w:highlight w:val="none"/>
                <w:u w:val="none"/>
              </w:rPr>
            </w:pPr>
          </w:p>
        </w:tc>
      </w:tr>
      <w:tr w14:paraId="4BFA7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4610599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品目10</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053B147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大屏悬吊系统</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5E19C01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14C76B5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100</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69C2524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6DFCD22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08EE4E04">
            <w:pPr>
              <w:jc w:val="center"/>
              <w:rPr>
                <w:rFonts w:hint="eastAsia" w:ascii="仿宋" w:hAnsi="仿宋" w:eastAsia="仿宋" w:cs="仿宋"/>
                <w:i w:val="0"/>
                <w:iCs w:val="0"/>
                <w:color w:val="auto"/>
                <w:sz w:val="24"/>
                <w:szCs w:val="24"/>
                <w:highlight w:val="none"/>
                <w:u w:val="none"/>
              </w:rPr>
            </w:pPr>
          </w:p>
        </w:tc>
      </w:tr>
      <w:tr w14:paraId="3A2B8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491" w:type="dxa"/>
            <w:gridSpan w:val="7"/>
            <w:tcBorders>
              <w:top w:val="nil"/>
              <w:left w:val="single" w:color="000000" w:sz="8" w:space="0"/>
              <w:bottom w:val="single" w:color="000000" w:sz="8" w:space="0"/>
              <w:right w:val="single" w:color="000000" w:sz="8" w:space="0"/>
            </w:tcBorders>
            <w:shd w:val="clear" w:color="auto" w:fill="auto"/>
            <w:vAlign w:val="center"/>
          </w:tcPr>
          <w:p w14:paraId="3B09B4A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数字一体化手术室</w:t>
            </w:r>
          </w:p>
        </w:tc>
      </w:tr>
      <w:tr w14:paraId="0E84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40BFD58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品目11</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575F453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复合数字一体化手术室</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52C2A6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33B31C0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229.8</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78B5FDB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140E08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10EE45F7">
            <w:pPr>
              <w:jc w:val="center"/>
              <w:rPr>
                <w:rFonts w:hint="eastAsia" w:ascii="仿宋" w:hAnsi="仿宋" w:eastAsia="仿宋" w:cs="仿宋"/>
                <w:i w:val="0"/>
                <w:iCs w:val="0"/>
                <w:color w:val="auto"/>
                <w:sz w:val="24"/>
                <w:szCs w:val="24"/>
                <w:highlight w:val="none"/>
                <w:u w:val="none"/>
              </w:rPr>
            </w:pPr>
          </w:p>
        </w:tc>
      </w:tr>
      <w:tr w14:paraId="2BE03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47BE8CD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品目12</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61977D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机器人数字化手术室</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593AC05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2C2AC6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126.9</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5D2B6F1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585B57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30C75532">
            <w:pPr>
              <w:jc w:val="center"/>
              <w:rPr>
                <w:rFonts w:hint="eastAsia" w:ascii="仿宋" w:hAnsi="仿宋" w:eastAsia="仿宋" w:cs="仿宋"/>
                <w:i w:val="0"/>
                <w:iCs w:val="0"/>
                <w:color w:val="auto"/>
                <w:sz w:val="24"/>
                <w:szCs w:val="24"/>
                <w:highlight w:val="none"/>
                <w:u w:val="none"/>
              </w:rPr>
            </w:pPr>
          </w:p>
        </w:tc>
      </w:tr>
      <w:tr w14:paraId="7062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25C104C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品目13</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2366B9F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负压（心脏移植）数字化手术室</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214B6A6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0C8C20A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82.9</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3359A81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68C7F43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16308455">
            <w:pPr>
              <w:jc w:val="center"/>
              <w:rPr>
                <w:rFonts w:hint="eastAsia" w:ascii="仿宋" w:hAnsi="仿宋" w:eastAsia="仿宋" w:cs="仿宋"/>
                <w:i w:val="0"/>
                <w:iCs w:val="0"/>
                <w:color w:val="auto"/>
                <w:sz w:val="24"/>
                <w:szCs w:val="24"/>
                <w:highlight w:val="none"/>
                <w:u w:val="none"/>
              </w:rPr>
            </w:pPr>
          </w:p>
        </w:tc>
      </w:tr>
      <w:tr w14:paraId="60DBE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14EA028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品目14</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18F6997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基础版数字化手术室</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7DFDF5A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6CB71A2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515.7</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7CCD047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3B87B44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3721846F">
            <w:pPr>
              <w:jc w:val="center"/>
              <w:rPr>
                <w:rFonts w:hint="eastAsia" w:ascii="仿宋" w:hAnsi="仿宋" w:eastAsia="仿宋" w:cs="仿宋"/>
                <w:i w:val="0"/>
                <w:iCs w:val="0"/>
                <w:color w:val="auto"/>
                <w:sz w:val="24"/>
                <w:szCs w:val="24"/>
                <w:highlight w:val="none"/>
                <w:u w:val="none"/>
              </w:rPr>
            </w:pPr>
          </w:p>
        </w:tc>
      </w:tr>
      <w:tr w14:paraId="2470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5174D13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品目15</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3BFC18D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门口信息屏系统（手术室版）</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6B7B5BF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38D0DA7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62C7D23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3A9C61E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1F8D797C">
            <w:pPr>
              <w:jc w:val="center"/>
              <w:rPr>
                <w:rFonts w:hint="eastAsia" w:ascii="仿宋" w:hAnsi="仿宋" w:eastAsia="仿宋" w:cs="仿宋"/>
                <w:i w:val="0"/>
                <w:iCs w:val="0"/>
                <w:color w:val="auto"/>
                <w:sz w:val="24"/>
                <w:szCs w:val="24"/>
                <w:highlight w:val="none"/>
                <w:u w:val="none"/>
              </w:rPr>
            </w:pPr>
          </w:p>
        </w:tc>
      </w:tr>
      <w:tr w14:paraId="25C44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2866ECB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品目16</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77D5CDA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谈话间设备</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48870AB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16CCFE9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4F84CE2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475C30B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19BABAC4">
            <w:pPr>
              <w:jc w:val="center"/>
              <w:rPr>
                <w:rFonts w:hint="eastAsia" w:ascii="仿宋" w:hAnsi="仿宋" w:eastAsia="仿宋" w:cs="仿宋"/>
                <w:i w:val="0"/>
                <w:iCs w:val="0"/>
                <w:color w:val="auto"/>
                <w:sz w:val="24"/>
                <w:szCs w:val="24"/>
                <w:highlight w:val="none"/>
                <w:u w:val="none"/>
              </w:rPr>
            </w:pPr>
          </w:p>
        </w:tc>
      </w:tr>
      <w:tr w14:paraId="77BAB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46AFBE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品目17</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383C205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3轴电动云台旋转4K摄像（含吊臂）</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18FC7BD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7ECA4A2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80</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051890A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2012CA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66400498">
            <w:pPr>
              <w:jc w:val="center"/>
              <w:rPr>
                <w:rFonts w:hint="eastAsia" w:ascii="仿宋" w:hAnsi="仿宋" w:eastAsia="仿宋" w:cs="仿宋"/>
                <w:i w:val="0"/>
                <w:iCs w:val="0"/>
                <w:color w:val="auto"/>
                <w:sz w:val="24"/>
                <w:szCs w:val="24"/>
                <w:highlight w:val="none"/>
                <w:u w:val="none"/>
              </w:rPr>
            </w:pPr>
          </w:p>
        </w:tc>
      </w:tr>
      <w:tr w14:paraId="6D57D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42FE7C2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品目18</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4AB569A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手术床旁麒麟臂</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0C7AB2E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62A5313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1FC136F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7BCE518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3AE0DEB5">
            <w:pPr>
              <w:jc w:val="center"/>
              <w:rPr>
                <w:rFonts w:hint="eastAsia" w:ascii="仿宋" w:hAnsi="仿宋" w:eastAsia="仿宋" w:cs="仿宋"/>
                <w:i w:val="0"/>
                <w:iCs w:val="0"/>
                <w:color w:val="auto"/>
                <w:sz w:val="24"/>
                <w:szCs w:val="24"/>
                <w:highlight w:val="none"/>
                <w:u w:val="none"/>
              </w:rPr>
            </w:pPr>
          </w:p>
        </w:tc>
      </w:tr>
      <w:tr w14:paraId="2FA8C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098616B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品目19</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68FAD6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护士工作平台（含护士站+收纳柜）</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3754B1E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29C7DF7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65</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545DFE3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4CDEA76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3ECACA31">
            <w:pPr>
              <w:jc w:val="center"/>
              <w:rPr>
                <w:rFonts w:hint="eastAsia" w:ascii="仿宋" w:hAnsi="仿宋" w:eastAsia="仿宋" w:cs="仿宋"/>
                <w:i w:val="0"/>
                <w:iCs w:val="0"/>
                <w:color w:val="auto"/>
                <w:sz w:val="24"/>
                <w:szCs w:val="24"/>
                <w:highlight w:val="none"/>
                <w:u w:val="none"/>
              </w:rPr>
            </w:pPr>
          </w:p>
        </w:tc>
      </w:tr>
      <w:tr w14:paraId="1D75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6BFA10A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品目20</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6DD3AAC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数字化导管室</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78F781C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41FE95F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356</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30DD66D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7C4A392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521FC40B">
            <w:pPr>
              <w:jc w:val="center"/>
              <w:rPr>
                <w:rFonts w:hint="eastAsia" w:ascii="仿宋" w:hAnsi="仿宋" w:eastAsia="仿宋" w:cs="仿宋"/>
                <w:i w:val="0"/>
                <w:iCs w:val="0"/>
                <w:color w:val="auto"/>
                <w:sz w:val="24"/>
                <w:szCs w:val="24"/>
                <w:highlight w:val="none"/>
                <w:u w:val="none"/>
              </w:rPr>
            </w:pPr>
          </w:p>
        </w:tc>
      </w:tr>
      <w:tr w14:paraId="3459A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4CB929D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品目21</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552E607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基础版数字化导管室</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1886F6C4">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1F36F53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12021A9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71DDDAE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7F1C7255">
            <w:pPr>
              <w:jc w:val="center"/>
              <w:rPr>
                <w:rFonts w:hint="eastAsia" w:ascii="仿宋" w:hAnsi="仿宋" w:eastAsia="仿宋" w:cs="仿宋"/>
                <w:i w:val="0"/>
                <w:iCs w:val="0"/>
                <w:color w:val="auto"/>
                <w:sz w:val="24"/>
                <w:szCs w:val="24"/>
                <w:highlight w:val="none"/>
                <w:u w:val="none"/>
              </w:rPr>
            </w:pPr>
          </w:p>
        </w:tc>
      </w:tr>
      <w:tr w14:paraId="12F9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03A5AB9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品目22</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1467BBD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门口信息屏系统（导管室版）</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246AAD7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29D8F1D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4917D0C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01D3F58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2777EDC1">
            <w:pPr>
              <w:jc w:val="center"/>
              <w:rPr>
                <w:rFonts w:hint="eastAsia" w:ascii="仿宋" w:hAnsi="仿宋" w:eastAsia="仿宋" w:cs="仿宋"/>
                <w:i w:val="0"/>
                <w:iCs w:val="0"/>
                <w:color w:val="auto"/>
                <w:sz w:val="24"/>
                <w:szCs w:val="24"/>
                <w:highlight w:val="none"/>
                <w:u w:val="none"/>
              </w:rPr>
            </w:pPr>
          </w:p>
        </w:tc>
      </w:tr>
      <w:tr w14:paraId="6B2C3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327525B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品目23</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32B81CE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护士工作平台（含护士站+收纳柜）</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53A5ED0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5DFA8D6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2A1D962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0EF4B9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6EF23DBD">
            <w:pPr>
              <w:jc w:val="center"/>
              <w:rPr>
                <w:rFonts w:hint="eastAsia" w:ascii="仿宋" w:hAnsi="仿宋" w:eastAsia="仿宋" w:cs="仿宋"/>
                <w:i w:val="0"/>
                <w:iCs w:val="0"/>
                <w:color w:val="auto"/>
                <w:sz w:val="24"/>
                <w:szCs w:val="24"/>
                <w:highlight w:val="none"/>
                <w:u w:val="none"/>
              </w:rPr>
            </w:pPr>
          </w:p>
        </w:tc>
      </w:tr>
      <w:tr w14:paraId="10AB0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2EBF7F3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品目24</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0A526BB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手术会议室（光纤版，100平米）</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1204B7DF">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7D971029">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50.11</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6DE3F85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16ED72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01722B35">
            <w:pPr>
              <w:jc w:val="center"/>
              <w:rPr>
                <w:rFonts w:hint="eastAsia" w:ascii="仿宋" w:hAnsi="仿宋" w:eastAsia="仿宋" w:cs="仿宋"/>
                <w:i w:val="0"/>
                <w:iCs w:val="0"/>
                <w:color w:val="auto"/>
                <w:sz w:val="24"/>
                <w:szCs w:val="24"/>
                <w:highlight w:val="none"/>
                <w:u w:val="none"/>
              </w:rPr>
            </w:pPr>
          </w:p>
        </w:tc>
      </w:tr>
      <w:tr w14:paraId="28CBF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121CA9C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品目25</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561B5F9D">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大会议室（光纤版）数字化</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2FFA417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5DBAD91E">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19.59</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295B823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614D046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1BBFEE14">
            <w:pPr>
              <w:jc w:val="center"/>
              <w:rPr>
                <w:rFonts w:hint="eastAsia" w:ascii="仿宋" w:hAnsi="仿宋" w:eastAsia="仿宋" w:cs="仿宋"/>
                <w:i w:val="0"/>
                <w:iCs w:val="0"/>
                <w:color w:val="auto"/>
                <w:sz w:val="24"/>
                <w:szCs w:val="24"/>
                <w:highlight w:val="none"/>
                <w:u w:val="none"/>
              </w:rPr>
            </w:pPr>
          </w:p>
        </w:tc>
      </w:tr>
      <w:tr w14:paraId="2A962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49DD4AD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品目26</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71BF89E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培训室(光纤版)数字化</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3C468F6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3832C4C9">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61619238">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050F9AA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5781A6F8">
            <w:pPr>
              <w:jc w:val="center"/>
              <w:rPr>
                <w:rFonts w:hint="eastAsia" w:ascii="仿宋" w:hAnsi="仿宋" w:eastAsia="仿宋" w:cs="仿宋"/>
                <w:i w:val="0"/>
                <w:iCs w:val="0"/>
                <w:color w:val="auto"/>
                <w:sz w:val="24"/>
                <w:szCs w:val="24"/>
                <w:highlight w:val="none"/>
                <w:u w:val="none"/>
              </w:rPr>
            </w:pPr>
          </w:p>
        </w:tc>
      </w:tr>
      <w:tr w14:paraId="19F9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36" w:type="dxa"/>
            <w:tcBorders>
              <w:top w:val="nil"/>
              <w:left w:val="single" w:color="000000" w:sz="8" w:space="0"/>
              <w:bottom w:val="single" w:color="000000" w:sz="8" w:space="0"/>
              <w:right w:val="single" w:color="000000" w:sz="8" w:space="0"/>
            </w:tcBorders>
            <w:shd w:val="clear" w:color="auto" w:fill="auto"/>
            <w:vAlign w:val="center"/>
          </w:tcPr>
          <w:p w14:paraId="139700A3">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品目27</w:t>
            </w:r>
          </w:p>
        </w:tc>
        <w:tc>
          <w:tcPr>
            <w:tcW w:w="1627" w:type="dxa"/>
            <w:tcBorders>
              <w:top w:val="nil"/>
              <w:left w:val="single" w:color="000000" w:sz="8" w:space="0"/>
              <w:bottom w:val="single" w:color="000000" w:sz="8" w:space="0"/>
              <w:right w:val="single" w:color="000000" w:sz="8" w:space="0"/>
            </w:tcBorders>
            <w:shd w:val="clear" w:color="auto" w:fill="auto"/>
            <w:vAlign w:val="center"/>
          </w:tcPr>
          <w:p w14:paraId="69678225">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手术运营看板&amp;总控中心</w:t>
            </w:r>
          </w:p>
        </w:tc>
        <w:tc>
          <w:tcPr>
            <w:tcW w:w="1141" w:type="dxa"/>
            <w:tcBorders>
              <w:top w:val="nil"/>
              <w:left w:val="single" w:color="000000" w:sz="8" w:space="0"/>
              <w:bottom w:val="single" w:color="000000" w:sz="8" w:space="0"/>
              <w:right w:val="single" w:color="000000" w:sz="8" w:space="0"/>
            </w:tcBorders>
            <w:shd w:val="clear" w:color="auto" w:fill="auto"/>
            <w:vAlign w:val="center"/>
          </w:tcPr>
          <w:p w14:paraId="1AB2379A">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09" w:type="dxa"/>
            <w:tcBorders>
              <w:top w:val="nil"/>
              <w:left w:val="single" w:color="000000" w:sz="8" w:space="0"/>
              <w:bottom w:val="single" w:color="000000" w:sz="8" w:space="0"/>
              <w:right w:val="single" w:color="000000" w:sz="8" w:space="0"/>
            </w:tcBorders>
            <w:shd w:val="clear" w:color="auto" w:fill="auto"/>
            <w:vAlign w:val="center"/>
          </w:tcPr>
          <w:p w14:paraId="5C3CC02C">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w:t>
            </w:r>
          </w:p>
        </w:tc>
        <w:tc>
          <w:tcPr>
            <w:tcW w:w="1519" w:type="dxa"/>
            <w:tcBorders>
              <w:top w:val="nil"/>
              <w:left w:val="single" w:color="000000" w:sz="8" w:space="0"/>
              <w:bottom w:val="single" w:color="000000" w:sz="8" w:space="0"/>
              <w:right w:val="single" w:color="000000" w:sz="8" w:space="0"/>
            </w:tcBorders>
            <w:shd w:val="clear" w:color="auto" w:fill="auto"/>
            <w:vAlign w:val="center"/>
          </w:tcPr>
          <w:p w14:paraId="5EFF396B">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1528" w:type="dxa"/>
            <w:tcBorders>
              <w:top w:val="nil"/>
              <w:left w:val="single" w:color="000000" w:sz="8" w:space="0"/>
              <w:bottom w:val="single" w:color="000000" w:sz="8" w:space="0"/>
              <w:right w:val="single" w:color="000000" w:sz="8" w:space="0"/>
            </w:tcBorders>
            <w:shd w:val="clear" w:color="auto" w:fill="auto"/>
            <w:vAlign w:val="center"/>
          </w:tcPr>
          <w:p w14:paraId="4CA08F6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否</w:t>
            </w:r>
          </w:p>
        </w:tc>
        <w:tc>
          <w:tcPr>
            <w:tcW w:w="1331" w:type="dxa"/>
            <w:tcBorders>
              <w:top w:val="nil"/>
              <w:left w:val="single" w:color="000000" w:sz="8" w:space="0"/>
              <w:bottom w:val="single" w:color="000000" w:sz="8" w:space="0"/>
              <w:right w:val="single" w:color="000000" w:sz="8" w:space="0"/>
            </w:tcBorders>
            <w:shd w:val="clear" w:color="auto" w:fill="auto"/>
            <w:vAlign w:val="center"/>
          </w:tcPr>
          <w:p w14:paraId="30FEA4F0">
            <w:pPr>
              <w:jc w:val="center"/>
              <w:rPr>
                <w:rFonts w:hint="eastAsia" w:ascii="仿宋" w:hAnsi="仿宋" w:eastAsia="仿宋" w:cs="仿宋"/>
                <w:i w:val="0"/>
                <w:iCs w:val="0"/>
                <w:color w:val="auto"/>
                <w:sz w:val="24"/>
                <w:szCs w:val="24"/>
                <w:highlight w:val="none"/>
                <w:u w:val="none"/>
              </w:rPr>
            </w:pPr>
          </w:p>
        </w:tc>
      </w:tr>
    </w:tbl>
    <w:p w14:paraId="57935460">
      <w:pPr>
        <w:widowControl/>
        <w:tabs>
          <w:tab w:val="left" w:pos="1406"/>
        </w:tabs>
        <w:snapToGrid w:val="0"/>
        <w:spacing w:line="360" w:lineRule="auto"/>
        <w:ind w:firstLine="412" w:firstLineChars="171"/>
        <w:rPr>
          <w:rFonts w:hint="eastAsia" w:ascii="宋体" w:hAnsi="宋体" w:eastAsia="仿宋"/>
          <w:b/>
          <w:color w:val="auto"/>
          <w:sz w:val="24"/>
          <w:highlight w:val="none"/>
          <w:lang w:val="en-US" w:eastAsia="zh-CN"/>
        </w:rPr>
      </w:pPr>
    </w:p>
    <w:p w14:paraId="1309C1E7">
      <w:pPr>
        <w:widowControl/>
        <w:tabs>
          <w:tab w:val="left" w:pos="1406"/>
        </w:tabs>
        <w:snapToGrid w:val="0"/>
        <w:spacing w:line="360" w:lineRule="auto"/>
        <w:ind w:firstLine="412" w:firstLineChars="171"/>
        <w:rPr>
          <w:rFonts w:hint="eastAsia" w:ascii="宋体" w:hAnsi="宋体" w:eastAsia="仿宋"/>
          <w:b/>
          <w:color w:val="auto"/>
          <w:sz w:val="24"/>
          <w:highlight w:val="none"/>
        </w:rPr>
      </w:pPr>
      <w:r>
        <w:rPr>
          <w:rFonts w:hint="eastAsia" w:ascii="宋体" w:hAnsi="宋体" w:eastAsia="仿宋"/>
          <w:b/>
          <w:color w:val="auto"/>
          <w:sz w:val="24"/>
          <w:highlight w:val="none"/>
        </w:rPr>
        <w:t>2.</w:t>
      </w:r>
      <w:r>
        <w:rPr>
          <w:rFonts w:hint="eastAsia" w:ascii="宋体" w:hAnsi="宋体" w:eastAsia="仿宋"/>
          <w:b/>
          <w:color w:val="auto"/>
          <w:sz w:val="24"/>
          <w:highlight w:val="none"/>
          <w:lang w:val="en-US" w:eastAsia="zh-CN"/>
        </w:rPr>
        <w:t>2</w:t>
      </w:r>
      <w:r>
        <w:rPr>
          <w:rFonts w:hint="eastAsia" w:ascii="宋体" w:hAnsi="宋体" w:eastAsia="仿宋"/>
          <w:b/>
          <w:color w:val="auto"/>
          <w:sz w:val="24"/>
          <w:highlight w:val="none"/>
        </w:rPr>
        <w:t xml:space="preserve"> 采购范围</w:t>
      </w:r>
    </w:p>
    <w:p w14:paraId="179CE489">
      <w:pPr>
        <w:pStyle w:val="10"/>
        <w:widowControl/>
        <w:snapToGrid w:val="0"/>
        <w:spacing w:line="360" w:lineRule="auto"/>
        <w:ind w:firstLine="480" w:firstLineChars="200"/>
        <w:rPr>
          <w:rFonts w:hint="eastAsia" w:ascii="仿宋" w:hAnsi="仿宋" w:eastAsia="仿宋" w:cs="仿宋"/>
          <w:color w:val="auto"/>
          <w:sz w:val="24"/>
          <w:szCs w:val="24"/>
          <w:highlight w:val="none"/>
        </w:rPr>
      </w:pPr>
      <w:r>
        <w:rPr>
          <w:rFonts w:hint="eastAsia" w:hAnsi="宋体" w:eastAsia="仿宋"/>
          <w:color w:val="auto"/>
          <w:sz w:val="24"/>
          <w:szCs w:val="24"/>
          <w:highlight w:val="none"/>
        </w:rPr>
        <w:t>包括所有货物的供货、包装运输（包括卸车及就位至采购人指定的安装</w:t>
      </w:r>
      <w:r>
        <w:rPr>
          <w:rFonts w:hint="eastAsia" w:ascii="仿宋" w:hAnsi="仿宋" w:eastAsia="仿宋" w:cs="仿宋"/>
          <w:color w:val="auto"/>
          <w:sz w:val="24"/>
          <w:szCs w:val="24"/>
          <w:highlight w:val="none"/>
        </w:rPr>
        <w:t>地</w:t>
      </w:r>
      <w:r>
        <w:rPr>
          <w:rFonts w:hint="eastAsia" w:ascii="仿宋" w:hAnsi="仿宋" w:eastAsia="仿宋" w:cs="仿宋"/>
          <w:b w:val="0"/>
          <w:bCs w:val="0"/>
          <w:color w:val="auto"/>
          <w:sz w:val="24"/>
          <w:szCs w:val="24"/>
          <w:highlight w:val="none"/>
        </w:rPr>
        <w:t>点）、</w:t>
      </w:r>
      <w:r>
        <w:rPr>
          <w:rFonts w:hint="eastAsia" w:ascii="仿宋" w:hAnsi="仿宋" w:eastAsia="仿宋" w:cs="仿宋"/>
          <w:b w:val="0"/>
          <w:bCs w:val="0"/>
          <w:color w:val="auto"/>
          <w:sz w:val="24"/>
          <w:szCs w:val="24"/>
          <w:highlight w:val="none"/>
          <w:lang w:val="en-US" w:eastAsia="zh-CN"/>
        </w:rPr>
        <w:t>安装、</w:t>
      </w:r>
      <w:r>
        <w:rPr>
          <w:rFonts w:hint="eastAsia" w:ascii="仿宋" w:hAnsi="仿宋" w:eastAsia="仿宋" w:cs="仿宋"/>
          <w:b w:val="0"/>
          <w:bCs w:val="0"/>
          <w:color w:val="auto"/>
          <w:sz w:val="24"/>
          <w:szCs w:val="24"/>
          <w:highlight w:val="none"/>
        </w:rPr>
        <w:t>调</w:t>
      </w:r>
      <w:r>
        <w:rPr>
          <w:rFonts w:hint="eastAsia" w:ascii="仿宋" w:hAnsi="仿宋" w:eastAsia="仿宋" w:cs="仿宋"/>
          <w:color w:val="auto"/>
          <w:sz w:val="24"/>
          <w:szCs w:val="24"/>
          <w:highlight w:val="none"/>
        </w:rPr>
        <w:t>试、技术服务、培训、售后服务等所有内容。</w:t>
      </w:r>
    </w:p>
    <w:p w14:paraId="68F06E1A">
      <w:pPr>
        <w:pStyle w:val="3"/>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 商务要求</w:t>
      </w:r>
    </w:p>
    <w:p w14:paraId="35002AF2">
      <w:pP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479"/>
      </w:tblGrid>
      <w:tr w14:paraId="6E59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5" w:type="dxa"/>
            <w:noWrap w:val="0"/>
            <w:vAlign w:val="top"/>
          </w:tcPr>
          <w:p w14:paraId="72C0B1D6">
            <w:pPr>
              <w:widowControl/>
              <w:jc w:val="left"/>
              <w:rPr>
                <w:rFonts w:hint="eastAsia" w:ascii="宋体" w:hAnsi="宋体" w:eastAsia="仿宋"/>
                <w:color w:val="auto"/>
                <w:sz w:val="24"/>
                <w:highlight w:val="none"/>
              </w:rPr>
            </w:pPr>
            <w:r>
              <w:rPr>
                <w:rFonts w:hint="eastAsia" w:ascii="宋体" w:hAnsi="宋体" w:eastAsia="仿宋"/>
                <w:color w:val="auto"/>
                <w:sz w:val="24"/>
                <w:highlight w:val="none"/>
              </w:rPr>
              <w:t>交付（实施）的时间（期限）</w:t>
            </w:r>
          </w:p>
        </w:tc>
        <w:tc>
          <w:tcPr>
            <w:tcW w:w="7479" w:type="dxa"/>
            <w:noWrap w:val="0"/>
            <w:vAlign w:val="top"/>
          </w:tcPr>
          <w:p w14:paraId="0F571BDC">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交货期为合同签订后接院方供货通知后60天内完成安装、调试及验收。</w:t>
            </w:r>
          </w:p>
          <w:p w14:paraId="098ED8A1">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D9B57E3">
            <w:pPr>
              <w:pStyle w:val="25"/>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4CB66497">
            <w:pPr>
              <w:pStyle w:val="25"/>
              <w:ind w:firstLine="2160" w:firstLineChars="900"/>
              <w:rPr>
                <w:rFonts w:hint="eastAsia"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宋体" w:hAnsi="宋体" w:eastAsia="仿宋" w:cs="Calibri"/>
                <w:color w:val="auto"/>
                <w:sz w:val="24"/>
                <w:highlight w:val="none"/>
              </w:rPr>
              <w:t>/</w:t>
            </w:r>
          </w:p>
        </w:tc>
      </w:tr>
      <w:tr w14:paraId="2BD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5" w:type="dxa"/>
            <w:noWrap w:val="0"/>
            <w:vAlign w:val="center"/>
          </w:tcPr>
          <w:p w14:paraId="2FB9A834">
            <w:pPr>
              <w:widowControl/>
              <w:jc w:val="center"/>
              <w:rPr>
                <w:rFonts w:hint="eastAsia" w:ascii="宋体" w:hAnsi="宋体" w:eastAsia="仿宋"/>
                <w:color w:val="auto"/>
                <w:sz w:val="24"/>
                <w:highlight w:val="none"/>
              </w:rPr>
            </w:pPr>
            <w:r>
              <w:rPr>
                <w:rFonts w:hint="eastAsia" w:ascii="宋体" w:hAnsi="宋体" w:eastAsia="仿宋"/>
                <w:color w:val="auto"/>
                <w:sz w:val="24"/>
                <w:highlight w:val="none"/>
              </w:rPr>
              <w:t>交付（实施）的地点（范围）</w:t>
            </w:r>
          </w:p>
        </w:tc>
        <w:tc>
          <w:tcPr>
            <w:tcW w:w="7479" w:type="dxa"/>
            <w:noWrap w:val="0"/>
            <w:vAlign w:val="center"/>
          </w:tcPr>
          <w:p w14:paraId="1AC16658">
            <w:pPr>
              <w:pStyle w:val="25"/>
              <w:ind w:firstLine="0" w:firstLineChars="0"/>
              <w:jc w:val="both"/>
              <w:rPr>
                <w:rFonts w:ascii="宋体" w:hAnsi="宋体" w:eastAsia="仿宋"/>
                <w:color w:val="auto"/>
                <w:sz w:val="24"/>
                <w:highlight w:val="none"/>
              </w:rPr>
            </w:pPr>
            <w:r>
              <w:rPr>
                <w:rFonts w:hint="eastAsia" w:ascii="宋体" w:hAnsi="宋体" w:eastAsia="仿宋"/>
                <w:color w:val="auto"/>
                <w:sz w:val="24"/>
                <w:highlight w:val="none"/>
                <w:lang w:eastAsia="zh-CN"/>
              </w:rPr>
              <w:t>首都医科大学附属北京安贞医院安徽医院，招标人指定地点</w:t>
            </w:r>
          </w:p>
        </w:tc>
      </w:tr>
      <w:tr w14:paraId="0F55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4E522B43">
            <w:pPr>
              <w:pStyle w:val="25"/>
              <w:ind w:firstLine="0" w:firstLineChars="0"/>
              <w:rPr>
                <w:rFonts w:ascii="宋体" w:hAnsi="宋体" w:eastAsia="仿宋"/>
                <w:color w:val="auto"/>
                <w:sz w:val="24"/>
                <w:highlight w:val="none"/>
              </w:rPr>
            </w:pPr>
            <w:r>
              <w:rPr>
                <w:rFonts w:hint="eastAsia" w:ascii="宋体" w:hAnsi="宋体" w:eastAsia="仿宋"/>
                <w:color w:val="auto"/>
                <w:sz w:val="24"/>
                <w:highlight w:val="none"/>
                <w:vertAlign w:val="baseline"/>
                <w:lang w:val="en-US" w:eastAsia="zh-CN"/>
              </w:rPr>
              <w:t>付款方式</w:t>
            </w:r>
          </w:p>
        </w:tc>
        <w:tc>
          <w:tcPr>
            <w:tcW w:w="7479" w:type="dxa"/>
            <w:noWrap w:val="0"/>
            <w:vAlign w:val="top"/>
          </w:tcPr>
          <w:p w14:paraId="762077DA">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合同生效后，预付合同款的70%(中标人向采购人提交等额的预付款保函或其他担保措施后，见索即付，担保期限不少于合同履约期限）。设备完成安装并验收合格后开具全额发票，按医院付款流程支付至合同总价的100%。</w:t>
            </w:r>
          </w:p>
          <w:p w14:paraId="52B768FE">
            <w:pPr>
              <w:widowControl/>
              <w:adjustRightInd w:val="0"/>
              <w:snapToGrid w:val="0"/>
              <w:spacing w:line="288" w:lineRule="auto"/>
              <w:rPr>
                <w:rFonts w:hint="eastAsia" w:ascii="宋体" w:hAnsi="宋体" w:eastAsia="仿宋" w:cs="Calibri"/>
                <w:color w:val="auto"/>
                <w:sz w:val="24"/>
                <w:highlight w:val="none"/>
                <w:lang w:val="en-US" w:eastAsia="zh-CN"/>
              </w:rPr>
            </w:pPr>
          </w:p>
          <w:p w14:paraId="552C7DCF">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lang w:val="en-US" w:eastAsia="zh-CN"/>
              </w:rPr>
              <w:t>预付款保函</w:t>
            </w:r>
            <w:r>
              <w:rPr>
                <w:rFonts w:hint="eastAsia" w:ascii="宋体" w:hAnsi="宋体" w:eastAsia="仿宋" w:cs="Calibri"/>
                <w:color w:val="auto"/>
                <w:sz w:val="24"/>
                <w:highlight w:val="none"/>
              </w:rPr>
              <w:t>要求：</w:t>
            </w:r>
          </w:p>
          <w:p w14:paraId="1F99A08B">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204D81DD">
            <w:pPr>
              <w:widowControl/>
              <w:adjustRightInd w:val="0"/>
              <w:snapToGrid w:val="0"/>
              <w:spacing w:line="288" w:lineRule="auto"/>
              <w:rPr>
                <w:rFonts w:hint="default" w:ascii="宋体" w:hAnsi="宋体" w:eastAsia="宋体" w:cs="Calibri"/>
                <w:color w:val="auto"/>
                <w:sz w:val="24"/>
                <w:highlight w:val="none"/>
                <w:lang w:val="en-US" w:eastAsia="zh-CN"/>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lang w:val="en-US" w:eastAsia="zh-CN"/>
              </w:rPr>
              <w:t>电子保函</w:t>
            </w:r>
          </w:p>
          <w:p w14:paraId="1BEC024D">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075F83D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w:t>
            </w:r>
            <w:r>
              <w:rPr>
                <w:rFonts w:hint="eastAsia" w:ascii="宋体" w:hAnsi="宋体" w:eastAsia="仿宋" w:cs="Calibri"/>
                <w:color w:val="auto"/>
                <w:sz w:val="24"/>
                <w:highlight w:val="none"/>
                <w:lang w:eastAsia="zh-CN"/>
              </w:rPr>
              <w:t>采购人</w:t>
            </w:r>
            <w:r>
              <w:rPr>
                <w:rFonts w:hint="eastAsia" w:ascii="宋体" w:hAnsi="宋体" w:eastAsia="仿宋" w:cs="Calibri"/>
                <w:color w:val="auto"/>
                <w:sz w:val="24"/>
                <w:highlight w:val="none"/>
              </w:rPr>
              <w:t>保管。</w:t>
            </w:r>
          </w:p>
          <w:p w14:paraId="6D7FF69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41DAF835">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0505A3D2">
            <w:pPr>
              <w:widowControl/>
              <w:adjustRightInd w:val="0"/>
              <w:snapToGrid w:val="0"/>
              <w:spacing w:line="288" w:lineRule="auto"/>
              <w:rPr>
                <w:rFonts w:hint="eastAsia" w:ascii="宋体" w:hAnsi="宋体" w:eastAsia="仿宋" w:cs="Times New Roman"/>
                <w:i w:val="0"/>
                <w:iCs w:val="0"/>
                <w:color w:val="auto"/>
                <w:sz w:val="24"/>
                <w:highlight w:val="none"/>
                <w:lang w:eastAsia="zh-CN"/>
              </w:rPr>
            </w:pPr>
            <w:r>
              <w:rPr>
                <w:rFonts w:hint="eastAsia" w:ascii="仿宋" w:hAnsi="仿宋" w:eastAsia="仿宋" w:cs="仿宋"/>
                <w:bCs w:val="0"/>
                <w:color w:val="auto"/>
                <w:sz w:val="24"/>
                <w:szCs w:val="24"/>
                <w:highlight w:val="none"/>
                <w:lang w:val="en-US" w:eastAsia="zh-CN" w:bidi="ar"/>
              </w:rPr>
              <w:t>④</w:t>
            </w:r>
            <w:r>
              <w:rPr>
                <w:rFonts w:hint="eastAsia" w:ascii="宋体" w:hAnsi="宋体" w:eastAsia="仿宋" w:cs="Calibri"/>
                <w:bCs w:val="0"/>
                <w:color w:val="auto"/>
                <w:sz w:val="24"/>
                <w:szCs w:val="24"/>
                <w:highlight w:val="none"/>
                <w:lang w:val="en-US" w:eastAsia="zh-CN" w:bidi="ar"/>
              </w:rPr>
              <w:t>采用电子保函的，</w:t>
            </w:r>
            <w:r>
              <w:rPr>
                <w:rFonts w:hint="eastAsia" w:ascii="宋体" w:hAnsi="宋体" w:eastAsia="仿宋" w:cs="Times New Roman"/>
                <w:i w:val="0"/>
                <w:iCs w:val="0"/>
                <w:color w:val="auto"/>
                <w:sz w:val="24"/>
                <w:highlight w:val="none"/>
              </w:rPr>
              <w:t>可访问安徽省政府采购网“融资/保函”</w:t>
            </w:r>
            <w:r>
              <w:rPr>
                <w:rFonts w:hint="eastAsia" w:ascii="宋体" w:hAnsi="宋体" w:eastAsia="仿宋" w:cs="Times New Roman"/>
                <w:i w:val="0"/>
                <w:iCs w:val="0"/>
                <w:color w:val="auto"/>
                <w:sz w:val="24"/>
                <w:highlight w:val="none"/>
                <w:lang w:val="en-US" w:eastAsia="zh-CN"/>
              </w:rPr>
              <w:t>栏目</w:t>
            </w:r>
            <w:r>
              <w:rPr>
                <w:rFonts w:hint="eastAsia" w:ascii="宋体" w:hAnsi="宋体" w:eastAsia="仿宋" w:cs="Times New Roman"/>
                <w:i w:val="0"/>
                <w:iCs w:val="0"/>
                <w:color w:val="auto"/>
                <w:sz w:val="24"/>
                <w:highlight w:val="none"/>
              </w:rPr>
              <w:t>进行申请</w:t>
            </w:r>
            <w:r>
              <w:rPr>
                <w:rFonts w:hint="eastAsia" w:ascii="宋体" w:hAnsi="宋体" w:eastAsia="仿宋" w:cs="Times New Roman"/>
                <w:i w:val="0"/>
                <w:iCs w:val="0"/>
                <w:color w:val="auto"/>
                <w:sz w:val="24"/>
                <w:highlight w:val="none"/>
                <w:lang w:eastAsia="zh-CN"/>
              </w:rPr>
              <w:t>。</w:t>
            </w:r>
          </w:p>
          <w:p w14:paraId="62B281C5">
            <w:pPr>
              <w:rPr>
                <w:color w:val="auto"/>
                <w:highlight w:val="none"/>
              </w:rPr>
            </w:pPr>
          </w:p>
          <w:p w14:paraId="3A59678E">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3F5F56E5">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0FCC2BF8">
            <w:pPr>
              <w:widowControl/>
              <w:adjustRightInd w:val="0"/>
              <w:snapToGrid w:val="0"/>
              <w:spacing w:line="288" w:lineRule="auto"/>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p>
        </w:tc>
      </w:tr>
      <w:tr w14:paraId="7434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63897167">
            <w:pPr>
              <w:pStyle w:val="25"/>
              <w:ind w:firstLine="0" w:firstLineChars="0"/>
              <w:rPr>
                <w:rFonts w:hint="eastAsia"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免费质保期</w:t>
            </w:r>
          </w:p>
        </w:tc>
        <w:tc>
          <w:tcPr>
            <w:tcW w:w="7479" w:type="dxa"/>
            <w:noWrap w:val="0"/>
            <w:vAlign w:val="top"/>
          </w:tcPr>
          <w:p w14:paraId="2EE27D00">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lang w:val="en-US" w:eastAsia="zh-CN"/>
              </w:rPr>
              <w:t>免费质保期</w:t>
            </w:r>
            <w:r>
              <w:rPr>
                <w:rFonts w:hint="eastAsia" w:ascii="宋体" w:hAnsi="宋体" w:eastAsia="仿宋" w:cs="Calibri"/>
                <w:color w:val="auto"/>
                <w:sz w:val="24"/>
                <w:highlight w:val="none"/>
              </w:rPr>
              <w:t>：自</w:t>
            </w:r>
            <w:r>
              <w:rPr>
                <w:rFonts w:hint="eastAsia" w:ascii="宋体" w:hAnsi="宋体" w:eastAsia="仿宋" w:cs="Calibri"/>
                <w:color w:val="auto"/>
                <w:sz w:val="24"/>
                <w:highlight w:val="none"/>
                <w:lang w:val="en-US" w:eastAsia="zh-CN"/>
              </w:rPr>
              <w:t>整体</w:t>
            </w:r>
            <w:r>
              <w:rPr>
                <w:rFonts w:hint="eastAsia" w:ascii="宋体" w:hAnsi="宋体" w:eastAsia="仿宋" w:cs="Calibri"/>
                <w:color w:val="auto"/>
                <w:sz w:val="24"/>
                <w:highlight w:val="none"/>
              </w:rPr>
              <w:t>验收合格之日起</w:t>
            </w:r>
            <w:r>
              <w:rPr>
                <w:rFonts w:hint="eastAsia" w:ascii="宋体" w:hAnsi="宋体" w:eastAsia="仿宋" w:cs="Calibri"/>
                <w:color w:val="auto"/>
                <w:sz w:val="24"/>
                <w:highlight w:val="none"/>
                <w:lang w:val="en-US" w:eastAsia="zh-CN"/>
              </w:rPr>
              <w:t>4年</w:t>
            </w:r>
            <w:r>
              <w:rPr>
                <w:rFonts w:hint="eastAsia" w:ascii="宋体" w:hAnsi="宋体" w:eastAsia="仿宋" w:cs="Calibri"/>
                <w:color w:val="auto"/>
                <w:sz w:val="24"/>
                <w:highlight w:val="none"/>
              </w:rPr>
              <w:t>整</w:t>
            </w:r>
            <w:r>
              <w:rPr>
                <w:rFonts w:hint="eastAsia" w:ascii="宋体" w:hAnsi="宋体" w:eastAsia="仿宋" w:cs="Calibri"/>
                <w:color w:val="auto"/>
                <w:sz w:val="24"/>
                <w:highlight w:val="none"/>
                <w:lang w:eastAsia="zh-CN"/>
              </w:rPr>
              <w:t>体</w:t>
            </w:r>
            <w:r>
              <w:rPr>
                <w:rFonts w:hint="eastAsia" w:ascii="宋体" w:hAnsi="宋体" w:eastAsia="仿宋" w:cs="Calibri"/>
                <w:color w:val="auto"/>
                <w:sz w:val="24"/>
                <w:highlight w:val="none"/>
              </w:rPr>
              <w:t>质保</w:t>
            </w:r>
            <w:r>
              <w:rPr>
                <w:rFonts w:hint="eastAsia" w:ascii="宋体" w:hAnsi="宋体" w:eastAsia="仿宋" w:cs="Calibri"/>
                <w:color w:val="auto"/>
                <w:sz w:val="24"/>
                <w:highlight w:val="none"/>
                <w:lang w:eastAsia="zh-CN"/>
              </w:rPr>
              <w:t>（</w:t>
            </w:r>
            <w:r>
              <w:rPr>
                <w:rFonts w:hint="eastAsia" w:ascii="宋体" w:hAnsi="宋体" w:eastAsia="仿宋" w:cs="Calibri"/>
                <w:color w:val="auto"/>
                <w:sz w:val="24"/>
                <w:highlight w:val="none"/>
                <w:lang w:val="en-US" w:eastAsia="zh-CN"/>
              </w:rPr>
              <w:t>其中品目</w:t>
            </w:r>
            <w:r>
              <w:rPr>
                <w:rFonts w:hint="default" w:ascii="Times New Roman" w:hAnsi="Times New Roman" w:eastAsia="仿宋" w:cs="Times New Roman"/>
                <w:color w:val="auto"/>
                <w:sz w:val="24"/>
                <w:highlight w:val="none"/>
                <w:lang w:val="en-US" w:eastAsia="zh-CN"/>
              </w:rPr>
              <w:t>1~10</w:t>
            </w:r>
            <w:r>
              <w:rPr>
                <w:rFonts w:hint="eastAsia" w:ascii="宋体" w:hAnsi="宋体" w:eastAsia="仿宋" w:cs="Calibri"/>
                <w:color w:val="auto"/>
                <w:sz w:val="24"/>
                <w:highlight w:val="none"/>
                <w:lang w:val="en-US" w:eastAsia="zh-CN"/>
              </w:rPr>
              <w:t>和数字一体化手术室系统主机需提供原厂质保</w:t>
            </w:r>
            <w:r>
              <w:rPr>
                <w:rFonts w:hint="eastAsia" w:ascii="宋体" w:hAnsi="宋体" w:eastAsia="仿宋" w:cs="Calibri"/>
                <w:color w:val="auto"/>
                <w:sz w:val="24"/>
                <w:highlight w:val="none"/>
                <w:lang w:eastAsia="zh-CN"/>
              </w:rPr>
              <w:t>）</w:t>
            </w:r>
            <w:r>
              <w:rPr>
                <w:rFonts w:hint="eastAsia" w:ascii="宋体" w:hAnsi="宋体" w:eastAsia="仿宋" w:cs="Calibri"/>
                <w:color w:val="auto"/>
                <w:sz w:val="24"/>
                <w:highlight w:val="none"/>
                <w:lang w:val="en-US" w:eastAsia="zh-CN"/>
              </w:rPr>
              <w:t>，</w:t>
            </w:r>
            <w:r>
              <w:rPr>
                <w:rFonts w:hint="eastAsia" w:ascii="宋体" w:hAnsi="宋体" w:eastAsia="仿宋" w:cs="Calibri"/>
                <w:color w:val="auto"/>
                <w:sz w:val="24"/>
                <w:highlight w:val="none"/>
              </w:rPr>
              <w:t>更换后的零部件质保期从更换之日起计算。</w:t>
            </w:r>
          </w:p>
          <w:p w14:paraId="3EA08AC5">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16945D4">
            <w:pPr>
              <w:pStyle w:val="25"/>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178D2C0C">
            <w:pPr>
              <w:pStyle w:val="25"/>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bl>
    <w:p w14:paraId="551431B7">
      <w:pPr>
        <w:pStyle w:val="25"/>
        <w:ind w:firstLine="480"/>
        <w:rPr>
          <w:rFonts w:ascii="宋体" w:hAnsi="宋体" w:eastAsia="仿宋"/>
          <w:color w:val="auto"/>
          <w:sz w:val="24"/>
          <w:highlight w:val="none"/>
        </w:rPr>
      </w:pPr>
    </w:p>
    <w:bookmarkEnd w:id="761"/>
    <w:p w14:paraId="34A467BB">
      <w:pPr>
        <w:pStyle w:val="10"/>
        <w:widowControl/>
        <w:snapToGrid w:val="0"/>
        <w:spacing w:line="360" w:lineRule="auto"/>
        <w:outlineLvl w:val="1"/>
        <w:rPr>
          <w:rStyle w:val="23"/>
          <w:rFonts w:hint="eastAsia" w:ascii="宋体" w:hAnsi="宋体" w:eastAsia="仿宋"/>
          <w:color w:val="auto"/>
          <w:sz w:val="24"/>
          <w:szCs w:val="24"/>
          <w:highlight w:val="none"/>
        </w:rPr>
      </w:pPr>
      <w:r>
        <w:rPr>
          <w:rFonts w:hint="eastAsia" w:hAnsi="宋体" w:eastAsia="仿宋"/>
          <w:color w:val="auto"/>
          <w:sz w:val="24"/>
          <w:szCs w:val="24"/>
          <w:highlight w:val="none"/>
        </w:rPr>
        <w:br w:type="page"/>
      </w:r>
      <w:bookmarkStart w:id="765" w:name="_Toc455587275"/>
      <w:bookmarkStart w:id="766" w:name="_Toc455587091"/>
      <w:bookmarkStart w:id="767" w:name="_Toc445554749"/>
      <w:bookmarkStart w:id="768" w:name="_Toc466024558"/>
      <w:r>
        <w:rPr>
          <w:rStyle w:val="23"/>
          <w:rFonts w:hint="eastAsia" w:ascii="宋体" w:hAnsi="宋体" w:eastAsia="仿宋"/>
          <w:color w:val="auto"/>
          <w:sz w:val="24"/>
          <w:szCs w:val="24"/>
          <w:highlight w:val="none"/>
        </w:rPr>
        <w:t>4. 技术要求</w:t>
      </w:r>
      <w:bookmarkEnd w:id="765"/>
      <w:bookmarkEnd w:id="766"/>
      <w:bookmarkEnd w:id="767"/>
      <w:bookmarkEnd w:id="768"/>
    </w:p>
    <w:p w14:paraId="297E5F3D">
      <w:pPr>
        <w:pStyle w:val="10"/>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4.1标识符号</w:t>
      </w:r>
    </w:p>
    <w:tbl>
      <w:tblPr>
        <w:tblStyle w:val="17"/>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1530"/>
        <w:gridCol w:w="6185"/>
      </w:tblGrid>
      <w:tr w14:paraId="6587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pct"/>
            <w:noWrap w:val="0"/>
            <w:vAlign w:val="center"/>
          </w:tcPr>
          <w:p w14:paraId="690FC3CA">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标识类型</w:t>
            </w:r>
          </w:p>
        </w:tc>
        <w:tc>
          <w:tcPr>
            <w:tcW w:w="785" w:type="pct"/>
            <w:noWrap w:val="0"/>
            <w:vAlign w:val="center"/>
          </w:tcPr>
          <w:p w14:paraId="461C4A9D">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w:t>
            </w:r>
          </w:p>
        </w:tc>
        <w:tc>
          <w:tcPr>
            <w:tcW w:w="3173" w:type="pct"/>
            <w:noWrap w:val="0"/>
            <w:vAlign w:val="center"/>
          </w:tcPr>
          <w:p w14:paraId="3E80AC1E">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标识符号含义</w:t>
            </w:r>
          </w:p>
        </w:tc>
      </w:tr>
      <w:tr w14:paraId="6613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685B877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85" w:type="pct"/>
            <w:noWrap w:val="0"/>
            <w:vAlign w:val="center"/>
          </w:tcPr>
          <w:p w14:paraId="1D56BD6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1E369C3B">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标的属于核心产品</w:t>
            </w:r>
          </w:p>
        </w:tc>
      </w:tr>
      <w:tr w14:paraId="7975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311EF12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实质性参数</w:t>
            </w:r>
          </w:p>
        </w:tc>
        <w:tc>
          <w:tcPr>
            <w:tcW w:w="785" w:type="pct"/>
            <w:noWrap w:val="0"/>
            <w:vAlign w:val="center"/>
          </w:tcPr>
          <w:p w14:paraId="64C4F024">
            <w:pPr>
              <w:jc w:val="center"/>
              <w:rPr>
                <w:rFonts w:hint="eastAsia" w:ascii="仿宋" w:hAnsi="仿宋" w:eastAsia="宋体" w:cs="仿宋"/>
                <w:color w:val="auto"/>
                <w:sz w:val="24"/>
                <w:highlight w:val="none"/>
                <w:lang w:eastAsia="zh-CN"/>
              </w:rPr>
            </w:pPr>
            <w:r>
              <w:rPr>
                <w:rFonts w:hint="eastAsia" w:ascii="宋体" w:hAnsi="宋体" w:cs="宋体"/>
                <w:color w:val="auto"/>
                <w:kern w:val="0"/>
                <w:sz w:val="22"/>
                <w:szCs w:val="22"/>
                <w:highlight w:val="none"/>
                <w:lang w:eastAsia="zh-CN" w:bidi="ar"/>
              </w:rPr>
              <w:t>★</w:t>
            </w:r>
          </w:p>
        </w:tc>
        <w:tc>
          <w:tcPr>
            <w:tcW w:w="3173" w:type="pct"/>
            <w:noWrap w:val="0"/>
            <w:vAlign w:val="center"/>
          </w:tcPr>
          <w:p w14:paraId="121FAA2A">
            <w:pPr>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负偏离或未响应视为实质性不响应招标文件要求</w:t>
            </w:r>
          </w:p>
        </w:tc>
      </w:tr>
      <w:tr w14:paraId="0542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1" w:type="pct"/>
            <w:noWrap w:val="0"/>
            <w:vAlign w:val="center"/>
          </w:tcPr>
          <w:p w14:paraId="0537557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核心参数</w:t>
            </w:r>
          </w:p>
        </w:tc>
        <w:tc>
          <w:tcPr>
            <w:tcW w:w="785" w:type="pct"/>
            <w:noWrap w:val="0"/>
            <w:vAlign w:val="center"/>
          </w:tcPr>
          <w:p w14:paraId="007B4308">
            <w:pPr>
              <w:jc w:val="center"/>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lang w:eastAsia="zh-CN"/>
              </w:rPr>
              <w:t>■</w:t>
            </w:r>
          </w:p>
        </w:tc>
        <w:tc>
          <w:tcPr>
            <w:tcW w:w="3173" w:type="pct"/>
            <w:noWrap w:val="0"/>
            <w:vAlign w:val="center"/>
          </w:tcPr>
          <w:p w14:paraId="03437F9D">
            <w:pPr>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评分项</w:t>
            </w:r>
          </w:p>
        </w:tc>
      </w:tr>
      <w:tr w14:paraId="7626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7F8A57C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一般参数</w:t>
            </w:r>
          </w:p>
        </w:tc>
        <w:tc>
          <w:tcPr>
            <w:tcW w:w="785" w:type="pct"/>
            <w:noWrap w:val="0"/>
            <w:vAlign w:val="center"/>
          </w:tcPr>
          <w:p w14:paraId="1D2D597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无标识</w:t>
            </w:r>
          </w:p>
        </w:tc>
        <w:tc>
          <w:tcPr>
            <w:tcW w:w="3173" w:type="pct"/>
            <w:noWrap w:val="0"/>
            <w:vAlign w:val="center"/>
          </w:tcPr>
          <w:p w14:paraId="72952EBF">
            <w:pPr>
              <w:jc w:val="center"/>
              <w:rPr>
                <w:rFonts w:hint="default" w:ascii="Times New Roman" w:hAnsi="Times New Roman" w:eastAsia="宋体"/>
                <w:color w:val="auto"/>
                <w:highlight w:val="none"/>
                <w:lang w:val="en-US" w:eastAsia="zh-CN"/>
              </w:rPr>
            </w:pPr>
            <w:r>
              <w:rPr>
                <w:rFonts w:hint="eastAsia" w:ascii="仿宋" w:hAnsi="仿宋" w:eastAsia="仿宋" w:cs="仿宋"/>
                <w:color w:val="auto"/>
                <w:sz w:val="24"/>
                <w:highlight w:val="none"/>
              </w:rPr>
              <w:t>评分项</w:t>
            </w:r>
          </w:p>
        </w:tc>
      </w:tr>
      <w:tr w14:paraId="26D4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6C731FA1">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p>
          <w:p w14:paraId="6BEEEB8C">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（1）标识条款中如包含多条子项技术参数或要求，则需满足或优于该标识条款内所有子项技术参数或要求方能得分。</w:t>
            </w:r>
          </w:p>
          <w:p w14:paraId="2B39A0FA">
            <w:pPr>
              <w:jc w:val="left"/>
              <w:rPr>
                <w:rFonts w:hint="eastAsia" w:ascii="仿宋" w:hAnsi="仿宋" w:cs="仿宋"/>
                <w:color w:val="auto"/>
                <w:sz w:val="24"/>
                <w:highlight w:val="none"/>
              </w:rPr>
            </w:pPr>
            <w:r>
              <w:rPr>
                <w:rFonts w:hint="eastAsia" w:ascii="仿宋" w:hAnsi="仿宋" w:eastAsia="仿宋" w:cs="仿宋"/>
                <w:color w:val="auto"/>
                <w:sz w:val="22"/>
                <w:szCs w:val="22"/>
                <w:highlight w:val="none"/>
              </w:rPr>
              <w:t>（2）须按照第六章投标文件格式十，提供技术要求偏离表和技术响应资料。</w:t>
            </w:r>
          </w:p>
        </w:tc>
      </w:tr>
    </w:tbl>
    <w:p w14:paraId="12A8DF81">
      <w:pPr>
        <w:pStyle w:val="10"/>
        <w:widowControl/>
        <w:snapToGrid w:val="0"/>
        <w:spacing w:line="360" w:lineRule="auto"/>
        <w:ind w:firstLine="480" w:firstLineChars="200"/>
        <w:rPr>
          <w:rFonts w:hint="eastAsia" w:hAnsi="宋体" w:eastAsia="仿宋"/>
          <w:color w:val="auto"/>
          <w:sz w:val="24"/>
          <w:szCs w:val="24"/>
          <w:highlight w:val="none"/>
        </w:rPr>
      </w:pPr>
    </w:p>
    <w:p w14:paraId="65DCF522">
      <w:pPr>
        <w:pStyle w:val="10"/>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4.2技术要求表</w:t>
      </w:r>
    </w:p>
    <w:p w14:paraId="7087EDBC">
      <w:pPr>
        <w:pStyle w:val="10"/>
        <w:widowControl/>
        <w:snapToGrid w:val="0"/>
        <w:spacing w:line="360" w:lineRule="auto"/>
        <w:ind w:firstLine="482" w:firstLineChars="200"/>
        <w:outlineLvl w:val="2"/>
        <w:rPr>
          <w:rFonts w:hint="eastAsia" w:hAnsi="宋体" w:eastAsia="仿宋"/>
          <w:b/>
          <w:bCs/>
          <w:color w:val="auto"/>
          <w:sz w:val="36"/>
          <w:szCs w:val="36"/>
          <w:highlight w:val="none"/>
          <w:lang w:eastAsia="zh-CN"/>
        </w:rPr>
      </w:pPr>
      <w:bookmarkStart w:id="769" w:name="_Toc9357"/>
      <w:bookmarkStart w:id="770" w:name="_Toc445554765"/>
      <w:bookmarkStart w:id="771" w:name="_Toc466024564"/>
      <w:r>
        <w:rPr>
          <w:rFonts w:hint="eastAsia" w:ascii="仿宋" w:hAnsi="仿宋" w:eastAsia="仿宋" w:cs="仿宋"/>
          <w:b/>
          <w:bCs/>
          <w:color w:val="auto"/>
          <w:sz w:val="24"/>
          <w:szCs w:val="24"/>
          <w:highlight w:val="none"/>
        </w:rPr>
        <w:t>灯床塔</w:t>
      </w:r>
      <w:r>
        <w:rPr>
          <w:rFonts w:hint="eastAsia" w:ascii="仿宋" w:hAnsi="仿宋" w:eastAsia="仿宋" w:cs="仿宋"/>
          <w:b/>
          <w:bCs/>
          <w:color w:val="auto"/>
          <w:sz w:val="24"/>
          <w:szCs w:val="24"/>
          <w:highlight w:val="none"/>
          <w:lang w:eastAsia="zh-CN"/>
        </w:rPr>
        <w:t>：</w:t>
      </w:r>
    </w:p>
    <w:tbl>
      <w:tblPr>
        <w:tblStyle w:val="18"/>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837"/>
        <w:gridCol w:w="6199"/>
      </w:tblGrid>
      <w:tr w14:paraId="6B3D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shd w:val="clear" w:color="auto" w:fill="auto"/>
            <w:noWrap/>
          </w:tcPr>
          <w:p w14:paraId="4F1BC395">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1837" w:type="dxa"/>
            <w:shd w:val="clear" w:color="auto" w:fill="auto"/>
            <w:noWrap/>
          </w:tcPr>
          <w:p w14:paraId="772B0E7B">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技术规格</w:t>
            </w:r>
          </w:p>
        </w:tc>
        <w:tc>
          <w:tcPr>
            <w:tcW w:w="6199" w:type="dxa"/>
            <w:shd w:val="clear" w:color="auto" w:fill="auto"/>
            <w:noWrap/>
            <w:vAlign w:val="center"/>
          </w:tcPr>
          <w:p w14:paraId="49D77F5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技术要求</w:t>
            </w:r>
          </w:p>
        </w:tc>
      </w:tr>
      <w:tr w14:paraId="274C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shd w:val="clear" w:color="auto" w:fill="auto"/>
            <w:noWrap/>
          </w:tcPr>
          <w:p w14:paraId="212CBE11">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color w:val="auto"/>
                <w:sz w:val="20"/>
                <w:szCs w:val="20"/>
                <w:highlight w:val="none"/>
              </w:rPr>
              <w:t>★</w:t>
            </w:r>
            <w:r>
              <w:rPr>
                <w:rFonts w:hint="eastAsia" w:ascii="仿宋" w:hAnsi="仿宋" w:eastAsia="仿宋" w:cs="仿宋"/>
                <w:b/>
                <w:bCs/>
                <w:color w:val="auto"/>
                <w:sz w:val="20"/>
                <w:szCs w:val="20"/>
                <w:highlight w:val="none"/>
              </w:rPr>
              <w:t>1</w:t>
            </w:r>
          </w:p>
        </w:tc>
        <w:tc>
          <w:tcPr>
            <w:tcW w:w="1837" w:type="dxa"/>
            <w:shd w:val="clear" w:color="auto" w:fill="auto"/>
            <w:noWrap/>
          </w:tcPr>
          <w:p w14:paraId="4C8466E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配置清单</w:t>
            </w:r>
          </w:p>
        </w:tc>
        <w:tc>
          <w:tcPr>
            <w:tcW w:w="6199" w:type="dxa"/>
            <w:shd w:val="clear" w:color="auto" w:fill="auto"/>
            <w:noWrap/>
            <w:vAlign w:val="center"/>
          </w:tcPr>
          <w:tbl>
            <w:tblPr>
              <w:tblStyle w:val="18"/>
              <w:tblW w:w="6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575"/>
              <w:gridCol w:w="1085"/>
              <w:gridCol w:w="897"/>
            </w:tblGrid>
            <w:tr w14:paraId="202D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301" w:type="dxa"/>
                  <w:gridSpan w:val="2"/>
                  <w:noWrap/>
                  <w:vAlign w:val="center"/>
                </w:tcPr>
                <w:p w14:paraId="0E6D2FEC">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高端双头手术无影灯</w:t>
                  </w:r>
                </w:p>
              </w:tc>
              <w:tc>
                <w:tcPr>
                  <w:tcW w:w="1982" w:type="dxa"/>
                  <w:gridSpan w:val="2"/>
                  <w:noWrap/>
                  <w:vAlign w:val="center"/>
                </w:tcPr>
                <w:p w14:paraId="0DD42F74">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3套</w:t>
                  </w:r>
                </w:p>
              </w:tc>
            </w:tr>
            <w:tr w14:paraId="35B9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vAlign w:val="center"/>
                </w:tcPr>
                <w:p w14:paraId="7FACE4DE">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3575" w:type="dxa"/>
                  <w:vAlign w:val="center"/>
                </w:tcPr>
                <w:p w14:paraId="26D51F12">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配置要求（单套）</w:t>
                  </w:r>
                </w:p>
              </w:tc>
              <w:tc>
                <w:tcPr>
                  <w:tcW w:w="1085" w:type="dxa"/>
                  <w:vAlign w:val="center"/>
                </w:tcPr>
                <w:p w14:paraId="5915CA48">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c>
                <w:tcPr>
                  <w:tcW w:w="897" w:type="dxa"/>
                  <w:vAlign w:val="center"/>
                </w:tcPr>
                <w:p w14:paraId="33FE16B5">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单位</w:t>
                  </w:r>
                </w:p>
              </w:tc>
            </w:tr>
            <w:tr w14:paraId="2D0F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364BC2B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3575" w:type="dxa"/>
                  <w:vAlign w:val="center"/>
                </w:tcPr>
                <w:p w14:paraId="13796EC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天花吊顶装饰组件</w:t>
                  </w:r>
                </w:p>
              </w:tc>
              <w:tc>
                <w:tcPr>
                  <w:tcW w:w="1085" w:type="dxa"/>
                  <w:vAlign w:val="center"/>
                </w:tcPr>
                <w:p w14:paraId="349C682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6F550E3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2793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3AC7FE2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3575" w:type="dxa"/>
                  <w:vAlign w:val="center"/>
                </w:tcPr>
                <w:p w14:paraId="256EDEB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双灯悬吊系统</w:t>
                  </w:r>
                </w:p>
              </w:tc>
              <w:tc>
                <w:tcPr>
                  <w:tcW w:w="1085" w:type="dxa"/>
                  <w:noWrap/>
                  <w:vAlign w:val="center"/>
                </w:tcPr>
                <w:p w14:paraId="2962C83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4DA755C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3D77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57A2E77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3575" w:type="dxa"/>
                  <w:vAlign w:val="center"/>
                </w:tcPr>
                <w:p w14:paraId="1F96BBC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无影灯灯头，关节无限位</w:t>
                  </w:r>
                </w:p>
              </w:tc>
              <w:tc>
                <w:tcPr>
                  <w:tcW w:w="1085" w:type="dxa"/>
                  <w:vAlign w:val="center"/>
                </w:tcPr>
                <w:p w14:paraId="74AEFC0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7806F1C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3E55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2442C96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3575" w:type="dxa"/>
                  <w:vAlign w:val="center"/>
                </w:tcPr>
                <w:p w14:paraId="3134B55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灭菌手柄</w:t>
                  </w:r>
                </w:p>
              </w:tc>
              <w:tc>
                <w:tcPr>
                  <w:tcW w:w="1085" w:type="dxa"/>
                  <w:vAlign w:val="center"/>
                </w:tcPr>
                <w:p w14:paraId="4E1D339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897" w:type="dxa"/>
                  <w:noWrap/>
                  <w:vAlign w:val="center"/>
                </w:tcPr>
                <w:p w14:paraId="51517DD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530E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0040B07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3575" w:type="dxa"/>
                  <w:noWrap/>
                  <w:vAlign w:val="center"/>
                </w:tcPr>
                <w:p w14:paraId="4CBE740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快接多功能手柄</w:t>
                  </w:r>
                </w:p>
              </w:tc>
              <w:tc>
                <w:tcPr>
                  <w:tcW w:w="1085" w:type="dxa"/>
                  <w:noWrap/>
                  <w:vAlign w:val="center"/>
                </w:tcPr>
                <w:p w14:paraId="4177517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197C5D2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32AA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6D60EF9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3575" w:type="dxa"/>
                  <w:noWrap/>
                  <w:vAlign w:val="center"/>
                </w:tcPr>
                <w:p w14:paraId="3AD4934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色温可调（每个灯头）</w:t>
                  </w:r>
                </w:p>
              </w:tc>
              <w:tc>
                <w:tcPr>
                  <w:tcW w:w="1085" w:type="dxa"/>
                  <w:noWrap/>
                  <w:vAlign w:val="center"/>
                </w:tcPr>
                <w:p w14:paraId="0823DF3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63363C0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0923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5FD7E8D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c>
                <w:tcPr>
                  <w:tcW w:w="3575" w:type="dxa"/>
                  <w:noWrap/>
                  <w:vAlign w:val="center"/>
                </w:tcPr>
                <w:p w14:paraId="790B66E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腔镜环境光功能</w:t>
                  </w:r>
                </w:p>
              </w:tc>
              <w:tc>
                <w:tcPr>
                  <w:tcW w:w="1085" w:type="dxa"/>
                  <w:vAlign w:val="center"/>
                </w:tcPr>
                <w:p w14:paraId="45768E1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703700B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5810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313DCE2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3575" w:type="dxa"/>
                  <w:noWrap/>
                  <w:vAlign w:val="center"/>
                </w:tcPr>
                <w:p w14:paraId="2B1B7DB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分术式调光功能</w:t>
                  </w:r>
                </w:p>
              </w:tc>
              <w:tc>
                <w:tcPr>
                  <w:tcW w:w="1085" w:type="dxa"/>
                  <w:noWrap/>
                  <w:vAlign w:val="center"/>
                </w:tcPr>
                <w:p w14:paraId="58B1FE5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3F771FE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0111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151CB94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c>
                <w:tcPr>
                  <w:tcW w:w="3575" w:type="dxa"/>
                  <w:noWrap/>
                  <w:vAlign w:val="center"/>
                </w:tcPr>
                <w:p w14:paraId="09FC511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阴影管理-联动补光功能</w:t>
                  </w:r>
                </w:p>
              </w:tc>
              <w:tc>
                <w:tcPr>
                  <w:tcW w:w="1085" w:type="dxa"/>
                  <w:vAlign w:val="center"/>
                </w:tcPr>
                <w:p w14:paraId="2FBF2AE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53DDDA6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6144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301" w:type="dxa"/>
                  <w:gridSpan w:val="2"/>
                  <w:noWrap/>
                  <w:vAlign w:val="center"/>
                </w:tcPr>
                <w:p w14:paraId="12B9F887">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中高端双头手术无影灯</w:t>
                  </w:r>
                </w:p>
              </w:tc>
              <w:tc>
                <w:tcPr>
                  <w:tcW w:w="1982" w:type="dxa"/>
                  <w:gridSpan w:val="2"/>
                  <w:noWrap/>
                  <w:vAlign w:val="center"/>
                </w:tcPr>
                <w:p w14:paraId="038004CD">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9套</w:t>
                  </w:r>
                </w:p>
              </w:tc>
            </w:tr>
            <w:tr w14:paraId="0086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vAlign w:val="center"/>
                </w:tcPr>
                <w:p w14:paraId="29CA94F7">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3575" w:type="dxa"/>
                  <w:vAlign w:val="center"/>
                </w:tcPr>
                <w:p w14:paraId="5BC18DB6">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配置要求（单套）</w:t>
                  </w:r>
                </w:p>
              </w:tc>
              <w:tc>
                <w:tcPr>
                  <w:tcW w:w="1085" w:type="dxa"/>
                  <w:vAlign w:val="center"/>
                </w:tcPr>
                <w:p w14:paraId="2B6671FC">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c>
                <w:tcPr>
                  <w:tcW w:w="897" w:type="dxa"/>
                  <w:vAlign w:val="center"/>
                </w:tcPr>
                <w:p w14:paraId="142F957C">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单位</w:t>
                  </w:r>
                </w:p>
              </w:tc>
            </w:tr>
            <w:tr w14:paraId="0CD4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402C041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3575" w:type="dxa"/>
                  <w:vAlign w:val="center"/>
                </w:tcPr>
                <w:p w14:paraId="73A67EF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天花吊顶装饰组件</w:t>
                  </w:r>
                </w:p>
              </w:tc>
              <w:tc>
                <w:tcPr>
                  <w:tcW w:w="1085" w:type="dxa"/>
                  <w:noWrap/>
                  <w:vAlign w:val="center"/>
                </w:tcPr>
                <w:p w14:paraId="5561920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1B2C480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0630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5CBA97E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3575" w:type="dxa"/>
                  <w:noWrap/>
                  <w:vAlign w:val="center"/>
                </w:tcPr>
                <w:p w14:paraId="7D620AB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双灯悬吊系统</w:t>
                  </w:r>
                </w:p>
              </w:tc>
              <w:tc>
                <w:tcPr>
                  <w:tcW w:w="1085" w:type="dxa"/>
                  <w:noWrap/>
                  <w:vAlign w:val="center"/>
                </w:tcPr>
                <w:p w14:paraId="35434A6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718B405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0BF3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02A3DD5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3575" w:type="dxa"/>
                  <w:noWrap/>
                  <w:vAlign w:val="center"/>
                </w:tcPr>
                <w:p w14:paraId="637031B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无影灯灯头，关节无限位</w:t>
                  </w:r>
                </w:p>
              </w:tc>
              <w:tc>
                <w:tcPr>
                  <w:tcW w:w="1085" w:type="dxa"/>
                  <w:noWrap/>
                  <w:vAlign w:val="center"/>
                </w:tcPr>
                <w:p w14:paraId="6230402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70190C2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069A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0780020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3575" w:type="dxa"/>
                  <w:vAlign w:val="center"/>
                </w:tcPr>
                <w:p w14:paraId="54DB174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灭菌手柄</w:t>
                  </w:r>
                </w:p>
              </w:tc>
              <w:tc>
                <w:tcPr>
                  <w:tcW w:w="1085" w:type="dxa"/>
                  <w:noWrap/>
                  <w:vAlign w:val="center"/>
                </w:tcPr>
                <w:p w14:paraId="7419740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897" w:type="dxa"/>
                  <w:noWrap/>
                  <w:vAlign w:val="center"/>
                </w:tcPr>
                <w:p w14:paraId="0F85444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6AD2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61AFCB4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3575" w:type="dxa"/>
                  <w:noWrap/>
                  <w:vAlign w:val="center"/>
                </w:tcPr>
                <w:p w14:paraId="30172C4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快接多功能手柄</w:t>
                  </w:r>
                </w:p>
              </w:tc>
              <w:tc>
                <w:tcPr>
                  <w:tcW w:w="1085" w:type="dxa"/>
                  <w:noWrap/>
                  <w:vAlign w:val="center"/>
                </w:tcPr>
                <w:p w14:paraId="040986F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7C8A906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0A94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37636B2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3575" w:type="dxa"/>
                  <w:noWrap/>
                  <w:vAlign w:val="center"/>
                </w:tcPr>
                <w:p w14:paraId="7C129D9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色温可调（每个灯头）</w:t>
                  </w:r>
                </w:p>
              </w:tc>
              <w:tc>
                <w:tcPr>
                  <w:tcW w:w="1085" w:type="dxa"/>
                  <w:noWrap/>
                  <w:vAlign w:val="center"/>
                </w:tcPr>
                <w:p w14:paraId="7134B5A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0E2A5F3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7190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6B3188F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c>
                <w:tcPr>
                  <w:tcW w:w="3575" w:type="dxa"/>
                  <w:noWrap/>
                  <w:vAlign w:val="center"/>
                </w:tcPr>
                <w:p w14:paraId="66609E6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腔镜环境光功能</w:t>
                  </w:r>
                </w:p>
              </w:tc>
              <w:tc>
                <w:tcPr>
                  <w:tcW w:w="1085" w:type="dxa"/>
                  <w:noWrap/>
                  <w:vAlign w:val="center"/>
                </w:tcPr>
                <w:p w14:paraId="23AAEA6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6EEF68B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1C692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549CECC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3575" w:type="dxa"/>
                  <w:noWrap/>
                  <w:vAlign w:val="center"/>
                </w:tcPr>
                <w:p w14:paraId="2335438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阴影管理功能</w:t>
                  </w:r>
                </w:p>
              </w:tc>
              <w:tc>
                <w:tcPr>
                  <w:tcW w:w="1085" w:type="dxa"/>
                  <w:noWrap/>
                  <w:vAlign w:val="center"/>
                </w:tcPr>
                <w:p w14:paraId="4D6C375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4B94896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4236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08E248E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c>
                <w:tcPr>
                  <w:tcW w:w="3575" w:type="dxa"/>
                  <w:noWrap/>
                  <w:vAlign w:val="center"/>
                </w:tcPr>
                <w:p w14:paraId="6C12928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分术式调光功能</w:t>
                  </w:r>
                </w:p>
              </w:tc>
              <w:tc>
                <w:tcPr>
                  <w:tcW w:w="1085" w:type="dxa"/>
                  <w:noWrap/>
                  <w:vAlign w:val="center"/>
                </w:tcPr>
                <w:p w14:paraId="1F8C97D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6FA9051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53B9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301" w:type="dxa"/>
                  <w:gridSpan w:val="2"/>
                  <w:noWrap/>
                  <w:vAlign w:val="center"/>
                </w:tcPr>
                <w:p w14:paraId="31B8772C">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单头手术无影灯</w:t>
                  </w:r>
                </w:p>
              </w:tc>
              <w:tc>
                <w:tcPr>
                  <w:tcW w:w="1982" w:type="dxa"/>
                  <w:gridSpan w:val="2"/>
                  <w:noWrap/>
                  <w:vAlign w:val="center"/>
                </w:tcPr>
                <w:p w14:paraId="0CC098F9">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19套</w:t>
                  </w:r>
                </w:p>
              </w:tc>
            </w:tr>
            <w:tr w14:paraId="7FA5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vAlign w:val="center"/>
                </w:tcPr>
                <w:p w14:paraId="023D6885">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3575" w:type="dxa"/>
                  <w:vAlign w:val="center"/>
                </w:tcPr>
                <w:p w14:paraId="08DF6DFE">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配置要求（单套）</w:t>
                  </w:r>
                </w:p>
              </w:tc>
              <w:tc>
                <w:tcPr>
                  <w:tcW w:w="1085" w:type="dxa"/>
                  <w:vAlign w:val="center"/>
                </w:tcPr>
                <w:p w14:paraId="7E8B5B2D">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c>
                <w:tcPr>
                  <w:tcW w:w="897" w:type="dxa"/>
                  <w:vAlign w:val="center"/>
                </w:tcPr>
                <w:p w14:paraId="4335BD22">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单位</w:t>
                  </w:r>
                </w:p>
              </w:tc>
            </w:tr>
            <w:tr w14:paraId="14DA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0D06521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3575" w:type="dxa"/>
                  <w:vAlign w:val="center"/>
                </w:tcPr>
                <w:p w14:paraId="4687ACF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天花吊顶装饰组件</w:t>
                  </w:r>
                </w:p>
              </w:tc>
              <w:tc>
                <w:tcPr>
                  <w:tcW w:w="1085" w:type="dxa"/>
                  <w:noWrap/>
                  <w:vAlign w:val="center"/>
                </w:tcPr>
                <w:p w14:paraId="5E04836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6E3225A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4440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2B7F617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3575" w:type="dxa"/>
                  <w:noWrap/>
                  <w:vAlign w:val="center"/>
                </w:tcPr>
                <w:p w14:paraId="50CA48A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单灯悬吊系统</w:t>
                  </w:r>
                </w:p>
              </w:tc>
              <w:tc>
                <w:tcPr>
                  <w:tcW w:w="1085" w:type="dxa"/>
                  <w:noWrap/>
                  <w:vAlign w:val="center"/>
                </w:tcPr>
                <w:p w14:paraId="7B51FA4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12FB0D7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13EF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7DEF6F9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3575" w:type="dxa"/>
                  <w:noWrap/>
                  <w:vAlign w:val="center"/>
                </w:tcPr>
                <w:p w14:paraId="6599B6B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无影灯灯头，关节无限位</w:t>
                  </w:r>
                </w:p>
              </w:tc>
              <w:tc>
                <w:tcPr>
                  <w:tcW w:w="1085" w:type="dxa"/>
                  <w:noWrap/>
                  <w:vAlign w:val="center"/>
                </w:tcPr>
                <w:p w14:paraId="5503A53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07E5BF7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1533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555B90C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3575" w:type="dxa"/>
                  <w:vAlign w:val="center"/>
                </w:tcPr>
                <w:p w14:paraId="34CEC13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灭菌手柄</w:t>
                  </w:r>
                </w:p>
              </w:tc>
              <w:tc>
                <w:tcPr>
                  <w:tcW w:w="1085" w:type="dxa"/>
                  <w:noWrap/>
                  <w:vAlign w:val="center"/>
                </w:tcPr>
                <w:p w14:paraId="7AD661E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897" w:type="dxa"/>
                  <w:noWrap/>
                  <w:vAlign w:val="center"/>
                </w:tcPr>
                <w:p w14:paraId="0D767A0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3732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7A9848C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3575" w:type="dxa"/>
                  <w:noWrap/>
                  <w:vAlign w:val="center"/>
                </w:tcPr>
                <w:p w14:paraId="3F2D1E5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快接多功能手柄</w:t>
                  </w:r>
                </w:p>
              </w:tc>
              <w:tc>
                <w:tcPr>
                  <w:tcW w:w="1085" w:type="dxa"/>
                  <w:noWrap/>
                  <w:vAlign w:val="center"/>
                </w:tcPr>
                <w:p w14:paraId="40F0AE1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6C52953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62FC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27D45C0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3575" w:type="dxa"/>
                  <w:noWrap/>
                  <w:vAlign w:val="center"/>
                </w:tcPr>
                <w:p w14:paraId="18DBC51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色温可调（每个灯头）</w:t>
                  </w:r>
                </w:p>
              </w:tc>
              <w:tc>
                <w:tcPr>
                  <w:tcW w:w="1085" w:type="dxa"/>
                  <w:noWrap/>
                  <w:vAlign w:val="center"/>
                </w:tcPr>
                <w:p w14:paraId="4225254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2613DC6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4166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7AB000A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c>
                <w:tcPr>
                  <w:tcW w:w="3575" w:type="dxa"/>
                  <w:noWrap/>
                  <w:vAlign w:val="center"/>
                </w:tcPr>
                <w:p w14:paraId="4D15537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腔镜环境光功能</w:t>
                  </w:r>
                </w:p>
              </w:tc>
              <w:tc>
                <w:tcPr>
                  <w:tcW w:w="1085" w:type="dxa"/>
                  <w:noWrap/>
                  <w:vAlign w:val="center"/>
                </w:tcPr>
                <w:p w14:paraId="4630E05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5C1C369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26C3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301" w:type="dxa"/>
                  <w:gridSpan w:val="2"/>
                  <w:noWrap/>
                  <w:vAlign w:val="center"/>
                </w:tcPr>
                <w:p w14:paraId="26A1EA96">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数字化手术室配套设备</w:t>
                  </w:r>
                </w:p>
              </w:tc>
              <w:tc>
                <w:tcPr>
                  <w:tcW w:w="1982" w:type="dxa"/>
                  <w:gridSpan w:val="2"/>
                  <w:noWrap/>
                  <w:vAlign w:val="center"/>
                </w:tcPr>
                <w:p w14:paraId="2CB13ECE">
                  <w:pPr>
                    <w:spacing w:line="360" w:lineRule="exact"/>
                    <w:jc w:val="center"/>
                    <w:rPr>
                      <w:rFonts w:hint="eastAsia" w:ascii="仿宋" w:hAnsi="仿宋" w:eastAsia="仿宋" w:cs="仿宋"/>
                      <w:b/>
                      <w:bCs/>
                      <w:color w:val="auto"/>
                      <w:sz w:val="20"/>
                      <w:szCs w:val="20"/>
                      <w:highlight w:val="none"/>
                    </w:rPr>
                  </w:pPr>
                </w:p>
              </w:tc>
            </w:tr>
            <w:tr w14:paraId="3DFE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vAlign w:val="center"/>
                </w:tcPr>
                <w:p w14:paraId="29DB34F2">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3575" w:type="dxa"/>
                  <w:vAlign w:val="center"/>
                </w:tcPr>
                <w:p w14:paraId="598AF397">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配置要求（单套）</w:t>
                  </w:r>
                </w:p>
              </w:tc>
              <w:tc>
                <w:tcPr>
                  <w:tcW w:w="1085" w:type="dxa"/>
                  <w:vAlign w:val="center"/>
                </w:tcPr>
                <w:p w14:paraId="42AFD33A">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c>
                <w:tcPr>
                  <w:tcW w:w="897" w:type="dxa"/>
                  <w:vAlign w:val="center"/>
                </w:tcPr>
                <w:p w14:paraId="6E473D12">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单位</w:t>
                  </w:r>
                </w:p>
              </w:tc>
            </w:tr>
            <w:tr w14:paraId="69A2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7466639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3575" w:type="dxa"/>
                  <w:noWrap/>
                  <w:vAlign w:val="center"/>
                </w:tcPr>
                <w:p w14:paraId="1707CB3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外置显示器吊臂</w:t>
                  </w:r>
                </w:p>
              </w:tc>
              <w:tc>
                <w:tcPr>
                  <w:tcW w:w="1085" w:type="dxa"/>
                  <w:noWrap/>
                  <w:vAlign w:val="center"/>
                </w:tcPr>
                <w:p w14:paraId="210C90F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w:t>
                  </w:r>
                </w:p>
              </w:tc>
              <w:tc>
                <w:tcPr>
                  <w:tcW w:w="897" w:type="dxa"/>
                  <w:noWrap/>
                  <w:vAlign w:val="center"/>
                </w:tcPr>
                <w:p w14:paraId="7A2146B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1CEE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22CCB573">
                  <w:pPr>
                    <w:spacing w:line="360" w:lineRule="exact"/>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2</w:t>
                  </w:r>
                </w:p>
              </w:tc>
              <w:tc>
                <w:tcPr>
                  <w:tcW w:w="3575" w:type="dxa"/>
                  <w:noWrap/>
                  <w:vAlign w:val="center"/>
                </w:tcPr>
                <w:p w14:paraId="2259CE9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无影灯中置无线摄像</w:t>
                  </w:r>
                </w:p>
              </w:tc>
              <w:tc>
                <w:tcPr>
                  <w:tcW w:w="1085" w:type="dxa"/>
                  <w:noWrap/>
                  <w:vAlign w:val="center"/>
                </w:tcPr>
                <w:p w14:paraId="6A57AAE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c>
                <w:tcPr>
                  <w:tcW w:w="897" w:type="dxa"/>
                  <w:noWrap/>
                  <w:vAlign w:val="center"/>
                </w:tcPr>
                <w:p w14:paraId="404472A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7B63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301" w:type="dxa"/>
                  <w:gridSpan w:val="2"/>
                  <w:noWrap/>
                  <w:vAlign w:val="center"/>
                </w:tcPr>
                <w:p w14:paraId="7E8C1334">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中高档手术床</w:t>
                  </w:r>
                </w:p>
              </w:tc>
              <w:tc>
                <w:tcPr>
                  <w:tcW w:w="1982" w:type="dxa"/>
                  <w:gridSpan w:val="2"/>
                  <w:noWrap/>
                  <w:vAlign w:val="center"/>
                </w:tcPr>
                <w:p w14:paraId="5EC9B64A">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11套</w:t>
                  </w:r>
                </w:p>
              </w:tc>
            </w:tr>
            <w:tr w14:paraId="3039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vAlign w:val="center"/>
                </w:tcPr>
                <w:p w14:paraId="21FF2378">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3575" w:type="dxa"/>
                  <w:vAlign w:val="center"/>
                </w:tcPr>
                <w:p w14:paraId="54006B77">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配置要求（单套）</w:t>
                  </w:r>
                </w:p>
              </w:tc>
              <w:tc>
                <w:tcPr>
                  <w:tcW w:w="1085" w:type="dxa"/>
                  <w:vAlign w:val="center"/>
                </w:tcPr>
                <w:p w14:paraId="2F2788E7">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c>
                <w:tcPr>
                  <w:tcW w:w="897" w:type="dxa"/>
                  <w:vAlign w:val="center"/>
                </w:tcPr>
                <w:p w14:paraId="1ABBC323">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单位</w:t>
                  </w:r>
                </w:p>
              </w:tc>
            </w:tr>
            <w:tr w14:paraId="1CCC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363573F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3575" w:type="dxa"/>
                  <w:noWrap/>
                  <w:vAlign w:val="center"/>
                </w:tcPr>
                <w:p w14:paraId="3BAE7CE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手术床主机</w:t>
                  </w:r>
                </w:p>
              </w:tc>
              <w:tc>
                <w:tcPr>
                  <w:tcW w:w="1085" w:type="dxa"/>
                  <w:noWrap/>
                  <w:vAlign w:val="center"/>
                </w:tcPr>
                <w:p w14:paraId="2FFBAB2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64E0BD5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4CCD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77025DB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3575" w:type="dxa"/>
                  <w:noWrap/>
                  <w:vAlign w:val="center"/>
                </w:tcPr>
                <w:p w14:paraId="30D146A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平移功能</w:t>
                  </w:r>
                </w:p>
              </w:tc>
              <w:tc>
                <w:tcPr>
                  <w:tcW w:w="1085" w:type="dxa"/>
                  <w:noWrap/>
                  <w:vAlign w:val="center"/>
                </w:tcPr>
                <w:p w14:paraId="6790A8D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33AB46E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7E1F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6FFC28A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3575" w:type="dxa"/>
                  <w:noWrap/>
                  <w:vAlign w:val="center"/>
                </w:tcPr>
                <w:p w14:paraId="37B14BD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无线遥控器</w:t>
                  </w:r>
                </w:p>
              </w:tc>
              <w:tc>
                <w:tcPr>
                  <w:tcW w:w="1085" w:type="dxa"/>
                  <w:noWrap/>
                  <w:vAlign w:val="center"/>
                </w:tcPr>
                <w:p w14:paraId="27B74C9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3E026D1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6DFF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242AB49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3575" w:type="dxa"/>
                  <w:noWrap/>
                  <w:vAlign w:val="center"/>
                </w:tcPr>
                <w:p w14:paraId="155DF70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普通头板</w:t>
                  </w:r>
                </w:p>
              </w:tc>
              <w:tc>
                <w:tcPr>
                  <w:tcW w:w="1085" w:type="dxa"/>
                  <w:noWrap/>
                  <w:vAlign w:val="center"/>
                </w:tcPr>
                <w:p w14:paraId="50DA343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5E11DAB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25C7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0EF87B1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3575" w:type="dxa"/>
                  <w:noWrap/>
                  <w:vAlign w:val="center"/>
                </w:tcPr>
                <w:p w14:paraId="6D96BD2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普通腿板</w:t>
                  </w:r>
                </w:p>
              </w:tc>
              <w:tc>
                <w:tcPr>
                  <w:tcW w:w="1085" w:type="dxa"/>
                  <w:noWrap/>
                  <w:vAlign w:val="center"/>
                </w:tcPr>
                <w:p w14:paraId="4AE369E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116333D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4A08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733CBEC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3575" w:type="dxa"/>
                  <w:noWrap/>
                  <w:vAlign w:val="center"/>
                </w:tcPr>
                <w:p w14:paraId="7C6F742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上背板</w:t>
                  </w:r>
                </w:p>
              </w:tc>
              <w:tc>
                <w:tcPr>
                  <w:tcW w:w="1085" w:type="dxa"/>
                  <w:noWrap/>
                  <w:vAlign w:val="center"/>
                </w:tcPr>
                <w:p w14:paraId="5AC85EF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53F0701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4165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321F163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c>
                <w:tcPr>
                  <w:tcW w:w="3575" w:type="dxa"/>
                  <w:noWrap/>
                  <w:vAlign w:val="center"/>
                </w:tcPr>
                <w:p w14:paraId="6DA3030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托手架(带夹持器\一对\记忆海绵)</w:t>
                  </w:r>
                </w:p>
              </w:tc>
              <w:tc>
                <w:tcPr>
                  <w:tcW w:w="1085" w:type="dxa"/>
                  <w:noWrap/>
                  <w:vAlign w:val="center"/>
                </w:tcPr>
                <w:p w14:paraId="21B9253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56D4EBC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590F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77AB08E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3575" w:type="dxa"/>
                  <w:noWrap/>
                  <w:vAlign w:val="center"/>
                </w:tcPr>
                <w:p w14:paraId="77824EB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麻醉屏架(带夹持器)</w:t>
                  </w:r>
                </w:p>
              </w:tc>
              <w:tc>
                <w:tcPr>
                  <w:tcW w:w="1085" w:type="dxa"/>
                  <w:noWrap/>
                  <w:vAlign w:val="center"/>
                </w:tcPr>
                <w:p w14:paraId="5D122AB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1CFE0B9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7FF5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479BCFB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c>
                <w:tcPr>
                  <w:tcW w:w="3575" w:type="dxa"/>
                  <w:noWrap/>
                  <w:vAlign w:val="center"/>
                </w:tcPr>
                <w:p w14:paraId="3F7BD87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国标电源线</w:t>
                  </w:r>
                </w:p>
              </w:tc>
              <w:tc>
                <w:tcPr>
                  <w:tcW w:w="1085" w:type="dxa"/>
                  <w:noWrap/>
                  <w:vAlign w:val="center"/>
                </w:tcPr>
                <w:p w14:paraId="0D2B862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59C5450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185D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76151B6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w:t>
                  </w:r>
                </w:p>
              </w:tc>
              <w:tc>
                <w:tcPr>
                  <w:tcW w:w="3575" w:type="dxa"/>
                  <w:noWrap/>
                  <w:vAlign w:val="center"/>
                </w:tcPr>
                <w:p w14:paraId="22C95DC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记忆海绵床垫</w:t>
                  </w:r>
                </w:p>
              </w:tc>
              <w:tc>
                <w:tcPr>
                  <w:tcW w:w="1085" w:type="dxa"/>
                  <w:noWrap/>
                  <w:vAlign w:val="center"/>
                </w:tcPr>
                <w:p w14:paraId="221FF5B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3F220D1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03C3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shd w:val="clear" w:color="auto" w:fill="auto"/>
                  <w:noWrap/>
                  <w:vAlign w:val="center"/>
                </w:tcPr>
                <w:p w14:paraId="52DCB13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w:t>
                  </w:r>
                </w:p>
              </w:tc>
              <w:tc>
                <w:tcPr>
                  <w:tcW w:w="3575" w:type="dxa"/>
                  <w:shd w:val="clear" w:color="auto" w:fill="auto"/>
                  <w:noWrap/>
                  <w:vAlign w:val="center"/>
                </w:tcPr>
                <w:p w14:paraId="778742A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截石位腿架</w:t>
                  </w:r>
                </w:p>
              </w:tc>
              <w:tc>
                <w:tcPr>
                  <w:tcW w:w="1085" w:type="dxa"/>
                  <w:shd w:val="clear" w:color="auto" w:fill="auto"/>
                  <w:noWrap/>
                  <w:vAlign w:val="center"/>
                </w:tcPr>
                <w:p w14:paraId="1B14D8F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shd w:val="clear" w:color="auto" w:fill="auto"/>
                  <w:noWrap/>
                  <w:vAlign w:val="center"/>
                </w:tcPr>
                <w:p w14:paraId="09D321C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635B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301" w:type="dxa"/>
                  <w:gridSpan w:val="2"/>
                  <w:noWrap/>
                  <w:vAlign w:val="center"/>
                </w:tcPr>
                <w:p w14:paraId="70BB4FA9">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麻醉塔</w:t>
                  </w:r>
                </w:p>
              </w:tc>
              <w:tc>
                <w:tcPr>
                  <w:tcW w:w="1982" w:type="dxa"/>
                  <w:gridSpan w:val="2"/>
                  <w:noWrap/>
                  <w:vAlign w:val="center"/>
                </w:tcPr>
                <w:p w14:paraId="5CEBF67C">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23套</w:t>
                  </w:r>
                </w:p>
              </w:tc>
            </w:tr>
            <w:tr w14:paraId="7F4B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vAlign w:val="center"/>
                </w:tcPr>
                <w:p w14:paraId="5808C182">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3575" w:type="dxa"/>
                  <w:vAlign w:val="center"/>
                </w:tcPr>
                <w:p w14:paraId="62F488FE">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配置要求（单套）</w:t>
                  </w:r>
                </w:p>
              </w:tc>
              <w:tc>
                <w:tcPr>
                  <w:tcW w:w="1085" w:type="dxa"/>
                  <w:vAlign w:val="center"/>
                </w:tcPr>
                <w:p w14:paraId="5A386046">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c>
                <w:tcPr>
                  <w:tcW w:w="897" w:type="dxa"/>
                  <w:vAlign w:val="center"/>
                </w:tcPr>
                <w:p w14:paraId="3FD23BC4">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单位</w:t>
                  </w:r>
                </w:p>
              </w:tc>
            </w:tr>
            <w:tr w14:paraId="4344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12ABB47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3575" w:type="dxa"/>
                  <w:noWrap/>
                  <w:vAlign w:val="center"/>
                </w:tcPr>
                <w:p w14:paraId="6038043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机械双臂结构，悬臂长度≥1500mm；</w:t>
                  </w:r>
                </w:p>
              </w:tc>
              <w:tc>
                <w:tcPr>
                  <w:tcW w:w="1085" w:type="dxa"/>
                  <w:noWrap/>
                  <w:vAlign w:val="center"/>
                </w:tcPr>
                <w:p w14:paraId="60058B0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4FB3E42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77C7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430A5FD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3575" w:type="dxa"/>
                  <w:noWrap/>
                  <w:vAlign w:val="center"/>
                </w:tcPr>
                <w:p w14:paraId="000ADD9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气电箱为吊柱式，气电箱长度≥800mm；</w:t>
                  </w:r>
                </w:p>
              </w:tc>
              <w:tc>
                <w:tcPr>
                  <w:tcW w:w="1085" w:type="dxa"/>
                  <w:noWrap/>
                  <w:vAlign w:val="center"/>
                </w:tcPr>
                <w:p w14:paraId="3BE3F60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3362FE6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707B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26" w:type="dxa"/>
                  <w:noWrap/>
                  <w:vAlign w:val="center"/>
                </w:tcPr>
                <w:p w14:paraId="4096CEC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3575" w:type="dxa"/>
                  <w:noWrap/>
                  <w:vAlign w:val="center"/>
                </w:tcPr>
                <w:p w14:paraId="7488513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气体终端，氧气，德标，包含插头</w:t>
                  </w:r>
                </w:p>
              </w:tc>
              <w:tc>
                <w:tcPr>
                  <w:tcW w:w="1085" w:type="dxa"/>
                  <w:noWrap/>
                  <w:vAlign w:val="center"/>
                </w:tcPr>
                <w:p w14:paraId="2CA13E9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897" w:type="dxa"/>
                  <w:noWrap/>
                  <w:vAlign w:val="center"/>
                </w:tcPr>
                <w:p w14:paraId="40EA1D8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6D59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3AB35E2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3575" w:type="dxa"/>
                  <w:noWrap/>
                  <w:vAlign w:val="center"/>
                </w:tcPr>
                <w:p w14:paraId="0E2F685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气体终端，负压吸引，德标，包含插头</w:t>
                  </w:r>
                </w:p>
              </w:tc>
              <w:tc>
                <w:tcPr>
                  <w:tcW w:w="1085" w:type="dxa"/>
                  <w:noWrap/>
                  <w:vAlign w:val="center"/>
                </w:tcPr>
                <w:p w14:paraId="4BC3971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29884F5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45B0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1266F28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3575" w:type="dxa"/>
                  <w:noWrap/>
                  <w:vAlign w:val="center"/>
                </w:tcPr>
                <w:p w14:paraId="1272FC5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气体终端，空气，德标，包含插头</w:t>
                  </w:r>
                </w:p>
              </w:tc>
              <w:tc>
                <w:tcPr>
                  <w:tcW w:w="1085" w:type="dxa"/>
                  <w:noWrap/>
                  <w:vAlign w:val="center"/>
                </w:tcPr>
                <w:p w14:paraId="60473A2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897" w:type="dxa"/>
                  <w:noWrap/>
                  <w:vAlign w:val="center"/>
                </w:tcPr>
                <w:p w14:paraId="278F760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4DA7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10A6B8A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3575" w:type="dxa"/>
                  <w:noWrap/>
                  <w:vAlign w:val="center"/>
                </w:tcPr>
                <w:p w14:paraId="6707016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气体终端，麻醉废气，德标，包含插头</w:t>
                  </w:r>
                </w:p>
              </w:tc>
              <w:tc>
                <w:tcPr>
                  <w:tcW w:w="1085" w:type="dxa"/>
                  <w:noWrap/>
                  <w:vAlign w:val="center"/>
                </w:tcPr>
                <w:p w14:paraId="12CE071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04F1DC9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6139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239FD0D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c>
                <w:tcPr>
                  <w:tcW w:w="3575" w:type="dxa"/>
                  <w:noWrap/>
                  <w:vAlign w:val="center"/>
                </w:tcPr>
                <w:p w14:paraId="451C895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电源插座10A</w:t>
                  </w:r>
                </w:p>
              </w:tc>
              <w:tc>
                <w:tcPr>
                  <w:tcW w:w="1085" w:type="dxa"/>
                  <w:noWrap/>
                  <w:vAlign w:val="center"/>
                </w:tcPr>
                <w:p w14:paraId="72CD033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897" w:type="dxa"/>
                  <w:noWrap/>
                  <w:vAlign w:val="center"/>
                </w:tcPr>
                <w:p w14:paraId="3E01AC4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792C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shd w:val="clear" w:color="auto" w:fill="auto"/>
                  <w:noWrap/>
                  <w:vAlign w:val="center"/>
                </w:tcPr>
                <w:p w14:paraId="0574A69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3575" w:type="dxa"/>
                  <w:shd w:val="clear" w:color="auto" w:fill="auto"/>
                  <w:noWrap/>
                  <w:vAlign w:val="center"/>
                </w:tcPr>
                <w:p w14:paraId="6728130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电源插座16A</w:t>
                  </w:r>
                </w:p>
              </w:tc>
              <w:tc>
                <w:tcPr>
                  <w:tcW w:w="1085" w:type="dxa"/>
                  <w:shd w:val="clear" w:color="auto" w:fill="auto"/>
                  <w:noWrap/>
                  <w:vAlign w:val="center"/>
                </w:tcPr>
                <w:p w14:paraId="076EA60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shd w:val="clear" w:color="auto" w:fill="auto"/>
                  <w:noWrap/>
                  <w:vAlign w:val="center"/>
                </w:tcPr>
                <w:p w14:paraId="3AE4DE2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1E8E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2811541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c>
                <w:tcPr>
                  <w:tcW w:w="3575" w:type="dxa"/>
                  <w:noWrap/>
                  <w:vAlign w:val="center"/>
                </w:tcPr>
                <w:p w14:paraId="3BD2BD0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RJ45，含线，CAT6</w:t>
                  </w:r>
                </w:p>
              </w:tc>
              <w:tc>
                <w:tcPr>
                  <w:tcW w:w="1085" w:type="dxa"/>
                  <w:noWrap/>
                  <w:vAlign w:val="center"/>
                </w:tcPr>
                <w:p w14:paraId="1EABBAB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897" w:type="dxa"/>
                  <w:noWrap/>
                  <w:vAlign w:val="center"/>
                </w:tcPr>
                <w:p w14:paraId="3D270F9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1D59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6D34329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w:t>
                  </w:r>
                </w:p>
              </w:tc>
              <w:tc>
                <w:tcPr>
                  <w:tcW w:w="3575" w:type="dxa"/>
                  <w:noWrap/>
                  <w:vAlign w:val="center"/>
                </w:tcPr>
                <w:p w14:paraId="0684BAD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等电位柱</w:t>
                  </w:r>
                </w:p>
              </w:tc>
              <w:tc>
                <w:tcPr>
                  <w:tcW w:w="1085" w:type="dxa"/>
                  <w:noWrap/>
                  <w:vAlign w:val="center"/>
                </w:tcPr>
                <w:p w14:paraId="2D00C61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11BD119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2C81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0FAA5BC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w:t>
                  </w:r>
                </w:p>
              </w:tc>
              <w:tc>
                <w:tcPr>
                  <w:tcW w:w="3575" w:type="dxa"/>
                  <w:noWrap/>
                  <w:vAlign w:val="center"/>
                </w:tcPr>
                <w:p w14:paraId="1590258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仪器承载托盘尺寸≥530X480mm</w:t>
                  </w:r>
                </w:p>
              </w:tc>
              <w:tc>
                <w:tcPr>
                  <w:tcW w:w="1085" w:type="dxa"/>
                  <w:noWrap/>
                  <w:vAlign w:val="center"/>
                </w:tcPr>
                <w:p w14:paraId="55FCA16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57C7F14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6FFD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7861636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w:t>
                  </w:r>
                </w:p>
              </w:tc>
              <w:tc>
                <w:tcPr>
                  <w:tcW w:w="3575" w:type="dxa"/>
                  <w:noWrap/>
                  <w:vAlign w:val="center"/>
                </w:tcPr>
                <w:p w14:paraId="4B304AA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自吸合抽屉</w:t>
                  </w:r>
                </w:p>
              </w:tc>
              <w:tc>
                <w:tcPr>
                  <w:tcW w:w="1085" w:type="dxa"/>
                  <w:noWrap/>
                  <w:vAlign w:val="center"/>
                </w:tcPr>
                <w:p w14:paraId="16ABCA0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5772F3B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405C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726" w:type="dxa"/>
                  <w:noWrap/>
                  <w:vAlign w:val="center"/>
                </w:tcPr>
                <w:p w14:paraId="7029B7C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w:t>
                  </w:r>
                </w:p>
              </w:tc>
              <w:tc>
                <w:tcPr>
                  <w:tcW w:w="3575" w:type="dxa"/>
                  <w:noWrap/>
                  <w:vAlign w:val="center"/>
                </w:tcPr>
                <w:p w14:paraId="0B7BB53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双臂延伸臂</w:t>
                  </w:r>
                </w:p>
              </w:tc>
              <w:tc>
                <w:tcPr>
                  <w:tcW w:w="1085" w:type="dxa"/>
                  <w:noWrap/>
                  <w:vAlign w:val="center"/>
                </w:tcPr>
                <w:p w14:paraId="23E4D9A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1D7F86A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4471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41FC7EC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14</w:t>
                  </w:r>
                </w:p>
              </w:tc>
              <w:tc>
                <w:tcPr>
                  <w:tcW w:w="3575" w:type="dxa"/>
                  <w:noWrap/>
                  <w:vAlign w:val="center"/>
                </w:tcPr>
                <w:p w14:paraId="0E98BD1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网篮</w:t>
                  </w:r>
                </w:p>
              </w:tc>
              <w:tc>
                <w:tcPr>
                  <w:tcW w:w="1085" w:type="dxa"/>
                  <w:noWrap/>
                  <w:vAlign w:val="center"/>
                </w:tcPr>
                <w:p w14:paraId="1499D2B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6C34E63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32EA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shd w:val="clear" w:color="auto" w:fill="auto"/>
                  <w:noWrap/>
                  <w:vAlign w:val="center"/>
                </w:tcPr>
                <w:p w14:paraId="4A3E737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15</w:t>
                  </w:r>
                </w:p>
              </w:tc>
              <w:tc>
                <w:tcPr>
                  <w:tcW w:w="3575" w:type="dxa"/>
                  <w:shd w:val="clear" w:color="auto" w:fill="auto"/>
                  <w:noWrap/>
                  <w:vAlign w:val="center"/>
                </w:tcPr>
                <w:p w14:paraId="58DFF0E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HDMI接口</w:t>
                  </w:r>
                </w:p>
              </w:tc>
              <w:tc>
                <w:tcPr>
                  <w:tcW w:w="1085" w:type="dxa"/>
                  <w:shd w:val="clear" w:color="auto" w:fill="auto"/>
                  <w:noWrap/>
                  <w:vAlign w:val="center"/>
                </w:tcPr>
                <w:p w14:paraId="222A680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shd w:val="clear" w:color="auto" w:fill="auto"/>
                  <w:noWrap/>
                  <w:vAlign w:val="center"/>
                </w:tcPr>
                <w:p w14:paraId="4FE5834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0DFD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301" w:type="dxa"/>
                  <w:gridSpan w:val="2"/>
                  <w:noWrap/>
                  <w:vAlign w:val="center"/>
                </w:tcPr>
                <w:p w14:paraId="77DEFAAF">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外科塔</w:t>
                  </w:r>
                </w:p>
              </w:tc>
              <w:tc>
                <w:tcPr>
                  <w:tcW w:w="1982" w:type="dxa"/>
                  <w:gridSpan w:val="2"/>
                  <w:noWrap/>
                  <w:vAlign w:val="center"/>
                </w:tcPr>
                <w:p w14:paraId="40440EEC">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23套</w:t>
                  </w:r>
                </w:p>
              </w:tc>
            </w:tr>
            <w:tr w14:paraId="683A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vAlign w:val="center"/>
                </w:tcPr>
                <w:p w14:paraId="4BFCF666">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3575" w:type="dxa"/>
                  <w:vAlign w:val="center"/>
                </w:tcPr>
                <w:p w14:paraId="428580E5">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配置要求（单套）</w:t>
                  </w:r>
                </w:p>
              </w:tc>
              <w:tc>
                <w:tcPr>
                  <w:tcW w:w="1085" w:type="dxa"/>
                  <w:vAlign w:val="center"/>
                </w:tcPr>
                <w:p w14:paraId="16AEA2DE">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c>
                <w:tcPr>
                  <w:tcW w:w="897" w:type="dxa"/>
                  <w:vAlign w:val="center"/>
                </w:tcPr>
                <w:p w14:paraId="44AAD1AD">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单位</w:t>
                  </w:r>
                </w:p>
              </w:tc>
            </w:tr>
            <w:tr w14:paraId="735F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2D4EACA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3575" w:type="dxa"/>
                  <w:noWrap/>
                  <w:vAlign w:val="center"/>
                </w:tcPr>
                <w:p w14:paraId="3E42750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机械双臂结构，悬臂长度≥1500mm；</w:t>
                  </w:r>
                </w:p>
              </w:tc>
              <w:tc>
                <w:tcPr>
                  <w:tcW w:w="1085" w:type="dxa"/>
                  <w:noWrap/>
                  <w:vAlign w:val="center"/>
                </w:tcPr>
                <w:p w14:paraId="168FAE9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212A6B3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2048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206D3C7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3575" w:type="dxa"/>
                  <w:noWrap/>
                  <w:vAlign w:val="center"/>
                </w:tcPr>
                <w:p w14:paraId="19B687E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气电箱为吊柱式，气电箱长度≥1000mm；</w:t>
                  </w:r>
                </w:p>
              </w:tc>
              <w:tc>
                <w:tcPr>
                  <w:tcW w:w="1085" w:type="dxa"/>
                  <w:noWrap/>
                  <w:vAlign w:val="center"/>
                </w:tcPr>
                <w:p w14:paraId="0A88E33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408097B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264B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238C8E5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3575" w:type="dxa"/>
                  <w:noWrap/>
                  <w:vAlign w:val="center"/>
                </w:tcPr>
                <w:p w14:paraId="623DD8F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气体终端，氧气，德标，包含插头</w:t>
                  </w:r>
                </w:p>
              </w:tc>
              <w:tc>
                <w:tcPr>
                  <w:tcW w:w="1085" w:type="dxa"/>
                  <w:noWrap/>
                  <w:vAlign w:val="center"/>
                </w:tcPr>
                <w:p w14:paraId="79B9D73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698173F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727A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2AB1F63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3575" w:type="dxa"/>
                  <w:noWrap/>
                  <w:vAlign w:val="center"/>
                </w:tcPr>
                <w:p w14:paraId="0840554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气体终端，负压吸引，德标，包含插头</w:t>
                  </w:r>
                </w:p>
              </w:tc>
              <w:tc>
                <w:tcPr>
                  <w:tcW w:w="1085" w:type="dxa"/>
                  <w:noWrap/>
                  <w:vAlign w:val="center"/>
                </w:tcPr>
                <w:p w14:paraId="2713895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33878EB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490E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6D57B37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3575" w:type="dxa"/>
                  <w:noWrap/>
                  <w:vAlign w:val="center"/>
                </w:tcPr>
                <w:p w14:paraId="588D9B8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气体终端，空气，德标，包含插头</w:t>
                  </w:r>
                </w:p>
              </w:tc>
              <w:tc>
                <w:tcPr>
                  <w:tcW w:w="1085" w:type="dxa"/>
                  <w:noWrap/>
                  <w:vAlign w:val="center"/>
                </w:tcPr>
                <w:p w14:paraId="4B93564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6E62381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0B42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4ED2858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3575" w:type="dxa"/>
                  <w:noWrap/>
                  <w:vAlign w:val="center"/>
                </w:tcPr>
                <w:p w14:paraId="7D59B66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气体终端，二氧化碳，德标，包含插头</w:t>
                  </w:r>
                </w:p>
              </w:tc>
              <w:tc>
                <w:tcPr>
                  <w:tcW w:w="1085" w:type="dxa"/>
                  <w:noWrap/>
                  <w:vAlign w:val="center"/>
                </w:tcPr>
                <w:p w14:paraId="75B875B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408A0DD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0C60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0F4015A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c>
                <w:tcPr>
                  <w:tcW w:w="3575" w:type="dxa"/>
                  <w:noWrap/>
                  <w:vAlign w:val="center"/>
                </w:tcPr>
                <w:p w14:paraId="288AEDC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电源插座10A</w:t>
                  </w:r>
                </w:p>
              </w:tc>
              <w:tc>
                <w:tcPr>
                  <w:tcW w:w="1085" w:type="dxa"/>
                  <w:noWrap/>
                  <w:vAlign w:val="center"/>
                </w:tcPr>
                <w:p w14:paraId="74CFA8E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897" w:type="dxa"/>
                  <w:noWrap/>
                  <w:vAlign w:val="center"/>
                </w:tcPr>
                <w:p w14:paraId="5D90858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7251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6D9C340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3575" w:type="dxa"/>
                  <w:noWrap/>
                  <w:vAlign w:val="center"/>
                </w:tcPr>
                <w:p w14:paraId="1C8558C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电源插座16A</w:t>
                  </w:r>
                </w:p>
              </w:tc>
              <w:tc>
                <w:tcPr>
                  <w:tcW w:w="1085" w:type="dxa"/>
                  <w:noWrap/>
                  <w:vAlign w:val="center"/>
                </w:tcPr>
                <w:p w14:paraId="42AA6DA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1F3C95F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3EEB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3875B80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c>
                <w:tcPr>
                  <w:tcW w:w="3575" w:type="dxa"/>
                  <w:noWrap/>
                  <w:vAlign w:val="center"/>
                </w:tcPr>
                <w:p w14:paraId="1720B35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RJ45，含线，CAT6</w:t>
                  </w:r>
                </w:p>
              </w:tc>
              <w:tc>
                <w:tcPr>
                  <w:tcW w:w="1085" w:type="dxa"/>
                  <w:noWrap/>
                  <w:vAlign w:val="center"/>
                </w:tcPr>
                <w:p w14:paraId="5C8CD43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897" w:type="dxa"/>
                  <w:noWrap/>
                  <w:vAlign w:val="center"/>
                </w:tcPr>
                <w:p w14:paraId="21B52F7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3035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7C83D39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w:t>
                  </w:r>
                </w:p>
              </w:tc>
              <w:tc>
                <w:tcPr>
                  <w:tcW w:w="3575" w:type="dxa"/>
                  <w:noWrap/>
                  <w:vAlign w:val="center"/>
                </w:tcPr>
                <w:p w14:paraId="6859B72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等电位柱</w:t>
                  </w:r>
                </w:p>
              </w:tc>
              <w:tc>
                <w:tcPr>
                  <w:tcW w:w="1085" w:type="dxa"/>
                  <w:noWrap/>
                  <w:vAlign w:val="center"/>
                </w:tcPr>
                <w:p w14:paraId="54D5197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0E3F5F4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797B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1AEE6C9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w:t>
                  </w:r>
                </w:p>
              </w:tc>
              <w:tc>
                <w:tcPr>
                  <w:tcW w:w="3575" w:type="dxa"/>
                  <w:noWrap/>
                  <w:vAlign w:val="center"/>
                </w:tcPr>
                <w:p w14:paraId="47C7F3E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仪器承载托盘尺寸≥530X480mm</w:t>
                  </w:r>
                </w:p>
              </w:tc>
              <w:tc>
                <w:tcPr>
                  <w:tcW w:w="1085" w:type="dxa"/>
                  <w:noWrap/>
                  <w:vAlign w:val="center"/>
                </w:tcPr>
                <w:p w14:paraId="5CE3EC9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2EF7F4E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131C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0A67BCA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w:t>
                  </w:r>
                </w:p>
              </w:tc>
              <w:tc>
                <w:tcPr>
                  <w:tcW w:w="3575" w:type="dxa"/>
                  <w:noWrap/>
                  <w:vAlign w:val="center"/>
                </w:tcPr>
                <w:p w14:paraId="48BC4B1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自吸合抽屉</w:t>
                  </w:r>
                </w:p>
              </w:tc>
              <w:tc>
                <w:tcPr>
                  <w:tcW w:w="1085" w:type="dxa"/>
                  <w:noWrap/>
                  <w:vAlign w:val="center"/>
                </w:tcPr>
                <w:p w14:paraId="7A9ACDE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1FDA41D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069D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3F0E3CC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w:t>
                  </w:r>
                </w:p>
              </w:tc>
              <w:tc>
                <w:tcPr>
                  <w:tcW w:w="3575" w:type="dxa"/>
                  <w:noWrap/>
                  <w:vAlign w:val="center"/>
                </w:tcPr>
                <w:p w14:paraId="203DE4A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双臂延伸臂</w:t>
                  </w:r>
                </w:p>
              </w:tc>
              <w:tc>
                <w:tcPr>
                  <w:tcW w:w="1085" w:type="dxa"/>
                  <w:noWrap/>
                  <w:vAlign w:val="center"/>
                </w:tcPr>
                <w:p w14:paraId="017A808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53A1F0B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787D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667275B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14</w:t>
                  </w:r>
                </w:p>
              </w:tc>
              <w:tc>
                <w:tcPr>
                  <w:tcW w:w="3575" w:type="dxa"/>
                  <w:noWrap/>
                  <w:vAlign w:val="center"/>
                </w:tcPr>
                <w:p w14:paraId="501B98D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网篮</w:t>
                  </w:r>
                </w:p>
              </w:tc>
              <w:tc>
                <w:tcPr>
                  <w:tcW w:w="1085" w:type="dxa"/>
                  <w:noWrap/>
                  <w:vAlign w:val="center"/>
                </w:tcPr>
                <w:p w14:paraId="4DC27CD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393D1C8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28C1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shd w:val="clear" w:color="auto" w:fill="auto"/>
                  <w:noWrap/>
                  <w:vAlign w:val="center"/>
                </w:tcPr>
                <w:p w14:paraId="7453425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15</w:t>
                  </w:r>
                </w:p>
              </w:tc>
              <w:tc>
                <w:tcPr>
                  <w:tcW w:w="3575" w:type="dxa"/>
                  <w:shd w:val="clear" w:color="auto" w:fill="auto"/>
                  <w:noWrap/>
                  <w:vAlign w:val="center"/>
                </w:tcPr>
                <w:p w14:paraId="3925726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输液吊臂</w:t>
                  </w:r>
                </w:p>
              </w:tc>
              <w:tc>
                <w:tcPr>
                  <w:tcW w:w="1085" w:type="dxa"/>
                  <w:shd w:val="clear" w:color="auto" w:fill="auto"/>
                  <w:noWrap/>
                  <w:vAlign w:val="center"/>
                </w:tcPr>
                <w:p w14:paraId="6CA2AF0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shd w:val="clear" w:color="auto" w:fill="auto"/>
                  <w:noWrap/>
                  <w:vAlign w:val="center"/>
                </w:tcPr>
                <w:p w14:paraId="3822C3E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50F8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shd w:val="clear" w:color="auto" w:fill="auto"/>
                  <w:noWrap/>
                  <w:vAlign w:val="center"/>
                </w:tcPr>
                <w:p w14:paraId="3020804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16</w:t>
                  </w:r>
                </w:p>
              </w:tc>
              <w:tc>
                <w:tcPr>
                  <w:tcW w:w="3575" w:type="dxa"/>
                  <w:shd w:val="clear" w:color="auto" w:fill="auto"/>
                  <w:noWrap/>
                  <w:vAlign w:val="center"/>
                </w:tcPr>
                <w:p w14:paraId="69E5ECB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HDMI接口</w:t>
                  </w:r>
                </w:p>
              </w:tc>
              <w:tc>
                <w:tcPr>
                  <w:tcW w:w="1085" w:type="dxa"/>
                  <w:shd w:val="clear" w:color="auto" w:fill="auto"/>
                  <w:noWrap/>
                  <w:vAlign w:val="center"/>
                </w:tcPr>
                <w:p w14:paraId="34B65EC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shd w:val="clear" w:color="auto" w:fill="auto"/>
                  <w:noWrap/>
                  <w:vAlign w:val="center"/>
                </w:tcPr>
                <w:p w14:paraId="535DCFC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1634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301" w:type="dxa"/>
                  <w:gridSpan w:val="2"/>
                  <w:noWrap/>
                  <w:vAlign w:val="center"/>
                </w:tcPr>
                <w:p w14:paraId="79666C8F">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腔镜（体外循环）塔</w:t>
                  </w:r>
                </w:p>
              </w:tc>
              <w:tc>
                <w:tcPr>
                  <w:tcW w:w="1982" w:type="dxa"/>
                  <w:gridSpan w:val="2"/>
                  <w:noWrap/>
                  <w:vAlign w:val="center"/>
                </w:tcPr>
                <w:p w14:paraId="695FAB20">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13套</w:t>
                  </w:r>
                </w:p>
              </w:tc>
            </w:tr>
            <w:tr w14:paraId="6E2D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vAlign w:val="center"/>
                </w:tcPr>
                <w:p w14:paraId="023C5114">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3575" w:type="dxa"/>
                  <w:vAlign w:val="center"/>
                </w:tcPr>
                <w:p w14:paraId="5EFF18FF">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配置要求（单套）</w:t>
                  </w:r>
                </w:p>
              </w:tc>
              <w:tc>
                <w:tcPr>
                  <w:tcW w:w="1085" w:type="dxa"/>
                  <w:vAlign w:val="center"/>
                </w:tcPr>
                <w:p w14:paraId="7B6ED955">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c>
                <w:tcPr>
                  <w:tcW w:w="897" w:type="dxa"/>
                  <w:vAlign w:val="center"/>
                </w:tcPr>
                <w:p w14:paraId="66949BE5">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单位</w:t>
                  </w:r>
                </w:p>
              </w:tc>
            </w:tr>
            <w:tr w14:paraId="1AF2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650DAFC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3575" w:type="dxa"/>
                  <w:noWrap/>
                  <w:vAlign w:val="center"/>
                </w:tcPr>
                <w:p w14:paraId="591D5C8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机械双臂结构，悬臂长度≥1500mm；</w:t>
                  </w:r>
                </w:p>
              </w:tc>
              <w:tc>
                <w:tcPr>
                  <w:tcW w:w="1085" w:type="dxa"/>
                  <w:noWrap/>
                  <w:vAlign w:val="center"/>
                </w:tcPr>
                <w:p w14:paraId="56729A5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05975DB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6252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6" w:type="dxa"/>
                  <w:noWrap/>
                  <w:vAlign w:val="center"/>
                </w:tcPr>
                <w:p w14:paraId="7125501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3575" w:type="dxa"/>
                  <w:vAlign w:val="center"/>
                </w:tcPr>
                <w:p w14:paraId="3F7ED2C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气电箱为吊柱式，气电箱长度≥1200mm；</w:t>
                  </w:r>
                  <w:r>
                    <w:rPr>
                      <w:rFonts w:hint="eastAsia" w:ascii="仿宋" w:hAnsi="仿宋" w:eastAsia="仿宋" w:cs="仿宋"/>
                      <w:color w:val="auto"/>
                      <w:sz w:val="20"/>
                      <w:szCs w:val="20"/>
                      <w:highlight w:val="none"/>
                    </w:rPr>
                    <w:br w:type="textWrapping"/>
                  </w:r>
                  <w:r>
                    <w:rPr>
                      <w:rFonts w:hint="eastAsia" w:ascii="仿宋" w:hAnsi="仿宋" w:eastAsia="仿宋" w:cs="仿宋"/>
                      <w:color w:val="auto"/>
                      <w:sz w:val="20"/>
                      <w:szCs w:val="20"/>
                      <w:highlight w:val="none"/>
                    </w:rPr>
                    <w:t>气电分舱设计，内藏式腔体结构</w:t>
                  </w:r>
                </w:p>
              </w:tc>
              <w:tc>
                <w:tcPr>
                  <w:tcW w:w="1085" w:type="dxa"/>
                  <w:noWrap/>
                  <w:vAlign w:val="center"/>
                </w:tcPr>
                <w:p w14:paraId="7F6A0F4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22D862C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630B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2007D2C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3575" w:type="dxa"/>
                  <w:noWrap/>
                  <w:vAlign w:val="center"/>
                </w:tcPr>
                <w:p w14:paraId="672E42B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气体终端，氧气，德标，包含插头</w:t>
                  </w:r>
                </w:p>
              </w:tc>
              <w:tc>
                <w:tcPr>
                  <w:tcW w:w="1085" w:type="dxa"/>
                  <w:noWrap/>
                  <w:vAlign w:val="center"/>
                </w:tcPr>
                <w:p w14:paraId="74C203D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521AA3D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54B4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5640997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3575" w:type="dxa"/>
                  <w:noWrap/>
                  <w:vAlign w:val="center"/>
                </w:tcPr>
                <w:p w14:paraId="074B4EC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气体终端，负压吸引，德标，包含插头</w:t>
                  </w:r>
                </w:p>
              </w:tc>
              <w:tc>
                <w:tcPr>
                  <w:tcW w:w="1085" w:type="dxa"/>
                  <w:noWrap/>
                  <w:vAlign w:val="center"/>
                </w:tcPr>
                <w:p w14:paraId="6F191F9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31DF0AF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6B06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3B3BA12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3575" w:type="dxa"/>
                  <w:noWrap/>
                  <w:vAlign w:val="center"/>
                </w:tcPr>
                <w:p w14:paraId="79A2EFD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气体终端，空气，德标，包含插头</w:t>
                  </w:r>
                </w:p>
              </w:tc>
              <w:tc>
                <w:tcPr>
                  <w:tcW w:w="1085" w:type="dxa"/>
                  <w:noWrap/>
                  <w:vAlign w:val="center"/>
                </w:tcPr>
                <w:p w14:paraId="7AD9248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775AA20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22CD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651ED51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3575" w:type="dxa"/>
                  <w:noWrap/>
                  <w:vAlign w:val="center"/>
                </w:tcPr>
                <w:p w14:paraId="6AE0F4D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气体终端，二氧化碳，德标，包含插头</w:t>
                  </w:r>
                </w:p>
              </w:tc>
              <w:tc>
                <w:tcPr>
                  <w:tcW w:w="1085" w:type="dxa"/>
                  <w:noWrap/>
                  <w:vAlign w:val="center"/>
                </w:tcPr>
                <w:p w14:paraId="531EE6F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638FE84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2DF6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4979169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c>
                <w:tcPr>
                  <w:tcW w:w="3575" w:type="dxa"/>
                  <w:noWrap/>
                  <w:vAlign w:val="center"/>
                </w:tcPr>
                <w:p w14:paraId="4563B6D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电源插座10A</w:t>
                  </w:r>
                </w:p>
              </w:tc>
              <w:tc>
                <w:tcPr>
                  <w:tcW w:w="1085" w:type="dxa"/>
                  <w:noWrap/>
                  <w:vAlign w:val="center"/>
                </w:tcPr>
                <w:p w14:paraId="1D6AC4E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w:t>
                  </w:r>
                </w:p>
              </w:tc>
              <w:tc>
                <w:tcPr>
                  <w:tcW w:w="897" w:type="dxa"/>
                  <w:noWrap/>
                  <w:vAlign w:val="center"/>
                </w:tcPr>
                <w:p w14:paraId="2410A77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2932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57CA0E6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3575" w:type="dxa"/>
                  <w:noWrap/>
                  <w:vAlign w:val="center"/>
                </w:tcPr>
                <w:p w14:paraId="7D984AD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电源插座16A</w:t>
                  </w:r>
                </w:p>
              </w:tc>
              <w:tc>
                <w:tcPr>
                  <w:tcW w:w="1085" w:type="dxa"/>
                  <w:noWrap/>
                  <w:vAlign w:val="center"/>
                </w:tcPr>
                <w:p w14:paraId="567BA20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60048A1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69A1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0D5E757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c>
                <w:tcPr>
                  <w:tcW w:w="3575" w:type="dxa"/>
                  <w:noWrap/>
                  <w:vAlign w:val="center"/>
                </w:tcPr>
                <w:p w14:paraId="7BCDEF5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RJ45，含线，CAT6</w:t>
                  </w:r>
                </w:p>
              </w:tc>
              <w:tc>
                <w:tcPr>
                  <w:tcW w:w="1085" w:type="dxa"/>
                  <w:noWrap/>
                  <w:vAlign w:val="center"/>
                </w:tcPr>
                <w:p w14:paraId="26648A0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897" w:type="dxa"/>
                  <w:noWrap/>
                  <w:vAlign w:val="center"/>
                </w:tcPr>
                <w:p w14:paraId="7A1097F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4DB0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04BA027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w:t>
                  </w:r>
                </w:p>
              </w:tc>
              <w:tc>
                <w:tcPr>
                  <w:tcW w:w="3575" w:type="dxa"/>
                  <w:noWrap/>
                  <w:vAlign w:val="center"/>
                </w:tcPr>
                <w:p w14:paraId="6EFDF9C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HDMI，含线</w:t>
                  </w:r>
                </w:p>
              </w:tc>
              <w:tc>
                <w:tcPr>
                  <w:tcW w:w="1085" w:type="dxa"/>
                  <w:noWrap/>
                  <w:vAlign w:val="center"/>
                </w:tcPr>
                <w:p w14:paraId="20634F7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1CED10F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5DAD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7B3C43D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w:t>
                  </w:r>
                </w:p>
              </w:tc>
              <w:tc>
                <w:tcPr>
                  <w:tcW w:w="3575" w:type="dxa"/>
                  <w:noWrap/>
                  <w:vAlign w:val="center"/>
                </w:tcPr>
                <w:p w14:paraId="52026F3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BNC，含线</w:t>
                  </w:r>
                </w:p>
              </w:tc>
              <w:tc>
                <w:tcPr>
                  <w:tcW w:w="1085" w:type="dxa"/>
                  <w:noWrap/>
                  <w:vAlign w:val="center"/>
                </w:tcPr>
                <w:p w14:paraId="42712CC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0ACFB70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7FC7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761AF9C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w:t>
                  </w:r>
                </w:p>
              </w:tc>
              <w:tc>
                <w:tcPr>
                  <w:tcW w:w="3575" w:type="dxa"/>
                  <w:noWrap/>
                  <w:vAlign w:val="center"/>
                </w:tcPr>
                <w:p w14:paraId="03EE6C9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等电位柱</w:t>
                  </w:r>
                </w:p>
              </w:tc>
              <w:tc>
                <w:tcPr>
                  <w:tcW w:w="1085" w:type="dxa"/>
                  <w:noWrap/>
                  <w:vAlign w:val="center"/>
                </w:tcPr>
                <w:p w14:paraId="6CC9AAF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0FB076B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04CB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noWrap/>
                  <w:vAlign w:val="center"/>
                </w:tcPr>
                <w:p w14:paraId="315CF1D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w:t>
                  </w:r>
                </w:p>
              </w:tc>
              <w:tc>
                <w:tcPr>
                  <w:tcW w:w="3575" w:type="dxa"/>
                  <w:noWrap/>
                  <w:vAlign w:val="center"/>
                </w:tcPr>
                <w:p w14:paraId="55B67EE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仪器承载托盘尺寸≥530X480mm</w:t>
                  </w:r>
                </w:p>
              </w:tc>
              <w:tc>
                <w:tcPr>
                  <w:tcW w:w="1085" w:type="dxa"/>
                  <w:noWrap/>
                  <w:vAlign w:val="center"/>
                </w:tcPr>
                <w:p w14:paraId="552E32F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897" w:type="dxa"/>
                  <w:noWrap/>
                  <w:vAlign w:val="center"/>
                </w:tcPr>
                <w:p w14:paraId="6864F9A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40D2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06B75E5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14</w:t>
                  </w:r>
                </w:p>
              </w:tc>
              <w:tc>
                <w:tcPr>
                  <w:tcW w:w="3575" w:type="dxa"/>
                  <w:noWrap/>
                  <w:vAlign w:val="center"/>
                </w:tcPr>
                <w:p w14:paraId="43AAF71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自吸合抽屉</w:t>
                  </w:r>
                </w:p>
              </w:tc>
              <w:tc>
                <w:tcPr>
                  <w:tcW w:w="1085" w:type="dxa"/>
                  <w:noWrap/>
                  <w:vAlign w:val="center"/>
                </w:tcPr>
                <w:p w14:paraId="10D5EBC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79C2CA2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757B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6F15C57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15</w:t>
                  </w:r>
                </w:p>
              </w:tc>
              <w:tc>
                <w:tcPr>
                  <w:tcW w:w="3575" w:type="dxa"/>
                  <w:noWrap/>
                  <w:vAlign w:val="center"/>
                </w:tcPr>
                <w:p w14:paraId="3144435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键盘托</w:t>
                  </w:r>
                </w:p>
              </w:tc>
              <w:tc>
                <w:tcPr>
                  <w:tcW w:w="1085" w:type="dxa"/>
                  <w:noWrap/>
                  <w:vAlign w:val="center"/>
                </w:tcPr>
                <w:p w14:paraId="22D8189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5733B38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630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2347D42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16</w:t>
                  </w:r>
                </w:p>
              </w:tc>
              <w:tc>
                <w:tcPr>
                  <w:tcW w:w="3575" w:type="dxa"/>
                  <w:noWrap/>
                  <w:vAlign w:val="center"/>
                </w:tcPr>
                <w:p w14:paraId="15A3A0F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双臂延伸臂</w:t>
                  </w:r>
                </w:p>
              </w:tc>
              <w:tc>
                <w:tcPr>
                  <w:tcW w:w="1085" w:type="dxa"/>
                  <w:noWrap/>
                  <w:vAlign w:val="center"/>
                </w:tcPr>
                <w:p w14:paraId="4163A6D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2704179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49A4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noWrap/>
                  <w:vAlign w:val="center"/>
                </w:tcPr>
                <w:p w14:paraId="64F3F98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17</w:t>
                  </w:r>
                </w:p>
              </w:tc>
              <w:tc>
                <w:tcPr>
                  <w:tcW w:w="3575" w:type="dxa"/>
                  <w:noWrap/>
                  <w:vAlign w:val="center"/>
                </w:tcPr>
                <w:p w14:paraId="7EB7877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网篮</w:t>
                  </w:r>
                </w:p>
              </w:tc>
              <w:tc>
                <w:tcPr>
                  <w:tcW w:w="1085" w:type="dxa"/>
                  <w:noWrap/>
                  <w:vAlign w:val="center"/>
                </w:tcPr>
                <w:p w14:paraId="61D452D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297A088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025A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301" w:type="dxa"/>
                  <w:gridSpan w:val="2"/>
                  <w:noWrap/>
                  <w:vAlign w:val="center"/>
                </w:tcPr>
                <w:p w14:paraId="5307A06E">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大屏悬吊系统</w:t>
                  </w:r>
                </w:p>
              </w:tc>
              <w:tc>
                <w:tcPr>
                  <w:tcW w:w="1982" w:type="dxa"/>
                  <w:gridSpan w:val="2"/>
                  <w:noWrap/>
                  <w:vAlign w:val="center"/>
                </w:tcPr>
                <w:p w14:paraId="66A27B1E">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10套</w:t>
                  </w:r>
                </w:p>
              </w:tc>
            </w:tr>
            <w:tr w14:paraId="221A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26" w:type="dxa"/>
                  <w:vAlign w:val="center"/>
                </w:tcPr>
                <w:p w14:paraId="56D5C211">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3575" w:type="dxa"/>
                  <w:vAlign w:val="center"/>
                </w:tcPr>
                <w:p w14:paraId="6182EF00">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配置要求（单套）</w:t>
                  </w:r>
                </w:p>
              </w:tc>
              <w:tc>
                <w:tcPr>
                  <w:tcW w:w="1085" w:type="dxa"/>
                  <w:vAlign w:val="center"/>
                </w:tcPr>
                <w:p w14:paraId="7717C842">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c>
                <w:tcPr>
                  <w:tcW w:w="897" w:type="dxa"/>
                  <w:vAlign w:val="center"/>
                </w:tcPr>
                <w:p w14:paraId="666A9671">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单位</w:t>
                  </w:r>
                </w:p>
              </w:tc>
            </w:tr>
            <w:tr w14:paraId="1820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noWrap/>
                  <w:vAlign w:val="center"/>
                </w:tcPr>
                <w:p w14:paraId="68FB3E0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3575" w:type="dxa"/>
                  <w:noWrap/>
                  <w:vAlign w:val="center"/>
                </w:tcPr>
                <w:p w14:paraId="0986D44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基座</w:t>
                  </w:r>
                </w:p>
              </w:tc>
              <w:tc>
                <w:tcPr>
                  <w:tcW w:w="1085" w:type="dxa"/>
                  <w:noWrap/>
                  <w:vAlign w:val="center"/>
                </w:tcPr>
                <w:p w14:paraId="148A83C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20EF51C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0B14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noWrap/>
                  <w:vAlign w:val="center"/>
                </w:tcPr>
                <w:p w14:paraId="425369A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3575" w:type="dxa"/>
                  <w:noWrap/>
                  <w:vAlign w:val="center"/>
                </w:tcPr>
                <w:p w14:paraId="1508B7A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天花装饰罩</w:t>
                  </w:r>
                </w:p>
              </w:tc>
              <w:tc>
                <w:tcPr>
                  <w:tcW w:w="1085" w:type="dxa"/>
                  <w:noWrap/>
                  <w:vAlign w:val="center"/>
                </w:tcPr>
                <w:p w14:paraId="0A7A844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1931158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0C86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noWrap/>
                  <w:vAlign w:val="center"/>
                </w:tcPr>
                <w:p w14:paraId="285F037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3575" w:type="dxa"/>
                  <w:noWrap/>
                  <w:vAlign w:val="center"/>
                </w:tcPr>
                <w:p w14:paraId="6013FA9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电动双臂-750+750</w:t>
                  </w:r>
                </w:p>
              </w:tc>
              <w:tc>
                <w:tcPr>
                  <w:tcW w:w="1085" w:type="dxa"/>
                  <w:noWrap/>
                  <w:vAlign w:val="center"/>
                </w:tcPr>
                <w:p w14:paraId="7980517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4AC1EBF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3B4C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noWrap/>
                  <w:vAlign w:val="center"/>
                </w:tcPr>
                <w:p w14:paraId="15D1331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3575" w:type="dxa"/>
                  <w:noWrap/>
                  <w:vAlign w:val="center"/>
                </w:tcPr>
                <w:p w14:paraId="15A11FA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二轴刹车-气刹</w:t>
                  </w:r>
                </w:p>
              </w:tc>
              <w:tc>
                <w:tcPr>
                  <w:tcW w:w="1085" w:type="dxa"/>
                  <w:noWrap/>
                  <w:vAlign w:val="center"/>
                </w:tcPr>
                <w:p w14:paraId="6148ACB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3C16371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07EE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noWrap/>
                  <w:vAlign w:val="center"/>
                </w:tcPr>
                <w:p w14:paraId="0B4B206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3575" w:type="dxa"/>
                  <w:noWrap/>
                  <w:vAlign w:val="center"/>
                </w:tcPr>
                <w:p w14:paraId="5C26FE7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连接柱</w:t>
                  </w:r>
                </w:p>
              </w:tc>
              <w:tc>
                <w:tcPr>
                  <w:tcW w:w="1085" w:type="dxa"/>
                  <w:noWrap/>
                  <w:vAlign w:val="center"/>
                </w:tcPr>
                <w:p w14:paraId="5EFCD60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24AC7AC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3BF7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noWrap/>
                  <w:vAlign w:val="center"/>
                </w:tcPr>
                <w:p w14:paraId="5100610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3575" w:type="dxa"/>
                  <w:noWrap/>
                  <w:vAlign w:val="center"/>
                </w:tcPr>
                <w:p w14:paraId="169655A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单屏显示器挂架</w:t>
                  </w:r>
                </w:p>
              </w:tc>
              <w:tc>
                <w:tcPr>
                  <w:tcW w:w="1085" w:type="dxa"/>
                  <w:noWrap/>
                  <w:vAlign w:val="center"/>
                </w:tcPr>
                <w:p w14:paraId="205FDB6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1870D71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6AA9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301" w:type="dxa"/>
                  <w:gridSpan w:val="2"/>
                  <w:noWrap/>
                  <w:vAlign w:val="center"/>
                </w:tcPr>
                <w:p w14:paraId="14EE7472">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医用吊桥</w:t>
                  </w:r>
                </w:p>
              </w:tc>
              <w:tc>
                <w:tcPr>
                  <w:tcW w:w="1982" w:type="dxa"/>
                  <w:gridSpan w:val="2"/>
                  <w:noWrap/>
                  <w:vAlign w:val="center"/>
                </w:tcPr>
                <w:p w14:paraId="1AF601A6">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105套</w:t>
                  </w:r>
                </w:p>
              </w:tc>
            </w:tr>
            <w:tr w14:paraId="0E38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noWrap/>
                  <w:vAlign w:val="center"/>
                </w:tcPr>
                <w:p w14:paraId="151C739B">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3575" w:type="dxa"/>
                  <w:noWrap/>
                  <w:vAlign w:val="center"/>
                </w:tcPr>
                <w:p w14:paraId="7F8BC437">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配置要求（单套）</w:t>
                  </w:r>
                </w:p>
              </w:tc>
              <w:tc>
                <w:tcPr>
                  <w:tcW w:w="1085" w:type="dxa"/>
                  <w:noWrap/>
                  <w:vAlign w:val="center"/>
                </w:tcPr>
                <w:p w14:paraId="2FF37A0D">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c>
                <w:tcPr>
                  <w:tcW w:w="897" w:type="dxa"/>
                  <w:noWrap/>
                  <w:vAlign w:val="center"/>
                </w:tcPr>
                <w:p w14:paraId="2A9E192B">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单位</w:t>
                  </w:r>
                </w:p>
              </w:tc>
            </w:tr>
            <w:tr w14:paraId="5112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noWrap/>
                  <w:vAlign w:val="center"/>
                </w:tcPr>
                <w:p w14:paraId="222D13D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3575" w:type="dxa"/>
                  <w:noWrap/>
                  <w:vAlign w:val="center"/>
                </w:tcPr>
                <w:p w14:paraId="365DC5D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吊桥悬梁（可根据实际调整长度）</w:t>
                  </w:r>
                </w:p>
              </w:tc>
              <w:tc>
                <w:tcPr>
                  <w:tcW w:w="1085" w:type="dxa"/>
                  <w:noWrap/>
                  <w:vAlign w:val="center"/>
                </w:tcPr>
                <w:p w14:paraId="467A9FB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694D2F0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0480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noWrap/>
                  <w:vAlign w:val="center"/>
                </w:tcPr>
                <w:p w14:paraId="5FEE7CC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3575" w:type="dxa"/>
                  <w:noWrap/>
                  <w:vAlign w:val="center"/>
                </w:tcPr>
                <w:p w14:paraId="5B34DB8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智能照明系统</w:t>
                  </w:r>
                </w:p>
              </w:tc>
              <w:tc>
                <w:tcPr>
                  <w:tcW w:w="1085" w:type="dxa"/>
                  <w:noWrap/>
                  <w:vAlign w:val="center"/>
                </w:tcPr>
                <w:p w14:paraId="15D73EC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7D8F7B7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套</w:t>
                  </w:r>
                </w:p>
              </w:tc>
            </w:tr>
            <w:tr w14:paraId="13B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noWrap/>
                  <w:vAlign w:val="center"/>
                </w:tcPr>
                <w:p w14:paraId="3FD8922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3575" w:type="dxa"/>
                  <w:noWrap/>
                  <w:vAlign w:val="center"/>
                </w:tcPr>
                <w:p w14:paraId="726AF7E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气电箱为吊柱式，气电箱长度≥1000mm；</w:t>
                  </w:r>
                </w:p>
              </w:tc>
              <w:tc>
                <w:tcPr>
                  <w:tcW w:w="1085" w:type="dxa"/>
                  <w:noWrap/>
                  <w:vAlign w:val="center"/>
                </w:tcPr>
                <w:p w14:paraId="0CB5DCD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37E628A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528B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noWrap/>
                  <w:vAlign w:val="center"/>
                </w:tcPr>
                <w:p w14:paraId="403A5F8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3575" w:type="dxa"/>
                  <w:noWrap/>
                  <w:vAlign w:val="center"/>
                </w:tcPr>
                <w:p w14:paraId="1A70D4E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干区配置：</w:t>
                  </w:r>
                </w:p>
              </w:tc>
              <w:tc>
                <w:tcPr>
                  <w:tcW w:w="1085" w:type="dxa"/>
                  <w:noWrap/>
                  <w:vAlign w:val="center"/>
                </w:tcPr>
                <w:p w14:paraId="75A48798">
                  <w:pPr>
                    <w:spacing w:line="360" w:lineRule="exact"/>
                    <w:jc w:val="center"/>
                    <w:rPr>
                      <w:rFonts w:hint="eastAsia" w:ascii="仿宋" w:hAnsi="仿宋" w:eastAsia="仿宋" w:cs="仿宋"/>
                      <w:color w:val="auto"/>
                      <w:sz w:val="20"/>
                      <w:szCs w:val="20"/>
                      <w:highlight w:val="none"/>
                    </w:rPr>
                  </w:pPr>
                </w:p>
              </w:tc>
              <w:tc>
                <w:tcPr>
                  <w:tcW w:w="897" w:type="dxa"/>
                  <w:noWrap/>
                  <w:vAlign w:val="center"/>
                </w:tcPr>
                <w:p w14:paraId="43F2BEB7">
                  <w:pPr>
                    <w:spacing w:line="360" w:lineRule="exact"/>
                    <w:jc w:val="center"/>
                    <w:rPr>
                      <w:rFonts w:hint="eastAsia" w:ascii="仿宋" w:hAnsi="仿宋" w:eastAsia="仿宋" w:cs="仿宋"/>
                      <w:color w:val="auto"/>
                      <w:sz w:val="20"/>
                      <w:szCs w:val="20"/>
                      <w:highlight w:val="none"/>
                    </w:rPr>
                  </w:pPr>
                </w:p>
              </w:tc>
            </w:tr>
            <w:tr w14:paraId="094B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noWrap/>
                  <w:vAlign w:val="center"/>
                </w:tcPr>
                <w:p w14:paraId="4512B66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4.1</w:t>
                  </w:r>
                </w:p>
              </w:tc>
              <w:tc>
                <w:tcPr>
                  <w:tcW w:w="3575" w:type="dxa"/>
                  <w:noWrap/>
                  <w:vAlign w:val="center"/>
                </w:tcPr>
                <w:p w14:paraId="79ED526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气体终端，氧气，德标，包含插头</w:t>
                  </w:r>
                </w:p>
              </w:tc>
              <w:tc>
                <w:tcPr>
                  <w:tcW w:w="1085" w:type="dxa"/>
                  <w:noWrap/>
                  <w:vAlign w:val="center"/>
                </w:tcPr>
                <w:p w14:paraId="207E4AD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897" w:type="dxa"/>
                  <w:noWrap/>
                  <w:vAlign w:val="center"/>
                </w:tcPr>
                <w:p w14:paraId="2809569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1982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noWrap/>
                  <w:vAlign w:val="center"/>
                </w:tcPr>
                <w:p w14:paraId="40B01D7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4.2</w:t>
                  </w:r>
                </w:p>
              </w:tc>
              <w:tc>
                <w:tcPr>
                  <w:tcW w:w="3575" w:type="dxa"/>
                  <w:noWrap/>
                  <w:vAlign w:val="center"/>
                </w:tcPr>
                <w:p w14:paraId="3F68258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气体终端，负压吸引，德标，包含插头</w:t>
                  </w:r>
                </w:p>
              </w:tc>
              <w:tc>
                <w:tcPr>
                  <w:tcW w:w="1085" w:type="dxa"/>
                  <w:noWrap/>
                  <w:vAlign w:val="center"/>
                </w:tcPr>
                <w:p w14:paraId="1974226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1757AC8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277E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noWrap/>
                  <w:vAlign w:val="center"/>
                </w:tcPr>
                <w:p w14:paraId="33725BB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4.3</w:t>
                  </w:r>
                </w:p>
              </w:tc>
              <w:tc>
                <w:tcPr>
                  <w:tcW w:w="3575" w:type="dxa"/>
                  <w:noWrap/>
                  <w:vAlign w:val="center"/>
                </w:tcPr>
                <w:p w14:paraId="4536502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气体终端，空气，德标，包含插头</w:t>
                  </w:r>
                </w:p>
              </w:tc>
              <w:tc>
                <w:tcPr>
                  <w:tcW w:w="1085" w:type="dxa"/>
                  <w:noWrap/>
                  <w:vAlign w:val="center"/>
                </w:tcPr>
                <w:p w14:paraId="4FAECB7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897" w:type="dxa"/>
                  <w:noWrap/>
                  <w:vAlign w:val="center"/>
                </w:tcPr>
                <w:p w14:paraId="7FC0EE3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2B01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noWrap/>
                  <w:vAlign w:val="center"/>
                </w:tcPr>
                <w:p w14:paraId="48F3940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4.4</w:t>
                  </w:r>
                </w:p>
              </w:tc>
              <w:tc>
                <w:tcPr>
                  <w:tcW w:w="3575" w:type="dxa"/>
                  <w:noWrap/>
                  <w:vAlign w:val="center"/>
                </w:tcPr>
                <w:p w14:paraId="43832CA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电源插座10A</w:t>
                  </w:r>
                </w:p>
              </w:tc>
              <w:tc>
                <w:tcPr>
                  <w:tcW w:w="1085" w:type="dxa"/>
                  <w:noWrap/>
                  <w:vAlign w:val="center"/>
                </w:tcPr>
                <w:p w14:paraId="1A56026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w:t>
                  </w:r>
                </w:p>
              </w:tc>
              <w:tc>
                <w:tcPr>
                  <w:tcW w:w="897" w:type="dxa"/>
                  <w:noWrap/>
                  <w:vAlign w:val="center"/>
                </w:tcPr>
                <w:p w14:paraId="70A5FDA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42BA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shd w:val="clear" w:color="auto" w:fill="auto"/>
                  <w:noWrap/>
                  <w:vAlign w:val="center"/>
                </w:tcPr>
                <w:p w14:paraId="0465D57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4.5</w:t>
                  </w:r>
                </w:p>
              </w:tc>
              <w:tc>
                <w:tcPr>
                  <w:tcW w:w="3575" w:type="dxa"/>
                  <w:shd w:val="clear" w:color="auto" w:fill="auto"/>
                  <w:noWrap/>
                  <w:vAlign w:val="center"/>
                </w:tcPr>
                <w:p w14:paraId="51BB07E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电源插座16A</w:t>
                  </w:r>
                </w:p>
              </w:tc>
              <w:tc>
                <w:tcPr>
                  <w:tcW w:w="1085" w:type="dxa"/>
                  <w:shd w:val="clear" w:color="auto" w:fill="auto"/>
                  <w:noWrap/>
                  <w:vAlign w:val="center"/>
                </w:tcPr>
                <w:p w14:paraId="0F2B025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shd w:val="clear" w:color="auto" w:fill="auto"/>
                  <w:noWrap/>
                  <w:vAlign w:val="center"/>
                </w:tcPr>
                <w:p w14:paraId="00045EE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7119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shd w:val="clear" w:color="auto" w:fill="auto"/>
                  <w:noWrap/>
                  <w:vAlign w:val="center"/>
                </w:tcPr>
                <w:p w14:paraId="0647F82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4.6</w:t>
                  </w:r>
                </w:p>
              </w:tc>
              <w:tc>
                <w:tcPr>
                  <w:tcW w:w="3575" w:type="dxa"/>
                  <w:noWrap/>
                  <w:vAlign w:val="center"/>
                </w:tcPr>
                <w:p w14:paraId="12089EB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罗格朗RJ45，含线，CAT6</w:t>
                  </w:r>
                </w:p>
              </w:tc>
              <w:tc>
                <w:tcPr>
                  <w:tcW w:w="1085" w:type="dxa"/>
                  <w:noWrap/>
                  <w:vAlign w:val="center"/>
                </w:tcPr>
                <w:p w14:paraId="6FBE313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897" w:type="dxa"/>
                  <w:noWrap/>
                  <w:vAlign w:val="center"/>
                </w:tcPr>
                <w:p w14:paraId="6E73F20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7683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shd w:val="clear" w:color="auto" w:fill="auto"/>
                  <w:noWrap/>
                  <w:vAlign w:val="center"/>
                </w:tcPr>
                <w:p w14:paraId="6DEB70F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4.7</w:t>
                  </w:r>
                </w:p>
              </w:tc>
              <w:tc>
                <w:tcPr>
                  <w:tcW w:w="3575" w:type="dxa"/>
                  <w:noWrap/>
                  <w:vAlign w:val="center"/>
                </w:tcPr>
                <w:p w14:paraId="7C5A4C2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等电位柱</w:t>
                  </w:r>
                </w:p>
              </w:tc>
              <w:tc>
                <w:tcPr>
                  <w:tcW w:w="1085" w:type="dxa"/>
                  <w:noWrap/>
                  <w:vAlign w:val="center"/>
                </w:tcPr>
                <w:p w14:paraId="2F29A2C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6B56A84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0970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shd w:val="clear" w:color="auto" w:fill="auto"/>
                  <w:noWrap/>
                  <w:vAlign w:val="center"/>
                </w:tcPr>
                <w:p w14:paraId="289595D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4.8</w:t>
                  </w:r>
                </w:p>
              </w:tc>
              <w:tc>
                <w:tcPr>
                  <w:tcW w:w="3575" w:type="dxa"/>
                  <w:noWrap/>
                  <w:vAlign w:val="center"/>
                </w:tcPr>
                <w:p w14:paraId="0DA3068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仪器承载托盘尺寸≥530X480mm</w:t>
                  </w:r>
                </w:p>
              </w:tc>
              <w:tc>
                <w:tcPr>
                  <w:tcW w:w="1085" w:type="dxa"/>
                  <w:noWrap/>
                  <w:vAlign w:val="center"/>
                </w:tcPr>
                <w:p w14:paraId="423ED25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7F19521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20F1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noWrap/>
                  <w:vAlign w:val="center"/>
                </w:tcPr>
                <w:p w14:paraId="29C70E5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4.9</w:t>
                  </w:r>
                </w:p>
              </w:tc>
              <w:tc>
                <w:tcPr>
                  <w:tcW w:w="3575" w:type="dxa"/>
                  <w:noWrap/>
                  <w:vAlign w:val="center"/>
                </w:tcPr>
                <w:p w14:paraId="547CE6D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自吸合抽屉</w:t>
                  </w:r>
                </w:p>
              </w:tc>
              <w:tc>
                <w:tcPr>
                  <w:tcW w:w="1085" w:type="dxa"/>
                  <w:noWrap/>
                  <w:vAlign w:val="center"/>
                </w:tcPr>
                <w:p w14:paraId="56B0561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45E2981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06AF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noWrap/>
                  <w:vAlign w:val="center"/>
                </w:tcPr>
                <w:p w14:paraId="7D1E836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3575" w:type="dxa"/>
                  <w:noWrap/>
                  <w:vAlign w:val="center"/>
                </w:tcPr>
                <w:p w14:paraId="16A3BF7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湿区配置：</w:t>
                  </w:r>
                </w:p>
              </w:tc>
              <w:tc>
                <w:tcPr>
                  <w:tcW w:w="1085" w:type="dxa"/>
                  <w:noWrap/>
                  <w:vAlign w:val="center"/>
                </w:tcPr>
                <w:p w14:paraId="22F40E5F">
                  <w:pPr>
                    <w:spacing w:line="360" w:lineRule="exact"/>
                    <w:jc w:val="center"/>
                    <w:rPr>
                      <w:rFonts w:hint="eastAsia" w:ascii="仿宋" w:hAnsi="仿宋" w:eastAsia="仿宋" w:cs="仿宋"/>
                      <w:color w:val="auto"/>
                      <w:sz w:val="20"/>
                      <w:szCs w:val="20"/>
                      <w:highlight w:val="none"/>
                    </w:rPr>
                  </w:pPr>
                </w:p>
              </w:tc>
              <w:tc>
                <w:tcPr>
                  <w:tcW w:w="897" w:type="dxa"/>
                  <w:noWrap/>
                  <w:vAlign w:val="center"/>
                </w:tcPr>
                <w:p w14:paraId="07D80E75">
                  <w:pPr>
                    <w:spacing w:line="360" w:lineRule="exact"/>
                    <w:jc w:val="center"/>
                    <w:rPr>
                      <w:rFonts w:hint="eastAsia" w:ascii="仿宋" w:hAnsi="仿宋" w:eastAsia="仿宋" w:cs="仿宋"/>
                      <w:color w:val="auto"/>
                      <w:sz w:val="20"/>
                      <w:szCs w:val="20"/>
                      <w:highlight w:val="none"/>
                    </w:rPr>
                  </w:pPr>
                </w:p>
              </w:tc>
            </w:tr>
            <w:tr w14:paraId="0163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noWrap/>
                  <w:vAlign w:val="center"/>
                </w:tcPr>
                <w:p w14:paraId="10B4C72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5.1</w:t>
                  </w:r>
                </w:p>
              </w:tc>
              <w:tc>
                <w:tcPr>
                  <w:tcW w:w="3575" w:type="dxa"/>
                  <w:noWrap/>
                  <w:vAlign w:val="center"/>
                </w:tcPr>
                <w:p w14:paraId="0249687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气体终端，氧气，德标，包含插头</w:t>
                  </w:r>
                </w:p>
              </w:tc>
              <w:tc>
                <w:tcPr>
                  <w:tcW w:w="1085" w:type="dxa"/>
                  <w:noWrap/>
                  <w:vAlign w:val="center"/>
                </w:tcPr>
                <w:p w14:paraId="55390DF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08D8D4A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5A34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noWrap/>
                  <w:vAlign w:val="center"/>
                </w:tcPr>
                <w:p w14:paraId="515F8AC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5.2</w:t>
                  </w:r>
                </w:p>
              </w:tc>
              <w:tc>
                <w:tcPr>
                  <w:tcW w:w="3575" w:type="dxa"/>
                  <w:noWrap/>
                  <w:vAlign w:val="center"/>
                </w:tcPr>
                <w:p w14:paraId="595B6C2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气体终端，负压吸引，德标，包含插头</w:t>
                  </w:r>
                </w:p>
              </w:tc>
              <w:tc>
                <w:tcPr>
                  <w:tcW w:w="1085" w:type="dxa"/>
                  <w:noWrap/>
                  <w:vAlign w:val="center"/>
                </w:tcPr>
                <w:p w14:paraId="234FF4A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4D6942C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403E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noWrap/>
                  <w:vAlign w:val="center"/>
                </w:tcPr>
                <w:p w14:paraId="2446CED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5.3</w:t>
                  </w:r>
                </w:p>
              </w:tc>
              <w:tc>
                <w:tcPr>
                  <w:tcW w:w="3575" w:type="dxa"/>
                  <w:noWrap/>
                  <w:vAlign w:val="center"/>
                </w:tcPr>
                <w:p w14:paraId="4B79A05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气体终端，空气，德标，包含插头</w:t>
                  </w:r>
                </w:p>
              </w:tc>
              <w:tc>
                <w:tcPr>
                  <w:tcW w:w="1085" w:type="dxa"/>
                  <w:noWrap/>
                  <w:vAlign w:val="center"/>
                </w:tcPr>
                <w:p w14:paraId="1407FC3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1163E46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37A4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noWrap/>
                  <w:vAlign w:val="center"/>
                </w:tcPr>
                <w:p w14:paraId="31C8C48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5.4</w:t>
                  </w:r>
                </w:p>
              </w:tc>
              <w:tc>
                <w:tcPr>
                  <w:tcW w:w="3575" w:type="dxa"/>
                  <w:noWrap/>
                  <w:vAlign w:val="center"/>
                </w:tcPr>
                <w:p w14:paraId="7E278D7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电源插座10A</w:t>
                  </w:r>
                </w:p>
              </w:tc>
              <w:tc>
                <w:tcPr>
                  <w:tcW w:w="1085" w:type="dxa"/>
                  <w:noWrap/>
                  <w:vAlign w:val="center"/>
                </w:tcPr>
                <w:p w14:paraId="4E6BBB3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w:t>
                  </w:r>
                </w:p>
              </w:tc>
              <w:tc>
                <w:tcPr>
                  <w:tcW w:w="897" w:type="dxa"/>
                  <w:noWrap/>
                  <w:vAlign w:val="center"/>
                </w:tcPr>
                <w:p w14:paraId="15FA1FD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6EF5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shd w:val="clear" w:color="auto" w:fill="auto"/>
                  <w:noWrap/>
                  <w:vAlign w:val="center"/>
                </w:tcPr>
                <w:p w14:paraId="3EB9193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5.5</w:t>
                  </w:r>
                </w:p>
              </w:tc>
              <w:tc>
                <w:tcPr>
                  <w:tcW w:w="3575" w:type="dxa"/>
                  <w:shd w:val="clear" w:color="auto" w:fill="auto"/>
                  <w:noWrap/>
                  <w:vAlign w:val="center"/>
                </w:tcPr>
                <w:p w14:paraId="5E0A116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电源插座16A</w:t>
                  </w:r>
                </w:p>
              </w:tc>
              <w:tc>
                <w:tcPr>
                  <w:tcW w:w="1085" w:type="dxa"/>
                  <w:shd w:val="clear" w:color="auto" w:fill="auto"/>
                  <w:noWrap/>
                  <w:vAlign w:val="center"/>
                </w:tcPr>
                <w:p w14:paraId="434B5B6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shd w:val="clear" w:color="auto" w:fill="auto"/>
                  <w:noWrap/>
                  <w:vAlign w:val="center"/>
                </w:tcPr>
                <w:p w14:paraId="3CFDC82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3462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shd w:val="clear" w:color="auto" w:fill="auto"/>
                  <w:noWrap/>
                  <w:vAlign w:val="center"/>
                </w:tcPr>
                <w:p w14:paraId="490126F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5.6</w:t>
                  </w:r>
                </w:p>
              </w:tc>
              <w:tc>
                <w:tcPr>
                  <w:tcW w:w="3575" w:type="dxa"/>
                  <w:noWrap/>
                  <w:vAlign w:val="center"/>
                </w:tcPr>
                <w:p w14:paraId="4C400F1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RJ45，含线，CAT6</w:t>
                  </w:r>
                </w:p>
              </w:tc>
              <w:tc>
                <w:tcPr>
                  <w:tcW w:w="1085" w:type="dxa"/>
                  <w:noWrap/>
                  <w:vAlign w:val="center"/>
                </w:tcPr>
                <w:p w14:paraId="5090DFB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897" w:type="dxa"/>
                  <w:noWrap/>
                  <w:vAlign w:val="center"/>
                </w:tcPr>
                <w:p w14:paraId="60E460C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1189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shd w:val="clear" w:color="auto" w:fill="auto"/>
                  <w:noWrap/>
                  <w:vAlign w:val="center"/>
                </w:tcPr>
                <w:p w14:paraId="418B846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5.7</w:t>
                  </w:r>
                </w:p>
              </w:tc>
              <w:tc>
                <w:tcPr>
                  <w:tcW w:w="3575" w:type="dxa"/>
                  <w:noWrap/>
                  <w:vAlign w:val="center"/>
                </w:tcPr>
                <w:p w14:paraId="20644E8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等电位柱</w:t>
                  </w:r>
                </w:p>
              </w:tc>
              <w:tc>
                <w:tcPr>
                  <w:tcW w:w="1085" w:type="dxa"/>
                  <w:noWrap/>
                  <w:vAlign w:val="center"/>
                </w:tcPr>
                <w:p w14:paraId="432526F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0355E6F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6583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shd w:val="clear" w:color="auto" w:fill="auto"/>
                  <w:noWrap/>
                  <w:vAlign w:val="center"/>
                </w:tcPr>
                <w:p w14:paraId="659B0A4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5.8</w:t>
                  </w:r>
                </w:p>
              </w:tc>
              <w:tc>
                <w:tcPr>
                  <w:tcW w:w="3575" w:type="dxa"/>
                  <w:noWrap/>
                  <w:vAlign w:val="center"/>
                </w:tcPr>
                <w:p w14:paraId="07E74AE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仪器承载托盘尺寸≥530X480mm</w:t>
                  </w:r>
                </w:p>
              </w:tc>
              <w:tc>
                <w:tcPr>
                  <w:tcW w:w="1085" w:type="dxa"/>
                  <w:noWrap/>
                  <w:vAlign w:val="center"/>
                </w:tcPr>
                <w:p w14:paraId="4F3116F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897" w:type="dxa"/>
                  <w:noWrap/>
                  <w:vAlign w:val="center"/>
                </w:tcPr>
                <w:p w14:paraId="294C0C6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4720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shd w:val="clear" w:color="auto" w:fill="auto"/>
                  <w:noWrap/>
                  <w:vAlign w:val="center"/>
                </w:tcPr>
                <w:p w14:paraId="088E67B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5.9</w:t>
                  </w:r>
                </w:p>
              </w:tc>
              <w:tc>
                <w:tcPr>
                  <w:tcW w:w="3575" w:type="dxa"/>
                  <w:noWrap/>
                  <w:vAlign w:val="center"/>
                </w:tcPr>
                <w:p w14:paraId="5A2E0E4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自吸合抽屉</w:t>
                  </w:r>
                </w:p>
              </w:tc>
              <w:tc>
                <w:tcPr>
                  <w:tcW w:w="1085" w:type="dxa"/>
                  <w:noWrap/>
                  <w:vAlign w:val="center"/>
                </w:tcPr>
                <w:p w14:paraId="33E7A7F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5923A29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r w14:paraId="603C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26" w:type="dxa"/>
                  <w:noWrap/>
                  <w:vAlign w:val="center"/>
                </w:tcPr>
                <w:p w14:paraId="46EE199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5.10</w:t>
                  </w:r>
                </w:p>
              </w:tc>
              <w:tc>
                <w:tcPr>
                  <w:tcW w:w="3575" w:type="dxa"/>
                  <w:noWrap/>
                  <w:vAlign w:val="center"/>
                </w:tcPr>
                <w:p w14:paraId="3757ACD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双臂延伸臂</w:t>
                  </w:r>
                </w:p>
              </w:tc>
              <w:tc>
                <w:tcPr>
                  <w:tcW w:w="1085" w:type="dxa"/>
                  <w:noWrap/>
                  <w:vAlign w:val="center"/>
                </w:tcPr>
                <w:p w14:paraId="398D78E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897" w:type="dxa"/>
                  <w:noWrap/>
                  <w:vAlign w:val="center"/>
                </w:tcPr>
                <w:p w14:paraId="03654CB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个</w:t>
                  </w:r>
                </w:p>
              </w:tc>
            </w:tr>
          </w:tbl>
          <w:p w14:paraId="0A3ED3B4">
            <w:pPr>
              <w:spacing w:line="360" w:lineRule="exact"/>
              <w:jc w:val="center"/>
              <w:rPr>
                <w:rFonts w:hint="eastAsia" w:ascii="仿宋" w:hAnsi="仿宋" w:eastAsia="仿宋" w:cs="仿宋"/>
                <w:color w:val="auto"/>
                <w:sz w:val="20"/>
                <w:szCs w:val="20"/>
                <w:highlight w:val="none"/>
              </w:rPr>
            </w:pPr>
          </w:p>
        </w:tc>
      </w:tr>
      <w:tr w14:paraId="3A05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3642DCEF">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2</w:t>
            </w:r>
          </w:p>
        </w:tc>
        <w:tc>
          <w:tcPr>
            <w:tcW w:w="1837" w:type="dxa"/>
            <w:noWrap/>
          </w:tcPr>
          <w:p w14:paraId="3E2289DA">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高端手术无影灯</w:t>
            </w:r>
          </w:p>
        </w:tc>
        <w:tc>
          <w:tcPr>
            <w:tcW w:w="6199" w:type="dxa"/>
            <w:noWrap/>
          </w:tcPr>
          <w:p w14:paraId="4E0F3F8B">
            <w:pPr>
              <w:spacing w:line="360" w:lineRule="exact"/>
              <w:jc w:val="left"/>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3套</w:t>
            </w:r>
          </w:p>
        </w:tc>
      </w:tr>
      <w:tr w14:paraId="5F13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04B36A4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w:t>
            </w:r>
          </w:p>
        </w:tc>
        <w:tc>
          <w:tcPr>
            <w:tcW w:w="1837" w:type="dxa"/>
          </w:tcPr>
          <w:p w14:paraId="71FFD96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光源技术</w:t>
            </w:r>
          </w:p>
        </w:tc>
        <w:tc>
          <w:tcPr>
            <w:tcW w:w="6199" w:type="dxa"/>
          </w:tcPr>
          <w:p w14:paraId="7F439762">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手术灯采用冷白暖白两色LED冷光技术，同时每组LED光源都有单独的透镜聚光，母灯LED数量≥75个，子灯LED数量≥60个。</w:t>
            </w:r>
          </w:p>
        </w:tc>
      </w:tr>
      <w:tr w14:paraId="0367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0ACF5D7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w:t>
            </w:r>
          </w:p>
        </w:tc>
        <w:tc>
          <w:tcPr>
            <w:tcW w:w="1837" w:type="dxa"/>
          </w:tcPr>
          <w:p w14:paraId="5040BFA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灯头规格</w:t>
            </w:r>
          </w:p>
        </w:tc>
        <w:tc>
          <w:tcPr>
            <w:tcW w:w="6199" w:type="dxa"/>
          </w:tcPr>
          <w:p w14:paraId="5F05FA7B">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母灯采用四叶型灯头设计，子灯采用三叶型灯头设计，子母灯灯头直径均≤75cm，厚度≤7cm，母灯带大、小C臂单灯头重量≤16Kg，子灯带大、小C臂单灯头重量≤15Kg。</w:t>
            </w:r>
          </w:p>
        </w:tc>
      </w:tr>
      <w:tr w14:paraId="36A5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2779A0F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w:t>
            </w:r>
          </w:p>
        </w:tc>
        <w:tc>
          <w:tcPr>
            <w:tcW w:w="1837" w:type="dxa"/>
          </w:tcPr>
          <w:p w14:paraId="00202C4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层流效果</w:t>
            </w:r>
          </w:p>
        </w:tc>
        <w:tc>
          <w:tcPr>
            <w:tcW w:w="6199" w:type="dxa"/>
          </w:tcPr>
          <w:p w14:paraId="6D5024EA">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灯头具有层流穿透效果，符合DIN1946-4现代层流手术室感控要求</w:t>
            </w:r>
          </w:p>
        </w:tc>
      </w:tr>
      <w:tr w14:paraId="35C9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8AB478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★2.4</w:t>
            </w:r>
          </w:p>
        </w:tc>
        <w:tc>
          <w:tcPr>
            <w:tcW w:w="1837" w:type="dxa"/>
          </w:tcPr>
          <w:p w14:paraId="5DE3427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使用寿命</w:t>
            </w:r>
          </w:p>
        </w:tc>
        <w:tc>
          <w:tcPr>
            <w:tcW w:w="6199" w:type="dxa"/>
          </w:tcPr>
          <w:p w14:paraId="727962A2">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LED灯珠平均使用寿命≥60000小时以上</w:t>
            </w:r>
          </w:p>
        </w:tc>
      </w:tr>
      <w:tr w14:paraId="5B7D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1D0DC4F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★2.5</w:t>
            </w:r>
          </w:p>
        </w:tc>
        <w:tc>
          <w:tcPr>
            <w:tcW w:w="1837" w:type="dxa"/>
          </w:tcPr>
          <w:p w14:paraId="3448DA1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灯头外观</w:t>
            </w:r>
          </w:p>
        </w:tc>
        <w:tc>
          <w:tcPr>
            <w:tcW w:w="6199" w:type="dxa"/>
          </w:tcPr>
          <w:p w14:paraId="69E39951">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灯头采用一体化无螺钉设计，灯头操作扶手与灯头一体成型中间无缝隙，同时灯头玻璃采用一体化弧面设计，避免无效眩光。（提供彩页及实物图片证明）</w:t>
            </w:r>
          </w:p>
        </w:tc>
      </w:tr>
      <w:tr w14:paraId="4E40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E7D488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2.6</w:t>
            </w:r>
          </w:p>
        </w:tc>
        <w:tc>
          <w:tcPr>
            <w:tcW w:w="1837" w:type="dxa"/>
          </w:tcPr>
          <w:p w14:paraId="27552BF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智能阴影</w:t>
            </w:r>
          </w:p>
        </w:tc>
        <w:tc>
          <w:tcPr>
            <w:tcW w:w="6199" w:type="dxa"/>
          </w:tcPr>
          <w:p w14:paraId="0984FF40">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灯具备智能阴影管理功能，子母灯可联动补光，补偿因为医生头部遮挡造成的光线损失；母灯在阴影管理模式开启状态，单遮板深腔无影率为≥100%，双遮板深腔无影率为≥100%。（提供医疗器械检验所检验报告）</w:t>
            </w:r>
          </w:p>
        </w:tc>
      </w:tr>
      <w:tr w14:paraId="6E62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297186D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2.7</w:t>
            </w:r>
          </w:p>
        </w:tc>
        <w:tc>
          <w:tcPr>
            <w:tcW w:w="1837" w:type="dxa"/>
          </w:tcPr>
          <w:p w14:paraId="034E1C1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显色指数</w:t>
            </w:r>
          </w:p>
        </w:tc>
        <w:tc>
          <w:tcPr>
            <w:tcW w:w="6199" w:type="dxa"/>
          </w:tcPr>
          <w:p w14:paraId="6697F36B">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手术灯显色指数Ra≥97，R9≥97，同时具备色温可调功能，可调范围不小于3500K-5100K，不少于5级可调。</w:t>
            </w:r>
          </w:p>
        </w:tc>
      </w:tr>
      <w:tr w14:paraId="0571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4C30F6E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2.8</w:t>
            </w:r>
          </w:p>
        </w:tc>
        <w:tc>
          <w:tcPr>
            <w:tcW w:w="1837" w:type="dxa"/>
          </w:tcPr>
          <w:p w14:paraId="0D7BF59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最大照度</w:t>
            </w:r>
          </w:p>
        </w:tc>
        <w:tc>
          <w:tcPr>
            <w:tcW w:w="6199" w:type="dxa"/>
          </w:tcPr>
          <w:p w14:paraId="6788C817">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母灯的最大照度≥160,000lux，子灯的最大照度≥160,000lux，照度十级可调。</w:t>
            </w:r>
          </w:p>
        </w:tc>
      </w:tr>
      <w:tr w14:paraId="0DF5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5B9999B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2.9</w:t>
            </w:r>
          </w:p>
        </w:tc>
        <w:tc>
          <w:tcPr>
            <w:tcW w:w="1837" w:type="dxa"/>
          </w:tcPr>
          <w:p w14:paraId="2EAAC00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照度调节</w:t>
            </w:r>
          </w:p>
        </w:tc>
        <w:tc>
          <w:tcPr>
            <w:tcW w:w="6199" w:type="dxa"/>
          </w:tcPr>
          <w:p w14:paraId="67965989">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手术灯照度≥10级可调节，同时具备MIS（微创手术）的照明模式，为微创手术提供辅助照明。MIS模式环境光光斑直径≥60cm，可覆盖胸腹腔，同时光斑均匀性≥50%，照度≥3000lux</w:t>
            </w:r>
          </w:p>
        </w:tc>
      </w:tr>
      <w:tr w14:paraId="54CD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26EF8A6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2.10</w:t>
            </w:r>
          </w:p>
        </w:tc>
        <w:tc>
          <w:tcPr>
            <w:tcW w:w="1837" w:type="dxa"/>
          </w:tcPr>
          <w:p w14:paraId="4E9D205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照明深度</w:t>
            </w:r>
          </w:p>
        </w:tc>
        <w:tc>
          <w:tcPr>
            <w:tcW w:w="6199" w:type="dxa"/>
          </w:tcPr>
          <w:p w14:paraId="7CEE15F9">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照明深度20%Ec≥1500mm，照明深度60%Ec≥950mm</w:t>
            </w:r>
          </w:p>
        </w:tc>
      </w:tr>
      <w:tr w14:paraId="4BDF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858993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2.11</w:t>
            </w:r>
          </w:p>
        </w:tc>
        <w:tc>
          <w:tcPr>
            <w:tcW w:w="1837" w:type="dxa"/>
          </w:tcPr>
          <w:p w14:paraId="79FA047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灯头调整</w:t>
            </w:r>
          </w:p>
        </w:tc>
        <w:tc>
          <w:tcPr>
            <w:tcW w:w="6199" w:type="dxa"/>
          </w:tcPr>
          <w:p w14:paraId="0789C88F">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手术灯悬吊系统下的延伸臂可供手术灯水平连续回转，C 臂绕弹簧臂旋转范围：无限位，小C臂绕大C臂旋转范围：无限位，且灯头绕 C 臂旋转范围：无限位；</w:t>
            </w:r>
          </w:p>
        </w:tc>
      </w:tr>
      <w:tr w14:paraId="1650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655B93F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2.12</w:t>
            </w:r>
          </w:p>
        </w:tc>
        <w:tc>
          <w:tcPr>
            <w:tcW w:w="1837" w:type="dxa"/>
          </w:tcPr>
          <w:p w14:paraId="0547EFE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升级设计</w:t>
            </w:r>
          </w:p>
        </w:tc>
        <w:tc>
          <w:tcPr>
            <w:tcW w:w="6199" w:type="dxa"/>
          </w:tcPr>
          <w:p w14:paraId="33CB38DA">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手术灯采用模块化设计，安装时不需要拆卸天花且不会改变层流结构，即可于手术灯旋转体基础上升级第三臂或第四臂显示器悬挂系统。</w:t>
            </w:r>
          </w:p>
        </w:tc>
      </w:tr>
      <w:tr w14:paraId="15DA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33A49D5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█2.13</w:t>
            </w:r>
          </w:p>
        </w:tc>
        <w:tc>
          <w:tcPr>
            <w:tcW w:w="1837" w:type="dxa"/>
          </w:tcPr>
          <w:p w14:paraId="4D3460E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操作方式</w:t>
            </w:r>
          </w:p>
        </w:tc>
        <w:tc>
          <w:tcPr>
            <w:tcW w:w="6199" w:type="dxa"/>
          </w:tcPr>
          <w:p w14:paraId="6D7753E3">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灯具有多功能操作手柄，能够通过操作手柄实现光斑、照度、色温以及腔镜模式，同时支持无线摄像与多功能手柄无工具快速更换。手术灯具备分术式调光功能，可一键切换≥6种不同光照模式，可根据手术种类存储自定义设置，同时手术灯具备同步功能，可实现多灯头色温和照度的同步调节。（提供使用说明书和彩页证明）</w:t>
            </w:r>
          </w:p>
        </w:tc>
      </w:tr>
      <w:tr w14:paraId="2FB9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6DD5905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2.14</w:t>
            </w:r>
          </w:p>
        </w:tc>
        <w:tc>
          <w:tcPr>
            <w:tcW w:w="1837" w:type="dxa"/>
          </w:tcPr>
          <w:p w14:paraId="350F9C9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功能模块</w:t>
            </w:r>
          </w:p>
        </w:tc>
        <w:tc>
          <w:tcPr>
            <w:tcW w:w="6199" w:type="dxa"/>
          </w:tcPr>
          <w:p w14:paraId="32F658CB">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手术灯具备与数字化手术室联动控制功能，可将原型化控制界面连接至数字化系统， 实现手术灯光斑、照度等功能的远程控制。</w:t>
            </w:r>
          </w:p>
        </w:tc>
      </w:tr>
      <w:tr w14:paraId="61DB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6E68AD16">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3</w:t>
            </w:r>
          </w:p>
        </w:tc>
        <w:tc>
          <w:tcPr>
            <w:tcW w:w="1837" w:type="dxa"/>
            <w:noWrap/>
          </w:tcPr>
          <w:p w14:paraId="40C51FE0">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中高端手术无影灯</w:t>
            </w:r>
          </w:p>
        </w:tc>
        <w:tc>
          <w:tcPr>
            <w:tcW w:w="6199" w:type="dxa"/>
            <w:noWrap/>
          </w:tcPr>
          <w:p w14:paraId="6564AA04">
            <w:pPr>
              <w:spacing w:line="360" w:lineRule="exact"/>
              <w:jc w:val="left"/>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9套</w:t>
            </w:r>
          </w:p>
        </w:tc>
      </w:tr>
      <w:tr w14:paraId="3584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3521C72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3.1</w:t>
            </w:r>
          </w:p>
        </w:tc>
        <w:tc>
          <w:tcPr>
            <w:tcW w:w="1837" w:type="dxa"/>
          </w:tcPr>
          <w:p w14:paraId="6BE30F5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光源技术</w:t>
            </w:r>
          </w:p>
        </w:tc>
        <w:tc>
          <w:tcPr>
            <w:tcW w:w="6199" w:type="dxa"/>
          </w:tcPr>
          <w:p w14:paraId="00CF8DF1">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手术灯采用冷白暖白两色LED冷光技术，同时每组LED光源都有单独的透镜聚光，LED数量≥52个。</w:t>
            </w:r>
          </w:p>
        </w:tc>
      </w:tr>
      <w:tr w14:paraId="72F6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4A4092D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█3.2</w:t>
            </w:r>
          </w:p>
        </w:tc>
        <w:tc>
          <w:tcPr>
            <w:tcW w:w="1837" w:type="dxa"/>
          </w:tcPr>
          <w:p w14:paraId="2A4E129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层流效果</w:t>
            </w:r>
          </w:p>
        </w:tc>
        <w:tc>
          <w:tcPr>
            <w:tcW w:w="6199" w:type="dxa"/>
          </w:tcPr>
          <w:p w14:paraId="102B94C1">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灯头具有层流穿透效果，符合DIN1946-4现代层流手术室感控要求。（提供</w:t>
            </w:r>
            <w:r>
              <w:rPr>
                <w:rFonts w:hint="eastAsia" w:ascii="仿宋" w:hAnsi="仿宋" w:eastAsia="仿宋" w:cs="仿宋"/>
                <w:color w:val="auto"/>
                <w:sz w:val="20"/>
                <w:szCs w:val="20"/>
                <w:highlight w:val="none"/>
                <w:lang w:eastAsia="zh-CN"/>
              </w:rPr>
              <w:t>第三方检测机构出具的证明材料</w:t>
            </w:r>
            <w:r>
              <w:rPr>
                <w:rFonts w:hint="eastAsia" w:ascii="仿宋" w:hAnsi="仿宋" w:eastAsia="仿宋" w:cs="仿宋"/>
                <w:color w:val="auto"/>
                <w:sz w:val="20"/>
                <w:szCs w:val="20"/>
                <w:highlight w:val="none"/>
              </w:rPr>
              <w:t>）</w:t>
            </w:r>
          </w:p>
        </w:tc>
      </w:tr>
      <w:tr w14:paraId="7609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3BBADF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★3.3</w:t>
            </w:r>
          </w:p>
        </w:tc>
        <w:tc>
          <w:tcPr>
            <w:tcW w:w="1837" w:type="dxa"/>
          </w:tcPr>
          <w:p w14:paraId="020E543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使用寿命</w:t>
            </w:r>
          </w:p>
        </w:tc>
        <w:tc>
          <w:tcPr>
            <w:tcW w:w="6199" w:type="dxa"/>
          </w:tcPr>
          <w:p w14:paraId="7AC1C0AE">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LED灯珠平均使用寿命≥60000小时以上</w:t>
            </w:r>
          </w:p>
        </w:tc>
      </w:tr>
      <w:tr w14:paraId="7665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2E3880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3.4</w:t>
            </w:r>
          </w:p>
        </w:tc>
        <w:tc>
          <w:tcPr>
            <w:tcW w:w="1837" w:type="dxa"/>
          </w:tcPr>
          <w:p w14:paraId="1DE6D2B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灯头规格</w:t>
            </w:r>
          </w:p>
        </w:tc>
        <w:tc>
          <w:tcPr>
            <w:tcW w:w="6199" w:type="dxa"/>
          </w:tcPr>
          <w:p w14:paraId="3B2E32F6">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双母灯设计，灯头为四叶型，灯头直径≤68cm，厚度≤7cm，带大、小C臂单灯头重量≤15Kg。</w:t>
            </w:r>
          </w:p>
        </w:tc>
      </w:tr>
      <w:tr w14:paraId="4FBC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3A67037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3.5</w:t>
            </w:r>
          </w:p>
        </w:tc>
        <w:tc>
          <w:tcPr>
            <w:tcW w:w="1837" w:type="dxa"/>
          </w:tcPr>
          <w:p w14:paraId="1CFDC0A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联动补光</w:t>
            </w:r>
          </w:p>
        </w:tc>
        <w:tc>
          <w:tcPr>
            <w:tcW w:w="6199" w:type="dxa"/>
          </w:tcPr>
          <w:p w14:paraId="4DD3C1BF">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无影灯具备主动补光、优化术野照明的功能，当检验到遮挡时，手术灯将补偿减低的照度，以保证术野的稳定照度。采用平滑渐进的补光策略，不会使医生感觉术野闪烁。</w:t>
            </w:r>
          </w:p>
        </w:tc>
      </w:tr>
      <w:tr w14:paraId="5FD9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0F88D00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3.6</w:t>
            </w:r>
          </w:p>
        </w:tc>
        <w:tc>
          <w:tcPr>
            <w:tcW w:w="1837" w:type="dxa"/>
          </w:tcPr>
          <w:p w14:paraId="0EA0835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中心照度</w:t>
            </w:r>
          </w:p>
        </w:tc>
        <w:tc>
          <w:tcPr>
            <w:tcW w:w="6199" w:type="dxa"/>
          </w:tcPr>
          <w:p w14:paraId="3EDA82CF">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双灯头最大中心照度实测值均≥160,000Lx</w:t>
            </w:r>
          </w:p>
        </w:tc>
      </w:tr>
      <w:tr w14:paraId="37BE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238EC9B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3.7</w:t>
            </w:r>
          </w:p>
        </w:tc>
        <w:tc>
          <w:tcPr>
            <w:tcW w:w="1837" w:type="dxa"/>
          </w:tcPr>
          <w:p w14:paraId="37DE41A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灯头外观</w:t>
            </w:r>
          </w:p>
        </w:tc>
        <w:tc>
          <w:tcPr>
            <w:tcW w:w="6199" w:type="dxa"/>
          </w:tcPr>
          <w:p w14:paraId="648AB13C">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灯头采用一体化无螺钉设计，灯头操作扶手与灯头一体成型中间无缝隙，同时灯头玻璃采用一体化弧面设计，避免无效眩光。</w:t>
            </w:r>
          </w:p>
        </w:tc>
      </w:tr>
      <w:tr w14:paraId="39BF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1913DEE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★3.8</w:t>
            </w:r>
          </w:p>
        </w:tc>
        <w:tc>
          <w:tcPr>
            <w:tcW w:w="1837" w:type="dxa"/>
          </w:tcPr>
          <w:p w14:paraId="2A5AEFE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照明深度</w:t>
            </w:r>
          </w:p>
        </w:tc>
        <w:tc>
          <w:tcPr>
            <w:tcW w:w="6199" w:type="dxa"/>
          </w:tcPr>
          <w:p w14:paraId="7DB23C4B">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照明深度要求： 20%光柱深度大光斑≥1500mm，同时满足60%光柱深度大光斑≥550mm。（提供医疗器械检验所检验报告）</w:t>
            </w:r>
          </w:p>
        </w:tc>
      </w:tr>
      <w:tr w14:paraId="2A61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15AAA46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3.9</w:t>
            </w:r>
          </w:p>
        </w:tc>
        <w:tc>
          <w:tcPr>
            <w:tcW w:w="1837" w:type="dxa"/>
          </w:tcPr>
          <w:p w14:paraId="4E70AA2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光斑直径</w:t>
            </w:r>
          </w:p>
        </w:tc>
        <w:tc>
          <w:tcPr>
            <w:tcW w:w="6199" w:type="dxa"/>
          </w:tcPr>
          <w:p w14:paraId="533B70C1">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光斑直径可以调节，灯头满足最小光斑直径d10实测值不大于150mm，最大光斑直径d10实测值不低于260mm，光斑均匀性d50/d10实测值不低于55%</w:t>
            </w:r>
          </w:p>
        </w:tc>
      </w:tr>
      <w:tr w14:paraId="26C0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9BFEEB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3.10</w:t>
            </w:r>
          </w:p>
        </w:tc>
        <w:tc>
          <w:tcPr>
            <w:tcW w:w="1837" w:type="dxa"/>
          </w:tcPr>
          <w:p w14:paraId="5337121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光学无影率</w:t>
            </w:r>
          </w:p>
        </w:tc>
        <w:tc>
          <w:tcPr>
            <w:tcW w:w="6199" w:type="dxa"/>
          </w:tcPr>
          <w:p w14:paraId="02BCF99C">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偏置单遮板深腔无影率≥71%，同时双遮板深腔无影率≥50%，具备智能阴影管理模式，在阴影管理模式开启状态双遮板深腔无影率为≥95%。</w:t>
            </w:r>
          </w:p>
        </w:tc>
      </w:tr>
      <w:tr w14:paraId="3ED3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4390E60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3.11</w:t>
            </w:r>
          </w:p>
        </w:tc>
        <w:tc>
          <w:tcPr>
            <w:tcW w:w="1837" w:type="dxa"/>
          </w:tcPr>
          <w:p w14:paraId="28D53CA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模式调节</w:t>
            </w:r>
          </w:p>
        </w:tc>
        <w:tc>
          <w:tcPr>
            <w:tcW w:w="6199" w:type="dxa"/>
          </w:tcPr>
          <w:p w14:paraId="1784057F">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具备分术式调光功能，一键切换不少于6种不同光照模式，可根据手术种类存储自定义设置</w:t>
            </w:r>
          </w:p>
        </w:tc>
      </w:tr>
      <w:tr w14:paraId="71D6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5441FAA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3.12</w:t>
            </w:r>
          </w:p>
        </w:tc>
        <w:tc>
          <w:tcPr>
            <w:tcW w:w="1837" w:type="dxa"/>
          </w:tcPr>
          <w:p w14:paraId="0239D62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显色指数</w:t>
            </w:r>
          </w:p>
        </w:tc>
        <w:tc>
          <w:tcPr>
            <w:tcW w:w="6199" w:type="dxa"/>
          </w:tcPr>
          <w:p w14:paraId="7FDA3956">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手术灯显色指数Ra≥ 99，R9≥ 97，同时具备色温可调功能，可调范围不小于3500K-5100K，不少于5级可调。</w:t>
            </w:r>
          </w:p>
        </w:tc>
      </w:tr>
      <w:tr w14:paraId="5768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4FCE7FA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3.13</w:t>
            </w:r>
          </w:p>
        </w:tc>
        <w:tc>
          <w:tcPr>
            <w:tcW w:w="1837" w:type="dxa"/>
          </w:tcPr>
          <w:p w14:paraId="400444D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辐照比</w:t>
            </w:r>
          </w:p>
        </w:tc>
        <w:tc>
          <w:tcPr>
            <w:tcW w:w="6199" w:type="dxa"/>
          </w:tcPr>
          <w:p w14:paraId="7ED1F31F">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辐照度/中心照度≤3.5 mW/( m2·lx) </w:t>
            </w:r>
          </w:p>
        </w:tc>
      </w:tr>
      <w:tr w14:paraId="5B95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1160E0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3.14</w:t>
            </w:r>
          </w:p>
        </w:tc>
        <w:tc>
          <w:tcPr>
            <w:tcW w:w="1837" w:type="dxa"/>
          </w:tcPr>
          <w:p w14:paraId="7624F37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照度调节</w:t>
            </w:r>
          </w:p>
        </w:tc>
        <w:tc>
          <w:tcPr>
            <w:tcW w:w="6199" w:type="dxa"/>
          </w:tcPr>
          <w:p w14:paraId="029CFCAB">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无影灯照度≥10级可调</w:t>
            </w:r>
          </w:p>
        </w:tc>
      </w:tr>
      <w:tr w14:paraId="07D5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1E62514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3.15</w:t>
            </w:r>
          </w:p>
        </w:tc>
        <w:tc>
          <w:tcPr>
            <w:tcW w:w="1837" w:type="dxa"/>
          </w:tcPr>
          <w:p w14:paraId="3CD42CB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操作方式</w:t>
            </w:r>
          </w:p>
        </w:tc>
        <w:tc>
          <w:tcPr>
            <w:tcW w:w="6199" w:type="dxa"/>
          </w:tcPr>
          <w:p w14:paraId="32C3425E">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手术灯具有多功能操作手柄，能够通过操作手柄实现光斑、照度、色温以及腔镜模式，同时支持无线摄像与多功能手柄无工具快速更换；支持多功能手柄自定义功能；</w:t>
            </w:r>
          </w:p>
        </w:tc>
      </w:tr>
      <w:tr w14:paraId="4EF0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307C2EC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3.16</w:t>
            </w:r>
          </w:p>
        </w:tc>
        <w:tc>
          <w:tcPr>
            <w:tcW w:w="1837" w:type="dxa"/>
          </w:tcPr>
          <w:p w14:paraId="271A628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功能模块</w:t>
            </w:r>
          </w:p>
        </w:tc>
        <w:tc>
          <w:tcPr>
            <w:tcW w:w="6199" w:type="dxa"/>
          </w:tcPr>
          <w:p w14:paraId="3A439D28">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手术灯具备模块化接口功能，产品结构上可提供外部模块安装接口，接口承载力矩≥ 960Nm。</w:t>
            </w:r>
          </w:p>
        </w:tc>
      </w:tr>
      <w:tr w14:paraId="5B68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069612A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3.17</w:t>
            </w:r>
          </w:p>
        </w:tc>
        <w:tc>
          <w:tcPr>
            <w:tcW w:w="1837" w:type="dxa"/>
          </w:tcPr>
          <w:p w14:paraId="46557AD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快速升级</w:t>
            </w:r>
          </w:p>
        </w:tc>
        <w:tc>
          <w:tcPr>
            <w:tcW w:w="6199" w:type="dxa"/>
          </w:tcPr>
          <w:p w14:paraId="58554C9C">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无影灯采用模块化设计，显示器或摄像头可实现后期2h快速安装升级，同时可提供支持高清至4K显示器的自适应显示器吊臂，及支持快速更换无线摄像与多功能手柄的快接系统</w:t>
            </w:r>
          </w:p>
        </w:tc>
      </w:tr>
      <w:tr w14:paraId="2609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00" w:type="dxa"/>
            <w:noWrap/>
          </w:tcPr>
          <w:p w14:paraId="639AA77D">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4</w:t>
            </w:r>
          </w:p>
        </w:tc>
        <w:tc>
          <w:tcPr>
            <w:tcW w:w="1837" w:type="dxa"/>
            <w:noWrap/>
          </w:tcPr>
          <w:p w14:paraId="3F184B6A">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单头手术无影灯</w:t>
            </w:r>
          </w:p>
        </w:tc>
        <w:tc>
          <w:tcPr>
            <w:tcW w:w="6199" w:type="dxa"/>
            <w:noWrap/>
          </w:tcPr>
          <w:p w14:paraId="2211F5A8">
            <w:pPr>
              <w:spacing w:line="360" w:lineRule="exact"/>
              <w:jc w:val="left"/>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19套</w:t>
            </w:r>
          </w:p>
        </w:tc>
      </w:tr>
      <w:tr w14:paraId="0DB9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64032B0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4.1</w:t>
            </w:r>
          </w:p>
        </w:tc>
        <w:tc>
          <w:tcPr>
            <w:tcW w:w="1837" w:type="dxa"/>
          </w:tcPr>
          <w:p w14:paraId="6897DCE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光源技术</w:t>
            </w:r>
          </w:p>
        </w:tc>
        <w:tc>
          <w:tcPr>
            <w:tcW w:w="6199" w:type="dxa"/>
          </w:tcPr>
          <w:p w14:paraId="25036151">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手术灯采用冷白暖白两色LED冷光技术，同时每组LED光源都有单独的透镜聚光，LED数量≥40个。</w:t>
            </w:r>
          </w:p>
        </w:tc>
      </w:tr>
      <w:tr w14:paraId="7975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12E0D83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4.2</w:t>
            </w:r>
          </w:p>
        </w:tc>
        <w:tc>
          <w:tcPr>
            <w:tcW w:w="1837" w:type="dxa"/>
          </w:tcPr>
          <w:p w14:paraId="56D2EC8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灯头规格</w:t>
            </w:r>
          </w:p>
        </w:tc>
        <w:tc>
          <w:tcPr>
            <w:tcW w:w="6199" w:type="dxa"/>
          </w:tcPr>
          <w:p w14:paraId="74C9B6C2">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手术灯采用超薄三叶型灯头设计，灯头直径≤65cm，厚度≤6cm，带大、小C臂单灯头重量≤14Kg。</w:t>
            </w:r>
          </w:p>
        </w:tc>
      </w:tr>
      <w:tr w14:paraId="6EB0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2032710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4.3</w:t>
            </w:r>
          </w:p>
        </w:tc>
        <w:tc>
          <w:tcPr>
            <w:tcW w:w="1837" w:type="dxa"/>
          </w:tcPr>
          <w:p w14:paraId="4A26CDE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层流效果</w:t>
            </w:r>
          </w:p>
        </w:tc>
        <w:tc>
          <w:tcPr>
            <w:tcW w:w="6199" w:type="dxa"/>
          </w:tcPr>
          <w:p w14:paraId="4DB688F0">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灯头具有层流穿透效果，符合DIN1946-4现代层流手术室感控要求，扰流指数≤23%。</w:t>
            </w:r>
          </w:p>
        </w:tc>
      </w:tr>
      <w:tr w14:paraId="34C5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7CDE72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4.4</w:t>
            </w:r>
          </w:p>
        </w:tc>
        <w:tc>
          <w:tcPr>
            <w:tcW w:w="1837" w:type="dxa"/>
          </w:tcPr>
          <w:p w14:paraId="3128CB3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使用寿命</w:t>
            </w:r>
          </w:p>
        </w:tc>
        <w:tc>
          <w:tcPr>
            <w:tcW w:w="6199" w:type="dxa"/>
          </w:tcPr>
          <w:p w14:paraId="05089197">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LED灯珠平均使用寿命≥60000小时以上</w:t>
            </w:r>
          </w:p>
        </w:tc>
      </w:tr>
      <w:tr w14:paraId="07EF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2AE60EC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4.5</w:t>
            </w:r>
          </w:p>
        </w:tc>
        <w:tc>
          <w:tcPr>
            <w:tcW w:w="1837" w:type="dxa"/>
          </w:tcPr>
          <w:p w14:paraId="56D2025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灯头外观</w:t>
            </w:r>
          </w:p>
        </w:tc>
        <w:tc>
          <w:tcPr>
            <w:tcW w:w="6199" w:type="dxa"/>
          </w:tcPr>
          <w:p w14:paraId="51B0D531">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灯头采用一体化无螺钉设计，灯头操作扶手与灯头一体成型中间无缝隙，同时灯头玻璃采用一体化弧面设计，避免无效眩光。</w:t>
            </w:r>
          </w:p>
        </w:tc>
      </w:tr>
      <w:tr w14:paraId="102B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0C6F140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4.6</w:t>
            </w:r>
          </w:p>
        </w:tc>
        <w:tc>
          <w:tcPr>
            <w:tcW w:w="1837" w:type="dxa"/>
          </w:tcPr>
          <w:p w14:paraId="1C6075B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中心照度</w:t>
            </w:r>
          </w:p>
        </w:tc>
        <w:tc>
          <w:tcPr>
            <w:tcW w:w="6199" w:type="dxa"/>
          </w:tcPr>
          <w:p w14:paraId="3B8FA14D">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最大中心照度实测值≥160,000Lx。</w:t>
            </w:r>
          </w:p>
        </w:tc>
      </w:tr>
      <w:tr w14:paraId="6107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E877B4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★4.7</w:t>
            </w:r>
          </w:p>
        </w:tc>
        <w:tc>
          <w:tcPr>
            <w:tcW w:w="1837" w:type="dxa"/>
          </w:tcPr>
          <w:p w14:paraId="2E91D48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照明深度</w:t>
            </w:r>
          </w:p>
        </w:tc>
        <w:tc>
          <w:tcPr>
            <w:tcW w:w="6199" w:type="dxa"/>
          </w:tcPr>
          <w:p w14:paraId="2B93D2B5">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照明深度要求：20%光柱深度大光斑≥1350mm，同时满足60%光柱深度大光斑≥500mm。</w:t>
            </w:r>
          </w:p>
        </w:tc>
      </w:tr>
      <w:tr w14:paraId="6514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6A71C12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4.8</w:t>
            </w:r>
          </w:p>
        </w:tc>
        <w:tc>
          <w:tcPr>
            <w:tcW w:w="1837" w:type="dxa"/>
          </w:tcPr>
          <w:p w14:paraId="290C3EE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光斑直径</w:t>
            </w:r>
          </w:p>
        </w:tc>
        <w:tc>
          <w:tcPr>
            <w:tcW w:w="6199" w:type="dxa"/>
          </w:tcPr>
          <w:p w14:paraId="55D4F050">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光斑直径≥5级可调，母灯及子灯均满足最小光斑直径d10≤150mm，最大光斑直径d10为≥270mm，光斑均匀性：d50/d10≥55%。</w:t>
            </w:r>
          </w:p>
        </w:tc>
      </w:tr>
      <w:tr w14:paraId="3A3A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4FD7955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4.9</w:t>
            </w:r>
          </w:p>
        </w:tc>
        <w:tc>
          <w:tcPr>
            <w:tcW w:w="1837" w:type="dxa"/>
          </w:tcPr>
          <w:p w14:paraId="1C8A273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光学无影率</w:t>
            </w:r>
          </w:p>
        </w:tc>
        <w:tc>
          <w:tcPr>
            <w:tcW w:w="6199" w:type="dxa"/>
          </w:tcPr>
          <w:p w14:paraId="7B10452B">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偏置单遮板深腔无影率≥71%，同时双遮板深腔无影率≥51%。</w:t>
            </w:r>
          </w:p>
        </w:tc>
      </w:tr>
      <w:tr w14:paraId="643E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23544E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4.10</w:t>
            </w:r>
          </w:p>
        </w:tc>
        <w:tc>
          <w:tcPr>
            <w:tcW w:w="1837" w:type="dxa"/>
          </w:tcPr>
          <w:p w14:paraId="00A1949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显色指数</w:t>
            </w:r>
          </w:p>
        </w:tc>
        <w:tc>
          <w:tcPr>
            <w:tcW w:w="6199" w:type="dxa"/>
          </w:tcPr>
          <w:p w14:paraId="51CDEE5F">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手术灯显色指数Ra≥ 99，R9≥ 97，同时具备色温可调功能，可调范围不小于3500K-5100K，不少于5级可调。</w:t>
            </w:r>
          </w:p>
        </w:tc>
      </w:tr>
      <w:tr w14:paraId="2AB6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4EFFD14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4.11</w:t>
            </w:r>
          </w:p>
        </w:tc>
        <w:tc>
          <w:tcPr>
            <w:tcW w:w="1837" w:type="dxa"/>
          </w:tcPr>
          <w:p w14:paraId="470D77E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照度调节</w:t>
            </w:r>
          </w:p>
        </w:tc>
        <w:tc>
          <w:tcPr>
            <w:tcW w:w="6199" w:type="dxa"/>
          </w:tcPr>
          <w:p w14:paraId="6ABE89B9">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手术灯照度≥10级可调节，同时具备一键腔镜模式。同时腔镜模式环境光光斑直径≥60cm，可覆盖胸腹腔，同时光斑均匀性不低于60%，照度不低于3000lux</w:t>
            </w:r>
          </w:p>
        </w:tc>
      </w:tr>
      <w:tr w14:paraId="2228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359DD98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4.12</w:t>
            </w:r>
          </w:p>
        </w:tc>
        <w:tc>
          <w:tcPr>
            <w:tcW w:w="1837" w:type="dxa"/>
          </w:tcPr>
          <w:p w14:paraId="03AE1F2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操作方式</w:t>
            </w:r>
          </w:p>
        </w:tc>
        <w:tc>
          <w:tcPr>
            <w:tcW w:w="6199" w:type="dxa"/>
          </w:tcPr>
          <w:p w14:paraId="49ECF2BB">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具有多功能操作手柄，能够通过操作手柄实现光斑和照度调节，同时支持无线摄像与多功能手柄无工具快速更换；</w:t>
            </w:r>
          </w:p>
        </w:tc>
      </w:tr>
      <w:tr w14:paraId="3F02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0FEE985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4.13</w:t>
            </w:r>
          </w:p>
        </w:tc>
        <w:tc>
          <w:tcPr>
            <w:tcW w:w="1837" w:type="dxa"/>
          </w:tcPr>
          <w:p w14:paraId="4F56A9B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灯头调整</w:t>
            </w:r>
          </w:p>
        </w:tc>
        <w:tc>
          <w:tcPr>
            <w:tcW w:w="6199" w:type="dxa"/>
          </w:tcPr>
          <w:p w14:paraId="4AB93A67">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手术灯悬吊系统下的延伸臂可供手术灯水平连续回转，C臂绕弹簧臂旋转范围：无限位，小C臂绕大C臂旋转范围：无限位，且灯头绕小 C 臂旋转范围：无限位；</w:t>
            </w:r>
          </w:p>
        </w:tc>
      </w:tr>
      <w:tr w14:paraId="76CF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58C4410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4.14</w:t>
            </w:r>
          </w:p>
        </w:tc>
        <w:tc>
          <w:tcPr>
            <w:tcW w:w="1837" w:type="dxa"/>
          </w:tcPr>
          <w:p w14:paraId="7BFF82A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稳定性保障</w:t>
            </w:r>
          </w:p>
        </w:tc>
        <w:tc>
          <w:tcPr>
            <w:tcW w:w="6199" w:type="dxa"/>
          </w:tcPr>
          <w:p w14:paraId="14435992">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具备照度稳定技术，保证手术灯十年寿命周期内照度稳定。</w:t>
            </w:r>
          </w:p>
        </w:tc>
      </w:tr>
      <w:tr w14:paraId="4A2D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219A3A7D">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5</w:t>
            </w:r>
          </w:p>
        </w:tc>
        <w:tc>
          <w:tcPr>
            <w:tcW w:w="1837" w:type="dxa"/>
            <w:noWrap/>
          </w:tcPr>
          <w:p w14:paraId="34C2962B">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中高端手术床</w:t>
            </w:r>
          </w:p>
        </w:tc>
        <w:tc>
          <w:tcPr>
            <w:tcW w:w="6199" w:type="dxa"/>
            <w:noWrap/>
          </w:tcPr>
          <w:p w14:paraId="2807B169">
            <w:pPr>
              <w:spacing w:line="360" w:lineRule="exact"/>
              <w:jc w:val="left"/>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11套</w:t>
            </w:r>
          </w:p>
        </w:tc>
      </w:tr>
      <w:tr w14:paraId="407E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5A6D119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5.1</w:t>
            </w:r>
          </w:p>
        </w:tc>
        <w:tc>
          <w:tcPr>
            <w:tcW w:w="1837" w:type="dxa"/>
          </w:tcPr>
          <w:p w14:paraId="2549C9D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动力系统</w:t>
            </w:r>
          </w:p>
        </w:tc>
        <w:tc>
          <w:tcPr>
            <w:tcW w:w="6199" w:type="dxa"/>
          </w:tcPr>
          <w:p w14:paraId="1AD03497">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手术床动力系统采用电动液压方式，可电动调节实现台面升降、平移、头脚倾、左右倾、背板上下折、腿板上下折、解锁锁定功能；同时手术床具备正反方向体位设置功能。</w:t>
            </w:r>
          </w:p>
        </w:tc>
      </w:tr>
      <w:tr w14:paraId="6980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458EA33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5.2</w:t>
            </w:r>
          </w:p>
        </w:tc>
        <w:tc>
          <w:tcPr>
            <w:tcW w:w="1837" w:type="dxa"/>
          </w:tcPr>
          <w:p w14:paraId="0C1749C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控制方式</w:t>
            </w:r>
          </w:p>
        </w:tc>
        <w:tc>
          <w:tcPr>
            <w:tcW w:w="6199" w:type="dxa"/>
          </w:tcPr>
          <w:p w14:paraId="7475E288">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手术床具备多种电动控制方式，包括线控器、遥控器、备用面板、脚踏开关；其中无线遥控器在手术床5米范围内可遥控手术床运行。</w:t>
            </w:r>
          </w:p>
        </w:tc>
      </w:tr>
      <w:tr w14:paraId="5A3C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CBD535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5.3</w:t>
            </w:r>
          </w:p>
        </w:tc>
        <w:tc>
          <w:tcPr>
            <w:tcW w:w="1837" w:type="dxa"/>
          </w:tcPr>
          <w:p w14:paraId="0632FC7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立柱设计</w:t>
            </w:r>
          </w:p>
        </w:tc>
        <w:tc>
          <w:tcPr>
            <w:tcW w:w="6199" w:type="dxa"/>
          </w:tcPr>
          <w:p w14:paraId="6D0B0144">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手术床立柱护罩顶端采用硬顶式非软质皮老虎设计，无褶皱便于清洁消毒，同时立柱式备用面板与硬顶式立柱护罩位于同一平面，不得凸出立柱护罩表面，降低感控风险</w:t>
            </w:r>
          </w:p>
        </w:tc>
      </w:tr>
      <w:tr w14:paraId="22F5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608CEA0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5.4</w:t>
            </w:r>
          </w:p>
        </w:tc>
        <w:tc>
          <w:tcPr>
            <w:tcW w:w="1837" w:type="dxa"/>
          </w:tcPr>
          <w:p w14:paraId="18FC218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控制器功能</w:t>
            </w:r>
          </w:p>
        </w:tc>
        <w:tc>
          <w:tcPr>
            <w:tcW w:w="6199" w:type="dxa"/>
          </w:tcPr>
          <w:p w14:paraId="1B9E4CD3">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手术床内部具备传感装置，无线遥控器屏幕具有颜色变化预警提示功能，在头脚倾角度变化时能通过黄、红颜色变化进行预警提示，在左右倾角度变化时能通过黄色变化进行预警提示</w:t>
            </w:r>
          </w:p>
        </w:tc>
      </w:tr>
      <w:tr w14:paraId="7FCA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502794E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5.5</w:t>
            </w:r>
          </w:p>
        </w:tc>
        <w:tc>
          <w:tcPr>
            <w:tcW w:w="1837" w:type="dxa"/>
          </w:tcPr>
          <w:p w14:paraId="19872FB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减压床垫</w:t>
            </w:r>
          </w:p>
        </w:tc>
        <w:tc>
          <w:tcPr>
            <w:tcW w:w="6199" w:type="dxa"/>
          </w:tcPr>
          <w:p w14:paraId="723F41BF">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手术床多层复合减压床垫≥3层，床垫厚度≥80mm且床垫皮层通过TB117-2013防火等级测试</w:t>
            </w:r>
          </w:p>
        </w:tc>
      </w:tr>
      <w:tr w14:paraId="27CD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081F511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★5.6</w:t>
            </w:r>
          </w:p>
        </w:tc>
        <w:tc>
          <w:tcPr>
            <w:tcW w:w="1837" w:type="dxa"/>
          </w:tcPr>
          <w:p w14:paraId="3476DF4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结构组成</w:t>
            </w:r>
          </w:p>
        </w:tc>
        <w:tc>
          <w:tcPr>
            <w:tcW w:w="6199" w:type="dxa"/>
          </w:tcPr>
          <w:p w14:paraId="4F5FC323">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手术床台面由头板、上背板、下背板、坐板、分体式腿板6部分组成。头板、上背板、腿板各模块可拆卸，同时头、腿板均采用一键快插式连接结构。（提供医疗器械检验所检验报告）</w:t>
            </w:r>
          </w:p>
        </w:tc>
      </w:tr>
      <w:tr w14:paraId="0E0B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24D3109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█5.7</w:t>
            </w:r>
          </w:p>
        </w:tc>
        <w:tc>
          <w:tcPr>
            <w:tcW w:w="1837" w:type="dxa"/>
          </w:tcPr>
          <w:p w14:paraId="502FFDF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底座设计</w:t>
            </w:r>
          </w:p>
        </w:tc>
        <w:tc>
          <w:tcPr>
            <w:tcW w:w="6199" w:type="dxa"/>
          </w:tcPr>
          <w:p w14:paraId="5C2EE4C4">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薄型底座且重心居中设计，底罩采用304不锈钢材料，表面纯平，无缝隙、无凹凸设计 。手术床具备智能防撞功能，执行台面动作时可避免与立柱、底座、地面碰撞（提供实物照片证明手术床底座厚度及造型）</w:t>
            </w:r>
          </w:p>
        </w:tc>
      </w:tr>
      <w:tr w14:paraId="10B4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58EEF17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5.8</w:t>
            </w:r>
          </w:p>
        </w:tc>
        <w:tc>
          <w:tcPr>
            <w:tcW w:w="1837" w:type="dxa"/>
          </w:tcPr>
          <w:p w14:paraId="61B16E2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移动方式</w:t>
            </w:r>
          </w:p>
        </w:tc>
        <w:tc>
          <w:tcPr>
            <w:tcW w:w="6199" w:type="dxa"/>
          </w:tcPr>
          <w:p w14:paraId="6EDC3399">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手术床具备4个万向脚轮，同时手术床提供落地式刹车功能，非轮式刹车设计。</w:t>
            </w:r>
          </w:p>
        </w:tc>
      </w:tr>
      <w:tr w14:paraId="64F1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13F8AD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5.9</w:t>
            </w:r>
          </w:p>
        </w:tc>
        <w:tc>
          <w:tcPr>
            <w:tcW w:w="1837" w:type="dxa"/>
          </w:tcPr>
          <w:p w14:paraId="2DBD9D4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供电方式</w:t>
            </w:r>
          </w:p>
        </w:tc>
        <w:tc>
          <w:tcPr>
            <w:tcW w:w="6199" w:type="dxa"/>
          </w:tcPr>
          <w:p w14:paraId="5E4700A9">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手术床配有高性能充电电池，同时在底座上配置电池电量指示灯，能够分≥4级直观显示电池当前电量。</w:t>
            </w:r>
          </w:p>
        </w:tc>
      </w:tr>
      <w:tr w14:paraId="2653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1375479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5.10</w:t>
            </w:r>
          </w:p>
        </w:tc>
        <w:tc>
          <w:tcPr>
            <w:tcW w:w="1837" w:type="dxa"/>
          </w:tcPr>
          <w:p w14:paraId="1547423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防水性能</w:t>
            </w:r>
          </w:p>
        </w:tc>
        <w:tc>
          <w:tcPr>
            <w:tcW w:w="6199" w:type="dxa"/>
          </w:tcPr>
          <w:p w14:paraId="69C42F30">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手术床整机满足IPX5防水需求，同时可选配脚踏开关，脚踏开关共有3组按键,可控制手术床台面6个动作，脚踏开关满足IPX8防水需求</w:t>
            </w:r>
          </w:p>
        </w:tc>
      </w:tr>
      <w:tr w14:paraId="1049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636EB9E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5.11</w:t>
            </w:r>
          </w:p>
        </w:tc>
        <w:tc>
          <w:tcPr>
            <w:tcW w:w="1837" w:type="dxa"/>
          </w:tcPr>
          <w:p w14:paraId="29DE743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防水设计</w:t>
            </w:r>
          </w:p>
        </w:tc>
        <w:tc>
          <w:tcPr>
            <w:tcW w:w="6199" w:type="dxa"/>
          </w:tcPr>
          <w:p w14:paraId="561C21CA">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同时手术床开关、等电位柱及电源接口处具备防水盖。</w:t>
            </w:r>
          </w:p>
        </w:tc>
      </w:tr>
      <w:tr w14:paraId="0986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6053A24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5.12</w:t>
            </w:r>
          </w:p>
        </w:tc>
        <w:tc>
          <w:tcPr>
            <w:tcW w:w="1837" w:type="dxa"/>
          </w:tcPr>
          <w:p w14:paraId="03863B7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调节方式</w:t>
            </w:r>
          </w:p>
        </w:tc>
        <w:tc>
          <w:tcPr>
            <w:tcW w:w="6199" w:type="dxa"/>
          </w:tcPr>
          <w:p w14:paraId="4FA50A3E">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手术床腿板采用电动调节方式，通过电驱动腿板上下折。</w:t>
            </w:r>
          </w:p>
        </w:tc>
      </w:tr>
      <w:tr w14:paraId="0BB4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14493A6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★5.13</w:t>
            </w:r>
          </w:p>
        </w:tc>
        <w:tc>
          <w:tcPr>
            <w:tcW w:w="1837" w:type="dxa"/>
          </w:tcPr>
          <w:p w14:paraId="5851611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承载能力</w:t>
            </w:r>
          </w:p>
        </w:tc>
        <w:tc>
          <w:tcPr>
            <w:tcW w:w="6199" w:type="dxa"/>
          </w:tcPr>
          <w:p w14:paraId="4505D478">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手术床最大承重≥460kg。</w:t>
            </w:r>
          </w:p>
        </w:tc>
      </w:tr>
      <w:tr w14:paraId="5FA7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32207ED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5.14</w:t>
            </w:r>
          </w:p>
        </w:tc>
        <w:tc>
          <w:tcPr>
            <w:tcW w:w="1837" w:type="dxa"/>
          </w:tcPr>
          <w:p w14:paraId="23AF5082">
            <w:pPr>
              <w:spacing w:line="360" w:lineRule="exact"/>
              <w:jc w:val="center"/>
              <w:rPr>
                <w:rFonts w:hint="eastAsia" w:ascii="仿宋" w:hAnsi="仿宋" w:eastAsia="仿宋" w:cs="仿宋"/>
                <w:color w:val="auto"/>
                <w:sz w:val="20"/>
                <w:szCs w:val="20"/>
                <w:highlight w:val="none"/>
              </w:rPr>
            </w:pPr>
          </w:p>
        </w:tc>
        <w:tc>
          <w:tcPr>
            <w:tcW w:w="6199" w:type="dxa"/>
          </w:tcPr>
          <w:p w14:paraId="17B04081">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技术参数：</w:t>
            </w:r>
          </w:p>
        </w:tc>
      </w:tr>
      <w:tr w14:paraId="5580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3066999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5.14.1</w:t>
            </w:r>
          </w:p>
        </w:tc>
        <w:tc>
          <w:tcPr>
            <w:tcW w:w="1837" w:type="dxa"/>
          </w:tcPr>
          <w:p w14:paraId="6B1E99F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尺寸规格</w:t>
            </w:r>
          </w:p>
        </w:tc>
        <w:tc>
          <w:tcPr>
            <w:tcW w:w="6199" w:type="dxa"/>
          </w:tcPr>
          <w:p w14:paraId="10061C83">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手术床宽度： ≥ 500mm，长度≥2000mm</w:t>
            </w:r>
          </w:p>
        </w:tc>
      </w:tr>
      <w:tr w14:paraId="145F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3C744B6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5.14.2</w:t>
            </w:r>
          </w:p>
        </w:tc>
        <w:tc>
          <w:tcPr>
            <w:tcW w:w="1837" w:type="dxa"/>
          </w:tcPr>
          <w:p w14:paraId="547D7E3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头脚倾角度</w:t>
            </w:r>
          </w:p>
        </w:tc>
        <w:tc>
          <w:tcPr>
            <w:tcW w:w="6199" w:type="dxa"/>
          </w:tcPr>
          <w:p w14:paraId="6D5FEEFA">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纵向最大倾斜角度（头倾/脚倾）：≥35° </w:t>
            </w:r>
          </w:p>
        </w:tc>
      </w:tr>
      <w:tr w14:paraId="6384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3B8879C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5.14.3</w:t>
            </w:r>
          </w:p>
        </w:tc>
        <w:tc>
          <w:tcPr>
            <w:tcW w:w="1837" w:type="dxa"/>
          </w:tcPr>
          <w:p w14:paraId="7DB53F0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左右倾角度</w:t>
            </w:r>
          </w:p>
        </w:tc>
        <w:tc>
          <w:tcPr>
            <w:tcW w:w="6199" w:type="dxa"/>
          </w:tcPr>
          <w:p w14:paraId="2D3EF689">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侧向最大倾斜角度（左倾/右倾）：≥25° </w:t>
            </w:r>
          </w:p>
        </w:tc>
      </w:tr>
      <w:tr w14:paraId="0E79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4B7EC5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5.14.4</w:t>
            </w:r>
          </w:p>
        </w:tc>
        <w:tc>
          <w:tcPr>
            <w:tcW w:w="1837" w:type="dxa"/>
          </w:tcPr>
          <w:p w14:paraId="4EF389D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头板角度</w:t>
            </w:r>
          </w:p>
        </w:tc>
        <w:tc>
          <w:tcPr>
            <w:tcW w:w="6199" w:type="dxa"/>
          </w:tcPr>
          <w:p w14:paraId="6FFB15A0">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头板最大倾斜角度（标准模式上/下）：上折≥45°，下折≥90°</w:t>
            </w:r>
          </w:p>
        </w:tc>
      </w:tr>
      <w:tr w14:paraId="65DB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6B2BCD1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5.14.5</w:t>
            </w:r>
          </w:p>
        </w:tc>
        <w:tc>
          <w:tcPr>
            <w:tcW w:w="1837" w:type="dxa"/>
          </w:tcPr>
          <w:p w14:paraId="0A68F2E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背板角度</w:t>
            </w:r>
          </w:p>
        </w:tc>
        <w:tc>
          <w:tcPr>
            <w:tcW w:w="6199" w:type="dxa"/>
          </w:tcPr>
          <w:p w14:paraId="773C7830">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背板最大倾斜角度（标准模式上/下）：上折≥85°，下折≥40°</w:t>
            </w:r>
          </w:p>
        </w:tc>
      </w:tr>
      <w:tr w14:paraId="01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3A779A0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5.14.6</w:t>
            </w:r>
          </w:p>
        </w:tc>
        <w:tc>
          <w:tcPr>
            <w:tcW w:w="1837" w:type="dxa"/>
          </w:tcPr>
          <w:p w14:paraId="195DA59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腿板角度</w:t>
            </w:r>
          </w:p>
        </w:tc>
        <w:tc>
          <w:tcPr>
            <w:tcW w:w="6199" w:type="dxa"/>
          </w:tcPr>
          <w:p w14:paraId="38A7370D">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腿板最大倾斜角度（标准模式上/下）：上折≥75°，下折≥85°</w:t>
            </w:r>
          </w:p>
        </w:tc>
      </w:tr>
      <w:tr w14:paraId="7B14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184E20E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★5.14.7</w:t>
            </w:r>
          </w:p>
        </w:tc>
        <w:tc>
          <w:tcPr>
            <w:tcW w:w="1837" w:type="dxa"/>
          </w:tcPr>
          <w:p w14:paraId="0850AC6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台面高度</w:t>
            </w:r>
          </w:p>
        </w:tc>
        <w:tc>
          <w:tcPr>
            <w:tcW w:w="6199" w:type="dxa"/>
          </w:tcPr>
          <w:p w14:paraId="19F22F7A">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手术床最低台面：≤600mm（提供医疗器械检验所检验报告）</w:t>
            </w:r>
          </w:p>
        </w:tc>
      </w:tr>
      <w:tr w14:paraId="06DD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4F7C4C4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5.14.8</w:t>
            </w:r>
          </w:p>
        </w:tc>
        <w:tc>
          <w:tcPr>
            <w:tcW w:w="1837" w:type="dxa"/>
          </w:tcPr>
          <w:p w14:paraId="6E8660B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台面高度</w:t>
            </w:r>
          </w:p>
        </w:tc>
        <w:tc>
          <w:tcPr>
            <w:tcW w:w="6199" w:type="dxa"/>
          </w:tcPr>
          <w:p w14:paraId="3438ECB3">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手术床最高台面：≥1000mm</w:t>
            </w:r>
          </w:p>
        </w:tc>
      </w:tr>
      <w:tr w14:paraId="1E3A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7ADD71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5.14.9</w:t>
            </w:r>
          </w:p>
        </w:tc>
        <w:tc>
          <w:tcPr>
            <w:tcW w:w="1837" w:type="dxa"/>
          </w:tcPr>
          <w:p w14:paraId="6320F30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平移距离</w:t>
            </w:r>
          </w:p>
        </w:tc>
        <w:tc>
          <w:tcPr>
            <w:tcW w:w="6199" w:type="dxa"/>
          </w:tcPr>
          <w:p w14:paraId="0219435F">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手术床具备平移功能，平移距离≥350mm </w:t>
            </w:r>
          </w:p>
        </w:tc>
      </w:tr>
      <w:tr w14:paraId="421C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3AE21F2F">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6</w:t>
            </w:r>
          </w:p>
        </w:tc>
        <w:tc>
          <w:tcPr>
            <w:tcW w:w="1837" w:type="dxa"/>
            <w:noWrap/>
          </w:tcPr>
          <w:p w14:paraId="0FD315C9">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手术室吊塔</w:t>
            </w:r>
          </w:p>
        </w:tc>
        <w:tc>
          <w:tcPr>
            <w:tcW w:w="6199" w:type="dxa"/>
            <w:noWrap/>
          </w:tcPr>
          <w:p w14:paraId="2FF76CFA">
            <w:pPr>
              <w:spacing w:line="360" w:lineRule="exact"/>
              <w:jc w:val="left"/>
              <w:rPr>
                <w:rFonts w:hint="eastAsia" w:ascii="仿宋" w:hAnsi="仿宋" w:eastAsia="仿宋" w:cs="仿宋"/>
                <w:b/>
                <w:bCs/>
                <w:color w:val="auto"/>
                <w:sz w:val="20"/>
                <w:szCs w:val="20"/>
                <w:highlight w:val="none"/>
              </w:rPr>
            </w:pPr>
          </w:p>
        </w:tc>
      </w:tr>
      <w:tr w14:paraId="22D4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5C36021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★6.1</w:t>
            </w:r>
          </w:p>
        </w:tc>
        <w:tc>
          <w:tcPr>
            <w:tcW w:w="1837" w:type="dxa"/>
          </w:tcPr>
          <w:p w14:paraId="1EFB737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抗菌材质</w:t>
            </w:r>
          </w:p>
        </w:tc>
        <w:tc>
          <w:tcPr>
            <w:tcW w:w="6199" w:type="dxa"/>
          </w:tcPr>
          <w:p w14:paraId="2F888148">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吊塔主体材料要求为6005高强度铝合金，方形全封闭式设计，吊塔所采用的材料必须防腐蚀，便于清洗，吊塔表面喷塑采用环保抗菌粉末，具有表面抑制细菌再生作用，符合JIS Z 2801:2010标准大肠杆菌及金黄色葡萄球菌抗菌率≥99.9%要求。（提供材质证明及抗菌粉末</w:t>
            </w:r>
            <w:r>
              <w:rPr>
                <w:rFonts w:hint="eastAsia" w:ascii="仿宋" w:hAnsi="仿宋" w:eastAsia="仿宋" w:cs="仿宋"/>
                <w:color w:val="auto"/>
                <w:sz w:val="20"/>
                <w:szCs w:val="20"/>
                <w:highlight w:val="none"/>
                <w:lang w:eastAsia="zh-CN"/>
              </w:rPr>
              <w:t>第三方检测机构出具的证明材料</w:t>
            </w:r>
            <w:r>
              <w:rPr>
                <w:rFonts w:hint="eastAsia" w:ascii="仿宋" w:hAnsi="仿宋" w:eastAsia="仿宋" w:cs="仿宋"/>
                <w:color w:val="auto"/>
                <w:sz w:val="20"/>
                <w:szCs w:val="20"/>
                <w:highlight w:val="none"/>
              </w:rPr>
              <w:t>）</w:t>
            </w:r>
          </w:p>
        </w:tc>
      </w:tr>
      <w:tr w14:paraId="3387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49C2323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6.2</w:t>
            </w:r>
          </w:p>
        </w:tc>
        <w:tc>
          <w:tcPr>
            <w:tcW w:w="1837" w:type="dxa"/>
          </w:tcPr>
          <w:p w14:paraId="3A0D138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外壳附着力</w:t>
            </w:r>
          </w:p>
        </w:tc>
        <w:tc>
          <w:tcPr>
            <w:tcW w:w="6199" w:type="dxa"/>
          </w:tcPr>
          <w:p w14:paraId="22B276E3">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吊塔外壳涂膜附着力参照ISO2409-2013测试方法，附着力达到最高等级0；</w:t>
            </w:r>
          </w:p>
        </w:tc>
      </w:tr>
      <w:tr w14:paraId="069E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5B7F76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█6.3</w:t>
            </w:r>
          </w:p>
        </w:tc>
        <w:tc>
          <w:tcPr>
            <w:tcW w:w="1837" w:type="dxa"/>
          </w:tcPr>
          <w:p w14:paraId="2D9A9F1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抗盐雾等级</w:t>
            </w:r>
          </w:p>
        </w:tc>
        <w:tc>
          <w:tcPr>
            <w:tcW w:w="6199" w:type="dxa"/>
          </w:tcPr>
          <w:p w14:paraId="1FD69851">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吊塔外壳在中性盐雾试验中，测试方法参照ISO9227:2017标准，外观评价参照ISO10289-1999，评价等级最高为10。（提供</w:t>
            </w:r>
            <w:r>
              <w:rPr>
                <w:rFonts w:hint="eastAsia" w:ascii="仿宋" w:hAnsi="仿宋" w:eastAsia="仿宋" w:cs="仿宋"/>
                <w:color w:val="auto"/>
                <w:sz w:val="20"/>
                <w:szCs w:val="20"/>
                <w:highlight w:val="none"/>
                <w:lang w:eastAsia="zh-CN"/>
              </w:rPr>
              <w:t>第三方检测机构出具的证明材料</w:t>
            </w:r>
            <w:r>
              <w:rPr>
                <w:rFonts w:hint="eastAsia" w:ascii="仿宋" w:hAnsi="仿宋" w:eastAsia="仿宋" w:cs="仿宋"/>
                <w:color w:val="auto"/>
                <w:sz w:val="20"/>
                <w:szCs w:val="20"/>
                <w:highlight w:val="none"/>
              </w:rPr>
              <w:t>）</w:t>
            </w:r>
          </w:p>
        </w:tc>
      </w:tr>
      <w:tr w14:paraId="1AB4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9C5590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6.4</w:t>
            </w:r>
          </w:p>
        </w:tc>
        <w:tc>
          <w:tcPr>
            <w:tcW w:w="1837" w:type="dxa"/>
          </w:tcPr>
          <w:p w14:paraId="22F5EAA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承载能力</w:t>
            </w:r>
          </w:p>
        </w:tc>
        <w:tc>
          <w:tcPr>
            <w:tcW w:w="6199" w:type="dxa"/>
          </w:tcPr>
          <w:p w14:paraId="4F3761EE">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吊塔最大宣称承重≥570Kg，同时安全承重应为宣称承重的4倍。</w:t>
            </w:r>
          </w:p>
        </w:tc>
      </w:tr>
      <w:tr w14:paraId="6753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23EF929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6.5</w:t>
            </w:r>
          </w:p>
        </w:tc>
        <w:tc>
          <w:tcPr>
            <w:tcW w:w="1837" w:type="dxa"/>
          </w:tcPr>
          <w:p w14:paraId="38D69C3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限位功能</w:t>
            </w:r>
          </w:p>
        </w:tc>
        <w:tc>
          <w:tcPr>
            <w:tcW w:w="6199" w:type="dxa"/>
          </w:tcPr>
          <w:p w14:paraId="1C32E3A3">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悬臂、终端箱转动范围≥340°，且具有限位系统；</w:t>
            </w:r>
          </w:p>
        </w:tc>
      </w:tr>
      <w:tr w14:paraId="3CA4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0EC3BDE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6.6</w:t>
            </w:r>
          </w:p>
        </w:tc>
        <w:tc>
          <w:tcPr>
            <w:tcW w:w="1837" w:type="dxa"/>
          </w:tcPr>
          <w:p w14:paraId="0658C00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气电安装</w:t>
            </w:r>
          </w:p>
        </w:tc>
        <w:tc>
          <w:tcPr>
            <w:tcW w:w="6199" w:type="dxa"/>
          </w:tcPr>
          <w:p w14:paraId="15CB8B1C">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所有吊塔上承载的设备的电源线路及气源管路和塔体之间没有相对移动，所有电源线路及气源管路必须在塔体内不能外露，保证吊塔在移动过程中，不会因位置的改变导致线路脱落的意外发生。</w:t>
            </w:r>
          </w:p>
        </w:tc>
      </w:tr>
      <w:tr w14:paraId="2049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0D8FF99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6.7</w:t>
            </w:r>
          </w:p>
        </w:tc>
        <w:tc>
          <w:tcPr>
            <w:tcW w:w="1837" w:type="dxa"/>
          </w:tcPr>
          <w:p w14:paraId="676801B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刹车性能</w:t>
            </w:r>
          </w:p>
        </w:tc>
        <w:tc>
          <w:tcPr>
            <w:tcW w:w="6199" w:type="dxa"/>
          </w:tcPr>
          <w:p w14:paraId="1C165865">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所有吊塔均须配有机械刹车系统，保证吊塔不产生漂移。</w:t>
            </w:r>
          </w:p>
        </w:tc>
      </w:tr>
      <w:tr w14:paraId="0288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4B4EAF9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6.8</w:t>
            </w:r>
          </w:p>
        </w:tc>
        <w:tc>
          <w:tcPr>
            <w:tcW w:w="1837" w:type="dxa"/>
          </w:tcPr>
          <w:p w14:paraId="24B3317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托盘设计</w:t>
            </w:r>
          </w:p>
        </w:tc>
        <w:tc>
          <w:tcPr>
            <w:tcW w:w="6199" w:type="dxa"/>
          </w:tcPr>
          <w:p w14:paraId="097C59A7">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托盘必须为铝合金材质，一体成型，纯平设计，表面无螺钉；</w:t>
            </w:r>
          </w:p>
        </w:tc>
      </w:tr>
      <w:tr w14:paraId="0B06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374700C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6.9</w:t>
            </w:r>
          </w:p>
        </w:tc>
        <w:tc>
          <w:tcPr>
            <w:tcW w:w="1837" w:type="dxa"/>
          </w:tcPr>
          <w:p w14:paraId="39F6660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抽屉设计</w:t>
            </w:r>
          </w:p>
        </w:tc>
        <w:tc>
          <w:tcPr>
            <w:tcW w:w="6199" w:type="dxa"/>
          </w:tcPr>
          <w:p w14:paraId="3CB51C2B">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抽屉，采用抽拉式，且自带吸合功能；抽屉内部可进行分隔管理；</w:t>
            </w:r>
          </w:p>
        </w:tc>
      </w:tr>
      <w:tr w14:paraId="1D12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13806BC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6.10</w:t>
            </w:r>
          </w:p>
        </w:tc>
        <w:tc>
          <w:tcPr>
            <w:tcW w:w="1837" w:type="dxa"/>
          </w:tcPr>
          <w:p w14:paraId="40B2ED2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键盘托模块</w:t>
            </w:r>
          </w:p>
        </w:tc>
        <w:tc>
          <w:tcPr>
            <w:tcW w:w="6199" w:type="dxa"/>
          </w:tcPr>
          <w:p w14:paraId="2B41F9A5">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可选配键盘托，采用抽拉式，可承载键盘；</w:t>
            </w:r>
          </w:p>
        </w:tc>
      </w:tr>
      <w:tr w14:paraId="4035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B0317D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6.11</w:t>
            </w:r>
          </w:p>
        </w:tc>
        <w:tc>
          <w:tcPr>
            <w:tcW w:w="1837" w:type="dxa"/>
          </w:tcPr>
          <w:p w14:paraId="40B6259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承载能力</w:t>
            </w:r>
          </w:p>
        </w:tc>
        <w:tc>
          <w:tcPr>
            <w:tcW w:w="6199" w:type="dxa"/>
          </w:tcPr>
          <w:p w14:paraId="26CDCCC8">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吊塔承载部件经承受2倍额定安全载荷后，应无永久性的损坏，且相对负载表面的偏移应≤10º。</w:t>
            </w:r>
          </w:p>
        </w:tc>
      </w:tr>
      <w:tr w14:paraId="3B1DF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6CCC952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█6.12</w:t>
            </w:r>
          </w:p>
        </w:tc>
        <w:tc>
          <w:tcPr>
            <w:tcW w:w="1837" w:type="dxa"/>
          </w:tcPr>
          <w:p w14:paraId="7F84072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基础架性能</w:t>
            </w:r>
          </w:p>
        </w:tc>
        <w:tc>
          <w:tcPr>
            <w:tcW w:w="6199" w:type="dxa"/>
          </w:tcPr>
          <w:p w14:paraId="0714917C">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基础架平缓施加荷载至10000N.m的试验扭矩，持续10min，法兰盘水平偏角≤0.5°</w:t>
            </w:r>
          </w:p>
        </w:tc>
      </w:tr>
      <w:tr w14:paraId="2219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08525C7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█6.13</w:t>
            </w:r>
          </w:p>
        </w:tc>
        <w:tc>
          <w:tcPr>
            <w:tcW w:w="1837" w:type="dxa"/>
          </w:tcPr>
          <w:p w14:paraId="5AB2FFE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轴承性能</w:t>
            </w:r>
          </w:p>
        </w:tc>
        <w:tc>
          <w:tcPr>
            <w:tcW w:w="6199" w:type="dxa"/>
          </w:tcPr>
          <w:p w14:paraId="20100841">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吊塔关节轴承可在额定载荷下，运行次数≥10万次。（提供</w:t>
            </w:r>
            <w:r>
              <w:rPr>
                <w:rFonts w:hint="eastAsia" w:ascii="仿宋" w:hAnsi="仿宋" w:eastAsia="仿宋" w:cs="仿宋"/>
                <w:color w:val="auto"/>
                <w:sz w:val="20"/>
                <w:szCs w:val="20"/>
                <w:highlight w:val="none"/>
                <w:lang w:eastAsia="zh-CN"/>
              </w:rPr>
              <w:t>第三方检测机构出具的证明材料</w:t>
            </w:r>
            <w:r>
              <w:rPr>
                <w:rFonts w:hint="eastAsia" w:ascii="仿宋" w:hAnsi="仿宋" w:eastAsia="仿宋" w:cs="仿宋"/>
                <w:color w:val="auto"/>
                <w:sz w:val="20"/>
                <w:szCs w:val="20"/>
                <w:highlight w:val="none"/>
              </w:rPr>
              <w:t>）</w:t>
            </w:r>
          </w:p>
        </w:tc>
      </w:tr>
      <w:tr w14:paraId="771C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41089E3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6.14</w:t>
            </w:r>
          </w:p>
        </w:tc>
        <w:tc>
          <w:tcPr>
            <w:tcW w:w="1837" w:type="dxa"/>
          </w:tcPr>
          <w:p w14:paraId="02A9EF4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医用软管</w:t>
            </w:r>
          </w:p>
        </w:tc>
        <w:tc>
          <w:tcPr>
            <w:tcW w:w="6199" w:type="dxa"/>
          </w:tcPr>
          <w:p w14:paraId="4C4E68F0">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医用软管符合EN ISO 5359标准，为PVC三层管设计，内层为食品级材料，中间层为聚酯线加强层，坚韧性强，符合医疗标准无异味，通过生物相容性测试。</w:t>
            </w:r>
          </w:p>
        </w:tc>
      </w:tr>
      <w:tr w14:paraId="196C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20E7F60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6.15</w:t>
            </w:r>
          </w:p>
        </w:tc>
        <w:tc>
          <w:tcPr>
            <w:tcW w:w="1837" w:type="dxa"/>
          </w:tcPr>
          <w:p w14:paraId="7DD6DDA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气压试验</w:t>
            </w:r>
          </w:p>
        </w:tc>
        <w:tc>
          <w:tcPr>
            <w:tcW w:w="6199" w:type="dxa"/>
          </w:tcPr>
          <w:p w14:paraId="37036CAC">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吊塔的医用气体管道系统刹车除外应能承受1.2MPa的气压试验，不得出现明显漏气或破裂现象；</w:t>
            </w:r>
          </w:p>
        </w:tc>
      </w:tr>
      <w:tr w14:paraId="5C11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0178206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6.16</w:t>
            </w:r>
          </w:p>
        </w:tc>
        <w:tc>
          <w:tcPr>
            <w:tcW w:w="1837" w:type="dxa"/>
          </w:tcPr>
          <w:p w14:paraId="787ED5A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插拔次数</w:t>
            </w:r>
          </w:p>
        </w:tc>
        <w:tc>
          <w:tcPr>
            <w:tcW w:w="6199" w:type="dxa"/>
          </w:tcPr>
          <w:p w14:paraId="34D7F650">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吊塔所有气体插座和接头为德标制式。各种气体插座均为不同颜色和不同形状，防止误操作，具有Standby 原位待接通状态功能，可带气维修，气体终端可提供5万次插拔测试证明。</w:t>
            </w:r>
          </w:p>
        </w:tc>
      </w:tr>
      <w:tr w14:paraId="4DC1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17A0BC3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6.17</w:t>
            </w:r>
          </w:p>
        </w:tc>
        <w:tc>
          <w:tcPr>
            <w:tcW w:w="1837" w:type="dxa"/>
          </w:tcPr>
          <w:p w14:paraId="0C60BF9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气体终端</w:t>
            </w:r>
          </w:p>
        </w:tc>
        <w:tc>
          <w:tcPr>
            <w:tcW w:w="6199" w:type="dxa"/>
          </w:tcPr>
          <w:p w14:paraId="76A25C71">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气体终端符合EN ISO 9170-1、EN ISO 9170-2标准；</w:t>
            </w:r>
          </w:p>
        </w:tc>
      </w:tr>
      <w:tr w14:paraId="5829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0AB7825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6.18</w:t>
            </w:r>
          </w:p>
        </w:tc>
        <w:tc>
          <w:tcPr>
            <w:tcW w:w="1837" w:type="dxa"/>
          </w:tcPr>
          <w:p w14:paraId="3D0F122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负压系统</w:t>
            </w:r>
          </w:p>
        </w:tc>
        <w:tc>
          <w:tcPr>
            <w:tcW w:w="6199" w:type="dxa"/>
          </w:tcPr>
          <w:p w14:paraId="06391D65">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吊塔的负压吸引系统应能承受500kPa的气压试验，不得出现明显漏气或破裂现象。</w:t>
            </w:r>
          </w:p>
        </w:tc>
      </w:tr>
      <w:tr w14:paraId="686B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47235B8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6.19</w:t>
            </w:r>
          </w:p>
        </w:tc>
        <w:tc>
          <w:tcPr>
            <w:tcW w:w="1837" w:type="dxa"/>
          </w:tcPr>
          <w:p w14:paraId="327C599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气密性能</w:t>
            </w:r>
          </w:p>
        </w:tc>
        <w:tc>
          <w:tcPr>
            <w:tcW w:w="6199" w:type="dxa"/>
          </w:tcPr>
          <w:p w14:paraId="6784B044">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吊塔内部的医用气体管道系统的气密性应能在承受500±100kPa的气压，5min后，压降≤ 1%。</w:t>
            </w:r>
          </w:p>
        </w:tc>
      </w:tr>
      <w:tr w14:paraId="796D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0EE550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6.20</w:t>
            </w:r>
          </w:p>
        </w:tc>
        <w:tc>
          <w:tcPr>
            <w:tcW w:w="1837" w:type="dxa"/>
          </w:tcPr>
          <w:p w14:paraId="0241904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管路直径</w:t>
            </w:r>
          </w:p>
        </w:tc>
        <w:tc>
          <w:tcPr>
            <w:tcW w:w="6199" w:type="dxa"/>
          </w:tcPr>
          <w:p w14:paraId="2848518D">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医用气体正压柔性管内部直径应≥5mm；负压的管吸引管道内部直径应≥6mm。</w:t>
            </w:r>
          </w:p>
        </w:tc>
      </w:tr>
      <w:tr w14:paraId="24E7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200" w:type="dxa"/>
            <w:noWrap/>
          </w:tcPr>
          <w:p w14:paraId="752FB72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6.21</w:t>
            </w:r>
          </w:p>
        </w:tc>
        <w:tc>
          <w:tcPr>
            <w:tcW w:w="1837" w:type="dxa"/>
          </w:tcPr>
          <w:p w14:paraId="4291784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氧浓度控制</w:t>
            </w:r>
          </w:p>
        </w:tc>
        <w:tc>
          <w:tcPr>
            <w:tcW w:w="6199" w:type="dxa"/>
          </w:tcPr>
          <w:p w14:paraId="61C02F68">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依据ISO 11197 201.11.2.2.101要求，底板具有开孔，在模拟氧气泄露流量为1L/min时，腔体内部的氧气浓度不超过25%。</w:t>
            </w:r>
          </w:p>
        </w:tc>
      </w:tr>
      <w:tr w14:paraId="0B98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621A6D7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6.22</w:t>
            </w:r>
          </w:p>
        </w:tc>
        <w:tc>
          <w:tcPr>
            <w:tcW w:w="1837" w:type="dxa"/>
          </w:tcPr>
          <w:p w14:paraId="2AE5FD8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电源模块</w:t>
            </w:r>
          </w:p>
        </w:tc>
        <w:tc>
          <w:tcPr>
            <w:tcW w:w="6199" w:type="dxa"/>
          </w:tcPr>
          <w:p w14:paraId="543B8CE4">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电源模块符合GB9706.1；</w:t>
            </w:r>
          </w:p>
        </w:tc>
      </w:tr>
      <w:tr w14:paraId="5E91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0234FA3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6.23</w:t>
            </w:r>
          </w:p>
        </w:tc>
        <w:tc>
          <w:tcPr>
            <w:tcW w:w="1837" w:type="dxa"/>
          </w:tcPr>
          <w:p w14:paraId="456F4F3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气电分离</w:t>
            </w:r>
          </w:p>
        </w:tc>
        <w:tc>
          <w:tcPr>
            <w:tcW w:w="6199" w:type="dxa"/>
          </w:tcPr>
          <w:p w14:paraId="5A3FD9C3">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吊塔中用于氧化性医用气体、麻醉气体净化系统的终端中心，距离在正常工作状态或单一故障状态下可能产生火花的最近电器元件的边框应≥0.2m。</w:t>
            </w:r>
          </w:p>
        </w:tc>
      </w:tr>
      <w:tr w14:paraId="4A7F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1F9702B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6.24</w:t>
            </w:r>
          </w:p>
        </w:tc>
        <w:tc>
          <w:tcPr>
            <w:tcW w:w="1837" w:type="dxa"/>
          </w:tcPr>
          <w:p w14:paraId="7F4F1B5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防护等级</w:t>
            </w:r>
          </w:p>
        </w:tc>
        <w:tc>
          <w:tcPr>
            <w:tcW w:w="6199" w:type="dxa"/>
          </w:tcPr>
          <w:p w14:paraId="18D8A6AF">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吊塔的外壳防护等级应符合GB/T 4208-2017中IP20的规定。吊塔的外壳防火等级至少为UL94-V1级。</w:t>
            </w:r>
          </w:p>
        </w:tc>
      </w:tr>
      <w:tr w14:paraId="630B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0F9BA14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6.25</w:t>
            </w:r>
          </w:p>
        </w:tc>
        <w:tc>
          <w:tcPr>
            <w:tcW w:w="1837" w:type="dxa"/>
          </w:tcPr>
          <w:p w14:paraId="60876BC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噪音安全</w:t>
            </w:r>
          </w:p>
        </w:tc>
        <w:tc>
          <w:tcPr>
            <w:tcW w:w="6199" w:type="dxa"/>
          </w:tcPr>
          <w:p w14:paraId="463E673E">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吊塔在正常工作过程中噪声应≤ 35dBA。</w:t>
            </w:r>
          </w:p>
        </w:tc>
      </w:tr>
      <w:tr w14:paraId="0F34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4C45C2F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6.26</w:t>
            </w:r>
          </w:p>
        </w:tc>
        <w:tc>
          <w:tcPr>
            <w:tcW w:w="1837" w:type="dxa"/>
          </w:tcPr>
          <w:p w14:paraId="2B54722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拓展配置</w:t>
            </w:r>
          </w:p>
        </w:tc>
        <w:tc>
          <w:tcPr>
            <w:tcW w:w="6199" w:type="dxa"/>
          </w:tcPr>
          <w:p w14:paraId="61AB99B4">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根据需要配置显示器悬臂，可悬挂≥31寸显示器</w:t>
            </w:r>
          </w:p>
        </w:tc>
      </w:tr>
      <w:tr w14:paraId="6AF9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6DD0B494">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7</w:t>
            </w:r>
          </w:p>
        </w:tc>
        <w:tc>
          <w:tcPr>
            <w:tcW w:w="1837" w:type="dxa"/>
            <w:noWrap/>
          </w:tcPr>
          <w:p w14:paraId="7AAC8706">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大屏悬吊系统</w:t>
            </w:r>
          </w:p>
        </w:tc>
        <w:tc>
          <w:tcPr>
            <w:tcW w:w="6199" w:type="dxa"/>
            <w:noWrap/>
          </w:tcPr>
          <w:p w14:paraId="47C4FBB9">
            <w:pPr>
              <w:spacing w:line="360" w:lineRule="exact"/>
              <w:jc w:val="left"/>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10套</w:t>
            </w:r>
          </w:p>
        </w:tc>
      </w:tr>
      <w:tr w14:paraId="7050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09C1619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7.1</w:t>
            </w:r>
          </w:p>
        </w:tc>
        <w:tc>
          <w:tcPr>
            <w:tcW w:w="1837" w:type="dxa"/>
          </w:tcPr>
          <w:p w14:paraId="5ACA286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抗菌材质</w:t>
            </w:r>
          </w:p>
        </w:tc>
        <w:tc>
          <w:tcPr>
            <w:tcW w:w="6199" w:type="dxa"/>
          </w:tcPr>
          <w:p w14:paraId="187C36D5">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主体材料要求为6005高强度铝合金，全封闭式设计，吊塔所采用的材料必须防腐蚀，便于清洗，设备表面喷塑采用优质环保抗菌粉末，其具有表面抑制细菌再生作用。</w:t>
            </w:r>
          </w:p>
        </w:tc>
      </w:tr>
      <w:tr w14:paraId="5029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53AE130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7.2</w:t>
            </w:r>
          </w:p>
        </w:tc>
        <w:tc>
          <w:tcPr>
            <w:tcW w:w="1837" w:type="dxa"/>
          </w:tcPr>
          <w:p w14:paraId="581D2FF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耐腐蚀能力</w:t>
            </w:r>
          </w:p>
        </w:tc>
        <w:tc>
          <w:tcPr>
            <w:tcW w:w="6199" w:type="dxa"/>
          </w:tcPr>
          <w:p w14:paraId="72C6D014">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外壳涂膜附着力参照ISO2409-2013测试方法，附着力达到最高等级0，吊塔外壳在中性盐雾试验中，测试方法参照ISO9227:2017标准，外观评价参照ISO10289-1999，评价等级最高为10。</w:t>
            </w:r>
          </w:p>
        </w:tc>
      </w:tr>
      <w:tr w14:paraId="3364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6344196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★7.3</w:t>
            </w:r>
          </w:p>
        </w:tc>
        <w:tc>
          <w:tcPr>
            <w:tcW w:w="1837" w:type="dxa"/>
          </w:tcPr>
          <w:p w14:paraId="46906B2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承载能力</w:t>
            </w:r>
          </w:p>
        </w:tc>
        <w:tc>
          <w:tcPr>
            <w:tcW w:w="6199" w:type="dxa"/>
          </w:tcPr>
          <w:p w14:paraId="2D6C6B80">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最大宣称承重为220kg。</w:t>
            </w:r>
          </w:p>
        </w:tc>
      </w:tr>
      <w:tr w14:paraId="269C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3DE40A9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7.4</w:t>
            </w:r>
          </w:p>
        </w:tc>
        <w:tc>
          <w:tcPr>
            <w:tcW w:w="1837" w:type="dxa"/>
          </w:tcPr>
          <w:p w14:paraId="70782FE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限位功能</w:t>
            </w:r>
          </w:p>
        </w:tc>
        <w:tc>
          <w:tcPr>
            <w:tcW w:w="6199" w:type="dxa"/>
          </w:tcPr>
          <w:p w14:paraId="4DD2AF52">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悬臂、大屏挂架转动范围≥ 340°，且具有限位系统；</w:t>
            </w:r>
          </w:p>
        </w:tc>
      </w:tr>
      <w:tr w14:paraId="2299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678F73B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7.5</w:t>
            </w:r>
          </w:p>
        </w:tc>
        <w:tc>
          <w:tcPr>
            <w:tcW w:w="1837" w:type="dxa"/>
          </w:tcPr>
          <w:p w14:paraId="0556CE3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线缆管理</w:t>
            </w:r>
          </w:p>
        </w:tc>
        <w:tc>
          <w:tcPr>
            <w:tcW w:w="6199" w:type="dxa"/>
          </w:tcPr>
          <w:p w14:paraId="6E32815A">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大屏挂架内部线缆无外露；</w:t>
            </w:r>
          </w:p>
        </w:tc>
      </w:tr>
      <w:tr w14:paraId="60D2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6CDEC38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7.6</w:t>
            </w:r>
          </w:p>
        </w:tc>
        <w:tc>
          <w:tcPr>
            <w:tcW w:w="1837" w:type="dxa"/>
          </w:tcPr>
          <w:p w14:paraId="3900AFD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防撞功能</w:t>
            </w:r>
          </w:p>
        </w:tc>
        <w:tc>
          <w:tcPr>
            <w:tcW w:w="6199" w:type="dxa"/>
          </w:tcPr>
          <w:p w14:paraId="6A65DCBC">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挂架底部和两侧提供防撞边轨；</w:t>
            </w:r>
          </w:p>
        </w:tc>
      </w:tr>
      <w:tr w14:paraId="22A6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3CF7D0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7.7</w:t>
            </w:r>
          </w:p>
        </w:tc>
        <w:tc>
          <w:tcPr>
            <w:tcW w:w="1837" w:type="dxa"/>
          </w:tcPr>
          <w:p w14:paraId="79FC668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承载能力</w:t>
            </w:r>
          </w:p>
        </w:tc>
        <w:tc>
          <w:tcPr>
            <w:tcW w:w="6199" w:type="dxa"/>
          </w:tcPr>
          <w:p w14:paraId="62F66C4F">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承载部件经承受2倍额定安全载荷后，应无永久性的损坏，且相对负载表面的偏移应≤10º。</w:t>
            </w:r>
          </w:p>
        </w:tc>
      </w:tr>
      <w:tr w14:paraId="028D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5705070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7.8</w:t>
            </w:r>
          </w:p>
        </w:tc>
        <w:tc>
          <w:tcPr>
            <w:tcW w:w="1837" w:type="dxa"/>
          </w:tcPr>
          <w:p w14:paraId="76EBEA9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基础架性能</w:t>
            </w:r>
          </w:p>
        </w:tc>
        <w:tc>
          <w:tcPr>
            <w:tcW w:w="6199" w:type="dxa"/>
          </w:tcPr>
          <w:p w14:paraId="53947D06">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基础架平缓施加荷载至8000N.m的试验扭矩，法兰盘水平偏角≤0.4°</w:t>
            </w:r>
          </w:p>
        </w:tc>
      </w:tr>
      <w:tr w14:paraId="0173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D73EA9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7.9</w:t>
            </w:r>
          </w:p>
        </w:tc>
        <w:tc>
          <w:tcPr>
            <w:tcW w:w="1837" w:type="dxa"/>
          </w:tcPr>
          <w:p w14:paraId="62FB80B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防护等级</w:t>
            </w:r>
          </w:p>
        </w:tc>
        <w:tc>
          <w:tcPr>
            <w:tcW w:w="6199" w:type="dxa"/>
          </w:tcPr>
          <w:p w14:paraId="6586DA5A">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外壳防护等级应符合GB/T 4208-2017中IP20的规定。</w:t>
            </w:r>
          </w:p>
        </w:tc>
      </w:tr>
      <w:tr w14:paraId="16E7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4DC1A27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7.10</w:t>
            </w:r>
          </w:p>
        </w:tc>
        <w:tc>
          <w:tcPr>
            <w:tcW w:w="1837" w:type="dxa"/>
          </w:tcPr>
          <w:p w14:paraId="1882563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防护等级</w:t>
            </w:r>
          </w:p>
        </w:tc>
        <w:tc>
          <w:tcPr>
            <w:tcW w:w="6199" w:type="dxa"/>
          </w:tcPr>
          <w:p w14:paraId="5B318C7C">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外壳防火等级至少为UL94-V1级。</w:t>
            </w:r>
          </w:p>
        </w:tc>
      </w:tr>
      <w:tr w14:paraId="7F5F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4652888B">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8</w:t>
            </w:r>
          </w:p>
        </w:tc>
        <w:tc>
          <w:tcPr>
            <w:tcW w:w="1837" w:type="dxa"/>
            <w:noWrap/>
          </w:tcPr>
          <w:p w14:paraId="674D27DE">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医用吊桥</w:t>
            </w:r>
          </w:p>
        </w:tc>
        <w:tc>
          <w:tcPr>
            <w:tcW w:w="6199" w:type="dxa"/>
            <w:noWrap/>
          </w:tcPr>
          <w:p w14:paraId="15FF54A8">
            <w:pPr>
              <w:spacing w:line="360" w:lineRule="exact"/>
              <w:jc w:val="left"/>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105套</w:t>
            </w:r>
          </w:p>
        </w:tc>
      </w:tr>
      <w:tr w14:paraId="64B2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08C52AB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8.1</w:t>
            </w:r>
          </w:p>
        </w:tc>
        <w:tc>
          <w:tcPr>
            <w:tcW w:w="1837" w:type="dxa"/>
          </w:tcPr>
          <w:p w14:paraId="0F05016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抗菌材质</w:t>
            </w:r>
          </w:p>
        </w:tc>
        <w:tc>
          <w:tcPr>
            <w:tcW w:w="6199" w:type="dxa"/>
          </w:tcPr>
          <w:p w14:paraId="4E13B278">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吊塔主体材料要求为6005高强度铝合金，全封闭式设计，吊塔所采用的材料必须防腐蚀，便于清洗，吊塔表面喷塑采用环保抗菌粉末，具有表面抑制细菌再生作用，符合JIS Z 2801:2010标准大肠杆菌及金黄色葡萄球菌抗菌率≥99.9%要求。</w:t>
            </w:r>
          </w:p>
        </w:tc>
      </w:tr>
      <w:tr w14:paraId="6F9D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31143CE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8.2</w:t>
            </w:r>
          </w:p>
        </w:tc>
        <w:tc>
          <w:tcPr>
            <w:tcW w:w="1837" w:type="dxa"/>
          </w:tcPr>
          <w:p w14:paraId="70701BF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外壳附着力</w:t>
            </w:r>
          </w:p>
        </w:tc>
        <w:tc>
          <w:tcPr>
            <w:tcW w:w="6199" w:type="dxa"/>
          </w:tcPr>
          <w:p w14:paraId="17ECB9BB">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吊塔外壳涂膜附着力参照ISO2409-2013测试方法，附着力达到最高等级0；</w:t>
            </w:r>
          </w:p>
        </w:tc>
      </w:tr>
      <w:tr w14:paraId="3F85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1959FD9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8.3</w:t>
            </w:r>
          </w:p>
        </w:tc>
        <w:tc>
          <w:tcPr>
            <w:tcW w:w="1837" w:type="dxa"/>
          </w:tcPr>
          <w:p w14:paraId="2C631D3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抗盐雾等级</w:t>
            </w:r>
          </w:p>
        </w:tc>
        <w:tc>
          <w:tcPr>
            <w:tcW w:w="6199" w:type="dxa"/>
          </w:tcPr>
          <w:p w14:paraId="7164B51F">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吊塔外壳在中性盐雾试验中，测试方法参照ISO9227:2017标准，外观评价参照ISO10289-1999，评价等级最高为10。</w:t>
            </w:r>
          </w:p>
        </w:tc>
      </w:tr>
      <w:tr w14:paraId="05E8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BC9F43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★8.4</w:t>
            </w:r>
          </w:p>
        </w:tc>
        <w:tc>
          <w:tcPr>
            <w:tcW w:w="1837" w:type="dxa"/>
          </w:tcPr>
          <w:p w14:paraId="0DAA368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承载能力</w:t>
            </w:r>
          </w:p>
        </w:tc>
        <w:tc>
          <w:tcPr>
            <w:tcW w:w="6199" w:type="dxa"/>
          </w:tcPr>
          <w:p w14:paraId="55FA7F08">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吊塔宣称承重≥300Kg，同时安全承重应为宣称承重的4倍。（提供医疗器械检验所检验报告）</w:t>
            </w:r>
          </w:p>
        </w:tc>
      </w:tr>
      <w:tr w14:paraId="5500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noWrap/>
          </w:tcPr>
          <w:p w14:paraId="38039DF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8.5</w:t>
            </w:r>
          </w:p>
        </w:tc>
        <w:tc>
          <w:tcPr>
            <w:tcW w:w="1837" w:type="dxa"/>
          </w:tcPr>
          <w:p w14:paraId="7DD07DB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滑车移动</w:t>
            </w:r>
          </w:p>
        </w:tc>
        <w:tc>
          <w:tcPr>
            <w:tcW w:w="6199" w:type="dxa"/>
          </w:tcPr>
          <w:p w14:paraId="42731BDC">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滑车最大移动范围不小于 410mm，终端箱转动范围不小于 340°；</w:t>
            </w:r>
          </w:p>
        </w:tc>
      </w:tr>
      <w:tr w14:paraId="476F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15FB954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8.6</w:t>
            </w:r>
          </w:p>
        </w:tc>
        <w:tc>
          <w:tcPr>
            <w:tcW w:w="1837" w:type="dxa"/>
          </w:tcPr>
          <w:p w14:paraId="6F9B930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气电安装</w:t>
            </w:r>
          </w:p>
        </w:tc>
        <w:tc>
          <w:tcPr>
            <w:tcW w:w="6199" w:type="dxa"/>
          </w:tcPr>
          <w:p w14:paraId="3E6518AA">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所有吊塔上承载的设备的电源线路及气源管路和塔体之间没有相对移动，所有电源线路及气源管路必须在塔体内不能外露，保证吊塔在移动过程中，不会因位置的改变导致线路脱落的意外发生。</w:t>
            </w:r>
          </w:p>
        </w:tc>
      </w:tr>
      <w:tr w14:paraId="0762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2E0CDA3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8.7</w:t>
            </w:r>
          </w:p>
        </w:tc>
        <w:tc>
          <w:tcPr>
            <w:tcW w:w="1837" w:type="dxa"/>
          </w:tcPr>
          <w:p w14:paraId="3E1B449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刹车性能</w:t>
            </w:r>
          </w:p>
        </w:tc>
        <w:tc>
          <w:tcPr>
            <w:tcW w:w="6199" w:type="dxa"/>
          </w:tcPr>
          <w:p w14:paraId="372451CB">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所有吊塔均须配有气体刹车系统，保证吊塔使用时不产生漂移。</w:t>
            </w:r>
          </w:p>
        </w:tc>
      </w:tr>
      <w:tr w14:paraId="661D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6D5099D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8.8</w:t>
            </w:r>
          </w:p>
        </w:tc>
        <w:tc>
          <w:tcPr>
            <w:tcW w:w="1837" w:type="dxa"/>
          </w:tcPr>
          <w:p w14:paraId="482B58D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托盘设计</w:t>
            </w:r>
          </w:p>
        </w:tc>
        <w:tc>
          <w:tcPr>
            <w:tcW w:w="6199" w:type="dxa"/>
          </w:tcPr>
          <w:p w14:paraId="41FB70A4">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托盘采用一体成型纯平设计，铝合金材质，表面无螺钉；</w:t>
            </w:r>
          </w:p>
        </w:tc>
      </w:tr>
      <w:tr w14:paraId="1E30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06DBB99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8.9</w:t>
            </w:r>
          </w:p>
        </w:tc>
        <w:tc>
          <w:tcPr>
            <w:tcW w:w="1837" w:type="dxa"/>
          </w:tcPr>
          <w:p w14:paraId="366B7E7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承载性能</w:t>
            </w:r>
          </w:p>
        </w:tc>
        <w:tc>
          <w:tcPr>
            <w:tcW w:w="6199" w:type="dxa"/>
          </w:tcPr>
          <w:p w14:paraId="54DF864D">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吊塔承载部件经承受2倍额定安全载荷后，应无永久性的损坏，且相对负载表面的偏移应≤10º。</w:t>
            </w:r>
          </w:p>
        </w:tc>
      </w:tr>
      <w:tr w14:paraId="3A50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3866E4D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8.10</w:t>
            </w:r>
          </w:p>
        </w:tc>
        <w:tc>
          <w:tcPr>
            <w:tcW w:w="1837" w:type="dxa"/>
          </w:tcPr>
          <w:p w14:paraId="5E66A39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基础架性能</w:t>
            </w:r>
          </w:p>
        </w:tc>
        <w:tc>
          <w:tcPr>
            <w:tcW w:w="6199" w:type="dxa"/>
          </w:tcPr>
          <w:p w14:paraId="229E9F44">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基础架平缓施加荷载至10000N.m的试验扭矩，持续10min，法兰盘水平偏角≤0.4°；</w:t>
            </w:r>
          </w:p>
        </w:tc>
      </w:tr>
      <w:tr w14:paraId="5B7C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43C2BA8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8.11</w:t>
            </w:r>
          </w:p>
        </w:tc>
        <w:tc>
          <w:tcPr>
            <w:tcW w:w="1837" w:type="dxa"/>
          </w:tcPr>
          <w:p w14:paraId="207AB23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轴承性能</w:t>
            </w:r>
          </w:p>
        </w:tc>
        <w:tc>
          <w:tcPr>
            <w:tcW w:w="6199" w:type="dxa"/>
          </w:tcPr>
          <w:p w14:paraId="1E130A3F">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吊塔关节轴承可在额定载荷下，运行次数≥11万次。</w:t>
            </w:r>
          </w:p>
        </w:tc>
      </w:tr>
      <w:tr w14:paraId="640C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613C5CA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8.12</w:t>
            </w:r>
          </w:p>
        </w:tc>
        <w:tc>
          <w:tcPr>
            <w:tcW w:w="1837" w:type="dxa"/>
          </w:tcPr>
          <w:p w14:paraId="63BA83E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医用软管</w:t>
            </w:r>
          </w:p>
        </w:tc>
        <w:tc>
          <w:tcPr>
            <w:tcW w:w="6199" w:type="dxa"/>
          </w:tcPr>
          <w:p w14:paraId="0563E31C">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医用软管符合EN ISO 5359标准，为PVC三层管设计，内层为食品级材料，中间层为聚酯线加强层，坚韧性强，符合医疗标准无异味，通过生物相容性测试。</w:t>
            </w:r>
          </w:p>
        </w:tc>
      </w:tr>
      <w:tr w14:paraId="5ED3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46BE9B5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8.13</w:t>
            </w:r>
          </w:p>
        </w:tc>
        <w:tc>
          <w:tcPr>
            <w:tcW w:w="1837" w:type="dxa"/>
          </w:tcPr>
          <w:p w14:paraId="1959F40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气压测试</w:t>
            </w:r>
          </w:p>
        </w:tc>
        <w:tc>
          <w:tcPr>
            <w:tcW w:w="6199" w:type="dxa"/>
          </w:tcPr>
          <w:p w14:paraId="2AF39CD1">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吊塔的医用气体管道系统（刹车除外）应能承受1MPa的气压试验，不得出现明显漏气或破裂现象；</w:t>
            </w:r>
          </w:p>
        </w:tc>
      </w:tr>
      <w:tr w14:paraId="7D59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CFE4EE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★8.14</w:t>
            </w:r>
          </w:p>
        </w:tc>
        <w:tc>
          <w:tcPr>
            <w:tcW w:w="1837" w:type="dxa"/>
          </w:tcPr>
          <w:p w14:paraId="4326916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气源规格</w:t>
            </w:r>
          </w:p>
        </w:tc>
        <w:tc>
          <w:tcPr>
            <w:tcW w:w="6199" w:type="dxa"/>
          </w:tcPr>
          <w:p w14:paraId="39A4ABA1">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吊塔所有气体插座和接头为德标制式。各种气体插座均为不同颜色和不同形状，防止误操作，具有Standby (原位待接通状态)功能，可带气维修。</w:t>
            </w:r>
          </w:p>
        </w:tc>
      </w:tr>
      <w:tr w14:paraId="4332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5D72A59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8.15</w:t>
            </w:r>
          </w:p>
        </w:tc>
        <w:tc>
          <w:tcPr>
            <w:tcW w:w="1837" w:type="dxa"/>
          </w:tcPr>
          <w:p w14:paraId="1247910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插拔次数</w:t>
            </w:r>
          </w:p>
        </w:tc>
        <w:tc>
          <w:tcPr>
            <w:tcW w:w="6199" w:type="dxa"/>
          </w:tcPr>
          <w:p w14:paraId="5E92DCEE">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气体终端可提供≥5万次插拔测试证明；</w:t>
            </w:r>
          </w:p>
        </w:tc>
      </w:tr>
      <w:tr w14:paraId="3624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03DF6B0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8.16</w:t>
            </w:r>
          </w:p>
        </w:tc>
        <w:tc>
          <w:tcPr>
            <w:tcW w:w="1837" w:type="dxa"/>
          </w:tcPr>
          <w:p w14:paraId="2D1ACEC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气体终端</w:t>
            </w:r>
          </w:p>
        </w:tc>
        <w:tc>
          <w:tcPr>
            <w:tcW w:w="6199" w:type="dxa"/>
          </w:tcPr>
          <w:p w14:paraId="787B8833">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气体终端符合EN ISO 9170-1标准；</w:t>
            </w:r>
          </w:p>
        </w:tc>
      </w:tr>
      <w:tr w14:paraId="1C07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438654C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8.17</w:t>
            </w:r>
          </w:p>
        </w:tc>
        <w:tc>
          <w:tcPr>
            <w:tcW w:w="1837" w:type="dxa"/>
          </w:tcPr>
          <w:p w14:paraId="136F969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负压系统</w:t>
            </w:r>
          </w:p>
        </w:tc>
        <w:tc>
          <w:tcPr>
            <w:tcW w:w="6199" w:type="dxa"/>
          </w:tcPr>
          <w:p w14:paraId="3AEFC93C">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吊塔的负压吸引系统应能承受500kPa的气压试验，不得出现明显漏气或破裂现象。</w:t>
            </w:r>
          </w:p>
        </w:tc>
      </w:tr>
      <w:tr w14:paraId="3E48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57A017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8.18</w:t>
            </w:r>
          </w:p>
        </w:tc>
        <w:tc>
          <w:tcPr>
            <w:tcW w:w="1837" w:type="dxa"/>
          </w:tcPr>
          <w:p w14:paraId="649651D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气密性能</w:t>
            </w:r>
          </w:p>
        </w:tc>
        <w:tc>
          <w:tcPr>
            <w:tcW w:w="6199" w:type="dxa"/>
          </w:tcPr>
          <w:p w14:paraId="75CFC1BC">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吊塔内部的医用气体管道系统的气密性应能在承受500（±100）kPa的气压，5min后，压降≤ 1%。</w:t>
            </w:r>
          </w:p>
        </w:tc>
      </w:tr>
      <w:tr w14:paraId="2CB9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22AD40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8.19</w:t>
            </w:r>
          </w:p>
        </w:tc>
        <w:tc>
          <w:tcPr>
            <w:tcW w:w="1837" w:type="dxa"/>
          </w:tcPr>
          <w:p w14:paraId="70142F9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管路直径</w:t>
            </w:r>
          </w:p>
        </w:tc>
        <w:tc>
          <w:tcPr>
            <w:tcW w:w="6199" w:type="dxa"/>
          </w:tcPr>
          <w:p w14:paraId="517265D5">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医用气体正压柔性管内部直径应≥ 5mm；负压的管吸引管道内部直径应≥ 6mm。</w:t>
            </w:r>
          </w:p>
        </w:tc>
      </w:tr>
      <w:tr w14:paraId="7791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62DF09A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8.20</w:t>
            </w:r>
          </w:p>
        </w:tc>
        <w:tc>
          <w:tcPr>
            <w:tcW w:w="1837" w:type="dxa"/>
          </w:tcPr>
          <w:p w14:paraId="2182CE1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氧浓度控制</w:t>
            </w:r>
          </w:p>
        </w:tc>
        <w:tc>
          <w:tcPr>
            <w:tcW w:w="6199" w:type="dxa"/>
          </w:tcPr>
          <w:p w14:paraId="32295AEB">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底板具有开孔，在模拟氧气泄露流量为1L/min时，腔体内部的氧气浓度不超过25%。</w:t>
            </w:r>
          </w:p>
        </w:tc>
      </w:tr>
      <w:tr w14:paraId="657A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29E46F5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8.21</w:t>
            </w:r>
          </w:p>
        </w:tc>
        <w:tc>
          <w:tcPr>
            <w:tcW w:w="1837" w:type="dxa"/>
          </w:tcPr>
          <w:p w14:paraId="3B91203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电源模块</w:t>
            </w:r>
          </w:p>
        </w:tc>
        <w:tc>
          <w:tcPr>
            <w:tcW w:w="6199" w:type="dxa"/>
          </w:tcPr>
          <w:p w14:paraId="498DF197">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电源模块符合GB9706.1 标准。</w:t>
            </w:r>
          </w:p>
        </w:tc>
      </w:tr>
      <w:tr w14:paraId="5744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148ED47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8.22</w:t>
            </w:r>
          </w:p>
        </w:tc>
        <w:tc>
          <w:tcPr>
            <w:tcW w:w="1837" w:type="dxa"/>
          </w:tcPr>
          <w:p w14:paraId="46796F0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气电分离</w:t>
            </w:r>
          </w:p>
        </w:tc>
        <w:tc>
          <w:tcPr>
            <w:tcW w:w="6199" w:type="dxa"/>
          </w:tcPr>
          <w:p w14:paraId="3BA580A4">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吊塔中用于氧化性医用气体、麻醉气体净化系统的终端中心，距离在正常工作状态或单一故障状态下可能产生火花的最近电器元件的边框应≥ 0.2m。</w:t>
            </w:r>
          </w:p>
        </w:tc>
      </w:tr>
      <w:tr w14:paraId="41F4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079D52D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8.23</w:t>
            </w:r>
          </w:p>
        </w:tc>
        <w:tc>
          <w:tcPr>
            <w:tcW w:w="1837" w:type="dxa"/>
          </w:tcPr>
          <w:p w14:paraId="397FDB5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防护等级</w:t>
            </w:r>
          </w:p>
        </w:tc>
        <w:tc>
          <w:tcPr>
            <w:tcW w:w="6199" w:type="dxa"/>
          </w:tcPr>
          <w:p w14:paraId="790EA59E">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吊塔的外壳防护等级应符合GB/T 4208-2017中IP20的规定。</w:t>
            </w:r>
          </w:p>
        </w:tc>
      </w:tr>
      <w:tr w14:paraId="7364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5F9515C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8.24</w:t>
            </w:r>
          </w:p>
        </w:tc>
        <w:tc>
          <w:tcPr>
            <w:tcW w:w="1837" w:type="dxa"/>
          </w:tcPr>
          <w:p w14:paraId="7571622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防护等级</w:t>
            </w:r>
          </w:p>
        </w:tc>
        <w:tc>
          <w:tcPr>
            <w:tcW w:w="6199" w:type="dxa"/>
          </w:tcPr>
          <w:p w14:paraId="19D09EAF">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吊塔的外壳防火等级至少为UL94-V1级。</w:t>
            </w:r>
          </w:p>
        </w:tc>
      </w:tr>
      <w:tr w14:paraId="5A30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6F73361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★8.25</w:t>
            </w:r>
          </w:p>
        </w:tc>
        <w:tc>
          <w:tcPr>
            <w:tcW w:w="1837" w:type="dxa"/>
          </w:tcPr>
          <w:p w14:paraId="31EFC62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噪声安全</w:t>
            </w:r>
          </w:p>
        </w:tc>
        <w:tc>
          <w:tcPr>
            <w:tcW w:w="6199" w:type="dxa"/>
          </w:tcPr>
          <w:p w14:paraId="5692D636">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吊塔在正常工作过程中噪声应≤ 35dB（A）。（提供相关证明文件）</w:t>
            </w:r>
          </w:p>
        </w:tc>
      </w:tr>
      <w:tr w14:paraId="0CCC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17831BC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8.26</w:t>
            </w:r>
          </w:p>
        </w:tc>
        <w:tc>
          <w:tcPr>
            <w:tcW w:w="1837" w:type="dxa"/>
          </w:tcPr>
          <w:p w14:paraId="1BCDF31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气电排布</w:t>
            </w:r>
          </w:p>
        </w:tc>
        <w:tc>
          <w:tcPr>
            <w:tcW w:w="6199" w:type="dxa"/>
          </w:tcPr>
          <w:p w14:paraId="46F3A9F9">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所有气电端口必须安装于气电箱上，禁止安装于横梁上。</w:t>
            </w:r>
          </w:p>
        </w:tc>
      </w:tr>
      <w:tr w14:paraId="245F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noWrap/>
          </w:tcPr>
          <w:p w14:paraId="1EAAC7E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8.27</w:t>
            </w:r>
          </w:p>
        </w:tc>
        <w:tc>
          <w:tcPr>
            <w:tcW w:w="1837" w:type="dxa"/>
          </w:tcPr>
          <w:p w14:paraId="18C3693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控制模块</w:t>
            </w:r>
          </w:p>
        </w:tc>
        <w:tc>
          <w:tcPr>
            <w:tcW w:w="6199" w:type="dxa"/>
          </w:tcPr>
          <w:p w14:paraId="1BA858B2">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可选吊柱内置触摸屏，可通过触控屏控制阅读灯、导航灯、手术辅助照明灯、节律照明。</w:t>
            </w:r>
          </w:p>
        </w:tc>
      </w:tr>
      <w:tr w14:paraId="621B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noWrap/>
          </w:tcPr>
          <w:p w14:paraId="7AD3371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8.28</w:t>
            </w:r>
          </w:p>
        </w:tc>
        <w:tc>
          <w:tcPr>
            <w:tcW w:w="1837" w:type="dxa"/>
          </w:tcPr>
          <w:p w14:paraId="13F5072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拓展配置</w:t>
            </w:r>
          </w:p>
        </w:tc>
        <w:tc>
          <w:tcPr>
            <w:tcW w:w="6199" w:type="dxa"/>
          </w:tcPr>
          <w:p w14:paraId="3A1F6969">
            <w:pPr>
              <w:spacing w:line="36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延伸臂具备一键式解锁功能。</w:t>
            </w:r>
          </w:p>
        </w:tc>
      </w:tr>
    </w:tbl>
    <w:p w14:paraId="6050EA8D">
      <w:pPr>
        <w:rPr>
          <w:color w:val="auto"/>
          <w:highlight w:val="none"/>
        </w:rPr>
      </w:pPr>
    </w:p>
    <w:p w14:paraId="5706CF91">
      <w:pPr>
        <w:pStyle w:val="10"/>
        <w:widowControl/>
        <w:snapToGrid w:val="0"/>
        <w:spacing w:line="360" w:lineRule="auto"/>
        <w:ind w:firstLine="482" w:firstLineChars="200"/>
        <w:outlineLvl w:val="9"/>
        <w:rPr>
          <w:rFonts w:hint="eastAsia" w:ascii="仿宋" w:hAnsi="仿宋" w:eastAsia="仿宋" w:cs="仿宋"/>
          <w:b/>
          <w:bCs/>
          <w:color w:val="auto"/>
          <w:sz w:val="24"/>
          <w:szCs w:val="24"/>
          <w:highlight w:val="none"/>
        </w:rPr>
      </w:pPr>
      <w:bookmarkStart w:id="1020" w:name="_GoBack"/>
      <w:bookmarkEnd w:id="1020"/>
    </w:p>
    <w:p w14:paraId="38672187">
      <w:pPr>
        <w:pStyle w:val="10"/>
        <w:widowControl/>
        <w:snapToGrid w:val="0"/>
        <w:spacing w:line="360" w:lineRule="auto"/>
        <w:ind w:firstLine="482" w:firstLineChars="200"/>
        <w:outlineLvl w:val="2"/>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数字一体化手术室设备技术参数</w:t>
      </w:r>
    </w:p>
    <w:tbl>
      <w:tblPr>
        <w:tblStyle w:val="18"/>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837"/>
        <w:gridCol w:w="6199"/>
      </w:tblGrid>
      <w:tr w14:paraId="5F7D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00" w:type="dxa"/>
            <w:noWrap/>
            <w:vAlign w:val="center"/>
          </w:tcPr>
          <w:p w14:paraId="402A214A">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1837" w:type="dxa"/>
            <w:vAlign w:val="center"/>
          </w:tcPr>
          <w:p w14:paraId="2B4BD812">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技术规格</w:t>
            </w:r>
          </w:p>
        </w:tc>
        <w:tc>
          <w:tcPr>
            <w:tcW w:w="6199" w:type="dxa"/>
            <w:vAlign w:val="center"/>
          </w:tcPr>
          <w:p w14:paraId="17ACE942">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技术要求</w:t>
            </w:r>
          </w:p>
        </w:tc>
      </w:tr>
      <w:tr w14:paraId="4F25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vAlign w:val="center"/>
          </w:tcPr>
          <w:p w14:paraId="62B5DD9D">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color w:val="auto"/>
                <w:sz w:val="20"/>
                <w:szCs w:val="20"/>
                <w:highlight w:val="none"/>
              </w:rPr>
              <w:t>★</w:t>
            </w:r>
            <w:r>
              <w:rPr>
                <w:rFonts w:hint="eastAsia" w:ascii="仿宋" w:hAnsi="仿宋" w:eastAsia="仿宋" w:cs="仿宋"/>
                <w:b/>
                <w:bCs/>
                <w:color w:val="auto"/>
                <w:sz w:val="20"/>
                <w:szCs w:val="20"/>
                <w:highlight w:val="none"/>
              </w:rPr>
              <w:t>1</w:t>
            </w:r>
          </w:p>
        </w:tc>
        <w:tc>
          <w:tcPr>
            <w:tcW w:w="1837" w:type="dxa"/>
            <w:vAlign w:val="center"/>
          </w:tcPr>
          <w:p w14:paraId="7603B017">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配置清单</w:t>
            </w:r>
          </w:p>
        </w:tc>
        <w:tc>
          <w:tcPr>
            <w:tcW w:w="6199" w:type="dxa"/>
            <w:vAlign w:val="center"/>
          </w:tcPr>
          <w:tbl>
            <w:tblPr>
              <w:tblStyle w:val="18"/>
              <w:tblpPr w:leftFromText="180" w:rightFromText="180" w:vertAnchor="text" w:horzAnchor="page" w:tblpXSpec="center" w:tblpY="-7"/>
              <w:tblOverlap w:val="never"/>
              <w:tblW w:w="6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845"/>
              <w:gridCol w:w="2946"/>
              <w:gridCol w:w="823"/>
            </w:tblGrid>
            <w:tr w14:paraId="1657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496" w:type="dxa"/>
                  <w:gridSpan w:val="3"/>
                  <w:vAlign w:val="center"/>
                </w:tcPr>
                <w:p w14:paraId="06875D51">
                  <w:pPr>
                    <w:spacing w:line="360" w:lineRule="exact"/>
                    <w:jc w:val="left"/>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复合数字一体化手术室</w:t>
                  </w:r>
                </w:p>
              </w:tc>
              <w:tc>
                <w:tcPr>
                  <w:tcW w:w="823" w:type="dxa"/>
                  <w:vAlign w:val="center"/>
                </w:tcPr>
                <w:p w14:paraId="1213A2C0">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2间</w:t>
                  </w:r>
                </w:p>
              </w:tc>
            </w:tr>
            <w:tr w14:paraId="4DC0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vAlign w:val="center"/>
                </w:tcPr>
                <w:p w14:paraId="33175C17">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1845" w:type="dxa"/>
                  <w:vAlign w:val="center"/>
                </w:tcPr>
                <w:p w14:paraId="2234BAD2">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功能模块（单个）</w:t>
                  </w:r>
                </w:p>
              </w:tc>
              <w:tc>
                <w:tcPr>
                  <w:tcW w:w="2946" w:type="dxa"/>
                  <w:vAlign w:val="center"/>
                </w:tcPr>
                <w:p w14:paraId="5BEFC34F">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产品项目</w:t>
                  </w:r>
                </w:p>
              </w:tc>
              <w:tc>
                <w:tcPr>
                  <w:tcW w:w="823" w:type="dxa"/>
                  <w:vAlign w:val="center"/>
                </w:tcPr>
                <w:p w14:paraId="1824904F">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r>
            <w:tr w14:paraId="46F8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5" w:type="dxa"/>
                  <w:noWrap/>
                  <w:vAlign w:val="center"/>
                </w:tcPr>
                <w:p w14:paraId="7AB83F6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5" w:type="dxa"/>
                  <w:vMerge w:val="restart"/>
                  <w:noWrap/>
                  <w:vAlign w:val="center"/>
                </w:tcPr>
                <w:p w14:paraId="0966590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中央处理系统</w:t>
                  </w:r>
                </w:p>
              </w:tc>
              <w:tc>
                <w:tcPr>
                  <w:tcW w:w="2946" w:type="dxa"/>
                  <w:vAlign w:val="center"/>
                </w:tcPr>
                <w:p w14:paraId="3671EA9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▲4K数字一体化手术室系统主机(手术室)</w:t>
                  </w:r>
                </w:p>
              </w:tc>
              <w:tc>
                <w:tcPr>
                  <w:tcW w:w="823" w:type="dxa"/>
                  <w:noWrap/>
                  <w:vAlign w:val="center"/>
                </w:tcPr>
                <w:p w14:paraId="4B423BB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60A0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4B3939E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845" w:type="dxa"/>
                  <w:vMerge w:val="continue"/>
                  <w:vAlign w:val="center"/>
                </w:tcPr>
                <w:p w14:paraId="6D704FED">
                  <w:pPr>
                    <w:spacing w:line="360" w:lineRule="exact"/>
                    <w:jc w:val="center"/>
                    <w:rPr>
                      <w:rFonts w:hint="eastAsia" w:ascii="仿宋" w:hAnsi="仿宋" w:eastAsia="仿宋" w:cs="仿宋"/>
                      <w:color w:val="auto"/>
                      <w:sz w:val="20"/>
                      <w:szCs w:val="20"/>
                      <w:highlight w:val="none"/>
                    </w:rPr>
                  </w:pPr>
                </w:p>
              </w:tc>
              <w:tc>
                <w:tcPr>
                  <w:tcW w:w="2946" w:type="dxa"/>
                  <w:vAlign w:val="center"/>
                </w:tcPr>
                <w:p w14:paraId="08B7299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中央触控终端（嵌入式）</w:t>
                  </w:r>
                </w:p>
              </w:tc>
              <w:tc>
                <w:tcPr>
                  <w:tcW w:w="823" w:type="dxa"/>
                  <w:noWrap/>
                  <w:vAlign w:val="center"/>
                </w:tcPr>
                <w:p w14:paraId="75C34E4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5822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79DF232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1845" w:type="dxa"/>
                  <w:vMerge w:val="continue"/>
                  <w:vAlign w:val="center"/>
                </w:tcPr>
                <w:p w14:paraId="00543AC8">
                  <w:pPr>
                    <w:spacing w:line="360" w:lineRule="exact"/>
                    <w:jc w:val="center"/>
                    <w:rPr>
                      <w:rFonts w:hint="eastAsia" w:ascii="仿宋" w:hAnsi="仿宋" w:eastAsia="仿宋" w:cs="仿宋"/>
                      <w:color w:val="auto"/>
                      <w:sz w:val="20"/>
                      <w:szCs w:val="20"/>
                      <w:highlight w:val="none"/>
                    </w:rPr>
                  </w:pPr>
                </w:p>
              </w:tc>
              <w:tc>
                <w:tcPr>
                  <w:tcW w:w="2946" w:type="dxa"/>
                  <w:vAlign w:val="center"/>
                </w:tcPr>
                <w:p w14:paraId="3A5FB35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数据交互设备</w:t>
                  </w:r>
                </w:p>
              </w:tc>
              <w:tc>
                <w:tcPr>
                  <w:tcW w:w="823" w:type="dxa"/>
                  <w:noWrap/>
                  <w:vAlign w:val="center"/>
                </w:tcPr>
                <w:p w14:paraId="047002A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4658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BD74C3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1845" w:type="dxa"/>
                  <w:vMerge w:val="continue"/>
                  <w:vAlign w:val="center"/>
                </w:tcPr>
                <w:p w14:paraId="4D947C54">
                  <w:pPr>
                    <w:spacing w:line="360" w:lineRule="exact"/>
                    <w:jc w:val="center"/>
                    <w:rPr>
                      <w:rFonts w:hint="eastAsia" w:ascii="仿宋" w:hAnsi="仿宋" w:eastAsia="仿宋" w:cs="仿宋"/>
                      <w:color w:val="auto"/>
                      <w:sz w:val="20"/>
                      <w:szCs w:val="20"/>
                      <w:highlight w:val="none"/>
                    </w:rPr>
                  </w:pPr>
                </w:p>
              </w:tc>
              <w:tc>
                <w:tcPr>
                  <w:tcW w:w="2946" w:type="dxa"/>
                  <w:vAlign w:val="center"/>
                </w:tcPr>
                <w:p w14:paraId="547276E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视频画面处理器（手术室）</w:t>
                  </w:r>
                </w:p>
              </w:tc>
              <w:tc>
                <w:tcPr>
                  <w:tcW w:w="823" w:type="dxa"/>
                  <w:noWrap/>
                  <w:vAlign w:val="center"/>
                </w:tcPr>
                <w:p w14:paraId="4647AA2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74BF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FCEE29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1845" w:type="dxa"/>
                  <w:vMerge w:val="continue"/>
                  <w:vAlign w:val="center"/>
                </w:tcPr>
                <w:p w14:paraId="7ED7080D">
                  <w:pPr>
                    <w:spacing w:line="360" w:lineRule="exact"/>
                    <w:jc w:val="center"/>
                    <w:rPr>
                      <w:rFonts w:hint="eastAsia" w:ascii="仿宋" w:hAnsi="仿宋" w:eastAsia="仿宋" w:cs="仿宋"/>
                      <w:color w:val="auto"/>
                      <w:sz w:val="20"/>
                      <w:szCs w:val="20"/>
                      <w:highlight w:val="none"/>
                    </w:rPr>
                  </w:pPr>
                </w:p>
              </w:tc>
              <w:tc>
                <w:tcPr>
                  <w:tcW w:w="2946" w:type="dxa"/>
                  <w:vAlign w:val="center"/>
                </w:tcPr>
                <w:p w14:paraId="1A5CD51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音频功放</w:t>
                  </w:r>
                </w:p>
              </w:tc>
              <w:tc>
                <w:tcPr>
                  <w:tcW w:w="823" w:type="dxa"/>
                  <w:noWrap/>
                  <w:vAlign w:val="center"/>
                </w:tcPr>
                <w:p w14:paraId="766751E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3637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5F63A44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1845" w:type="dxa"/>
                  <w:vMerge w:val="restart"/>
                  <w:noWrap/>
                  <w:vAlign w:val="center"/>
                </w:tcPr>
                <w:p w14:paraId="0CA316B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视频编解码设备</w:t>
                  </w:r>
                </w:p>
              </w:tc>
              <w:tc>
                <w:tcPr>
                  <w:tcW w:w="2946" w:type="dxa"/>
                  <w:vAlign w:val="center"/>
                </w:tcPr>
                <w:p w14:paraId="67AA02F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全景编码器</w:t>
                  </w:r>
                </w:p>
              </w:tc>
              <w:tc>
                <w:tcPr>
                  <w:tcW w:w="823" w:type="dxa"/>
                  <w:noWrap/>
                  <w:vAlign w:val="center"/>
                </w:tcPr>
                <w:p w14:paraId="00401A2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r>
            <w:tr w14:paraId="67AE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0FEFEB8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c>
                <w:tcPr>
                  <w:tcW w:w="1845" w:type="dxa"/>
                  <w:vMerge w:val="continue"/>
                  <w:vAlign w:val="center"/>
                </w:tcPr>
                <w:p w14:paraId="022BDC69">
                  <w:pPr>
                    <w:spacing w:line="360" w:lineRule="exact"/>
                    <w:jc w:val="center"/>
                    <w:rPr>
                      <w:rFonts w:hint="eastAsia" w:ascii="仿宋" w:hAnsi="仿宋" w:eastAsia="仿宋" w:cs="仿宋"/>
                      <w:color w:val="auto"/>
                      <w:sz w:val="20"/>
                      <w:szCs w:val="20"/>
                      <w:highlight w:val="none"/>
                    </w:rPr>
                  </w:pPr>
                </w:p>
              </w:tc>
              <w:tc>
                <w:tcPr>
                  <w:tcW w:w="2946" w:type="dxa"/>
                  <w:vAlign w:val="center"/>
                </w:tcPr>
                <w:p w14:paraId="67B3625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视频编码器</w:t>
                  </w:r>
                </w:p>
              </w:tc>
              <w:tc>
                <w:tcPr>
                  <w:tcW w:w="823" w:type="dxa"/>
                  <w:noWrap/>
                  <w:vAlign w:val="center"/>
                </w:tcPr>
                <w:p w14:paraId="67D168C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r>
            <w:tr w14:paraId="3191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095E84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1845" w:type="dxa"/>
                  <w:vMerge w:val="continue"/>
                  <w:vAlign w:val="center"/>
                </w:tcPr>
                <w:p w14:paraId="31FBC827">
                  <w:pPr>
                    <w:spacing w:line="360" w:lineRule="exact"/>
                    <w:jc w:val="center"/>
                    <w:rPr>
                      <w:rFonts w:hint="eastAsia" w:ascii="仿宋" w:hAnsi="仿宋" w:eastAsia="仿宋" w:cs="仿宋"/>
                      <w:color w:val="auto"/>
                      <w:sz w:val="20"/>
                      <w:szCs w:val="20"/>
                      <w:highlight w:val="none"/>
                    </w:rPr>
                  </w:pPr>
                </w:p>
              </w:tc>
              <w:tc>
                <w:tcPr>
                  <w:tcW w:w="2946" w:type="dxa"/>
                  <w:vAlign w:val="center"/>
                </w:tcPr>
                <w:p w14:paraId="233A3F0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视频解码器</w:t>
                  </w:r>
                </w:p>
              </w:tc>
              <w:tc>
                <w:tcPr>
                  <w:tcW w:w="823" w:type="dxa"/>
                  <w:noWrap/>
                  <w:vAlign w:val="center"/>
                </w:tcPr>
                <w:p w14:paraId="0C90FEF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r>
            <w:tr w14:paraId="047A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40F7C4A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c>
                <w:tcPr>
                  <w:tcW w:w="1845" w:type="dxa"/>
                  <w:vMerge w:val="restart"/>
                  <w:noWrap/>
                  <w:vAlign w:val="center"/>
                </w:tcPr>
                <w:p w14:paraId="7C3FBB7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视频显示设备</w:t>
                  </w:r>
                </w:p>
              </w:tc>
              <w:tc>
                <w:tcPr>
                  <w:tcW w:w="2946" w:type="dxa"/>
                  <w:vAlign w:val="center"/>
                </w:tcPr>
                <w:p w14:paraId="3408AA8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31英寸4K医用显示器</w:t>
                  </w:r>
                </w:p>
              </w:tc>
              <w:tc>
                <w:tcPr>
                  <w:tcW w:w="823" w:type="dxa"/>
                  <w:noWrap/>
                  <w:vAlign w:val="center"/>
                </w:tcPr>
                <w:p w14:paraId="4B833AF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r>
            <w:tr w14:paraId="69E9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744ABC3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w:t>
                  </w:r>
                </w:p>
              </w:tc>
              <w:tc>
                <w:tcPr>
                  <w:tcW w:w="1845" w:type="dxa"/>
                  <w:vMerge w:val="continue"/>
                  <w:vAlign w:val="center"/>
                </w:tcPr>
                <w:p w14:paraId="72248CE8">
                  <w:pPr>
                    <w:spacing w:line="360" w:lineRule="exact"/>
                    <w:jc w:val="center"/>
                    <w:rPr>
                      <w:rFonts w:hint="eastAsia" w:ascii="仿宋" w:hAnsi="仿宋" w:eastAsia="仿宋" w:cs="仿宋"/>
                      <w:color w:val="auto"/>
                      <w:sz w:val="20"/>
                      <w:szCs w:val="20"/>
                      <w:highlight w:val="none"/>
                    </w:rPr>
                  </w:pPr>
                </w:p>
              </w:tc>
              <w:tc>
                <w:tcPr>
                  <w:tcW w:w="2946" w:type="dxa"/>
                  <w:vAlign w:val="center"/>
                </w:tcPr>
                <w:p w14:paraId="7F3EA02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65英寸4K触控显示器（嵌墙式)</w:t>
                  </w:r>
                </w:p>
              </w:tc>
              <w:tc>
                <w:tcPr>
                  <w:tcW w:w="823" w:type="dxa"/>
                  <w:noWrap/>
                  <w:vAlign w:val="center"/>
                </w:tcPr>
                <w:p w14:paraId="2094075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r>
            <w:tr w14:paraId="4ED5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71346F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w:t>
                  </w:r>
                </w:p>
              </w:tc>
              <w:tc>
                <w:tcPr>
                  <w:tcW w:w="1845" w:type="dxa"/>
                  <w:vMerge w:val="continue"/>
                  <w:vAlign w:val="center"/>
                </w:tcPr>
                <w:p w14:paraId="7996948C">
                  <w:pPr>
                    <w:spacing w:line="360" w:lineRule="exact"/>
                    <w:jc w:val="center"/>
                    <w:rPr>
                      <w:rFonts w:hint="eastAsia" w:ascii="仿宋" w:hAnsi="仿宋" w:eastAsia="仿宋" w:cs="仿宋"/>
                      <w:color w:val="auto"/>
                      <w:sz w:val="20"/>
                      <w:szCs w:val="20"/>
                      <w:highlight w:val="none"/>
                    </w:rPr>
                  </w:pPr>
                </w:p>
              </w:tc>
              <w:tc>
                <w:tcPr>
                  <w:tcW w:w="2946" w:type="dxa"/>
                  <w:vAlign w:val="center"/>
                </w:tcPr>
                <w:p w14:paraId="20CDB3C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65英寸4K显示器（嵌墙式)</w:t>
                  </w:r>
                </w:p>
              </w:tc>
              <w:tc>
                <w:tcPr>
                  <w:tcW w:w="823" w:type="dxa"/>
                  <w:noWrap/>
                  <w:vAlign w:val="center"/>
                </w:tcPr>
                <w:p w14:paraId="0E758E0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5A87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7FA3284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w:t>
                  </w:r>
                </w:p>
              </w:tc>
              <w:tc>
                <w:tcPr>
                  <w:tcW w:w="1845" w:type="dxa"/>
                  <w:vMerge w:val="continue"/>
                  <w:vAlign w:val="center"/>
                </w:tcPr>
                <w:p w14:paraId="314DB20B">
                  <w:pPr>
                    <w:spacing w:line="360" w:lineRule="exact"/>
                    <w:jc w:val="center"/>
                    <w:rPr>
                      <w:rFonts w:hint="eastAsia" w:ascii="仿宋" w:hAnsi="仿宋" w:eastAsia="仿宋" w:cs="仿宋"/>
                      <w:color w:val="auto"/>
                      <w:sz w:val="20"/>
                      <w:szCs w:val="20"/>
                      <w:highlight w:val="none"/>
                    </w:rPr>
                  </w:pPr>
                </w:p>
              </w:tc>
              <w:tc>
                <w:tcPr>
                  <w:tcW w:w="2946" w:type="dxa"/>
                  <w:vAlign w:val="center"/>
                </w:tcPr>
                <w:p w14:paraId="0CB41FF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65英寸4K显示器（挂墙式)</w:t>
                  </w:r>
                </w:p>
              </w:tc>
              <w:tc>
                <w:tcPr>
                  <w:tcW w:w="823" w:type="dxa"/>
                  <w:noWrap/>
                  <w:vAlign w:val="center"/>
                </w:tcPr>
                <w:p w14:paraId="753A597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012C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669E21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w:t>
                  </w:r>
                </w:p>
              </w:tc>
              <w:tc>
                <w:tcPr>
                  <w:tcW w:w="1845" w:type="dxa"/>
                  <w:vMerge w:val="restart"/>
                  <w:noWrap/>
                  <w:vAlign w:val="center"/>
                </w:tcPr>
                <w:p w14:paraId="4713639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视音频外设</w:t>
                  </w:r>
                </w:p>
              </w:tc>
              <w:tc>
                <w:tcPr>
                  <w:tcW w:w="2946" w:type="dxa"/>
                  <w:vAlign w:val="center"/>
                </w:tcPr>
                <w:p w14:paraId="4DDFC25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4K全景摄像机</w:t>
                  </w:r>
                </w:p>
              </w:tc>
              <w:tc>
                <w:tcPr>
                  <w:tcW w:w="823" w:type="dxa"/>
                  <w:noWrap/>
                  <w:vAlign w:val="center"/>
                </w:tcPr>
                <w:p w14:paraId="1C3039F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r>
            <w:tr w14:paraId="5F5F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1C8B699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14</w:t>
                  </w:r>
                </w:p>
              </w:tc>
              <w:tc>
                <w:tcPr>
                  <w:tcW w:w="1845" w:type="dxa"/>
                  <w:vMerge w:val="continue"/>
                  <w:vAlign w:val="center"/>
                </w:tcPr>
                <w:p w14:paraId="2B5F2392">
                  <w:pPr>
                    <w:spacing w:line="360" w:lineRule="exact"/>
                    <w:jc w:val="center"/>
                    <w:rPr>
                      <w:rFonts w:hint="eastAsia" w:ascii="仿宋" w:hAnsi="仿宋" w:eastAsia="仿宋" w:cs="仿宋"/>
                      <w:color w:val="auto"/>
                      <w:sz w:val="20"/>
                      <w:szCs w:val="20"/>
                      <w:highlight w:val="none"/>
                    </w:rPr>
                  </w:pPr>
                </w:p>
              </w:tc>
              <w:tc>
                <w:tcPr>
                  <w:tcW w:w="2946" w:type="dxa"/>
                  <w:vAlign w:val="center"/>
                </w:tcPr>
                <w:p w14:paraId="7BE4693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领夹无线麦克风</w:t>
                  </w:r>
                </w:p>
              </w:tc>
              <w:tc>
                <w:tcPr>
                  <w:tcW w:w="823" w:type="dxa"/>
                  <w:noWrap/>
                  <w:vAlign w:val="center"/>
                </w:tcPr>
                <w:p w14:paraId="04A5955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4B58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66245D6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15</w:t>
                  </w:r>
                </w:p>
              </w:tc>
              <w:tc>
                <w:tcPr>
                  <w:tcW w:w="1845" w:type="dxa"/>
                  <w:vMerge w:val="continue"/>
                  <w:vAlign w:val="center"/>
                </w:tcPr>
                <w:p w14:paraId="1C1F421C">
                  <w:pPr>
                    <w:spacing w:line="360" w:lineRule="exact"/>
                    <w:jc w:val="center"/>
                    <w:rPr>
                      <w:rFonts w:hint="eastAsia" w:ascii="仿宋" w:hAnsi="仿宋" w:eastAsia="仿宋" w:cs="仿宋"/>
                      <w:color w:val="auto"/>
                      <w:sz w:val="20"/>
                      <w:szCs w:val="20"/>
                      <w:highlight w:val="none"/>
                    </w:rPr>
                  </w:pPr>
                </w:p>
              </w:tc>
              <w:tc>
                <w:tcPr>
                  <w:tcW w:w="2946" w:type="dxa"/>
                  <w:vAlign w:val="center"/>
                </w:tcPr>
                <w:p w14:paraId="7637E6E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吸顶音箱</w:t>
                  </w:r>
                </w:p>
              </w:tc>
              <w:tc>
                <w:tcPr>
                  <w:tcW w:w="823" w:type="dxa"/>
                  <w:noWrap/>
                  <w:vAlign w:val="center"/>
                </w:tcPr>
                <w:p w14:paraId="59A2886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r>
            <w:tr w14:paraId="6CE0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9BD8D6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16</w:t>
                  </w:r>
                </w:p>
              </w:tc>
              <w:tc>
                <w:tcPr>
                  <w:tcW w:w="1845" w:type="dxa"/>
                  <w:vMerge w:val="restart"/>
                  <w:vAlign w:val="center"/>
                </w:tcPr>
                <w:p w14:paraId="67E5B3E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手术室设备集总控制系统</w:t>
                  </w:r>
                </w:p>
              </w:tc>
              <w:tc>
                <w:tcPr>
                  <w:tcW w:w="2946" w:type="dxa"/>
                  <w:vAlign w:val="center"/>
                </w:tcPr>
                <w:p w14:paraId="723393C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非医疗设备控制模块</w:t>
                  </w:r>
                </w:p>
              </w:tc>
              <w:tc>
                <w:tcPr>
                  <w:tcW w:w="823" w:type="dxa"/>
                  <w:noWrap/>
                  <w:vAlign w:val="center"/>
                </w:tcPr>
                <w:p w14:paraId="3FBA65C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30C1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7CE32E3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17</w:t>
                  </w:r>
                </w:p>
              </w:tc>
              <w:tc>
                <w:tcPr>
                  <w:tcW w:w="1845" w:type="dxa"/>
                  <w:vMerge w:val="continue"/>
                  <w:vAlign w:val="center"/>
                </w:tcPr>
                <w:p w14:paraId="3271A9CF">
                  <w:pPr>
                    <w:spacing w:line="360" w:lineRule="exact"/>
                    <w:jc w:val="center"/>
                    <w:rPr>
                      <w:rFonts w:hint="eastAsia" w:ascii="仿宋" w:hAnsi="仿宋" w:eastAsia="仿宋" w:cs="仿宋"/>
                      <w:color w:val="auto"/>
                      <w:sz w:val="20"/>
                      <w:szCs w:val="20"/>
                      <w:highlight w:val="none"/>
                    </w:rPr>
                  </w:pPr>
                </w:p>
              </w:tc>
              <w:tc>
                <w:tcPr>
                  <w:tcW w:w="2946" w:type="dxa"/>
                  <w:vAlign w:val="center"/>
                </w:tcPr>
                <w:p w14:paraId="4D8C475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医疗设备控制模块</w:t>
                  </w:r>
                </w:p>
              </w:tc>
              <w:tc>
                <w:tcPr>
                  <w:tcW w:w="823" w:type="dxa"/>
                  <w:noWrap/>
                  <w:vAlign w:val="center"/>
                </w:tcPr>
                <w:p w14:paraId="19997F9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0528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0C6E28B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18</w:t>
                  </w:r>
                </w:p>
              </w:tc>
              <w:tc>
                <w:tcPr>
                  <w:tcW w:w="1845" w:type="dxa"/>
                  <w:vMerge w:val="restart"/>
                  <w:noWrap/>
                  <w:vAlign w:val="center"/>
                </w:tcPr>
                <w:p w14:paraId="791CE51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移动触控模块</w:t>
                  </w:r>
                </w:p>
              </w:tc>
              <w:tc>
                <w:tcPr>
                  <w:tcW w:w="2946" w:type="dxa"/>
                  <w:vAlign w:val="center"/>
                </w:tcPr>
                <w:p w14:paraId="648DCA2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移动控制终端</w:t>
                  </w:r>
                </w:p>
              </w:tc>
              <w:tc>
                <w:tcPr>
                  <w:tcW w:w="823" w:type="dxa"/>
                  <w:noWrap/>
                  <w:vAlign w:val="center"/>
                </w:tcPr>
                <w:p w14:paraId="2E90D42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743A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76A8519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19</w:t>
                  </w:r>
                </w:p>
              </w:tc>
              <w:tc>
                <w:tcPr>
                  <w:tcW w:w="1845" w:type="dxa"/>
                  <w:vMerge w:val="continue"/>
                  <w:vAlign w:val="center"/>
                </w:tcPr>
                <w:p w14:paraId="324F42E2">
                  <w:pPr>
                    <w:spacing w:line="360" w:lineRule="exact"/>
                    <w:jc w:val="center"/>
                    <w:rPr>
                      <w:rFonts w:hint="eastAsia" w:ascii="仿宋" w:hAnsi="仿宋" w:eastAsia="仿宋" w:cs="仿宋"/>
                      <w:color w:val="auto"/>
                      <w:sz w:val="20"/>
                      <w:szCs w:val="20"/>
                      <w:highlight w:val="none"/>
                    </w:rPr>
                  </w:pPr>
                </w:p>
              </w:tc>
              <w:tc>
                <w:tcPr>
                  <w:tcW w:w="2946" w:type="dxa"/>
                  <w:vAlign w:val="center"/>
                </w:tcPr>
                <w:p w14:paraId="25C5ABF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无线AP</w:t>
                  </w:r>
                </w:p>
              </w:tc>
              <w:tc>
                <w:tcPr>
                  <w:tcW w:w="823" w:type="dxa"/>
                  <w:noWrap/>
                  <w:vAlign w:val="center"/>
                </w:tcPr>
                <w:p w14:paraId="2B62469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7FF1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73D7ED1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20</w:t>
                  </w:r>
                </w:p>
              </w:tc>
              <w:tc>
                <w:tcPr>
                  <w:tcW w:w="1845" w:type="dxa"/>
                  <w:vMerge w:val="continue"/>
                  <w:vAlign w:val="center"/>
                </w:tcPr>
                <w:p w14:paraId="3DAF3DEF">
                  <w:pPr>
                    <w:spacing w:line="360" w:lineRule="exact"/>
                    <w:jc w:val="center"/>
                    <w:rPr>
                      <w:rFonts w:hint="eastAsia" w:ascii="仿宋" w:hAnsi="仿宋" w:eastAsia="仿宋" w:cs="仿宋"/>
                      <w:color w:val="auto"/>
                      <w:sz w:val="20"/>
                      <w:szCs w:val="20"/>
                      <w:highlight w:val="none"/>
                    </w:rPr>
                  </w:pPr>
                </w:p>
              </w:tc>
              <w:tc>
                <w:tcPr>
                  <w:tcW w:w="2946" w:type="dxa"/>
                  <w:vAlign w:val="center"/>
                </w:tcPr>
                <w:p w14:paraId="06E7C4A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移动端软件</w:t>
                  </w:r>
                </w:p>
              </w:tc>
              <w:tc>
                <w:tcPr>
                  <w:tcW w:w="823" w:type="dxa"/>
                  <w:noWrap/>
                  <w:vAlign w:val="center"/>
                </w:tcPr>
                <w:p w14:paraId="04710C4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4E4D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6F90855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w:t>
                  </w:r>
                </w:p>
              </w:tc>
              <w:tc>
                <w:tcPr>
                  <w:tcW w:w="1845" w:type="dxa"/>
                  <w:vMerge w:val="restart"/>
                  <w:vAlign w:val="center"/>
                </w:tcPr>
                <w:p w14:paraId="165940B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家属可视谈话模块</w:t>
                  </w:r>
                </w:p>
              </w:tc>
              <w:tc>
                <w:tcPr>
                  <w:tcW w:w="2946" w:type="dxa"/>
                  <w:noWrap/>
                  <w:vAlign w:val="center"/>
                </w:tcPr>
                <w:p w14:paraId="79137C2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家属交互模组</w:t>
                  </w:r>
                </w:p>
              </w:tc>
              <w:tc>
                <w:tcPr>
                  <w:tcW w:w="823" w:type="dxa"/>
                  <w:noWrap/>
                  <w:vAlign w:val="center"/>
                </w:tcPr>
                <w:p w14:paraId="7B8F94D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0700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0746DAC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w:t>
                  </w:r>
                </w:p>
              </w:tc>
              <w:tc>
                <w:tcPr>
                  <w:tcW w:w="1845" w:type="dxa"/>
                  <w:vMerge w:val="continue"/>
                  <w:vAlign w:val="center"/>
                </w:tcPr>
                <w:p w14:paraId="44446A9F">
                  <w:pPr>
                    <w:spacing w:line="360" w:lineRule="exact"/>
                    <w:jc w:val="center"/>
                    <w:rPr>
                      <w:rFonts w:hint="eastAsia" w:ascii="仿宋" w:hAnsi="仿宋" w:eastAsia="仿宋" w:cs="仿宋"/>
                      <w:color w:val="auto"/>
                      <w:sz w:val="20"/>
                      <w:szCs w:val="20"/>
                      <w:highlight w:val="none"/>
                    </w:rPr>
                  </w:pPr>
                </w:p>
              </w:tc>
              <w:tc>
                <w:tcPr>
                  <w:tcW w:w="2946" w:type="dxa"/>
                  <w:noWrap/>
                  <w:vAlign w:val="center"/>
                </w:tcPr>
                <w:p w14:paraId="0FBB3D8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谈话间软件（医护端）</w:t>
                  </w:r>
                </w:p>
              </w:tc>
              <w:tc>
                <w:tcPr>
                  <w:tcW w:w="823" w:type="dxa"/>
                  <w:noWrap/>
                  <w:vAlign w:val="center"/>
                </w:tcPr>
                <w:p w14:paraId="1D34A09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685F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B65BF5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w:t>
                  </w:r>
                </w:p>
              </w:tc>
              <w:tc>
                <w:tcPr>
                  <w:tcW w:w="1845" w:type="dxa"/>
                  <w:vMerge w:val="restart"/>
                  <w:noWrap/>
                  <w:vAlign w:val="center"/>
                </w:tcPr>
                <w:p w14:paraId="49699C0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护士工作平台</w:t>
                  </w:r>
                </w:p>
              </w:tc>
              <w:tc>
                <w:tcPr>
                  <w:tcW w:w="2946" w:type="dxa"/>
                  <w:vAlign w:val="center"/>
                </w:tcPr>
                <w:p w14:paraId="7394BB2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护士工作站</w:t>
                  </w:r>
                </w:p>
              </w:tc>
              <w:tc>
                <w:tcPr>
                  <w:tcW w:w="823" w:type="dxa"/>
                  <w:noWrap/>
                  <w:vAlign w:val="center"/>
                </w:tcPr>
                <w:p w14:paraId="2BDD6B0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7028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8F97A8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24</w:t>
                  </w:r>
                </w:p>
              </w:tc>
              <w:tc>
                <w:tcPr>
                  <w:tcW w:w="1845" w:type="dxa"/>
                  <w:vMerge w:val="continue"/>
                  <w:vAlign w:val="center"/>
                </w:tcPr>
                <w:p w14:paraId="05DEFD31">
                  <w:pPr>
                    <w:spacing w:line="360" w:lineRule="exact"/>
                    <w:jc w:val="center"/>
                    <w:rPr>
                      <w:rFonts w:hint="eastAsia" w:ascii="仿宋" w:hAnsi="仿宋" w:eastAsia="仿宋" w:cs="仿宋"/>
                      <w:color w:val="auto"/>
                      <w:sz w:val="20"/>
                      <w:szCs w:val="20"/>
                      <w:highlight w:val="none"/>
                    </w:rPr>
                  </w:pPr>
                </w:p>
              </w:tc>
              <w:tc>
                <w:tcPr>
                  <w:tcW w:w="2946" w:type="dxa"/>
                  <w:vAlign w:val="center"/>
                </w:tcPr>
                <w:p w14:paraId="56A3FA5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护士收纳柜</w:t>
                  </w:r>
                </w:p>
              </w:tc>
              <w:tc>
                <w:tcPr>
                  <w:tcW w:w="823" w:type="dxa"/>
                  <w:noWrap/>
                  <w:vAlign w:val="center"/>
                </w:tcPr>
                <w:p w14:paraId="6BC7EEF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60C8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53E2D98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25</w:t>
                  </w:r>
                </w:p>
              </w:tc>
              <w:tc>
                <w:tcPr>
                  <w:tcW w:w="1845" w:type="dxa"/>
                  <w:noWrap/>
                  <w:vAlign w:val="center"/>
                </w:tcPr>
                <w:p w14:paraId="40C1325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线缆包</w:t>
                  </w:r>
                </w:p>
              </w:tc>
              <w:tc>
                <w:tcPr>
                  <w:tcW w:w="2946" w:type="dxa"/>
                  <w:vAlign w:val="center"/>
                </w:tcPr>
                <w:p w14:paraId="4EB61DC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4K数字化手术室线缆包</w:t>
                  </w:r>
                </w:p>
              </w:tc>
              <w:tc>
                <w:tcPr>
                  <w:tcW w:w="823" w:type="dxa"/>
                  <w:noWrap/>
                  <w:vAlign w:val="center"/>
                </w:tcPr>
                <w:p w14:paraId="3BA269F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按需提供</w:t>
                  </w:r>
                </w:p>
              </w:tc>
            </w:tr>
            <w:tr w14:paraId="4A5D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96" w:type="dxa"/>
                  <w:gridSpan w:val="3"/>
                  <w:vAlign w:val="center"/>
                </w:tcPr>
                <w:p w14:paraId="13C45FE3">
                  <w:pPr>
                    <w:spacing w:line="360" w:lineRule="exact"/>
                    <w:jc w:val="left"/>
                    <w:rPr>
                      <w:rFonts w:hint="eastAsia" w:ascii="仿宋" w:hAnsi="仿宋" w:eastAsia="仿宋" w:cs="仿宋"/>
                      <w:b/>
                      <w:bCs/>
                      <w:color w:val="auto"/>
                      <w:sz w:val="20"/>
                      <w:szCs w:val="20"/>
                      <w:highlight w:val="none"/>
                    </w:rPr>
                  </w:pPr>
                  <w:bookmarkStart w:id="772" w:name="OLE_LINK8"/>
                  <w:bookmarkStart w:id="773" w:name="_Hlk213246603"/>
                  <w:r>
                    <w:rPr>
                      <w:rFonts w:hint="eastAsia" w:ascii="仿宋" w:hAnsi="仿宋" w:eastAsia="仿宋" w:cs="仿宋"/>
                      <w:b/>
                      <w:bCs/>
                      <w:color w:val="auto"/>
                      <w:sz w:val="20"/>
                      <w:szCs w:val="20"/>
                      <w:highlight w:val="none"/>
                    </w:rPr>
                    <w:t>机器人数字化手术室</w:t>
                  </w:r>
                </w:p>
              </w:tc>
              <w:tc>
                <w:tcPr>
                  <w:tcW w:w="823" w:type="dxa"/>
                  <w:vAlign w:val="center"/>
                </w:tcPr>
                <w:p w14:paraId="6F9F3911">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1间</w:t>
                  </w:r>
                </w:p>
              </w:tc>
            </w:tr>
            <w:bookmarkEnd w:id="772"/>
            <w:tr w14:paraId="1F15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vAlign w:val="center"/>
                </w:tcPr>
                <w:p w14:paraId="724C69E7">
                  <w:pPr>
                    <w:spacing w:line="360" w:lineRule="exact"/>
                    <w:jc w:val="center"/>
                    <w:rPr>
                      <w:rFonts w:hint="eastAsia" w:ascii="仿宋" w:hAnsi="仿宋" w:eastAsia="仿宋" w:cs="仿宋"/>
                      <w:b/>
                      <w:bCs/>
                      <w:color w:val="auto"/>
                      <w:sz w:val="20"/>
                      <w:szCs w:val="20"/>
                      <w:highlight w:val="none"/>
                    </w:rPr>
                  </w:pPr>
                  <w:bookmarkStart w:id="774" w:name="_Hlk213246779"/>
                  <w:r>
                    <w:rPr>
                      <w:rFonts w:hint="eastAsia" w:ascii="仿宋" w:hAnsi="仿宋" w:eastAsia="仿宋" w:cs="仿宋"/>
                      <w:b/>
                      <w:bCs/>
                      <w:color w:val="auto"/>
                      <w:sz w:val="20"/>
                      <w:szCs w:val="20"/>
                      <w:highlight w:val="none"/>
                    </w:rPr>
                    <w:t>序号</w:t>
                  </w:r>
                </w:p>
              </w:tc>
              <w:tc>
                <w:tcPr>
                  <w:tcW w:w="1845" w:type="dxa"/>
                  <w:vAlign w:val="center"/>
                </w:tcPr>
                <w:p w14:paraId="7887B51B">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功能模块（单个）</w:t>
                  </w:r>
                </w:p>
              </w:tc>
              <w:tc>
                <w:tcPr>
                  <w:tcW w:w="2946" w:type="dxa"/>
                  <w:vAlign w:val="center"/>
                </w:tcPr>
                <w:p w14:paraId="093BC61F">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产品项目</w:t>
                  </w:r>
                </w:p>
              </w:tc>
              <w:tc>
                <w:tcPr>
                  <w:tcW w:w="823" w:type="dxa"/>
                  <w:vAlign w:val="center"/>
                </w:tcPr>
                <w:p w14:paraId="552C49BC">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r>
            <w:tr w14:paraId="0E0E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5" w:type="dxa"/>
                  <w:noWrap/>
                  <w:vAlign w:val="center"/>
                </w:tcPr>
                <w:p w14:paraId="18D52BE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5" w:type="dxa"/>
                  <w:vMerge w:val="restart"/>
                  <w:noWrap/>
                  <w:vAlign w:val="center"/>
                </w:tcPr>
                <w:p w14:paraId="4501CD6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中央处理系统</w:t>
                  </w:r>
                </w:p>
              </w:tc>
              <w:tc>
                <w:tcPr>
                  <w:tcW w:w="2946" w:type="dxa"/>
                  <w:vAlign w:val="center"/>
                </w:tcPr>
                <w:p w14:paraId="7131C0C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4K数字一体化手术室系统主机(手术室)</w:t>
                  </w:r>
                </w:p>
              </w:tc>
              <w:tc>
                <w:tcPr>
                  <w:tcW w:w="823" w:type="dxa"/>
                  <w:noWrap/>
                  <w:vAlign w:val="center"/>
                </w:tcPr>
                <w:p w14:paraId="1CBCB23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648A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5E5F129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845" w:type="dxa"/>
                  <w:vMerge w:val="continue"/>
                  <w:vAlign w:val="center"/>
                </w:tcPr>
                <w:p w14:paraId="005874FC">
                  <w:pPr>
                    <w:spacing w:line="360" w:lineRule="exact"/>
                    <w:jc w:val="center"/>
                    <w:rPr>
                      <w:rFonts w:hint="eastAsia" w:ascii="仿宋" w:hAnsi="仿宋" w:eastAsia="仿宋" w:cs="仿宋"/>
                      <w:color w:val="auto"/>
                      <w:sz w:val="20"/>
                      <w:szCs w:val="20"/>
                      <w:highlight w:val="none"/>
                    </w:rPr>
                  </w:pPr>
                </w:p>
              </w:tc>
              <w:tc>
                <w:tcPr>
                  <w:tcW w:w="2946" w:type="dxa"/>
                  <w:vAlign w:val="center"/>
                </w:tcPr>
                <w:p w14:paraId="5C8CAA6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中央触控终端（嵌入式）</w:t>
                  </w:r>
                </w:p>
              </w:tc>
              <w:tc>
                <w:tcPr>
                  <w:tcW w:w="823" w:type="dxa"/>
                  <w:noWrap/>
                  <w:vAlign w:val="center"/>
                </w:tcPr>
                <w:p w14:paraId="1B714C5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368F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23F137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1845" w:type="dxa"/>
                  <w:vMerge w:val="continue"/>
                  <w:vAlign w:val="center"/>
                </w:tcPr>
                <w:p w14:paraId="38DA2A40">
                  <w:pPr>
                    <w:spacing w:line="360" w:lineRule="exact"/>
                    <w:jc w:val="center"/>
                    <w:rPr>
                      <w:rFonts w:hint="eastAsia" w:ascii="仿宋" w:hAnsi="仿宋" w:eastAsia="仿宋" w:cs="仿宋"/>
                      <w:color w:val="auto"/>
                      <w:sz w:val="20"/>
                      <w:szCs w:val="20"/>
                      <w:highlight w:val="none"/>
                    </w:rPr>
                  </w:pPr>
                </w:p>
              </w:tc>
              <w:tc>
                <w:tcPr>
                  <w:tcW w:w="2946" w:type="dxa"/>
                  <w:vAlign w:val="center"/>
                </w:tcPr>
                <w:p w14:paraId="24939C5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数据交互设备</w:t>
                  </w:r>
                </w:p>
              </w:tc>
              <w:tc>
                <w:tcPr>
                  <w:tcW w:w="823" w:type="dxa"/>
                  <w:noWrap/>
                  <w:vAlign w:val="center"/>
                </w:tcPr>
                <w:p w14:paraId="4DE0725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0634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64F756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1845" w:type="dxa"/>
                  <w:vMerge w:val="continue"/>
                  <w:vAlign w:val="center"/>
                </w:tcPr>
                <w:p w14:paraId="2158054D">
                  <w:pPr>
                    <w:spacing w:line="360" w:lineRule="exact"/>
                    <w:jc w:val="center"/>
                    <w:rPr>
                      <w:rFonts w:hint="eastAsia" w:ascii="仿宋" w:hAnsi="仿宋" w:eastAsia="仿宋" w:cs="仿宋"/>
                      <w:color w:val="auto"/>
                      <w:sz w:val="20"/>
                      <w:szCs w:val="20"/>
                      <w:highlight w:val="none"/>
                    </w:rPr>
                  </w:pPr>
                </w:p>
              </w:tc>
              <w:tc>
                <w:tcPr>
                  <w:tcW w:w="2946" w:type="dxa"/>
                  <w:vAlign w:val="center"/>
                </w:tcPr>
                <w:p w14:paraId="48D031B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视频画面处理器（手术室）</w:t>
                  </w:r>
                </w:p>
              </w:tc>
              <w:tc>
                <w:tcPr>
                  <w:tcW w:w="823" w:type="dxa"/>
                  <w:noWrap/>
                  <w:vAlign w:val="center"/>
                </w:tcPr>
                <w:p w14:paraId="7611068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45CE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BB7EB5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1845" w:type="dxa"/>
                  <w:vMerge w:val="continue"/>
                  <w:vAlign w:val="center"/>
                </w:tcPr>
                <w:p w14:paraId="49CC9E62">
                  <w:pPr>
                    <w:spacing w:line="360" w:lineRule="exact"/>
                    <w:jc w:val="center"/>
                    <w:rPr>
                      <w:rFonts w:hint="eastAsia" w:ascii="仿宋" w:hAnsi="仿宋" w:eastAsia="仿宋" w:cs="仿宋"/>
                      <w:color w:val="auto"/>
                      <w:sz w:val="20"/>
                      <w:szCs w:val="20"/>
                      <w:highlight w:val="none"/>
                    </w:rPr>
                  </w:pPr>
                </w:p>
              </w:tc>
              <w:tc>
                <w:tcPr>
                  <w:tcW w:w="2946" w:type="dxa"/>
                  <w:vAlign w:val="center"/>
                </w:tcPr>
                <w:p w14:paraId="49E4E26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音频功放</w:t>
                  </w:r>
                </w:p>
              </w:tc>
              <w:tc>
                <w:tcPr>
                  <w:tcW w:w="823" w:type="dxa"/>
                  <w:noWrap/>
                  <w:vAlign w:val="center"/>
                </w:tcPr>
                <w:p w14:paraId="6CCE6A3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6314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0AFAAD9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1845" w:type="dxa"/>
                  <w:vMerge w:val="restart"/>
                  <w:noWrap/>
                  <w:vAlign w:val="center"/>
                </w:tcPr>
                <w:p w14:paraId="4DE2BE9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视频编解码设备</w:t>
                  </w:r>
                </w:p>
              </w:tc>
              <w:tc>
                <w:tcPr>
                  <w:tcW w:w="2946" w:type="dxa"/>
                  <w:vAlign w:val="center"/>
                </w:tcPr>
                <w:p w14:paraId="0EB78CC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全景编码器</w:t>
                  </w:r>
                </w:p>
              </w:tc>
              <w:tc>
                <w:tcPr>
                  <w:tcW w:w="823" w:type="dxa"/>
                  <w:noWrap/>
                  <w:vAlign w:val="center"/>
                </w:tcPr>
                <w:p w14:paraId="32A0EF9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54B6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797C49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c>
                <w:tcPr>
                  <w:tcW w:w="1845" w:type="dxa"/>
                  <w:vMerge w:val="continue"/>
                  <w:vAlign w:val="center"/>
                </w:tcPr>
                <w:p w14:paraId="545D1C49">
                  <w:pPr>
                    <w:spacing w:line="360" w:lineRule="exact"/>
                    <w:jc w:val="center"/>
                    <w:rPr>
                      <w:rFonts w:hint="eastAsia" w:ascii="仿宋" w:hAnsi="仿宋" w:eastAsia="仿宋" w:cs="仿宋"/>
                      <w:color w:val="auto"/>
                      <w:sz w:val="20"/>
                      <w:szCs w:val="20"/>
                      <w:highlight w:val="none"/>
                    </w:rPr>
                  </w:pPr>
                </w:p>
              </w:tc>
              <w:tc>
                <w:tcPr>
                  <w:tcW w:w="2946" w:type="dxa"/>
                  <w:vAlign w:val="center"/>
                </w:tcPr>
                <w:p w14:paraId="1312F10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视频编码器</w:t>
                  </w:r>
                </w:p>
              </w:tc>
              <w:tc>
                <w:tcPr>
                  <w:tcW w:w="823" w:type="dxa"/>
                  <w:noWrap/>
                  <w:vAlign w:val="center"/>
                </w:tcPr>
                <w:p w14:paraId="58B5E24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r>
            <w:tr w14:paraId="5D2B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79ADACF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1845" w:type="dxa"/>
                  <w:vMerge w:val="continue"/>
                  <w:vAlign w:val="center"/>
                </w:tcPr>
                <w:p w14:paraId="16D2B89D">
                  <w:pPr>
                    <w:spacing w:line="360" w:lineRule="exact"/>
                    <w:jc w:val="center"/>
                    <w:rPr>
                      <w:rFonts w:hint="eastAsia" w:ascii="仿宋" w:hAnsi="仿宋" w:eastAsia="仿宋" w:cs="仿宋"/>
                      <w:color w:val="auto"/>
                      <w:sz w:val="20"/>
                      <w:szCs w:val="20"/>
                      <w:highlight w:val="none"/>
                    </w:rPr>
                  </w:pPr>
                </w:p>
              </w:tc>
              <w:tc>
                <w:tcPr>
                  <w:tcW w:w="2946" w:type="dxa"/>
                  <w:vAlign w:val="center"/>
                </w:tcPr>
                <w:p w14:paraId="2D0109D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视频解码器</w:t>
                  </w:r>
                </w:p>
              </w:tc>
              <w:tc>
                <w:tcPr>
                  <w:tcW w:w="823" w:type="dxa"/>
                  <w:noWrap/>
                  <w:vAlign w:val="center"/>
                </w:tcPr>
                <w:p w14:paraId="1BE28C4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r>
            <w:tr w14:paraId="0769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750D98A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c>
                <w:tcPr>
                  <w:tcW w:w="1845" w:type="dxa"/>
                  <w:vMerge w:val="restart"/>
                  <w:noWrap/>
                  <w:vAlign w:val="center"/>
                </w:tcPr>
                <w:p w14:paraId="25A589D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视频显示设备</w:t>
                  </w:r>
                </w:p>
              </w:tc>
              <w:tc>
                <w:tcPr>
                  <w:tcW w:w="2946" w:type="dxa"/>
                  <w:vAlign w:val="center"/>
                </w:tcPr>
                <w:p w14:paraId="5AA5FB3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31英寸4K/3D医用显示器</w:t>
                  </w:r>
                </w:p>
              </w:tc>
              <w:tc>
                <w:tcPr>
                  <w:tcW w:w="823" w:type="dxa"/>
                  <w:noWrap/>
                  <w:vAlign w:val="center"/>
                </w:tcPr>
                <w:p w14:paraId="2CA314F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r>
            <w:tr w14:paraId="1B82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6915207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w:t>
                  </w:r>
                </w:p>
              </w:tc>
              <w:tc>
                <w:tcPr>
                  <w:tcW w:w="1845" w:type="dxa"/>
                  <w:vMerge w:val="continue"/>
                  <w:vAlign w:val="center"/>
                </w:tcPr>
                <w:p w14:paraId="6A8B56DC">
                  <w:pPr>
                    <w:spacing w:line="360" w:lineRule="exact"/>
                    <w:jc w:val="center"/>
                    <w:rPr>
                      <w:rFonts w:hint="eastAsia" w:ascii="仿宋" w:hAnsi="仿宋" w:eastAsia="仿宋" w:cs="仿宋"/>
                      <w:color w:val="auto"/>
                      <w:sz w:val="20"/>
                      <w:szCs w:val="20"/>
                      <w:highlight w:val="none"/>
                    </w:rPr>
                  </w:pPr>
                </w:p>
              </w:tc>
              <w:tc>
                <w:tcPr>
                  <w:tcW w:w="2946" w:type="dxa"/>
                  <w:vAlign w:val="center"/>
                </w:tcPr>
                <w:p w14:paraId="7E9029C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65英寸4K触控显示器（嵌墙式)</w:t>
                  </w:r>
                </w:p>
              </w:tc>
              <w:tc>
                <w:tcPr>
                  <w:tcW w:w="823" w:type="dxa"/>
                  <w:noWrap/>
                  <w:vAlign w:val="center"/>
                </w:tcPr>
                <w:p w14:paraId="7B9EF0A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r>
            <w:tr w14:paraId="5A68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757A78B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w:t>
                  </w:r>
                </w:p>
              </w:tc>
              <w:tc>
                <w:tcPr>
                  <w:tcW w:w="1845" w:type="dxa"/>
                  <w:vMerge w:val="continue"/>
                  <w:vAlign w:val="center"/>
                </w:tcPr>
                <w:p w14:paraId="7675D8B2">
                  <w:pPr>
                    <w:spacing w:line="360" w:lineRule="exact"/>
                    <w:jc w:val="center"/>
                    <w:rPr>
                      <w:rFonts w:hint="eastAsia" w:ascii="仿宋" w:hAnsi="仿宋" w:eastAsia="仿宋" w:cs="仿宋"/>
                      <w:color w:val="auto"/>
                      <w:sz w:val="20"/>
                      <w:szCs w:val="20"/>
                      <w:highlight w:val="none"/>
                    </w:rPr>
                  </w:pPr>
                </w:p>
              </w:tc>
              <w:tc>
                <w:tcPr>
                  <w:tcW w:w="2946" w:type="dxa"/>
                  <w:vAlign w:val="center"/>
                </w:tcPr>
                <w:p w14:paraId="22072B2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65英寸4K显示器（嵌墙式)</w:t>
                  </w:r>
                </w:p>
              </w:tc>
              <w:tc>
                <w:tcPr>
                  <w:tcW w:w="823" w:type="dxa"/>
                  <w:noWrap/>
                  <w:vAlign w:val="center"/>
                </w:tcPr>
                <w:p w14:paraId="080F9F8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7220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63691ED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w:t>
                  </w:r>
                </w:p>
              </w:tc>
              <w:tc>
                <w:tcPr>
                  <w:tcW w:w="1845" w:type="dxa"/>
                  <w:vMerge w:val="restart"/>
                  <w:noWrap/>
                  <w:vAlign w:val="center"/>
                </w:tcPr>
                <w:p w14:paraId="52D1B52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视音频外设</w:t>
                  </w:r>
                </w:p>
              </w:tc>
              <w:tc>
                <w:tcPr>
                  <w:tcW w:w="2946" w:type="dxa"/>
                  <w:vAlign w:val="center"/>
                </w:tcPr>
                <w:p w14:paraId="521EEA0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4K全景摄像机</w:t>
                  </w:r>
                </w:p>
              </w:tc>
              <w:tc>
                <w:tcPr>
                  <w:tcW w:w="823" w:type="dxa"/>
                  <w:noWrap/>
                  <w:vAlign w:val="center"/>
                </w:tcPr>
                <w:p w14:paraId="070551C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2213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585D57F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w:t>
                  </w:r>
                </w:p>
              </w:tc>
              <w:tc>
                <w:tcPr>
                  <w:tcW w:w="1845" w:type="dxa"/>
                  <w:vMerge w:val="continue"/>
                  <w:vAlign w:val="center"/>
                </w:tcPr>
                <w:p w14:paraId="100522CF">
                  <w:pPr>
                    <w:spacing w:line="360" w:lineRule="exact"/>
                    <w:jc w:val="center"/>
                    <w:rPr>
                      <w:rFonts w:hint="eastAsia" w:ascii="仿宋" w:hAnsi="仿宋" w:eastAsia="仿宋" w:cs="仿宋"/>
                      <w:color w:val="auto"/>
                      <w:sz w:val="20"/>
                      <w:szCs w:val="20"/>
                      <w:highlight w:val="none"/>
                    </w:rPr>
                  </w:pPr>
                </w:p>
              </w:tc>
              <w:tc>
                <w:tcPr>
                  <w:tcW w:w="2946" w:type="dxa"/>
                  <w:vAlign w:val="center"/>
                </w:tcPr>
                <w:p w14:paraId="301524E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领夹无线麦克风</w:t>
                  </w:r>
                </w:p>
              </w:tc>
              <w:tc>
                <w:tcPr>
                  <w:tcW w:w="823" w:type="dxa"/>
                  <w:noWrap/>
                  <w:vAlign w:val="center"/>
                </w:tcPr>
                <w:p w14:paraId="3634C91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17CF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5F34E24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14</w:t>
                  </w:r>
                </w:p>
              </w:tc>
              <w:tc>
                <w:tcPr>
                  <w:tcW w:w="1845" w:type="dxa"/>
                  <w:vMerge w:val="continue"/>
                  <w:vAlign w:val="center"/>
                </w:tcPr>
                <w:p w14:paraId="0AD8979B">
                  <w:pPr>
                    <w:spacing w:line="360" w:lineRule="exact"/>
                    <w:jc w:val="center"/>
                    <w:rPr>
                      <w:rFonts w:hint="eastAsia" w:ascii="仿宋" w:hAnsi="仿宋" w:eastAsia="仿宋" w:cs="仿宋"/>
                      <w:color w:val="auto"/>
                      <w:sz w:val="20"/>
                      <w:szCs w:val="20"/>
                      <w:highlight w:val="none"/>
                    </w:rPr>
                  </w:pPr>
                </w:p>
              </w:tc>
              <w:tc>
                <w:tcPr>
                  <w:tcW w:w="2946" w:type="dxa"/>
                  <w:vAlign w:val="center"/>
                </w:tcPr>
                <w:p w14:paraId="323CCD6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吸顶音箱</w:t>
                  </w:r>
                </w:p>
              </w:tc>
              <w:tc>
                <w:tcPr>
                  <w:tcW w:w="823" w:type="dxa"/>
                  <w:noWrap/>
                  <w:vAlign w:val="center"/>
                </w:tcPr>
                <w:p w14:paraId="61A1D0A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r>
            <w:tr w14:paraId="7E2E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04609C1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15</w:t>
                  </w:r>
                </w:p>
              </w:tc>
              <w:tc>
                <w:tcPr>
                  <w:tcW w:w="1845" w:type="dxa"/>
                  <w:vMerge w:val="restart"/>
                  <w:vAlign w:val="center"/>
                </w:tcPr>
                <w:p w14:paraId="095142A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手术室设备集总控制系统</w:t>
                  </w:r>
                </w:p>
              </w:tc>
              <w:tc>
                <w:tcPr>
                  <w:tcW w:w="2946" w:type="dxa"/>
                  <w:vAlign w:val="center"/>
                </w:tcPr>
                <w:p w14:paraId="0D77A74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非医疗设备控制模块</w:t>
                  </w:r>
                </w:p>
              </w:tc>
              <w:tc>
                <w:tcPr>
                  <w:tcW w:w="823" w:type="dxa"/>
                  <w:noWrap/>
                  <w:vAlign w:val="center"/>
                </w:tcPr>
                <w:p w14:paraId="42597D7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0EC3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5B0F4A4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16</w:t>
                  </w:r>
                </w:p>
              </w:tc>
              <w:tc>
                <w:tcPr>
                  <w:tcW w:w="1845" w:type="dxa"/>
                  <w:vMerge w:val="continue"/>
                  <w:vAlign w:val="center"/>
                </w:tcPr>
                <w:p w14:paraId="74A23C5E">
                  <w:pPr>
                    <w:spacing w:line="360" w:lineRule="exact"/>
                    <w:jc w:val="center"/>
                    <w:rPr>
                      <w:rFonts w:hint="eastAsia" w:ascii="仿宋" w:hAnsi="仿宋" w:eastAsia="仿宋" w:cs="仿宋"/>
                      <w:color w:val="auto"/>
                      <w:sz w:val="20"/>
                      <w:szCs w:val="20"/>
                      <w:highlight w:val="none"/>
                    </w:rPr>
                  </w:pPr>
                </w:p>
              </w:tc>
              <w:tc>
                <w:tcPr>
                  <w:tcW w:w="2946" w:type="dxa"/>
                  <w:vAlign w:val="center"/>
                </w:tcPr>
                <w:p w14:paraId="0EF2DE8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医疗设备控制模块</w:t>
                  </w:r>
                </w:p>
              </w:tc>
              <w:tc>
                <w:tcPr>
                  <w:tcW w:w="823" w:type="dxa"/>
                  <w:noWrap/>
                  <w:vAlign w:val="center"/>
                </w:tcPr>
                <w:p w14:paraId="164FCEF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2E09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01BBFD0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17</w:t>
                  </w:r>
                </w:p>
              </w:tc>
              <w:tc>
                <w:tcPr>
                  <w:tcW w:w="1845" w:type="dxa"/>
                  <w:vMerge w:val="restart"/>
                  <w:noWrap/>
                  <w:vAlign w:val="center"/>
                </w:tcPr>
                <w:p w14:paraId="23E6685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移动触控模块</w:t>
                  </w:r>
                </w:p>
              </w:tc>
              <w:tc>
                <w:tcPr>
                  <w:tcW w:w="2946" w:type="dxa"/>
                  <w:vAlign w:val="center"/>
                </w:tcPr>
                <w:p w14:paraId="593E461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移动控制终端</w:t>
                  </w:r>
                </w:p>
              </w:tc>
              <w:tc>
                <w:tcPr>
                  <w:tcW w:w="823" w:type="dxa"/>
                  <w:noWrap/>
                  <w:vAlign w:val="center"/>
                </w:tcPr>
                <w:p w14:paraId="4514122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772C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F0043C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18</w:t>
                  </w:r>
                </w:p>
              </w:tc>
              <w:tc>
                <w:tcPr>
                  <w:tcW w:w="1845" w:type="dxa"/>
                  <w:vMerge w:val="continue"/>
                  <w:vAlign w:val="center"/>
                </w:tcPr>
                <w:p w14:paraId="0834BCA1">
                  <w:pPr>
                    <w:spacing w:line="360" w:lineRule="exact"/>
                    <w:jc w:val="center"/>
                    <w:rPr>
                      <w:rFonts w:hint="eastAsia" w:ascii="仿宋" w:hAnsi="仿宋" w:eastAsia="仿宋" w:cs="仿宋"/>
                      <w:color w:val="auto"/>
                      <w:sz w:val="20"/>
                      <w:szCs w:val="20"/>
                      <w:highlight w:val="none"/>
                    </w:rPr>
                  </w:pPr>
                </w:p>
              </w:tc>
              <w:tc>
                <w:tcPr>
                  <w:tcW w:w="2946" w:type="dxa"/>
                  <w:vAlign w:val="center"/>
                </w:tcPr>
                <w:p w14:paraId="6A351AB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无线AP</w:t>
                  </w:r>
                </w:p>
              </w:tc>
              <w:tc>
                <w:tcPr>
                  <w:tcW w:w="823" w:type="dxa"/>
                  <w:noWrap/>
                  <w:vAlign w:val="center"/>
                </w:tcPr>
                <w:p w14:paraId="124EE17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6E3E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6FE6E53A">
                  <w:pPr>
                    <w:spacing w:line="360" w:lineRule="exact"/>
                    <w:jc w:val="center"/>
                    <w:rPr>
                      <w:rFonts w:hint="eastAsia" w:ascii="仿宋" w:hAnsi="仿宋" w:eastAsia="仿宋" w:cs="仿宋"/>
                      <w:color w:val="auto"/>
                      <w:sz w:val="20"/>
                      <w:szCs w:val="20"/>
                      <w:highlight w:val="none"/>
                    </w:rPr>
                  </w:pPr>
                  <w:bookmarkStart w:id="775" w:name="_Hlk213247036"/>
                  <w:r>
                    <w:rPr>
                      <w:rFonts w:hint="eastAsia" w:ascii="仿宋" w:hAnsi="仿宋" w:eastAsia="仿宋" w:cs="仿宋"/>
                      <w:color w:val="auto"/>
                      <w:sz w:val="20"/>
                      <w:szCs w:val="20"/>
                      <w:highlight w:val="none"/>
                    </w:rPr>
                    <w:t>19</w:t>
                  </w:r>
                </w:p>
              </w:tc>
              <w:tc>
                <w:tcPr>
                  <w:tcW w:w="1845" w:type="dxa"/>
                  <w:vMerge w:val="continue"/>
                  <w:vAlign w:val="center"/>
                </w:tcPr>
                <w:p w14:paraId="07F4E4AD">
                  <w:pPr>
                    <w:spacing w:line="360" w:lineRule="exact"/>
                    <w:jc w:val="center"/>
                    <w:rPr>
                      <w:rFonts w:hint="eastAsia" w:ascii="仿宋" w:hAnsi="仿宋" w:eastAsia="仿宋" w:cs="仿宋"/>
                      <w:color w:val="auto"/>
                      <w:sz w:val="20"/>
                      <w:szCs w:val="20"/>
                      <w:highlight w:val="none"/>
                    </w:rPr>
                  </w:pPr>
                </w:p>
              </w:tc>
              <w:tc>
                <w:tcPr>
                  <w:tcW w:w="2946" w:type="dxa"/>
                  <w:vAlign w:val="center"/>
                </w:tcPr>
                <w:p w14:paraId="58F5650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移动端软件</w:t>
                  </w:r>
                </w:p>
              </w:tc>
              <w:tc>
                <w:tcPr>
                  <w:tcW w:w="823" w:type="dxa"/>
                  <w:noWrap/>
                  <w:vAlign w:val="center"/>
                </w:tcPr>
                <w:p w14:paraId="5932003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7740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79726FD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20</w:t>
                  </w:r>
                </w:p>
              </w:tc>
              <w:tc>
                <w:tcPr>
                  <w:tcW w:w="1845" w:type="dxa"/>
                  <w:vMerge w:val="restart"/>
                  <w:vAlign w:val="center"/>
                </w:tcPr>
                <w:p w14:paraId="363A0C2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家属可视谈话模块</w:t>
                  </w:r>
                </w:p>
              </w:tc>
              <w:tc>
                <w:tcPr>
                  <w:tcW w:w="2946" w:type="dxa"/>
                  <w:noWrap/>
                  <w:vAlign w:val="center"/>
                </w:tcPr>
                <w:p w14:paraId="6BF2490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家属交互模组</w:t>
                  </w:r>
                </w:p>
              </w:tc>
              <w:tc>
                <w:tcPr>
                  <w:tcW w:w="823" w:type="dxa"/>
                  <w:noWrap/>
                  <w:vAlign w:val="center"/>
                </w:tcPr>
                <w:p w14:paraId="48E794B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27D9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11B4E5D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w:t>
                  </w:r>
                </w:p>
              </w:tc>
              <w:tc>
                <w:tcPr>
                  <w:tcW w:w="1845" w:type="dxa"/>
                  <w:vMerge w:val="continue"/>
                  <w:vAlign w:val="center"/>
                </w:tcPr>
                <w:p w14:paraId="63E12385">
                  <w:pPr>
                    <w:spacing w:line="360" w:lineRule="exact"/>
                    <w:jc w:val="center"/>
                    <w:rPr>
                      <w:rFonts w:hint="eastAsia" w:ascii="仿宋" w:hAnsi="仿宋" w:eastAsia="仿宋" w:cs="仿宋"/>
                      <w:color w:val="auto"/>
                      <w:sz w:val="20"/>
                      <w:szCs w:val="20"/>
                      <w:highlight w:val="none"/>
                    </w:rPr>
                  </w:pPr>
                </w:p>
              </w:tc>
              <w:tc>
                <w:tcPr>
                  <w:tcW w:w="2946" w:type="dxa"/>
                  <w:noWrap/>
                  <w:vAlign w:val="center"/>
                </w:tcPr>
                <w:p w14:paraId="4F1C7FA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谈话间软件（医护端）</w:t>
                  </w:r>
                </w:p>
              </w:tc>
              <w:tc>
                <w:tcPr>
                  <w:tcW w:w="823" w:type="dxa"/>
                  <w:noWrap/>
                  <w:vAlign w:val="center"/>
                </w:tcPr>
                <w:p w14:paraId="135B124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2BF1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6A2128C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w:t>
                  </w:r>
                </w:p>
              </w:tc>
              <w:tc>
                <w:tcPr>
                  <w:tcW w:w="1845" w:type="dxa"/>
                  <w:vMerge w:val="restart"/>
                  <w:noWrap/>
                  <w:vAlign w:val="center"/>
                </w:tcPr>
                <w:p w14:paraId="152719F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护士工作平台</w:t>
                  </w:r>
                </w:p>
              </w:tc>
              <w:tc>
                <w:tcPr>
                  <w:tcW w:w="2946" w:type="dxa"/>
                  <w:vAlign w:val="center"/>
                </w:tcPr>
                <w:p w14:paraId="181AE16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护士工作站</w:t>
                  </w:r>
                </w:p>
              </w:tc>
              <w:tc>
                <w:tcPr>
                  <w:tcW w:w="823" w:type="dxa"/>
                  <w:noWrap/>
                  <w:vAlign w:val="center"/>
                </w:tcPr>
                <w:p w14:paraId="5A45343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041E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71B2C52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w:t>
                  </w:r>
                </w:p>
              </w:tc>
              <w:tc>
                <w:tcPr>
                  <w:tcW w:w="1845" w:type="dxa"/>
                  <w:vMerge w:val="continue"/>
                  <w:vAlign w:val="center"/>
                </w:tcPr>
                <w:p w14:paraId="7242C288">
                  <w:pPr>
                    <w:spacing w:line="360" w:lineRule="exact"/>
                    <w:jc w:val="center"/>
                    <w:rPr>
                      <w:rFonts w:hint="eastAsia" w:ascii="仿宋" w:hAnsi="仿宋" w:eastAsia="仿宋" w:cs="仿宋"/>
                      <w:color w:val="auto"/>
                      <w:sz w:val="20"/>
                      <w:szCs w:val="20"/>
                      <w:highlight w:val="none"/>
                    </w:rPr>
                  </w:pPr>
                </w:p>
              </w:tc>
              <w:tc>
                <w:tcPr>
                  <w:tcW w:w="2946" w:type="dxa"/>
                  <w:vAlign w:val="center"/>
                </w:tcPr>
                <w:p w14:paraId="062DD95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护士收纳柜</w:t>
                  </w:r>
                </w:p>
              </w:tc>
              <w:tc>
                <w:tcPr>
                  <w:tcW w:w="823" w:type="dxa"/>
                  <w:noWrap/>
                  <w:vAlign w:val="center"/>
                </w:tcPr>
                <w:p w14:paraId="27F8854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bookmarkEnd w:id="774"/>
            <w:bookmarkEnd w:id="775"/>
            <w:tr w14:paraId="7BB6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05" w:type="dxa"/>
                  <w:noWrap/>
                  <w:vAlign w:val="center"/>
                </w:tcPr>
                <w:p w14:paraId="258D697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24</w:t>
                  </w:r>
                </w:p>
              </w:tc>
              <w:tc>
                <w:tcPr>
                  <w:tcW w:w="1845" w:type="dxa"/>
                  <w:noWrap/>
                  <w:vAlign w:val="center"/>
                </w:tcPr>
                <w:p w14:paraId="3D13703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线缆包</w:t>
                  </w:r>
                </w:p>
              </w:tc>
              <w:tc>
                <w:tcPr>
                  <w:tcW w:w="2946" w:type="dxa"/>
                  <w:vAlign w:val="center"/>
                </w:tcPr>
                <w:p w14:paraId="2DC3D49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4K数字化手术室线缆包</w:t>
                  </w:r>
                </w:p>
              </w:tc>
              <w:tc>
                <w:tcPr>
                  <w:tcW w:w="823" w:type="dxa"/>
                  <w:noWrap/>
                  <w:vAlign w:val="center"/>
                </w:tcPr>
                <w:p w14:paraId="4CBFF8C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按需提供</w:t>
                  </w:r>
                </w:p>
              </w:tc>
            </w:tr>
            <w:bookmarkEnd w:id="773"/>
            <w:tr w14:paraId="6164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96" w:type="dxa"/>
                  <w:gridSpan w:val="3"/>
                  <w:vAlign w:val="center"/>
                </w:tcPr>
                <w:p w14:paraId="2F964086">
                  <w:pPr>
                    <w:spacing w:line="360" w:lineRule="exact"/>
                    <w:jc w:val="left"/>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负压（心脏移植）数字化手术室</w:t>
                  </w:r>
                </w:p>
              </w:tc>
              <w:tc>
                <w:tcPr>
                  <w:tcW w:w="823" w:type="dxa"/>
                  <w:vAlign w:val="center"/>
                </w:tcPr>
                <w:p w14:paraId="32361F89">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1间</w:t>
                  </w:r>
                </w:p>
              </w:tc>
            </w:tr>
            <w:tr w14:paraId="17CC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vAlign w:val="center"/>
                </w:tcPr>
                <w:p w14:paraId="69EF8A2A">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1845" w:type="dxa"/>
                  <w:vAlign w:val="center"/>
                </w:tcPr>
                <w:p w14:paraId="259463A5">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功能模块（单个）</w:t>
                  </w:r>
                </w:p>
              </w:tc>
              <w:tc>
                <w:tcPr>
                  <w:tcW w:w="2946" w:type="dxa"/>
                  <w:vAlign w:val="center"/>
                </w:tcPr>
                <w:p w14:paraId="48BF8A7B">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产品项目</w:t>
                  </w:r>
                </w:p>
              </w:tc>
              <w:tc>
                <w:tcPr>
                  <w:tcW w:w="823" w:type="dxa"/>
                  <w:vAlign w:val="center"/>
                </w:tcPr>
                <w:p w14:paraId="77306CD8">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r>
            <w:tr w14:paraId="33DF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5" w:type="dxa"/>
                  <w:noWrap/>
                  <w:vAlign w:val="center"/>
                </w:tcPr>
                <w:p w14:paraId="1BFDF0C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5" w:type="dxa"/>
                  <w:vMerge w:val="restart"/>
                  <w:noWrap/>
                  <w:vAlign w:val="center"/>
                </w:tcPr>
                <w:p w14:paraId="780A965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中央处理系统</w:t>
                  </w:r>
                </w:p>
              </w:tc>
              <w:tc>
                <w:tcPr>
                  <w:tcW w:w="2946" w:type="dxa"/>
                  <w:vAlign w:val="center"/>
                </w:tcPr>
                <w:p w14:paraId="4937AE6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4K数字一体化手术室系统主机(手术室)</w:t>
                  </w:r>
                </w:p>
              </w:tc>
              <w:tc>
                <w:tcPr>
                  <w:tcW w:w="823" w:type="dxa"/>
                  <w:noWrap/>
                  <w:vAlign w:val="center"/>
                </w:tcPr>
                <w:p w14:paraId="782B656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2AEF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185AE1F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845" w:type="dxa"/>
                  <w:vMerge w:val="continue"/>
                  <w:vAlign w:val="center"/>
                </w:tcPr>
                <w:p w14:paraId="719B7687">
                  <w:pPr>
                    <w:spacing w:line="360" w:lineRule="exact"/>
                    <w:jc w:val="center"/>
                    <w:rPr>
                      <w:rFonts w:hint="eastAsia" w:ascii="仿宋" w:hAnsi="仿宋" w:eastAsia="仿宋" w:cs="仿宋"/>
                      <w:color w:val="auto"/>
                      <w:sz w:val="20"/>
                      <w:szCs w:val="20"/>
                      <w:highlight w:val="none"/>
                    </w:rPr>
                  </w:pPr>
                </w:p>
              </w:tc>
              <w:tc>
                <w:tcPr>
                  <w:tcW w:w="2946" w:type="dxa"/>
                  <w:vAlign w:val="center"/>
                </w:tcPr>
                <w:p w14:paraId="741F02E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中央触控终端（嵌入式）</w:t>
                  </w:r>
                </w:p>
              </w:tc>
              <w:tc>
                <w:tcPr>
                  <w:tcW w:w="823" w:type="dxa"/>
                  <w:noWrap/>
                  <w:vAlign w:val="center"/>
                </w:tcPr>
                <w:p w14:paraId="64BFBE2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1303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40E2DF2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1845" w:type="dxa"/>
                  <w:vMerge w:val="continue"/>
                  <w:vAlign w:val="center"/>
                </w:tcPr>
                <w:p w14:paraId="5A984A43">
                  <w:pPr>
                    <w:spacing w:line="360" w:lineRule="exact"/>
                    <w:jc w:val="center"/>
                    <w:rPr>
                      <w:rFonts w:hint="eastAsia" w:ascii="仿宋" w:hAnsi="仿宋" w:eastAsia="仿宋" w:cs="仿宋"/>
                      <w:color w:val="auto"/>
                      <w:sz w:val="20"/>
                      <w:szCs w:val="20"/>
                      <w:highlight w:val="none"/>
                    </w:rPr>
                  </w:pPr>
                </w:p>
              </w:tc>
              <w:tc>
                <w:tcPr>
                  <w:tcW w:w="2946" w:type="dxa"/>
                  <w:vAlign w:val="center"/>
                </w:tcPr>
                <w:p w14:paraId="1F65DDC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数据交互设备</w:t>
                  </w:r>
                </w:p>
              </w:tc>
              <w:tc>
                <w:tcPr>
                  <w:tcW w:w="823" w:type="dxa"/>
                  <w:noWrap/>
                  <w:vAlign w:val="center"/>
                </w:tcPr>
                <w:p w14:paraId="21FA1BA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26BB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04CEBA6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1845" w:type="dxa"/>
                  <w:vMerge w:val="continue"/>
                  <w:vAlign w:val="center"/>
                </w:tcPr>
                <w:p w14:paraId="09D09D7D">
                  <w:pPr>
                    <w:spacing w:line="360" w:lineRule="exact"/>
                    <w:jc w:val="center"/>
                    <w:rPr>
                      <w:rFonts w:hint="eastAsia" w:ascii="仿宋" w:hAnsi="仿宋" w:eastAsia="仿宋" w:cs="仿宋"/>
                      <w:color w:val="auto"/>
                      <w:sz w:val="20"/>
                      <w:szCs w:val="20"/>
                      <w:highlight w:val="none"/>
                    </w:rPr>
                  </w:pPr>
                </w:p>
              </w:tc>
              <w:tc>
                <w:tcPr>
                  <w:tcW w:w="2946" w:type="dxa"/>
                  <w:vAlign w:val="center"/>
                </w:tcPr>
                <w:p w14:paraId="2336891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视频画面处理器（手术室）</w:t>
                  </w:r>
                </w:p>
              </w:tc>
              <w:tc>
                <w:tcPr>
                  <w:tcW w:w="823" w:type="dxa"/>
                  <w:noWrap/>
                  <w:vAlign w:val="center"/>
                </w:tcPr>
                <w:p w14:paraId="7E37336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2C2C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7E8FF9B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1845" w:type="dxa"/>
                  <w:vMerge w:val="continue"/>
                  <w:vAlign w:val="center"/>
                </w:tcPr>
                <w:p w14:paraId="746CE2C2">
                  <w:pPr>
                    <w:spacing w:line="360" w:lineRule="exact"/>
                    <w:jc w:val="center"/>
                    <w:rPr>
                      <w:rFonts w:hint="eastAsia" w:ascii="仿宋" w:hAnsi="仿宋" w:eastAsia="仿宋" w:cs="仿宋"/>
                      <w:color w:val="auto"/>
                      <w:sz w:val="20"/>
                      <w:szCs w:val="20"/>
                      <w:highlight w:val="none"/>
                    </w:rPr>
                  </w:pPr>
                </w:p>
              </w:tc>
              <w:tc>
                <w:tcPr>
                  <w:tcW w:w="2946" w:type="dxa"/>
                  <w:vAlign w:val="center"/>
                </w:tcPr>
                <w:p w14:paraId="10442CA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音频功放</w:t>
                  </w:r>
                </w:p>
              </w:tc>
              <w:tc>
                <w:tcPr>
                  <w:tcW w:w="823" w:type="dxa"/>
                  <w:noWrap/>
                  <w:vAlign w:val="center"/>
                </w:tcPr>
                <w:p w14:paraId="2272E0F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6966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541A74E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1845" w:type="dxa"/>
                  <w:vMerge w:val="restart"/>
                  <w:noWrap/>
                  <w:vAlign w:val="center"/>
                </w:tcPr>
                <w:p w14:paraId="16031AF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视频编解码设备</w:t>
                  </w:r>
                </w:p>
              </w:tc>
              <w:tc>
                <w:tcPr>
                  <w:tcW w:w="2946" w:type="dxa"/>
                  <w:vAlign w:val="center"/>
                </w:tcPr>
                <w:p w14:paraId="102DF17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全景编码器</w:t>
                  </w:r>
                </w:p>
              </w:tc>
              <w:tc>
                <w:tcPr>
                  <w:tcW w:w="823" w:type="dxa"/>
                  <w:noWrap/>
                  <w:vAlign w:val="center"/>
                </w:tcPr>
                <w:p w14:paraId="4D95082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5E62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142B5AC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c>
                <w:tcPr>
                  <w:tcW w:w="1845" w:type="dxa"/>
                  <w:vMerge w:val="continue"/>
                  <w:vAlign w:val="center"/>
                </w:tcPr>
                <w:p w14:paraId="5E465B6F">
                  <w:pPr>
                    <w:spacing w:line="360" w:lineRule="exact"/>
                    <w:jc w:val="center"/>
                    <w:rPr>
                      <w:rFonts w:hint="eastAsia" w:ascii="仿宋" w:hAnsi="仿宋" w:eastAsia="仿宋" w:cs="仿宋"/>
                      <w:color w:val="auto"/>
                      <w:sz w:val="20"/>
                      <w:szCs w:val="20"/>
                      <w:highlight w:val="none"/>
                    </w:rPr>
                  </w:pPr>
                </w:p>
              </w:tc>
              <w:tc>
                <w:tcPr>
                  <w:tcW w:w="2946" w:type="dxa"/>
                  <w:vAlign w:val="center"/>
                </w:tcPr>
                <w:p w14:paraId="4C2E94A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视频编码器</w:t>
                  </w:r>
                </w:p>
              </w:tc>
              <w:tc>
                <w:tcPr>
                  <w:tcW w:w="823" w:type="dxa"/>
                  <w:noWrap/>
                  <w:vAlign w:val="center"/>
                </w:tcPr>
                <w:p w14:paraId="320AAB8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r>
            <w:tr w14:paraId="5F07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7E488D2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1845" w:type="dxa"/>
                  <w:vMerge w:val="continue"/>
                  <w:vAlign w:val="center"/>
                </w:tcPr>
                <w:p w14:paraId="405CA9DA">
                  <w:pPr>
                    <w:spacing w:line="360" w:lineRule="exact"/>
                    <w:jc w:val="center"/>
                    <w:rPr>
                      <w:rFonts w:hint="eastAsia" w:ascii="仿宋" w:hAnsi="仿宋" w:eastAsia="仿宋" w:cs="仿宋"/>
                      <w:color w:val="auto"/>
                      <w:sz w:val="20"/>
                      <w:szCs w:val="20"/>
                      <w:highlight w:val="none"/>
                    </w:rPr>
                  </w:pPr>
                </w:p>
              </w:tc>
              <w:tc>
                <w:tcPr>
                  <w:tcW w:w="2946" w:type="dxa"/>
                  <w:vAlign w:val="center"/>
                </w:tcPr>
                <w:p w14:paraId="3DECD42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视频解码器</w:t>
                  </w:r>
                </w:p>
              </w:tc>
              <w:tc>
                <w:tcPr>
                  <w:tcW w:w="823" w:type="dxa"/>
                  <w:noWrap/>
                  <w:vAlign w:val="center"/>
                </w:tcPr>
                <w:p w14:paraId="4193D2B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r>
            <w:tr w14:paraId="6236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1045A9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c>
                <w:tcPr>
                  <w:tcW w:w="1845" w:type="dxa"/>
                  <w:vMerge w:val="restart"/>
                  <w:noWrap/>
                  <w:vAlign w:val="center"/>
                </w:tcPr>
                <w:p w14:paraId="0F13574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视频显示设备</w:t>
                  </w:r>
                </w:p>
              </w:tc>
              <w:tc>
                <w:tcPr>
                  <w:tcW w:w="2946" w:type="dxa"/>
                  <w:vAlign w:val="center"/>
                </w:tcPr>
                <w:p w14:paraId="7408EAA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31英寸4K医用显示器</w:t>
                  </w:r>
                </w:p>
              </w:tc>
              <w:tc>
                <w:tcPr>
                  <w:tcW w:w="823" w:type="dxa"/>
                  <w:noWrap/>
                  <w:vAlign w:val="center"/>
                </w:tcPr>
                <w:p w14:paraId="151F060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3483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6FAF4EF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w:t>
                  </w:r>
                </w:p>
              </w:tc>
              <w:tc>
                <w:tcPr>
                  <w:tcW w:w="1845" w:type="dxa"/>
                  <w:vMerge w:val="continue"/>
                  <w:vAlign w:val="center"/>
                </w:tcPr>
                <w:p w14:paraId="33762224">
                  <w:pPr>
                    <w:spacing w:line="360" w:lineRule="exact"/>
                    <w:jc w:val="center"/>
                    <w:rPr>
                      <w:rFonts w:hint="eastAsia" w:ascii="仿宋" w:hAnsi="仿宋" w:eastAsia="仿宋" w:cs="仿宋"/>
                      <w:color w:val="auto"/>
                      <w:sz w:val="20"/>
                      <w:szCs w:val="20"/>
                      <w:highlight w:val="none"/>
                    </w:rPr>
                  </w:pPr>
                </w:p>
              </w:tc>
              <w:tc>
                <w:tcPr>
                  <w:tcW w:w="2946" w:type="dxa"/>
                  <w:vAlign w:val="center"/>
                </w:tcPr>
                <w:p w14:paraId="56089E0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65英寸4K触控显示器（嵌墙式)</w:t>
                  </w:r>
                </w:p>
              </w:tc>
              <w:tc>
                <w:tcPr>
                  <w:tcW w:w="823" w:type="dxa"/>
                  <w:noWrap/>
                  <w:vAlign w:val="center"/>
                </w:tcPr>
                <w:p w14:paraId="23A2B84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187F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9C61DF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w:t>
                  </w:r>
                </w:p>
              </w:tc>
              <w:tc>
                <w:tcPr>
                  <w:tcW w:w="1845" w:type="dxa"/>
                  <w:vMerge w:val="restart"/>
                  <w:noWrap/>
                  <w:vAlign w:val="center"/>
                </w:tcPr>
                <w:p w14:paraId="3078E8A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视音频外设</w:t>
                  </w:r>
                </w:p>
              </w:tc>
              <w:tc>
                <w:tcPr>
                  <w:tcW w:w="2946" w:type="dxa"/>
                  <w:vAlign w:val="center"/>
                </w:tcPr>
                <w:p w14:paraId="2981E03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4K全景摄像机</w:t>
                  </w:r>
                </w:p>
              </w:tc>
              <w:tc>
                <w:tcPr>
                  <w:tcW w:w="823" w:type="dxa"/>
                  <w:noWrap/>
                  <w:vAlign w:val="center"/>
                </w:tcPr>
                <w:p w14:paraId="7682F1B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0D06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61D9427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w:t>
                  </w:r>
                </w:p>
              </w:tc>
              <w:tc>
                <w:tcPr>
                  <w:tcW w:w="1845" w:type="dxa"/>
                  <w:vMerge w:val="continue"/>
                  <w:vAlign w:val="center"/>
                </w:tcPr>
                <w:p w14:paraId="66D7D7BF">
                  <w:pPr>
                    <w:spacing w:line="360" w:lineRule="exact"/>
                    <w:jc w:val="center"/>
                    <w:rPr>
                      <w:rFonts w:hint="eastAsia" w:ascii="仿宋" w:hAnsi="仿宋" w:eastAsia="仿宋" w:cs="仿宋"/>
                      <w:color w:val="auto"/>
                      <w:sz w:val="20"/>
                      <w:szCs w:val="20"/>
                      <w:highlight w:val="none"/>
                    </w:rPr>
                  </w:pPr>
                </w:p>
              </w:tc>
              <w:tc>
                <w:tcPr>
                  <w:tcW w:w="2946" w:type="dxa"/>
                  <w:vAlign w:val="center"/>
                </w:tcPr>
                <w:p w14:paraId="017CB8A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领夹无线麦克风</w:t>
                  </w:r>
                </w:p>
              </w:tc>
              <w:tc>
                <w:tcPr>
                  <w:tcW w:w="823" w:type="dxa"/>
                  <w:noWrap/>
                  <w:vAlign w:val="center"/>
                </w:tcPr>
                <w:p w14:paraId="28C447E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023CD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5817BEC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w:t>
                  </w:r>
                </w:p>
              </w:tc>
              <w:tc>
                <w:tcPr>
                  <w:tcW w:w="1845" w:type="dxa"/>
                  <w:vMerge w:val="continue"/>
                  <w:vAlign w:val="center"/>
                </w:tcPr>
                <w:p w14:paraId="21FEC188">
                  <w:pPr>
                    <w:spacing w:line="360" w:lineRule="exact"/>
                    <w:jc w:val="center"/>
                    <w:rPr>
                      <w:rFonts w:hint="eastAsia" w:ascii="仿宋" w:hAnsi="仿宋" w:eastAsia="仿宋" w:cs="仿宋"/>
                      <w:color w:val="auto"/>
                      <w:sz w:val="20"/>
                      <w:szCs w:val="20"/>
                      <w:highlight w:val="none"/>
                    </w:rPr>
                  </w:pPr>
                </w:p>
              </w:tc>
              <w:tc>
                <w:tcPr>
                  <w:tcW w:w="2946" w:type="dxa"/>
                  <w:vAlign w:val="center"/>
                </w:tcPr>
                <w:p w14:paraId="4553497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吸顶音箱</w:t>
                  </w:r>
                </w:p>
              </w:tc>
              <w:tc>
                <w:tcPr>
                  <w:tcW w:w="823" w:type="dxa"/>
                  <w:noWrap/>
                  <w:vAlign w:val="center"/>
                </w:tcPr>
                <w:p w14:paraId="2736F40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r>
            <w:tr w14:paraId="6229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73F274E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14</w:t>
                  </w:r>
                </w:p>
              </w:tc>
              <w:tc>
                <w:tcPr>
                  <w:tcW w:w="1845" w:type="dxa"/>
                  <w:vMerge w:val="restart"/>
                  <w:vAlign w:val="center"/>
                </w:tcPr>
                <w:p w14:paraId="377AF77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手术室设备集总控制系统</w:t>
                  </w:r>
                </w:p>
              </w:tc>
              <w:tc>
                <w:tcPr>
                  <w:tcW w:w="2946" w:type="dxa"/>
                  <w:vAlign w:val="center"/>
                </w:tcPr>
                <w:p w14:paraId="037385D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非医疗设备控制模块</w:t>
                  </w:r>
                </w:p>
              </w:tc>
              <w:tc>
                <w:tcPr>
                  <w:tcW w:w="823" w:type="dxa"/>
                  <w:noWrap/>
                  <w:vAlign w:val="center"/>
                </w:tcPr>
                <w:p w14:paraId="01E2502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5239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6125145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15</w:t>
                  </w:r>
                </w:p>
              </w:tc>
              <w:tc>
                <w:tcPr>
                  <w:tcW w:w="1845" w:type="dxa"/>
                  <w:vMerge w:val="continue"/>
                  <w:vAlign w:val="center"/>
                </w:tcPr>
                <w:p w14:paraId="6689AE6F">
                  <w:pPr>
                    <w:spacing w:line="360" w:lineRule="exact"/>
                    <w:jc w:val="center"/>
                    <w:rPr>
                      <w:rFonts w:hint="eastAsia" w:ascii="仿宋" w:hAnsi="仿宋" w:eastAsia="仿宋" w:cs="仿宋"/>
                      <w:color w:val="auto"/>
                      <w:sz w:val="20"/>
                      <w:szCs w:val="20"/>
                      <w:highlight w:val="none"/>
                    </w:rPr>
                  </w:pPr>
                </w:p>
              </w:tc>
              <w:tc>
                <w:tcPr>
                  <w:tcW w:w="2946" w:type="dxa"/>
                  <w:vAlign w:val="center"/>
                </w:tcPr>
                <w:p w14:paraId="4AF5C2F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医疗设备控制模块</w:t>
                  </w:r>
                </w:p>
              </w:tc>
              <w:tc>
                <w:tcPr>
                  <w:tcW w:w="823" w:type="dxa"/>
                  <w:noWrap/>
                  <w:vAlign w:val="center"/>
                </w:tcPr>
                <w:p w14:paraId="5144A9F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3D10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738EB3D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16</w:t>
                  </w:r>
                </w:p>
              </w:tc>
              <w:tc>
                <w:tcPr>
                  <w:tcW w:w="1845" w:type="dxa"/>
                  <w:vMerge w:val="restart"/>
                  <w:noWrap/>
                  <w:vAlign w:val="center"/>
                </w:tcPr>
                <w:p w14:paraId="44961BA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移动触控模块</w:t>
                  </w:r>
                </w:p>
              </w:tc>
              <w:tc>
                <w:tcPr>
                  <w:tcW w:w="2946" w:type="dxa"/>
                  <w:vAlign w:val="center"/>
                </w:tcPr>
                <w:p w14:paraId="4DAF490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移动控制终端</w:t>
                  </w:r>
                </w:p>
              </w:tc>
              <w:tc>
                <w:tcPr>
                  <w:tcW w:w="823" w:type="dxa"/>
                  <w:noWrap/>
                  <w:vAlign w:val="center"/>
                </w:tcPr>
                <w:p w14:paraId="589090D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67BE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C12A3C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17</w:t>
                  </w:r>
                </w:p>
              </w:tc>
              <w:tc>
                <w:tcPr>
                  <w:tcW w:w="1845" w:type="dxa"/>
                  <w:vMerge w:val="continue"/>
                  <w:vAlign w:val="center"/>
                </w:tcPr>
                <w:p w14:paraId="3221050C">
                  <w:pPr>
                    <w:spacing w:line="360" w:lineRule="exact"/>
                    <w:jc w:val="center"/>
                    <w:rPr>
                      <w:rFonts w:hint="eastAsia" w:ascii="仿宋" w:hAnsi="仿宋" w:eastAsia="仿宋" w:cs="仿宋"/>
                      <w:color w:val="auto"/>
                      <w:sz w:val="20"/>
                      <w:szCs w:val="20"/>
                      <w:highlight w:val="none"/>
                    </w:rPr>
                  </w:pPr>
                </w:p>
              </w:tc>
              <w:tc>
                <w:tcPr>
                  <w:tcW w:w="2946" w:type="dxa"/>
                  <w:vAlign w:val="center"/>
                </w:tcPr>
                <w:p w14:paraId="37CB605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无线AP</w:t>
                  </w:r>
                </w:p>
              </w:tc>
              <w:tc>
                <w:tcPr>
                  <w:tcW w:w="823" w:type="dxa"/>
                  <w:noWrap/>
                  <w:vAlign w:val="center"/>
                </w:tcPr>
                <w:p w14:paraId="103BF8A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0E3F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1763D9C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18</w:t>
                  </w:r>
                </w:p>
              </w:tc>
              <w:tc>
                <w:tcPr>
                  <w:tcW w:w="1845" w:type="dxa"/>
                  <w:vMerge w:val="continue"/>
                  <w:vAlign w:val="center"/>
                </w:tcPr>
                <w:p w14:paraId="6CA58CCA">
                  <w:pPr>
                    <w:spacing w:line="360" w:lineRule="exact"/>
                    <w:jc w:val="center"/>
                    <w:rPr>
                      <w:rFonts w:hint="eastAsia" w:ascii="仿宋" w:hAnsi="仿宋" w:eastAsia="仿宋" w:cs="仿宋"/>
                      <w:color w:val="auto"/>
                      <w:sz w:val="20"/>
                      <w:szCs w:val="20"/>
                      <w:highlight w:val="none"/>
                    </w:rPr>
                  </w:pPr>
                </w:p>
              </w:tc>
              <w:tc>
                <w:tcPr>
                  <w:tcW w:w="2946" w:type="dxa"/>
                  <w:vAlign w:val="center"/>
                </w:tcPr>
                <w:p w14:paraId="26170CC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移动端软件</w:t>
                  </w:r>
                </w:p>
              </w:tc>
              <w:tc>
                <w:tcPr>
                  <w:tcW w:w="823" w:type="dxa"/>
                  <w:noWrap/>
                  <w:vAlign w:val="center"/>
                </w:tcPr>
                <w:p w14:paraId="5D512D3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6642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6E7650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19</w:t>
                  </w:r>
                </w:p>
              </w:tc>
              <w:tc>
                <w:tcPr>
                  <w:tcW w:w="1845" w:type="dxa"/>
                  <w:vMerge w:val="restart"/>
                  <w:vAlign w:val="center"/>
                </w:tcPr>
                <w:p w14:paraId="661C83C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家属可视谈话模块</w:t>
                  </w:r>
                </w:p>
              </w:tc>
              <w:tc>
                <w:tcPr>
                  <w:tcW w:w="2946" w:type="dxa"/>
                  <w:noWrap/>
                  <w:vAlign w:val="center"/>
                </w:tcPr>
                <w:p w14:paraId="6EF8643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家属交互模组</w:t>
                  </w:r>
                </w:p>
              </w:tc>
              <w:tc>
                <w:tcPr>
                  <w:tcW w:w="823" w:type="dxa"/>
                  <w:noWrap/>
                  <w:vAlign w:val="center"/>
                </w:tcPr>
                <w:p w14:paraId="4A2AC7D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2D15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144194E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20</w:t>
                  </w:r>
                </w:p>
              </w:tc>
              <w:tc>
                <w:tcPr>
                  <w:tcW w:w="1845" w:type="dxa"/>
                  <w:vMerge w:val="continue"/>
                  <w:vAlign w:val="center"/>
                </w:tcPr>
                <w:p w14:paraId="32F9A48E">
                  <w:pPr>
                    <w:spacing w:line="360" w:lineRule="exact"/>
                    <w:jc w:val="center"/>
                    <w:rPr>
                      <w:rFonts w:hint="eastAsia" w:ascii="仿宋" w:hAnsi="仿宋" w:eastAsia="仿宋" w:cs="仿宋"/>
                      <w:color w:val="auto"/>
                      <w:sz w:val="20"/>
                      <w:szCs w:val="20"/>
                      <w:highlight w:val="none"/>
                    </w:rPr>
                  </w:pPr>
                </w:p>
              </w:tc>
              <w:tc>
                <w:tcPr>
                  <w:tcW w:w="2946" w:type="dxa"/>
                  <w:noWrap/>
                  <w:vAlign w:val="center"/>
                </w:tcPr>
                <w:p w14:paraId="2E2A982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谈话间软件（医护端）</w:t>
                  </w:r>
                </w:p>
              </w:tc>
              <w:tc>
                <w:tcPr>
                  <w:tcW w:w="823" w:type="dxa"/>
                  <w:noWrap/>
                  <w:vAlign w:val="center"/>
                </w:tcPr>
                <w:p w14:paraId="331AFAD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57FF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6086F7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w:t>
                  </w:r>
                </w:p>
              </w:tc>
              <w:tc>
                <w:tcPr>
                  <w:tcW w:w="1845" w:type="dxa"/>
                  <w:vMerge w:val="restart"/>
                  <w:noWrap/>
                  <w:vAlign w:val="center"/>
                </w:tcPr>
                <w:p w14:paraId="7CA8566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护士工作平台</w:t>
                  </w:r>
                </w:p>
              </w:tc>
              <w:tc>
                <w:tcPr>
                  <w:tcW w:w="2946" w:type="dxa"/>
                  <w:vAlign w:val="center"/>
                </w:tcPr>
                <w:p w14:paraId="6107C67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护士工作站</w:t>
                  </w:r>
                </w:p>
              </w:tc>
              <w:tc>
                <w:tcPr>
                  <w:tcW w:w="823" w:type="dxa"/>
                  <w:noWrap/>
                  <w:vAlign w:val="center"/>
                </w:tcPr>
                <w:p w14:paraId="0256D39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2ADB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7E4344E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w:t>
                  </w:r>
                </w:p>
              </w:tc>
              <w:tc>
                <w:tcPr>
                  <w:tcW w:w="1845" w:type="dxa"/>
                  <w:vMerge w:val="continue"/>
                  <w:vAlign w:val="center"/>
                </w:tcPr>
                <w:p w14:paraId="75B7BC37">
                  <w:pPr>
                    <w:spacing w:line="360" w:lineRule="exact"/>
                    <w:jc w:val="center"/>
                    <w:rPr>
                      <w:rFonts w:hint="eastAsia" w:ascii="仿宋" w:hAnsi="仿宋" w:eastAsia="仿宋" w:cs="仿宋"/>
                      <w:color w:val="auto"/>
                      <w:sz w:val="20"/>
                      <w:szCs w:val="20"/>
                      <w:highlight w:val="none"/>
                    </w:rPr>
                  </w:pPr>
                </w:p>
              </w:tc>
              <w:tc>
                <w:tcPr>
                  <w:tcW w:w="2946" w:type="dxa"/>
                  <w:vAlign w:val="center"/>
                </w:tcPr>
                <w:p w14:paraId="24BC89E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护士收纳柜</w:t>
                  </w:r>
                </w:p>
              </w:tc>
              <w:tc>
                <w:tcPr>
                  <w:tcW w:w="823" w:type="dxa"/>
                  <w:noWrap/>
                  <w:vAlign w:val="center"/>
                </w:tcPr>
                <w:p w14:paraId="70027F5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06A3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05" w:type="dxa"/>
                  <w:noWrap/>
                  <w:vAlign w:val="center"/>
                </w:tcPr>
                <w:p w14:paraId="53A2CFB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w:t>
                  </w:r>
                </w:p>
              </w:tc>
              <w:tc>
                <w:tcPr>
                  <w:tcW w:w="1845" w:type="dxa"/>
                  <w:noWrap/>
                  <w:vAlign w:val="center"/>
                </w:tcPr>
                <w:p w14:paraId="2808BA8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线缆包</w:t>
                  </w:r>
                </w:p>
              </w:tc>
              <w:tc>
                <w:tcPr>
                  <w:tcW w:w="2946" w:type="dxa"/>
                  <w:vAlign w:val="center"/>
                </w:tcPr>
                <w:p w14:paraId="71E9060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4K数字化手术室线缆包</w:t>
                  </w:r>
                </w:p>
              </w:tc>
              <w:tc>
                <w:tcPr>
                  <w:tcW w:w="823" w:type="dxa"/>
                  <w:noWrap/>
                  <w:vAlign w:val="center"/>
                </w:tcPr>
                <w:p w14:paraId="1399998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按需提供</w:t>
                  </w:r>
                </w:p>
              </w:tc>
            </w:tr>
            <w:tr w14:paraId="2738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96" w:type="dxa"/>
                  <w:gridSpan w:val="3"/>
                  <w:vAlign w:val="center"/>
                </w:tcPr>
                <w:p w14:paraId="52F4EF87">
                  <w:pPr>
                    <w:spacing w:line="360" w:lineRule="exact"/>
                    <w:jc w:val="left"/>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基础版数字化手术室</w:t>
                  </w:r>
                </w:p>
              </w:tc>
              <w:tc>
                <w:tcPr>
                  <w:tcW w:w="823" w:type="dxa"/>
                  <w:vAlign w:val="center"/>
                </w:tcPr>
                <w:p w14:paraId="1995E9D5">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9间</w:t>
                  </w:r>
                </w:p>
              </w:tc>
            </w:tr>
            <w:tr w14:paraId="0863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vAlign w:val="center"/>
                </w:tcPr>
                <w:p w14:paraId="377E387A">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1845" w:type="dxa"/>
                  <w:vAlign w:val="center"/>
                </w:tcPr>
                <w:p w14:paraId="0049784A">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功能模块（单个）</w:t>
                  </w:r>
                </w:p>
              </w:tc>
              <w:tc>
                <w:tcPr>
                  <w:tcW w:w="2946" w:type="dxa"/>
                  <w:vAlign w:val="center"/>
                </w:tcPr>
                <w:p w14:paraId="1D986BCD">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产品项目</w:t>
                  </w:r>
                </w:p>
              </w:tc>
              <w:tc>
                <w:tcPr>
                  <w:tcW w:w="823" w:type="dxa"/>
                  <w:vAlign w:val="center"/>
                </w:tcPr>
                <w:p w14:paraId="7B6C64CC">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r>
            <w:tr w14:paraId="5961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5" w:type="dxa"/>
                  <w:noWrap/>
                  <w:vAlign w:val="center"/>
                </w:tcPr>
                <w:p w14:paraId="7A8A683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5" w:type="dxa"/>
                  <w:vMerge w:val="restart"/>
                  <w:noWrap/>
                  <w:vAlign w:val="center"/>
                </w:tcPr>
                <w:p w14:paraId="2ACBEB2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中央处理系统</w:t>
                  </w:r>
                </w:p>
              </w:tc>
              <w:tc>
                <w:tcPr>
                  <w:tcW w:w="2946" w:type="dxa"/>
                  <w:vAlign w:val="center"/>
                </w:tcPr>
                <w:p w14:paraId="6C0A135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基础版数字一体化手术室系统主机(手术室)</w:t>
                  </w:r>
                </w:p>
              </w:tc>
              <w:tc>
                <w:tcPr>
                  <w:tcW w:w="823" w:type="dxa"/>
                  <w:noWrap/>
                  <w:vAlign w:val="center"/>
                </w:tcPr>
                <w:p w14:paraId="59958D7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61DB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10281B8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845" w:type="dxa"/>
                  <w:vMerge w:val="continue"/>
                  <w:vAlign w:val="center"/>
                </w:tcPr>
                <w:p w14:paraId="6DB49368">
                  <w:pPr>
                    <w:spacing w:line="360" w:lineRule="exact"/>
                    <w:jc w:val="center"/>
                    <w:rPr>
                      <w:rFonts w:hint="eastAsia" w:ascii="仿宋" w:hAnsi="仿宋" w:eastAsia="仿宋" w:cs="仿宋"/>
                      <w:color w:val="auto"/>
                      <w:sz w:val="20"/>
                      <w:szCs w:val="20"/>
                      <w:highlight w:val="none"/>
                    </w:rPr>
                  </w:pPr>
                </w:p>
              </w:tc>
              <w:tc>
                <w:tcPr>
                  <w:tcW w:w="2946" w:type="dxa"/>
                  <w:vAlign w:val="center"/>
                </w:tcPr>
                <w:p w14:paraId="4387F1A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中央触控终端（嵌入式）</w:t>
                  </w:r>
                </w:p>
              </w:tc>
              <w:tc>
                <w:tcPr>
                  <w:tcW w:w="823" w:type="dxa"/>
                  <w:noWrap/>
                  <w:vAlign w:val="center"/>
                </w:tcPr>
                <w:p w14:paraId="514F14B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6EEA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472ABDE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1845" w:type="dxa"/>
                  <w:vMerge w:val="continue"/>
                  <w:vAlign w:val="center"/>
                </w:tcPr>
                <w:p w14:paraId="4DC433B7">
                  <w:pPr>
                    <w:spacing w:line="360" w:lineRule="exact"/>
                    <w:jc w:val="center"/>
                    <w:rPr>
                      <w:rFonts w:hint="eastAsia" w:ascii="仿宋" w:hAnsi="仿宋" w:eastAsia="仿宋" w:cs="仿宋"/>
                      <w:color w:val="auto"/>
                      <w:sz w:val="20"/>
                      <w:szCs w:val="20"/>
                      <w:highlight w:val="none"/>
                    </w:rPr>
                  </w:pPr>
                </w:p>
              </w:tc>
              <w:tc>
                <w:tcPr>
                  <w:tcW w:w="2946" w:type="dxa"/>
                  <w:vAlign w:val="center"/>
                </w:tcPr>
                <w:p w14:paraId="7B00C36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音频功放</w:t>
                  </w:r>
                </w:p>
              </w:tc>
              <w:tc>
                <w:tcPr>
                  <w:tcW w:w="823" w:type="dxa"/>
                  <w:noWrap/>
                  <w:vAlign w:val="center"/>
                </w:tcPr>
                <w:p w14:paraId="6756258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5EAD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CDBB32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1845" w:type="dxa"/>
                  <w:vMerge w:val="restart"/>
                  <w:noWrap/>
                  <w:vAlign w:val="center"/>
                </w:tcPr>
                <w:p w14:paraId="5375B3D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视频编解码设备</w:t>
                  </w:r>
                </w:p>
              </w:tc>
              <w:tc>
                <w:tcPr>
                  <w:tcW w:w="2946" w:type="dxa"/>
                  <w:vAlign w:val="center"/>
                </w:tcPr>
                <w:p w14:paraId="6582226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视频编码器</w:t>
                  </w:r>
                </w:p>
              </w:tc>
              <w:tc>
                <w:tcPr>
                  <w:tcW w:w="823" w:type="dxa"/>
                  <w:noWrap/>
                  <w:vAlign w:val="center"/>
                </w:tcPr>
                <w:p w14:paraId="4C6F236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152F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9CFC6B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1845" w:type="dxa"/>
                  <w:vMerge w:val="continue"/>
                  <w:vAlign w:val="center"/>
                </w:tcPr>
                <w:p w14:paraId="7307B69E">
                  <w:pPr>
                    <w:spacing w:line="360" w:lineRule="exact"/>
                    <w:jc w:val="center"/>
                    <w:rPr>
                      <w:rFonts w:hint="eastAsia" w:ascii="仿宋" w:hAnsi="仿宋" w:eastAsia="仿宋" w:cs="仿宋"/>
                      <w:color w:val="auto"/>
                      <w:sz w:val="20"/>
                      <w:szCs w:val="20"/>
                      <w:highlight w:val="none"/>
                    </w:rPr>
                  </w:pPr>
                </w:p>
              </w:tc>
              <w:tc>
                <w:tcPr>
                  <w:tcW w:w="2946" w:type="dxa"/>
                  <w:vAlign w:val="center"/>
                </w:tcPr>
                <w:p w14:paraId="09F5BE9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视频解码器</w:t>
                  </w:r>
                </w:p>
              </w:tc>
              <w:tc>
                <w:tcPr>
                  <w:tcW w:w="823" w:type="dxa"/>
                  <w:noWrap/>
                  <w:vAlign w:val="center"/>
                </w:tcPr>
                <w:p w14:paraId="339C7B3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725B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47606C3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1845" w:type="dxa"/>
                  <w:vMerge w:val="restart"/>
                  <w:noWrap/>
                  <w:vAlign w:val="center"/>
                </w:tcPr>
                <w:p w14:paraId="59246B6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视频显示设备</w:t>
                  </w:r>
                </w:p>
              </w:tc>
              <w:tc>
                <w:tcPr>
                  <w:tcW w:w="2946" w:type="dxa"/>
                  <w:vAlign w:val="center"/>
                </w:tcPr>
                <w:p w14:paraId="6539E83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31英寸4K医用显示器</w:t>
                  </w:r>
                </w:p>
              </w:tc>
              <w:tc>
                <w:tcPr>
                  <w:tcW w:w="823" w:type="dxa"/>
                  <w:noWrap/>
                  <w:vAlign w:val="center"/>
                </w:tcPr>
                <w:p w14:paraId="798EB25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3AE0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FDF3C7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c>
                <w:tcPr>
                  <w:tcW w:w="1845" w:type="dxa"/>
                  <w:vMerge w:val="continue"/>
                  <w:vAlign w:val="center"/>
                </w:tcPr>
                <w:p w14:paraId="721EF9E4">
                  <w:pPr>
                    <w:spacing w:line="360" w:lineRule="exact"/>
                    <w:jc w:val="center"/>
                    <w:rPr>
                      <w:rFonts w:hint="eastAsia" w:ascii="仿宋" w:hAnsi="仿宋" w:eastAsia="仿宋" w:cs="仿宋"/>
                      <w:color w:val="auto"/>
                      <w:sz w:val="20"/>
                      <w:szCs w:val="20"/>
                      <w:highlight w:val="none"/>
                    </w:rPr>
                  </w:pPr>
                </w:p>
              </w:tc>
              <w:tc>
                <w:tcPr>
                  <w:tcW w:w="2946" w:type="dxa"/>
                  <w:vAlign w:val="center"/>
                </w:tcPr>
                <w:p w14:paraId="2965922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65英寸4K触控显示器（嵌墙式)</w:t>
                  </w:r>
                </w:p>
              </w:tc>
              <w:tc>
                <w:tcPr>
                  <w:tcW w:w="823" w:type="dxa"/>
                  <w:noWrap/>
                  <w:vAlign w:val="center"/>
                </w:tcPr>
                <w:p w14:paraId="38A55CA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r>
            <w:tr w14:paraId="1F7E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4B2E7A0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1845" w:type="dxa"/>
                  <w:vMerge w:val="restart"/>
                  <w:noWrap/>
                  <w:vAlign w:val="center"/>
                </w:tcPr>
                <w:p w14:paraId="510C2A5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视音频外设</w:t>
                  </w:r>
                </w:p>
              </w:tc>
              <w:tc>
                <w:tcPr>
                  <w:tcW w:w="2946" w:type="dxa"/>
                  <w:vAlign w:val="center"/>
                </w:tcPr>
                <w:p w14:paraId="5AC2517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4K全景摄像机</w:t>
                  </w:r>
                </w:p>
              </w:tc>
              <w:tc>
                <w:tcPr>
                  <w:tcW w:w="823" w:type="dxa"/>
                  <w:noWrap/>
                  <w:vAlign w:val="center"/>
                </w:tcPr>
                <w:p w14:paraId="6BBBD24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6923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4BC072C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c>
                <w:tcPr>
                  <w:tcW w:w="1845" w:type="dxa"/>
                  <w:vMerge w:val="continue"/>
                  <w:vAlign w:val="center"/>
                </w:tcPr>
                <w:p w14:paraId="31002019">
                  <w:pPr>
                    <w:spacing w:line="360" w:lineRule="exact"/>
                    <w:jc w:val="center"/>
                    <w:rPr>
                      <w:rFonts w:hint="eastAsia" w:ascii="仿宋" w:hAnsi="仿宋" w:eastAsia="仿宋" w:cs="仿宋"/>
                      <w:color w:val="auto"/>
                      <w:sz w:val="20"/>
                      <w:szCs w:val="20"/>
                      <w:highlight w:val="none"/>
                    </w:rPr>
                  </w:pPr>
                </w:p>
              </w:tc>
              <w:tc>
                <w:tcPr>
                  <w:tcW w:w="2946" w:type="dxa"/>
                  <w:vAlign w:val="center"/>
                </w:tcPr>
                <w:p w14:paraId="6CDC36D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领夹无线麦克风</w:t>
                  </w:r>
                </w:p>
              </w:tc>
              <w:tc>
                <w:tcPr>
                  <w:tcW w:w="823" w:type="dxa"/>
                  <w:noWrap/>
                  <w:vAlign w:val="center"/>
                </w:tcPr>
                <w:p w14:paraId="57300B0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5AA7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123B24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w:t>
                  </w:r>
                </w:p>
              </w:tc>
              <w:tc>
                <w:tcPr>
                  <w:tcW w:w="1845" w:type="dxa"/>
                  <w:vMerge w:val="continue"/>
                  <w:vAlign w:val="center"/>
                </w:tcPr>
                <w:p w14:paraId="717B00D1">
                  <w:pPr>
                    <w:spacing w:line="360" w:lineRule="exact"/>
                    <w:jc w:val="center"/>
                    <w:rPr>
                      <w:rFonts w:hint="eastAsia" w:ascii="仿宋" w:hAnsi="仿宋" w:eastAsia="仿宋" w:cs="仿宋"/>
                      <w:color w:val="auto"/>
                      <w:sz w:val="20"/>
                      <w:szCs w:val="20"/>
                      <w:highlight w:val="none"/>
                    </w:rPr>
                  </w:pPr>
                </w:p>
              </w:tc>
              <w:tc>
                <w:tcPr>
                  <w:tcW w:w="2946" w:type="dxa"/>
                  <w:vAlign w:val="center"/>
                </w:tcPr>
                <w:p w14:paraId="16DB468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吸顶音箱</w:t>
                  </w:r>
                </w:p>
              </w:tc>
              <w:tc>
                <w:tcPr>
                  <w:tcW w:w="823" w:type="dxa"/>
                  <w:noWrap/>
                  <w:vAlign w:val="center"/>
                </w:tcPr>
                <w:p w14:paraId="752D01B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r>
            <w:tr w14:paraId="5C8C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05" w:type="dxa"/>
                  <w:noWrap/>
                  <w:vAlign w:val="center"/>
                </w:tcPr>
                <w:p w14:paraId="5E9E0EF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w:t>
                  </w:r>
                </w:p>
              </w:tc>
              <w:tc>
                <w:tcPr>
                  <w:tcW w:w="1845" w:type="dxa"/>
                  <w:vAlign w:val="center"/>
                </w:tcPr>
                <w:p w14:paraId="70B0FC2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手术室设备集总控制系统</w:t>
                  </w:r>
                </w:p>
              </w:tc>
              <w:tc>
                <w:tcPr>
                  <w:tcW w:w="2946" w:type="dxa"/>
                  <w:vAlign w:val="center"/>
                </w:tcPr>
                <w:p w14:paraId="50C78AD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非医疗设备控制模块</w:t>
                  </w:r>
                </w:p>
              </w:tc>
              <w:tc>
                <w:tcPr>
                  <w:tcW w:w="823" w:type="dxa"/>
                  <w:noWrap/>
                  <w:vAlign w:val="center"/>
                </w:tcPr>
                <w:p w14:paraId="1226260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6369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692103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w:t>
                  </w:r>
                </w:p>
              </w:tc>
              <w:tc>
                <w:tcPr>
                  <w:tcW w:w="1845" w:type="dxa"/>
                  <w:vMerge w:val="restart"/>
                  <w:vAlign w:val="center"/>
                </w:tcPr>
                <w:p w14:paraId="4C85099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家属可视谈话模块</w:t>
                  </w:r>
                </w:p>
              </w:tc>
              <w:tc>
                <w:tcPr>
                  <w:tcW w:w="2946" w:type="dxa"/>
                  <w:noWrap/>
                  <w:vAlign w:val="center"/>
                </w:tcPr>
                <w:p w14:paraId="26CE9AA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家属交互模组</w:t>
                  </w:r>
                </w:p>
              </w:tc>
              <w:tc>
                <w:tcPr>
                  <w:tcW w:w="823" w:type="dxa"/>
                  <w:noWrap/>
                  <w:vAlign w:val="center"/>
                </w:tcPr>
                <w:p w14:paraId="5F0F277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22E4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52B67A8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w:t>
                  </w:r>
                </w:p>
              </w:tc>
              <w:tc>
                <w:tcPr>
                  <w:tcW w:w="1845" w:type="dxa"/>
                  <w:vMerge w:val="continue"/>
                  <w:vAlign w:val="center"/>
                </w:tcPr>
                <w:p w14:paraId="3D88A939">
                  <w:pPr>
                    <w:spacing w:line="360" w:lineRule="exact"/>
                    <w:jc w:val="center"/>
                    <w:rPr>
                      <w:rFonts w:hint="eastAsia" w:ascii="仿宋" w:hAnsi="仿宋" w:eastAsia="仿宋" w:cs="仿宋"/>
                      <w:color w:val="auto"/>
                      <w:sz w:val="20"/>
                      <w:szCs w:val="20"/>
                      <w:highlight w:val="none"/>
                    </w:rPr>
                  </w:pPr>
                </w:p>
              </w:tc>
              <w:tc>
                <w:tcPr>
                  <w:tcW w:w="2946" w:type="dxa"/>
                  <w:noWrap/>
                  <w:vAlign w:val="center"/>
                </w:tcPr>
                <w:p w14:paraId="3ED0D16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谈话间软件（医护端）</w:t>
                  </w:r>
                </w:p>
              </w:tc>
              <w:tc>
                <w:tcPr>
                  <w:tcW w:w="823" w:type="dxa"/>
                  <w:noWrap/>
                  <w:vAlign w:val="center"/>
                </w:tcPr>
                <w:p w14:paraId="6BFEA3F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77F2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66770C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14</w:t>
                  </w:r>
                </w:p>
              </w:tc>
              <w:tc>
                <w:tcPr>
                  <w:tcW w:w="1845" w:type="dxa"/>
                  <w:vMerge w:val="restart"/>
                  <w:noWrap/>
                  <w:vAlign w:val="center"/>
                </w:tcPr>
                <w:p w14:paraId="395E437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护士工作平台</w:t>
                  </w:r>
                </w:p>
              </w:tc>
              <w:tc>
                <w:tcPr>
                  <w:tcW w:w="2946" w:type="dxa"/>
                  <w:vAlign w:val="center"/>
                </w:tcPr>
                <w:p w14:paraId="704FA09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护士工作站</w:t>
                  </w:r>
                </w:p>
              </w:tc>
              <w:tc>
                <w:tcPr>
                  <w:tcW w:w="823" w:type="dxa"/>
                  <w:noWrap/>
                  <w:vAlign w:val="center"/>
                </w:tcPr>
                <w:p w14:paraId="39CFE78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7D2C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DFA6C0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15</w:t>
                  </w:r>
                </w:p>
              </w:tc>
              <w:tc>
                <w:tcPr>
                  <w:tcW w:w="1845" w:type="dxa"/>
                  <w:vMerge w:val="continue"/>
                  <w:vAlign w:val="center"/>
                </w:tcPr>
                <w:p w14:paraId="7B103C69">
                  <w:pPr>
                    <w:spacing w:line="360" w:lineRule="exact"/>
                    <w:jc w:val="center"/>
                    <w:rPr>
                      <w:rFonts w:hint="eastAsia" w:ascii="仿宋" w:hAnsi="仿宋" w:eastAsia="仿宋" w:cs="仿宋"/>
                      <w:color w:val="auto"/>
                      <w:sz w:val="20"/>
                      <w:szCs w:val="20"/>
                      <w:highlight w:val="none"/>
                    </w:rPr>
                  </w:pPr>
                </w:p>
              </w:tc>
              <w:tc>
                <w:tcPr>
                  <w:tcW w:w="2946" w:type="dxa"/>
                  <w:vAlign w:val="center"/>
                </w:tcPr>
                <w:p w14:paraId="38EA747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护士收纳柜</w:t>
                  </w:r>
                </w:p>
              </w:tc>
              <w:tc>
                <w:tcPr>
                  <w:tcW w:w="823" w:type="dxa"/>
                  <w:noWrap/>
                  <w:vAlign w:val="center"/>
                </w:tcPr>
                <w:p w14:paraId="1583D26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18FC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05" w:type="dxa"/>
                  <w:noWrap/>
                  <w:vAlign w:val="center"/>
                </w:tcPr>
                <w:p w14:paraId="2D303B6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16</w:t>
                  </w:r>
                </w:p>
              </w:tc>
              <w:tc>
                <w:tcPr>
                  <w:tcW w:w="1845" w:type="dxa"/>
                  <w:noWrap/>
                  <w:vAlign w:val="center"/>
                </w:tcPr>
                <w:p w14:paraId="2E631E0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线缆包</w:t>
                  </w:r>
                </w:p>
              </w:tc>
              <w:tc>
                <w:tcPr>
                  <w:tcW w:w="2946" w:type="dxa"/>
                  <w:vAlign w:val="center"/>
                </w:tcPr>
                <w:p w14:paraId="2B84D7C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4K数字化手术室线缆包</w:t>
                  </w:r>
                </w:p>
              </w:tc>
              <w:tc>
                <w:tcPr>
                  <w:tcW w:w="823" w:type="dxa"/>
                  <w:noWrap/>
                  <w:vAlign w:val="center"/>
                </w:tcPr>
                <w:p w14:paraId="2257AFB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按需提供</w:t>
                  </w:r>
                </w:p>
              </w:tc>
            </w:tr>
            <w:tr w14:paraId="16BE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96" w:type="dxa"/>
                  <w:gridSpan w:val="3"/>
                  <w:vAlign w:val="center"/>
                </w:tcPr>
                <w:p w14:paraId="2F1CED30">
                  <w:pPr>
                    <w:spacing w:line="360" w:lineRule="exact"/>
                    <w:jc w:val="left"/>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数字化导管室</w:t>
                  </w:r>
                </w:p>
              </w:tc>
              <w:tc>
                <w:tcPr>
                  <w:tcW w:w="823" w:type="dxa"/>
                  <w:vAlign w:val="center"/>
                </w:tcPr>
                <w:p w14:paraId="03C424A8">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4间</w:t>
                  </w:r>
                </w:p>
              </w:tc>
            </w:tr>
            <w:tr w14:paraId="3BBF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vAlign w:val="center"/>
                </w:tcPr>
                <w:p w14:paraId="34F68513">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1845" w:type="dxa"/>
                  <w:vAlign w:val="center"/>
                </w:tcPr>
                <w:p w14:paraId="705BFA00">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功能模块（单个）</w:t>
                  </w:r>
                </w:p>
              </w:tc>
              <w:tc>
                <w:tcPr>
                  <w:tcW w:w="2946" w:type="dxa"/>
                  <w:vAlign w:val="center"/>
                </w:tcPr>
                <w:p w14:paraId="1392B283">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产品项目</w:t>
                  </w:r>
                </w:p>
              </w:tc>
              <w:tc>
                <w:tcPr>
                  <w:tcW w:w="823" w:type="dxa"/>
                  <w:vAlign w:val="center"/>
                </w:tcPr>
                <w:p w14:paraId="7DD6FD44">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r>
            <w:tr w14:paraId="3837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5" w:type="dxa"/>
                  <w:noWrap/>
                  <w:vAlign w:val="center"/>
                </w:tcPr>
                <w:p w14:paraId="2A0770F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5" w:type="dxa"/>
                  <w:vMerge w:val="restart"/>
                  <w:noWrap/>
                  <w:vAlign w:val="center"/>
                </w:tcPr>
                <w:p w14:paraId="7A86B9C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中央处理系统</w:t>
                  </w:r>
                </w:p>
              </w:tc>
              <w:tc>
                <w:tcPr>
                  <w:tcW w:w="2946" w:type="dxa"/>
                  <w:vAlign w:val="center"/>
                </w:tcPr>
                <w:p w14:paraId="1D93058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4K数字一体化手术室系统主机(手术室)</w:t>
                  </w:r>
                </w:p>
              </w:tc>
              <w:tc>
                <w:tcPr>
                  <w:tcW w:w="823" w:type="dxa"/>
                  <w:noWrap/>
                  <w:vAlign w:val="center"/>
                </w:tcPr>
                <w:p w14:paraId="2C46EE7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6263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C64125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845" w:type="dxa"/>
                  <w:vMerge w:val="continue"/>
                  <w:vAlign w:val="center"/>
                </w:tcPr>
                <w:p w14:paraId="6620CB7A">
                  <w:pPr>
                    <w:spacing w:line="360" w:lineRule="exact"/>
                    <w:jc w:val="center"/>
                    <w:rPr>
                      <w:rFonts w:hint="eastAsia" w:ascii="仿宋" w:hAnsi="仿宋" w:eastAsia="仿宋" w:cs="仿宋"/>
                      <w:color w:val="auto"/>
                      <w:sz w:val="20"/>
                      <w:szCs w:val="20"/>
                      <w:highlight w:val="none"/>
                    </w:rPr>
                  </w:pPr>
                </w:p>
              </w:tc>
              <w:tc>
                <w:tcPr>
                  <w:tcW w:w="2946" w:type="dxa"/>
                  <w:vAlign w:val="center"/>
                </w:tcPr>
                <w:p w14:paraId="132AFDC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中央触控终端（嵌入式）</w:t>
                  </w:r>
                </w:p>
              </w:tc>
              <w:tc>
                <w:tcPr>
                  <w:tcW w:w="823" w:type="dxa"/>
                  <w:noWrap/>
                  <w:vAlign w:val="center"/>
                </w:tcPr>
                <w:p w14:paraId="7356C22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5578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29656E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1845" w:type="dxa"/>
                  <w:vMerge w:val="continue"/>
                  <w:vAlign w:val="center"/>
                </w:tcPr>
                <w:p w14:paraId="7C91DEFE">
                  <w:pPr>
                    <w:spacing w:line="360" w:lineRule="exact"/>
                    <w:jc w:val="center"/>
                    <w:rPr>
                      <w:rFonts w:hint="eastAsia" w:ascii="仿宋" w:hAnsi="仿宋" w:eastAsia="仿宋" w:cs="仿宋"/>
                      <w:color w:val="auto"/>
                      <w:sz w:val="20"/>
                      <w:szCs w:val="20"/>
                      <w:highlight w:val="none"/>
                    </w:rPr>
                  </w:pPr>
                </w:p>
              </w:tc>
              <w:tc>
                <w:tcPr>
                  <w:tcW w:w="2946" w:type="dxa"/>
                  <w:vAlign w:val="center"/>
                </w:tcPr>
                <w:p w14:paraId="0324C41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数据交互设备</w:t>
                  </w:r>
                </w:p>
              </w:tc>
              <w:tc>
                <w:tcPr>
                  <w:tcW w:w="823" w:type="dxa"/>
                  <w:noWrap/>
                  <w:vAlign w:val="center"/>
                </w:tcPr>
                <w:p w14:paraId="3484608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70A5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7989A1C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1845" w:type="dxa"/>
                  <w:vMerge w:val="continue"/>
                  <w:vAlign w:val="center"/>
                </w:tcPr>
                <w:p w14:paraId="301043F5">
                  <w:pPr>
                    <w:spacing w:line="360" w:lineRule="exact"/>
                    <w:jc w:val="center"/>
                    <w:rPr>
                      <w:rFonts w:hint="eastAsia" w:ascii="仿宋" w:hAnsi="仿宋" w:eastAsia="仿宋" w:cs="仿宋"/>
                      <w:color w:val="auto"/>
                      <w:sz w:val="20"/>
                      <w:szCs w:val="20"/>
                      <w:highlight w:val="none"/>
                    </w:rPr>
                  </w:pPr>
                </w:p>
              </w:tc>
              <w:tc>
                <w:tcPr>
                  <w:tcW w:w="2946" w:type="dxa"/>
                  <w:vAlign w:val="center"/>
                </w:tcPr>
                <w:p w14:paraId="7B0BE0C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视频画面处理器（手术室）</w:t>
                  </w:r>
                </w:p>
              </w:tc>
              <w:tc>
                <w:tcPr>
                  <w:tcW w:w="823" w:type="dxa"/>
                  <w:noWrap/>
                  <w:vAlign w:val="center"/>
                </w:tcPr>
                <w:p w14:paraId="11BBE74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194C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0B8C0FC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1845" w:type="dxa"/>
                  <w:vMerge w:val="continue"/>
                  <w:vAlign w:val="center"/>
                </w:tcPr>
                <w:p w14:paraId="17456982">
                  <w:pPr>
                    <w:spacing w:line="360" w:lineRule="exact"/>
                    <w:jc w:val="center"/>
                    <w:rPr>
                      <w:rFonts w:hint="eastAsia" w:ascii="仿宋" w:hAnsi="仿宋" w:eastAsia="仿宋" w:cs="仿宋"/>
                      <w:color w:val="auto"/>
                      <w:sz w:val="20"/>
                      <w:szCs w:val="20"/>
                      <w:highlight w:val="none"/>
                    </w:rPr>
                  </w:pPr>
                </w:p>
              </w:tc>
              <w:tc>
                <w:tcPr>
                  <w:tcW w:w="2946" w:type="dxa"/>
                  <w:vAlign w:val="center"/>
                </w:tcPr>
                <w:p w14:paraId="5CED668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音频功放</w:t>
                  </w:r>
                </w:p>
              </w:tc>
              <w:tc>
                <w:tcPr>
                  <w:tcW w:w="823" w:type="dxa"/>
                  <w:noWrap/>
                  <w:vAlign w:val="center"/>
                </w:tcPr>
                <w:p w14:paraId="1A82719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7C9B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963210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1845" w:type="dxa"/>
                  <w:vMerge w:val="restart"/>
                  <w:noWrap/>
                  <w:vAlign w:val="center"/>
                </w:tcPr>
                <w:p w14:paraId="2AF63A4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视频编解码设备</w:t>
                  </w:r>
                </w:p>
              </w:tc>
              <w:tc>
                <w:tcPr>
                  <w:tcW w:w="2946" w:type="dxa"/>
                  <w:vAlign w:val="center"/>
                </w:tcPr>
                <w:p w14:paraId="43263C2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全景编码器</w:t>
                  </w:r>
                </w:p>
              </w:tc>
              <w:tc>
                <w:tcPr>
                  <w:tcW w:w="823" w:type="dxa"/>
                  <w:noWrap/>
                  <w:vAlign w:val="center"/>
                </w:tcPr>
                <w:p w14:paraId="2CDEDB9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69CF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669597E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c>
                <w:tcPr>
                  <w:tcW w:w="1845" w:type="dxa"/>
                  <w:vMerge w:val="continue"/>
                  <w:vAlign w:val="center"/>
                </w:tcPr>
                <w:p w14:paraId="13F08F0C">
                  <w:pPr>
                    <w:spacing w:line="360" w:lineRule="exact"/>
                    <w:jc w:val="center"/>
                    <w:rPr>
                      <w:rFonts w:hint="eastAsia" w:ascii="仿宋" w:hAnsi="仿宋" w:eastAsia="仿宋" w:cs="仿宋"/>
                      <w:color w:val="auto"/>
                      <w:sz w:val="20"/>
                      <w:szCs w:val="20"/>
                      <w:highlight w:val="none"/>
                    </w:rPr>
                  </w:pPr>
                </w:p>
              </w:tc>
              <w:tc>
                <w:tcPr>
                  <w:tcW w:w="2946" w:type="dxa"/>
                  <w:vAlign w:val="center"/>
                </w:tcPr>
                <w:p w14:paraId="0EAC7FF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视频编码器</w:t>
                  </w:r>
                </w:p>
              </w:tc>
              <w:tc>
                <w:tcPr>
                  <w:tcW w:w="823" w:type="dxa"/>
                  <w:noWrap/>
                  <w:vAlign w:val="center"/>
                </w:tcPr>
                <w:p w14:paraId="0AB556C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r>
            <w:tr w14:paraId="463C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48CF7D4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1845" w:type="dxa"/>
                  <w:vMerge w:val="continue"/>
                  <w:vAlign w:val="center"/>
                </w:tcPr>
                <w:p w14:paraId="5B0562FB">
                  <w:pPr>
                    <w:spacing w:line="360" w:lineRule="exact"/>
                    <w:jc w:val="center"/>
                    <w:rPr>
                      <w:rFonts w:hint="eastAsia" w:ascii="仿宋" w:hAnsi="仿宋" w:eastAsia="仿宋" w:cs="仿宋"/>
                      <w:color w:val="auto"/>
                      <w:sz w:val="20"/>
                      <w:szCs w:val="20"/>
                      <w:highlight w:val="none"/>
                    </w:rPr>
                  </w:pPr>
                </w:p>
              </w:tc>
              <w:tc>
                <w:tcPr>
                  <w:tcW w:w="2946" w:type="dxa"/>
                  <w:vAlign w:val="center"/>
                </w:tcPr>
                <w:p w14:paraId="78B329B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视频解码器</w:t>
                  </w:r>
                </w:p>
              </w:tc>
              <w:tc>
                <w:tcPr>
                  <w:tcW w:w="823" w:type="dxa"/>
                  <w:noWrap/>
                  <w:vAlign w:val="center"/>
                </w:tcPr>
                <w:p w14:paraId="0C557A2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r>
            <w:tr w14:paraId="3E16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74AA3A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c>
                <w:tcPr>
                  <w:tcW w:w="1845" w:type="dxa"/>
                  <w:vMerge w:val="restart"/>
                  <w:noWrap/>
                  <w:vAlign w:val="center"/>
                </w:tcPr>
                <w:p w14:paraId="75743E5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视频显示设备</w:t>
                  </w:r>
                </w:p>
              </w:tc>
              <w:tc>
                <w:tcPr>
                  <w:tcW w:w="2946" w:type="dxa"/>
                  <w:vAlign w:val="center"/>
                </w:tcPr>
                <w:p w14:paraId="07895EB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31英寸4K医用显示器</w:t>
                  </w:r>
                </w:p>
              </w:tc>
              <w:tc>
                <w:tcPr>
                  <w:tcW w:w="823" w:type="dxa"/>
                  <w:noWrap/>
                  <w:vAlign w:val="center"/>
                </w:tcPr>
                <w:p w14:paraId="3C0244C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r>
            <w:tr w14:paraId="3717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79DBC27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w:t>
                  </w:r>
                </w:p>
              </w:tc>
              <w:tc>
                <w:tcPr>
                  <w:tcW w:w="1845" w:type="dxa"/>
                  <w:vMerge w:val="continue"/>
                  <w:vAlign w:val="center"/>
                </w:tcPr>
                <w:p w14:paraId="7EC0C97D">
                  <w:pPr>
                    <w:spacing w:line="360" w:lineRule="exact"/>
                    <w:jc w:val="center"/>
                    <w:rPr>
                      <w:rFonts w:hint="eastAsia" w:ascii="仿宋" w:hAnsi="仿宋" w:eastAsia="仿宋" w:cs="仿宋"/>
                      <w:color w:val="auto"/>
                      <w:sz w:val="20"/>
                      <w:szCs w:val="20"/>
                      <w:highlight w:val="none"/>
                    </w:rPr>
                  </w:pPr>
                </w:p>
              </w:tc>
              <w:tc>
                <w:tcPr>
                  <w:tcW w:w="2946" w:type="dxa"/>
                  <w:vAlign w:val="center"/>
                </w:tcPr>
                <w:p w14:paraId="44FEB45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65英寸4K触控显示器（嵌墙式)</w:t>
                  </w:r>
                </w:p>
              </w:tc>
              <w:tc>
                <w:tcPr>
                  <w:tcW w:w="823" w:type="dxa"/>
                  <w:noWrap/>
                  <w:vAlign w:val="center"/>
                </w:tcPr>
                <w:p w14:paraId="7A58ADF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0612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46BAF7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w:t>
                  </w:r>
                </w:p>
              </w:tc>
              <w:tc>
                <w:tcPr>
                  <w:tcW w:w="1845" w:type="dxa"/>
                  <w:vMerge w:val="restart"/>
                  <w:noWrap/>
                  <w:vAlign w:val="center"/>
                </w:tcPr>
                <w:p w14:paraId="5236D14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视音频外设</w:t>
                  </w:r>
                </w:p>
              </w:tc>
              <w:tc>
                <w:tcPr>
                  <w:tcW w:w="2946" w:type="dxa"/>
                  <w:vAlign w:val="center"/>
                </w:tcPr>
                <w:p w14:paraId="1C0860D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4K全景摄像机</w:t>
                  </w:r>
                </w:p>
              </w:tc>
              <w:tc>
                <w:tcPr>
                  <w:tcW w:w="823" w:type="dxa"/>
                  <w:noWrap/>
                  <w:vAlign w:val="center"/>
                </w:tcPr>
                <w:p w14:paraId="0878319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1CEF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7EB45B0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w:t>
                  </w:r>
                </w:p>
              </w:tc>
              <w:tc>
                <w:tcPr>
                  <w:tcW w:w="1845" w:type="dxa"/>
                  <w:vMerge w:val="continue"/>
                  <w:vAlign w:val="center"/>
                </w:tcPr>
                <w:p w14:paraId="68160179">
                  <w:pPr>
                    <w:spacing w:line="360" w:lineRule="exact"/>
                    <w:jc w:val="center"/>
                    <w:rPr>
                      <w:rFonts w:hint="eastAsia" w:ascii="仿宋" w:hAnsi="仿宋" w:eastAsia="仿宋" w:cs="仿宋"/>
                      <w:color w:val="auto"/>
                      <w:sz w:val="20"/>
                      <w:szCs w:val="20"/>
                      <w:highlight w:val="none"/>
                    </w:rPr>
                  </w:pPr>
                </w:p>
              </w:tc>
              <w:tc>
                <w:tcPr>
                  <w:tcW w:w="2946" w:type="dxa"/>
                  <w:vAlign w:val="center"/>
                </w:tcPr>
                <w:p w14:paraId="2F43739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领夹无线麦克风</w:t>
                  </w:r>
                </w:p>
              </w:tc>
              <w:tc>
                <w:tcPr>
                  <w:tcW w:w="823" w:type="dxa"/>
                  <w:noWrap/>
                  <w:vAlign w:val="center"/>
                </w:tcPr>
                <w:p w14:paraId="49B76D7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0CC9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CB9802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w:t>
                  </w:r>
                </w:p>
              </w:tc>
              <w:tc>
                <w:tcPr>
                  <w:tcW w:w="1845" w:type="dxa"/>
                  <w:vMerge w:val="continue"/>
                  <w:vAlign w:val="center"/>
                </w:tcPr>
                <w:p w14:paraId="33770F59">
                  <w:pPr>
                    <w:spacing w:line="360" w:lineRule="exact"/>
                    <w:jc w:val="center"/>
                    <w:rPr>
                      <w:rFonts w:hint="eastAsia" w:ascii="仿宋" w:hAnsi="仿宋" w:eastAsia="仿宋" w:cs="仿宋"/>
                      <w:color w:val="auto"/>
                      <w:sz w:val="20"/>
                      <w:szCs w:val="20"/>
                      <w:highlight w:val="none"/>
                    </w:rPr>
                  </w:pPr>
                </w:p>
              </w:tc>
              <w:tc>
                <w:tcPr>
                  <w:tcW w:w="2946" w:type="dxa"/>
                  <w:vAlign w:val="center"/>
                </w:tcPr>
                <w:p w14:paraId="79948A5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吸顶音箱</w:t>
                  </w:r>
                </w:p>
              </w:tc>
              <w:tc>
                <w:tcPr>
                  <w:tcW w:w="823" w:type="dxa"/>
                  <w:noWrap/>
                  <w:vAlign w:val="center"/>
                </w:tcPr>
                <w:p w14:paraId="528D2B7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r>
            <w:tr w14:paraId="0E9D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05" w:type="dxa"/>
                  <w:noWrap/>
                  <w:vAlign w:val="center"/>
                </w:tcPr>
                <w:p w14:paraId="1F29F83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14</w:t>
                  </w:r>
                </w:p>
              </w:tc>
              <w:tc>
                <w:tcPr>
                  <w:tcW w:w="1845" w:type="dxa"/>
                  <w:vAlign w:val="center"/>
                </w:tcPr>
                <w:p w14:paraId="28242C6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手术室设备集总控制系统</w:t>
                  </w:r>
                </w:p>
              </w:tc>
              <w:tc>
                <w:tcPr>
                  <w:tcW w:w="2946" w:type="dxa"/>
                  <w:vAlign w:val="center"/>
                </w:tcPr>
                <w:p w14:paraId="0EC722E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非医疗设备控制模块</w:t>
                  </w:r>
                </w:p>
              </w:tc>
              <w:tc>
                <w:tcPr>
                  <w:tcW w:w="823" w:type="dxa"/>
                  <w:noWrap/>
                  <w:vAlign w:val="center"/>
                </w:tcPr>
                <w:p w14:paraId="08931BC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6276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5776242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15</w:t>
                  </w:r>
                </w:p>
              </w:tc>
              <w:tc>
                <w:tcPr>
                  <w:tcW w:w="1845" w:type="dxa"/>
                  <w:vMerge w:val="restart"/>
                  <w:noWrap/>
                  <w:vAlign w:val="center"/>
                </w:tcPr>
                <w:p w14:paraId="6A566CB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护士工作平台</w:t>
                  </w:r>
                </w:p>
              </w:tc>
              <w:tc>
                <w:tcPr>
                  <w:tcW w:w="2946" w:type="dxa"/>
                  <w:vAlign w:val="center"/>
                </w:tcPr>
                <w:p w14:paraId="1095CCA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护士工作站</w:t>
                  </w:r>
                </w:p>
              </w:tc>
              <w:tc>
                <w:tcPr>
                  <w:tcW w:w="823" w:type="dxa"/>
                  <w:noWrap/>
                  <w:vAlign w:val="center"/>
                </w:tcPr>
                <w:p w14:paraId="5DD8D52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0351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0035A05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16</w:t>
                  </w:r>
                </w:p>
              </w:tc>
              <w:tc>
                <w:tcPr>
                  <w:tcW w:w="1845" w:type="dxa"/>
                  <w:vMerge w:val="continue"/>
                  <w:vAlign w:val="center"/>
                </w:tcPr>
                <w:p w14:paraId="24553FB0">
                  <w:pPr>
                    <w:spacing w:line="360" w:lineRule="exact"/>
                    <w:jc w:val="center"/>
                    <w:rPr>
                      <w:rFonts w:hint="eastAsia" w:ascii="仿宋" w:hAnsi="仿宋" w:eastAsia="仿宋" w:cs="仿宋"/>
                      <w:color w:val="auto"/>
                      <w:sz w:val="20"/>
                      <w:szCs w:val="20"/>
                      <w:highlight w:val="none"/>
                    </w:rPr>
                  </w:pPr>
                </w:p>
              </w:tc>
              <w:tc>
                <w:tcPr>
                  <w:tcW w:w="2946" w:type="dxa"/>
                  <w:vAlign w:val="center"/>
                </w:tcPr>
                <w:p w14:paraId="7579161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护士收纳柜</w:t>
                  </w:r>
                </w:p>
              </w:tc>
              <w:tc>
                <w:tcPr>
                  <w:tcW w:w="823" w:type="dxa"/>
                  <w:noWrap/>
                  <w:vAlign w:val="center"/>
                </w:tcPr>
                <w:p w14:paraId="415209D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5D35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05" w:type="dxa"/>
                  <w:noWrap/>
                  <w:vAlign w:val="center"/>
                </w:tcPr>
                <w:p w14:paraId="5B55AC5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17</w:t>
                  </w:r>
                </w:p>
              </w:tc>
              <w:tc>
                <w:tcPr>
                  <w:tcW w:w="1845" w:type="dxa"/>
                  <w:noWrap/>
                  <w:vAlign w:val="center"/>
                </w:tcPr>
                <w:p w14:paraId="00C08F2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线缆包</w:t>
                  </w:r>
                </w:p>
              </w:tc>
              <w:tc>
                <w:tcPr>
                  <w:tcW w:w="2946" w:type="dxa"/>
                  <w:vAlign w:val="center"/>
                </w:tcPr>
                <w:p w14:paraId="7640689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4K数字化手术室线缆包</w:t>
                  </w:r>
                </w:p>
              </w:tc>
              <w:tc>
                <w:tcPr>
                  <w:tcW w:w="823" w:type="dxa"/>
                  <w:noWrap/>
                  <w:vAlign w:val="center"/>
                </w:tcPr>
                <w:p w14:paraId="1FFA37A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按需提供</w:t>
                  </w:r>
                </w:p>
              </w:tc>
            </w:tr>
            <w:tr w14:paraId="03AF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96" w:type="dxa"/>
                  <w:gridSpan w:val="3"/>
                  <w:vAlign w:val="center"/>
                </w:tcPr>
                <w:p w14:paraId="5E762D4B">
                  <w:pPr>
                    <w:spacing w:line="360" w:lineRule="exact"/>
                    <w:jc w:val="left"/>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基础版数字化导管室</w:t>
                  </w:r>
                </w:p>
              </w:tc>
              <w:tc>
                <w:tcPr>
                  <w:tcW w:w="823" w:type="dxa"/>
                  <w:vAlign w:val="center"/>
                </w:tcPr>
                <w:p w14:paraId="76B47314">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6间</w:t>
                  </w:r>
                </w:p>
              </w:tc>
            </w:tr>
            <w:tr w14:paraId="6A71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vAlign w:val="center"/>
                </w:tcPr>
                <w:p w14:paraId="09AB57ED">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1845" w:type="dxa"/>
                  <w:vAlign w:val="center"/>
                </w:tcPr>
                <w:p w14:paraId="0D58E3E3">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功能模块（单个）</w:t>
                  </w:r>
                </w:p>
              </w:tc>
              <w:tc>
                <w:tcPr>
                  <w:tcW w:w="2946" w:type="dxa"/>
                  <w:vAlign w:val="center"/>
                </w:tcPr>
                <w:p w14:paraId="262B2534">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产品项目</w:t>
                  </w:r>
                </w:p>
              </w:tc>
              <w:tc>
                <w:tcPr>
                  <w:tcW w:w="823" w:type="dxa"/>
                  <w:vAlign w:val="center"/>
                </w:tcPr>
                <w:p w14:paraId="603EF609">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r>
            <w:tr w14:paraId="4281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193B3F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5" w:type="dxa"/>
                  <w:noWrap/>
                  <w:vAlign w:val="center"/>
                </w:tcPr>
                <w:p w14:paraId="3A6B3A7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视频显示设备</w:t>
                  </w:r>
                </w:p>
              </w:tc>
              <w:tc>
                <w:tcPr>
                  <w:tcW w:w="2946" w:type="dxa"/>
                  <w:vAlign w:val="center"/>
                </w:tcPr>
                <w:p w14:paraId="3EAF6C4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31英寸4K医用显示器</w:t>
                  </w:r>
                </w:p>
              </w:tc>
              <w:tc>
                <w:tcPr>
                  <w:tcW w:w="823" w:type="dxa"/>
                  <w:noWrap/>
                  <w:vAlign w:val="center"/>
                </w:tcPr>
                <w:p w14:paraId="6AD9D9B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60BF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006AF06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845" w:type="dxa"/>
                  <w:vMerge w:val="restart"/>
                  <w:noWrap/>
                  <w:vAlign w:val="center"/>
                </w:tcPr>
                <w:p w14:paraId="2196424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护士工作平台</w:t>
                  </w:r>
                </w:p>
              </w:tc>
              <w:tc>
                <w:tcPr>
                  <w:tcW w:w="2946" w:type="dxa"/>
                  <w:vAlign w:val="center"/>
                </w:tcPr>
                <w:p w14:paraId="1C79EFA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护士工作站</w:t>
                  </w:r>
                </w:p>
              </w:tc>
              <w:tc>
                <w:tcPr>
                  <w:tcW w:w="823" w:type="dxa"/>
                  <w:noWrap/>
                  <w:vAlign w:val="center"/>
                </w:tcPr>
                <w:p w14:paraId="0CEC4FD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3235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F4F84D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1845" w:type="dxa"/>
                  <w:vMerge w:val="continue"/>
                  <w:vAlign w:val="center"/>
                </w:tcPr>
                <w:p w14:paraId="68A6FC2C">
                  <w:pPr>
                    <w:spacing w:line="360" w:lineRule="exact"/>
                    <w:jc w:val="center"/>
                    <w:rPr>
                      <w:rFonts w:hint="eastAsia" w:ascii="仿宋" w:hAnsi="仿宋" w:eastAsia="仿宋" w:cs="仿宋"/>
                      <w:color w:val="auto"/>
                      <w:sz w:val="20"/>
                      <w:szCs w:val="20"/>
                      <w:highlight w:val="none"/>
                    </w:rPr>
                  </w:pPr>
                </w:p>
              </w:tc>
              <w:tc>
                <w:tcPr>
                  <w:tcW w:w="2946" w:type="dxa"/>
                  <w:vAlign w:val="center"/>
                </w:tcPr>
                <w:p w14:paraId="6925114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护士收纳柜</w:t>
                  </w:r>
                </w:p>
              </w:tc>
              <w:tc>
                <w:tcPr>
                  <w:tcW w:w="823" w:type="dxa"/>
                  <w:noWrap/>
                  <w:vAlign w:val="center"/>
                </w:tcPr>
                <w:p w14:paraId="4E15B7B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4FEA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05" w:type="dxa"/>
                  <w:noWrap/>
                  <w:vAlign w:val="center"/>
                </w:tcPr>
                <w:p w14:paraId="3C9D7D7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1845" w:type="dxa"/>
                  <w:noWrap/>
                  <w:vAlign w:val="center"/>
                </w:tcPr>
                <w:p w14:paraId="00E228E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线缆包</w:t>
                  </w:r>
                </w:p>
              </w:tc>
              <w:tc>
                <w:tcPr>
                  <w:tcW w:w="2946" w:type="dxa"/>
                  <w:vAlign w:val="center"/>
                </w:tcPr>
                <w:p w14:paraId="7F47D90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4K数字化手术室线缆包</w:t>
                  </w:r>
                </w:p>
              </w:tc>
              <w:tc>
                <w:tcPr>
                  <w:tcW w:w="823" w:type="dxa"/>
                  <w:noWrap/>
                  <w:vAlign w:val="center"/>
                </w:tcPr>
                <w:p w14:paraId="025D6A0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按需</w:t>
                  </w:r>
                </w:p>
                <w:p w14:paraId="54B8C85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提供</w:t>
                  </w:r>
                </w:p>
              </w:tc>
            </w:tr>
            <w:tr w14:paraId="425D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96" w:type="dxa"/>
                  <w:gridSpan w:val="3"/>
                  <w:vAlign w:val="center"/>
                </w:tcPr>
                <w:p w14:paraId="6D126C5D">
                  <w:pPr>
                    <w:spacing w:line="360" w:lineRule="exact"/>
                    <w:jc w:val="left"/>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门口信息屏系统</w:t>
                  </w:r>
                </w:p>
              </w:tc>
              <w:tc>
                <w:tcPr>
                  <w:tcW w:w="823" w:type="dxa"/>
                  <w:vAlign w:val="center"/>
                </w:tcPr>
                <w:p w14:paraId="76D41CB3">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1套</w:t>
                  </w:r>
                </w:p>
              </w:tc>
            </w:tr>
            <w:tr w14:paraId="5B37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vAlign w:val="center"/>
                </w:tcPr>
                <w:p w14:paraId="298E5DC5">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1845" w:type="dxa"/>
                  <w:vAlign w:val="center"/>
                </w:tcPr>
                <w:p w14:paraId="55B01FF0">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功能模块（单个）</w:t>
                  </w:r>
                </w:p>
              </w:tc>
              <w:tc>
                <w:tcPr>
                  <w:tcW w:w="2946" w:type="dxa"/>
                  <w:vAlign w:val="center"/>
                </w:tcPr>
                <w:p w14:paraId="60C61E11">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产品项目</w:t>
                  </w:r>
                </w:p>
              </w:tc>
              <w:tc>
                <w:tcPr>
                  <w:tcW w:w="823" w:type="dxa"/>
                  <w:vAlign w:val="center"/>
                </w:tcPr>
                <w:p w14:paraId="2B7C50E3">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r>
            <w:tr w14:paraId="5712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096812E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5" w:type="dxa"/>
                  <w:vMerge w:val="restart"/>
                  <w:vAlign w:val="center"/>
                </w:tcPr>
                <w:p w14:paraId="78AA34D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门口屏</w:t>
                  </w:r>
                </w:p>
              </w:tc>
              <w:tc>
                <w:tcPr>
                  <w:tcW w:w="2946" w:type="dxa"/>
                  <w:vAlign w:val="center"/>
                </w:tcPr>
                <w:p w14:paraId="34BAA8F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手术室门口信息屏</w:t>
                  </w:r>
                </w:p>
              </w:tc>
              <w:tc>
                <w:tcPr>
                  <w:tcW w:w="823" w:type="dxa"/>
                  <w:noWrap/>
                  <w:vAlign w:val="center"/>
                </w:tcPr>
                <w:p w14:paraId="77F041A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w:t>
                  </w:r>
                </w:p>
              </w:tc>
            </w:tr>
            <w:tr w14:paraId="2E2E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7B928DE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845" w:type="dxa"/>
                  <w:vMerge w:val="continue"/>
                  <w:vAlign w:val="center"/>
                </w:tcPr>
                <w:p w14:paraId="405A0B8A">
                  <w:pPr>
                    <w:spacing w:line="360" w:lineRule="exact"/>
                    <w:jc w:val="center"/>
                    <w:rPr>
                      <w:rFonts w:hint="eastAsia" w:ascii="仿宋" w:hAnsi="仿宋" w:eastAsia="仿宋" w:cs="仿宋"/>
                      <w:color w:val="auto"/>
                      <w:sz w:val="20"/>
                      <w:szCs w:val="20"/>
                      <w:highlight w:val="none"/>
                    </w:rPr>
                  </w:pPr>
                </w:p>
              </w:tc>
              <w:tc>
                <w:tcPr>
                  <w:tcW w:w="2946" w:type="dxa"/>
                  <w:vAlign w:val="center"/>
                </w:tcPr>
                <w:p w14:paraId="5979917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病人腕带扫描模块</w:t>
                  </w:r>
                </w:p>
              </w:tc>
              <w:tc>
                <w:tcPr>
                  <w:tcW w:w="823" w:type="dxa"/>
                  <w:noWrap/>
                  <w:vAlign w:val="center"/>
                </w:tcPr>
                <w:p w14:paraId="27CE3E0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w:t>
                  </w:r>
                </w:p>
              </w:tc>
            </w:tr>
            <w:tr w14:paraId="1BA1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5" w:type="dxa"/>
                  <w:noWrap/>
                  <w:vAlign w:val="center"/>
                </w:tcPr>
                <w:p w14:paraId="3FF642D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1845" w:type="dxa"/>
                  <w:vMerge w:val="restart"/>
                  <w:vAlign w:val="center"/>
                </w:tcPr>
                <w:p w14:paraId="656F76A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服务站</w:t>
                  </w:r>
                </w:p>
              </w:tc>
              <w:tc>
                <w:tcPr>
                  <w:tcW w:w="2946" w:type="dxa"/>
                  <w:vAlign w:val="center"/>
                </w:tcPr>
                <w:p w14:paraId="00275C6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手术室门口屏信息处理软件（服务器端）</w:t>
                  </w:r>
                </w:p>
              </w:tc>
              <w:tc>
                <w:tcPr>
                  <w:tcW w:w="823" w:type="dxa"/>
                  <w:noWrap/>
                  <w:vAlign w:val="center"/>
                </w:tcPr>
                <w:p w14:paraId="01119C3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1E46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3B9791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1845" w:type="dxa"/>
                  <w:vMerge w:val="continue"/>
                  <w:vAlign w:val="center"/>
                </w:tcPr>
                <w:p w14:paraId="1D674F82">
                  <w:pPr>
                    <w:spacing w:line="360" w:lineRule="exact"/>
                    <w:jc w:val="center"/>
                    <w:rPr>
                      <w:rFonts w:hint="eastAsia" w:ascii="仿宋" w:hAnsi="仿宋" w:eastAsia="仿宋" w:cs="仿宋"/>
                      <w:color w:val="auto"/>
                      <w:sz w:val="20"/>
                      <w:szCs w:val="20"/>
                      <w:highlight w:val="none"/>
                    </w:rPr>
                  </w:pPr>
                </w:p>
              </w:tc>
              <w:tc>
                <w:tcPr>
                  <w:tcW w:w="2946" w:type="dxa"/>
                  <w:vAlign w:val="center"/>
                </w:tcPr>
                <w:p w14:paraId="1F61F42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手术室门口屏信息处理服务器</w:t>
                  </w:r>
                </w:p>
              </w:tc>
              <w:tc>
                <w:tcPr>
                  <w:tcW w:w="823" w:type="dxa"/>
                  <w:noWrap/>
                  <w:vAlign w:val="center"/>
                </w:tcPr>
                <w:p w14:paraId="0BDFA84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7B56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96" w:type="dxa"/>
                  <w:gridSpan w:val="3"/>
                  <w:vAlign w:val="center"/>
                </w:tcPr>
                <w:p w14:paraId="0E1C5600">
                  <w:pPr>
                    <w:spacing w:line="360" w:lineRule="exact"/>
                    <w:jc w:val="left"/>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谈话间设备</w:t>
                  </w:r>
                </w:p>
              </w:tc>
              <w:tc>
                <w:tcPr>
                  <w:tcW w:w="823" w:type="dxa"/>
                  <w:vAlign w:val="center"/>
                </w:tcPr>
                <w:p w14:paraId="701BF36C">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1间</w:t>
                  </w:r>
                </w:p>
              </w:tc>
            </w:tr>
            <w:tr w14:paraId="0290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vAlign w:val="center"/>
                </w:tcPr>
                <w:p w14:paraId="3C38F8D2">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1845" w:type="dxa"/>
                  <w:vAlign w:val="center"/>
                </w:tcPr>
                <w:p w14:paraId="70AE6854">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功能模块（单个）</w:t>
                  </w:r>
                </w:p>
              </w:tc>
              <w:tc>
                <w:tcPr>
                  <w:tcW w:w="2946" w:type="dxa"/>
                  <w:vAlign w:val="center"/>
                </w:tcPr>
                <w:p w14:paraId="6DE548C3">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产品项目</w:t>
                  </w:r>
                </w:p>
              </w:tc>
              <w:tc>
                <w:tcPr>
                  <w:tcW w:w="823" w:type="dxa"/>
                  <w:vAlign w:val="center"/>
                </w:tcPr>
                <w:p w14:paraId="10255090">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r>
            <w:tr w14:paraId="0E0E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7587BD6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5" w:type="dxa"/>
                  <w:vMerge w:val="restart"/>
                  <w:noWrap/>
                  <w:vAlign w:val="center"/>
                </w:tcPr>
                <w:p w14:paraId="737B361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家属谈话模块（家属端）</w:t>
                  </w:r>
                </w:p>
              </w:tc>
              <w:tc>
                <w:tcPr>
                  <w:tcW w:w="2946" w:type="dxa"/>
                  <w:noWrap/>
                  <w:vAlign w:val="center"/>
                </w:tcPr>
                <w:p w14:paraId="58D747B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家属谈话终端</w:t>
                  </w:r>
                </w:p>
              </w:tc>
              <w:tc>
                <w:tcPr>
                  <w:tcW w:w="823" w:type="dxa"/>
                  <w:noWrap/>
                  <w:vAlign w:val="center"/>
                </w:tcPr>
                <w:p w14:paraId="55E6B08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7856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5ADA458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845" w:type="dxa"/>
                  <w:vMerge w:val="continue"/>
                  <w:vAlign w:val="center"/>
                </w:tcPr>
                <w:p w14:paraId="02A9DC3B">
                  <w:pPr>
                    <w:spacing w:line="360" w:lineRule="exact"/>
                    <w:jc w:val="center"/>
                    <w:rPr>
                      <w:rFonts w:hint="eastAsia" w:ascii="仿宋" w:hAnsi="仿宋" w:eastAsia="仿宋" w:cs="仿宋"/>
                      <w:color w:val="auto"/>
                      <w:sz w:val="20"/>
                      <w:szCs w:val="20"/>
                      <w:highlight w:val="none"/>
                    </w:rPr>
                  </w:pPr>
                </w:p>
              </w:tc>
              <w:tc>
                <w:tcPr>
                  <w:tcW w:w="2946" w:type="dxa"/>
                  <w:noWrap/>
                  <w:vAlign w:val="center"/>
                </w:tcPr>
                <w:p w14:paraId="49727FE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谈话间软件（家属端）</w:t>
                  </w:r>
                </w:p>
              </w:tc>
              <w:tc>
                <w:tcPr>
                  <w:tcW w:w="823" w:type="dxa"/>
                  <w:noWrap/>
                  <w:vAlign w:val="center"/>
                </w:tcPr>
                <w:p w14:paraId="48A18AC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7DCD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F92A6C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1845" w:type="dxa"/>
                  <w:vMerge w:val="restart"/>
                  <w:noWrap/>
                  <w:vAlign w:val="center"/>
                </w:tcPr>
                <w:p w14:paraId="281512B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家属谈话模块（医护端）</w:t>
                  </w:r>
                </w:p>
              </w:tc>
              <w:tc>
                <w:tcPr>
                  <w:tcW w:w="2946" w:type="dxa"/>
                  <w:noWrap/>
                  <w:vAlign w:val="center"/>
                </w:tcPr>
                <w:p w14:paraId="4B7B919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家属谈话终端</w:t>
                  </w:r>
                </w:p>
              </w:tc>
              <w:tc>
                <w:tcPr>
                  <w:tcW w:w="823" w:type="dxa"/>
                  <w:noWrap/>
                  <w:vAlign w:val="center"/>
                </w:tcPr>
                <w:p w14:paraId="5E8DB7B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246D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4D6C237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1845" w:type="dxa"/>
                  <w:vMerge w:val="continue"/>
                  <w:vAlign w:val="center"/>
                </w:tcPr>
                <w:p w14:paraId="489A37DE">
                  <w:pPr>
                    <w:spacing w:line="360" w:lineRule="exact"/>
                    <w:jc w:val="center"/>
                    <w:rPr>
                      <w:rFonts w:hint="eastAsia" w:ascii="仿宋" w:hAnsi="仿宋" w:eastAsia="仿宋" w:cs="仿宋"/>
                      <w:color w:val="auto"/>
                      <w:sz w:val="20"/>
                      <w:szCs w:val="20"/>
                      <w:highlight w:val="none"/>
                    </w:rPr>
                  </w:pPr>
                </w:p>
              </w:tc>
              <w:tc>
                <w:tcPr>
                  <w:tcW w:w="2946" w:type="dxa"/>
                  <w:noWrap/>
                  <w:vAlign w:val="center"/>
                </w:tcPr>
                <w:p w14:paraId="5F5E281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谈话间软件（医护端）</w:t>
                  </w:r>
                </w:p>
              </w:tc>
              <w:tc>
                <w:tcPr>
                  <w:tcW w:w="823" w:type="dxa"/>
                  <w:noWrap/>
                  <w:vAlign w:val="center"/>
                </w:tcPr>
                <w:p w14:paraId="3A3528D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73E9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96" w:type="dxa"/>
                  <w:gridSpan w:val="3"/>
                  <w:vAlign w:val="center"/>
                </w:tcPr>
                <w:p w14:paraId="6281768C">
                  <w:pPr>
                    <w:spacing w:line="360" w:lineRule="exact"/>
                    <w:jc w:val="left"/>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手术会议室(光纤版)</w:t>
                  </w:r>
                </w:p>
              </w:tc>
              <w:tc>
                <w:tcPr>
                  <w:tcW w:w="823" w:type="dxa"/>
                  <w:vAlign w:val="center"/>
                </w:tcPr>
                <w:p w14:paraId="1BADC19D">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1间</w:t>
                  </w:r>
                </w:p>
              </w:tc>
            </w:tr>
            <w:tr w14:paraId="291B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vAlign w:val="center"/>
                </w:tcPr>
                <w:p w14:paraId="596D52A8">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1845" w:type="dxa"/>
                  <w:vAlign w:val="center"/>
                </w:tcPr>
                <w:p w14:paraId="5208E972">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功能模块（单个）</w:t>
                  </w:r>
                </w:p>
              </w:tc>
              <w:tc>
                <w:tcPr>
                  <w:tcW w:w="2946" w:type="dxa"/>
                  <w:vAlign w:val="center"/>
                </w:tcPr>
                <w:p w14:paraId="3AF0A244">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产品项目</w:t>
                  </w:r>
                </w:p>
              </w:tc>
              <w:tc>
                <w:tcPr>
                  <w:tcW w:w="823" w:type="dxa"/>
                  <w:vAlign w:val="center"/>
                </w:tcPr>
                <w:p w14:paraId="3C8DDB1A">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r>
            <w:tr w14:paraId="4B5F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5" w:type="dxa"/>
                  <w:noWrap/>
                  <w:vAlign w:val="center"/>
                </w:tcPr>
                <w:p w14:paraId="17047EC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5" w:type="dxa"/>
                  <w:vMerge w:val="restart"/>
                  <w:noWrap/>
                  <w:vAlign w:val="center"/>
                </w:tcPr>
                <w:p w14:paraId="2280D0C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中央处理系统</w:t>
                  </w:r>
                </w:p>
              </w:tc>
              <w:tc>
                <w:tcPr>
                  <w:tcW w:w="2946" w:type="dxa"/>
                  <w:vAlign w:val="center"/>
                </w:tcPr>
                <w:p w14:paraId="42D5D0A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数字一体化手术室系统主机(示教/会议室)</w:t>
                  </w:r>
                </w:p>
              </w:tc>
              <w:tc>
                <w:tcPr>
                  <w:tcW w:w="823" w:type="dxa"/>
                  <w:noWrap/>
                  <w:vAlign w:val="center"/>
                </w:tcPr>
                <w:p w14:paraId="1FB3AF7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7F42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1E3B58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845" w:type="dxa"/>
                  <w:vMerge w:val="continue"/>
                  <w:vAlign w:val="center"/>
                </w:tcPr>
                <w:p w14:paraId="07B6AD52">
                  <w:pPr>
                    <w:spacing w:line="360" w:lineRule="exact"/>
                    <w:jc w:val="center"/>
                    <w:rPr>
                      <w:rFonts w:hint="eastAsia" w:ascii="仿宋" w:hAnsi="仿宋" w:eastAsia="仿宋" w:cs="仿宋"/>
                      <w:color w:val="auto"/>
                      <w:sz w:val="20"/>
                      <w:szCs w:val="20"/>
                      <w:highlight w:val="none"/>
                    </w:rPr>
                  </w:pPr>
                </w:p>
              </w:tc>
              <w:tc>
                <w:tcPr>
                  <w:tcW w:w="2946" w:type="dxa"/>
                  <w:vAlign w:val="center"/>
                </w:tcPr>
                <w:p w14:paraId="0623D0A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中央触控终端（示教/会议室）</w:t>
                  </w:r>
                </w:p>
              </w:tc>
              <w:tc>
                <w:tcPr>
                  <w:tcW w:w="823" w:type="dxa"/>
                  <w:noWrap/>
                  <w:vAlign w:val="center"/>
                </w:tcPr>
                <w:p w14:paraId="27082A1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75B4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46F60BB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1845" w:type="dxa"/>
                  <w:vMerge w:val="continue"/>
                  <w:vAlign w:val="center"/>
                </w:tcPr>
                <w:p w14:paraId="682C7F9D">
                  <w:pPr>
                    <w:spacing w:line="360" w:lineRule="exact"/>
                    <w:jc w:val="center"/>
                    <w:rPr>
                      <w:rFonts w:hint="eastAsia" w:ascii="仿宋" w:hAnsi="仿宋" w:eastAsia="仿宋" w:cs="仿宋"/>
                      <w:color w:val="auto"/>
                      <w:sz w:val="20"/>
                      <w:szCs w:val="20"/>
                      <w:highlight w:val="none"/>
                    </w:rPr>
                  </w:pPr>
                </w:p>
              </w:tc>
              <w:tc>
                <w:tcPr>
                  <w:tcW w:w="2946" w:type="dxa"/>
                  <w:vAlign w:val="center"/>
                </w:tcPr>
                <w:p w14:paraId="0E2887D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数据交互设备</w:t>
                  </w:r>
                </w:p>
              </w:tc>
              <w:tc>
                <w:tcPr>
                  <w:tcW w:w="823" w:type="dxa"/>
                  <w:noWrap/>
                  <w:vAlign w:val="center"/>
                </w:tcPr>
                <w:p w14:paraId="43F0533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6180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46B69B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1845" w:type="dxa"/>
                  <w:vMerge w:val="continue"/>
                  <w:vAlign w:val="center"/>
                </w:tcPr>
                <w:p w14:paraId="47C3AF34">
                  <w:pPr>
                    <w:spacing w:line="360" w:lineRule="exact"/>
                    <w:jc w:val="center"/>
                    <w:rPr>
                      <w:rFonts w:hint="eastAsia" w:ascii="仿宋" w:hAnsi="仿宋" w:eastAsia="仿宋" w:cs="仿宋"/>
                      <w:color w:val="auto"/>
                      <w:sz w:val="20"/>
                      <w:szCs w:val="20"/>
                      <w:highlight w:val="none"/>
                    </w:rPr>
                  </w:pPr>
                </w:p>
              </w:tc>
              <w:tc>
                <w:tcPr>
                  <w:tcW w:w="2946" w:type="dxa"/>
                  <w:vAlign w:val="center"/>
                </w:tcPr>
                <w:p w14:paraId="3925454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音频处理器</w:t>
                  </w:r>
                </w:p>
              </w:tc>
              <w:tc>
                <w:tcPr>
                  <w:tcW w:w="823" w:type="dxa"/>
                  <w:noWrap/>
                  <w:vAlign w:val="center"/>
                </w:tcPr>
                <w:p w14:paraId="65E01B3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68C5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0F871EF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1845" w:type="dxa"/>
                  <w:vMerge w:val="continue"/>
                  <w:vAlign w:val="center"/>
                </w:tcPr>
                <w:p w14:paraId="4DBB5127">
                  <w:pPr>
                    <w:spacing w:line="360" w:lineRule="exact"/>
                    <w:jc w:val="center"/>
                    <w:rPr>
                      <w:rFonts w:hint="eastAsia" w:ascii="仿宋" w:hAnsi="仿宋" w:eastAsia="仿宋" w:cs="仿宋"/>
                      <w:color w:val="auto"/>
                      <w:sz w:val="20"/>
                      <w:szCs w:val="20"/>
                      <w:highlight w:val="none"/>
                    </w:rPr>
                  </w:pPr>
                </w:p>
              </w:tc>
              <w:tc>
                <w:tcPr>
                  <w:tcW w:w="2946" w:type="dxa"/>
                  <w:vAlign w:val="center"/>
                </w:tcPr>
                <w:p w14:paraId="26252F3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音频功放</w:t>
                  </w:r>
                </w:p>
              </w:tc>
              <w:tc>
                <w:tcPr>
                  <w:tcW w:w="823" w:type="dxa"/>
                  <w:noWrap/>
                  <w:vAlign w:val="center"/>
                </w:tcPr>
                <w:p w14:paraId="7B90457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1E68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042A128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1845" w:type="dxa"/>
                  <w:vMerge w:val="continue"/>
                  <w:vAlign w:val="center"/>
                </w:tcPr>
                <w:p w14:paraId="5D1504E7">
                  <w:pPr>
                    <w:spacing w:line="360" w:lineRule="exact"/>
                    <w:jc w:val="center"/>
                    <w:rPr>
                      <w:rFonts w:hint="eastAsia" w:ascii="仿宋" w:hAnsi="仿宋" w:eastAsia="仿宋" w:cs="仿宋"/>
                      <w:color w:val="auto"/>
                      <w:sz w:val="20"/>
                      <w:szCs w:val="20"/>
                      <w:highlight w:val="none"/>
                    </w:rPr>
                  </w:pPr>
                </w:p>
              </w:tc>
              <w:tc>
                <w:tcPr>
                  <w:tcW w:w="2946" w:type="dxa"/>
                  <w:vAlign w:val="center"/>
                </w:tcPr>
                <w:p w14:paraId="0A69FF8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视频画面处理器（示教室）</w:t>
                  </w:r>
                </w:p>
              </w:tc>
              <w:tc>
                <w:tcPr>
                  <w:tcW w:w="823" w:type="dxa"/>
                  <w:noWrap/>
                  <w:vAlign w:val="center"/>
                </w:tcPr>
                <w:p w14:paraId="1F7D210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3F8B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1A071BE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c>
                <w:tcPr>
                  <w:tcW w:w="1845" w:type="dxa"/>
                  <w:vMerge w:val="continue"/>
                  <w:vAlign w:val="center"/>
                </w:tcPr>
                <w:p w14:paraId="1DC6EF7F">
                  <w:pPr>
                    <w:spacing w:line="360" w:lineRule="exact"/>
                    <w:jc w:val="center"/>
                    <w:rPr>
                      <w:rFonts w:hint="eastAsia" w:ascii="仿宋" w:hAnsi="仿宋" w:eastAsia="仿宋" w:cs="仿宋"/>
                      <w:color w:val="auto"/>
                      <w:sz w:val="20"/>
                      <w:szCs w:val="20"/>
                      <w:highlight w:val="none"/>
                    </w:rPr>
                  </w:pPr>
                </w:p>
              </w:tc>
              <w:tc>
                <w:tcPr>
                  <w:tcW w:w="2946" w:type="dxa"/>
                  <w:vAlign w:val="center"/>
                </w:tcPr>
                <w:p w14:paraId="73DEAEE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示教会议机柜</w:t>
                  </w:r>
                </w:p>
              </w:tc>
              <w:tc>
                <w:tcPr>
                  <w:tcW w:w="823" w:type="dxa"/>
                  <w:noWrap/>
                  <w:vAlign w:val="center"/>
                </w:tcPr>
                <w:p w14:paraId="40E8D6F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12C5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6DD593E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1845" w:type="dxa"/>
                  <w:vMerge w:val="restart"/>
                  <w:noWrap/>
                  <w:vAlign w:val="center"/>
                </w:tcPr>
                <w:p w14:paraId="3598E9C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视频编解码设备</w:t>
                  </w:r>
                </w:p>
              </w:tc>
              <w:tc>
                <w:tcPr>
                  <w:tcW w:w="2946" w:type="dxa"/>
                  <w:vAlign w:val="center"/>
                </w:tcPr>
                <w:p w14:paraId="464E3D4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全景编码器</w:t>
                  </w:r>
                </w:p>
              </w:tc>
              <w:tc>
                <w:tcPr>
                  <w:tcW w:w="823" w:type="dxa"/>
                  <w:noWrap/>
                  <w:vAlign w:val="center"/>
                </w:tcPr>
                <w:p w14:paraId="4292BF6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2E52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FB3E06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c>
                <w:tcPr>
                  <w:tcW w:w="1845" w:type="dxa"/>
                  <w:vMerge w:val="continue"/>
                  <w:vAlign w:val="center"/>
                </w:tcPr>
                <w:p w14:paraId="22B3F488">
                  <w:pPr>
                    <w:spacing w:line="360" w:lineRule="exact"/>
                    <w:jc w:val="center"/>
                    <w:rPr>
                      <w:rFonts w:hint="eastAsia" w:ascii="仿宋" w:hAnsi="仿宋" w:eastAsia="仿宋" w:cs="仿宋"/>
                      <w:color w:val="auto"/>
                      <w:sz w:val="20"/>
                      <w:szCs w:val="20"/>
                      <w:highlight w:val="none"/>
                    </w:rPr>
                  </w:pPr>
                </w:p>
              </w:tc>
              <w:tc>
                <w:tcPr>
                  <w:tcW w:w="2946" w:type="dxa"/>
                  <w:vAlign w:val="center"/>
                </w:tcPr>
                <w:p w14:paraId="6CB8D294">
                  <w:pPr>
                    <w:tabs>
                      <w:tab w:val="left" w:pos="1794"/>
                      <w:tab w:val="center" w:pos="2655"/>
                    </w:tabs>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视频编码器</w:t>
                  </w:r>
                </w:p>
              </w:tc>
              <w:tc>
                <w:tcPr>
                  <w:tcW w:w="823" w:type="dxa"/>
                  <w:noWrap/>
                  <w:vAlign w:val="center"/>
                </w:tcPr>
                <w:p w14:paraId="09737B6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r>
            <w:tr w14:paraId="438C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BC1BD6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w:t>
                  </w:r>
                </w:p>
              </w:tc>
              <w:tc>
                <w:tcPr>
                  <w:tcW w:w="1845" w:type="dxa"/>
                  <w:vMerge w:val="continue"/>
                  <w:vAlign w:val="center"/>
                </w:tcPr>
                <w:p w14:paraId="428D26A9">
                  <w:pPr>
                    <w:spacing w:line="360" w:lineRule="exact"/>
                    <w:jc w:val="center"/>
                    <w:rPr>
                      <w:rFonts w:hint="eastAsia" w:ascii="仿宋" w:hAnsi="仿宋" w:eastAsia="仿宋" w:cs="仿宋"/>
                      <w:color w:val="auto"/>
                      <w:sz w:val="20"/>
                      <w:szCs w:val="20"/>
                      <w:highlight w:val="none"/>
                    </w:rPr>
                  </w:pPr>
                </w:p>
              </w:tc>
              <w:tc>
                <w:tcPr>
                  <w:tcW w:w="2946" w:type="dxa"/>
                  <w:vAlign w:val="center"/>
                </w:tcPr>
                <w:p w14:paraId="3C110B5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视频解码器</w:t>
                  </w:r>
                </w:p>
              </w:tc>
              <w:tc>
                <w:tcPr>
                  <w:tcW w:w="823" w:type="dxa"/>
                  <w:noWrap/>
                  <w:vAlign w:val="center"/>
                </w:tcPr>
                <w:p w14:paraId="74ED02A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r>
            <w:tr w14:paraId="2593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05" w:type="dxa"/>
                  <w:noWrap/>
                  <w:vAlign w:val="center"/>
                </w:tcPr>
                <w:p w14:paraId="6E545F5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w:t>
                  </w:r>
                </w:p>
              </w:tc>
              <w:tc>
                <w:tcPr>
                  <w:tcW w:w="1845" w:type="dxa"/>
                  <w:noWrap/>
                  <w:vAlign w:val="center"/>
                </w:tcPr>
                <w:p w14:paraId="35DB6F0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视频显示设备</w:t>
                  </w:r>
                </w:p>
              </w:tc>
              <w:tc>
                <w:tcPr>
                  <w:tcW w:w="2946" w:type="dxa"/>
                  <w:vAlign w:val="center"/>
                </w:tcPr>
                <w:p w14:paraId="3E3ECC9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单元65寸1.8mm超窄边8连屏（2*3）拼接显示器系统</w:t>
                  </w:r>
                </w:p>
              </w:tc>
              <w:tc>
                <w:tcPr>
                  <w:tcW w:w="823" w:type="dxa"/>
                  <w:noWrap/>
                  <w:vAlign w:val="center"/>
                </w:tcPr>
                <w:p w14:paraId="0A3B720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1DEC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12D041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w:t>
                  </w:r>
                </w:p>
              </w:tc>
              <w:tc>
                <w:tcPr>
                  <w:tcW w:w="1845" w:type="dxa"/>
                  <w:vMerge w:val="restart"/>
                  <w:noWrap/>
                  <w:vAlign w:val="center"/>
                </w:tcPr>
                <w:p w14:paraId="570309E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视音频外设</w:t>
                  </w:r>
                </w:p>
              </w:tc>
              <w:tc>
                <w:tcPr>
                  <w:tcW w:w="2946" w:type="dxa"/>
                  <w:vAlign w:val="center"/>
                </w:tcPr>
                <w:p w14:paraId="2AA0909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4K全景摄像机</w:t>
                  </w:r>
                </w:p>
              </w:tc>
              <w:tc>
                <w:tcPr>
                  <w:tcW w:w="823" w:type="dxa"/>
                  <w:noWrap/>
                  <w:vAlign w:val="center"/>
                </w:tcPr>
                <w:p w14:paraId="6CD7628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7D65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0E63289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w:t>
                  </w:r>
                </w:p>
              </w:tc>
              <w:tc>
                <w:tcPr>
                  <w:tcW w:w="1845" w:type="dxa"/>
                  <w:vMerge w:val="continue"/>
                  <w:vAlign w:val="center"/>
                </w:tcPr>
                <w:p w14:paraId="0D19C73C">
                  <w:pPr>
                    <w:spacing w:line="360" w:lineRule="exact"/>
                    <w:jc w:val="center"/>
                    <w:rPr>
                      <w:rFonts w:hint="eastAsia" w:ascii="仿宋" w:hAnsi="仿宋" w:eastAsia="仿宋" w:cs="仿宋"/>
                      <w:color w:val="auto"/>
                      <w:sz w:val="20"/>
                      <w:szCs w:val="20"/>
                      <w:highlight w:val="none"/>
                    </w:rPr>
                  </w:pPr>
                </w:p>
              </w:tc>
              <w:tc>
                <w:tcPr>
                  <w:tcW w:w="2946" w:type="dxa"/>
                  <w:vAlign w:val="center"/>
                </w:tcPr>
                <w:p w14:paraId="30FD051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鹅颈麦克风</w:t>
                  </w:r>
                </w:p>
              </w:tc>
              <w:tc>
                <w:tcPr>
                  <w:tcW w:w="823" w:type="dxa"/>
                  <w:noWrap/>
                  <w:vAlign w:val="center"/>
                </w:tcPr>
                <w:p w14:paraId="75BA0BD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r>
            <w:tr w14:paraId="6CB1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B13D0F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14</w:t>
                  </w:r>
                </w:p>
              </w:tc>
              <w:tc>
                <w:tcPr>
                  <w:tcW w:w="1845" w:type="dxa"/>
                  <w:vMerge w:val="continue"/>
                  <w:vAlign w:val="center"/>
                </w:tcPr>
                <w:p w14:paraId="32449356">
                  <w:pPr>
                    <w:spacing w:line="360" w:lineRule="exact"/>
                    <w:jc w:val="center"/>
                    <w:rPr>
                      <w:rFonts w:hint="eastAsia" w:ascii="仿宋" w:hAnsi="仿宋" w:eastAsia="仿宋" w:cs="仿宋"/>
                      <w:color w:val="auto"/>
                      <w:sz w:val="20"/>
                      <w:szCs w:val="20"/>
                      <w:highlight w:val="none"/>
                    </w:rPr>
                  </w:pPr>
                </w:p>
              </w:tc>
              <w:tc>
                <w:tcPr>
                  <w:tcW w:w="2946" w:type="dxa"/>
                  <w:vAlign w:val="center"/>
                </w:tcPr>
                <w:p w14:paraId="0BD50A8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壁挂音箱(表面安装)</w:t>
                  </w:r>
                </w:p>
              </w:tc>
              <w:tc>
                <w:tcPr>
                  <w:tcW w:w="823" w:type="dxa"/>
                  <w:noWrap/>
                  <w:vAlign w:val="center"/>
                </w:tcPr>
                <w:p w14:paraId="0701D76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r>
            <w:tr w14:paraId="0779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6A2F82D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15</w:t>
                  </w:r>
                </w:p>
              </w:tc>
              <w:tc>
                <w:tcPr>
                  <w:tcW w:w="1845" w:type="dxa"/>
                  <w:vMerge w:val="restart"/>
                  <w:noWrap/>
                  <w:vAlign w:val="center"/>
                </w:tcPr>
                <w:p w14:paraId="3BBC561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远程会议对接模块</w:t>
                  </w:r>
                </w:p>
              </w:tc>
              <w:tc>
                <w:tcPr>
                  <w:tcW w:w="2946" w:type="dxa"/>
                  <w:vAlign w:val="center"/>
                </w:tcPr>
                <w:p w14:paraId="433F893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视频编码器</w:t>
                  </w:r>
                </w:p>
              </w:tc>
              <w:tc>
                <w:tcPr>
                  <w:tcW w:w="823" w:type="dxa"/>
                  <w:noWrap/>
                  <w:vAlign w:val="center"/>
                </w:tcPr>
                <w:p w14:paraId="7780138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4500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5EB7EBF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16</w:t>
                  </w:r>
                </w:p>
              </w:tc>
              <w:tc>
                <w:tcPr>
                  <w:tcW w:w="1845" w:type="dxa"/>
                  <w:vMerge w:val="continue"/>
                  <w:vAlign w:val="center"/>
                </w:tcPr>
                <w:p w14:paraId="50E34FB8">
                  <w:pPr>
                    <w:spacing w:line="360" w:lineRule="exact"/>
                    <w:jc w:val="center"/>
                    <w:rPr>
                      <w:rFonts w:hint="eastAsia" w:ascii="仿宋" w:hAnsi="仿宋" w:eastAsia="仿宋" w:cs="仿宋"/>
                      <w:color w:val="auto"/>
                      <w:sz w:val="20"/>
                      <w:szCs w:val="20"/>
                      <w:highlight w:val="none"/>
                    </w:rPr>
                  </w:pPr>
                </w:p>
              </w:tc>
              <w:tc>
                <w:tcPr>
                  <w:tcW w:w="2946" w:type="dxa"/>
                  <w:vAlign w:val="center"/>
                </w:tcPr>
                <w:p w14:paraId="3B76378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视频解码器</w:t>
                  </w:r>
                </w:p>
              </w:tc>
              <w:tc>
                <w:tcPr>
                  <w:tcW w:w="823" w:type="dxa"/>
                  <w:noWrap/>
                  <w:vAlign w:val="center"/>
                </w:tcPr>
                <w:p w14:paraId="413C651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4A60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245328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17</w:t>
                  </w:r>
                </w:p>
              </w:tc>
              <w:tc>
                <w:tcPr>
                  <w:tcW w:w="1845" w:type="dxa"/>
                  <w:vMerge w:val="restart"/>
                  <w:noWrap/>
                  <w:vAlign w:val="center"/>
                </w:tcPr>
                <w:p w14:paraId="23AF1CE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移动触控模块</w:t>
                  </w:r>
                </w:p>
              </w:tc>
              <w:tc>
                <w:tcPr>
                  <w:tcW w:w="2946" w:type="dxa"/>
                  <w:vAlign w:val="center"/>
                </w:tcPr>
                <w:p w14:paraId="0FF4EA4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移动控制终端</w:t>
                  </w:r>
                </w:p>
              </w:tc>
              <w:tc>
                <w:tcPr>
                  <w:tcW w:w="823" w:type="dxa"/>
                  <w:noWrap/>
                  <w:vAlign w:val="center"/>
                </w:tcPr>
                <w:p w14:paraId="41CC017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032B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764CCD3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18</w:t>
                  </w:r>
                </w:p>
              </w:tc>
              <w:tc>
                <w:tcPr>
                  <w:tcW w:w="1845" w:type="dxa"/>
                  <w:vMerge w:val="continue"/>
                  <w:vAlign w:val="center"/>
                </w:tcPr>
                <w:p w14:paraId="7B68B44D">
                  <w:pPr>
                    <w:spacing w:line="360" w:lineRule="exact"/>
                    <w:jc w:val="center"/>
                    <w:rPr>
                      <w:rFonts w:hint="eastAsia" w:ascii="仿宋" w:hAnsi="仿宋" w:eastAsia="仿宋" w:cs="仿宋"/>
                      <w:color w:val="auto"/>
                      <w:sz w:val="20"/>
                      <w:szCs w:val="20"/>
                      <w:highlight w:val="none"/>
                    </w:rPr>
                  </w:pPr>
                </w:p>
              </w:tc>
              <w:tc>
                <w:tcPr>
                  <w:tcW w:w="2946" w:type="dxa"/>
                  <w:vAlign w:val="center"/>
                </w:tcPr>
                <w:p w14:paraId="7AD9F69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无线AP</w:t>
                  </w:r>
                </w:p>
              </w:tc>
              <w:tc>
                <w:tcPr>
                  <w:tcW w:w="823" w:type="dxa"/>
                  <w:noWrap/>
                  <w:vAlign w:val="center"/>
                </w:tcPr>
                <w:p w14:paraId="16D4F79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5298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49456AF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19</w:t>
                  </w:r>
                </w:p>
              </w:tc>
              <w:tc>
                <w:tcPr>
                  <w:tcW w:w="1845" w:type="dxa"/>
                  <w:vMerge w:val="continue"/>
                  <w:vAlign w:val="center"/>
                </w:tcPr>
                <w:p w14:paraId="0724CFDD">
                  <w:pPr>
                    <w:spacing w:line="360" w:lineRule="exact"/>
                    <w:jc w:val="center"/>
                    <w:rPr>
                      <w:rFonts w:hint="eastAsia" w:ascii="仿宋" w:hAnsi="仿宋" w:eastAsia="仿宋" w:cs="仿宋"/>
                      <w:color w:val="auto"/>
                      <w:sz w:val="20"/>
                      <w:szCs w:val="20"/>
                      <w:highlight w:val="none"/>
                    </w:rPr>
                  </w:pPr>
                </w:p>
              </w:tc>
              <w:tc>
                <w:tcPr>
                  <w:tcW w:w="2946" w:type="dxa"/>
                  <w:vAlign w:val="center"/>
                </w:tcPr>
                <w:p w14:paraId="2A4704C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移动端软件</w:t>
                  </w:r>
                </w:p>
              </w:tc>
              <w:tc>
                <w:tcPr>
                  <w:tcW w:w="823" w:type="dxa"/>
                  <w:noWrap/>
                  <w:vAlign w:val="center"/>
                </w:tcPr>
                <w:p w14:paraId="018E7E8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19EB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05" w:type="dxa"/>
                  <w:noWrap/>
                  <w:vAlign w:val="center"/>
                </w:tcPr>
                <w:p w14:paraId="3601AB6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20</w:t>
                  </w:r>
                </w:p>
              </w:tc>
              <w:tc>
                <w:tcPr>
                  <w:tcW w:w="1845" w:type="dxa"/>
                  <w:noWrap/>
                  <w:vAlign w:val="center"/>
                </w:tcPr>
                <w:p w14:paraId="7919B25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线缆包</w:t>
                  </w:r>
                </w:p>
              </w:tc>
              <w:tc>
                <w:tcPr>
                  <w:tcW w:w="2946" w:type="dxa"/>
                  <w:vAlign w:val="center"/>
                </w:tcPr>
                <w:p w14:paraId="69DC5DB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4K数字化示教会议室线缆包</w:t>
                  </w:r>
                </w:p>
              </w:tc>
              <w:tc>
                <w:tcPr>
                  <w:tcW w:w="823" w:type="dxa"/>
                  <w:noWrap/>
                  <w:vAlign w:val="center"/>
                </w:tcPr>
                <w:p w14:paraId="460538A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按需</w:t>
                  </w:r>
                </w:p>
                <w:p w14:paraId="515A8D4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提供</w:t>
                  </w:r>
                </w:p>
              </w:tc>
            </w:tr>
            <w:tr w14:paraId="1727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96" w:type="dxa"/>
                  <w:gridSpan w:val="3"/>
                  <w:vAlign w:val="center"/>
                </w:tcPr>
                <w:p w14:paraId="77AABCC7">
                  <w:pPr>
                    <w:spacing w:line="360" w:lineRule="exact"/>
                    <w:jc w:val="left"/>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大会议室(光纤版)数字化</w:t>
                  </w:r>
                </w:p>
              </w:tc>
              <w:tc>
                <w:tcPr>
                  <w:tcW w:w="823" w:type="dxa"/>
                  <w:vAlign w:val="center"/>
                </w:tcPr>
                <w:p w14:paraId="6C1906D1">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1间</w:t>
                  </w:r>
                </w:p>
              </w:tc>
            </w:tr>
            <w:tr w14:paraId="1073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vAlign w:val="center"/>
                </w:tcPr>
                <w:p w14:paraId="5DEA6C15">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1845" w:type="dxa"/>
                  <w:vAlign w:val="center"/>
                </w:tcPr>
                <w:p w14:paraId="054155C6">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功能模块（单个）</w:t>
                  </w:r>
                </w:p>
              </w:tc>
              <w:tc>
                <w:tcPr>
                  <w:tcW w:w="2946" w:type="dxa"/>
                  <w:vAlign w:val="center"/>
                </w:tcPr>
                <w:p w14:paraId="36842EE0">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产品项目</w:t>
                  </w:r>
                </w:p>
              </w:tc>
              <w:tc>
                <w:tcPr>
                  <w:tcW w:w="823" w:type="dxa"/>
                  <w:vAlign w:val="center"/>
                </w:tcPr>
                <w:p w14:paraId="080705B8">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r>
            <w:tr w14:paraId="6255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5" w:type="dxa"/>
                  <w:noWrap/>
                  <w:vAlign w:val="center"/>
                </w:tcPr>
                <w:p w14:paraId="2B0A6E3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5" w:type="dxa"/>
                  <w:vMerge w:val="restart"/>
                  <w:noWrap/>
                  <w:vAlign w:val="center"/>
                </w:tcPr>
                <w:p w14:paraId="4A31DF4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中央处理系统</w:t>
                  </w:r>
                </w:p>
              </w:tc>
              <w:tc>
                <w:tcPr>
                  <w:tcW w:w="2946" w:type="dxa"/>
                  <w:vAlign w:val="center"/>
                </w:tcPr>
                <w:p w14:paraId="764ECD2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数字一体化手术室系统主机(示教/会议室)</w:t>
                  </w:r>
                </w:p>
              </w:tc>
              <w:tc>
                <w:tcPr>
                  <w:tcW w:w="823" w:type="dxa"/>
                  <w:noWrap/>
                  <w:vAlign w:val="center"/>
                </w:tcPr>
                <w:p w14:paraId="48222E4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66E7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04CFD90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845" w:type="dxa"/>
                  <w:vMerge w:val="continue"/>
                  <w:vAlign w:val="center"/>
                </w:tcPr>
                <w:p w14:paraId="34C50A1A">
                  <w:pPr>
                    <w:spacing w:line="360" w:lineRule="exact"/>
                    <w:jc w:val="center"/>
                    <w:rPr>
                      <w:rFonts w:hint="eastAsia" w:ascii="仿宋" w:hAnsi="仿宋" w:eastAsia="仿宋" w:cs="仿宋"/>
                      <w:color w:val="auto"/>
                      <w:sz w:val="20"/>
                      <w:szCs w:val="20"/>
                      <w:highlight w:val="none"/>
                    </w:rPr>
                  </w:pPr>
                </w:p>
              </w:tc>
              <w:tc>
                <w:tcPr>
                  <w:tcW w:w="2946" w:type="dxa"/>
                  <w:vAlign w:val="center"/>
                </w:tcPr>
                <w:p w14:paraId="0621624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中央触控终端（示教/会议室）</w:t>
                  </w:r>
                </w:p>
              </w:tc>
              <w:tc>
                <w:tcPr>
                  <w:tcW w:w="823" w:type="dxa"/>
                  <w:noWrap/>
                  <w:vAlign w:val="center"/>
                </w:tcPr>
                <w:p w14:paraId="49C35D8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4CFE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4EE03CA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1845" w:type="dxa"/>
                  <w:vMerge w:val="continue"/>
                  <w:vAlign w:val="center"/>
                </w:tcPr>
                <w:p w14:paraId="0B840A19">
                  <w:pPr>
                    <w:spacing w:line="360" w:lineRule="exact"/>
                    <w:jc w:val="center"/>
                    <w:rPr>
                      <w:rFonts w:hint="eastAsia" w:ascii="仿宋" w:hAnsi="仿宋" w:eastAsia="仿宋" w:cs="仿宋"/>
                      <w:color w:val="auto"/>
                      <w:sz w:val="20"/>
                      <w:szCs w:val="20"/>
                      <w:highlight w:val="none"/>
                    </w:rPr>
                  </w:pPr>
                </w:p>
              </w:tc>
              <w:tc>
                <w:tcPr>
                  <w:tcW w:w="2946" w:type="dxa"/>
                  <w:vAlign w:val="center"/>
                </w:tcPr>
                <w:p w14:paraId="6384075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数据交互设备</w:t>
                  </w:r>
                </w:p>
              </w:tc>
              <w:tc>
                <w:tcPr>
                  <w:tcW w:w="823" w:type="dxa"/>
                  <w:noWrap/>
                  <w:vAlign w:val="center"/>
                </w:tcPr>
                <w:p w14:paraId="5B1B9A6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59D7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593736B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1845" w:type="dxa"/>
                  <w:vMerge w:val="continue"/>
                  <w:vAlign w:val="center"/>
                </w:tcPr>
                <w:p w14:paraId="363A8F80">
                  <w:pPr>
                    <w:spacing w:line="360" w:lineRule="exact"/>
                    <w:jc w:val="center"/>
                    <w:rPr>
                      <w:rFonts w:hint="eastAsia" w:ascii="仿宋" w:hAnsi="仿宋" w:eastAsia="仿宋" w:cs="仿宋"/>
                      <w:color w:val="auto"/>
                      <w:sz w:val="20"/>
                      <w:szCs w:val="20"/>
                      <w:highlight w:val="none"/>
                    </w:rPr>
                  </w:pPr>
                </w:p>
              </w:tc>
              <w:tc>
                <w:tcPr>
                  <w:tcW w:w="2946" w:type="dxa"/>
                  <w:vAlign w:val="center"/>
                </w:tcPr>
                <w:p w14:paraId="7FA001D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音频处理器</w:t>
                  </w:r>
                </w:p>
              </w:tc>
              <w:tc>
                <w:tcPr>
                  <w:tcW w:w="823" w:type="dxa"/>
                  <w:noWrap/>
                  <w:vAlign w:val="center"/>
                </w:tcPr>
                <w:p w14:paraId="38741F0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15D9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C503DD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1845" w:type="dxa"/>
                  <w:vMerge w:val="continue"/>
                  <w:vAlign w:val="center"/>
                </w:tcPr>
                <w:p w14:paraId="1D601CB9">
                  <w:pPr>
                    <w:spacing w:line="360" w:lineRule="exact"/>
                    <w:jc w:val="center"/>
                    <w:rPr>
                      <w:rFonts w:hint="eastAsia" w:ascii="仿宋" w:hAnsi="仿宋" w:eastAsia="仿宋" w:cs="仿宋"/>
                      <w:color w:val="auto"/>
                      <w:sz w:val="20"/>
                      <w:szCs w:val="20"/>
                      <w:highlight w:val="none"/>
                    </w:rPr>
                  </w:pPr>
                </w:p>
              </w:tc>
              <w:tc>
                <w:tcPr>
                  <w:tcW w:w="2946" w:type="dxa"/>
                  <w:vAlign w:val="center"/>
                </w:tcPr>
                <w:p w14:paraId="0B3A959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示教会议机柜</w:t>
                  </w:r>
                </w:p>
              </w:tc>
              <w:tc>
                <w:tcPr>
                  <w:tcW w:w="823" w:type="dxa"/>
                  <w:noWrap/>
                  <w:vAlign w:val="center"/>
                </w:tcPr>
                <w:p w14:paraId="618A688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33DA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5A9F16B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1845" w:type="dxa"/>
                  <w:vMerge w:val="restart"/>
                  <w:noWrap/>
                  <w:vAlign w:val="center"/>
                </w:tcPr>
                <w:p w14:paraId="2436E07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视频编解码设备</w:t>
                  </w:r>
                </w:p>
              </w:tc>
              <w:tc>
                <w:tcPr>
                  <w:tcW w:w="2946" w:type="dxa"/>
                  <w:vAlign w:val="center"/>
                </w:tcPr>
                <w:p w14:paraId="684D1BD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全景编码器</w:t>
                  </w:r>
                </w:p>
              </w:tc>
              <w:tc>
                <w:tcPr>
                  <w:tcW w:w="823" w:type="dxa"/>
                  <w:noWrap/>
                  <w:vAlign w:val="center"/>
                </w:tcPr>
                <w:p w14:paraId="71325B0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2FDC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4DAEA4D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c>
                <w:tcPr>
                  <w:tcW w:w="1845" w:type="dxa"/>
                  <w:vMerge w:val="continue"/>
                  <w:vAlign w:val="center"/>
                </w:tcPr>
                <w:p w14:paraId="3FF6EA81">
                  <w:pPr>
                    <w:spacing w:line="360" w:lineRule="exact"/>
                    <w:jc w:val="center"/>
                    <w:rPr>
                      <w:rFonts w:hint="eastAsia" w:ascii="仿宋" w:hAnsi="仿宋" w:eastAsia="仿宋" w:cs="仿宋"/>
                      <w:color w:val="auto"/>
                      <w:sz w:val="20"/>
                      <w:szCs w:val="20"/>
                      <w:highlight w:val="none"/>
                    </w:rPr>
                  </w:pPr>
                </w:p>
              </w:tc>
              <w:tc>
                <w:tcPr>
                  <w:tcW w:w="2946" w:type="dxa"/>
                  <w:vAlign w:val="center"/>
                </w:tcPr>
                <w:p w14:paraId="7E8F304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视频解码器</w:t>
                  </w:r>
                </w:p>
              </w:tc>
              <w:tc>
                <w:tcPr>
                  <w:tcW w:w="823" w:type="dxa"/>
                  <w:noWrap/>
                  <w:vAlign w:val="center"/>
                </w:tcPr>
                <w:p w14:paraId="563AFBD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5758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D97EDE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1845" w:type="dxa"/>
                  <w:noWrap/>
                  <w:vAlign w:val="center"/>
                </w:tcPr>
                <w:p w14:paraId="388E717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视音频外设</w:t>
                  </w:r>
                </w:p>
              </w:tc>
              <w:tc>
                <w:tcPr>
                  <w:tcW w:w="2946" w:type="dxa"/>
                  <w:vAlign w:val="center"/>
                </w:tcPr>
                <w:p w14:paraId="4BA2AA3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4K全景摄像机</w:t>
                  </w:r>
                </w:p>
              </w:tc>
              <w:tc>
                <w:tcPr>
                  <w:tcW w:w="823" w:type="dxa"/>
                  <w:noWrap/>
                  <w:vAlign w:val="center"/>
                </w:tcPr>
                <w:p w14:paraId="3A6888E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539A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7F96E2D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c>
                <w:tcPr>
                  <w:tcW w:w="1845" w:type="dxa"/>
                  <w:vMerge w:val="restart"/>
                  <w:noWrap/>
                  <w:vAlign w:val="center"/>
                </w:tcPr>
                <w:p w14:paraId="5A8931B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远程会议对接模块</w:t>
                  </w:r>
                </w:p>
              </w:tc>
              <w:tc>
                <w:tcPr>
                  <w:tcW w:w="2946" w:type="dxa"/>
                  <w:vAlign w:val="center"/>
                </w:tcPr>
                <w:p w14:paraId="5C450AA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视频编码器</w:t>
                  </w:r>
                </w:p>
              </w:tc>
              <w:tc>
                <w:tcPr>
                  <w:tcW w:w="823" w:type="dxa"/>
                  <w:noWrap/>
                  <w:vAlign w:val="center"/>
                </w:tcPr>
                <w:p w14:paraId="5FB5917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0476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60A054A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w:t>
                  </w:r>
                </w:p>
              </w:tc>
              <w:tc>
                <w:tcPr>
                  <w:tcW w:w="1845" w:type="dxa"/>
                  <w:vMerge w:val="continue"/>
                  <w:vAlign w:val="center"/>
                </w:tcPr>
                <w:p w14:paraId="01DD7BD8">
                  <w:pPr>
                    <w:spacing w:line="360" w:lineRule="exact"/>
                    <w:jc w:val="center"/>
                    <w:rPr>
                      <w:rFonts w:hint="eastAsia" w:ascii="仿宋" w:hAnsi="仿宋" w:eastAsia="仿宋" w:cs="仿宋"/>
                      <w:color w:val="auto"/>
                      <w:sz w:val="20"/>
                      <w:szCs w:val="20"/>
                      <w:highlight w:val="none"/>
                    </w:rPr>
                  </w:pPr>
                </w:p>
              </w:tc>
              <w:tc>
                <w:tcPr>
                  <w:tcW w:w="2946" w:type="dxa"/>
                  <w:vAlign w:val="center"/>
                </w:tcPr>
                <w:p w14:paraId="28E4BEC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视频解码器</w:t>
                  </w:r>
                </w:p>
              </w:tc>
              <w:tc>
                <w:tcPr>
                  <w:tcW w:w="823" w:type="dxa"/>
                  <w:noWrap/>
                  <w:vAlign w:val="center"/>
                </w:tcPr>
                <w:p w14:paraId="6A77795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591A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5CA572B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w:t>
                  </w:r>
                </w:p>
              </w:tc>
              <w:tc>
                <w:tcPr>
                  <w:tcW w:w="1845" w:type="dxa"/>
                  <w:vMerge w:val="restart"/>
                  <w:noWrap/>
                  <w:vAlign w:val="center"/>
                </w:tcPr>
                <w:p w14:paraId="522FC90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移动触控模块</w:t>
                  </w:r>
                </w:p>
              </w:tc>
              <w:tc>
                <w:tcPr>
                  <w:tcW w:w="2946" w:type="dxa"/>
                  <w:vAlign w:val="center"/>
                </w:tcPr>
                <w:p w14:paraId="0E3EE70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移动控制终端</w:t>
                  </w:r>
                </w:p>
              </w:tc>
              <w:tc>
                <w:tcPr>
                  <w:tcW w:w="823" w:type="dxa"/>
                  <w:noWrap/>
                  <w:vAlign w:val="center"/>
                </w:tcPr>
                <w:p w14:paraId="1E3101A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3C09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6232B3E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w:t>
                  </w:r>
                </w:p>
              </w:tc>
              <w:tc>
                <w:tcPr>
                  <w:tcW w:w="1845" w:type="dxa"/>
                  <w:vMerge w:val="continue"/>
                  <w:vAlign w:val="center"/>
                </w:tcPr>
                <w:p w14:paraId="4E2C7072">
                  <w:pPr>
                    <w:spacing w:line="360" w:lineRule="exact"/>
                    <w:jc w:val="center"/>
                    <w:rPr>
                      <w:rFonts w:hint="eastAsia" w:ascii="仿宋" w:hAnsi="仿宋" w:eastAsia="仿宋" w:cs="仿宋"/>
                      <w:color w:val="auto"/>
                      <w:sz w:val="20"/>
                      <w:szCs w:val="20"/>
                      <w:highlight w:val="none"/>
                    </w:rPr>
                  </w:pPr>
                </w:p>
              </w:tc>
              <w:tc>
                <w:tcPr>
                  <w:tcW w:w="2946" w:type="dxa"/>
                  <w:vAlign w:val="center"/>
                </w:tcPr>
                <w:p w14:paraId="19E2A2D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无线AP</w:t>
                  </w:r>
                </w:p>
              </w:tc>
              <w:tc>
                <w:tcPr>
                  <w:tcW w:w="823" w:type="dxa"/>
                  <w:noWrap/>
                  <w:vAlign w:val="center"/>
                </w:tcPr>
                <w:p w14:paraId="268E4C1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051C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50E7299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w:t>
                  </w:r>
                </w:p>
              </w:tc>
              <w:tc>
                <w:tcPr>
                  <w:tcW w:w="1845" w:type="dxa"/>
                  <w:vMerge w:val="continue"/>
                  <w:vAlign w:val="center"/>
                </w:tcPr>
                <w:p w14:paraId="4F33DB7A">
                  <w:pPr>
                    <w:spacing w:line="360" w:lineRule="exact"/>
                    <w:jc w:val="center"/>
                    <w:rPr>
                      <w:rFonts w:hint="eastAsia" w:ascii="仿宋" w:hAnsi="仿宋" w:eastAsia="仿宋" w:cs="仿宋"/>
                      <w:color w:val="auto"/>
                      <w:sz w:val="20"/>
                      <w:szCs w:val="20"/>
                      <w:highlight w:val="none"/>
                    </w:rPr>
                  </w:pPr>
                </w:p>
              </w:tc>
              <w:tc>
                <w:tcPr>
                  <w:tcW w:w="2946" w:type="dxa"/>
                  <w:vAlign w:val="center"/>
                </w:tcPr>
                <w:p w14:paraId="1377ABB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移动端软件</w:t>
                  </w:r>
                </w:p>
              </w:tc>
              <w:tc>
                <w:tcPr>
                  <w:tcW w:w="823" w:type="dxa"/>
                  <w:noWrap/>
                  <w:vAlign w:val="center"/>
                </w:tcPr>
                <w:p w14:paraId="71026D0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2075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05" w:type="dxa"/>
                  <w:noWrap/>
                  <w:vAlign w:val="center"/>
                </w:tcPr>
                <w:p w14:paraId="39F3DA9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14</w:t>
                  </w:r>
                </w:p>
              </w:tc>
              <w:tc>
                <w:tcPr>
                  <w:tcW w:w="1845" w:type="dxa"/>
                  <w:noWrap/>
                  <w:vAlign w:val="center"/>
                </w:tcPr>
                <w:p w14:paraId="5B16063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线缆包</w:t>
                  </w:r>
                </w:p>
              </w:tc>
              <w:tc>
                <w:tcPr>
                  <w:tcW w:w="2946" w:type="dxa"/>
                  <w:vAlign w:val="center"/>
                </w:tcPr>
                <w:p w14:paraId="76F9FFC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4K数字化示教会议室线缆包</w:t>
                  </w:r>
                </w:p>
              </w:tc>
              <w:tc>
                <w:tcPr>
                  <w:tcW w:w="823" w:type="dxa"/>
                  <w:noWrap/>
                  <w:vAlign w:val="center"/>
                </w:tcPr>
                <w:p w14:paraId="6FD6D9F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按需提供</w:t>
                  </w:r>
                </w:p>
              </w:tc>
            </w:tr>
            <w:tr w14:paraId="35DE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96" w:type="dxa"/>
                  <w:gridSpan w:val="3"/>
                  <w:vAlign w:val="center"/>
                </w:tcPr>
                <w:p w14:paraId="458F400B">
                  <w:pPr>
                    <w:spacing w:line="360" w:lineRule="exact"/>
                    <w:jc w:val="left"/>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培训室(光纤版)数字化</w:t>
                  </w:r>
                </w:p>
              </w:tc>
              <w:tc>
                <w:tcPr>
                  <w:tcW w:w="823" w:type="dxa"/>
                  <w:vAlign w:val="center"/>
                </w:tcPr>
                <w:p w14:paraId="2398BEDD">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6间</w:t>
                  </w:r>
                </w:p>
              </w:tc>
            </w:tr>
            <w:tr w14:paraId="33BB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vAlign w:val="center"/>
                </w:tcPr>
                <w:p w14:paraId="437AC952">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1845" w:type="dxa"/>
                  <w:vAlign w:val="center"/>
                </w:tcPr>
                <w:p w14:paraId="588A1825">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功能模块（单个）</w:t>
                  </w:r>
                </w:p>
              </w:tc>
              <w:tc>
                <w:tcPr>
                  <w:tcW w:w="2946" w:type="dxa"/>
                  <w:vAlign w:val="center"/>
                </w:tcPr>
                <w:p w14:paraId="44CD169D">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产品项目</w:t>
                  </w:r>
                </w:p>
              </w:tc>
              <w:tc>
                <w:tcPr>
                  <w:tcW w:w="823" w:type="dxa"/>
                  <w:vAlign w:val="center"/>
                </w:tcPr>
                <w:p w14:paraId="0AE95057">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r>
            <w:tr w14:paraId="5E59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05" w:type="dxa"/>
                  <w:noWrap/>
                  <w:vAlign w:val="center"/>
                </w:tcPr>
                <w:p w14:paraId="49DF2BF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5" w:type="dxa"/>
                  <w:vMerge w:val="restart"/>
                  <w:noWrap/>
                  <w:vAlign w:val="center"/>
                </w:tcPr>
                <w:p w14:paraId="11A64EA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中央处理系统</w:t>
                  </w:r>
                </w:p>
              </w:tc>
              <w:tc>
                <w:tcPr>
                  <w:tcW w:w="2946" w:type="dxa"/>
                  <w:vAlign w:val="center"/>
                </w:tcPr>
                <w:p w14:paraId="3423ADF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数字一体化手术室系统主机(示教/会议室)</w:t>
                  </w:r>
                </w:p>
              </w:tc>
              <w:tc>
                <w:tcPr>
                  <w:tcW w:w="823" w:type="dxa"/>
                  <w:noWrap/>
                  <w:vAlign w:val="center"/>
                </w:tcPr>
                <w:p w14:paraId="57D6968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272A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17B0AB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845" w:type="dxa"/>
                  <w:vMerge w:val="continue"/>
                  <w:vAlign w:val="center"/>
                </w:tcPr>
                <w:p w14:paraId="58564A85">
                  <w:pPr>
                    <w:spacing w:line="360" w:lineRule="exact"/>
                    <w:jc w:val="center"/>
                    <w:rPr>
                      <w:rFonts w:hint="eastAsia" w:ascii="仿宋" w:hAnsi="仿宋" w:eastAsia="仿宋" w:cs="仿宋"/>
                      <w:color w:val="auto"/>
                      <w:sz w:val="20"/>
                      <w:szCs w:val="20"/>
                      <w:highlight w:val="none"/>
                    </w:rPr>
                  </w:pPr>
                </w:p>
              </w:tc>
              <w:tc>
                <w:tcPr>
                  <w:tcW w:w="2946" w:type="dxa"/>
                  <w:vAlign w:val="center"/>
                </w:tcPr>
                <w:p w14:paraId="0175B3D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中央触控终端（示教/会议室）</w:t>
                  </w:r>
                </w:p>
              </w:tc>
              <w:tc>
                <w:tcPr>
                  <w:tcW w:w="823" w:type="dxa"/>
                  <w:noWrap/>
                  <w:vAlign w:val="center"/>
                </w:tcPr>
                <w:p w14:paraId="1B80618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1070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12D5440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1845" w:type="dxa"/>
                  <w:vMerge w:val="continue"/>
                  <w:vAlign w:val="center"/>
                </w:tcPr>
                <w:p w14:paraId="1AA0141B">
                  <w:pPr>
                    <w:spacing w:line="360" w:lineRule="exact"/>
                    <w:jc w:val="center"/>
                    <w:rPr>
                      <w:rFonts w:hint="eastAsia" w:ascii="仿宋" w:hAnsi="仿宋" w:eastAsia="仿宋" w:cs="仿宋"/>
                      <w:color w:val="auto"/>
                      <w:sz w:val="20"/>
                      <w:szCs w:val="20"/>
                      <w:highlight w:val="none"/>
                    </w:rPr>
                  </w:pPr>
                </w:p>
              </w:tc>
              <w:tc>
                <w:tcPr>
                  <w:tcW w:w="2946" w:type="dxa"/>
                  <w:vAlign w:val="center"/>
                </w:tcPr>
                <w:p w14:paraId="0A30113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数据交互设备</w:t>
                  </w:r>
                </w:p>
              </w:tc>
              <w:tc>
                <w:tcPr>
                  <w:tcW w:w="823" w:type="dxa"/>
                  <w:noWrap/>
                  <w:vAlign w:val="center"/>
                </w:tcPr>
                <w:p w14:paraId="7110113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0433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50A571C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1845" w:type="dxa"/>
                  <w:vMerge w:val="continue"/>
                  <w:vAlign w:val="center"/>
                </w:tcPr>
                <w:p w14:paraId="7609BB0C">
                  <w:pPr>
                    <w:spacing w:line="360" w:lineRule="exact"/>
                    <w:jc w:val="center"/>
                    <w:rPr>
                      <w:rFonts w:hint="eastAsia" w:ascii="仿宋" w:hAnsi="仿宋" w:eastAsia="仿宋" w:cs="仿宋"/>
                      <w:color w:val="auto"/>
                      <w:sz w:val="20"/>
                      <w:szCs w:val="20"/>
                      <w:highlight w:val="none"/>
                    </w:rPr>
                  </w:pPr>
                </w:p>
              </w:tc>
              <w:tc>
                <w:tcPr>
                  <w:tcW w:w="2946" w:type="dxa"/>
                  <w:vAlign w:val="center"/>
                </w:tcPr>
                <w:p w14:paraId="6E59B59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音频处理器</w:t>
                  </w:r>
                </w:p>
              </w:tc>
              <w:tc>
                <w:tcPr>
                  <w:tcW w:w="823" w:type="dxa"/>
                  <w:noWrap/>
                  <w:vAlign w:val="center"/>
                </w:tcPr>
                <w:p w14:paraId="02975F6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3986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56969EF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1845" w:type="dxa"/>
                  <w:vMerge w:val="continue"/>
                  <w:vAlign w:val="center"/>
                </w:tcPr>
                <w:p w14:paraId="6B5CE2D3">
                  <w:pPr>
                    <w:spacing w:line="360" w:lineRule="exact"/>
                    <w:jc w:val="center"/>
                    <w:rPr>
                      <w:rFonts w:hint="eastAsia" w:ascii="仿宋" w:hAnsi="仿宋" w:eastAsia="仿宋" w:cs="仿宋"/>
                      <w:color w:val="auto"/>
                      <w:sz w:val="20"/>
                      <w:szCs w:val="20"/>
                      <w:highlight w:val="none"/>
                    </w:rPr>
                  </w:pPr>
                </w:p>
              </w:tc>
              <w:tc>
                <w:tcPr>
                  <w:tcW w:w="2946" w:type="dxa"/>
                  <w:vAlign w:val="center"/>
                </w:tcPr>
                <w:p w14:paraId="6576B4A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示教会议机柜</w:t>
                  </w:r>
                </w:p>
              </w:tc>
              <w:tc>
                <w:tcPr>
                  <w:tcW w:w="823" w:type="dxa"/>
                  <w:noWrap/>
                  <w:vAlign w:val="center"/>
                </w:tcPr>
                <w:p w14:paraId="15FD828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5FDF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67FFCE6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p>
              </w:tc>
              <w:tc>
                <w:tcPr>
                  <w:tcW w:w="1845" w:type="dxa"/>
                  <w:vMerge w:val="restart"/>
                  <w:noWrap/>
                  <w:vAlign w:val="center"/>
                </w:tcPr>
                <w:p w14:paraId="5B9E8A0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视频编解码设备</w:t>
                  </w:r>
                </w:p>
              </w:tc>
              <w:tc>
                <w:tcPr>
                  <w:tcW w:w="2946" w:type="dxa"/>
                  <w:vAlign w:val="center"/>
                </w:tcPr>
                <w:p w14:paraId="6C22205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全景编码器</w:t>
                  </w:r>
                </w:p>
              </w:tc>
              <w:tc>
                <w:tcPr>
                  <w:tcW w:w="823" w:type="dxa"/>
                  <w:noWrap/>
                  <w:vAlign w:val="center"/>
                </w:tcPr>
                <w:p w14:paraId="74403FE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0756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993F63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w:t>
                  </w:r>
                </w:p>
              </w:tc>
              <w:tc>
                <w:tcPr>
                  <w:tcW w:w="1845" w:type="dxa"/>
                  <w:vMerge w:val="continue"/>
                  <w:vAlign w:val="center"/>
                </w:tcPr>
                <w:p w14:paraId="2C597E70">
                  <w:pPr>
                    <w:spacing w:line="360" w:lineRule="exact"/>
                    <w:jc w:val="center"/>
                    <w:rPr>
                      <w:rFonts w:hint="eastAsia" w:ascii="仿宋" w:hAnsi="仿宋" w:eastAsia="仿宋" w:cs="仿宋"/>
                      <w:color w:val="auto"/>
                      <w:sz w:val="20"/>
                      <w:szCs w:val="20"/>
                      <w:highlight w:val="none"/>
                    </w:rPr>
                  </w:pPr>
                </w:p>
              </w:tc>
              <w:tc>
                <w:tcPr>
                  <w:tcW w:w="2946" w:type="dxa"/>
                  <w:vAlign w:val="center"/>
                </w:tcPr>
                <w:p w14:paraId="00545C1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视频解码器</w:t>
                  </w:r>
                </w:p>
              </w:tc>
              <w:tc>
                <w:tcPr>
                  <w:tcW w:w="823" w:type="dxa"/>
                  <w:noWrap/>
                  <w:vAlign w:val="center"/>
                </w:tcPr>
                <w:p w14:paraId="3F5DAA2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1C15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2145CAF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w:t>
                  </w:r>
                </w:p>
              </w:tc>
              <w:tc>
                <w:tcPr>
                  <w:tcW w:w="1845" w:type="dxa"/>
                  <w:noWrap/>
                  <w:vAlign w:val="center"/>
                </w:tcPr>
                <w:p w14:paraId="0D8835D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视音频外设</w:t>
                  </w:r>
                </w:p>
              </w:tc>
              <w:tc>
                <w:tcPr>
                  <w:tcW w:w="2946" w:type="dxa"/>
                  <w:vAlign w:val="center"/>
                </w:tcPr>
                <w:p w14:paraId="3D85E68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4K全景摄像机</w:t>
                  </w:r>
                </w:p>
              </w:tc>
              <w:tc>
                <w:tcPr>
                  <w:tcW w:w="823" w:type="dxa"/>
                  <w:noWrap/>
                  <w:vAlign w:val="center"/>
                </w:tcPr>
                <w:p w14:paraId="54E97AB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52D2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05" w:type="dxa"/>
                  <w:noWrap/>
                  <w:vAlign w:val="center"/>
                </w:tcPr>
                <w:p w14:paraId="0BB694E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w:t>
                  </w:r>
                </w:p>
              </w:tc>
              <w:tc>
                <w:tcPr>
                  <w:tcW w:w="1845" w:type="dxa"/>
                  <w:noWrap/>
                  <w:vAlign w:val="center"/>
                </w:tcPr>
                <w:p w14:paraId="767C0D5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线缆包</w:t>
                  </w:r>
                </w:p>
              </w:tc>
              <w:tc>
                <w:tcPr>
                  <w:tcW w:w="2946" w:type="dxa"/>
                  <w:vAlign w:val="center"/>
                </w:tcPr>
                <w:p w14:paraId="1018496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4K数字化示教会议室线缆包</w:t>
                  </w:r>
                </w:p>
              </w:tc>
              <w:tc>
                <w:tcPr>
                  <w:tcW w:w="823" w:type="dxa"/>
                  <w:noWrap/>
                  <w:vAlign w:val="center"/>
                </w:tcPr>
                <w:p w14:paraId="0EC5A27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按需</w:t>
                  </w:r>
                </w:p>
                <w:p w14:paraId="4EF61D6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提供</w:t>
                  </w:r>
                </w:p>
              </w:tc>
            </w:tr>
            <w:tr w14:paraId="6F27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96" w:type="dxa"/>
                  <w:gridSpan w:val="3"/>
                  <w:vAlign w:val="center"/>
                </w:tcPr>
                <w:p w14:paraId="75C6111F">
                  <w:pPr>
                    <w:spacing w:line="360" w:lineRule="exact"/>
                    <w:jc w:val="left"/>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手术运营看板&amp;数字化手术室总控中心</w:t>
                  </w:r>
                </w:p>
              </w:tc>
              <w:tc>
                <w:tcPr>
                  <w:tcW w:w="823" w:type="dxa"/>
                  <w:vAlign w:val="center"/>
                </w:tcPr>
                <w:p w14:paraId="4A8BC593">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1间</w:t>
                  </w:r>
                </w:p>
              </w:tc>
            </w:tr>
            <w:tr w14:paraId="575C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vAlign w:val="center"/>
                </w:tcPr>
                <w:p w14:paraId="5A7B61FC">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1845" w:type="dxa"/>
                  <w:vAlign w:val="center"/>
                </w:tcPr>
                <w:p w14:paraId="4A6AD717">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功能模块（单个）</w:t>
                  </w:r>
                </w:p>
              </w:tc>
              <w:tc>
                <w:tcPr>
                  <w:tcW w:w="2946" w:type="dxa"/>
                  <w:vAlign w:val="center"/>
                </w:tcPr>
                <w:p w14:paraId="7FCA5F53">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产品项目</w:t>
                  </w:r>
                </w:p>
              </w:tc>
              <w:tc>
                <w:tcPr>
                  <w:tcW w:w="823" w:type="dxa"/>
                  <w:vAlign w:val="center"/>
                </w:tcPr>
                <w:p w14:paraId="11B7E86B">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r>
            <w:tr w14:paraId="68CD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01AC4A2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5" w:type="dxa"/>
                  <w:noWrap/>
                  <w:vAlign w:val="center"/>
                </w:tcPr>
                <w:p w14:paraId="49A5C0A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触控会议终端</w:t>
                  </w:r>
                </w:p>
              </w:tc>
              <w:tc>
                <w:tcPr>
                  <w:tcW w:w="2946" w:type="dxa"/>
                  <w:vAlign w:val="center"/>
                </w:tcPr>
                <w:p w14:paraId="76DD155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4K触控会议显示器</w:t>
                  </w:r>
                </w:p>
              </w:tc>
              <w:tc>
                <w:tcPr>
                  <w:tcW w:w="823" w:type="dxa"/>
                  <w:noWrap/>
                  <w:vAlign w:val="center"/>
                </w:tcPr>
                <w:p w14:paraId="1A87DA4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r>
            <w:tr w14:paraId="78E9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D3556B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845" w:type="dxa"/>
                  <w:noWrap/>
                  <w:vAlign w:val="center"/>
                </w:tcPr>
                <w:p w14:paraId="424B655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会议软件</w:t>
                  </w:r>
                </w:p>
              </w:tc>
              <w:tc>
                <w:tcPr>
                  <w:tcW w:w="2946" w:type="dxa"/>
                  <w:vAlign w:val="center"/>
                </w:tcPr>
                <w:p w14:paraId="617BBEC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PC端软件</w:t>
                  </w:r>
                </w:p>
              </w:tc>
              <w:tc>
                <w:tcPr>
                  <w:tcW w:w="823" w:type="dxa"/>
                  <w:noWrap/>
                  <w:vAlign w:val="center"/>
                </w:tcPr>
                <w:p w14:paraId="6352C20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23C7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42F3346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1845" w:type="dxa"/>
                  <w:vMerge w:val="restart"/>
                  <w:noWrap/>
                  <w:vAlign w:val="center"/>
                </w:tcPr>
                <w:p w14:paraId="072DB15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手术运营管理模块</w:t>
                  </w:r>
                </w:p>
              </w:tc>
              <w:tc>
                <w:tcPr>
                  <w:tcW w:w="2946" w:type="dxa"/>
                  <w:vAlign w:val="center"/>
                </w:tcPr>
                <w:p w14:paraId="7EF8A48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手术运营管理软件</w:t>
                  </w:r>
                </w:p>
              </w:tc>
              <w:tc>
                <w:tcPr>
                  <w:tcW w:w="823" w:type="dxa"/>
                  <w:noWrap/>
                  <w:vAlign w:val="center"/>
                </w:tcPr>
                <w:p w14:paraId="23CDA88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0268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3750332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1845" w:type="dxa"/>
                  <w:vMerge w:val="continue"/>
                  <w:noWrap/>
                  <w:vAlign w:val="center"/>
                </w:tcPr>
                <w:p w14:paraId="1AC675BF">
                  <w:pPr>
                    <w:spacing w:line="360" w:lineRule="exact"/>
                    <w:jc w:val="center"/>
                    <w:rPr>
                      <w:rFonts w:hint="eastAsia" w:ascii="仿宋" w:hAnsi="仿宋" w:eastAsia="仿宋" w:cs="仿宋"/>
                      <w:color w:val="auto"/>
                      <w:sz w:val="20"/>
                      <w:szCs w:val="20"/>
                      <w:highlight w:val="none"/>
                    </w:rPr>
                  </w:pPr>
                </w:p>
              </w:tc>
              <w:tc>
                <w:tcPr>
                  <w:tcW w:w="2946" w:type="dxa"/>
                  <w:vAlign w:val="center"/>
                </w:tcPr>
                <w:p w14:paraId="4A9FE46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手术运营服务处理器</w:t>
                  </w:r>
                </w:p>
              </w:tc>
              <w:tc>
                <w:tcPr>
                  <w:tcW w:w="823" w:type="dxa"/>
                  <w:noWrap/>
                  <w:vAlign w:val="center"/>
                </w:tcPr>
                <w:p w14:paraId="730ADA6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r>
            <w:tr w14:paraId="32F5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05" w:type="dxa"/>
                  <w:noWrap/>
                  <w:vAlign w:val="center"/>
                </w:tcPr>
                <w:p w14:paraId="7CD943E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1845" w:type="dxa"/>
                  <w:noWrap/>
                  <w:vAlign w:val="center"/>
                </w:tcPr>
                <w:p w14:paraId="360DDD6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线缆包</w:t>
                  </w:r>
                </w:p>
              </w:tc>
              <w:tc>
                <w:tcPr>
                  <w:tcW w:w="2946" w:type="dxa"/>
                  <w:vAlign w:val="center"/>
                </w:tcPr>
                <w:p w14:paraId="4CF411C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4K数字化示教会议室线缆包及安装</w:t>
                  </w:r>
                </w:p>
              </w:tc>
              <w:tc>
                <w:tcPr>
                  <w:tcW w:w="823" w:type="dxa"/>
                  <w:noWrap/>
                  <w:vAlign w:val="center"/>
                </w:tcPr>
                <w:p w14:paraId="4A5B238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按需</w:t>
                  </w:r>
                </w:p>
                <w:p w14:paraId="256F1E9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提供</w:t>
                  </w:r>
                </w:p>
              </w:tc>
            </w:tr>
            <w:tr w14:paraId="76B1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96" w:type="dxa"/>
                  <w:gridSpan w:val="3"/>
                  <w:vAlign w:val="center"/>
                </w:tcPr>
                <w:p w14:paraId="1D9F229D">
                  <w:pPr>
                    <w:spacing w:line="360" w:lineRule="exact"/>
                    <w:jc w:val="left"/>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升级项目</w:t>
                  </w:r>
                </w:p>
              </w:tc>
              <w:tc>
                <w:tcPr>
                  <w:tcW w:w="823" w:type="dxa"/>
                  <w:vAlign w:val="center"/>
                </w:tcPr>
                <w:p w14:paraId="7CFFA6DD">
                  <w:pPr>
                    <w:spacing w:line="360" w:lineRule="exact"/>
                    <w:jc w:val="center"/>
                    <w:rPr>
                      <w:rFonts w:hint="eastAsia" w:ascii="仿宋" w:hAnsi="仿宋" w:eastAsia="仿宋" w:cs="仿宋"/>
                      <w:b/>
                      <w:bCs/>
                      <w:color w:val="auto"/>
                      <w:sz w:val="20"/>
                      <w:szCs w:val="20"/>
                      <w:highlight w:val="none"/>
                    </w:rPr>
                  </w:pPr>
                </w:p>
              </w:tc>
            </w:tr>
            <w:tr w14:paraId="6A4B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vAlign w:val="center"/>
                </w:tcPr>
                <w:p w14:paraId="11453605">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序号</w:t>
                  </w:r>
                </w:p>
              </w:tc>
              <w:tc>
                <w:tcPr>
                  <w:tcW w:w="1845" w:type="dxa"/>
                  <w:vAlign w:val="center"/>
                </w:tcPr>
                <w:p w14:paraId="27361BC9">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功能模块（单个）</w:t>
                  </w:r>
                </w:p>
              </w:tc>
              <w:tc>
                <w:tcPr>
                  <w:tcW w:w="2946" w:type="dxa"/>
                  <w:vAlign w:val="center"/>
                </w:tcPr>
                <w:p w14:paraId="61D4A9D0">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产品项目</w:t>
                  </w:r>
                </w:p>
              </w:tc>
              <w:tc>
                <w:tcPr>
                  <w:tcW w:w="823" w:type="dxa"/>
                  <w:vAlign w:val="center"/>
                </w:tcPr>
                <w:p w14:paraId="36836874">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数量</w:t>
                  </w:r>
                </w:p>
              </w:tc>
            </w:tr>
            <w:tr w14:paraId="2083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05" w:type="dxa"/>
                  <w:noWrap/>
                  <w:vAlign w:val="center"/>
                </w:tcPr>
                <w:p w14:paraId="5B43619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w:t>
                  </w:r>
                </w:p>
              </w:tc>
              <w:tc>
                <w:tcPr>
                  <w:tcW w:w="1845" w:type="dxa"/>
                  <w:noWrap/>
                  <w:vAlign w:val="center"/>
                </w:tcPr>
                <w:p w14:paraId="4303A257">
                  <w:pPr>
                    <w:spacing w:line="360" w:lineRule="exact"/>
                    <w:jc w:val="center"/>
                    <w:rPr>
                      <w:rFonts w:hint="eastAsia" w:ascii="仿宋" w:hAnsi="仿宋" w:eastAsia="仿宋" w:cs="仿宋"/>
                      <w:color w:val="auto"/>
                      <w:sz w:val="20"/>
                      <w:szCs w:val="20"/>
                      <w:highlight w:val="none"/>
                    </w:rPr>
                  </w:pPr>
                </w:p>
              </w:tc>
              <w:tc>
                <w:tcPr>
                  <w:tcW w:w="2946" w:type="dxa"/>
                  <w:vAlign w:val="center"/>
                </w:tcPr>
                <w:p w14:paraId="7D77BE3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3轴电动云台4K摄像（含吊臂）</w:t>
                  </w:r>
                </w:p>
              </w:tc>
              <w:tc>
                <w:tcPr>
                  <w:tcW w:w="823" w:type="dxa"/>
                  <w:noWrap/>
                  <w:vAlign w:val="center"/>
                </w:tcPr>
                <w:p w14:paraId="75C84EC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r>
            <w:tr w14:paraId="4B78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05" w:type="dxa"/>
                  <w:noWrap/>
                  <w:vAlign w:val="center"/>
                </w:tcPr>
                <w:p w14:paraId="737620E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p>
              </w:tc>
              <w:tc>
                <w:tcPr>
                  <w:tcW w:w="1845" w:type="dxa"/>
                  <w:noWrap/>
                  <w:vAlign w:val="center"/>
                </w:tcPr>
                <w:p w14:paraId="15DA2055">
                  <w:pPr>
                    <w:spacing w:line="360" w:lineRule="exact"/>
                    <w:jc w:val="center"/>
                    <w:rPr>
                      <w:rFonts w:hint="eastAsia" w:ascii="仿宋" w:hAnsi="仿宋" w:eastAsia="仿宋" w:cs="仿宋"/>
                      <w:color w:val="auto"/>
                      <w:sz w:val="20"/>
                      <w:szCs w:val="20"/>
                      <w:highlight w:val="none"/>
                    </w:rPr>
                  </w:pPr>
                </w:p>
              </w:tc>
              <w:tc>
                <w:tcPr>
                  <w:tcW w:w="2946" w:type="dxa"/>
                  <w:vAlign w:val="center"/>
                </w:tcPr>
                <w:p w14:paraId="6C1716A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手术床旁麒麟臂</w:t>
                  </w:r>
                </w:p>
                <w:p w14:paraId="4CCCB9D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（多关节持镜臂）</w:t>
                  </w:r>
                </w:p>
              </w:tc>
              <w:tc>
                <w:tcPr>
                  <w:tcW w:w="823" w:type="dxa"/>
                  <w:noWrap/>
                  <w:vAlign w:val="center"/>
                </w:tcPr>
                <w:p w14:paraId="6503524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r>
            <w:tr w14:paraId="07A0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05" w:type="dxa"/>
                  <w:noWrap/>
                  <w:vAlign w:val="center"/>
                </w:tcPr>
                <w:p w14:paraId="70F0C4C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c>
                <w:tcPr>
                  <w:tcW w:w="1845" w:type="dxa"/>
                  <w:noWrap/>
                  <w:vAlign w:val="center"/>
                </w:tcPr>
                <w:p w14:paraId="5FB981C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显示终端</w:t>
                  </w:r>
                </w:p>
              </w:tc>
              <w:tc>
                <w:tcPr>
                  <w:tcW w:w="2946" w:type="dxa"/>
                  <w:vAlign w:val="center"/>
                </w:tcPr>
                <w:p w14:paraId="6AB54CD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85英寸4K触摸会议一体机</w:t>
                  </w:r>
                </w:p>
              </w:tc>
              <w:tc>
                <w:tcPr>
                  <w:tcW w:w="823" w:type="dxa"/>
                  <w:noWrap/>
                  <w:vAlign w:val="center"/>
                </w:tcPr>
                <w:p w14:paraId="4851DD3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r>
            <w:tr w14:paraId="3001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05" w:type="dxa"/>
                  <w:noWrap/>
                  <w:vAlign w:val="center"/>
                </w:tcPr>
                <w:p w14:paraId="3C7ECAE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w:t>
                  </w:r>
                </w:p>
              </w:tc>
              <w:tc>
                <w:tcPr>
                  <w:tcW w:w="1845" w:type="dxa"/>
                  <w:noWrap/>
                  <w:vAlign w:val="center"/>
                </w:tcPr>
                <w:p w14:paraId="673A614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显示终端</w:t>
                  </w:r>
                </w:p>
              </w:tc>
              <w:tc>
                <w:tcPr>
                  <w:tcW w:w="2946" w:type="dxa"/>
                  <w:vAlign w:val="center"/>
                </w:tcPr>
                <w:p w14:paraId="45B2891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100英寸4K非触摸会议电视平板一体机</w:t>
                  </w:r>
                </w:p>
              </w:tc>
              <w:tc>
                <w:tcPr>
                  <w:tcW w:w="823" w:type="dxa"/>
                  <w:noWrap/>
                  <w:vAlign w:val="center"/>
                </w:tcPr>
                <w:p w14:paraId="6D42A00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r>
            <w:tr w14:paraId="2CB7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05" w:type="dxa"/>
                  <w:noWrap/>
                  <w:vAlign w:val="center"/>
                </w:tcPr>
                <w:p w14:paraId="3BF45AB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1845" w:type="dxa"/>
                  <w:noWrap/>
                  <w:vAlign w:val="center"/>
                </w:tcPr>
                <w:p w14:paraId="2849C40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显示终端</w:t>
                  </w:r>
                </w:p>
              </w:tc>
              <w:tc>
                <w:tcPr>
                  <w:tcW w:w="2946" w:type="dxa"/>
                  <w:vAlign w:val="center"/>
                </w:tcPr>
                <w:p w14:paraId="30F2F3D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75英寸4K高色域抗反光电视屏</w:t>
                  </w:r>
                </w:p>
              </w:tc>
              <w:tc>
                <w:tcPr>
                  <w:tcW w:w="823" w:type="dxa"/>
                  <w:noWrap/>
                  <w:vAlign w:val="center"/>
                </w:tcPr>
                <w:p w14:paraId="7380BBF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w:t>
                  </w:r>
                </w:p>
              </w:tc>
            </w:tr>
          </w:tbl>
          <w:p w14:paraId="295F7C05">
            <w:pPr>
              <w:spacing w:line="360" w:lineRule="exact"/>
              <w:rPr>
                <w:rFonts w:hint="eastAsia" w:ascii="仿宋" w:hAnsi="仿宋" w:eastAsia="仿宋" w:cs="仿宋"/>
                <w:b/>
                <w:bCs/>
                <w:color w:val="auto"/>
                <w:sz w:val="20"/>
                <w:szCs w:val="20"/>
                <w:highlight w:val="none"/>
              </w:rPr>
            </w:pPr>
          </w:p>
        </w:tc>
      </w:tr>
      <w:tr w14:paraId="0A6A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00" w:type="dxa"/>
            <w:vAlign w:val="center"/>
          </w:tcPr>
          <w:p w14:paraId="6EFB361C">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2</w:t>
            </w:r>
          </w:p>
        </w:tc>
        <w:tc>
          <w:tcPr>
            <w:tcW w:w="1837" w:type="dxa"/>
            <w:vAlign w:val="center"/>
          </w:tcPr>
          <w:p w14:paraId="3657CC41">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4K数字一体化手术室系统主机</w:t>
            </w:r>
          </w:p>
          <w:p w14:paraId="6143ABA8">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(手术室)</w:t>
            </w:r>
          </w:p>
        </w:tc>
        <w:tc>
          <w:tcPr>
            <w:tcW w:w="6199" w:type="dxa"/>
            <w:vAlign w:val="center"/>
          </w:tcPr>
          <w:p w14:paraId="7C1D4842">
            <w:pPr>
              <w:spacing w:line="360" w:lineRule="exact"/>
              <w:rPr>
                <w:rFonts w:hint="eastAsia" w:ascii="仿宋" w:hAnsi="仿宋" w:eastAsia="仿宋" w:cs="仿宋"/>
                <w:b/>
                <w:bCs/>
                <w:color w:val="auto"/>
                <w:sz w:val="20"/>
                <w:szCs w:val="20"/>
                <w:highlight w:val="none"/>
              </w:rPr>
            </w:pPr>
          </w:p>
        </w:tc>
      </w:tr>
      <w:tr w14:paraId="5B60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224DC7D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2.1</w:t>
            </w:r>
          </w:p>
        </w:tc>
        <w:tc>
          <w:tcPr>
            <w:tcW w:w="1837" w:type="dxa"/>
            <w:vAlign w:val="center"/>
          </w:tcPr>
          <w:p w14:paraId="1CF8DDE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基本要求</w:t>
            </w:r>
          </w:p>
        </w:tc>
        <w:tc>
          <w:tcPr>
            <w:tcW w:w="6199" w:type="dxa"/>
            <w:vAlign w:val="center"/>
          </w:tcPr>
          <w:p w14:paraId="12658305">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实现对手术室内手术相关影音及数据的集中管理，满足用户对于手术室内影像路由、切换、显示、影像资料本地存储、集中存储等需求。结合其他模块，同时满足手术室内影音信号对外传输，实现院内手术转播、支持院外手术转播的需求</w:t>
            </w:r>
          </w:p>
        </w:tc>
      </w:tr>
      <w:tr w14:paraId="5BD2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0F21494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w:t>
            </w:r>
          </w:p>
        </w:tc>
        <w:tc>
          <w:tcPr>
            <w:tcW w:w="1837" w:type="dxa"/>
            <w:vAlign w:val="center"/>
          </w:tcPr>
          <w:p w14:paraId="0B05685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系统架构</w:t>
            </w:r>
          </w:p>
        </w:tc>
        <w:tc>
          <w:tcPr>
            <w:tcW w:w="6199" w:type="dxa"/>
            <w:vAlign w:val="center"/>
          </w:tcPr>
          <w:p w14:paraId="697F8307">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采取IP 系统架构，在4K 60Hz 每秒的技术下，将各手术室的视频信号转换成光信号（4K 信号源的信号质量须保证分辨率≥3840×2160P、刷新率≥60Hz）通过光纤汇聚至万兆数据交互设备，并将信号通过光纤分配至各示教转播点。针对视频录制通过编码后交由中央存储服务器实现，录制视频需保证4K（3840×2160P）及以上分辨率，刷新率≥60Hz</w:t>
            </w:r>
          </w:p>
        </w:tc>
      </w:tr>
      <w:tr w14:paraId="349C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365FFBE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w:t>
            </w:r>
          </w:p>
        </w:tc>
        <w:tc>
          <w:tcPr>
            <w:tcW w:w="1837" w:type="dxa"/>
            <w:vAlign w:val="center"/>
          </w:tcPr>
          <w:p w14:paraId="1B5042A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影像兼容格式</w:t>
            </w:r>
          </w:p>
        </w:tc>
        <w:tc>
          <w:tcPr>
            <w:tcW w:w="6199" w:type="dxa"/>
            <w:vAlign w:val="center"/>
          </w:tcPr>
          <w:p w14:paraId="711B0505">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影像处理能够支持兼容2D和3D格式，3D格式≥3种，包含不限于Line By Line, Side By Side,Top &amp; Bottom格式</w:t>
            </w:r>
          </w:p>
        </w:tc>
      </w:tr>
      <w:tr w14:paraId="532E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241037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2.4</w:t>
            </w:r>
          </w:p>
        </w:tc>
        <w:tc>
          <w:tcPr>
            <w:tcW w:w="1837" w:type="dxa"/>
            <w:vAlign w:val="center"/>
          </w:tcPr>
          <w:p w14:paraId="432FF7B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主机系统</w:t>
            </w:r>
          </w:p>
        </w:tc>
        <w:tc>
          <w:tcPr>
            <w:tcW w:w="6199" w:type="dxa"/>
            <w:vAlign w:val="center"/>
          </w:tcPr>
          <w:p w14:paraId="223E82D8">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包含一台系统主机，CPU为主频不低于1.5GHz，内存不低于8GB，硬盘不低于128GB；支持系统一键开关机，最多支持12个电源输出，电源输出满足220V 50/60Hz；支持上电自启动</w:t>
            </w:r>
          </w:p>
        </w:tc>
      </w:tr>
      <w:tr w14:paraId="2C1B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3329E8D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2.5</w:t>
            </w:r>
          </w:p>
        </w:tc>
        <w:tc>
          <w:tcPr>
            <w:tcW w:w="1837" w:type="dxa"/>
            <w:vAlign w:val="center"/>
          </w:tcPr>
          <w:p w14:paraId="69D57BE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预览录制功能</w:t>
            </w:r>
          </w:p>
        </w:tc>
        <w:tc>
          <w:tcPr>
            <w:tcW w:w="6199" w:type="dxa"/>
            <w:vAlign w:val="center"/>
          </w:tcPr>
          <w:p w14:paraId="3E0049C7">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支持录制过程中可预览录制信号源的实时画面</w:t>
            </w:r>
          </w:p>
        </w:tc>
      </w:tr>
      <w:tr w14:paraId="2C64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2BD3C48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■2.6</w:t>
            </w:r>
          </w:p>
        </w:tc>
        <w:tc>
          <w:tcPr>
            <w:tcW w:w="1837" w:type="dxa"/>
            <w:vAlign w:val="center"/>
          </w:tcPr>
          <w:p w14:paraId="762760E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bCs/>
                <w:color w:val="auto"/>
                <w:sz w:val="20"/>
                <w:szCs w:val="20"/>
                <w:highlight w:val="none"/>
              </w:rPr>
              <w:t>采集录制功能</w:t>
            </w:r>
          </w:p>
        </w:tc>
        <w:tc>
          <w:tcPr>
            <w:tcW w:w="6199" w:type="dxa"/>
            <w:vAlign w:val="center"/>
          </w:tcPr>
          <w:p w14:paraId="5FBE8E42">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选择信号源可点击录制按钮，进行影像录制，同时录制视频的分辨率均不低于3840×2160P，刷新率不低于60fps；支持录制过程中对服务器硬盘、外接USB设备容量进行实时显示，同时实时为临床手术监测录制剩余磁盘空间和可录制时长的实时提示；手术视频录制可根据磁盘容量大小以及临床需求，选择所要录制影像的清晰度（提供</w:t>
            </w:r>
            <w:r>
              <w:rPr>
                <w:rFonts w:hint="eastAsia" w:ascii="仿宋" w:hAnsi="仿宋" w:eastAsia="仿宋" w:cs="仿宋"/>
                <w:color w:val="auto"/>
                <w:sz w:val="20"/>
                <w:szCs w:val="20"/>
                <w:highlight w:val="none"/>
                <w:lang w:eastAsia="zh-CN"/>
              </w:rPr>
              <w:t>第三方检测机构出具的证明材料</w:t>
            </w:r>
            <w:r>
              <w:rPr>
                <w:rFonts w:hint="eastAsia" w:ascii="仿宋" w:hAnsi="仿宋" w:eastAsia="仿宋" w:cs="仿宋"/>
                <w:color w:val="auto"/>
                <w:sz w:val="20"/>
                <w:szCs w:val="20"/>
                <w:highlight w:val="none"/>
              </w:rPr>
              <w:t>证明视频录制分辨率可达到3840×2160，刷新率可达到60fps；提供系统界面截图证明录制时提供剩余录制空间以及剩余录制时长提示；提供图片，证明可调节录制清晰度）</w:t>
            </w:r>
          </w:p>
        </w:tc>
      </w:tr>
      <w:tr w14:paraId="71F0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0" w:type="dxa"/>
            <w:vAlign w:val="center"/>
          </w:tcPr>
          <w:p w14:paraId="22DBA8F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■2.7</w:t>
            </w:r>
          </w:p>
        </w:tc>
        <w:tc>
          <w:tcPr>
            <w:tcW w:w="1837" w:type="dxa"/>
            <w:vAlign w:val="center"/>
          </w:tcPr>
          <w:p w14:paraId="5FEE348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bCs/>
                <w:color w:val="auto"/>
                <w:sz w:val="20"/>
                <w:szCs w:val="20"/>
                <w:highlight w:val="none"/>
              </w:rPr>
              <w:t>视频切换与传输</w:t>
            </w:r>
          </w:p>
        </w:tc>
        <w:tc>
          <w:tcPr>
            <w:tcW w:w="6199" w:type="dxa"/>
            <w:vAlign w:val="center"/>
          </w:tcPr>
          <w:p w14:paraId="50629B67">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支持手术室各种医疗设备视频信号源输入，每路信号均支持4K （3840×2160P）分辨率，60fps信号输入，并支持向下兼容；本地视频路由切换时间：不超过0.2秒；手术室传输至会议室的视频显示分辨率可达3840×2160P，刷新率不低于60fps，同时画面色度采样YCbCr支持4:4:4视频源输入标准（提供</w:t>
            </w:r>
            <w:r>
              <w:rPr>
                <w:rFonts w:hint="eastAsia" w:ascii="仿宋" w:hAnsi="仿宋" w:eastAsia="仿宋" w:cs="仿宋"/>
                <w:color w:val="auto"/>
                <w:sz w:val="20"/>
                <w:szCs w:val="20"/>
                <w:highlight w:val="none"/>
                <w:lang w:eastAsia="zh-CN"/>
              </w:rPr>
              <w:t>第三方检测机构出具的证明材料</w:t>
            </w:r>
            <w:r>
              <w:rPr>
                <w:rFonts w:hint="eastAsia" w:ascii="仿宋" w:hAnsi="仿宋" w:eastAsia="仿宋" w:cs="仿宋"/>
                <w:color w:val="auto"/>
                <w:sz w:val="20"/>
                <w:szCs w:val="20"/>
                <w:highlight w:val="none"/>
              </w:rPr>
              <w:t>证明视频路由的画面切换响应时间不超过0.2秒，证明手术室传输至会议室的视频显示分辨率可达3840×2160P，刷新率不低于60fps，同时画面色度采样YCbCr支持4:4:4视频源输入标准）</w:t>
            </w:r>
          </w:p>
        </w:tc>
      </w:tr>
      <w:tr w14:paraId="0D6B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0" w:type="dxa"/>
            <w:vAlign w:val="center"/>
          </w:tcPr>
          <w:p w14:paraId="34B4FD2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■2.8</w:t>
            </w:r>
          </w:p>
        </w:tc>
        <w:tc>
          <w:tcPr>
            <w:tcW w:w="1837" w:type="dxa"/>
            <w:vAlign w:val="center"/>
          </w:tcPr>
          <w:p w14:paraId="1E612FF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bCs/>
                <w:color w:val="auto"/>
                <w:sz w:val="20"/>
                <w:szCs w:val="20"/>
                <w:highlight w:val="none"/>
              </w:rPr>
              <w:t>等级限制与报警</w:t>
            </w:r>
          </w:p>
        </w:tc>
        <w:tc>
          <w:tcPr>
            <w:tcW w:w="6199" w:type="dxa"/>
            <w:vAlign w:val="center"/>
          </w:tcPr>
          <w:p w14:paraId="1179EC4D">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通过等级权限管理来限制录制文件的查看、编辑、删除；在专属账户下对数据下载时，需要输入密码进行身份验证；可按用病人ID、病人姓名、用户名和文件日期、文件大小、文件类型等关键字对服务器存储的文档进行快速检索和排序；支持设备故障、操作失败、录制异常、连接异常情况下的报警模式，警报功能分为三级，并以不同颜色表示外加信息提示级别（提供权限分级管理的说明文档，同时提供下载时进行密码验证的界面截图；提供各级报警功能提示界面截图证明满足三级警报功能的实现效果，同时给出报警提示信息的场景清单）</w:t>
            </w:r>
          </w:p>
        </w:tc>
      </w:tr>
      <w:tr w14:paraId="0E61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E6EA5B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2.9</w:t>
            </w:r>
          </w:p>
        </w:tc>
        <w:tc>
          <w:tcPr>
            <w:tcW w:w="1837" w:type="dxa"/>
            <w:vAlign w:val="center"/>
          </w:tcPr>
          <w:p w14:paraId="55D922E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bCs/>
                <w:color w:val="auto"/>
                <w:sz w:val="20"/>
                <w:szCs w:val="20"/>
                <w:highlight w:val="none"/>
              </w:rPr>
              <w:t>圈注标记功能</w:t>
            </w:r>
          </w:p>
        </w:tc>
        <w:tc>
          <w:tcPr>
            <w:tcW w:w="6199" w:type="dxa"/>
            <w:vAlign w:val="center"/>
          </w:tcPr>
          <w:p w14:paraId="061C7FDD">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在视频会议中对共享视频内容进行互动圈注标记；支持手术室、示教室、办公室、移动端参与进行互动圈注标记；支持更换圈注标记的共享视频信号；支持最多四方同时互动圈注标记；支持改变手写笔颜色，改变橡皮擦大小，一键清屏常用功能</w:t>
            </w:r>
          </w:p>
        </w:tc>
      </w:tr>
      <w:tr w14:paraId="6754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606D5DB3">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3</w:t>
            </w:r>
          </w:p>
        </w:tc>
        <w:tc>
          <w:tcPr>
            <w:tcW w:w="1837" w:type="dxa"/>
            <w:vAlign w:val="center"/>
          </w:tcPr>
          <w:p w14:paraId="5EB076C4">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基础版数字一体化手术室系统主机(手术室)</w:t>
            </w:r>
          </w:p>
        </w:tc>
        <w:tc>
          <w:tcPr>
            <w:tcW w:w="6199" w:type="dxa"/>
            <w:vAlign w:val="center"/>
          </w:tcPr>
          <w:p w14:paraId="32C915C5">
            <w:pPr>
              <w:spacing w:line="360" w:lineRule="exact"/>
              <w:rPr>
                <w:rFonts w:hint="eastAsia" w:ascii="仿宋" w:hAnsi="仿宋" w:eastAsia="仿宋" w:cs="仿宋"/>
                <w:b/>
                <w:bCs/>
                <w:color w:val="auto"/>
                <w:sz w:val="20"/>
                <w:szCs w:val="20"/>
                <w:highlight w:val="none"/>
              </w:rPr>
            </w:pPr>
          </w:p>
        </w:tc>
      </w:tr>
      <w:tr w14:paraId="3421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4142BB5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3.1</w:t>
            </w:r>
          </w:p>
        </w:tc>
        <w:tc>
          <w:tcPr>
            <w:tcW w:w="1837" w:type="dxa"/>
            <w:vAlign w:val="center"/>
          </w:tcPr>
          <w:p w14:paraId="381AF35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基本要求</w:t>
            </w:r>
          </w:p>
        </w:tc>
        <w:tc>
          <w:tcPr>
            <w:tcW w:w="6199" w:type="dxa"/>
            <w:vAlign w:val="center"/>
          </w:tcPr>
          <w:p w14:paraId="7CF73E67">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对前端触控系统的手术视频会议、手术视音频录制以及文档管理功能提供支持</w:t>
            </w:r>
          </w:p>
        </w:tc>
      </w:tr>
      <w:tr w14:paraId="3A69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148575C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3.2</w:t>
            </w:r>
          </w:p>
        </w:tc>
        <w:tc>
          <w:tcPr>
            <w:tcW w:w="1837" w:type="dxa"/>
            <w:vAlign w:val="center"/>
          </w:tcPr>
          <w:p w14:paraId="5F03DA7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主机系统</w:t>
            </w:r>
          </w:p>
        </w:tc>
        <w:tc>
          <w:tcPr>
            <w:tcW w:w="6199" w:type="dxa"/>
            <w:vAlign w:val="center"/>
          </w:tcPr>
          <w:p w14:paraId="31E1B1AC">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可支持系统一键开关机，最多支持12个电源输出，电源输出满足220V 50/60Hz；包含一台系统主机，CPU为主频不低于1.5GHz，内存不低于8GB，硬盘不低于128GB</w:t>
            </w:r>
          </w:p>
        </w:tc>
      </w:tr>
      <w:tr w14:paraId="1429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09BD1D9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★3.3</w:t>
            </w:r>
          </w:p>
        </w:tc>
        <w:tc>
          <w:tcPr>
            <w:tcW w:w="1837" w:type="dxa"/>
            <w:vAlign w:val="center"/>
          </w:tcPr>
          <w:p w14:paraId="3725E57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系统架构</w:t>
            </w:r>
          </w:p>
        </w:tc>
        <w:tc>
          <w:tcPr>
            <w:tcW w:w="6199" w:type="dxa"/>
            <w:vAlign w:val="center"/>
          </w:tcPr>
          <w:p w14:paraId="43E06FAD">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采取IP 系统架构，在4K 60Hz 每秒的技术下，将各手术室的视频信号转换成光信号（4K 信号源的信号质量须保证分辨率≥3840×2160P、刷新率≥60Hz）通过光纤汇聚至万兆数据交互设备，并将信号通过光纤分配至各示教转播点。针对视频录制通过编码后交由中央存储服务器实现，录制视频需保证4K（3840×2160P）及以上分辨率，刷新率≥60Hz</w:t>
            </w:r>
          </w:p>
        </w:tc>
      </w:tr>
      <w:tr w14:paraId="0024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00" w:type="dxa"/>
            <w:vAlign w:val="center"/>
          </w:tcPr>
          <w:p w14:paraId="09AB510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3.4</w:t>
            </w:r>
          </w:p>
        </w:tc>
        <w:tc>
          <w:tcPr>
            <w:tcW w:w="1837" w:type="dxa"/>
            <w:vAlign w:val="center"/>
          </w:tcPr>
          <w:p w14:paraId="0C4FBBC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视频传输</w:t>
            </w:r>
          </w:p>
        </w:tc>
        <w:tc>
          <w:tcPr>
            <w:tcW w:w="6199" w:type="dxa"/>
            <w:vAlign w:val="center"/>
          </w:tcPr>
          <w:p w14:paraId="69E48DE6">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手术室传输至会议室的视频显示分辨率可达3840×2160P，刷新率不低于60fps，同时画面色度采样YCbCr支持4:4:4视频源输入标准</w:t>
            </w:r>
          </w:p>
        </w:tc>
      </w:tr>
      <w:tr w14:paraId="6E81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0" w:type="dxa"/>
            <w:vAlign w:val="center"/>
          </w:tcPr>
          <w:p w14:paraId="169BA25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3.5</w:t>
            </w:r>
          </w:p>
        </w:tc>
        <w:tc>
          <w:tcPr>
            <w:tcW w:w="1837" w:type="dxa"/>
            <w:vAlign w:val="center"/>
          </w:tcPr>
          <w:p w14:paraId="6BAEE43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bCs/>
                <w:color w:val="auto"/>
                <w:sz w:val="20"/>
                <w:szCs w:val="20"/>
                <w:highlight w:val="none"/>
              </w:rPr>
              <w:t>录制预览功能</w:t>
            </w:r>
          </w:p>
        </w:tc>
        <w:tc>
          <w:tcPr>
            <w:tcW w:w="6199" w:type="dxa"/>
            <w:vAlign w:val="center"/>
          </w:tcPr>
          <w:p w14:paraId="2F76755F">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支持录制过程中可预览录制信号源的实时画面</w:t>
            </w:r>
          </w:p>
        </w:tc>
      </w:tr>
      <w:tr w14:paraId="0AF7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9A14B8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3.6</w:t>
            </w:r>
          </w:p>
        </w:tc>
        <w:tc>
          <w:tcPr>
            <w:tcW w:w="1837" w:type="dxa"/>
            <w:vAlign w:val="center"/>
          </w:tcPr>
          <w:p w14:paraId="3BDAA18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bCs/>
                <w:color w:val="auto"/>
                <w:sz w:val="20"/>
                <w:szCs w:val="20"/>
                <w:highlight w:val="none"/>
              </w:rPr>
              <w:t>圈注标记功能</w:t>
            </w:r>
          </w:p>
        </w:tc>
        <w:tc>
          <w:tcPr>
            <w:tcW w:w="6199" w:type="dxa"/>
            <w:vAlign w:val="center"/>
          </w:tcPr>
          <w:p w14:paraId="4D748AA5">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在视频会议中对共享视频内容进行互动圈注标记；支持手术室、示教室、办公室、移动端参与进行互动圈注标记；支持更换圈注标记的共享视频信号；支持最多四方同时互动圈注标记；支持改变手写笔颜色，改变橡皮擦大小，一键清屏常用功能</w:t>
            </w:r>
          </w:p>
        </w:tc>
      </w:tr>
      <w:tr w14:paraId="3A29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B113652">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4</w:t>
            </w:r>
          </w:p>
        </w:tc>
        <w:tc>
          <w:tcPr>
            <w:tcW w:w="1837" w:type="dxa"/>
            <w:vAlign w:val="center"/>
          </w:tcPr>
          <w:p w14:paraId="3E5DC633">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数字一体化手术室系统主机</w:t>
            </w:r>
          </w:p>
          <w:p w14:paraId="2E896746">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(示教/会议室)</w:t>
            </w:r>
          </w:p>
        </w:tc>
        <w:tc>
          <w:tcPr>
            <w:tcW w:w="6199" w:type="dxa"/>
            <w:vAlign w:val="center"/>
          </w:tcPr>
          <w:p w14:paraId="684BAC9D">
            <w:pPr>
              <w:spacing w:line="360" w:lineRule="exact"/>
              <w:rPr>
                <w:rFonts w:hint="eastAsia" w:ascii="仿宋" w:hAnsi="仿宋" w:eastAsia="仿宋" w:cs="仿宋"/>
                <w:b/>
                <w:bCs/>
                <w:color w:val="auto"/>
                <w:sz w:val="20"/>
                <w:szCs w:val="20"/>
                <w:highlight w:val="none"/>
              </w:rPr>
            </w:pPr>
          </w:p>
        </w:tc>
      </w:tr>
      <w:tr w14:paraId="62A0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4BA7BA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4.1</w:t>
            </w:r>
          </w:p>
        </w:tc>
        <w:tc>
          <w:tcPr>
            <w:tcW w:w="1837" w:type="dxa"/>
            <w:vAlign w:val="center"/>
          </w:tcPr>
          <w:p w14:paraId="3126645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基本要求</w:t>
            </w:r>
          </w:p>
        </w:tc>
        <w:tc>
          <w:tcPr>
            <w:tcW w:w="6199" w:type="dxa"/>
            <w:vAlign w:val="center"/>
          </w:tcPr>
          <w:p w14:paraId="28E48A77">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对前端触控系统的信号路由、手术视频会议以及文档管理功能提供支持</w:t>
            </w:r>
          </w:p>
        </w:tc>
      </w:tr>
      <w:tr w14:paraId="4D70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4EC38E3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4.2</w:t>
            </w:r>
          </w:p>
        </w:tc>
        <w:tc>
          <w:tcPr>
            <w:tcW w:w="1837" w:type="dxa"/>
            <w:vAlign w:val="center"/>
          </w:tcPr>
          <w:p w14:paraId="3F34817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视频传输</w:t>
            </w:r>
          </w:p>
        </w:tc>
        <w:tc>
          <w:tcPr>
            <w:tcW w:w="6199" w:type="dxa"/>
            <w:vAlign w:val="center"/>
          </w:tcPr>
          <w:p w14:paraId="5C58959D">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手术室传输至会议室的视频显示分辨率可达3840×2160P，刷新率不低于60fps，同时画面色度采样YCbCr支持4:4:4视频源输入标准</w:t>
            </w:r>
          </w:p>
        </w:tc>
      </w:tr>
      <w:tr w14:paraId="3330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332BD8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4.3</w:t>
            </w:r>
          </w:p>
        </w:tc>
        <w:tc>
          <w:tcPr>
            <w:tcW w:w="1837" w:type="dxa"/>
            <w:vAlign w:val="center"/>
          </w:tcPr>
          <w:p w14:paraId="7C9D568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bCs/>
                <w:color w:val="auto"/>
                <w:sz w:val="20"/>
                <w:szCs w:val="20"/>
                <w:highlight w:val="none"/>
              </w:rPr>
              <w:t>文档录制与调阅</w:t>
            </w:r>
          </w:p>
        </w:tc>
        <w:tc>
          <w:tcPr>
            <w:tcW w:w="6199" w:type="dxa"/>
            <w:vAlign w:val="center"/>
          </w:tcPr>
          <w:p w14:paraId="3B0E6B1D">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可对手术内完成后对已存储文档浏览、编辑和删除；通过等级权限管理来限制录制文档的查看、编辑、删除；可按用病人ID、病人姓名、用户名和文件日期、文件大小、文件类型等关键字对服务器存储的文档进行快速检索和排序</w:t>
            </w:r>
          </w:p>
        </w:tc>
      </w:tr>
      <w:tr w14:paraId="45C5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6CF594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■4.4</w:t>
            </w:r>
          </w:p>
        </w:tc>
        <w:tc>
          <w:tcPr>
            <w:tcW w:w="1837" w:type="dxa"/>
            <w:vAlign w:val="center"/>
          </w:tcPr>
          <w:p w14:paraId="6BA08A4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会议数量及模式</w:t>
            </w:r>
          </w:p>
        </w:tc>
        <w:tc>
          <w:tcPr>
            <w:tcW w:w="6199" w:type="dxa"/>
            <w:vAlign w:val="center"/>
          </w:tcPr>
          <w:p w14:paraId="08E49F75">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系统控制的视频会议最多支持四方会议，会议终端可选择手术室端，示教室端，PC 端和移动端（提供</w:t>
            </w:r>
            <w:r>
              <w:rPr>
                <w:rFonts w:hint="eastAsia" w:ascii="仿宋" w:hAnsi="仿宋" w:eastAsia="仿宋" w:cs="仿宋"/>
                <w:color w:val="auto"/>
                <w:sz w:val="20"/>
                <w:szCs w:val="20"/>
                <w:highlight w:val="none"/>
                <w:lang w:eastAsia="zh-CN"/>
              </w:rPr>
              <w:t>第三方检测机构出具的证明材料</w:t>
            </w:r>
            <w:r>
              <w:rPr>
                <w:rFonts w:hint="eastAsia" w:ascii="仿宋" w:hAnsi="仿宋" w:eastAsia="仿宋" w:cs="仿宋"/>
                <w:color w:val="auto"/>
                <w:sz w:val="20"/>
                <w:szCs w:val="20"/>
                <w:highlight w:val="none"/>
              </w:rPr>
              <w:t>证明该功能）</w:t>
            </w:r>
          </w:p>
        </w:tc>
      </w:tr>
      <w:tr w14:paraId="6F88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66F44E4">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5</w:t>
            </w:r>
          </w:p>
        </w:tc>
        <w:tc>
          <w:tcPr>
            <w:tcW w:w="1837" w:type="dxa"/>
            <w:vAlign w:val="center"/>
          </w:tcPr>
          <w:p w14:paraId="05B2C482">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视频画面处理器（手术室）</w:t>
            </w:r>
          </w:p>
        </w:tc>
        <w:tc>
          <w:tcPr>
            <w:tcW w:w="6199" w:type="dxa"/>
            <w:vAlign w:val="center"/>
          </w:tcPr>
          <w:p w14:paraId="3629755C">
            <w:pPr>
              <w:spacing w:line="360" w:lineRule="exact"/>
              <w:rPr>
                <w:rFonts w:hint="eastAsia" w:ascii="仿宋" w:hAnsi="仿宋" w:eastAsia="仿宋" w:cs="仿宋"/>
                <w:b/>
                <w:bCs/>
                <w:color w:val="auto"/>
                <w:sz w:val="20"/>
                <w:szCs w:val="20"/>
                <w:highlight w:val="none"/>
              </w:rPr>
            </w:pPr>
          </w:p>
        </w:tc>
      </w:tr>
      <w:tr w14:paraId="7884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4FAEEF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■5.1</w:t>
            </w:r>
          </w:p>
        </w:tc>
        <w:tc>
          <w:tcPr>
            <w:tcW w:w="1837" w:type="dxa"/>
            <w:vAlign w:val="center"/>
          </w:tcPr>
          <w:p w14:paraId="39AECBC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bCs/>
                <w:color w:val="auto"/>
                <w:sz w:val="20"/>
                <w:szCs w:val="20"/>
                <w:highlight w:val="none"/>
              </w:rPr>
              <w:t>画中画与四分屏</w:t>
            </w:r>
          </w:p>
        </w:tc>
        <w:tc>
          <w:tcPr>
            <w:tcW w:w="6199" w:type="dxa"/>
            <w:vAlign w:val="center"/>
          </w:tcPr>
          <w:p w14:paraId="01CB8A47">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采用硬件设备实现4K刷新率画质的画中画及四分屏功能；输出分辨率最高支持3840×2160p@60fps；支持输入分辨率不低于3840×2160p@60fps；具备对四分屏、画中画画面的自由信号拼接及小画面四周定位功能（提供系统硬件照片证明所采用的是硬件画中画，而非软件画中画; 提供</w:t>
            </w:r>
            <w:r>
              <w:rPr>
                <w:rFonts w:hint="eastAsia" w:ascii="仿宋" w:hAnsi="仿宋" w:eastAsia="仿宋" w:cs="仿宋"/>
                <w:color w:val="auto"/>
                <w:sz w:val="20"/>
                <w:szCs w:val="20"/>
                <w:highlight w:val="none"/>
                <w:lang w:eastAsia="zh-CN"/>
              </w:rPr>
              <w:t>第三方检测机构出具的证明材料</w:t>
            </w:r>
            <w:r>
              <w:rPr>
                <w:rFonts w:hint="eastAsia" w:ascii="仿宋" w:hAnsi="仿宋" w:eastAsia="仿宋" w:cs="仿宋"/>
                <w:color w:val="auto"/>
                <w:sz w:val="20"/>
                <w:szCs w:val="20"/>
                <w:highlight w:val="none"/>
              </w:rPr>
              <w:t>证明输入输出分辨率支持3840x2160P，刷新率不低于60fps）</w:t>
            </w:r>
          </w:p>
        </w:tc>
      </w:tr>
      <w:tr w14:paraId="520F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0B5B72B2">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6</w:t>
            </w:r>
          </w:p>
        </w:tc>
        <w:tc>
          <w:tcPr>
            <w:tcW w:w="1837" w:type="dxa"/>
            <w:vAlign w:val="center"/>
          </w:tcPr>
          <w:p w14:paraId="4E4BC9D7">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中央触控终端</w:t>
            </w:r>
          </w:p>
          <w:p w14:paraId="4C8B1944">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（嵌入式）</w:t>
            </w:r>
          </w:p>
        </w:tc>
        <w:tc>
          <w:tcPr>
            <w:tcW w:w="6199" w:type="dxa"/>
            <w:vAlign w:val="center"/>
          </w:tcPr>
          <w:p w14:paraId="0F552F95">
            <w:pPr>
              <w:spacing w:line="360" w:lineRule="exact"/>
              <w:rPr>
                <w:rFonts w:hint="eastAsia" w:ascii="仿宋" w:hAnsi="仿宋" w:eastAsia="仿宋" w:cs="仿宋"/>
                <w:b/>
                <w:bCs/>
                <w:color w:val="auto"/>
                <w:sz w:val="20"/>
                <w:szCs w:val="20"/>
                <w:highlight w:val="none"/>
              </w:rPr>
            </w:pPr>
          </w:p>
        </w:tc>
      </w:tr>
      <w:tr w14:paraId="534A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2685749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■6.1</w:t>
            </w:r>
          </w:p>
        </w:tc>
        <w:tc>
          <w:tcPr>
            <w:tcW w:w="1837" w:type="dxa"/>
            <w:vAlign w:val="center"/>
          </w:tcPr>
          <w:p w14:paraId="68D77CB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基本要求</w:t>
            </w:r>
          </w:p>
        </w:tc>
        <w:tc>
          <w:tcPr>
            <w:tcW w:w="6199" w:type="dxa"/>
            <w:vAlign w:val="center"/>
          </w:tcPr>
          <w:p w14:paraId="2DD80525">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央触控终端整体嵌入墙体安装，表面全玻璃面板，安装后与墙面齐平，无明显凸起；嵌墙安装缝隙采用可拆卸胶条填充，非玻璃胶等固化填充物；支持前面板快速维修开启结构；支持一键开关功能；前面板提供接口包括USB接口；配置手术床控制急停按钮；可发起或者加入任意一间4K数字化手术室、示教室、会议室、医院内网办公室的视音频会议（提供玻璃触控屏幕照片；提供手术室可拆卸胶条安装的真实效果照片；需提供嵌墙终端前面板开启和闭合时的过程照片，证明前面板支持快速维修功能；需提供一键开关机按钮照片证明；需提供手术床控制急停按钮操作说明及实物照片）</w:t>
            </w:r>
          </w:p>
        </w:tc>
      </w:tr>
      <w:tr w14:paraId="4FF2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F53ADD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6.2</w:t>
            </w:r>
          </w:p>
        </w:tc>
        <w:tc>
          <w:tcPr>
            <w:tcW w:w="1837" w:type="dxa"/>
            <w:vAlign w:val="center"/>
          </w:tcPr>
          <w:p w14:paraId="2842365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触摸屏</w:t>
            </w:r>
          </w:p>
          <w:p w14:paraId="0F2BFB9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（含医用键盘）</w:t>
            </w:r>
          </w:p>
        </w:tc>
        <w:tc>
          <w:tcPr>
            <w:tcW w:w="6199" w:type="dxa"/>
            <w:vAlign w:val="center"/>
          </w:tcPr>
          <w:p w14:paraId="255F3149">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≥23英寸，支持1920*1080p@60fps分辨率；可视角度不少于178*178；触控响应时间不超过25ms；触控类型：电容；支持不低于10点触控</w:t>
            </w:r>
          </w:p>
        </w:tc>
      </w:tr>
      <w:tr w14:paraId="4698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28047D56">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7</w:t>
            </w:r>
          </w:p>
        </w:tc>
        <w:tc>
          <w:tcPr>
            <w:tcW w:w="1837" w:type="dxa"/>
            <w:vAlign w:val="center"/>
          </w:tcPr>
          <w:p w14:paraId="4F49263B">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视频编码器</w:t>
            </w:r>
          </w:p>
        </w:tc>
        <w:tc>
          <w:tcPr>
            <w:tcW w:w="6199" w:type="dxa"/>
            <w:vAlign w:val="center"/>
          </w:tcPr>
          <w:p w14:paraId="444C850B">
            <w:pPr>
              <w:spacing w:line="360" w:lineRule="exact"/>
              <w:rPr>
                <w:rFonts w:hint="eastAsia" w:ascii="仿宋" w:hAnsi="仿宋" w:eastAsia="仿宋" w:cs="仿宋"/>
                <w:b/>
                <w:bCs/>
                <w:color w:val="auto"/>
                <w:sz w:val="20"/>
                <w:szCs w:val="20"/>
                <w:highlight w:val="none"/>
              </w:rPr>
            </w:pPr>
          </w:p>
        </w:tc>
      </w:tr>
      <w:tr w14:paraId="53FE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6E43026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■7.1</w:t>
            </w:r>
          </w:p>
        </w:tc>
        <w:tc>
          <w:tcPr>
            <w:tcW w:w="1837" w:type="dxa"/>
            <w:vAlign w:val="center"/>
          </w:tcPr>
          <w:p w14:paraId="1BC0879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基本要求</w:t>
            </w:r>
          </w:p>
        </w:tc>
        <w:tc>
          <w:tcPr>
            <w:tcW w:w="6199" w:type="dxa"/>
            <w:vAlign w:val="center"/>
          </w:tcPr>
          <w:p w14:paraId="441E2855">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视频编码器可在吊塔托盘下侧隐蔽式安装；信号输入接口无需转接，原生支持4K接口输入：HDMI、DP、12G-SDI；支持编码输入：分辨率最高支持3840×2160P  刷新率支持60fps；色度采样支持YCbCr 4:4:4，传输延迟不高于16ms；支持视频编码；支持RTSP协议栈；支持POE供电（提供视频编码器在吊塔托盘下侧隐蔽式安装的实景照片证明资料；提供编码器接口图片证明编码器输入接口支持HDMI、DP、12G-SDI; 提供</w:t>
            </w:r>
            <w:r>
              <w:rPr>
                <w:rFonts w:hint="eastAsia" w:ascii="仿宋" w:hAnsi="仿宋" w:eastAsia="仿宋" w:cs="仿宋"/>
                <w:color w:val="auto"/>
                <w:sz w:val="20"/>
                <w:szCs w:val="20"/>
                <w:highlight w:val="none"/>
                <w:lang w:eastAsia="zh-CN"/>
              </w:rPr>
              <w:t>第三方检测机构出具的证明材料</w:t>
            </w:r>
            <w:r>
              <w:rPr>
                <w:rFonts w:hint="eastAsia" w:ascii="仿宋" w:hAnsi="仿宋" w:eastAsia="仿宋" w:cs="仿宋"/>
                <w:color w:val="auto"/>
                <w:sz w:val="20"/>
                <w:szCs w:val="20"/>
                <w:highlight w:val="none"/>
              </w:rPr>
              <w:t>证明编码器分辨率最高支持：3840×2160p @60fps；色度采样支持YCbCr 4:4:4，传输系统延迟不高于16ms）</w:t>
            </w:r>
          </w:p>
        </w:tc>
      </w:tr>
      <w:tr w14:paraId="070E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9968BD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7.2</w:t>
            </w:r>
          </w:p>
        </w:tc>
        <w:tc>
          <w:tcPr>
            <w:tcW w:w="1837" w:type="dxa"/>
            <w:vAlign w:val="center"/>
          </w:tcPr>
          <w:p w14:paraId="7F808B6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主流和辅流</w:t>
            </w:r>
          </w:p>
        </w:tc>
        <w:tc>
          <w:tcPr>
            <w:tcW w:w="6199" w:type="dxa"/>
            <w:vAlign w:val="center"/>
          </w:tcPr>
          <w:p w14:paraId="0171D541">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可独立关闭，支持各自独立设置编码格式</w:t>
            </w:r>
          </w:p>
        </w:tc>
      </w:tr>
      <w:tr w14:paraId="549A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DEC560C">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8</w:t>
            </w:r>
          </w:p>
        </w:tc>
        <w:tc>
          <w:tcPr>
            <w:tcW w:w="1837" w:type="dxa"/>
            <w:vAlign w:val="center"/>
          </w:tcPr>
          <w:p w14:paraId="4EADE236">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视频解码器</w:t>
            </w:r>
          </w:p>
        </w:tc>
        <w:tc>
          <w:tcPr>
            <w:tcW w:w="6199" w:type="dxa"/>
            <w:vAlign w:val="center"/>
          </w:tcPr>
          <w:p w14:paraId="7FCC1DA9">
            <w:pPr>
              <w:spacing w:line="360" w:lineRule="exact"/>
              <w:rPr>
                <w:rFonts w:hint="eastAsia" w:ascii="仿宋" w:hAnsi="仿宋" w:eastAsia="仿宋" w:cs="仿宋"/>
                <w:b/>
                <w:bCs/>
                <w:color w:val="auto"/>
                <w:sz w:val="20"/>
                <w:szCs w:val="20"/>
                <w:highlight w:val="none"/>
              </w:rPr>
            </w:pPr>
          </w:p>
        </w:tc>
      </w:tr>
      <w:tr w14:paraId="4090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0" w:type="dxa"/>
            <w:vAlign w:val="center"/>
          </w:tcPr>
          <w:p w14:paraId="53A0703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8.1</w:t>
            </w:r>
          </w:p>
        </w:tc>
        <w:tc>
          <w:tcPr>
            <w:tcW w:w="1837" w:type="dxa"/>
            <w:vAlign w:val="center"/>
          </w:tcPr>
          <w:p w14:paraId="4CFEDE0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基本要求</w:t>
            </w:r>
          </w:p>
        </w:tc>
        <w:tc>
          <w:tcPr>
            <w:tcW w:w="6199" w:type="dxa"/>
            <w:vAlign w:val="center"/>
          </w:tcPr>
          <w:p w14:paraId="689894C6">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支持解码输出，最高分辨率不小于3840×2160p@60fps；色度采样支持YCbCr 4:4:4，传输延迟不高于16ms；可以查询到解码器目前的视频来源编码器；可通过网络指令的方式调用API接口；支持POE供电</w:t>
            </w:r>
          </w:p>
        </w:tc>
      </w:tr>
      <w:tr w14:paraId="3307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B2B7392">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9</w:t>
            </w:r>
          </w:p>
        </w:tc>
        <w:tc>
          <w:tcPr>
            <w:tcW w:w="1837" w:type="dxa"/>
            <w:vAlign w:val="center"/>
          </w:tcPr>
          <w:p w14:paraId="4CFDA039">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全景编码器</w:t>
            </w:r>
          </w:p>
        </w:tc>
        <w:tc>
          <w:tcPr>
            <w:tcW w:w="6199" w:type="dxa"/>
            <w:vAlign w:val="center"/>
          </w:tcPr>
          <w:p w14:paraId="38F89209">
            <w:pPr>
              <w:spacing w:line="360" w:lineRule="exact"/>
              <w:rPr>
                <w:rFonts w:hint="eastAsia" w:ascii="仿宋" w:hAnsi="仿宋" w:eastAsia="仿宋" w:cs="仿宋"/>
                <w:b/>
                <w:bCs/>
                <w:color w:val="auto"/>
                <w:sz w:val="20"/>
                <w:szCs w:val="20"/>
                <w:highlight w:val="none"/>
              </w:rPr>
            </w:pPr>
          </w:p>
        </w:tc>
      </w:tr>
      <w:tr w14:paraId="27D4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34C66F1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9.1</w:t>
            </w:r>
          </w:p>
        </w:tc>
        <w:tc>
          <w:tcPr>
            <w:tcW w:w="1837" w:type="dxa"/>
            <w:vAlign w:val="center"/>
          </w:tcPr>
          <w:p w14:paraId="3BA196D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基本要求</w:t>
            </w:r>
          </w:p>
        </w:tc>
        <w:tc>
          <w:tcPr>
            <w:tcW w:w="6199" w:type="dxa"/>
            <w:vAlign w:val="center"/>
          </w:tcPr>
          <w:p w14:paraId="4124476A">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支持编码输入，最高分辨率不小于：3840×2160p@60fps；编解码传输延迟低于 16ms；支持POE供电；输入接口支持HDMI；输出接口支持1×SPF+ 10Gbps（光口）</w:t>
            </w:r>
          </w:p>
        </w:tc>
      </w:tr>
      <w:tr w14:paraId="0BB9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1F1CD5B9">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10</w:t>
            </w:r>
          </w:p>
        </w:tc>
        <w:tc>
          <w:tcPr>
            <w:tcW w:w="1837" w:type="dxa"/>
            <w:vAlign w:val="center"/>
          </w:tcPr>
          <w:p w14:paraId="303FD70D">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非医疗设备设备控制模块</w:t>
            </w:r>
          </w:p>
        </w:tc>
        <w:tc>
          <w:tcPr>
            <w:tcW w:w="6199" w:type="dxa"/>
            <w:vAlign w:val="center"/>
          </w:tcPr>
          <w:p w14:paraId="1C29D415">
            <w:pPr>
              <w:spacing w:line="360" w:lineRule="exact"/>
              <w:rPr>
                <w:rFonts w:hint="eastAsia" w:ascii="仿宋" w:hAnsi="仿宋" w:eastAsia="仿宋" w:cs="仿宋"/>
                <w:b/>
                <w:bCs/>
                <w:color w:val="auto"/>
                <w:sz w:val="20"/>
                <w:szCs w:val="20"/>
                <w:highlight w:val="none"/>
              </w:rPr>
            </w:pPr>
          </w:p>
        </w:tc>
      </w:tr>
      <w:tr w14:paraId="2239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79D215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10.1</w:t>
            </w:r>
          </w:p>
        </w:tc>
        <w:tc>
          <w:tcPr>
            <w:tcW w:w="1837" w:type="dxa"/>
            <w:vAlign w:val="center"/>
          </w:tcPr>
          <w:p w14:paraId="6215CCB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控制板卡和电源</w:t>
            </w:r>
          </w:p>
        </w:tc>
        <w:tc>
          <w:tcPr>
            <w:tcW w:w="6199" w:type="dxa"/>
            <w:vAlign w:val="center"/>
          </w:tcPr>
          <w:p w14:paraId="795A8F51">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控制板卡CPU主频不低于1.3G；缓存不低于1.5G；电源输入100-240V，50/60Hz</w:t>
            </w:r>
          </w:p>
        </w:tc>
      </w:tr>
      <w:tr w14:paraId="1A9E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04CC7D4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10.2</w:t>
            </w:r>
          </w:p>
        </w:tc>
        <w:tc>
          <w:tcPr>
            <w:tcW w:w="1837" w:type="dxa"/>
            <w:vAlign w:val="center"/>
          </w:tcPr>
          <w:p w14:paraId="33EFBBF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基本要求</w:t>
            </w:r>
          </w:p>
        </w:tc>
        <w:tc>
          <w:tcPr>
            <w:tcW w:w="6199" w:type="dxa"/>
            <w:vAlign w:val="center"/>
          </w:tcPr>
          <w:p w14:paraId="0F0A5656">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对音视频控制器进行控制，以实现视频功能，包含但不限于视频路由、视频存档、音视频文档管理等功能；支持音视频场景保存和调用功能，包括支持将被控设备的参数状态记忆存储为用户预期场景功能；支持调用用户储存的场景参数，将被控设备恢复为既定的参数状态；支持音乐播放功能，通过系统内置播放器进行播放，支持文件排序，支持顺序播放，随机播放等模式</w:t>
            </w:r>
          </w:p>
        </w:tc>
      </w:tr>
      <w:tr w14:paraId="0F7A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B3C3E0A">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11</w:t>
            </w:r>
          </w:p>
        </w:tc>
        <w:tc>
          <w:tcPr>
            <w:tcW w:w="1837" w:type="dxa"/>
            <w:vAlign w:val="center"/>
          </w:tcPr>
          <w:p w14:paraId="3124EA7D">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医疗设备控制模块</w:t>
            </w:r>
          </w:p>
        </w:tc>
        <w:tc>
          <w:tcPr>
            <w:tcW w:w="6199" w:type="dxa"/>
            <w:vAlign w:val="center"/>
          </w:tcPr>
          <w:p w14:paraId="7044839E">
            <w:pPr>
              <w:spacing w:line="360" w:lineRule="exact"/>
              <w:rPr>
                <w:rFonts w:hint="eastAsia" w:ascii="仿宋" w:hAnsi="仿宋" w:eastAsia="仿宋" w:cs="仿宋"/>
                <w:b/>
                <w:bCs/>
                <w:color w:val="auto"/>
                <w:sz w:val="20"/>
                <w:szCs w:val="20"/>
                <w:highlight w:val="none"/>
              </w:rPr>
            </w:pPr>
          </w:p>
        </w:tc>
      </w:tr>
      <w:tr w14:paraId="20C6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C092EC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■11.1</w:t>
            </w:r>
          </w:p>
        </w:tc>
        <w:tc>
          <w:tcPr>
            <w:tcW w:w="1837" w:type="dxa"/>
            <w:vAlign w:val="center"/>
          </w:tcPr>
          <w:p w14:paraId="67541AB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基本要求</w:t>
            </w:r>
          </w:p>
        </w:tc>
        <w:tc>
          <w:tcPr>
            <w:tcW w:w="6199" w:type="dxa"/>
            <w:vAlign w:val="center"/>
          </w:tcPr>
          <w:p w14:paraId="20921F46">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具备</w:t>
            </w:r>
            <w:bookmarkStart w:id="776" w:name="OLE_LINK2"/>
            <w:r>
              <w:rPr>
                <w:rFonts w:hint="eastAsia" w:ascii="仿宋" w:hAnsi="仿宋" w:eastAsia="仿宋" w:cs="仿宋"/>
                <w:color w:val="auto"/>
                <w:sz w:val="20"/>
                <w:szCs w:val="20"/>
                <w:highlight w:val="none"/>
              </w:rPr>
              <w:t>手术设备集总控制系统功能</w:t>
            </w:r>
            <w:bookmarkEnd w:id="776"/>
            <w:r>
              <w:rPr>
                <w:rFonts w:hint="eastAsia" w:ascii="仿宋" w:hAnsi="仿宋" w:eastAsia="仿宋" w:cs="仿宋"/>
                <w:color w:val="auto"/>
                <w:sz w:val="20"/>
                <w:szCs w:val="20"/>
                <w:highlight w:val="none"/>
              </w:rPr>
              <w:t>，在三方医疗设备供应商提供控制接口并配合检验工作的前提下，可实现手术场景设置功能，将手术室显示器图像、手术灯、手术床、腔镜等设备的参数控制融合集成，在同一个软件界面上快速调节，形成手术室设备控制中心；支持手术室常用场景的设置和保存，不同的用户可分别在个人账号下进行手术场景的新建和应用，并提供对应应用一键快捷按键，一键完成手术术种切换、 术前准备工作，构建手术室智能管理平台（提供数字化手术室系统设备控制软件界面场景截图（新建场景、保存场景、应用场景），场景截图需包含手术灯、手术床、腔镜等设备，以证明可完成场景的一键预设功能;）</w:t>
            </w:r>
          </w:p>
        </w:tc>
      </w:tr>
      <w:tr w14:paraId="363C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00" w:type="dxa"/>
            <w:vAlign w:val="center"/>
          </w:tcPr>
          <w:p w14:paraId="7A6D250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■11.2</w:t>
            </w:r>
          </w:p>
        </w:tc>
        <w:tc>
          <w:tcPr>
            <w:tcW w:w="1837" w:type="dxa"/>
            <w:vAlign w:val="center"/>
          </w:tcPr>
          <w:p w14:paraId="48325BC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控制模块</w:t>
            </w:r>
          </w:p>
        </w:tc>
        <w:tc>
          <w:tcPr>
            <w:tcW w:w="6199" w:type="dxa"/>
            <w:vAlign w:val="center"/>
          </w:tcPr>
          <w:p w14:paraId="4EF8B4CB">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在三方医疗设备供应商提供控制接口并配合检验工作的前提下，可实现控制功能包含但不限于手术灯照度调节；手术床台面动作控制、锁定控制、复位控制；内窥镜摄像系统的亮度调节、图像抓取、白平衡调节功能（提供</w:t>
            </w:r>
            <w:r>
              <w:rPr>
                <w:rFonts w:hint="eastAsia" w:ascii="仿宋" w:hAnsi="仿宋" w:eastAsia="仿宋" w:cs="仿宋"/>
                <w:color w:val="auto"/>
                <w:sz w:val="20"/>
                <w:szCs w:val="20"/>
                <w:highlight w:val="none"/>
                <w:lang w:eastAsia="zh-CN"/>
              </w:rPr>
              <w:t>第三方检测机构出具的证明材料</w:t>
            </w:r>
            <w:r>
              <w:rPr>
                <w:rFonts w:hint="eastAsia" w:ascii="仿宋" w:hAnsi="仿宋" w:eastAsia="仿宋" w:cs="仿宋"/>
                <w:color w:val="auto"/>
                <w:sz w:val="20"/>
                <w:szCs w:val="20"/>
                <w:highlight w:val="none"/>
              </w:rPr>
              <w:t>证明可实现控制功能包含但不限于手术灯照度调节、手术床台面动作控制、锁定控制、复位控制；内窥镜摄像系统的亮度调节、图像抓取、白平衡调节功能;）</w:t>
            </w:r>
          </w:p>
        </w:tc>
      </w:tr>
      <w:tr w14:paraId="0C3B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00" w:type="dxa"/>
            <w:vAlign w:val="center"/>
          </w:tcPr>
          <w:p w14:paraId="5056D04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11.3</w:t>
            </w:r>
          </w:p>
        </w:tc>
        <w:tc>
          <w:tcPr>
            <w:tcW w:w="1837" w:type="dxa"/>
            <w:vAlign w:val="center"/>
          </w:tcPr>
          <w:p w14:paraId="2D8056E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通信接口</w:t>
            </w:r>
          </w:p>
        </w:tc>
        <w:tc>
          <w:tcPr>
            <w:tcW w:w="6199" w:type="dxa"/>
            <w:vAlign w:val="center"/>
          </w:tcPr>
          <w:p w14:paraId="2F91ECF3">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支持不少于2个RS485通讯接口、2个CAN通讯接口；支持无线通讯模块，支持蓝牙；支持WiFi无线通讯模块</w:t>
            </w:r>
          </w:p>
        </w:tc>
      </w:tr>
      <w:tr w14:paraId="02F8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00" w:type="dxa"/>
            <w:vAlign w:val="center"/>
          </w:tcPr>
          <w:p w14:paraId="74CEF13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■11.4</w:t>
            </w:r>
          </w:p>
        </w:tc>
        <w:tc>
          <w:tcPr>
            <w:tcW w:w="1837" w:type="dxa"/>
            <w:vAlign w:val="center"/>
          </w:tcPr>
          <w:p w14:paraId="4208B8F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样品功能连接图</w:t>
            </w:r>
          </w:p>
        </w:tc>
        <w:tc>
          <w:tcPr>
            <w:tcW w:w="6199" w:type="dxa"/>
            <w:vAlign w:val="center"/>
          </w:tcPr>
          <w:p w14:paraId="63AD1B2C">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出具手术设备集总控制系统的样品功能连接图，阐明中央控制单元与各医疗设备连接控制的实现机制（出具的证明资料需明确实现的控制机制，连接控制不同医疗设备种类数量不少于3项，提供具有CNAS或CMA标识的检验报告复印件）</w:t>
            </w:r>
          </w:p>
        </w:tc>
      </w:tr>
      <w:tr w14:paraId="75EF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00" w:type="dxa"/>
            <w:vAlign w:val="center"/>
          </w:tcPr>
          <w:p w14:paraId="0962CA4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■11.5</w:t>
            </w:r>
          </w:p>
        </w:tc>
        <w:tc>
          <w:tcPr>
            <w:tcW w:w="1837" w:type="dxa"/>
            <w:vAlign w:val="center"/>
          </w:tcPr>
          <w:p w14:paraId="2DF5AA6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通用标准</w:t>
            </w:r>
          </w:p>
        </w:tc>
        <w:tc>
          <w:tcPr>
            <w:tcW w:w="6199" w:type="dxa"/>
            <w:vAlign w:val="center"/>
          </w:tcPr>
          <w:p w14:paraId="4497283F">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手术设备集总控制系统需通过YY9706.102-2021并列标准（提供具有CNAS或CMA标识的检验报告复印件）</w:t>
            </w:r>
          </w:p>
        </w:tc>
      </w:tr>
      <w:tr w14:paraId="7796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0AA3C018">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12</w:t>
            </w:r>
          </w:p>
        </w:tc>
        <w:tc>
          <w:tcPr>
            <w:tcW w:w="1837" w:type="dxa"/>
            <w:vAlign w:val="center"/>
          </w:tcPr>
          <w:p w14:paraId="470D15C9">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4K全景摄像机</w:t>
            </w:r>
          </w:p>
        </w:tc>
        <w:tc>
          <w:tcPr>
            <w:tcW w:w="6199" w:type="dxa"/>
            <w:vAlign w:val="center"/>
          </w:tcPr>
          <w:p w14:paraId="5C099B48">
            <w:pPr>
              <w:spacing w:line="360" w:lineRule="exact"/>
              <w:rPr>
                <w:rFonts w:hint="eastAsia" w:ascii="仿宋" w:hAnsi="仿宋" w:eastAsia="仿宋" w:cs="仿宋"/>
                <w:b/>
                <w:bCs/>
                <w:color w:val="auto"/>
                <w:sz w:val="20"/>
                <w:szCs w:val="20"/>
                <w:highlight w:val="none"/>
              </w:rPr>
            </w:pPr>
          </w:p>
        </w:tc>
      </w:tr>
      <w:tr w14:paraId="6E5E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653A28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12.1</w:t>
            </w:r>
          </w:p>
        </w:tc>
        <w:tc>
          <w:tcPr>
            <w:tcW w:w="1837" w:type="dxa"/>
            <w:vAlign w:val="center"/>
          </w:tcPr>
          <w:p w14:paraId="018F10C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超清4K全景摄像机</w:t>
            </w:r>
          </w:p>
        </w:tc>
        <w:tc>
          <w:tcPr>
            <w:tcW w:w="6199" w:type="dxa"/>
            <w:vAlign w:val="center"/>
          </w:tcPr>
          <w:p w14:paraId="68826B64">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支持超大视场角，支持PTZ控制；支持POE供电</w:t>
            </w:r>
          </w:p>
        </w:tc>
      </w:tr>
      <w:tr w14:paraId="167C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45E2870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12.2</w:t>
            </w:r>
          </w:p>
        </w:tc>
        <w:tc>
          <w:tcPr>
            <w:tcW w:w="1837" w:type="dxa"/>
            <w:vAlign w:val="center"/>
          </w:tcPr>
          <w:p w14:paraId="1E62A28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光学变倍和数字变焦</w:t>
            </w:r>
          </w:p>
        </w:tc>
        <w:tc>
          <w:tcPr>
            <w:tcW w:w="6199" w:type="dxa"/>
            <w:vAlign w:val="center"/>
          </w:tcPr>
          <w:p w14:paraId="49031653">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支持不小于20倍光学变倍，不小于16倍数字变焦</w:t>
            </w:r>
          </w:p>
        </w:tc>
      </w:tr>
      <w:tr w14:paraId="3E40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38DCED3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12.3</w:t>
            </w:r>
          </w:p>
        </w:tc>
        <w:tc>
          <w:tcPr>
            <w:tcW w:w="1837" w:type="dxa"/>
            <w:vAlign w:val="center"/>
          </w:tcPr>
          <w:p w14:paraId="0E84C58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输出接口</w:t>
            </w:r>
          </w:p>
        </w:tc>
        <w:tc>
          <w:tcPr>
            <w:tcW w:w="6199" w:type="dxa"/>
            <w:vAlign w:val="center"/>
          </w:tcPr>
          <w:p w14:paraId="169A7329">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支持HDMI和3G-SDI视频输出接口</w:t>
            </w:r>
          </w:p>
        </w:tc>
      </w:tr>
      <w:tr w14:paraId="0786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4F209D5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12.4</w:t>
            </w:r>
          </w:p>
        </w:tc>
        <w:tc>
          <w:tcPr>
            <w:tcW w:w="1837" w:type="dxa"/>
            <w:vAlign w:val="center"/>
          </w:tcPr>
          <w:p w14:paraId="3140EFB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输出分辨率</w:t>
            </w:r>
          </w:p>
        </w:tc>
        <w:tc>
          <w:tcPr>
            <w:tcW w:w="6199" w:type="dxa"/>
            <w:vAlign w:val="center"/>
          </w:tcPr>
          <w:p w14:paraId="233A1D66">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最高输出分辨率不低于4K 60fps，支持断网续传功</w:t>
            </w:r>
          </w:p>
        </w:tc>
      </w:tr>
      <w:tr w14:paraId="1211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03EB2B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12.5</w:t>
            </w:r>
          </w:p>
        </w:tc>
        <w:tc>
          <w:tcPr>
            <w:tcW w:w="1837" w:type="dxa"/>
            <w:vAlign w:val="center"/>
          </w:tcPr>
          <w:p w14:paraId="105C3A0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宽动态范围</w:t>
            </w:r>
          </w:p>
        </w:tc>
        <w:tc>
          <w:tcPr>
            <w:tcW w:w="6199" w:type="dxa"/>
            <w:vAlign w:val="center"/>
          </w:tcPr>
          <w:p w14:paraId="3D2A126D">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支持宽动态范围不低于120dB，适合逆光环境拍摄</w:t>
            </w:r>
          </w:p>
        </w:tc>
      </w:tr>
      <w:tr w14:paraId="4F37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4EEC796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12.6</w:t>
            </w:r>
          </w:p>
        </w:tc>
        <w:tc>
          <w:tcPr>
            <w:tcW w:w="1837" w:type="dxa"/>
            <w:vAlign w:val="center"/>
          </w:tcPr>
          <w:p w14:paraId="60F9273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基本功能</w:t>
            </w:r>
          </w:p>
        </w:tc>
        <w:tc>
          <w:tcPr>
            <w:tcW w:w="6199" w:type="dxa"/>
            <w:vAlign w:val="center"/>
          </w:tcPr>
          <w:p w14:paraId="51629D42">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可完成术内外视频互动，摄像头的云台以及画面缩放均可在控制终端界面上进行调节</w:t>
            </w:r>
          </w:p>
        </w:tc>
      </w:tr>
      <w:tr w14:paraId="7547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29FB4FCA">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13</w:t>
            </w:r>
          </w:p>
        </w:tc>
        <w:tc>
          <w:tcPr>
            <w:tcW w:w="1837" w:type="dxa"/>
            <w:vAlign w:val="center"/>
          </w:tcPr>
          <w:p w14:paraId="2930BE71">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31英寸4K医用显示器</w:t>
            </w:r>
          </w:p>
        </w:tc>
        <w:tc>
          <w:tcPr>
            <w:tcW w:w="6199" w:type="dxa"/>
            <w:vAlign w:val="center"/>
          </w:tcPr>
          <w:p w14:paraId="4E06C885">
            <w:pPr>
              <w:spacing w:line="360" w:lineRule="exact"/>
              <w:rPr>
                <w:rFonts w:hint="eastAsia" w:ascii="仿宋" w:hAnsi="仿宋" w:eastAsia="仿宋" w:cs="仿宋"/>
                <w:b/>
                <w:bCs/>
                <w:color w:val="auto"/>
                <w:sz w:val="20"/>
                <w:szCs w:val="20"/>
                <w:highlight w:val="none"/>
              </w:rPr>
            </w:pPr>
          </w:p>
        </w:tc>
      </w:tr>
      <w:tr w14:paraId="129C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2A6292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13.1</w:t>
            </w:r>
          </w:p>
        </w:tc>
        <w:tc>
          <w:tcPr>
            <w:tcW w:w="1837" w:type="dxa"/>
            <w:vAlign w:val="center"/>
          </w:tcPr>
          <w:p w14:paraId="4B86C4D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屏幕</w:t>
            </w:r>
          </w:p>
        </w:tc>
        <w:tc>
          <w:tcPr>
            <w:tcW w:w="6199" w:type="dxa"/>
            <w:vAlign w:val="center"/>
          </w:tcPr>
          <w:p w14:paraId="0C39707A">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≥31英寸，分辨率不低于3840*2160P，刷新率不低于60Hz；对比度≥1000:1；显示均匀度不小于80%；显示器响应时间不高于20ms</w:t>
            </w:r>
          </w:p>
        </w:tc>
      </w:tr>
      <w:tr w14:paraId="3D19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2126AF6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13.2</w:t>
            </w:r>
          </w:p>
        </w:tc>
        <w:tc>
          <w:tcPr>
            <w:tcW w:w="1837" w:type="dxa"/>
            <w:vAlign w:val="center"/>
          </w:tcPr>
          <w:p w14:paraId="642317A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高清接口</w:t>
            </w:r>
          </w:p>
        </w:tc>
        <w:tc>
          <w:tcPr>
            <w:tcW w:w="6199" w:type="dxa"/>
            <w:vAlign w:val="center"/>
          </w:tcPr>
          <w:p w14:paraId="314EF500">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具有HDMI、DP、12G-SDI的4K超高清接口，可满足4K图像显示；具有3G-SDI或DVI的全高清接口，可满足全高清图像显示</w:t>
            </w:r>
          </w:p>
        </w:tc>
      </w:tr>
      <w:tr w14:paraId="07E1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232404D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13.3</w:t>
            </w:r>
          </w:p>
        </w:tc>
        <w:tc>
          <w:tcPr>
            <w:tcW w:w="1837" w:type="dxa"/>
            <w:vAlign w:val="center"/>
          </w:tcPr>
          <w:p w14:paraId="37DA265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显示面板</w:t>
            </w:r>
          </w:p>
        </w:tc>
        <w:tc>
          <w:tcPr>
            <w:tcW w:w="6199" w:type="dxa"/>
            <w:vAlign w:val="center"/>
          </w:tcPr>
          <w:p w14:paraId="46FD8B9B">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使用光学玻璃全贴合技术</w:t>
            </w:r>
          </w:p>
        </w:tc>
      </w:tr>
      <w:tr w14:paraId="204D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42D269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13.4</w:t>
            </w:r>
          </w:p>
        </w:tc>
        <w:tc>
          <w:tcPr>
            <w:tcW w:w="1837" w:type="dxa"/>
            <w:vAlign w:val="center"/>
          </w:tcPr>
          <w:p w14:paraId="032E8C6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最大背光亮度</w:t>
            </w:r>
          </w:p>
        </w:tc>
        <w:tc>
          <w:tcPr>
            <w:tcW w:w="6199" w:type="dxa"/>
            <w:vAlign w:val="center"/>
          </w:tcPr>
          <w:p w14:paraId="2BCE3180">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≥680cd/m2</w:t>
            </w:r>
          </w:p>
        </w:tc>
      </w:tr>
      <w:tr w14:paraId="1113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65576F4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13.5</w:t>
            </w:r>
          </w:p>
        </w:tc>
        <w:tc>
          <w:tcPr>
            <w:tcW w:w="1837" w:type="dxa"/>
            <w:vAlign w:val="center"/>
          </w:tcPr>
          <w:p w14:paraId="6654941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可视角度</w:t>
            </w:r>
          </w:p>
        </w:tc>
        <w:tc>
          <w:tcPr>
            <w:tcW w:w="6199" w:type="dxa"/>
            <w:vAlign w:val="center"/>
          </w:tcPr>
          <w:p w14:paraId="55C21105">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≥178°</w:t>
            </w:r>
          </w:p>
        </w:tc>
      </w:tr>
      <w:tr w14:paraId="164A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3D7CBAE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13.6</w:t>
            </w:r>
          </w:p>
        </w:tc>
        <w:tc>
          <w:tcPr>
            <w:tcW w:w="1837" w:type="dxa"/>
            <w:vAlign w:val="center"/>
          </w:tcPr>
          <w:p w14:paraId="751C0EC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可见度</w:t>
            </w:r>
          </w:p>
        </w:tc>
        <w:tc>
          <w:tcPr>
            <w:tcW w:w="6199" w:type="dxa"/>
            <w:vAlign w:val="center"/>
          </w:tcPr>
          <w:p w14:paraId="5070E694">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在环境亮度 200LUX 下，全屏显示区 30 灰阶不可见</w:t>
            </w:r>
          </w:p>
        </w:tc>
      </w:tr>
      <w:tr w14:paraId="58D7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44D33E9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13.7</w:t>
            </w:r>
          </w:p>
        </w:tc>
        <w:tc>
          <w:tcPr>
            <w:tcW w:w="1837" w:type="dxa"/>
            <w:vAlign w:val="center"/>
          </w:tcPr>
          <w:p w14:paraId="7714317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画中画功能</w:t>
            </w:r>
          </w:p>
        </w:tc>
        <w:tc>
          <w:tcPr>
            <w:tcW w:w="6199" w:type="dxa"/>
            <w:vAlign w:val="center"/>
          </w:tcPr>
          <w:p w14:paraId="5CB9A40D">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显示器提供画中画功能，两幅画面来自于不同输入信源</w:t>
            </w:r>
          </w:p>
        </w:tc>
      </w:tr>
      <w:tr w14:paraId="37B6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A4CBE39">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14</w:t>
            </w:r>
          </w:p>
        </w:tc>
        <w:tc>
          <w:tcPr>
            <w:tcW w:w="1837" w:type="dxa"/>
            <w:vAlign w:val="center"/>
          </w:tcPr>
          <w:p w14:paraId="4D2A7F60">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31英寸4K-3D医用显示器</w:t>
            </w:r>
          </w:p>
        </w:tc>
        <w:tc>
          <w:tcPr>
            <w:tcW w:w="6199" w:type="dxa"/>
            <w:vAlign w:val="center"/>
          </w:tcPr>
          <w:p w14:paraId="72656A93">
            <w:pPr>
              <w:spacing w:line="360" w:lineRule="exact"/>
              <w:rPr>
                <w:rFonts w:hint="eastAsia" w:ascii="仿宋" w:hAnsi="仿宋" w:eastAsia="仿宋" w:cs="仿宋"/>
                <w:b/>
                <w:bCs/>
                <w:color w:val="auto"/>
                <w:sz w:val="20"/>
                <w:szCs w:val="20"/>
                <w:highlight w:val="none"/>
              </w:rPr>
            </w:pPr>
          </w:p>
        </w:tc>
      </w:tr>
      <w:tr w14:paraId="421F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181C8C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14.1</w:t>
            </w:r>
          </w:p>
        </w:tc>
        <w:tc>
          <w:tcPr>
            <w:tcW w:w="1837" w:type="dxa"/>
            <w:vAlign w:val="center"/>
          </w:tcPr>
          <w:p w14:paraId="1B005F7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屏幕</w:t>
            </w:r>
          </w:p>
        </w:tc>
        <w:tc>
          <w:tcPr>
            <w:tcW w:w="6199" w:type="dxa"/>
            <w:vAlign w:val="center"/>
          </w:tcPr>
          <w:p w14:paraId="785A7AA4">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≥31英寸，分辨率不低于3840*2160P，刷新率不低于60Hz；</w:t>
            </w:r>
          </w:p>
        </w:tc>
      </w:tr>
      <w:tr w14:paraId="1183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D7F92D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w:t>
            </w:r>
            <w:r>
              <w:rPr>
                <w:rFonts w:hint="eastAsia" w:ascii="仿宋" w:hAnsi="仿宋" w:eastAsia="仿宋" w:cs="仿宋"/>
                <w:color w:val="auto"/>
                <w:sz w:val="20"/>
                <w:szCs w:val="20"/>
                <w:highlight w:val="none"/>
              </w:rPr>
              <w:t>14.2</w:t>
            </w:r>
          </w:p>
        </w:tc>
        <w:tc>
          <w:tcPr>
            <w:tcW w:w="1837" w:type="dxa"/>
            <w:vAlign w:val="center"/>
          </w:tcPr>
          <w:p w14:paraId="0230155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2D和3D格式</w:t>
            </w:r>
          </w:p>
        </w:tc>
        <w:tc>
          <w:tcPr>
            <w:tcW w:w="6199" w:type="dxa"/>
            <w:vAlign w:val="center"/>
          </w:tcPr>
          <w:p w14:paraId="09AEC9E0">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支持2D/3D选择，支持HDMI、DP、SDI、DVI的3D信号格式；支持多种不同的2D和3D格式，并排（SBS）、逐行（LBL）、上下（T&amp;B）</w:t>
            </w:r>
          </w:p>
        </w:tc>
      </w:tr>
      <w:tr w14:paraId="30D7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797D79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14.3</w:t>
            </w:r>
          </w:p>
        </w:tc>
        <w:tc>
          <w:tcPr>
            <w:tcW w:w="1837" w:type="dxa"/>
            <w:vAlign w:val="center"/>
          </w:tcPr>
          <w:p w14:paraId="1737E54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高清接口</w:t>
            </w:r>
          </w:p>
        </w:tc>
        <w:tc>
          <w:tcPr>
            <w:tcW w:w="6199" w:type="dxa"/>
            <w:vAlign w:val="center"/>
          </w:tcPr>
          <w:p w14:paraId="56630C30">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具有HDMI、DP、12G-SDI的4K超高清接口，具有3G-SDI或DVI的全高清接口</w:t>
            </w:r>
          </w:p>
        </w:tc>
      </w:tr>
      <w:tr w14:paraId="3DF8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293811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14.4</w:t>
            </w:r>
          </w:p>
        </w:tc>
        <w:tc>
          <w:tcPr>
            <w:tcW w:w="1837" w:type="dxa"/>
            <w:vAlign w:val="center"/>
          </w:tcPr>
          <w:p w14:paraId="7FCCFD2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区域调光技术</w:t>
            </w:r>
          </w:p>
        </w:tc>
        <w:tc>
          <w:tcPr>
            <w:tcW w:w="6199" w:type="dxa"/>
            <w:vAlign w:val="center"/>
          </w:tcPr>
          <w:p w14:paraId="761926F8">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具有，可以根据场景变化控制LED亮度，峰值亮度可达1500cd/m2以上，对比度可达1000000:1</w:t>
            </w:r>
          </w:p>
        </w:tc>
      </w:tr>
      <w:tr w14:paraId="7572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13E4472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14.5</w:t>
            </w:r>
          </w:p>
        </w:tc>
        <w:tc>
          <w:tcPr>
            <w:tcW w:w="1837" w:type="dxa"/>
            <w:vAlign w:val="center"/>
          </w:tcPr>
          <w:p w14:paraId="378A572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HDR显示功能</w:t>
            </w:r>
          </w:p>
        </w:tc>
        <w:tc>
          <w:tcPr>
            <w:tcW w:w="6199" w:type="dxa"/>
            <w:vAlign w:val="center"/>
          </w:tcPr>
          <w:p w14:paraId="513EE8B5">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具有，支持广色域，符合ITU-R推荐的BT.2020色彩空间；不低于10 位颜色显示</w:t>
            </w:r>
          </w:p>
        </w:tc>
      </w:tr>
      <w:tr w14:paraId="4A4C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3CA7063E">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15</w:t>
            </w:r>
          </w:p>
        </w:tc>
        <w:tc>
          <w:tcPr>
            <w:tcW w:w="1837" w:type="dxa"/>
            <w:vAlign w:val="center"/>
          </w:tcPr>
          <w:p w14:paraId="6EA7520F">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65英寸4K显示器（嵌墙式)</w:t>
            </w:r>
          </w:p>
        </w:tc>
        <w:tc>
          <w:tcPr>
            <w:tcW w:w="6199" w:type="dxa"/>
            <w:vAlign w:val="center"/>
          </w:tcPr>
          <w:p w14:paraId="24040BFA">
            <w:pPr>
              <w:spacing w:line="360" w:lineRule="exact"/>
              <w:rPr>
                <w:rFonts w:hint="eastAsia" w:ascii="仿宋" w:hAnsi="仿宋" w:eastAsia="仿宋" w:cs="仿宋"/>
                <w:b/>
                <w:bCs/>
                <w:color w:val="auto"/>
                <w:sz w:val="20"/>
                <w:szCs w:val="20"/>
                <w:highlight w:val="none"/>
              </w:rPr>
            </w:pPr>
          </w:p>
        </w:tc>
      </w:tr>
      <w:tr w14:paraId="7455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6945FE5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15.1</w:t>
            </w:r>
          </w:p>
        </w:tc>
        <w:tc>
          <w:tcPr>
            <w:tcW w:w="1837" w:type="dxa"/>
            <w:vAlign w:val="center"/>
          </w:tcPr>
          <w:p w14:paraId="3D3B6DE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屏幕</w:t>
            </w:r>
          </w:p>
        </w:tc>
        <w:tc>
          <w:tcPr>
            <w:tcW w:w="6199" w:type="dxa"/>
            <w:vAlign w:val="center"/>
          </w:tcPr>
          <w:p w14:paraId="2BF515E2">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≥65英寸，分辨率不小于3840x2160P，屏幕比例为16:9，可视角度≥178°；亮度不低于500cd/m2，屏幕响应时间14ms以内</w:t>
            </w:r>
          </w:p>
        </w:tc>
      </w:tr>
      <w:tr w14:paraId="6523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0822742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15.2</w:t>
            </w:r>
          </w:p>
        </w:tc>
        <w:tc>
          <w:tcPr>
            <w:tcW w:w="1837" w:type="dxa"/>
            <w:vAlign w:val="center"/>
          </w:tcPr>
          <w:p w14:paraId="2CCEF22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设计与安装</w:t>
            </w:r>
          </w:p>
        </w:tc>
        <w:tc>
          <w:tcPr>
            <w:tcW w:w="6199" w:type="dxa"/>
            <w:vAlign w:val="center"/>
          </w:tcPr>
          <w:p w14:paraId="1A2DABC6">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内嵌式安装，表面全玻璃面板覆盖，无明显凸起；支持面板实体按键切换输入视频源；配备金属嵌墙安装基础架，基础架配有前盖开合面板</w:t>
            </w:r>
          </w:p>
        </w:tc>
      </w:tr>
      <w:tr w14:paraId="276B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2124C5E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15.3</w:t>
            </w:r>
          </w:p>
        </w:tc>
        <w:tc>
          <w:tcPr>
            <w:tcW w:w="1837" w:type="dxa"/>
            <w:vAlign w:val="center"/>
          </w:tcPr>
          <w:p w14:paraId="1AC8271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基本要求</w:t>
            </w:r>
          </w:p>
        </w:tc>
        <w:tc>
          <w:tcPr>
            <w:tcW w:w="6199" w:type="dxa"/>
            <w:vAlign w:val="center"/>
          </w:tcPr>
          <w:p w14:paraId="0B8FD1AE">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IP等级不低于IP5X；支持HEVC编码；支持DICOM标准；使用寿命不小于50000小时</w:t>
            </w:r>
          </w:p>
        </w:tc>
      </w:tr>
      <w:tr w14:paraId="253A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6CF854A8">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16</w:t>
            </w:r>
          </w:p>
        </w:tc>
        <w:tc>
          <w:tcPr>
            <w:tcW w:w="1837" w:type="dxa"/>
            <w:vAlign w:val="center"/>
          </w:tcPr>
          <w:p w14:paraId="0DD48FAB">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65英寸4K触控显示器（嵌墙式)</w:t>
            </w:r>
          </w:p>
        </w:tc>
        <w:tc>
          <w:tcPr>
            <w:tcW w:w="6199" w:type="dxa"/>
            <w:vAlign w:val="center"/>
          </w:tcPr>
          <w:p w14:paraId="2E98567C">
            <w:pPr>
              <w:spacing w:line="360" w:lineRule="exact"/>
              <w:rPr>
                <w:rFonts w:hint="eastAsia" w:ascii="仿宋" w:hAnsi="仿宋" w:eastAsia="仿宋" w:cs="仿宋"/>
                <w:b/>
                <w:bCs/>
                <w:color w:val="auto"/>
                <w:sz w:val="20"/>
                <w:szCs w:val="20"/>
                <w:highlight w:val="none"/>
              </w:rPr>
            </w:pPr>
          </w:p>
        </w:tc>
      </w:tr>
      <w:tr w14:paraId="1DDB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2F9A0D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■16.1</w:t>
            </w:r>
          </w:p>
        </w:tc>
        <w:tc>
          <w:tcPr>
            <w:tcW w:w="1837" w:type="dxa"/>
            <w:vAlign w:val="center"/>
          </w:tcPr>
          <w:p w14:paraId="4D9B8F9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基本要求</w:t>
            </w:r>
          </w:p>
        </w:tc>
        <w:tc>
          <w:tcPr>
            <w:tcW w:w="6199" w:type="dxa"/>
            <w:vAlign w:val="center"/>
          </w:tcPr>
          <w:p w14:paraId="63DFDAD5">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IP等级不低于IP5X；支持HEVC编码；显示器需具备GAMMA曲线调教功能，支持DICOM模式；具备视频输入接口HDMI*2，具备USB接口；使用寿命不小于50000小时；可安装手术室管理系统及PACS、LIS用来调阅患者影像和检查信息，支持PACS/LIS图像与显示器实时画面一键切换，可通过路由器显示采集到的任意图像（提供显示器需具备GAMMA曲线调教功能，支持DICOM模式的图片；需提供显示器的接口图片满足以上接口要求）</w:t>
            </w:r>
          </w:p>
        </w:tc>
      </w:tr>
      <w:tr w14:paraId="16BB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8BA5DE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16.2</w:t>
            </w:r>
          </w:p>
        </w:tc>
        <w:tc>
          <w:tcPr>
            <w:tcW w:w="1837" w:type="dxa"/>
            <w:vAlign w:val="center"/>
          </w:tcPr>
          <w:p w14:paraId="20B262A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屏幕</w:t>
            </w:r>
          </w:p>
        </w:tc>
        <w:tc>
          <w:tcPr>
            <w:tcW w:w="6199" w:type="dxa"/>
            <w:vAlign w:val="center"/>
          </w:tcPr>
          <w:p w14:paraId="767F8FC9">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屏幕尺寸不小于65英寸；分辨率不低于支持3840x2160P，屏幕比例为16:9，可视角度≥178°；亮度不低于500cd/m2，屏幕响应时间14ms以内；支持触摸操作；支持上电自启动</w:t>
            </w:r>
          </w:p>
        </w:tc>
      </w:tr>
      <w:tr w14:paraId="4DBE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4479300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16.3</w:t>
            </w:r>
          </w:p>
        </w:tc>
        <w:tc>
          <w:tcPr>
            <w:tcW w:w="1837" w:type="dxa"/>
            <w:vAlign w:val="center"/>
          </w:tcPr>
          <w:p w14:paraId="7834E97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设计与安装</w:t>
            </w:r>
          </w:p>
        </w:tc>
        <w:tc>
          <w:tcPr>
            <w:tcW w:w="6199" w:type="dxa"/>
            <w:vAlign w:val="center"/>
          </w:tcPr>
          <w:p w14:paraId="20ED6169">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内嵌式安装，表面全玻璃面板覆盖，无明显凸起；支持面板实体按键切换输入视频源；配备金属嵌墙安装基础架，基础架配有前盖开合面板</w:t>
            </w:r>
          </w:p>
        </w:tc>
      </w:tr>
      <w:tr w14:paraId="36C7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27A3596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16.4</w:t>
            </w:r>
          </w:p>
        </w:tc>
        <w:tc>
          <w:tcPr>
            <w:tcW w:w="1837" w:type="dxa"/>
            <w:vAlign w:val="center"/>
          </w:tcPr>
          <w:p w14:paraId="40AA1DE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CPU与内存</w:t>
            </w:r>
          </w:p>
        </w:tc>
        <w:tc>
          <w:tcPr>
            <w:tcW w:w="6199" w:type="dxa"/>
            <w:vAlign w:val="center"/>
          </w:tcPr>
          <w:p w14:paraId="594B3F47">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CPU主频不低于1.5GHz；，内存不低于8GB，硬盘不低于128GB</w:t>
            </w:r>
          </w:p>
        </w:tc>
      </w:tr>
      <w:tr w14:paraId="5F62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197CBC68">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17</w:t>
            </w:r>
          </w:p>
        </w:tc>
        <w:tc>
          <w:tcPr>
            <w:tcW w:w="1837" w:type="dxa"/>
            <w:vAlign w:val="center"/>
          </w:tcPr>
          <w:p w14:paraId="61549D59">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70英寸4K触控会议显示器</w:t>
            </w:r>
          </w:p>
        </w:tc>
        <w:tc>
          <w:tcPr>
            <w:tcW w:w="6199" w:type="dxa"/>
            <w:vAlign w:val="center"/>
          </w:tcPr>
          <w:p w14:paraId="062548AF">
            <w:pPr>
              <w:spacing w:line="360" w:lineRule="exact"/>
              <w:rPr>
                <w:rFonts w:hint="eastAsia" w:ascii="仿宋" w:hAnsi="仿宋" w:eastAsia="仿宋" w:cs="仿宋"/>
                <w:b/>
                <w:bCs/>
                <w:color w:val="auto"/>
                <w:sz w:val="20"/>
                <w:szCs w:val="20"/>
                <w:highlight w:val="none"/>
              </w:rPr>
            </w:pPr>
          </w:p>
        </w:tc>
      </w:tr>
      <w:tr w14:paraId="7666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3078BC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17.1</w:t>
            </w:r>
          </w:p>
        </w:tc>
        <w:tc>
          <w:tcPr>
            <w:tcW w:w="1837" w:type="dxa"/>
            <w:vAlign w:val="center"/>
          </w:tcPr>
          <w:p w14:paraId="638A936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屏幕</w:t>
            </w:r>
          </w:p>
        </w:tc>
        <w:tc>
          <w:tcPr>
            <w:tcW w:w="6199" w:type="dxa"/>
            <w:vAlign w:val="center"/>
          </w:tcPr>
          <w:p w14:paraId="5646D500">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≥70英寸，分辨率支持不低于3840x2160P，支持触控操作，屏幕比例为16:9，可视角度≥178°；CPU内核数不低于4个；最大频率不低于2.4 GHz；亮度不低于450cd/m2，屏幕响应时间需小于8ms</w:t>
            </w:r>
          </w:p>
        </w:tc>
      </w:tr>
      <w:tr w14:paraId="68DB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4D8CBD8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17.2</w:t>
            </w:r>
          </w:p>
        </w:tc>
        <w:tc>
          <w:tcPr>
            <w:tcW w:w="1837" w:type="dxa"/>
            <w:vAlign w:val="center"/>
          </w:tcPr>
          <w:p w14:paraId="2B4F451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基本要求</w:t>
            </w:r>
          </w:p>
        </w:tc>
        <w:tc>
          <w:tcPr>
            <w:tcW w:w="6199" w:type="dxa"/>
            <w:vAlign w:val="center"/>
          </w:tcPr>
          <w:p w14:paraId="1B1AA940">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显示器需具备GAMMA曲线调教功能；使用寿命不小于30000小时，具备数据控制接口RS232，RJ45，支持视频输入接口HDMI；具备USB2.0接口；提供挂墙安装组件；可通过安装数字化系统软件实现和手术室的视音频会议</w:t>
            </w:r>
          </w:p>
        </w:tc>
      </w:tr>
      <w:tr w14:paraId="68A4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4FD17A2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17.3</w:t>
            </w:r>
          </w:p>
        </w:tc>
        <w:tc>
          <w:tcPr>
            <w:tcW w:w="1837" w:type="dxa"/>
            <w:vAlign w:val="center"/>
          </w:tcPr>
          <w:p w14:paraId="32481B6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可支持配置</w:t>
            </w:r>
          </w:p>
        </w:tc>
        <w:tc>
          <w:tcPr>
            <w:tcW w:w="6199" w:type="dxa"/>
            <w:vAlign w:val="center"/>
          </w:tcPr>
          <w:p w14:paraId="134F6A0D">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支持前置1000W像素摄像头，支持麦克风、音响</w:t>
            </w:r>
          </w:p>
        </w:tc>
      </w:tr>
      <w:tr w14:paraId="4674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F5E9EE6">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18</w:t>
            </w:r>
          </w:p>
        </w:tc>
        <w:tc>
          <w:tcPr>
            <w:tcW w:w="1837" w:type="dxa"/>
            <w:vAlign w:val="center"/>
          </w:tcPr>
          <w:p w14:paraId="6C02DD74">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单元65寸1.8mm超窄边8连屏（2*3）拼接显示器系统</w:t>
            </w:r>
          </w:p>
        </w:tc>
        <w:tc>
          <w:tcPr>
            <w:tcW w:w="6199" w:type="dxa"/>
            <w:vAlign w:val="center"/>
          </w:tcPr>
          <w:p w14:paraId="44F6ADBE">
            <w:pPr>
              <w:spacing w:line="360" w:lineRule="exact"/>
              <w:rPr>
                <w:rFonts w:hint="eastAsia" w:ascii="仿宋" w:hAnsi="仿宋" w:eastAsia="仿宋" w:cs="仿宋"/>
                <w:b/>
                <w:bCs/>
                <w:color w:val="auto"/>
                <w:sz w:val="20"/>
                <w:szCs w:val="20"/>
                <w:highlight w:val="none"/>
              </w:rPr>
            </w:pPr>
          </w:p>
        </w:tc>
      </w:tr>
      <w:tr w14:paraId="3CC9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6F79295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w:t>
            </w:r>
            <w:r>
              <w:rPr>
                <w:rFonts w:hint="eastAsia" w:ascii="仿宋" w:hAnsi="仿宋" w:eastAsia="仿宋" w:cs="仿宋"/>
                <w:color w:val="auto"/>
                <w:sz w:val="20"/>
                <w:szCs w:val="20"/>
                <w:highlight w:val="none"/>
              </w:rPr>
              <w:t>18.1</w:t>
            </w:r>
          </w:p>
        </w:tc>
        <w:tc>
          <w:tcPr>
            <w:tcW w:w="1837" w:type="dxa"/>
            <w:vAlign w:val="center"/>
          </w:tcPr>
          <w:p w14:paraId="1633C4B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基本要求</w:t>
            </w:r>
          </w:p>
        </w:tc>
        <w:tc>
          <w:tcPr>
            <w:tcW w:w="6199" w:type="dxa"/>
            <w:vAlign w:val="center"/>
          </w:tcPr>
          <w:p w14:paraId="5B0DD5A0">
            <w:pPr>
              <w:spacing w:line="360" w:lineRule="exact"/>
              <w:rPr>
                <w:rFonts w:hint="eastAsia" w:ascii="仿宋" w:hAnsi="仿宋" w:eastAsia="仿宋" w:cs="仿宋"/>
                <w:b/>
                <w:bCs/>
                <w:color w:val="auto"/>
                <w:sz w:val="20"/>
                <w:szCs w:val="20"/>
                <w:highlight w:val="none"/>
              </w:rPr>
            </w:pPr>
            <w:r>
              <w:rPr>
                <w:rFonts w:hint="eastAsia" w:ascii="仿宋" w:hAnsi="仿宋" w:eastAsia="仿宋" w:cs="仿宋"/>
                <w:color w:val="auto"/>
                <w:sz w:val="20"/>
                <w:szCs w:val="20"/>
                <w:highlight w:val="none"/>
              </w:rPr>
              <w:t>8块支持4K/60帧，65寸液晶面板，按照2*4双列排布，满足双边拼缝不超过1.8mm</w:t>
            </w:r>
          </w:p>
        </w:tc>
      </w:tr>
      <w:tr w14:paraId="2350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111DF59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18.2</w:t>
            </w:r>
          </w:p>
        </w:tc>
        <w:tc>
          <w:tcPr>
            <w:tcW w:w="1837" w:type="dxa"/>
            <w:vAlign w:val="center"/>
          </w:tcPr>
          <w:p w14:paraId="4563118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图像控制系统</w:t>
            </w:r>
          </w:p>
        </w:tc>
        <w:tc>
          <w:tcPr>
            <w:tcW w:w="6199" w:type="dxa"/>
            <w:vAlign w:val="center"/>
          </w:tcPr>
          <w:p w14:paraId="04A40498">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在机柜处配置12进12出4K/P60图像拼接处理模块，支持嵌入式结构，支持全年不关机，支持信号加强。4K矩阵系统，支持插板式模块化结构。含图像控制系统一套，包含无线移动平板完成屏幕信号的切换控制</w:t>
            </w:r>
          </w:p>
        </w:tc>
      </w:tr>
      <w:tr w14:paraId="1CAE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40FC6C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18.3</w:t>
            </w:r>
          </w:p>
        </w:tc>
        <w:tc>
          <w:tcPr>
            <w:tcW w:w="1837" w:type="dxa"/>
            <w:vAlign w:val="center"/>
          </w:tcPr>
          <w:p w14:paraId="1C48CF2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支架接口</w:t>
            </w:r>
          </w:p>
        </w:tc>
        <w:tc>
          <w:tcPr>
            <w:tcW w:w="6199" w:type="dxa"/>
            <w:vAlign w:val="center"/>
          </w:tcPr>
          <w:p w14:paraId="303FDA85">
            <w:pPr>
              <w:spacing w:line="360" w:lineRule="exact"/>
              <w:rPr>
                <w:rFonts w:hint="eastAsia" w:ascii="仿宋" w:hAnsi="仿宋" w:eastAsia="仿宋" w:cs="仿宋"/>
                <w:b/>
                <w:bCs/>
                <w:color w:val="auto"/>
                <w:sz w:val="20"/>
                <w:szCs w:val="20"/>
                <w:highlight w:val="none"/>
              </w:rPr>
            </w:pPr>
            <w:r>
              <w:rPr>
                <w:rFonts w:hint="eastAsia" w:ascii="仿宋" w:hAnsi="仿宋" w:eastAsia="仿宋" w:cs="仿宋"/>
                <w:color w:val="auto"/>
                <w:sz w:val="20"/>
                <w:szCs w:val="20"/>
                <w:highlight w:val="none"/>
              </w:rPr>
              <w:t>配置安装支架及线缆，匹配14根15米HDMI 2.0，10根从拼接屏穿线至机柜处，4根从拼接屏穿线至中控指挥台。</w:t>
            </w:r>
          </w:p>
        </w:tc>
      </w:tr>
      <w:tr w14:paraId="061F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C0DECBF">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19</w:t>
            </w:r>
          </w:p>
        </w:tc>
        <w:tc>
          <w:tcPr>
            <w:tcW w:w="1837" w:type="dxa"/>
            <w:vAlign w:val="center"/>
          </w:tcPr>
          <w:p w14:paraId="3D406841">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85英寸4K触摸会议一体机</w:t>
            </w:r>
          </w:p>
        </w:tc>
        <w:tc>
          <w:tcPr>
            <w:tcW w:w="6199" w:type="dxa"/>
            <w:vAlign w:val="center"/>
          </w:tcPr>
          <w:p w14:paraId="6AEC4BAB">
            <w:pPr>
              <w:spacing w:line="276" w:lineRule="auto"/>
              <w:jc w:val="left"/>
              <w:rPr>
                <w:rFonts w:hint="eastAsia" w:ascii="仿宋" w:hAnsi="仿宋" w:eastAsia="仿宋" w:cs="仿宋"/>
                <w:color w:val="auto"/>
                <w:sz w:val="20"/>
                <w:szCs w:val="20"/>
                <w:highlight w:val="none"/>
              </w:rPr>
            </w:pPr>
          </w:p>
        </w:tc>
      </w:tr>
      <w:tr w14:paraId="2245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0ED2EFF8">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19.1</w:t>
            </w:r>
          </w:p>
        </w:tc>
        <w:tc>
          <w:tcPr>
            <w:tcW w:w="1837" w:type="dxa"/>
            <w:vAlign w:val="center"/>
          </w:tcPr>
          <w:p w14:paraId="4D4CC314">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基本性能</w:t>
            </w:r>
          </w:p>
        </w:tc>
        <w:tc>
          <w:tcPr>
            <w:tcW w:w="6199" w:type="dxa"/>
            <w:vAlign w:val="center"/>
          </w:tcPr>
          <w:p w14:paraId="14E4A2C5">
            <w:pPr>
              <w:spacing w:line="276" w:lineRule="auto"/>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屏幕尺寸不小于85英寸；CPU内核数不低于4个；最大频率不低于2.4 GHz</w:t>
            </w:r>
          </w:p>
        </w:tc>
      </w:tr>
      <w:tr w14:paraId="5CA6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1962089">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19.2</w:t>
            </w:r>
          </w:p>
        </w:tc>
        <w:tc>
          <w:tcPr>
            <w:tcW w:w="1837" w:type="dxa"/>
            <w:vAlign w:val="center"/>
          </w:tcPr>
          <w:p w14:paraId="076B000A">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显示规格</w:t>
            </w:r>
          </w:p>
        </w:tc>
        <w:tc>
          <w:tcPr>
            <w:tcW w:w="6199" w:type="dxa"/>
            <w:vAlign w:val="center"/>
          </w:tcPr>
          <w:p w14:paraId="2EED3210">
            <w:pPr>
              <w:spacing w:line="276" w:lineRule="auto"/>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分辨率支持不低于3840x2160P，支持触控操作，屏幕比例为16:9，可视角度≥178°；屏幕亮度不低于450cd/m2，屏幕响应时间需小于8ms；显示器需具备GAMMA曲线调教功能</w:t>
            </w:r>
          </w:p>
        </w:tc>
      </w:tr>
      <w:tr w14:paraId="63F2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2D78F63">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19.3</w:t>
            </w:r>
          </w:p>
        </w:tc>
        <w:tc>
          <w:tcPr>
            <w:tcW w:w="1837" w:type="dxa"/>
            <w:vAlign w:val="center"/>
          </w:tcPr>
          <w:p w14:paraId="52A4B84F">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寿命接口</w:t>
            </w:r>
          </w:p>
        </w:tc>
        <w:tc>
          <w:tcPr>
            <w:tcW w:w="6199" w:type="dxa"/>
            <w:vAlign w:val="center"/>
          </w:tcPr>
          <w:p w14:paraId="143F858B">
            <w:pPr>
              <w:spacing w:line="276" w:lineRule="auto"/>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使用寿命不小于30000小时，具备数据控制接口RS232，RJ45，支持视频输入接口HDMI；具备USB2.0接口。提供挂墙安装组件</w:t>
            </w:r>
          </w:p>
        </w:tc>
      </w:tr>
      <w:tr w14:paraId="4C44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97A1798">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19.4</w:t>
            </w:r>
          </w:p>
        </w:tc>
        <w:tc>
          <w:tcPr>
            <w:tcW w:w="1837" w:type="dxa"/>
            <w:vAlign w:val="center"/>
          </w:tcPr>
          <w:p w14:paraId="5BE82E2F">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会议支持</w:t>
            </w:r>
          </w:p>
        </w:tc>
        <w:tc>
          <w:tcPr>
            <w:tcW w:w="6199" w:type="dxa"/>
            <w:vAlign w:val="center"/>
          </w:tcPr>
          <w:p w14:paraId="7540A699">
            <w:pPr>
              <w:spacing w:line="276" w:lineRule="auto"/>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支持前置1000W像素摄像头，支持麦克风、音响；可通过安装数字化系统软件实现和手术室的视音频会议</w:t>
            </w:r>
          </w:p>
        </w:tc>
      </w:tr>
      <w:tr w14:paraId="35EA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16B77B1">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20</w:t>
            </w:r>
          </w:p>
        </w:tc>
        <w:tc>
          <w:tcPr>
            <w:tcW w:w="1837" w:type="dxa"/>
            <w:vAlign w:val="center"/>
          </w:tcPr>
          <w:p w14:paraId="42DBB18B">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75英寸4K高色域抗反光电视屏</w:t>
            </w:r>
          </w:p>
        </w:tc>
        <w:tc>
          <w:tcPr>
            <w:tcW w:w="6199" w:type="dxa"/>
            <w:vAlign w:val="center"/>
          </w:tcPr>
          <w:p w14:paraId="0136FF3C">
            <w:pPr>
              <w:spacing w:line="276" w:lineRule="auto"/>
              <w:jc w:val="left"/>
              <w:rPr>
                <w:rFonts w:hint="eastAsia" w:ascii="仿宋" w:hAnsi="仿宋" w:eastAsia="仿宋" w:cs="仿宋"/>
                <w:color w:val="auto"/>
                <w:sz w:val="20"/>
                <w:szCs w:val="20"/>
                <w:highlight w:val="none"/>
              </w:rPr>
            </w:pPr>
          </w:p>
        </w:tc>
      </w:tr>
      <w:tr w14:paraId="2527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B05E3B6">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20．1</w:t>
            </w:r>
          </w:p>
        </w:tc>
        <w:tc>
          <w:tcPr>
            <w:tcW w:w="1837" w:type="dxa"/>
            <w:vAlign w:val="center"/>
          </w:tcPr>
          <w:p w14:paraId="2BFDAA4A">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基本性能</w:t>
            </w:r>
          </w:p>
        </w:tc>
        <w:tc>
          <w:tcPr>
            <w:tcW w:w="6199" w:type="dxa"/>
            <w:vAlign w:val="center"/>
          </w:tcPr>
          <w:p w14:paraId="3D7AA563">
            <w:pPr>
              <w:spacing w:line="276" w:lineRule="auto"/>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屏幕尺寸不小于75英寸；CPU内核数不低于4个；最大频率不低于2.4 GHz</w:t>
            </w:r>
          </w:p>
        </w:tc>
      </w:tr>
      <w:tr w14:paraId="7EDC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92ED496">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20．2</w:t>
            </w:r>
          </w:p>
        </w:tc>
        <w:tc>
          <w:tcPr>
            <w:tcW w:w="1837" w:type="dxa"/>
            <w:vAlign w:val="center"/>
          </w:tcPr>
          <w:p w14:paraId="149E7D20">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显示规格</w:t>
            </w:r>
          </w:p>
        </w:tc>
        <w:tc>
          <w:tcPr>
            <w:tcW w:w="6199" w:type="dxa"/>
            <w:vAlign w:val="center"/>
          </w:tcPr>
          <w:p w14:paraId="1F32E734">
            <w:pPr>
              <w:spacing w:line="276" w:lineRule="auto"/>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分辨率支持不低于3840x2160P，屏幕比例为16:9，可视角度≥178°；屏幕亮度不低于500cd/m2，屏幕响应时间需小于8ms；支持96%DCI-P3色域，16Bit背光动态调整；</w:t>
            </w:r>
          </w:p>
        </w:tc>
      </w:tr>
      <w:tr w14:paraId="071A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6C410499">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20．3</w:t>
            </w:r>
          </w:p>
        </w:tc>
        <w:tc>
          <w:tcPr>
            <w:tcW w:w="1837" w:type="dxa"/>
            <w:vAlign w:val="center"/>
          </w:tcPr>
          <w:p w14:paraId="155A51C1">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寿命接口</w:t>
            </w:r>
          </w:p>
        </w:tc>
        <w:tc>
          <w:tcPr>
            <w:tcW w:w="6199" w:type="dxa"/>
            <w:vAlign w:val="center"/>
          </w:tcPr>
          <w:p w14:paraId="44FF0971">
            <w:pPr>
              <w:spacing w:line="276" w:lineRule="auto"/>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使用寿命不小于30000小时，具备HDMI2.1接口，USB2、3.0接口，数字音频输出接口。提供挂墙安装组件</w:t>
            </w:r>
          </w:p>
        </w:tc>
      </w:tr>
      <w:tr w14:paraId="0F94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0E7C8B07">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21</w:t>
            </w:r>
          </w:p>
        </w:tc>
        <w:tc>
          <w:tcPr>
            <w:tcW w:w="1837" w:type="dxa"/>
            <w:vAlign w:val="center"/>
          </w:tcPr>
          <w:p w14:paraId="5AEE4A08">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100英寸4K非触摸会议电视平板一体机</w:t>
            </w:r>
          </w:p>
        </w:tc>
        <w:tc>
          <w:tcPr>
            <w:tcW w:w="6199" w:type="dxa"/>
            <w:vAlign w:val="center"/>
          </w:tcPr>
          <w:p w14:paraId="029B017B">
            <w:pPr>
              <w:spacing w:line="276" w:lineRule="auto"/>
              <w:jc w:val="left"/>
              <w:rPr>
                <w:rFonts w:hint="eastAsia" w:ascii="仿宋" w:hAnsi="仿宋" w:eastAsia="仿宋" w:cs="仿宋"/>
                <w:color w:val="auto"/>
                <w:sz w:val="20"/>
                <w:szCs w:val="20"/>
                <w:highlight w:val="none"/>
              </w:rPr>
            </w:pPr>
          </w:p>
        </w:tc>
      </w:tr>
      <w:tr w14:paraId="453F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0016C82">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21.1</w:t>
            </w:r>
          </w:p>
        </w:tc>
        <w:tc>
          <w:tcPr>
            <w:tcW w:w="1837" w:type="dxa"/>
            <w:vAlign w:val="center"/>
          </w:tcPr>
          <w:p w14:paraId="61AC8706">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基本性能</w:t>
            </w:r>
          </w:p>
        </w:tc>
        <w:tc>
          <w:tcPr>
            <w:tcW w:w="6199" w:type="dxa"/>
            <w:vAlign w:val="center"/>
          </w:tcPr>
          <w:p w14:paraId="32C4DC2E">
            <w:pPr>
              <w:spacing w:line="276" w:lineRule="auto"/>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屏幕尺寸不小于100英寸；CPU内核数不低于4个；最大刷新频率不低于288Hz；显示技术为miniLED</w:t>
            </w:r>
          </w:p>
        </w:tc>
      </w:tr>
      <w:tr w14:paraId="6883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32F25DC3">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21.2</w:t>
            </w:r>
          </w:p>
        </w:tc>
        <w:tc>
          <w:tcPr>
            <w:tcW w:w="1837" w:type="dxa"/>
            <w:vAlign w:val="center"/>
          </w:tcPr>
          <w:p w14:paraId="1703D922">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显示规格</w:t>
            </w:r>
          </w:p>
        </w:tc>
        <w:tc>
          <w:tcPr>
            <w:tcW w:w="6199" w:type="dxa"/>
            <w:vAlign w:val="center"/>
          </w:tcPr>
          <w:p w14:paraId="09ADB849">
            <w:pPr>
              <w:spacing w:line="276" w:lineRule="auto"/>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分辨率支持不低于3840x2160P，屏幕比例为16:9，可视角度≥178°；屏幕亮度不低于600cd/m2；支持HDR10；支持无线投屏</w:t>
            </w:r>
          </w:p>
        </w:tc>
      </w:tr>
      <w:tr w14:paraId="7E55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1527CF1C">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21.3</w:t>
            </w:r>
          </w:p>
        </w:tc>
        <w:tc>
          <w:tcPr>
            <w:tcW w:w="1837" w:type="dxa"/>
            <w:vAlign w:val="center"/>
          </w:tcPr>
          <w:p w14:paraId="33410F35">
            <w:pPr>
              <w:spacing w:line="276" w:lineRule="auto"/>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寿命接口</w:t>
            </w:r>
          </w:p>
        </w:tc>
        <w:tc>
          <w:tcPr>
            <w:tcW w:w="6199" w:type="dxa"/>
            <w:vAlign w:val="center"/>
          </w:tcPr>
          <w:p w14:paraId="61F13A45">
            <w:pPr>
              <w:spacing w:line="276" w:lineRule="auto"/>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使用寿命不小于30000小时，运行功率不高于450W；具备HDMI2.1接口，USB2、3.0接口，数字音频输出接口。提供挂墙安装组件</w:t>
            </w:r>
          </w:p>
        </w:tc>
      </w:tr>
      <w:tr w14:paraId="6FC9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2AF6ED4C">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22</w:t>
            </w:r>
          </w:p>
        </w:tc>
        <w:tc>
          <w:tcPr>
            <w:tcW w:w="1837" w:type="dxa"/>
            <w:vAlign w:val="center"/>
          </w:tcPr>
          <w:p w14:paraId="5DFA37E0">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音频处理器</w:t>
            </w:r>
          </w:p>
        </w:tc>
        <w:tc>
          <w:tcPr>
            <w:tcW w:w="6199" w:type="dxa"/>
            <w:vAlign w:val="center"/>
          </w:tcPr>
          <w:p w14:paraId="633E8036">
            <w:pPr>
              <w:spacing w:line="360" w:lineRule="exact"/>
              <w:rPr>
                <w:rFonts w:hint="eastAsia" w:ascii="仿宋" w:hAnsi="仿宋" w:eastAsia="仿宋" w:cs="仿宋"/>
                <w:b/>
                <w:bCs/>
                <w:color w:val="auto"/>
                <w:sz w:val="20"/>
                <w:szCs w:val="20"/>
                <w:highlight w:val="none"/>
              </w:rPr>
            </w:pPr>
          </w:p>
        </w:tc>
      </w:tr>
      <w:tr w14:paraId="242F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22C3F11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22.1</w:t>
            </w:r>
          </w:p>
        </w:tc>
        <w:tc>
          <w:tcPr>
            <w:tcW w:w="1837" w:type="dxa"/>
            <w:vAlign w:val="center"/>
          </w:tcPr>
          <w:p w14:paraId="5205E90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基本要求</w:t>
            </w:r>
          </w:p>
        </w:tc>
        <w:tc>
          <w:tcPr>
            <w:tcW w:w="6199" w:type="dxa"/>
            <w:vAlign w:val="center"/>
          </w:tcPr>
          <w:p w14:paraId="47C9CFA4">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不低于6个麦克风/线路输入和4个线路输出；6个通道的AEC--声学回声消除，自动回声，自动增益</w:t>
            </w:r>
          </w:p>
        </w:tc>
      </w:tr>
      <w:tr w14:paraId="17D2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3AB293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22.2</w:t>
            </w:r>
          </w:p>
        </w:tc>
        <w:tc>
          <w:tcPr>
            <w:tcW w:w="1837" w:type="dxa"/>
            <w:vAlign w:val="center"/>
          </w:tcPr>
          <w:p w14:paraId="6858ED3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功能模块整合</w:t>
            </w:r>
          </w:p>
        </w:tc>
        <w:tc>
          <w:tcPr>
            <w:tcW w:w="6199" w:type="dxa"/>
            <w:vAlign w:val="center"/>
          </w:tcPr>
          <w:p w14:paraId="3691F0DD">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将会议室音频收集、处理和输出功能集成在一个功能模块中,整合了无线麦克风,音频处理器，功放设备，上述接口整合在一个功能模块中</w:t>
            </w:r>
          </w:p>
        </w:tc>
      </w:tr>
      <w:tr w14:paraId="5A2F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083118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22.3</w:t>
            </w:r>
          </w:p>
        </w:tc>
        <w:tc>
          <w:tcPr>
            <w:tcW w:w="1837" w:type="dxa"/>
            <w:vAlign w:val="center"/>
          </w:tcPr>
          <w:p w14:paraId="6F44376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USB音频接口</w:t>
            </w:r>
          </w:p>
        </w:tc>
        <w:tc>
          <w:tcPr>
            <w:tcW w:w="6199" w:type="dxa"/>
            <w:vAlign w:val="center"/>
          </w:tcPr>
          <w:p w14:paraId="270DDEF5">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包括一个USB音频接口，可提供多达4个数字音频的发送和返回</w:t>
            </w:r>
          </w:p>
        </w:tc>
      </w:tr>
      <w:tr w14:paraId="511D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BCE826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22.4</w:t>
            </w:r>
          </w:p>
        </w:tc>
        <w:tc>
          <w:tcPr>
            <w:tcW w:w="1837" w:type="dxa"/>
            <w:vAlign w:val="center"/>
          </w:tcPr>
          <w:p w14:paraId="1C6CF8A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音频网络连接</w:t>
            </w:r>
          </w:p>
        </w:tc>
        <w:tc>
          <w:tcPr>
            <w:tcW w:w="6199" w:type="dxa"/>
            <w:vAlign w:val="center"/>
          </w:tcPr>
          <w:p w14:paraId="1B8B7BE7">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支持Dante音频网络连接</w:t>
            </w:r>
          </w:p>
        </w:tc>
      </w:tr>
      <w:tr w14:paraId="427F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64C6C4C5">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23</w:t>
            </w:r>
          </w:p>
        </w:tc>
        <w:tc>
          <w:tcPr>
            <w:tcW w:w="1837" w:type="dxa"/>
            <w:vAlign w:val="center"/>
          </w:tcPr>
          <w:p w14:paraId="3877A4F0">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扩音音箱</w:t>
            </w:r>
          </w:p>
        </w:tc>
        <w:tc>
          <w:tcPr>
            <w:tcW w:w="6199" w:type="dxa"/>
            <w:vAlign w:val="center"/>
          </w:tcPr>
          <w:p w14:paraId="60FF7030">
            <w:pPr>
              <w:spacing w:line="360" w:lineRule="exact"/>
              <w:rPr>
                <w:rFonts w:hint="eastAsia" w:ascii="仿宋" w:hAnsi="仿宋" w:eastAsia="仿宋" w:cs="仿宋"/>
                <w:b/>
                <w:bCs/>
                <w:color w:val="auto"/>
                <w:sz w:val="20"/>
                <w:szCs w:val="20"/>
                <w:highlight w:val="none"/>
              </w:rPr>
            </w:pPr>
          </w:p>
        </w:tc>
      </w:tr>
      <w:tr w14:paraId="4D44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3E25AC1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23.1</w:t>
            </w:r>
          </w:p>
        </w:tc>
        <w:tc>
          <w:tcPr>
            <w:tcW w:w="1837" w:type="dxa"/>
            <w:vAlign w:val="center"/>
          </w:tcPr>
          <w:p w14:paraId="46475AF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安装方式</w:t>
            </w:r>
          </w:p>
        </w:tc>
        <w:tc>
          <w:tcPr>
            <w:tcW w:w="6199" w:type="dxa"/>
            <w:vAlign w:val="center"/>
          </w:tcPr>
          <w:p w14:paraId="3A78F465">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吸顶方式，医护人员佩戴无线话筒实现语音互动</w:t>
            </w:r>
          </w:p>
        </w:tc>
      </w:tr>
      <w:tr w14:paraId="3949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A906CF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23.2</w:t>
            </w:r>
          </w:p>
        </w:tc>
        <w:tc>
          <w:tcPr>
            <w:tcW w:w="1837" w:type="dxa"/>
            <w:vAlign w:val="center"/>
          </w:tcPr>
          <w:p w14:paraId="71B0458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额定阻抗</w:t>
            </w:r>
          </w:p>
        </w:tc>
        <w:tc>
          <w:tcPr>
            <w:tcW w:w="6199" w:type="dxa"/>
            <w:vAlign w:val="center"/>
          </w:tcPr>
          <w:p w14:paraId="1267F5B5">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8 Ω </w:t>
            </w:r>
          </w:p>
        </w:tc>
      </w:tr>
      <w:tr w14:paraId="2C5A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60542D9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23.3</w:t>
            </w:r>
          </w:p>
        </w:tc>
        <w:tc>
          <w:tcPr>
            <w:tcW w:w="1837" w:type="dxa"/>
            <w:vAlign w:val="center"/>
          </w:tcPr>
          <w:p w14:paraId="186716A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音频频率范围</w:t>
            </w:r>
          </w:p>
        </w:tc>
        <w:tc>
          <w:tcPr>
            <w:tcW w:w="6199" w:type="dxa"/>
            <w:vAlign w:val="center"/>
          </w:tcPr>
          <w:p w14:paraId="45DC37F1">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50 Hz ~ 20 kHz</w:t>
            </w:r>
          </w:p>
        </w:tc>
      </w:tr>
      <w:tr w14:paraId="4C9A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3811B80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23.4</w:t>
            </w:r>
          </w:p>
        </w:tc>
        <w:tc>
          <w:tcPr>
            <w:tcW w:w="1837" w:type="dxa"/>
            <w:vAlign w:val="center"/>
          </w:tcPr>
          <w:p w14:paraId="1ACCB16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功率</w:t>
            </w:r>
          </w:p>
        </w:tc>
        <w:tc>
          <w:tcPr>
            <w:tcW w:w="6199" w:type="dxa"/>
            <w:vAlign w:val="center"/>
          </w:tcPr>
          <w:p w14:paraId="39BE178E">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具备25 W连续粉噪功率，50 W 连续节目功率，110° 锥形辐射</w:t>
            </w:r>
          </w:p>
        </w:tc>
      </w:tr>
      <w:tr w14:paraId="7085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B87CB95">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24</w:t>
            </w:r>
          </w:p>
        </w:tc>
        <w:tc>
          <w:tcPr>
            <w:tcW w:w="1837" w:type="dxa"/>
            <w:vAlign w:val="center"/>
          </w:tcPr>
          <w:p w14:paraId="0399F404">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音频功放系统</w:t>
            </w:r>
          </w:p>
        </w:tc>
        <w:tc>
          <w:tcPr>
            <w:tcW w:w="6199" w:type="dxa"/>
            <w:vAlign w:val="center"/>
          </w:tcPr>
          <w:p w14:paraId="4432EB9C">
            <w:pPr>
              <w:spacing w:line="360" w:lineRule="exact"/>
              <w:rPr>
                <w:rFonts w:hint="eastAsia" w:ascii="仿宋" w:hAnsi="仿宋" w:eastAsia="仿宋" w:cs="仿宋"/>
                <w:b/>
                <w:bCs/>
                <w:color w:val="auto"/>
                <w:sz w:val="20"/>
                <w:szCs w:val="20"/>
                <w:highlight w:val="none"/>
              </w:rPr>
            </w:pPr>
          </w:p>
        </w:tc>
      </w:tr>
      <w:tr w14:paraId="6168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4FBE0F8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24.1</w:t>
            </w:r>
          </w:p>
        </w:tc>
        <w:tc>
          <w:tcPr>
            <w:tcW w:w="1837" w:type="dxa"/>
            <w:vAlign w:val="center"/>
          </w:tcPr>
          <w:p w14:paraId="4965A20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功率放大器</w:t>
            </w:r>
          </w:p>
        </w:tc>
        <w:tc>
          <w:tcPr>
            <w:tcW w:w="6199" w:type="dxa"/>
            <w:vAlign w:val="center"/>
          </w:tcPr>
          <w:p w14:paraId="5B04C78B">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支持单声道、双声道和多通道功率放大器，支持平衡或非平衡的单声道或立体声</w:t>
            </w:r>
          </w:p>
        </w:tc>
      </w:tr>
      <w:tr w14:paraId="48FB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vAlign w:val="center"/>
          </w:tcPr>
          <w:p w14:paraId="700B44E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24.2</w:t>
            </w:r>
          </w:p>
        </w:tc>
        <w:tc>
          <w:tcPr>
            <w:tcW w:w="1837" w:type="dxa"/>
            <w:vAlign w:val="center"/>
          </w:tcPr>
          <w:p w14:paraId="7B601C2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噪声与信噪比</w:t>
            </w:r>
          </w:p>
        </w:tc>
        <w:tc>
          <w:tcPr>
            <w:tcW w:w="6199" w:type="dxa"/>
            <w:vAlign w:val="center"/>
          </w:tcPr>
          <w:p w14:paraId="3123E459">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总谐波失真加噪声比小于0.05%，信噪比大于105 dB</w:t>
            </w:r>
          </w:p>
        </w:tc>
      </w:tr>
      <w:tr w14:paraId="0A84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04B4FAA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24.3</w:t>
            </w:r>
          </w:p>
        </w:tc>
        <w:tc>
          <w:tcPr>
            <w:tcW w:w="1837" w:type="dxa"/>
            <w:vAlign w:val="center"/>
          </w:tcPr>
          <w:p w14:paraId="2DFFA7E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保护电路</w:t>
            </w:r>
          </w:p>
        </w:tc>
        <w:tc>
          <w:tcPr>
            <w:tcW w:w="6199" w:type="dxa"/>
            <w:vAlign w:val="center"/>
          </w:tcPr>
          <w:p w14:paraId="43D9830A">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多个保护电路，在过度削波、输出短路、热过载或DC故障时激活</w:t>
            </w:r>
          </w:p>
        </w:tc>
      </w:tr>
      <w:tr w14:paraId="6E11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2A2996B3">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25</w:t>
            </w:r>
          </w:p>
        </w:tc>
        <w:tc>
          <w:tcPr>
            <w:tcW w:w="1837" w:type="dxa"/>
            <w:vAlign w:val="center"/>
          </w:tcPr>
          <w:p w14:paraId="18870DF2">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领夹无线麦克风</w:t>
            </w:r>
          </w:p>
        </w:tc>
        <w:tc>
          <w:tcPr>
            <w:tcW w:w="6199" w:type="dxa"/>
            <w:vAlign w:val="center"/>
          </w:tcPr>
          <w:p w14:paraId="102ECA3E">
            <w:pPr>
              <w:spacing w:line="360" w:lineRule="exact"/>
              <w:rPr>
                <w:rFonts w:hint="eastAsia" w:ascii="仿宋" w:hAnsi="仿宋" w:eastAsia="仿宋" w:cs="仿宋"/>
                <w:b/>
                <w:bCs/>
                <w:color w:val="auto"/>
                <w:sz w:val="20"/>
                <w:szCs w:val="20"/>
                <w:highlight w:val="none"/>
              </w:rPr>
            </w:pPr>
          </w:p>
        </w:tc>
      </w:tr>
      <w:tr w14:paraId="5873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2E3793A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25.1</w:t>
            </w:r>
          </w:p>
        </w:tc>
        <w:tc>
          <w:tcPr>
            <w:tcW w:w="1837" w:type="dxa"/>
            <w:vAlign w:val="center"/>
          </w:tcPr>
          <w:p w14:paraId="2528E3A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工作频点</w:t>
            </w:r>
          </w:p>
        </w:tc>
        <w:tc>
          <w:tcPr>
            <w:tcW w:w="6199" w:type="dxa"/>
            <w:vAlign w:val="center"/>
          </w:tcPr>
          <w:p w14:paraId="2CB28A63">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工作频点250KHz为步进可调；工作频点可调范围不低于25MHz</w:t>
            </w:r>
          </w:p>
        </w:tc>
      </w:tr>
      <w:tr w14:paraId="3A51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693717B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25.2</w:t>
            </w:r>
          </w:p>
        </w:tc>
        <w:tc>
          <w:tcPr>
            <w:tcW w:w="1837" w:type="dxa"/>
            <w:vAlign w:val="center"/>
          </w:tcPr>
          <w:p w14:paraId="01953AD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信噪比</w:t>
            </w:r>
          </w:p>
        </w:tc>
        <w:tc>
          <w:tcPr>
            <w:tcW w:w="6199" w:type="dxa"/>
            <w:vAlign w:val="center"/>
          </w:tcPr>
          <w:p w14:paraId="54FE4961">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 95 dB(A)</w:t>
            </w:r>
          </w:p>
        </w:tc>
      </w:tr>
      <w:tr w14:paraId="4FD5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2EAE84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25.3</w:t>
            </w:r>
          </w:p>
        </w:tc>
        <w:tc>
          <w:tcPr>
            <w:tcW w:w="1837" w:type="dxa"/>
            <w:vAlign w:val="center"/>
          </w:tcPr>
          <w:p w14:paraId="38DDEC1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数字锁相环多信道频率合成技术</w:t>
            </w:r>
          </w:p>
        </w:tc>
        <w:tc>
          <w:tcPr>
            <w:tcW w:w="6199" w:type="dxa"/>
            <w:vAlign w:val="center"/>
          </w:tcPr>
          <w:p w14:paraId="34B6472E">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可提供多达200个信道选择，方便多台设备同时使用</w:t>
            </w:r>
          </w:p>
        </w:tc>
      </w:tr>
      <w:tr w14:paraId="53CE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4D5B5FC8">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26</w:t>
            </w:r>
          </w:p>
        </w:tc>
        <w:tc>
          <w:tcPr>
            <w:tcW w:w="1837" w:type="dxa"/>
            <w:vAlign w:val="center"/>
          </w:tcPr>
          <w:p w14:paraId="45766A40">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手持无线麦克风</w:t>
            </w:r>
          </w:p>
        </w:tc>
        <w:tc>
          <w:tcPr>
            <w:tcW w:w="6199" w:type="dxa"/>
            <w:vAlign w:val="center"/>
          </w:tcPr>
          <w:p w14:paraId="6AD6F6FC">
            <w:pPr>
              <w:spacing w:line="360" w:lineRule="exact"/>
              <w:rPr>
                <w:rFonts w:hint="eastAsia" w:ascii="仿宋" w:hAnsi="仿宋" w:eastAsia="仿宋" w:cs="仿宋"/>
                <w:b/>
                <w:bCs/>
                <w:color w:val="auto"/>
                <w:sz w:val="20"/>
                <w:szCs w:val="20"/>
                <w:highlight w:val="none"/>
              </w:rPr>
            </w:pPr>
          </w:p>
        </w:tc>
      </w:tr>
      <w:tr w14:paraId="6CE0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2187E76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26.1</w:t>
            </w:r>
          </w:p>
        </w:tc>
        <w:tc>
          <w:tcPr>
            <w:tcW w:w="1837" w:type="dxa"/>
            <w:vAlign w:val="center"/>
          </w:tcPr>
          <w:p w14:paraId="75C4FD5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工作频点可调范围</w:t>
            </w:r>
          </w:p>
        </w:tc>
        <w:tc>
          <w:tcPr>
            <w:tcW w:w="6199" w:type="dxa"/>
            <w:vAlign w:val="center"/>
          </w:tcPr>
          <w:p w14:paraId="21379872">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≥50MHz</w:t>
            </w:r>
          </w:p>
        </w:tc>
      </w:tr>
      <w:tr w14:paraId="410E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6CC20C2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26.2</w:t>
            </w:r>
          </w:p>
        </w:tc>
        <w:tc>
          <w:tcPr>
            <w:tcW w:w="1837" w:type="dxa"/>
            <w:vAlign w:val="center"/>
          </w:tcPr>
          <w:p w14:paraId="6B5846F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信噪比</w:t>
            </w:r>
          </w:p>
        </w:tc>
        <w:tc>
          <w:tcPr>
            <w:tcW w:w="6199" w:type="dxa"/>
            <w:vAlign w:val="center"/>
          </w:tcPr>
          <w:p w14:paraId="34A88BF7">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＞95 dB(A)</w:t>
            </w:r>
          </w:p>
        </w:tc>
      </w:tr>
      <w:tr w14:paraId="39AE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C0B40D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26.3</w:t>
            </w:r>
          </w:p>
        </w:tc>
        <w:tc>
          <w:tcPr>
            <w:tcW w:w="1837" w:type="dxa"/>
            <w:vAlign w:val="center"/>
          </w:tcPr>
          <w:p w14:paraId="36C3D25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可选通道</w:t>
            </w:r>
          </w:p>
        </w:tc>
        <w:tc>
          <w:tcPr>
            <w:tcW w:w="6199" w:type="dxa"/>
            <w:vAlign w:val="center"/>
          </w:tcPr>
          <w:p w14:paraId="116A64ED">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可预编程120个可选信道，抗干扰能力强</w:t>
            </w:r>
          </w:p>
        </w:tc>
      </w:tr>
      <w:tr w14:paraId="5679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769E0DE">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27</w:t>
            </w:r>
          </w:p>
        </w:tc>
        <w:tc>
          <w:tcPr>
            <w:tcW w:w="1837" w:type="dxa"/>
            <w:vAlign w:val="center"/>
          </w:tcPr>
          <w:p w14:paraId="33E489BA">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壁挂音箱</w:t>
            </w:r>
          </w:p>
          <w:p w14:paraId="61847FC2">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(表面安装)</w:t>
            </w:r>
          </w:p>
        </w:tc>
        <w:tc>
          <w:tcPr>
            <w:tcW w:w="6199" w:type="dxa"/>
            <w:vAlign w:val="center"/>
          </w:tcPr>
          <w:p w14:paraId="3326117D">
            <w:pPr>
              <w:spacing w:line="360" w:lineRule="exact"/>
              <w:rPr>
                <w:rFonts w:hint="eastAsia" w:ascii="仿宋" w:hAnsi="仿宋" w:eastAsia="仿宋" w:cs="仿宋"/>
                <w:b/>
                <w:bCs/>
                <w:color w:val="auto"/>
                <w:sz w:val="20"/>
                <w:szCs w:val="20"/>
                <w:highlight w:val="none"/>
              </w:rPr>
            </w:pPr>
          </w:p>
        </w:tc>
      </w:tr>
      <w:tr w14:paraId="587B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186E5F4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27.1</w:t>
            </w:r>
          </w:p>
        </w:tc>
        <w:tc>
          <w:tcPr>
            <w:tcW w:w="1837" w:type="dxa"/>
            <w:vAlign w:val="center"/>
          </w:tcPr>
          <w:p w14:paraId="5D4AE61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扩音器 </w:t>
            </w:r>
          </w:p>
        </w:tc>
        <w:tc>
          <w:tcPr>
            <w:tcW w:w="6199" w:type="dxa"/>
            <w:vAlign w:val="center"/>
          </w:tcPr>
          <w:p w14:paraId="1D68CC88">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需包含圆顶高音扩音器 ，带长冲程低音扩音器，带双调谐低音反射孔，可提供用于低阻抗</w:t>
            </w:r>
          </w:p>
        </w:tc>
      </w:tr>
      <w:tr w14:paraId="7EED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096B1BA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27.2</w:t>
            </w:r>
          </w:p>
        </w:tc>
        <w:tc>
          <w:tcPr>
            <w:tcW w:w="1837" w:type="dxa"/>
            <w:vAlign w:val="center"/>
          </w:tcPr>
          <w:p w14:paraId="6D1004D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额定阻抗</w:t>
            </w:r>
          </w:p>
        </w:tc>
        <w:tc>
          <w:tcPr>
            <w:tcW w:w="6199" w:type="dxa"/>
            <w:vAlign w:val="center"/>
          </w:tcPr>
          <w:p w14:paraId="1A95C681">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8 Ω</w:t>
            </w:r>
          </w:p>
        </w:tc>
      </w:tr>
      <w:tr w14:paraId="497E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67B28B3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27.3</w:t>
            </w:r>
          </w:p>
        </w:tc>
        <w:tc>
          <w:tcPr>
            <w:tcW w:w="1837" w:type="dxa"/>
            <w:vAlign w:val="center"/>
          </w:tcPr>
          <w:p w14:paraId="4794736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音频频率范围</w:t>
            </w:r>
          </w:p>
        </w:tc>
        <w:tc>
          <w:tcPr>
            <w:tcW w:w="6199" w:type="dxa"/>
            <w:vAlign w:val="center"/>
          </w:tcPr>
          <w:p w14:paraId="251C4B3A">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65 Hz ~ 20 kHz</w:t>
            </w:r>
          </w:p>
        </w:tc>
      </w:tr>
      <w:tr w14:paraId="3583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1E9392A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27.4</w:t>
            </w:r>
          </w:p>
        </w:tc>
        <w:tc>
          <w:tcPr>
            <w:tcW w:w="1837" w:type="dxa"/>
            <w:vAlign w:val="center"/>
          </w:tcPr>
          <w:p w14:paraId="1E6DAC7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功率</w:t>
            </w:r>
          </w:p>
        </w:tc>
        <w:tc>
          <w:tcPr>
            <w:tcW w:w="6199" w:type="dxa"/>
            <w:vAlign w:val="center"/>
          </w:tcPr>
          <w:p w14:paraId="707E39FA">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具备60 W连续粉噪功率；具备120 W 连续节目功率</w:t>
            </w:r>
          </w:p>
        </w:tc>
      </w:tr>
      <w:tr w14:paraId="1740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03DAF854">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28</w:t>
            </w:r>
          </w:p>
        </w:tc>
        <w:tc>
          <w:tcPr>
            <w:tcW w:w="1837" w:type="dxa"/>
            <w:vAlign w:val="center"/>
          </w:tcPr>
          <w:p w14:paraId="02755B2D">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移动控制终端</w:t>
            </w:r>
          </w:p>
          <w:p w14:paraId="6B378AB6">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（平板）</w:t>
            </w:r>
          </w:p>
        </w:tc>
        <w:tc>
          <w:tcPr>
            <w:tcW w:w="6199" w:type="dxa"/>
            <w:vAlign w:val="center"/>
          </w:tcPr>
          <w:p w14:paraId="4CD15F41">
            <w:pPr>
              <w:spacing w:line="360" w:lineRule="exact"/>
              <w:rPr>
                <w:rFonts w:hint="eastAsia" w:ascii="仿宋" w:hAnsi="仿宋" w:eastAsia="仿宋" w:cs="仿宋"/>
                <w:b/>
                <w:bCs/>
                <w:color w:val="auto"/>
                <w:sz w:val="20"/>
                <w:szCs w:val="20"/>
                <w:highlight w:val="none"/>
              </w:rPr>
            </w:pPr>
          </w:p>
        </w:tc>
      </w:tr>
      <w:tr w14:paraId="3EBF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139F4AA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28.1</w:t>
            </w:r>
          </w:p>
        </w:tc>
        <w:tc>
          <w:tcPr>
            <w:tcW w:w="1837" w:type="dxa"/>
            <w:vAlign w:val="center"/>
          </w:tcPr>
          <w:p w14:paraId="60FFD2F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移动触控终端设备</w:t>
            </w:r>
          </w:p>
        </w:tc>
        <w:tc>
          <w:tcPr>
            <w:tcW w:w="6199" w:type="dxa"/>
            <w:vAlign w:val="center"/>
          </w:tcPr>
          <w:p w14:paraId="514E2A72">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CPU内核数不低于10个；最大频率不低于4.40 GHz</w:t>
            </w:r>
          </w:p>
        </w:tc>
      </w:tr>
      <w:tr w14:paraId="5E35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49DC84B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28.2</w:t>
            </w:r>
          </w:p>
        </w:tc>
        <w:tc>
          <w:tcPr>
            <w:tcW w:w="1837" w:type="dxa"/>
            <w:vAlign w:val="center"/>
          </w:tcPr>
          <w:p w14:paraId="2BDD7E0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分辨率与刷新率</w:t>
            </w:r>
          </w:p>
        </w:tc>
        <w:tc>
          <w:tcPr>
            <w:tcW w:w="6199" w:type="dxa"/>
            <w:vAlign w:val="center"/>
          </w:tcPr>
          <w:p w14:paraId="6B37FEC5">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分辨率不小于2880 x 1920；刷新率不低于120Hz（支持动态刷新率）</w:t>
            </w:r>
          </w:p>
        </w:tc>
      </w:tr>
      <w:tr w14:paraId="09C8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069DB3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28.3</w:t>
            </w:r>
          </w:p>
        </w:tc>
        <w:tc>
          <w:tcPr>
            <w:tcW w:w="1837" w:type="dxa"/>
            <w:vAlign w:val="center"/>
          </w:tcPr>
          <w:p w14:paraId="080C239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内存与屏幕</w:t>
            </w:r>
          </w:p>
        </w:tc>
        <w:tc>
          <w:tcPr>
            <w:tcW w:w="6199" w:type="dxa"/>
            <w:vAlign w:val="center"/>
          </w:tcPr>
          <w:p w14:paraId="54BDA0A2">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固态硬盘容量不小于256GB；屏幕不小于13英寸，支持十点触控技术</w:t>
            </w:r>
          </w:p>
        </w:tc>
      </w:tr>
      <w:tr w14:paraId="7190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63272F4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28.4</w:t>
            </w:r>
          </w:p>
        </w:tc>
        <w:tc>
          <w:tcPr>
            <w:tcW w:w="1837" w:type="dxa"/>
            <w:vAlign w:val="center"/>
          </w:tcPr>
          <w:p w14:paraId="714EBB8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双摄像头</w:t>
            </w:r>
          </w:p>
        </w:tc>
        <w:tc>
          <w:tcPr>
            <w:tcW w:w="6199" w:type="dxa"/>
            <w:vAlign w:val="center"/>
          </w:tcPr>
          <w:p w14:paraId="747CC4A4">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同时具备（前置不小于500万像素，后置不小于1000万像素）</w:t>
            </w:r>
          </w:p>
        </w:tc>
      </w:tr>
      <w:tr w14:paraId="509D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756378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28.5</w:t>
            </w:r>
          </w:p>
        </w:tc>
        <w:tc>
          <w:tcPr>
            <w:tcW w:w="1837" w:type="dxa"/>
            <w:vAlign w:val="center"/>
          </w:tcPr>
          <w:p w14:paraId="219DBDB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扬声器麦克风</w:t>
            </w:r>
          </w:p>
        </w:tc>
        <w:tc>
          <w:tcPr>
            <w:tcW w:w="6199" w:type="dxa"/>
            <w:vAlign w:val="center"/>
          </w:tcPr>
          <w:p w14:paraId="3B83F6BD">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内置；亮度：最大 450 尼特（常规），最小 2 尼特</w:t>
            </w:r>
          </w:p>
        </w:tc>
      </w:tr>
      <w:tr w14:paraId="5588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4583F16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28.6</w:t>
            </w:r>
          </w:p>
        </w:tc>
        <w:tc>
          <w:tcPr>
            <w:tcW w:w="1837" w:type="dxa"/>
            <w:vAlign w:val="center"/>
          </w:tcPr>
          <w:p w14:paraId="71D1FC4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对比度</w:t>
            </w:r>
          </w:p>
        </w:tc>
        <w:tc>
          <w:tcPr>
            <w:tcW w:w="6199" w:type="dxa"/>
            <w:vAlign w:val="center"/>
          </w:tcPr>
          <w:p w14:paraId="1FC7F82D">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1200:1</w:t>
            </w:r>
          </w:p>
        </w:tc>
      </w:tr>
      <w:tr w14:paraId="06ED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4CE164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28.7</w:t>
            </w:r>
          </w:p>
        </w:tc>
        <w:tc>
          <w:tcPr>
            <w:tcW w:w="1837" w:type="dxa"/>
            <w:vAlign w:val="center"/>
          </w:tcPr>
          <w:p w14:paraId="2139D04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磁吸接口充电</w:t>
            </w:r>
          </w:p>
        </w:tc>
        <w:tc>
          <w:tcPr>
            <w:tcW w:w="6199" w:type="dxa"/>
            <w:vAlign w:val="center"/>
          </w:tcPr>
          <w:p w14:paraId="41F8F576">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w:t>
            </w:r>
          </w:p>
        </w:tc>
      </w:tr>
      <w:tr w14:paraId="040C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6089A4C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28.8</w:t>
            </w:r>
          </w:p>
        </w:tc>
        <w:tc>
          <w:tcPr>
            <w:tcW w:w="1837" w:type="dxa"/>
            <w:vAlign w:val="center"/>
          </w:tcPr>
          <w:p w14:paraId="1B83632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基本要求</w:t>
            </w:r>
          </w:p>
        </w:tc>
        <w:tc>
          <w:tcPr>
            <w:tcW w:w="6199" w:type="dxa"/>
            <w:vAlign w:val="center"/>
          </w:tcPr>
          <w:p w14:paraId="1A7E8DA1">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支持手术室内配置1台移动平板，与触摸终端同步控制，实现除视频会议外的其他功能</w:t>
            </w:r>
          </w:p>
        </w:tc>
      </w:tr>
      <w:tr w14:paraId="7044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62145AF4">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29</w:t>
            </w:r>
          </w:p>
        </w:tc>
        <w:tc>
          <w:tcPr>
            <w:tcW w:w="1837" w:type="dxa"/>
            <w:vAlign w:val="center"/>
          </w:tcPr>
          <w:p w14:paraId="41F239C7">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无线AP</w:t>
            </w:r>
          </w:p>
        </w:tc>
        <w:tc>
          <w:tcPr>
            <w:tcW w:w="6199" w:type="dxa"/>
            <w:vAlign w:val="center"/>
          </w:tcPr>
          <w:p w14:paraId="049F59CB">
            <w:pPr>
              <w:spacing w:line="360" w:lineRule="exact"/>
              <w:rPr>
                <w:rFonts w:hint="eastAsia" w:ascii="仿宋" w:hAnsi="仿宋" w:eastAsia="仿宋" w:cs="仿宋"/>
                <w:b/>
                <w:bCs/>
                <w:color w:val="auto"/>
                <w:sz w:val="20"/>
                <w:szCs w:val="20"/>
                <w:highlight w:val="none"/>
              </w:rPr>
            </w:pPr>
          </w:p>
        </w:tc>
      </w:tr>
      <w:tr w14:paraId="0E7A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0D17614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29.1</w:t>
            </w:r>
          </w:p>
        </w:tc>
        <w:tc>
          <w:tcPr>
            <w:tcW w:w="1837" w:type="dxa"/>
            <w:vAlign w:val="center"/>
          </w:tcPr>
          <w:p w14:paraId="54FBFD7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基本要求</w:t>
            </w:r>
          </w:p>
        </w:tc>
        <w:tc>
          <w:tcPr>
            <w:tcW w:w="6199" w:type="dxa"/>
            <w:vAlign w:val="center"/>
          </w:tcPr>
          <w:p w14:paraId="6237B72A">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可吸顶安装；支持POE供电；支持WiFi6；最高传输速率3550Mbps</w:t>
            </w:r>
          </w:p>
        </w:tc>
      </w:tr>
      <w:tr w14:paraId="6A83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1253E5A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29.2</w:t>
            </w:r>
          </w:p>
        </w:tc>
        <w:tc>
          <w:tcPr>
            <w:tcW w:w="1837" w:type="dxa"/>
            <w:vAlign w:val="center"/>
          </w:tcPr>
          <w:p w14:paraId="379D481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双频与双模式</w:t>
            </w:r>
          </w:p>
        </w:tc>
        <w:tc>
          <w:tcPr>
            <w:tcW w:w="6199" w:type="dxa"/>
            <w:vAlign w:val="center"/>
          </w:tcPr>
          <w:p w14:paraId="27E3D587">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支持24GHz及5GHz双频；支持FAT/FIT双模式</w:t>
            </w:r>
          </w:p>
        </w:tc>
      </w:tr>
      <w:tr w14:paraId="5F24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4ECD021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29.3</w:t>
            </w:r>
          </w:p>
        </w:tc>
        <w:tc>
          <w:tcPr>
            <w:tcW w:w="1837" w:type="dxa"/>
            <w:vAlign w:val="center"/>
          </w:tcPr>
          <w:p w14:paraId="29D687F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⽆线发射功率</w:t>
            </w:r>
          </w:p>
        </w:tc>
        <w:tc>
          <w:tcPr>
            <w:tcW w:w="6199" w:type="dxa"/>
            <w:vAlign w:val="center"/>
          </w:tcPr>
          <w:p w14:paraId="262B1DD8">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线性可调，根据需求调整信号覆盖范围</w:t>
            </w:r>
          </w:p>
        </w:tc>
      </w:tr>
      <w:tr w14:paraId="4576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1FB709C5">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30</w:t>
            </w:r>
          </w:p>
        </w:tc>
        <w:tc>
          <w:tcPr>
            <w:tcW w:w="1837" w:type="dxa"/>
            <w:vAlign w:val="center"/>
          </w:tcPr>
          <w:p w14:paraId="4BFE969E">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中央触控终端</w:t>
            </w:r>
          </w:p>
          <w:p w14:paraId="00E51341">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（示教/会议室）</w:t>
            </w:r>
          </w:p>
        </w:tc>
        <w:tc>
          <w:tcPr>
            <w:tcW w:w="6199" w:type="dxa"/>
            <w:vAlign w:val="center"/>
          </w:tcPr>
          <w:p w14:paraId="6F204EA5">
            <w:pPr>
              <w:spacing w:line="360" w:lineRule="exact"/>
              <w:rPr>
                <w:rFonts w:hint="eastAsia" w:ascii="仿宋" w:hAnsi="仿宋" w:eastAsia="仿宋" w:cs="仿宋"/>
                <w:b/>
                <w:bCs/>
                <w:color w:val="auto"/>
                <w:sz w:val="20"/>
                <w:szCs w:val="20"/>
                <w:highlight w:val="none"/>
              </w:rPr>
            </w:pPr>
          </w:p>
        </w:tc>
      </w:tr>
      <w:tr w14:paraId="0F33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CC39F3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30.1</w:t>
            </w:r>
          </w:p>
        </w:tc>
        <w:tc>
          <w:tcPr>
            <w:tcW w:w="1837" w:type="dxa"/>
            <w:vAlign w:val="center"/>
          </w:tcPr>
          <w:p w14:paraId="57C11E9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主机系统</w:t>
            </w:r>
          </w:p>
        </w:tc>
        <w:tc>
          <w:tcPr>
            <w:tcW w:w="6199" w:type="dxa"/>
            <w:vAlign w:val="center"/>
          </w:tcPr>
          <w:p w14:paraId="26BF2D25">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包含一台系统主机，CPU为主频不低于1.5GHz、8G内存；256G SSD硬盘</w:t>
            </w:r>
          </w:p>
        </w:tc>
      </w:tr>
      <w:tr w14:paraId="1FB3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4E0C4DD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30.2</w:t>
            </w:r>
          </w:p>
        </w:tc>
        <w:tc>
          <w:tcPr>
            <w:tcW w:w="1837" w:type="dxa"/>
            <w:vAlign w:val="center"/>
          </w:tcPr>
          <w:p w14:paraId="4913A39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屏幕</w:t>
            </w:r>
          </w:p>
        </w:tc>
        <w:tc>
          <w:tcPr>
            <w:tcW w:w="6199" w:type="dxa"/>
            <w:vAlign w:val="center"/>
          </w:tcPr>
          <w:p w14:paraId="11771027">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≥23英寸，前面板IP65等级；电容式多点触摸屏设计</w:t>
            </w:r>
          </w:p>
        </w:tc>
      </w:tr>
      <w:tr w14:paraId="2B6A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3FC9AF5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30.3</w:t>
            </w:r>
          </w:p>
        </w:tc>
        <w:tc>
          <w:tcPr>
            <w:tcW w:w="1837" w:type="dxa"/>
            <w:vAlign w:val="center"/>
          </w:tcPr>
          <w:p w14:paraId="37594EE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耐用性</w:t>
            </w:r>
          </w:p>
        </w:tc>
        <w:tc>
          <w:tcPr>
            <w:tcW w:w="6199" w:type="dxa"/>
            <w:vAlign w:val="center"/>
          </w:tcPr>
          <w:p w14:paraId="78352F76">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＞1亿次触摸</w:t>
            </w:r>
          </w:p>
        </w:tc>
      </w:tr>
      <w:tr w14:paraId="58B2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379BB5C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30.4</w:t>
            </w:r>
          </w:p>
        </w:tc>
        <w:tc>
          <w:tcPr>
            <w:tcW w:w="1837" w:type="dxa"/>
            <w:vAlign w:val="center"/>
          </w:tcPr>
          <w:p w14:paraId="6B99188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扬声器</w:t>
            </w:r>
          </w:p>
        </w:tc>
        <w:tc>
          <w:tcPr>
            <w:tcW w:w="6199" w:type="dxa"/>
            <w:vAlign w:val="center"/>
          </w:tcPr>
          <w:p w14:paraId="6B4F3508">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具备</w:t>
            </w:r>
          </w:p>
        </w:tc>
      </w:tr>
      <w:tr w14:paraId="0DCB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335D7208">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32</w:t>
            </w:r>
          </w:p>
        </w:tc>
        <w:tc>
          <w:tcPr>
            <w:tcW w:w="1837" w:type="dxa"/>
            <w:vAlign w:val="center"/>
          </w:tcPr>
          <w:p w14:paraId="22EC5AB9">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PC端软件</w:t>
            </w:r>
          </w:p>
        </w:tc>
        <w:tc>
          <w:tcPr>
            <w:tcW w:w="6199" w:type="dxa"/>
            <w:vAlign w:val="center"/>
          </w:tcPr>
          <w:p w14:paraId="60613F6D">
            <w:pPr>
              <w:spacing w:line="360" w:lineRule="exact"/>
              <w:rPr>
                <w:rFonts w:hint="eastAsia" w:ascii="仿宋" w:hAnsi="仿宋" w:eastAsia="仿宋" w:cs="仿宋"/>
                <w:b/>
                <w:bCs/>
                <w:color w:val="auto"/>
                <w:sz w:val="20"/>
                <w:szCs w:val="20"/>
                <w:highlight w:val="none"/>
              </w:rPr>
            </w:pPr>
          </w:p>
        </w:tc>
      </w:tr>
      <w:tr w14:paraId="4A50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4380997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32.1</w:t>
            </w:r>
          </w:p>
        </w:tc>
        <w:tc>
          <w:tcPr>
            <w:tcW w:w="1837" w:type="dxa"/>
            <w:vAlign w:val="center"/>
          </w:tcPr>
          <w:p w14:paraId="378D75A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基本要求</w:t>
            </w:r>
          </w:p>
        </w:tc>
        <w:tc>
          <w:tcPr>
            <w:tcW w:w="6199" w:type="dxa"/>
            <w:vAlign w:val="center"/>
          </w:tcPr>
          <w:p w14:paraId="48E668D2">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PC客户端可基于PC机实现手术视频会议，手术视频直播观摩，手术视频文档管理、手术文档编辑以及手术视频和图片文档的下载；通过PC电脑通过网络快速访问到术中存储的数据，同时可以完成对文档编辑管理；</w:t>
            </w:r>
          </w:p>
        </w:tc>
      </w:tr>
      <w:tr w14:paraId="69BE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D943AD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32.2</w:t>
            </w:r>
          </w:p>
        </w:tc>
        <w:tc>
          <w:tcPr>
            <w:tcW w:w="1837" w:type="dxa"/>
            <w:vAlign w:val="center"/>
          </w:tcPr>
          <w:p w14:paraId="3AA1E22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多平台支持</w:t>
            </w:r>
          </w:p>
        </w:tc>
        <w:tc>
          <w:tcPr>
            <w:tcW w:w="6199" w:type="dxa"/>
            <w:vAlign w:val="center"/>
          </w:tcPr>
          <w:p w14:paraId="6F6DFE35">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客户端通过院内网络，实现手术室与PC、一体机、平板电脑等移动终端类设备双向视音频交流。支持移动端、手术室双向电子粉笔标注功能。</w:t>
            </w:r>
          </w:p>
        </w:tc>
      </w:tr>
      <w:tr w14:paraId="4ED2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3E6E5730">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33</w:t>
            </w:r>
          </w:p>
        </w:tc>
        <w:tc>
          <w:tcPr>
            <w:tcW w:w="1837" w:type="dxa"/>
            <w:vAlign w:val="center"/>
          </w:tcPr>
          <w:p w14:paraId="2A13AF7F">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移动端软件</w:t>
            </w:r>
          </w:p>
        </w:tc>
        <w:tc>
          <w:tcPr>
            <w:tcW w:w="6199" w:type="dxa"/>
            <w:vAlign w:val="center"/>
          </w:tcPr>
          <w:p w14:paraId="5040538F">
            <w:pPr>
              <w:spacing w:line="360" w:lineRule="exact"/>
              <w:rPr>
                <w:rFonts w:hint="eastAsia" w:ascii="仿宋" w:hAnsi="仿宋" w:eastAsia="仿宋" w:cs="仿宋"/>
                <w:b/>
                <w:bCs/>
                <w:color w:val="auto"/>
                <w:sz w:val="20"/>
                <w:szCs w:val="20"/>
                <w:highlight w:val="none"/>
              </w:rPr>
            </w:pPr>
          </w:p>
        </w:tc>
      </w:tr>
      <w:tr w14:paraId="58B9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00" w:type="dxa"/>
            <w:vAlign w:val="center"/>
          </w:tcPr>
          <w:p w14:paraId="78A67BE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■33.1</w:t>
            </w:r>
          </w:p>
        </w:tc>
        <w:tc>
          <w:tcPr>
            <w:tcW w:w="1837" w:type="dxa"/>
            <w:vAlign w:val="center"/>
          </w:tcPr>
          <w:p w14:paraId="25ED1A0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基本要求</w:t>
            </w:r>
          </w:p>
        </w:tc>
        <w:tc>
          <w:tcPr>
            <w:tcW w:w="6199" w:type="dxa"/>
            <w:vAlign w:val="center"/>
          </w:tcPr>
          <w:p w14:paraId="140D2E61">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在无线网络环境（移动端）下，支持控制音视频控制器设备的功能，控制内容如下：音量调节的控制、静音控制、全景放大/缩小控制、镜头转动控制；在无线网络环境（移动端）下，支持场景保存和调用功能，包括支持将被控设备的参数状态记忆存储为用户预期场景功能；支持调用用户储存的场景参数，将被控设备恢复为既定的参数状态（提供</w:t>
            </w:r>
            <w:r>
              <w:rPr>
                <w:rFonts w:hint="eastAsia" w:ascii="仿宋" w:hAnsi="仿宋" w:eastAsia="仿宋" w:cs="仿宋"/>
                <w:color w:val="auto"/>
                <w:sz w:val="20"/>
                <w:szCs w:val="20"/>
                <w:highlight w:val="none"/>
                <w:lang w:eastAsia="zh-CN"/>
              </w:rPr>
              <w:t>第三方检测机构出具的证明材料</w:t>
            </w:r>
            <w:r>
              <w:rPr>
                <w:rFonts w:hint="eastAsia" w:ascii="仿宋" w:hAnsi="仿宋" w:eastAsia="仿宋" w:cs="仿宋"/>
                <w:color w:val="auto"/>
                <w:sz w:val="20"/>
                <w:szCs w:val="20"/>
                <w:highlight w:val="none"/>
              </w:rPr>
              <w:t>证明</w:t>
            </w:r>
            <w:bookmarkStart w:id="777" w:name="OLE_LINK3"/>
            <w:r>
              <w:rPr>
                <w:rFonts w:hint="eastAsia" w:ascii="仿宋" w:hAnsi="仿宋" w:eastAsia="仿宋" w:cs="仿宋"/>
                <w:color w:val="auto"/>
                <w:sz w:val="20"/>
                <w:szCs w:val="20"/>
                <w:highlight w:val="none"/>
              </w:rPr>
              <w:t>以上所以功能细节描述</w:t>
            </w:r>
            <w:bookmarkEnd w:id="777"/>
            <w:r>
              <w:rPr>
                <w:rFonts w:hint="eastAsia" w:ascii="仿宋" w:hAnsi="仿宋" w:eastAsia="仿宋" w:cs="仿宋"/>
                <w:color w:val="auto"/>
                <w:sz w:val="20"/>
                <w:szCs w:val="20"/>
                <w:highlight w:val="none"/>
              </w:rPr>
              <w:t>）</w:t>
            </w:r>
          </w:p>
        </w:tc>
      </w:tr>
      <w:tr w14:paraId="2728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4D71A38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33.2</w:t>
            </w:r>
          </w:p>
        </w:tc>
        <w:tc>
          <w:tcPr>
            <w:tcW w:w="1837" w:type="dxa"/>
            <w:vAlign w:val="center"/>
          </w:tcPr>
          <w:p w14:paraId="1B9C489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多场景支持</w:t>
            </w:r>
          </w:p>
        </w:tc>
        <w:tc>
          <w:tcPr>
            <w:tcW w:w="6199" w:type="dxa"/>
            <w:vAlign w:val="center"/>
          </w:tcPr>
          <w:p w14:paraId="559A9A8E">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支持手术室模式、示教会议室模式、办公室模式的快速切换；在手术室模式可通过移动端软件实现和视频信号的路由分配、视频录制和文档管理功能；</w:t>
            </w:r>
          </w:p>
        </w:tc>
      </w:tr>
      <w:tr w14:paraId="4076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00" w:type="dxa"/>
            <w:vAlign w:val="center"/>
          </w:tcPr>
          <w:p w14:paraId="4B4102F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■33.3</w:t>
            </w:r>
          </w:p>
        </w:tc>
        <w:tc>
          <w:tcPr>
            <w:tcW w:w="1837" w:type="dxa"/>
            <w:vAlign w:val="center"/>
          </w:tcPr>
          <w:p w14:paraId="181AD7D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无线控制</w:t>
            </w:r>
          </w:p>
        </w:tc>
        <w:tc>
          <w:tcPr>
            <w:tcW w:w="6199" w:type="dxa"/>
            <w:vAlign w:val="center"/>
          </w:tcPr>
          <w:p w14:paraId="58D6B8A8">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在无线网络环境（移动端）下，支持可升级医疗控制功能：可控制功能包含但不限于手术灯照度调节、气腹机流量设置，手术床升台面动作控制、内窥镜摄像系统的白光亮度调节、荧光亮度调节（提供</w:t>
            </w:r>
            <w:r>
              <w:rPr>
                <w:rFonts w:hint="eastAsia" w:ascii="仿宋" w:hAnsi="仿宋" w:eastAsia="仿宋" w:cs="仿宋"/>
                <w:color w:val="auto"/>
                <w:sz w:val="20"/>
                <w:szCs w:val="20"/>
                <w:highlight w:val="none"/>
                <w:lang w:eastAsia="zh-CN"/>
              </w:rPr>
              <w:t>第三方检测机构出具的证明材料</w:t>
            </w:r>
            <w:r>
              <w:rPr>
                <w:rFonts w:hint="eastAsia" w:ascii="仿宋" w:hAnsi="仿宋" w:eastAsia="仿宋" w:cs="仿宋"/>
                <w:color w:val="auto"/>
                <w:sz w:val="20"/>
                <w:szCs w:val="20"/>
                <w:highlight w:val="none"/>
              </w:rPr>
              <w:t>证明当选配医疗设备控制功能时可实现以上所以功能细节描述）</w:t>
            </w:r>
          </w:p>
        </w:tc>
      </w:tr>
      <w:tr w14:paraId="3418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2AA18A93">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34</w:t>
            </w:r>
          </w:p>
        </w:tc>
        <w:tc>
          <w:tcPr>
            <w:tcW w:w="1837" w:type="dxa"/>
            <w:vAlign w:val="center"/>
          </w:tcPr>
          <w:p w14:paraId="124DF1A3">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示教会议机柜</w:t>
            </w:r>
          </w:p>
        </w:tc>
        <w:tc>
          <w:tcPr>
            <w:tcW w:w="6199" w:type="dxa"/>
            <w:vAlign w:val="center"/>
          </w:tcPr>
          <w:p w14:paraId="533BB196">
            <w:pPr>
              <w:spacing w:line="360" w:lineRule="exact"/>
              <w:rPr>
                <w:rFonts w:hint="eastAsia" w:ascii="仿宋" w:hAnsi="仿宋" w:eastAsia="仿宋" w:cs="仿宋"/>
                <w:b/>
                <w:bCs/>
                <w:color w:val="auto"/>
                <w:sz w:val="20"/>
                <w:szCs w:val="20"/>
                <w:highlight w:val="none"/>
              </w:rPr>
            </w:pPr>
          </w:p>
        </w:tc>
      </w:tr>
      <w:tr w14:paraId="733D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31481C2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34.1</w:t>
            </w:r>
          </w:p>
        </w:tc>
        <w:tc>
          <w:tcPr>
            <w:tcW w:w="1837" w:type="dxa"/>
            <w:vAlign w:val="center"/>
          </w:tcPr>
          <w:p w14:paraId="366D329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结构载荷</w:t>
            </w:r>
          </w:p>
        </w:tc>
        <w:tc>
          <w:tcPr>
            <w:tcW w:w="6199" w:type="dxa"/>
            <w:vAlign w:val="center"/>
          </w:tcPr>
          <w:p w14:paraId="163B1264">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可同时安装脚轮和支脚，结构坚固，最大静载达≥800KG(带支脚)；</w:t>
            </w:r>
          </w:p>
        </w:tc>
      </w:tr>
      <w:tr w14:paraId="1CAA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12F2D69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34.2</w:t>
            </w:r>
          </w:p>
        </w:tc>
        <w:tc>
          <w:tcPr>
            <w:tcW w:w="1837" w:type="dxa"/>
            <w:vAlign w:val="center"/>
          </w:tcPr>
          <w:p w14:paraId="091E2C0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工艺要求</w:t>
            </w:r>
          </w:p>
        </w:tc>
        <w:tc>
          <w:tcPr>
            <w:tcW w:w="6199" w:type="dxa"/>
            <w:vAlign w:val="center"/>
          </w:tcPr>
          <w:p w14:paraId="658AE619">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可关闭的下部多处走线通道，上部不走线，平板结构美观易清洁；</w:t>
            </w:r>
          </w:p>
        </w:tc>
      </w:tr>
      <w:tr w14:paraId="21BE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47CEEFF5">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35</w:t>
            </w:r>
          </w:p>
        </w:tc>
        <w:tc>
          <w:tcPr>
            <w:tcW w:w="1837" w:type="dxa"/>
            <w:vAlign w:val="center"/>
          </w:tcPr>
          <w:p w14:paraId="68D85CCC">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服务器机柜</w:t>
            </w:r>
          </w:p>
        </w:tc>
        <w:tc>
          <w:tcPr>
            <w:tcW w:w="6199" w:type="dxa"/>
            <w:vAlign w:val="center"/>
          </w:tcPr>
          <w:p w14:paraId="4F6CF34C">
            <w:pPr>
              <w:spacing w:line="360" w:lineRule="exact"/>
              <w:rPr>
                <w:rFonts w:hint="eastAsia" w:ascii="仿宋" w:hAnsi="仿宋" w:eastAsia="仿宋" w:cs="仿宋"/>
                <w:b/>
                <w:bCs/>
                <w:color w:val="auto"/>
                <w:sz w:val="20"/>
                <w:szCs w:val="20"/>
                <w:highlight w:val="none"/>
              </w:rPr>
            </w:pPr>
          </w:p>
        </w:tc>
      </w:tr>
      <w:tr w14:paraId="07AD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256A7BC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35.1</w:t>
            </w:r>
          </w:p>
        </w:tc>
        <w:tc>
          <w:tcPr>
            <w:tcW w:w="1837" w:type="dxa"/>
            <w:vAlign w:val="center"/>
          </w:tcPr>
          <w:p w14:paraId="011AA55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结构载荷</w:t>
            </w:r>
          </w:p>
        </w:tc>
        <w:tc>
          <w:tcPr>
            <w:tcW w:w="6199" w:type="dxa"/>
            <w:vAlign w:val="center"/>
          </w:tcPr>
          <w:p w14:paraId="764672C4">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可同时安装脚轮和支脚，最大静载达≥800KG(带支脚)；</w:t>
            </w:r>
          </w:p>
        </w:tc>
      </w:tr>
      <w:tr w14:paraId="0EC4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2EBE92F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35.2</w:t>
            </w:r>
          </w:p>
        </w:tc>
        <w:tc>
          <w:tcPr>
            <w:tcW w:w="1837" w:type="dxa"/>
            <w:vAlign w:val="center"/>
          </w:tcPr>
          <w:p w14:paraId="6018FA3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工艺要求</w:t>
            </w:r>
          </w:p>
        </w:tc>
        <w:tc>
          <w:tcPr>
            <w:tcW w:w="6199" w:type="dxa"/>
            <w:vAlign w:val="center"/>
          </w:tcPr>
          <w:p w14:paraId="39445D82">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可关闭的下部多处走线通道，上部不走线，平板结构美观易清洁；</w:t>
            </w:r>
          </w:p>
        </w:tc>
      </w:tr>
      <w:tr w14:paraId="2871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1623D3F2">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36</w:t>
            </w:r>
          </w:p>
        </w:tc>
        <w:tc>
          <w:tcPr>
            <w:tcW w:w="1837" w:type="dxa"/>
            <w:vAlign w:val="center"/>
          </w:tcPr>
          <w:p w14:paraId="778695C5">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数据交互设备</w:t>
            </w:r>
          </w:p>
        </w:tc>
        <w:tc>
          <w:tcPr>
            <w:tcW w:w="6199" w:type="dxa"/>
            <w:vAlign w:val="center"/>
          </w:tcPr>
          <w:p w14:paraId="012CA2E0">
            <w:pPr>
              <w:spacing w:line="360" w:lineRule="exact"/>
              <w:rPr>
                <w:rFonts w:hint="eastAsia" w:ascii="仿宋" w:hAnsi="仿宋" w:eastAsia="仿宋" w:cs="仿宋"/>
                <w:b/>
                <w:bCs/>
                <w:color w:val="auto"/>
                <w:sz w:val="20"/>
                <w:szCs w:val="20"/>
                <w:highlight w:val="none"/>
              </w:rPr>
            </w:pPr>
          </w:p>
        </w:tc>
      </w:tr>
      <w:tr w14:paraId="0E24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18B34C1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36.1</w:t>
            </w:r>
          </w:p>
        </w:tc>
        <w:tc>
          <w:tcPr>
            <w:tcW w:w="1837" w:type="dxa"/>
            <w:vAlign w:val="center"/>
          </w:tcPr>
          <w:p w14:paraId="317B904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接口电源</w:t>
            </w:r>
          </w:p>
        </w:tc>
        <w:tc>
          <w:tcPr>
            <w:tcW w:w="6199" w:type="dxa"/>
            <w:vAlign w:val="center"/>
          </w:tcPr>
          <w:p w14:paraId="6C5B85B1">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提供10/100/1000Base-T 自适应以太网端口或SFP 光口、10G SFP+光口；支持802.3at/POE+供电标准</w:t>
            </w:r>
          </w:p>
        </w:tc>
      </w:tr>
      <w:tr w14:paraId="40C2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3379B39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36.2</w:t>
            </w:r>
          </w:p>
        </w:tc>
        <w:tc>
          <w:tcPr>
            <w:tcW w:w="1837" w:type="dxa"/>
            <w:vAlign w:val="center"/>
          </w:tcPr>
          <w:p w14:paraId="5EEBB9A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安全保护</w:t>
            </w:r>
          </w:p>
        </w:tc>
        <w:tc>
          <w:tcPr>
            <w:tcW w:w="6199" w:type="dxa"/>
            <w:vAlign w:val="center"/>
          </w:tcPr>
          <w:p w14:paraId="143E9ABC">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具备设备级和链路级的多重可靠性保护；硬件支持过流保护、过压保护和过热保护技术</w:t>
            </w:r>
          </w:p>
        </w:tc>
      </w:tr>
      <w:tr w14:paraId="293A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0B7DDB8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36.3</w:t>
            </w:r>
          </w:p>
        </w:tc>
        <w:tc>
          <w:tcPr>
            <w:tcW w:w="1837" w:type="dxa"/>
            <w:vAlign w:val="center"/>
          </w:tcPr>
          <w:p w14:paraId="765C3FA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交换性能</w:t>
            </w:r>
          </w:p>
        </w:tc>
        <w:tc>
          <w:tcPr>
            <w:tcW w:w="6199" w:type="dxa"/>
            <w:vAlign w:val="center"/>
          </w:tcPr>
          <w:p w14:paraId="4C02F9E8">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交换容量336Gbps/3.36Tbps，包转发率51Mpps/126Mpps，24个10/100/1000Base-T自适应以太网端口，4个千兆SFP口（combo口）</w:t>
            </w:r>
          </w:p>
        </w:tc>
      </w:tr>
      <w:tr w14:paraId="007D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32083470">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37</w:t>
            </w:r>
          </w:p>
        </w:tc>
        <w:tc>
          <w:tcPr>
            <w:tcW w:w="1837" w:type="dxa"/>
            <w:vAlign w:val="center"/>
          </w:tcPr>
          <w:p w14:paraId="7FD07A3C">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护士工作站</w:t>
            </w:r>
          </w:p>
        </w:tc>
        <w:tc>
          <w:tcPr>
            <w:tcW w:w="6199" w:type="dxa"/>
            <w:vAlign w:val="center"/>
          </w:tcPr>
          <w:p w14:paraId="7BEE4FEC">
            <w:pPr>
              <w:spacing w:line="360" w:lineRule="exact"/>
              <w:rPr>
                <w:rFonts w:hint="eastAsia" w:ascii="仿宋" w:hAnsi="仿宋" w:eastAsia="仿宋" w:cs="仿宋"/>
                <w:b/>
                <w:bCs/>
                <w:color w:val="auto"/>
                <w:sz w:val="20"/>
                <w:szCs w:val="20"/>
                <w:highlight w:val="none"/>
              </w:rPr>
            </w:pPr>
          </w:p>
        </w:tc>
      </w:tr>
      <w:tr w14:paraId="459B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6C0B2CC">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37.1</w:t>
            </w:r>
          </w:p>
        </w:tc>
        <w:tc>
          <w:tcPr>
            <w:tcW w:w="1837" w:type="dxa"/>
            <w:vAlign w:val="center"/>
          </w:tcPr>
          <w:p w14:paraId="39982F0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屏幕</w:t>
            </w:r>
          </w:p>
        </w:tc>
        <w:tc>
          <w:tcPr>
            <w:tcW w:w="6199" w:type="dxa"/>
            <w:vAlign w:val="center"/>
          </w:tcPr>
          <w:p w14:paraId="1E51DD17">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≥23英寸，可触控操作，外观及规格与数字化手术室触摸控制工作站保持一致</w:t>
            </w:r>
          </w:p>
        </w:tc>
      </w:tr>
      <w:tr w14:paraId="3E09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B86BE8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37.2</w:t>
            </w:r>
          </w:p>
        </w:tc>
        <w:tc>
          <w:tcPr>
            <w:tcW w:w="1837" w:type="dxa"/>
            <w:vAlign w:val="center"/>
          </w:tcPr>
          <w:p w14:paraId="7B48C2B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安装方式</w:t>
            </w:r>
          </w:p>
        </w:tc>
        <w:tc>
          <w:tcPr>
            <w:tcW w:w="6199" w:type="dxa"/>
            <w:vAlign w:val="center"/>
          </w:tcPr>
          <w:p w14:paraId="31630029">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内嵌式，安装后表面与墙面齐平，无明显凸起</w:t>
            </w:r>
          </w:p>
        </w:tc>
      </w:tr>
      <w:tr w14:paraId="1FB7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1DE361F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37.3</w:t>
            </w:r>
          </w:p>
        </w:tc>
        <w:tc>
          <w:tcPr>
            <w:tcW w:w="1837" w:type="dxa"/>
            <w:vAlign w:val="center"/>
          </w:tcPr>
          <w:p w14:paraId="373263D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维护方式</w:t>
            </w:r>
          </w:p>
        </w:tc>
        <w:tc>
          <w:tcPr>
            <w:tcW w:w="6199" w:type="dxa"/>
            <w:vAlign w:val="center"/>
          </w:tcPr>
          <w:p w14:paraId="232D663B">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具备嵌墙后前面板快速维修功能，可快速开启前面板维护更换内部设备和屏幕组件</w:t>
            </w:r>
          </w:p>
        </w:tc>
      </w:tr>
      <w:tr w14:paraId="206E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66CA36C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37.4</w:t>
            </w:r>
          </w:p>
        </w:tc>
        <w:tc>
          <w:tcPr>
            <w:tcW w:w="1837" w:type="dxa"/>
            <w:vAlign w:val="center"/>
          </w:tcPr>
          <w:p w14:paraId="76A384C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触屏亮度对比</w:t>
            </w:r>
          </w:p>
        </w:tc>
        <w:tc>
          <w:tcPr>
            <w:tcW w:w="6199" w:type="dxa"/>
            <w:vAlign w:val="center"/>
          </w:tcPr>
          <w:p w14:paraId="7A2960AA">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触控屏幕亮度不低于300cd/m2，对比度不低于1000:1；可视角度可达：178*178</w:t>
            </w:r>
          </w:p>
        </w:tc>
      </w:tr>
      <w:tr w14:paraId="798F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4422084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37.5</w:t>
            </w:r>
          </w:p>
        </w:tc>
        <w:tc>
          <w:tcPr>
            <w:tcW w:w="1837" w:type="dxa"/>
            <w:vAlign w:val="center"/>
          </w:tcPr>
          <w:p w14:paraId="68A3706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触屏响应</w:t>
            </w:r>
          </w:p>
        </w:tc>
        <w:tc>
          <w:tcPr>
            <w:tcW w:w="6199" w:type="dxa"/>
            <w:vAlign w:val="center"/>
          </w:tcPr>
          <w:p w14:paraId="611B90CE">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触控响应时间不超过25ms；触控类型：电容；支持10点触控；</w:t>
            </w:r>
          </w:p>
        </w:tc>
      </w:tr>
      <w:tr w14:paraId="2D98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02A2601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37.6</w:t>
            </w:r>
          </w:p>
        </w:tc>
        <w:tc>
          <w:tcPr>
            <w:tcW w:w="1837" w:type="dxa"/>
            <w:vAlign w:val="center"/>
          </w:tcPr>
          <w:p w14:paraId="2A4DEF4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接口开关</w:t>
            </w:r>
          </w:p>
        </w:tc>
        <w:tc>
          <w:tcPr>
            <w:tcW w:w="6199" w:type="dxa"/>
            <w:vAlign w:val="center"/>
          </w:tcPr>
          <w:p w14:paraId="0AE27B14">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提供接口包括USB接口，一键开关机按钮；支持一键开机启动；</w:t>
            </w:r>
          </w:p>
        </w:tc>
      </w:tr>
      <w:tr w14:paraId="3933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491E70E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37.7</w:t>
            </w:r>
          </w:p>
        </w:tc>
        <w:tc>
          <w:tcPr>
            <w:tcW w:w="1837" w:type="dxa"/>
            <w:vAlign w:val="center"/>
          </w:tcPr>
          <w:p w14:paraId="2FDD32D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性能指标</w:t>
            </w:r>
          </w:p>
        </w:tc>
        <w:tc>
          <w:tcPr>
            <w:tcW w:w="6199" w:type="dxa"/>
            <w:vAlign w:val="center"/>
          </w:tcPr>
          <w:p w14:paraId="53F355EA">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CPU为主频不低于1.5GHz；内存不低于16GB，硬盘不低于512GB；</w:t>
            </w:r>
          </w:p>
        </w:tc>
      </w:tr>
      <w:tr w14:paraId="68A2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13FD6B8C">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38</w:t>
            </w:r>
          </w:p>
        </w:tc>
        <w:tc>
          <w:tcPr>
            <w:tcW w:w="1837" w:type="dxa"/>
            <w:vAlign w:val="center"/>
          </w:tcPr>
          <w:p w14:paraId="7C13A8D5">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护士站收纳柜</w:t>
            </w:r>
          </w:p>
        </w:tc>
        <w:tc>
          <w:tcPr>
            <w:tcW w:w="6199" w:type="dxa"/>
            <w:vAlign w:val="center"/>
          </w:tcPr>
          <w:p w14:paraId="1940DE74">
            <w:pPr>
              <w:spacing w:line="360" w:lineRule="exact"/>
              <w:rPr>
                <w:rFonts w:hint="eastAsia" w:ascii="仿宋" w:hAnsi="仿宋" w:eastAsia="仿宋" w:cs="仿宋"/>
                <w:b/>
                <w:bCs/>
                <w:color w:val="auto"/>
                <w:sz w:val="20"/>
                <w:szCs w:val="20"/>
                <w:highlight w:val="none"/>
              </w:rPr>
            </w:pPr>
          </w:p>
        </w:tc>
      </w:tr>
      <w:tr w14:paraId="1BA0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0" w:type="dxa"/>
            <w:vAlign w:val="center"/>
          </w:tcPr>
          <w:p w14:paraId="4946089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■38.1</w:t>
            </w:r>
          </w:p>
        </w:tc>
        <w:tc>
          <w:tcPr>
            <w:tcW w:w="1837" w:type="dxa"/>
            <w:vAlign w:val="center"/>
          </w:tcPr>
          <w:p w14:paraId="1EC3763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基本要求</w:t>
            </w:r>
          </w:p>
        </w:tc>
        <w:tc>
          <w:tcPr>
            <w:tcW w:w="6199" w:type="dxa"/>
            <w:vAlign w:val="center"/>
          </w:tcPr>
          <w:p w14:paraId="4B9B307D">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护士站收纳柜可与护士工作站可连体安装，也可独立安装。连体安装时柜体上下边沿与护士工作站等高等低，保持统一；收纳柜柜门表面采用玻璃材质，材质和颜色需与护士工作站保持一致性，柜门打开后可隐藏收纳入柜体，不侵占外部空间（提供护士站收纳柜可与护士工作站整体无缝连体安装的实物图片，证明支持联体安装; 提供内收纳柜柜门打开和关闭时的实物照片，证明柜门打开后可隐藏收纳入柜体的效果）</w:t>
            </w:r>
          </w:p>
        </w:tc>
      </w:tr>
      <w:tr w14:paraId="7FDA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6507792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38.2</w:t>
            </w:r>
          </w:p>
        </w:tc>
        <w:tc>
          <w:tcPr>
            <w:tcW w:w="1837" w:type="dxa"/>
            <w:vAlign w:val="center"/>
          </w:tcPr>
          <w:p w14:paraId="6ABF677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安装方式</w:t>
            </w:r>
          </w:p>
        </w:tc>
        <w:tc>
          <w:tcPr>
            <w:tcW w:w="6199" w:type="dxa"/>
            <w:vAlign w:val="center"/>
          </w:tcPr>
          <w:p w14:paraId="4BF13711">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内嵌式，安装后表面与墙面齐平，无明显凸起</w:t>
            </w:r>
          </w:p>
        </w:tc>
      </w:tr>
      <w:tr w14:paraId="778C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84162B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38.3</w:t>
            </w:r>
          </w:p>
        </w:tc>
        <w:tc>
          <w:tcPr>
            <w:tcW w:w="1837" w:type="dxa"/>
            <w:vAlign w:val="center"/>
          </w:tcPr>
          <w:p w14:paraId="7F740C6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分层隔板</w:t>
            </w:r>
          </w:p>
        </w:tc>
        <w:tc>
          <w:tcPr>
            <w:tcW w:w="6199" w:type="dxa"/>
            <w:vAlign w:val="center"/>
          </w:tcPr>
          <w:p w14:paraId="220D6946">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柜体内空间支持安装分层隔板，隔板可按照需求对空间自定义分隔安装</w:t>
            </w:r>
          </w:p>
        </w:tc>
      </w:tr>
      <w:tr w14:paraId="7972C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D8EF98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38.4</w:t>
            </w:r>
          </w:p>
        </w:tc>
        <w:tc>
          <w:tcPr>
            <w:tcW w:w="1837" w:type="dxa"/>
            <w:vAlign w:val="center"/>
          </w:tcPr>
          <w:p w14:paraId="5108025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能源信息坞站</w:t>
            </w:r>
          </w:p>
        </w:tc>
        <w:tc>
          <w:tcPr>
            <w:tcW w:w="6199" w:type="dxa"/>
            <w:vAlign w:val="center"/>
          </w:tcPr>
          <w:p w14:paraId="3B4FA4D1">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具备，支持强弱电供电坞站</w:t>
            </w:r>
          </w:p>
        </w:tc>
      </w:tr>
      <w:tr w14:paraId="0A58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43A94310">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39</w:t>
            </w:r>
          </w:p>
        </w:tc>
        <w:tc>
          <w:tcPr>
            <w:tcW w:w="1837" w:type="dxa"/>
            <w:vAlign w:val="center"/>
          </w:tcPr>
          <w:p w14:paraId="4F7E978D">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HIS对接模块</w:t>
            </w:r>
          </w:p>
        </w:tc>
        <w:tc>
          <w:tcPr>
            <w:tcW w:w="6199" w:type="dxa"/>
            <w:vAlign w:val="center"/>
          </w:tcPr>
          <w:p w14:paraId="4688D4CA">
            <w:pPr>
              <w:spacing w:line="360" w:lineRule="exact"/>
              <w:rPr>
                <w:rFonts w:hint="eastAsia" w:ascii="仿宋" w:hAnsi="仿宋" w:eastAsia="仿宋" w:cs="仿宋"/>
                <w:b/>
                <w:bCs/>
                <w:color w:val="auto"/>
                <w:sz w:val="20"/>
                <w:szCs w:val="20"/>
                <w:highlight w:val="none"/>
              </w:rPr>
            </w:pPr>
          </w:p>
        </w:tc>
      </w:tr>
      <w:tr w14:paraId="6756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00" w:type="dxa"/>
            <w:vAlign w:val="center"/>
          </w:tcPr>
          <w:p w14:paraId="7091674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39.1</w:t>
            </w:r>
          </w:p>
        </w:tc>
        <w:tc>
          <w:tcPr>
            <w:tcW w:w="1837" w:type="dxa"/>
            <w:vAlign w:val="center"/>
          </w:tcPr>
          <w:p w14:paraId="1534967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基本要求</w:t>
            </w:r>
          </w:p>
        </w:tc>
        <w:tc>
          <w:tcPr>
            <w:tcW w:w="6199" w:type="dxa"/>
            <w:vAlign w:val="center"/>
          </w:tcPr>
          <w:p w14:paraId="1D7D3491">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在医院采购方配合协调提供HIS接口的前提下，实现与现有院方HIS系统的软件对接，实现医护人员可一键通过HIS读取病人的手术基本信息，并形成病人手术基本型信息页签卡，支持后期数据的快速检索</w:t>
            </w:r>
          </w:p>
        </w:tc>
      </w:tr>
      <w:tr w14:paraId="1386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5529712">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40</w:t>
            </w:r>
          </w:p>
        </w:tc>
        <w:tc>
          <w:tcPr>
            <w:tcW w:w="1837" w:type="dxa"/>
            <w:vAlign w:val="center"/>
          </w:tcPr>
          <w:p w14:paraId="7C7A813A">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家属交互模组</w:t>
            </w:r>
          </w:p>
        </w:tc>
        <w:tc>
          <w:tcPr>
            <w:tcW w:w="6199" w:type="dxa"/>
            <w:vAlign w:val="center"/>
          </w:tcPr>
          <w:p w14:paraId="02BC794C">
            <w:pPr>
              <w:spacing w:line="360" w:lineRule="exact"/>
              <w:rPr>
                <w:rFonts w:hint="eastAsia" w:ascii="仿宋" w:hAnsi="仿宋" w:eastAsia="仿宋" w:cs="仿宋"/>
                <w:b/>
                <w:bCs/>
                <w:color w:val="auto"/>
                <w:sz w:val="20"/>
                <w:szCs w:val="20"/>
                <w:highlight w:val="none"/>
              </w:rPr>
            </w:pPr>
          </w:p>
        </w:tc>
      </w:tr>
      <w:tr w14:paraId="6D33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1822FE5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40.1</w:t>
            </w:r>
          </w:p>
        </w:tc>
        <w:tc>
          <w:tcPr>
            <w:tcW w:w="1837" w:type="dxa"/>
            <w:vAlign w:val="center"/>
          </w:tcPr>
          <w:p w14:paraId="11837B1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硬件要求</w:t>
            </w:r>
          </w:p>
        </w:tc>
        <w:tc>
          <w:tcPr>
            <w:tcW w:w="6199" w:type="dxa"/>
            <w:vAlign w:val="center"/>
          </w:tcPr>
          <w:p w14:paraId="7C15D906">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摄像头分辨率不低于720P；支持麦克风收音和音箱外放</w:t>
            </w:r>
          </w:p>
        </w:tc>
      </w:tr>
      <w:tr w14:paraId="40EC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46C1323">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41</w:t>
            </w:r>
          </w:p>
        </w:tc>
        <w:tc>
          <w:tcPr>
            <w:tcW w:w="1837" w:type="dxa"/>
            <w:vAlign w:val="center"/>
          </w:tcPr>
          <w:p w14:paraId="712716EE">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谈话间软件</w:t>
            </w:r>
          </w:p>
          <w:p w14:paraId="03A793FD">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（医护端）</w:t>
            </w:r>
          </w:p>
        </w:tc>
        <w:tc>
          <w:tcPr>
            <w:tcW w:w="6199" w:type="dxa"/>
            <w:vAlign w:val="center"/>
          </w:tcPr>
          <w:p w14:paraId="4EE4F733">
            <w:pPr>
              <w:spacing w:line="360" w:lineRule="exact"/>
              <w:rPr>
                <w:rFonts w:hint="eastAsia" w:ascii="仿宋" w:hAnsi="仿宋" w:eastAsia="仿宋" w:cs="仿宋"/>
                <w:b/>
                <w:bCs/>
                <w:color w:val="auto"/>
                <w:sz w:val="20"/>
                <w:szCs w:val="20"/>
                <w:highlight w:val="none"/>
              </w:rPr>
            </w:pPr>
          </w:p>
        </w:tc>
      </w:tr>
      <w:tr w14:paraId="6E95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405648D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41.1</w:t>
            </w:r>
          </w:p>
        </w:tc>
        <w:tc>
          <w:tcPr>
            <w:tcW w:w="1837" w:type="dxa"/>
            <w:vAlign w:val="center"/>
          </w:tcPr>
          <w:p w14:paraId="493585D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基本要求</w:t>
            </w:r>
          </w:p>
        </w:tc>
        <w:tc>
          <w:tcPr>
            <w:tcW w:w="6199" w:type="dxa"/>
            <w:vAlign w:val="center"/>
          </w:tcPr>
          <w:p w14:paraId="255CA795">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可以显示手术室内人员及手术基本信息，还可以显示手术室环境信息；支持手术室与家属谈话间之间的音视频互通，可在手术室端发起和结束谈话，支持过程音视频录制</w:t>
            </w:r>
          </w:p>
        </w:tc>
      </w:tr>
      <w:tr w14:paraId="0D3D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00EBCABC">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42</w:t>
            </w:r>
          </w:p>
        </w:tc>
        <w:tc>
          <w:tcPr>
            <w:tcW w:w="1837" w:type="dxa"/>
            <w:vAlign w:val="center"/>
          </w:tcPr>
          <w:p w14:paraId="70CD3422">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谈话间软件</w:t>
            </w:r>
          </w:p>
          <w:p w14:paraId="0B55F225">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（家属端）</w:t>
            </w:r>
          </w:p>
        </w:tc>
        <w:tc>
          <w:tcPr>
            <w:tcW w:w="6199" w:type="dxa"/>
            <w:vAlign w:val="center"/>
          </w:tcPr>
          <w:p w14:paraId="7B3722C5">
            <w:pPr>
              <w:spacing w:line="360" w:lineRule="exact"/>
              <w:rPr>
                <w:rFonts w:hint="eastAsia" w:ascii="仿宋" w:hAnsi="仿宋" w:eastAsia="仿宋" w:cs="仿宋"/>
                <w:b/>
                <w:bCs/>
                <w:color w:val="auto"/>
                <w:sz w:val="20"/>
                <w:szCs w:val="20"/>
                <w:highlight w:val="none"/>
              </w:rPr>
            </w:pPr>
          </w:p>
        </w:tc>
      </w:tr>
      <w:tr w14:paraId="3B71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1920415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42.1</w:t>
            </w:r>
          </w:p>
        </w:tc>
        <w:tc>
          <w:tcPr>
            <w:tcW w:w="1837" w:type="dxa"/>
            <w:vAlign w:val="center"/>
          </w:tcPr>
          <w:p w14:paraId="0577EF9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基本要求</w:t>
            </w:r>
          </w:p>
        </w:tc>
        <w:tc>
          <w:tcPr>
            <w:tcW w:w="6199" w:type="dxa"/>
            <w:vAlign w:val="center"/>
          </w:tcPr>
          <w:p w14:paraId="652E474B">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支持手术室与谈话间之间的音视频互通；支持将谈话间的视频信号传递给手术室；支持在谈话界面同时显示手术室和谈话间的视频信号</w:t>
            </w:r>
          </w:p>
        </w:tc>
      </w:tr>
      <w:tr w14:paraId="614A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1EE66A88">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43</w:t>
            </w:r>
          </w:p>
        </w:tc>
        <w:tc>
          <w:tcPr>
            <w:tcW w:w="1837" w:type="dxa"/>
            <w:vAlign w:val="center"/>
          </w:tcPr>
          <w:p w14:paraId="0891A9FE">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家属谈话终端</w:t>
            </w:r>
          </w:p>
        </w:tc>
        <w:tc>
          <w:tcPr>
            <w:tcW w:w="6199" w:type="dxa"/>
            <w:vAlign w:val="center"/>
          </w:tcPr>
          <w:p w14:paraId="57332CCB">
            <w:pPr>
              <w:spacing w:line="360" w:lineRule="exact"/>
              <w:rPr>
                <w:rFonts w:hint="eastAsia" w:ascii="仿宋" w:hAnsi="仿宋" w:eastAsia="仿宋" w:cs="仿宋"/>
                <w:b/>
                <w:bCs/>
                <w:color w:val="auto"/>
                <w:sz w:val="20"/>
                <w:szCs w:val="20"/>
                <w:highlight w:val="none"/>
              </w:rPr>
            </w:pPr>
          </w:p>
        </w:tc>
      </w:tr>
      <w:tr w14:paraId="61BD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C2FA1B7">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43.1</w:t>
            </w:r>
          </w:p>
        </w:tc>
        <w:tc>
          <w:tcPr>
            <w:tcW w:w="1837" w:type="dxa"/>
            <w:vAlign w:val="center"/>
          </w:tcPr>
          <w:p w14:paraId="4A5BF24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屏幕</w:t>
            </w:r>
          </w:p>
        </w:tc>
        <w:tc>
          <w:tcPr>
            <w:tcW w:w="6199" w:type="dxa"/>
            <w:vAlign w:val="center"/>
          </w:tcPr>
          <w:p w14:paraId="446B4186">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≥23寸，屏幕分辨率不低于1920*1080P</w:t>
            </w:r>
          </w:p>
        </w:tc>
      </w:tr>
      <w:tr w14:paraId="53B4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3F9B5F1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43.2</w:t>
            </w:r>
          </w:p>
        </w:tc>
        <w:tc>
          <w:tcPr>
            <w:tcW w:w="1837" w:type="dxa"/>
            <w:vAlign w:val="center"/>
          </w:tcPr>
          <w:p w14:paraId="469CDF6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CPU</w:t>
            </w:r>
          </w:p>
        </w:tc>
        <w:tc>
          <w:tcPr>
            <w:tcW w:w="6199" w:type="dxa"/>
            <w:vAlign w:val="center"/>
          </w:tcPr>
          <w:p w14:paraId="0B338D00">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≥6核，最大频率不低于2.6GHZ</w:t>
            </w:r>
          </w:p>
        </w:tc>
      </w:tr>
      <w:tr w14:paraId="57D7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D4B883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43.3</w:t>
            </w:r>
          </w:p>
        </w:tc>
        <w:tc>
          <w:tcPr>
            <w:tcW w:w="1837" w:type="dxa"/>
            <w:vAlign w:val="center"/>
          </w:tcPr>
          <w:p w14:paraId="35B5F81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内存</w:t>
            </w:r>
          </w:p>
        </w:tc>
        <w:tc>
          <w:tcPr>
            <w:tcW w:w="6199" w:type="dxa"/>
            <w:vAlign w:val="center"/>
          </w:tcPr>
          <w:p w14:paraId="20FAFD65">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≥16G，硬盘容量不低于512G</w:t>
            </w:r>
          </w:p>
        </w:tc>
      </w:tr>
      <w:tr w14:paraId="4B99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0E1DA02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43.4</w:t>
            </w:r>
          </w:p>
        </w:tc>
        <w:tc>
          <w:tcPr>
            <w:tcW w:w="1837" w:type="dxa"/>
            <w:vAlign w:val="center"/>
          </w:tcPr>
          <w:p w14:paraId="21956A6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配置要求</w:t>
            </w:r>
          </w:p>
        </w:tc>
        <w:tc>
          <w:tcPr>
            <w:tcW w:w="6199" w:type="dxa"/>
            <w:vAlign w:val="center"/>
          </w:tcPr>
          <w:p w14:paraId="7C1EFB41">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配置摄像头、麦克风、扬声器</w:t>
            </w:r>
          </w:p>
        </w:tc>
      </w:tr>
      <w:tr w14:paraId="7A9E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688C9D5C">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44</w:t>
            </w:r>
          </w:p>
        </w:tc>
        <w:tc>
          <w:tcPr>
            <w:tcW w:w="1837" w:type="dxa"/>
            <w:vAlign w:val="center"/>
          </w:tcPr>
          <w:p w14:paraId="757DD0BF">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手术室门口智慧信息屏</w:t>
            </w:r>
          </w:p>
        </w:tc>
        <w:tc>
          <w:tcPr>
            <w:tcW w:w="6199" w:type="dxa"/>
            <w:vAlign w:val="center"/>
          </w:tcPr>
          <w:p w14:paraId="76BE3907">
            <w:pPr>
              <w:spacing w:line="360" w:lineRule="exact"/>
              <w:rPr>
                <w:rFonts w:hint="eastAsia" w:ascii="仿宋" w:hAnsi="仿宋" w:eastAsia="仿宋" w:cs="仿宋"/>
                <w:b/>
                <w:bCs/>
                <w:color w:val="auto"/>
                <w:sz w:val="20"/>
                <w:szCs w:val="20"/>
                <w:highlight w:val="none"/>
              </w:rPr>
            </w:pPr>
          </w:p>
        </w:tc>
      </w:tr>
      <w:tr w14:paraId="408B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359E639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44.1</w:t>
            </w:r>
          </w:p>
        </w:tc>
        <w:tc>
          <w:tcPr>
            <w:tcW w:w="1837" w:type="dxa"/>
            <w:vAlign w:val="center"/>
          </w:tcPr>
          <w:p w14:paraId="185FE4F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屏幕</w:t>
            </w:r>
          </w:p>
        </w:tc>
        <w:tc>
          <w:tcPr>
            <w:tcW w:w="6199" w:type="dxa"/>
            <w:vAlign w:val="center"/>
          </w:tcPr>
          <w:p w14:paraId="31DE846F">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≥15英寸，分辨率不低于1920×1080，支持电容触摸屏</w:t>
            </w:r>
          </w:p>
        </w:tc>
      </w:tr>
      <w:tr w14:paraId="75AA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200" w:type="dxa"/>
            <w:vAlign w:val="center"/>
          </w:tcPr>
          <w:p w14:paraId="3F0D5BE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44.2</w:t>
            </w:r>
          </w:p>
        </w:tc>
        <w:tc>
          <w:tcPr>
            <w:tcW w:w="1837" w:type="dxa"/>
            <w:vAlign w:val="center"/>
          </w:tcPr>
          <w:p w14:paraId="7E8CA48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安装方式</w:t>
            </w:r>
          </w:p>
        </w:tc>
        <w:tc>
          <w:tcPr>
            <w:tcW w:w="6199" w:type="dxa"/>
            <w:vAlign w:val="center"/>
          </w:tcPr>
          <w:p w14:paraId="7490E4E6">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内嵌式</w:t>
            </w:r>
          </w:p>
        </w:tc>
      </w:tr>
      <w:tr w14:paraId="126F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1D0752D1">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45</w:t>
            </w:r>
          </w:p>
        </w:tc>
        <w:tc>
          <w:tcPr>
            <w:tcW w:w="1837" w:type="dxa"/>
            <w:vAlign w:val="center"/>
          </w:tcPr>
          <w:p w14:paraId="3D00EA60">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手术室门口屏信息处理软件</w:t>
            </w:r>
          </w:p>
          <w:p w14:paraId="672C4588">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（服务器端）</w:t>
            </w:r>
          </w:p>
        </w:tc>
        <w:tc>
          <w:tcPr>
            <w:tcW w:w="6199" w:type="dxa"/>
            <w:vAlign w:val="center"/>
          </w:tcPr>
          <w:p w14:paraId="28745863">
            <w:pPr>
              <w:spacing w:line="360" w:lineRule="exact"/>
              <w:rPr>
                <w:rFonts w:hint="eastAsia" w:ascii="仿宋" w:hAnsi="仿宋" w:eastAsia="仿宋" w:cs="仿宋"/>
                <w:b/>
                <w:bCs/>
                <w:color w:val="auto"/>
                <w:sz w:val="20"/>
                <w:szCs w:val="20"/>
                <w:highlight w:val="none"/>
              </w:rPr>
            </w:pPr>
          </w:p>
        </w:tc>
      </w:tr>
      <w:tr w14:paraId="5B8D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BFEEFA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45.1</w:t>
            </w:r>
          </w:p>
        </w:tc>
        <w:tc>
          <w:tcPr>
            <w:tcW w:w="1837" w:type="dxa"/>
            <w:vAlign w:val="center"/>
          </w:tcPr>
          <w:p w14:paraId="5E3BB1A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基本要求</w:t>
            </w:r>
          </w:p>
        </w:tc>
        <w:tc>
          <w:tcPr>
            <w:tcW w:w="6199" w:type="dxa"/>
            <w:vAlign w:val="center"/>
          </w:tcPr>
          <w:p w14:paraId="331C30E9">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可以显示手术室内人员及手术基本信息，还可以显示手术室环境信息；支持手术室与家属谈话间之间的音视频互通，可在手术室端发起和结束谈话，支持过程音视频录制</w:t>
            </w:r>
          </w:p>
        </w:tc>
      </w:tr>
      <w:tr w14:paraId="2A39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0FE436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45.2</w:t>
            </w:r>
          </w:p>
        </w:tc>
        <w:tc>
          <w:tcPr>
            <w:tcW w:w="1837" w:type="dxa"/>
            <w:vAlign w:val="center"/>
          </w:tcPr>
          <w:p w14:paraId="456D4D1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室外监测与显示</w:t>
            </w:r>
          </w:p>
        </w:tc>
        <w:tc>
          <w:tcPr>
            <w:tcW w:w="6199" w:type="dxa"/>
            <w:vAlign w:val="center"/>
          </w:tcPr>
          <w:p w14:paraId="0D344B4C">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可实时显示手术室内监护仪波形、参数信息，至少支持一种监护仪品牌；可以支持智能化切换白天使用亮色风格，晚上使用暗色风格</w:t>
            </w:r>
          </w:p>
        </w:tc>
      </w:tr>
      <w:tr w14:paraId="3BF3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759CB0AB">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46</w:t>
            </w:r>
          </w:p>
        </w:tc>
        <w:tc>
          <w:tcPr>
            <w:tcW w:w="1837" w:type="dxa"/>
            <w:vAlign w:val="center"/>
          </w:tcPr>
          <w:p w14:paraId="17328ADB">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手术室门口屏信息处理服务器</w:t>
            </w:r>
          </w:p>
        </w:tc>
        <w:tc>
          <w:tcPr>
            <w:tcW w:w="6199" w:type="dxa"/>
            <w:vAlign w:val="center"/>
          </w:tcPr>
          <w:p w14:paraId="0905BB6B">
            <w:pPr>
              <w:spacing w:line="360" w:lineRule="exact"/>
              <w:rPr>
                <w:rFonts w:hint="eastAsia" w:ascii="仿宋" w:hAnsi="仿宋" w:eastAsia="仿宋" w:cs="仿宋"/>
                <w:b/>
                <w:bCs/>
                <w:color w:val="auto"/>
                <w:sz w:val="20"/>
                <w:szCs w:val="20"/>
                <w:highlight w:val="none"/>
              </w:rPr>
            </w:pPr>
          </w:p>
        </w:tc>
      </w:tr>
      <w:tr w14:paraId="1C07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0F1DDA3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46.1</w:t>
            </w:r>
          </w:p>
        </w:tc>
        <w:tc>
          <w:tcPr>
            <w:tcW w:w="1837" w:type="dxa"/>
            <w:vAlign w:val="center"/>
          </w:tcPr>
          <w:p w14:paraId="0748BDE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物理要求</w:t>
            </w:r>
          </w:p>
        </w:tc>
        <w:tc>
          <w:tcPr>
            <w:tcW w:w="6199" w:type="dxa"/>
            <w:vAlign w:val="center"/>
          </w:tcPr>
          <w:p w14:paraId="0CAB206A">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CPU不低于 4 核、 3.0 GHz；内存支持16GB 或以上</w:t>
            </w:r>
          </w:p>
        </w:tc>
      </w:tr>
      <w:tr w14:paraId="7FBA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5ED0D22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46.2</w:t>
            </w:r>
          </w:p>
        </w:tc>
        <w:tc>
          <w:tcPr>
            <w:tcW w:w="1837" w:type="dxa"/>
            <w:vAlign w:val="center"/>
          </w:tcPr>
          <w:p w14:paraId="0C1A633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网络协议</w:t>
            </w:r>
          </w:p>
        </w:tc>
        <w:tc>
          <w:tcPr>
            <w:tcW w:w="6199" w:type="dxa"/>
            <w:vAlign w:val="center"/>
          </w:tcPr>
          <w:p w14:paraId="6B5D9217">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网卡满足1000M 或以上自适应</w:t>
            </w:r>
          </w:p>
        </w:tc>
      </w:tr>
      <w:tr w14:paraId="6ED9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vAlign w:val="center"/>
          </w:tcPr>
          <w:p w14:paraId="3068EA5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46.3</w:t>
            </w:r>
          </w:p>
        </w:tc>
        <w:tc>
          <w:tcPr>
            <w:tcW w:w="1837" w:type="dxa"/>
            <w:vAlign w:val="center"/>
          </w:tcPr>
          <w:p w14:paraId="43F338C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存储功能</w:t>
            </w:r>
          </w:p>
        </w:tc>
        <w:tc>
          <w:tcPr>
            <w:tcW w:w="6199" w:type="dxa"/>
            <w:vAlign w:val="center"/>
          </w:tcPr>
          <w:p w14:paraId="64D58846">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硬盘不低于500 GB，支持双硬盘数据冗余</w:t>
            </w:r>
          </w:p>
        </w:tc>
      </w:tr>
      <w:tr w14:paraId="5754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00" w:type="dxa"/>
            <w:noWrap/>
            <w:vAlign w:val="center"/>
          </w:tcPr>
          <w:p w14:paraId="359F284E">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47</w:t>
            </w:r>
          </w:p>
        </w:tc>
        <w:tc>
          <w:tcPr>
            <w:tcW w:w="1837" w:type="dxa"/>
            <w:vAlign w:val="center"/>
          </w:tcPr>
          <w:p w14:paraId="35DA0118">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手术运营管理软件</w:t>
            </w:r>
          </w:p>
        </w:tc>
        <w:tc>
          <w:tcPr>
            <w:tcW w:w="6199" w:type="dxa"/>
            <w:vAlign w:val="center"/>
          </w:tcPr>
          <w:p w14:paraId="0768B782">
            <w:pPr>
              <w:spacing w:line="360" w:lineRule="exact"/>
              <w:rPr>
                <w:rFonts w:hint="eastAsia" w:ascii="仿宋" w:hAnsi="仿宋" w:eastAsia="仿宋" w:cs="仿宋"/>
                <w:b/>
                <w:bCs/>
                <w:color w:val="auto"/>
                <w:sz w:val="20"/>
                <w:szCs w:val="20"/>
                <w:highlight w:val="none"/>
              </w:rPr>
            </w:pPr>
          </w:p>
        </w:tc>
      </w:tr>
      <w:tr w14:paraId="4BC9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noWrap/>
            <w:vAlign w:val="center"/>
          </w:tcPr>
          <w:p w14:paraId="68C2503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47.1</w:t>
            </w:r>
          </w:p>
        </w:tc>
        <w:tc>
          <w:tcPr>
            <w:tcW w:w="1837" w:type="dxa"/>
            <w:vAlign w:val="center"/>
          </w:tcPr>
          <w:p w14:paraId="018D704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运行数据查看</w:t>
            </w:r>
          </w:p>
        </w:tc>
        <w:tc>
          <w:tcPr>
            <w:tcW w:w="6199" w:type="dxa"/>
            <w:vAlign w:val="center"/>
          </w:tcPr>
          <w:p w14:paraId="2A1A3DFF">
            <w:pPr>
              <w:spacing w:line="360" w:lineRule="exact"/>
              <w:rPr>
                <w:rFonts w:hint="eastAsia" w:ascii="仿宋" w:hAnsi="仿宋" w:eastAsia="仿宋" w:cs="仿宋"/>
                <w:b/>
                <w:bCs/>
                <w:color w:val="auto"/>
                <w:sz w:val="20"/>
                <w:szCs w:val="20"/>
                <w:highlight w:val="none"/>
              </w:rPr>
            </w:pPr>
            <w:r>
              <w:rPr>
                <w:rFonts w:hint="eastAsia" w:ascii="仿宋" w:hAnsi="仿宋" w:eastAsia="仿宋" w:cs="仿宋"/>
                <w:color w:val="auto"/>
                <w:sz w:val="20"/>
                <w:szCs w:val="20"/>
                <w:highlight w:val="none"/>
              </w:rPr>
              <w:t>支持与排班系统、手麻系统、手术室护理系统对接，可图形化显示手术室内各类业务数据驾驶舱看板</w:t>
            </w:r>
          </w:p>
        </w:tc>
      </w:tr>
      <w:tr w14:paraId="0171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noWrap/>
            <w:vAlign w:val="center"/>
          </w:tcPr>
          <w:p w14:paraId="01F9972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47.2</w:t>
            </w:r>
          </w:p>
        </w:tc>
        <w:tc>
          <w:tcPr>
            <w:tcW w:w="1837" w:type="dxa"/>
            <w:vAlign w:val="center"/>
          </w:tcPr>
          <w:p w14:paraId="5F27BCEE">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手术统计功能</w:t>
            </w:r>
          </w:p>
        </w:tc>
        <w:tc>
          <w:tcPr>
            <w:tcW w:w="6199" w:type="dxa"/>
            <w:vAlign w:val="center"/>
          </w:tcPr>
          <w:p w14:paraId="1287DE8B">
            <w:pPr>
              <w:spacing w:line="360" w:lineRule="exact"/>
              <w:rPr>
                <w:rFonts w:hint="eastAsia" w:ascii="仿宋" w:hAnsi="仿宋" w:eastAsia="仿宋" w:cs="仿宋"/>
                <w:b/>
                <w:bCs/>
                <w:color w:val="auto"/>
                <w:sz w:val="20"/>
                <w:szCs w:val="20"/>
                <w:highlight w:val="none"/>
              </w:rPr>
            </w:pPr>
            <w:r>
              <w:rPr>
                <w:rFonts w:hint="eastAsia" w:ascii="仿宋" w:hAnsi="仿宋" w:eastAsia="仿宋" w:cs="仿宋"/>
                <w:color w:val="auto"/>
                <w:sz w:val="20"/>
                <w:szCs w:val="20"/>
                <w:highlight w:val="none"/>
              </w:rPr>
              <w:t>支持当日手术量，实时手术状态的统计；支持当日未准点开台手术的统计；支持当日换台时间超过一定时长（如半小时，可自定义）的手术的统计；支持一定时间段内手术总量、急诊择期手术总量的统计；支持按中心手术室、日间、室外手术总量的统计</w:t>
            </w:r>
          </w:p>
        </w:tc>
      </w:tr>
      <w:tr w14:paraId="13EB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noWrap/>
            <w:vAlign w:val="center"/>
          </w:tcPr>
          <w:p w14:paraId="6D6801D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47.3</w:t>
            </w:r>
          </w:p>
        </w:tc>
        <w:tc>
          <w:tcPr>
            <w:tcW w:w="1837" w:type="dxa"/>
            <w:vAlign w:val="center"/>
          </w:tcPr>
          <w:p w14:paraId="4A1BF81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分类统计功能</w:t>
            </w:r>
          </w:p>
        </w:tc>
        <w:tc>
          <w:tcPr>
            <w:tcW w:w="6199" w:type="dxa"/>
            <w:vAlign w:val="center"/>
          </w:tcPr>
          <w:p w14:paraId="2E086A89">
            <w:pPr>
              <w:spacing w:line="360" w:lineRule="exact"/>
              <w:rPr>
                <w:rFonts w:hint="eastAsia" w:ascii="仿宋" w:hAnsi="仿宋" w:eastAsia="仿宋" w:cs="仿宋"/>
                <w:b/>
                <w:bCs/>
                <w:color w:val="auto"/>
                <w:sz w:val="20"/>
                <w:szCs w:val="20"/>
                <w:highlight w:val="none"/>
              </w:rPr>
            </w:pPr>
            <w:r>
              <w:rPr>
                <w:rFonts w:hint="eastAsia" w:ascii="仿宋" w:hAnsi="仿宋" w:eastAsia="仿宋" w:cs="仿宋"/>
                <w:color w:val="auto"/>
                <w:sz w:val="20"/>
                <w:szCs w:val="20"/>
                <w:highlight w:val="none"/>
              </w:rPr>
              <w:t>支持一定时间段内各手术级别、ASA级别、麻醉方式的分类统计；支持一定时间段内的平均接台时间的统计；支持一定时间段内的准点开台率的统计；支持一定时间段内麻醉医生、护士等角色的工作总时长、平均工作时长的统计与排序；支持一定时间段内麻醉医生、护士等角色的台次数、手术级别及ASA分级的统计；支持一定时间段内手术时长，麻醉时长，科室分布情况的分类统计</w:t>
            </w:r>
          </w:p>
        </w:tc>
      </w:tr>
      <w:tr w14:paraId="5A9F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noWrap/>
            <w:vAlign w:val="center"/>
          </w:tcPr>
          <w:p w14:paraId="5900E671">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48</w:t>
            </w:r>
          </w:p>
        </w:tc>
        <w:tc>
          <w:tcPr>
            <w:tcW w:w="1837" w:type="dxa"/>
            <w:vAlign w:val="center"/>
          </w:tcPr>
          <w:p w14:paraId="12955CF6">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手术运营服务处理器</w:t>
            </w:r>
          </w:p>
        </w:tc>
        <w:tc>
          <w:tcPr>
            <w:tcW w:w="6199" w:type="dxa"/>
            <w:vAlign w:val="center"/>
          </w:tcPr>
          <w:p w14:paraId="071C1007">
            <w:pPr>
              <w:spacing w:line="360" w:lineRule="exact"/>
              <w:rPr>
                <w:rFonts w:hint="eastAsia" w:ascii="仿宋" w:hAnsi="仿宋" w:eastAsia="仿宋" w:cs="仿宋"/>
                <w:b/>
                <w:bCs/>
                <w:color w:val="auto"/>
                <w:sz w:val="20"/>
                <w:szCs w:val="20"/>
                <w:highlight w:val="none"/>
              </w:rPr>
            </w:pPr>
          </w:p>
        </w:tc>
      </w:tr>
      <w:tr w14:paraId="1906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noWrap/>
            <w:vAlign w:val="center"/>
          </w:tcPr>
          <w:p w14:paraId="380B6E7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48.1</w:t>
            </w:r>
          </w:p>
        </w:tc>
        <w:tc>
          <w:tcPr>
            <w:tcW w:w="1837" w:type="dxa"/>
            <w:vAlign w:val="center"/>
          </w:tcPr>
          <w:p w14:paraId="299A1FB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物理要求</w:t>
            </w:r>
          </w:p>
        </w:tc>
        <w:tc>
          <w:tcPr>
            <w:tcW w:w="6199" w:type="dxa"/>
            <w:vAlign w:val="center"/>
          </w:tcPr>
          <w:p w14:paraId="18C00182">
            <w:pPr>
              <w:spacing w:line="360" w:lineRule="exact"/>
              <w:rPr>
                <w:rFonts w:hint="eastAsia" w:ascii="仿宋" w:hAnsi="仿宋" w:eastAsia="仿宋" w:cs="仿宋"/>
                <w:b/>
                <w:bCs/>
                <w:color w:val="auto"/>
                <w:sz w:val="20"/>
                <w:szCs w:val="20"/>
                <w:highlight w:val="none"/>
              </w:rPr>
            </w:pPr>
            <w:r>
              <w:rPr>
                <w:rFonts w:hint="eastAsia" w:ascii="仿宋" w:hAnsi="仿宋" w:eastAsia="仿宋" w:cs="仿宋"/>
                <w:color w:val="auto"/>
                <w:sz w:val="20"/>
                <w:szCs w:val="20"/>
                <w:highlight w:val="none"/>
              </w:rPr>
              <w:t xml:space="preserve">CPU不低于4 核，不低于 3.0 GHz；内存16GB 或以上 </w:t>
            </w:r>
          </w:p>
        </w:tc>
      </w:tr>
      <w:tr w14:paraId="37FD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noWrap/>
            <w:vAlign w:val="center"/>
          </w:tcPr>
          <w:p w14:paraId="2BF660E2">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48.2</w:t>
            </w:r>
          </w:p>
        </w:tc>
        <w:tc>
          <w:tcPr>
            <w:tcW w:w="1837" w:type="dxa"/>
            <w:vAlign w:val="center"/>
          </w:tcPr>
          <w:p w14:paraId="25EF7F71">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网络协议</w:t>
            </w:r>
          </w:p>
        </w:tc>
        <w:tc>
          <w:tcPr>
            <w:tcW w:w="6199" w:type="dxa"/>
            <w:vAlign w:val="center"/>
          </w:tcPr>
          <w:p w14:paraId="6FF8D482">
            <w:pPr>
              <w:spacing w:line="360" w:lineRule="exact"/>
              <w:rPr>
                <w:rFonts w:hint="eastAsia" w:ascii="仿宋" w:hAnsi="仿宋" w:eastAsia="仿宋" w:cs="仿宋"/>
                <w:b/>
                <w:bCs/>
                <w:color w:val="auto"/>
                <w:sz w:val="20"/>
                <w:szCs w:val="20"/>
                <w:highlight w:val="none"/>
              </w:rPr>
            </w:pPr>
            <w:r>
              <w:rPr>
                <w:rFonts w:hint="eastAsia" w:ascii="仿宋" w:hAnsi="仿宋" w:eastAsia="仿宋" w:cs="仿宋"/>
                <w:color w:val="auto"/>
                <w:sz w:val="20"/>
                <w:szCs w:val="20"/>
                <w:highlight w:val="none"/>
              </w:rPr>
              <w:t>网卡1000M 或以上自适应、 Ethernet 802.3</w:t>
            </w:r>
          </w:p>
        </w:tc>
      </w:tr>
      <w:tr w14:paraId="56F8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noWrap/>
            <w:vAlign w:val="center"/>
          </w:tcPr>
          <w:p w14:paraId="13B8092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48.3</w:t>
            </w:r>
          </w:p>
        </w:tc>
        <w:tc>
          <w:tcPr>
            <w:tcW w:w="1837" w:type="dxa"/>
            <w:vAlign w:val="center"/>
          </w:tcPr>
          <w:p w14:paraId="1643F78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存储功能</w:t>
            </w:r>
          </w:p>
        </w:tc>
        <w:tc>
          <w:tcPr>
            <w:tcW w:w="6199" w:type="dxa"/>
            <w:vAlign w:val="center"/>
          </w:tcPr>
          <w:p w14:paraId="487BF87E">
            <w:pPr>
              <w:spacing w:line="360" w:lineRule="exact"/>
              <w:rPr>
                <w:rFonts w:hint="eastAsia" w:ascii="仿宋" w:hAnsi="仿宋" w:eastAsia="仿宋" w:cs="仿宋"/>
                <w:b/>
                <w:bCs/>
                <w:color w:val="auto"/>
                <w:sz w:val="20"/>
                <w:szCs w:val="20"/>
                <w:highlight w:val="none"/>
              </w:rPr>
            </w:pPr>
            <w:r>
              <w:rPr>
                <w:rFonts w:hint="eastAsia" w:ascii="仿宋" w:hAnsi="仿宋" w:eastAsia="仿宋" w:cs="仿宋"/>
                <w:color w:val="auto"/>
                <w:sz w:val="20"/>
                <w:szCs w:val="20"/>
                <w:highlight w:val="none"/>
              </w:rPr>
              <w:t>硬盘500 GB 或以上，支持双硬盘数据冗余</w:t>
            </w:r>
          </w:p>
        </w:tc>
      </w:tr>
      <w:tr w14:paraId="5AC3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noWrap/>
            <w:vAlign w:val="center"/>
          </w:tcPr>
          <w:p w14:paraId="2436D010">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49</w:t>
            </w:r>
          </w:p>
        </w:tc>
        <w:tc>
          <w:tcPr>
            <w:tcW w:w="1837" w:type="dxa"/>
            <w:vAlign w:val="center"/>
          </w:tcPr>
          <w:p w14:paraId="65D8A8E9">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3轴电动云台4K摄像（含吊臂）</w:t>
            </w:r>
          </w:p>
        </w:tc>
        <w:tc>
          <w:tcPr>
            <w:tcW w:w="6199" w:type="dxa"/>
            <w:vAlign w:val="center"/>
          </w:tcPr>
          <w:p w14:paraId="43D4EE34">
            <w:pPr>
              <w:spacing w:line="360" w:lineRule="exact"/>
              <w:rPr>
                <w:rFonts w:hint="eastAsia" w:ascii="仿宋" w:hAnsi="仿宋" w:eastAsia="仿宋" w:cs="仿宋"/>
                <w:b/>
                <w:bCs/>
                <w:color w:val="auto"/>
                <w:sz w:val="20"/>
                <w:szCs w:val="20"/>
                <w:highlight w:val="none"/>
              </w:rPr>
            </w:pPr>
          </w:p>
        </w:tc>
      </w:tr>
      <w:tr w14:paraId="2B91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noWrap/>
            <w:vAlign w:val="center"/>
          </w:tcPr>
          <w:p w14:paraId="072AC909">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49.1</w:t>
            </w:r>
          </w:p>
        </w:tc>
        <w:tc>
          <w:tcPr>
            <w:tcW w:w="1837" w:type="dxa"/>
            <w:vAlign w:val="center"/>
          </w:tcPr>
          <w:p w14:paraId="0F6F1545">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全景摄像机</w:t>
            </w:r>
          </w:p>
        </w:tc>
        <w:tc>
          <w:tcPr>
            <w:tcW w:w="6199" w:type="dxa"/>
            <w:vAlign w:val="center"/>
          </w:tcPr>
          <w:p w14:paraId="338FB7FB">
            <w:pPr>
              <w:spacing w:line="360" w:lineRule="exact"/>
              <w:rPr>
                <w:rFonts w:hint="eastAsia" w:ascii="仿宋" w:hAnsi="仿宋" w:eastAsia="仿宋" w:cs="仿宋"/>
                <w:b/>
                <w:bCs/>
                <w:color w:val="auto"/>
                <w:sz w:val="20"/>
                <w:szCs w:val="20"/>
                <w:highlight w:val="none"/>
              </w:rPr>
            </w:pPr>
            <w:r>
              <w:rPr>
                <w:rFonts w:hint="eastAsia" w:ascii="仿宋" w:hAnsi="仿宋" w:eastAsia="仿宋" w:cs="仿宋"/>
                <w:color w:val="auto"/>
                <w:sz w:val="20"/>
                <w:szCs w:val="20"/>
                <w:highlight w:val="none"/>
              </w:rPr>
              <w:t>超清4K/60Hz，相机有效像素≥800万</w:t>
            </w:r>
          </w:p>
        </w:tc>
      </w:tr>
      <w:tr w14:paraId="7121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noWrap/>
            <w:vAlign w:val="center"/>
          </w:tcPr>
          <w:p w14:paraId="18A585DD">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b/>
                <w:bCs/>
                <w:color w:val="auto"/>
                <w:sz w:val="20"/>
                <w:szCs w:val="20"/>
                <w:highlight w:val="none"/>
              </w:rPr>
              <w:t>★</w:t>
            </w:r>
            <w:r>
              <w:rPr>
                <w:rFonts w:hint="eastAsia" w:ascii="仿宋" w:hAnsi="仿宋" w:eastAsia="仿宋" w:cs="仿宋"/>
                <w:color w:val="auto"/>
                <w:sz w:val="20"/>
                <w:szCs w:val="20"/>
                <w:highlight w:val="none"/>
              </w:rPr>
              <w:t>49.2</w:t>
            </w:r>
          </w:p>
        </w:tc>
        <w:tc>
          <w:tcPr>
            <w:tcW w:w="1837" w:type="dxa"/>
            <w:vAlign w:val="center"/>
          </w:tcPr>
          <w:p w14:paraId="210D2EFA">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三轴云台控制</w:t>
            </w:r>
          </w:p>
        </w:tc>
        <w:tc>
          <w:tcPr>
            <w:tcW w:w="6199" w:type="dxa"/>
            <w:vAlign w:val="center"/>
          </w:tcPr>
          <w:p w14:paraId="11CFEF6F">
            <w:pPr>
              <w:spacing w:line="360" w:lineRule="exact"/>
              <w:rPr>
                <w:rFonts w:hint="eastAsia" w:ascii="仿宋" w:hAnsi="仿宋" w:eastAsia="仿宋" w:cs="仿宋"/>
                <w:b/>
                <w:bCs/>
                <w:color w:val="auto"/>
                <w:sz w:val="20"/>
                <w:szCs w:val="20"/>
                <w:highlight w:val="none"/>
              </w:rPr>
            </w:pPr>
            <w:r>
              <w:rPr>
                <w:rFonts w:hint="eastAsia" w:ascii="仿宋" w:hAnsi="仿宋" w:eastAsia="仿宋" w:cs="仿宋"/>
                <w:color w:val="auto"/>
                <w:sz w:val="20"/>
                <w:szCs w:val="20"/>
                <w:highlight w:val="none"/>
              </w:rPr>
              <w:t>提供和无影灯支臂整合方案，可通过遥控或控制台至少实现术野摄像的平移+/-170°、倾斜+90°/-30°以及镜头滚动+/-165°三轴云台控制</w:t>
            </w:r>
          </w:p>
        </w:tc>
      </w:tr>
      <w:tr w14:paraId="5225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noWrap/>
            <w:vAlign w:val="center"/>
          </w:tcPr>
          <w:p w14:paraId="22E7527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49.3</w:t>
            </w:r>
          </w:p>
        </w:tc>
        <w:tc>
          <w:tcPr>
            <w:tcW w:w="1837" w:type="dxa"/>
            <w:vAlign w:val="center"/>
          </w:tcPr>
          <w:p w14:paraId="1F53461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光学调焦与变倍技术</w:t>
            </w:r>
          </w:p>
        </w:tc>
        <w:tc>
          <w:tcPr>
            <w:tcW w:w="6199" w:type="dxa"/>
            <w:vAlign w:val="center"/>
          </w:tcPr>
          <w:p w14:paraId="58B5D127">
            <w:pPr>
              <w:spacing w:line="360" w:lineRule="exact"/>
              <w:rPr>
                <w:rFonts w:hint="eastAsia" w:ascii="仿宋" w:hAnsi="仿宋" w:eastAsia="仿宋" w:cs="仿宋"/>
                <w:b/>
                <w:bCs/>
                <w:color w:val="auto"/>
                <w:sz w:val="20"/>
                <w:szCs w:val="20"/>
                <w:highlight w:val="none"/>
              </w:rPr>
            </w:pPr>
            <w:r>
              <w:rPr>
                <w:rFonts w:hint="eastAsia" w:ascii="仿宋" w:hAnsi="仿宋" w:eastAsia="仿宋" w:cs="仿宋"/>
                <w:color w:val="auto"/>
                <w:sz w:val="20"/>
                <w:szCs w:val="20"/>
                <w:highlight w:val="none"/>
              </w:rPr>
              <w:t>至少支持30倍光学变倍；至少支持光圈和聚焦的自动和手动调节</w:t>
            </w:r>
          </w:p>
        </w:tc>
      </w:tr>
      <w:tr w14:paraId="5C94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noWrap/>
            <w:vAlign w:val="center"/>
          </w:tcPr>
          <w:p w14:paraId="08859F1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49.4</w:t>
            </w:r>
          </w:p>
        </w:tc>
        <w:tc>
          <w:tcPr>
            <w:tcW w:w="1837" w:type="dxa"/>
            <w:vAlign w:val="center"/>
          </w:tcPr>
          <w:p w14:paraId="0934517B">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逆光环境拍摄</w:t>
            </w:r>
          </w:p>
        </w:tc>
        <w:tc>
          <w:tcPr>
            <w:tcW w:w="6199" w:type="dxa"/>
            <w:vAlign w:val="center"/>
          </w:tcPr>
          <w:p w14:paraId="37268A4A">
            <w:pPr>
              <w:spacing w:line="360" w:lineRule="exact"/>
              <w:rPr>
                <w:rFonts w:hint="eastAsia" w:ascii="仿宋" w:hAnsi="仿宋" w:eastAsia="仿宋" w:cs="仿宋"/>
                <w:b/>
                <w:bCs/>
                <w:color w:val="auto"/>
                <w:sz w:val="20"/>
                <w:szCs w:val="20"/>
                <w:highlight w:val="none"/>
              </w:rPr>
            </w:pPr>
            <w:r>
              <w:rPr>
                <w:rFonts w:hint="eastAsia" w:ascii="仿宋" w:hAnsi="仿宋" w:eastAsia="仿宋" w:cs="仿宋"/>
                <w:color w:val="auto"/>
                <w:sz w:val="20"/>
                <w:szCs w:val="20"/>
                <w:highlight w:val="none"/>
              </w:rPr>
              <w:t>至少支持自动电平控制、中央重点测光、BT2020 仿真、自动白平衡、支持3D数字降噪、强光抑制、电子防抖</w:t>
            </w:r>
          </w:p>
        </w:tc>
      </w:tr>
      <w:tr w14:paraId="1217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noWrap/>
            <w:vAlign w:val="center"/>
          </w:tcPr>
          <w:p w14:paraId="3782562C">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50</w:t>
            </w:r>
          </w:p>
        </w:tc>
        <w:tc>
          <w:tcPr>
            <w:tcW w:w="1837" w:type="dxa"/>
            <w:vAlign w:val="center"/>
          </w:tcPr>
          <w:p w14:paraId="1E30B239">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rPr>
              <w:t>手术床旁麒麟臂（多关节持镜臂）</w:t>
            </w:r>
          </w:p>
        </w:tc>
        <w:tc>
          <w:tcPr>
            <w:tcW w:w="6199" w:type="dxa"/>
            <w:vAlign w:val="center"/>
          </w:tcPr>
          <w:p w14:paraId="4D31FF2F">
            <w:pPr>
              <w:spacing w:line="360" w:lineRule="exact"/>
              <w:rPr>
                <w:rFonts w:hint="eastAsia" w:ascii="仿宋" w:hAnsi="仿宋" w:eastAsia="仿宋" w:cs="仿宋"/>
                <w:b/>
                <w:bCs/>
                <w:color w:val="auto"/>
                <w:sz w:val="20"/>
                <w:szCs w:val="20"/>
                <w:highlight w:val="none"/>
              </w:rPr>
            </w:pPr>
          </w:p>
        </w:tc>
      </w:tr>
      <w:tr w14:paraId="0CA6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noWrap/>
            <w:vAlign w:val="center"/>
          </w:tcPr>
          <w:p w14:paraId="2EF0893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50.1</w:t>
            </w:r>
          </w:p>
        </w:tc>
        <w:tc>
          <w:tcPr>
            <w:tcW w:w="1837" w:type="dxa"/>
            <w:vAlign w:val="center"/>
          </w:tcPr>
          <w:p w14:paraId="5CCCAAC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结构设计</w:t>
            </w:r>
          </w:p>
        </w:tc>
        <w:tc>
          <w:tcPr>
            <w:tcW w:w="6199" w:type="dxa"/>
            <w:vAlign w:val="center"/>
          </w:tcPr>
          <w:p w14:paraId="32C00C5A">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持镜臂结构支持无源全机械设计</w:t>
            </w:r>
          </w:p>
        </w:tc>
      </w:tr>
      <w:tr w14:paraId="1636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noWrap/>
            <w:vAlign w:val="center"/>
          </w:tcPr>
          <w:p w14:paraId="70A65440">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50.2</w:t>
            </w:r>
          </w:p>
        </w:tc>
        <w:tc>
          <w:tcPr>
            <w:tcW w:w="1837" w:type="dxa"/>
            <w:vAlign w:val="center"/>
          </w:tcPr>
          <w:p w14:paraId="37FB19A8">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关节活动与操作</w:t>
            </w:r>
          </w:p>
        </w:tc>
        <w:tc>
          <w:tcPr>
            <w:tcW w:w="6199" w:type="dxa"/>
            <w:vAlign w:val="center"/>
          </w:tcPr>
          <w:p w14:paraId="371405FE">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可活动关节不少于6轴关节，可360°万向操作</w:t>
            </w:r>
          </w:p>
        </w:tc>
      </w:tr>
      <w:tr w14:paraId="1B5F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noWrap/>
            <w:vAlign w:val="center"/>
          </w:tcPr>
          <w:p w14:paraId="4B4249E4">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50.3</w:t>
            </w:r>
          </w:p>
        </w:tc>
        <w:tc>
          <w:tcPr>
            <w:tcW w:w="1837" w:type="dxa"/>
            <w:vAlign w:val="center"/>
          </w:tcPr>
          <w:p w14:paraId="491983BF">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操作方式</w:t>
            </w:r>
          </w:p>
        </w:tc>
        <w:tc>
          <w:tcPr>
            <w:tcW w:w="6199" w:type="dxa"/>
            <w:vAlign w:val="center"/>
          </w:tcPr>
          <w:p w14:paraId="72E02102">
            <w:pPr>
              <w:spacing w:line="36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一键联动运镜，无需外接电源或者气动，无需手动锁紧关节</w:t>
            </w:r>
          </w:p>
        </w:tc>
      </w:tr>
      <w:tr w14:paraId="6434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200" w:type="dxa"/>
            <w:noWrap/>
            <w:vAlign w:val="center"/>
          </w:tcPr>
          <w:p w14:paraId="2E9EC413">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50.4</w:t>
            </w:r>
          </w:p>
        </w:tc>
        <w:tc>
          <w:tcPr>
            <w:tcW w:w="1837" w:type="dxa"/>
            <w:vAlign w:val="center"/>
          </w:tcPr>
          <w:p w14:paraId="1BD4C9E6">
            <w:pPr>
              <w:spacing w:line="3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兼容性</w:t>
            </w:r>
          </w:p>
        </w:tc>
        <w:tc>
          <w:tcPr>
            <w:tcW w:w="6199" w:type="dxa"/>
            <w:vAlign w:val="center"/>
          </w:tcPr>
          <w:p w14:paraId="4D522A7C">
            <w:pPr>
              <w:spacing w:line="360" w:lineRule="exact"/>
              <w:rPr>
                <w:rFonts w:hint="eastAsia" w:ascii="仿宋" w:hAnsi="仿宋" w:eastAsia="仿宋" w:cs="仿宋"/>
                <w:b/>
                <w:bCs/>
                <w:color w:val="auto"/>
                <w:sz w:val="20"/>
                <w:szCs w:val="20"/>
                <w:highlight w:val="none"/>
              </w:rPr>
            </w:pPr>
            <w:r>
              <w:rPr>
                <w:rFonts w:hint="eastAsia" w:ascii="仿宋" w:hAnsi="仿宋" w:eastAsia="仿宋" w:cs="仿宋"/>
                <w:color w:val="auto"/>
                <w:sz w:val="20"/>
                <w:szCs w:val="20"/>
                <w:highlight w:val="none"/>
              </w:rPr>
              <w:t>兼容各类光学内窥镜，兼容固定配套的手术器械</w:t>
            </w:r>
          </w:p>
        </w:tc>
      </w:tr>
    </w:tbl>
    <w:p w14:paraId="74B02AD6">
      <w:pPr>
        <w:rPr>
          <w:rFonts w:hint="eastAsia" w:ascii="宋体" w:hAnsi="宋体" w:eastAsia="宋体" w:cs="宋体"/>
          <w:color w:val="auto"/>
          <w:highlight w:val="none"/>
        </w:rPr>
      </w:pPr>
    </w:p>
    <w:p w14:paraId="52DF00D4">
      <w:pPr>
        <w:rPr>
          <w:rFonts w:hint="eastAsia" w:ascii="宋体" w:hAnsi="宋体" w:eastAsia="宋体" w:cs="宋体"/>
          <w:color w:val="auto"/>
          <w:highlight w:val="none"/>
        </w:rPr>
      </w:pPr>
    </w:p>
    <w:p w14:paraId="72540685">
      <w:pPr>
        <w:pStyle w:val="10"/>
        <w:widowControl/>
        <w:snapToGrid w:val="0"/>
        <w:spacing w:line="360" w:lineRule="auto"/>
        <w:outlineLvl w:val="1"/>
        <w:rPr>
          <w:rFonts w:hint="eastAsia" w:ascii="仿宋" w:hAnsi="仿宋" w:eastAsia="仿宋" w:cs="仿宋"/>
          <w:b/>
          <w:bCs/>
          <w:color w:val="auto"/>
          <w:sz w:val="24"/>
          <w:highlight w:val="none"/>
        </w:rPr>
      </w:pPr>
      <w:r>
        <w:rPr>
          <w:rStyle w:val="23"/>
          <w:rFonts w:hint="eastAsia" w:ascii="宋体" w:hAnsi="宋体" w:eastAsia="仿宋"/>
          <w:color w:val="auto"/>
          <w:sz w:val="24"/>
          <w:szCs w:val="24"/>
          <w:highlight w:val="none"/>
          <w:lang w:val="en-US" w:eastAsia="zh-CN"/>
        </w:rPr>
        <w:t>5、</w:t>
      </w:r>
      <w:r>
        <w:rPr>
          <w:rStyle w:val="23"/>
          <w:rFonts w:hint="eastAsia" w:ascii="宋体" w:hAnsi="宋体" w:eastAsia="仿宋"/>
          <w:color w:val="auto"/>
          <w:sz w:val="24"/>
          <w:szCs w:val="24"/>
          <w:highlight w:val="none"/>
        </w:rPr>
        <w:t>售后</w:t>
      </w:r>
      <w:r>
        <w:rPr>
          <w:rStyle w:val="23"/>
          <w:rFonts w:hint="eastAsia" w:ascii="宋体" w:hAnsi="宋体" w:eastAsia="仿宋"/>
          <w:color w:val="auto"/>
          <w:sz w:val="24"/>
          <w:szCs w:val="24"/>
          <w:highlight w:val="none"/>
          <w:lang w:val="en-US" w:eastAsia="zh-CN"/>
        </w:rPr>
        <w:t>要求</w:t>
      </w:r>
      <w:r>
        <w:rPr>
          <w:rStyle w:val="23"/>
          <w:rFonts w:hint="eastAsia" w:ascii="宋体" w:hAnsi="宋体" w:eastAsia="仿宋"/>
          <w:color w:val="auto"/>
          <w:sz w:val="24"/>
          <w:szCs w:val="24"/>
          <w:highlight w:val="none"/>
        </w:rPr>
        <w:t>：</w:t>
      </w:r>
    </w:p>
    <w:p w14:paraId="66E201D4">
      <w:pPr>
        <w:pStyle w:val="35"/>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5.1.满足交钥匙工程的要求，提供的是一个完整的系统项目，技术参数要求的采购清单是一体化手术室所需的最低基本要求，须无条件满足，按清单每项进行报价，所报价的材料设备配件等数量不得低于招标文件所提出的要求，若认为清单不够的，可以对清单进行补充和报价，以达到投标系统的完整性；除本技术参数说明外，凡是系统正常运行所需的设备、配件及服务项目等，投标人均需自行考虑，并在其投标文件中体现。系统软硬件无条件免费开放接口，支持接口调用和二次开发。本项目所涉及的所有接口费用（包含但不限于与医院现有信息系统、医疗设备以及其他第三方软硬件等所有）均由中标人承担，招标人不另行支付。</w:t>
      </w:r>
    </w:p>
    <w:p w14:paraId="6DE68883">
      <w:pPr>
        <w:pStyle w:val="35"/>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注：上述商务条款的所有内容投标人必须响应，否则做无效标处理。</w:t>
      </w:r>
    </w:p>
    <w:p w14:paraId="7FF0946F">
      <w:pPr>
        <w:pStyle w:val="10"/>
        <w:widowControl/>
        <w:numPr>
          <w:ilvl w:val="-1"/>
          <w:numId w:val="0"/>
        </w:numPr>
        <w:snapToGrid w:val="0"/>
        <w:spacing w:line="360" w:lineRule="auto"/>
        <w:ind w:firstLine="482" w:firstLineChars="200"/>
        <w:outlineLvl w:val="2"/>
        <w:rPr>
          <w:rFonts w:hint="eastAsia" w:hAnsi="宋体" w:eastAsia="仿宋"/>
          <w:b/>
          <w:bCs/>
          <w:color w:val="auto"/>
          <w:sz w:val="24"/>
          <w:szCs w:val="24"/>
          <w:highlight w:val="none"/>
        </w:rPr>
      </w:pPr>
      <w:bookmarkStart w:id="778" w:name="_Toc515539872"/>
      <w:bookmarkStart w:id="779" w:name="_Toc493432670"/>
      <w:bookmarkStart w:id="780" w:name="_Toc517011814"/>
      <w:bookmarkStart w:id="781" w:name="_Toc512611689"/>
      <w:bookmarkStart w:id="782" w:name="_Toc493440807"/>
      <w:bookmarkStart w:id="783" w:name="_Toc512544434"/>
      <w:bookmarkStart w:id="784" w:name="_Toc493440975"/>
      <w:bookmarkStart w:id="785" w:name="_Toc525819967"/>
      <w:bookmarkStart w:id="786" w:name="_Toc526265691"/>
      <w:r>
        <w:rPr>
          <w:rFonts w:hint="eastAsia" w:hAnsi="宋体" w:eastAsia="仿宋"/>
          <w:b/>
          <w:bCs/>
          <w:color w:val="auto"/>
          <w:sz w:val="24"/>
          <w:szCs w:val="24"/>
          <w:highlight w:val="none"/>
          <w:lang w:val="en-US" w:eastAsia="zh-CN"/>
        </w:rPr>
        <w:t>5.2.</w:t>
      </w:r>
      <w:r>
        <w:rPr>
          <w:rFonts w:hint="eastAsia" w:hAnsi="宋体" w:eastAsia="仿宋"/>
          <w:b/>
          <w:bCs/>
          <w:color w:val="auto"/>
          <w:sz w:val="24"/>
          <w:szCs w:val="24"/>
          <w:highlight w:val="none"/>
        </w:rPr>
        <w:t>质量要求与验收标准</w:t>
      </w:r>
      <w:bookmarkEnd w:id="778"/>
      <w:bookmarkEnd w:id="779"/>
      <w:bookmarkEnd w:id="780"/>
      <w:bookmarkEnd w:id="781"/>
      <w:bookmarkEnd w:id="782"/>
      <w:bookmarkEnd w:id="783"/>
      <w:bookmarkEnd w:id="784"/>
      <w:bookmarkEnd w:id="785"/>
      <w:bookmarkEnd w:id="786"/>
    </w:p>
    <w:p w14:paraId="5B7653E7">
      <w:pPr>
        <w:adjustRightInd w:val="0"/>
        <w:snapToGrid w:val="0"/>
        <w:spacing w:before="120" w:after="120" w:line="360" w:lineRule="auto"/>
        <w:ind w:firstLine="480" w:firstLineChars="200"/>
        <w:rPr>
          <w:rFonts w:eastAsia="仿宋"/>
          <w:color w:val="auto"/>
          <w:sz w:val="24"/>
          <w:highlight w:val="none"/>
        </w:rPr>
      </w:pPr>
      <w:r>
        <w:rPr>
          <w:rFonts w:hint="eastAsia" w:eastAsia="仿宋"/>
          <w:color w:val="auto"/>
          <w:sz w:val="24"/>
          <w:highlight w:val="none"/>
        </w:rPr>
        <w:t>符合国家、省、市法律法规及行业标准。</w:t>
      </w:r>
    </w:p>
    <w:p w14:paraId="7B86A939">
      <w:pPr>
        <w:pStyle w:val="10"/>
        <w:widowControl/>
        <w:snapToGrid w:val="0"/>
        <w:spacing w:line="360" w:lineRule="auto"/>
        <w:ind w:firstLine="482" w:firstLineChars="200"/>
        <w:outlineLvl w:val="2"/>
        <w:rPr>
          <w:rFonts w:hint="eastAsia" w:hAnsi="宋体" w:eastAsia="仿宋"/>
          <w:b/>
          <w:bCs/>
          <w:color w:val="auto"/>
          <w:sz w:val="24"/>
          <w:szCs w:val="24"/>
          <w:highlight w:val="none"/>
        </w:rPr>
      </w:pPr>
      <w:bookmarkStart w:id="787" w:name="_Toc525819969"/>
      <w:bookmarkStart w:id="788" w:name="_Toc512544436"/>
      <w:bookmarkStart w:id="789" w:name="_Toc493440977"/>
      <w:bookmarkStart w:id="790" w:name="_Toc493432672"/>
      <w:bookmarkStart w:id="791" w:name="_Toc493440809"/>
      <w:bookmarkStart w:id="792" w:name="_Toc517011816"/>
      <w:bookmarkStart w:id="793" w:name="_Toc526265693"/>
      <w:bookmarkStart w:id="794" w:name="_Toc512611691"/>
      <w:bookmarkStart w:id="795" w:name="_Toc515539874"/>
      <w:r>
        <w:rPr>
          <w:rFonts w:hint="eastAsia" w:hAnsi="宋体" w:eastAsia="仿宋"/>
          <w:b/>
          <w:bCs/>
          <w:color w:val="auto"/>
          <w:sz w:val="24"/>
          <w:szCs w:val="24"/>
          <w:highlight w:val="none"/>
          <w:lang w:val="en-US" w:eastAsia="zh-CN"/>
        </w:rPr>
        <w:t>5.3.</w:t>
      </w:r>
      <w:r>
        <w:rPr>
          <w:rFonts w:hint="eastAsia" w:hAnsi="宋体" w:eastAsia="仿宋"/>
          <w:b/>
          <w:bCs/>
          <w:color w:val="auto"/>
          <w:sz w:val="24"/>
          <w:szCs w:val="24"/>
          <w:highlight w:val="none"/>
        </w:rPr>
        <w:t xml:space="preserve"> 质量保证期服务要求</w:t>
      </w:r>
      <w:bookmarkEnd w:id="787"/>
      <w:bookmarkEnd w:id="788"/>
      <w:bookmarkEnd w:id="789"/>
      <w:bookmarkEnd w:id="790"/>
      <w:bookmarkEnd w:id="791"/>
      <w:bookmarkEnd w:id="792"/>
      <w:bookmarkEnd w:id="793"/>
      <w:bookmarkEnd w:id="794"/>
      <w:bookmarkEnd w:id="795"/>
    </w:p>
    <w:p w14:paraId="11739137">
      <w:pPr>
        <w:adjustRightInd w:val="0"/>
        <w:snapToGrid w:val="0"/>
        <w:spacing w:line="360" w:lineRule="auto"/>
        <w:ind w:firstLine="480" w:firstLineChars="200"/>
        <w:rPr>
          <w:rFonts w:hint="eastAsia" w:ascii="Times New Roman" w:hAnsi="Times New Roman" w:eastAsia="仿宋" w:cs="Times New Roman"/>
          <w:color w:val="auto"/>
          <w:sz w:val="24"/>
          <w:highlight w:val="none"/>
          <w:lang w:val="en-US" w:eastAsia="zh-CN"/>
        </w:rPr>
      </w:pPr>
      <w:r>
        <w:rPr>
          <w:rFonts w:hint="eastAsia" w:eastAsia="仿宋"/>
          <w:color w:val="auto"/>
          <w:sz w:val="24"/>
          <w:highlight w:val="none"/>
        </w:rPr>
        <w:t>中标人</w:t>
      </w:r>
      <w:r>
        <w:rPr>
          <w:rFonts w:eastAsia="仿宋"/>
          <w:color w:val="auto"/>
          <w:sz w:val="24"/>
          <w:highlight w:val="none"/>
        </w:rPr>
        <w:t>提供的技术人员、工具、备件和联系方式，质量保证期服务响应、到达现场和解决问题的时限</w:t>
      </w:r>
      <w:r>
        <w:rPr>
          <w:rFonts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rPr>
        <w:t>中标人</w:t>
      </w:r>
      <w:r>
        <w:rPr>
          <w:rFonts w:ascii="Times New Roman" w:hAnsi="Times New Roman" w:eastAsia="仿宋" w:cs="Times New Roman"/>
          <w:color w:val="auto"/>
          <w:sz w:val="24"/>
          <w:highlight w:val="none"/>
        </w:rPr>
        <w:t>技术人员的交通、食宿费用承担主体，</w:t>
      </w:r>
      <w:r>
        <w:rPr>
          <w:rFonts w:hint="eastAsia" w:ascii="Times New Roman" w:hAnsi="Times New Roman" w:eastAsia="仿宋" w:cs="Times New Roman"/>
          <w:color w:val="auto"/>
          <w:sz w:val="24"/>
          <w:highlight w:val="none"/>
        </w:rPr>
        <w:t>中标人</w:t>
      </w:r>
      <w:r>
        <w:rPr>
          <w:rFonts w:ascii="Times New Roman" w:hAnsi="Times New Roman" w:eastAsia="仿宋" w:cs="Times New Roman"/>
          <w:color w:val="auto"/>
          <w:sz w:val="24"/>
          <w:highlight w:val="none"/>
        </w:rPr>
        <w:t>技术人员撤换费用承担主体，质量保证期服务情况记录要求等。</w:t>
      </w:r>
    </w:p>
    <w:p w14:paraId="2A3B192F">
      <w:pPr>
        <w:adjustRightInd w:val="0"/>
        <w:snapToGrid w:val="0"/>
        <w:spacing w:line="360" w:lineRule="auto"/>
        <w:ind w:firstLine="482" w:firstLineChars="200"/>
        <w:rPr>
          <w:rFonts w:hint="default" w:ascii="宋体" w:hAnsi="宋体" w:eastAsia="仿宋" w:cs="Times New Roman"/>
          <w:b w:val="0"/>
          <w:bCs w:val="0"/>
          <w:color w:val="auto"/>
          <w:sz w:val="24"/>
          <w:szCs w:val="24"/>
          <w:highlight w:val="none"/>
          <w:lang w:val="en-US" w:eastAsia="zh-CN"/>
        </w:rPr>
      </w:pPr>
      <w:r>
        <w:rPr>
          <w:rFonts w:hint="eastAsia" w:ascii="宋体" w:hAnsi="宋体" w:eastAsia="仿宋" w:cs="Times New Roman"/>
          <w:b/>
          <w:bCs/>
          <w:color w:val="auto"/>
          <w:sz w:val="24"/>
          <w:szCs w:val="24"/>
          <w:highlight w:val="none"/>
          <w:lang w:val="en-US" w:eastAsia="zh-CN"/>
        </w:rPr>
        <w:t>5.4.</w:t>
      </w:r>
      <w:r>
        <w:rPr>
          <w:rFonts w:hint="eastAsia" w:ascii="宋体" w:hAnsi="宋体" w:eastAsia="仿宋" w:cs="Times New Roman"/>
          <w:b/>
          <w:bCs/>
          <w:color w:val="auto"/>
          <w:sz w:val="24"/>
          <w:szCs w:val="24"/>
          <w:highlight w:val="none"/>
        </w:rPr>
        <w:t xml:space="preserve"> </w:t>
      </w:r>
      <w:r>
        <w:rPr>
          <w:rFonts w:hint="eastAsia" w:ascii="宋体" w:hAnsi="宋体" w:eastAsia="仿宋" w:cs="Times New Roman"/>
          <w:b/>
          <w:bCs/>
          <w:color w:val="auto"/>
          <w:sz w:val="24"/>
          <w:szCs w:val="24"/>
          <w:highlight w:val="none"/>
          <w:lang w:val="en-US" w:eastAsia="zh-CN"/>
        </w:rPr>
        <w:t>技术培训</w:t>
      </w:r>
      <w:r>
        <w:rPr>
          <w:rFonts w:hint="eastAsia" w:ascii="宋体" w:hAnsi="宋体" w:eastAsia="仿宋" w:cs="Times New Roman"/>
          <w:b/>
          <w:bCs/>
          <w:color w:val="auto"/>
          <w:sz w:val="24"/>
          <w:szCs w:val="24"/>
          <w:highlight w:val="none"/>
        </w:rPr>
        <w:t>要求</w:t>
      </w:r>
    </w:p>
    <w:p w14:paraId="46C42BF8">
      <w:pPr>
        <w:adjustRightInd w:val="0"/>
        <w:snapToGrid w:val="0"/>
        <w:spacing w:line="360" w:lineRule="auto"/>
        <w:ind w:firstLine="480" w:firstLineChars="200"/>
        <w:rPr>
          <w:rFonts w:hint="default"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中标人应提供现场技术培训，及远程技术支持等，为使用人员提供技术指导，保证使用人员正常操作设备各种功能。</w:t>
      </w:r>
    </w:p>
    <w:p w14:paraId="290BDBC0">
      <w:pPr>
        <w:pStyle w:val="10"/>
        <w:widowControl/>
        <w:snapToGrid w:val="0"/>
        <w:spacing w:line="360" w:lineRule="auto"/>
        <w:outlineLvl w:val="1"/>
        <w:rPr>
          <w:rStyle w:val="23"/>
          <w:rFonts w:hint="eastAsia" w:ascii="宋体" w:hAnsi="宋体" w:eastAsia="仿宋"/>
          <w:color w:val="auto"/>
          <w:sz w:val="24"/>
          <w:szCs w:val="24"/>
          <w:highlight w:val="none"/>
          <w:lang w:val="en-US" w:eastAsia="zh-CN"/>
        </w:rPr>
      </w:pPr>
      <w:r>
        <w:rPr>
          <w:rStyle w:val="23"/>
          <w:rFonts w:hint="eastAsia" w:ascii="宋体" w:hAnsi="宋体" w:eastAsia="仿宋"/>
          <w:color w:val="auto"/>
          <w:sz w:val="24"/>
          <w:szCs w:val="24"/>
          <w:highlight w:val="none"/>
          <w:lang w:val="en-US" w:eastAsia="zh-CN"/>
        </w:rPr>
        <w:t>6、其他要求：</w:t>
      </w:r>
    </w:p>
    <w:p w14:paraId="5820C0ED">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6.1.</w:t>
      </w:r>
      <w:r>
        <w:rPr>
          <w:rFonts w:hint="eastAsia" w:eastAsia="仿宋"/>
          <w:color w:val="auto"/>
          <w:sz w:val="24"/>
          <w:highlight w:val="none"/>
        </w:rPr>
        <w:t xml:space="preserve"> 本项目如涉及与</w:t>
      </w:r>
      <w:r>
        <w:rPr>
          <w:rFonts w:hint="eastAsia" w:eastAsia="仿宋"/>
          <w:color w:val="auto"/>
          <w:sz w:val="24"/>
          <w:highlight w:val="none"/>
          <w:lang w:val="en-US" w:eastAsia="zh-CN"/>
        </w:rPr>
        <w:t>院方</w:t>
      </w:r>
      <w:r>
        <w:rPr>
          <w:rFonts w:hint="eastAsia" w:eastAsia="仿宋"/>
          <w:color w:val="auto"/>
          <w:sz w:val="24"/>
          <w:highlight w:val="none"/>
        </w:rPr>
        <w:t>在用信息系统（包含但不限于：HIS系统、PACS系统、电子病例系统、远程影像平台、外联平台等，相关接口信息可现场踏勘获悉）与本项目设备接入需求产生的系统改造、第三方系统对接所需等费用均已包含在本项目投标报价中，由中标人与相关第三方协商，</w:t>
      </w:r>
      <w:r>
        <w:rPr>
          <w:rFonts w:hint="eastAsia" w:eastAsia="仿宋"/>
          <w:color w:val="auto"/>
          <w:sz w:val="24"/>
          <w:highlight w:val="none"/>
          <w:lang w:val="en-US" w:eastAsia="zh-CN"/>
        </w:rPr>
        <w:t>院方</w:t>
      </w:r>
      <w:r>
        <w:rPr>
          <w:rFonts w:hint="eastAsia" w:eastAsia="仿宋"/>
          <w:color w:val="auto"/>
          <w:sz w:val="24"/>
          <w:highlight w:val="none"/>
        </w:rPr>
        <w:t>不再为此支付任何费用。</w:t>
      </w:r>
    </w:p>
    <w:p w14:paraId="3C3BB827">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 xml:space="preserve"> 履约验收方式</w:t>
      </w:r>
    </w:p>
    <w:p w14:paraId="4A71A863">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6.2.1</w:t>
      </w:r>
      <w:r>
        <w:rPr>
          <w:rFonts w:eastAsia="仿宋"/>
          <w:color w:val="auto"/>
          <w:sz w:val="24"/>
          <w:highlight w:val="none"/>
        </w:rPr>
        <w:t>履约验收主体：设备使用</w:t>
      </w:r>
      <w:r>
        <w:rPr>
          <w:rFonts w:hint="eastAsia" w:eastAsia="仿宋"/>
          <w:color w:val="auto"/>
          <w:sz w:val="24"/>
          <w:highlight w:val="none"/>
        </w:rPr>
        <w:t>单位</w:t>
      </w:r>
      <w:r>
        <w:rPr>
          <w:rFonts w:eastAsia="仿宋"/>
          <w:color w:val="auto"/>
          <w:sz w:val="24"/>
          <w:highlight w:val="none"/>
        </w:rPr>
        <w:t>、中标人。同时使用</w:t>
      </w:r>
      <w:r>
        <w:rPr>
          <w:rFonts w:hint="eastAsia" w:eastAsia="仿宋"/>
          <w:color w:val="auto"/>
          <w:sz w:val="24"/>
          <w:highlight w:val="none"/>
        </w:rPr>
        <w:t>单位</w:t>
      </w:r>
      <w:r>
        <w:rPr>
          <w:rFonts w:eastAsia="仿宋"/>
          <w:color w:val="auto"/>
          <w:sz w:val="24"/>
          <w:highlight w:val="none"/>
        </w:rPr>
        <w:t>可以视情况邀请参加本项目的其他投标人或者第三方专业机构及专家参与验收，相关验收意见作为验收的参考资料。</w:t>
      </w:r>
    </w:p>
    <w:p w14:paraId="0EBB7DCD">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.2</w:t>
      </w:r>
      <w:r>
        <w:rPr>
          <w:rFonts w:eastAsia="仿宋"/>
          <w:color w:val="auto"/>
          <w:sz w:val="24"/>
          <w:highlight w:val="none"/>
        </w:rPr>
        <w:t>履约验收时间及程序：</w:t>
      </w:r>
    </w:p>
    <w:p w14:paraId="307D7150">
      <w:pPr>
        <w:spacing w:line="360" w:lineRule="auto"/>
        <w:ind w:firstLine="480" w:firstLineChars="200"/>
        <w:jc w:val="left"/>
        <w:rPr>
          <w:rFonts w:eastAsia="仿宋"/>
          <w:color w:val="auto"/>
          <w:sz w:val="24"/>
          <w:highlight w:val="none"/>
        </w:rPr>
      </w:pPr>
      <w:r>
        <w:rPr>
          <w:rFonts w:eastAsia="仿宋"/>
          <w:color w:val="auto"/>
          <w:sz w:val="24"/>
          <w:highlight w:val="none"/>
        </w:rPr>
        <w:t>（1）到货检验：货物运抵使用</w:t>
      </w:r>
      <w:r>
        <w:rPr>
          <w:rFonts w:hint="eastAsia" w:eastAsia="仿宋"/>
          <w:color w:val="auto"/>
          <w:sz w:val="24"/>
          <w:highlight w:val="none"/>
        </w:rPr>
        <w:t>单位所在地点或使用单位指定地点</w:t>
      </w:r>
      <w:r>
        <w:rPr>
          <w:rFonts w:eastAsia="仿宋"/>
          <w:color w:val="auto"/>
          <w:sz w:val="24"/>
          <w:highlight w:val="none"/>
        </w:rPr>
        <w:t>后，由使用</w:t>
      </w:r>
      <w:r>
        <w:rPr>
          <w:rFonts w:hint="eastAsia" w:eastAsia="仿宋"/>
          <w:color w:val="auto"/>
          <w:sz w:val="24"/>
          <w:highlight w:val="none"/>
        </w:rPr>
        <w:t>单位</w:t>
      </w:r>
      <w:r>
        <w:rPr>
          <w:rFonts w:eastAsia="仿宋"/>
          <w:color w:val="auto"/>
          <w:sz w:val="24"/>
          <w:highlight w:val="none"/>
        </w:rPr>
        <w:t>及中标人共同开箱对照采购清单进行到货验收。</w:t>
      </w:r>
    </w:p>
    <w:p w14:paraId="6B76DCFD">
      <w:pPr>
        <w:spacing w:line="360" w:lineRule="auto"/>
        <w:ind w:firstLine="480" w:firstLineChars="200"/>
        <w:jc w:val="left"/>
        <w:rPr>
          <w:rFonts w:eastAsia="仿宋"/>
          <w:color w:val="auto"/>
          <w:sz w:val="24"/>
          <w:highlight w:val="none"/>
        </w:rPr>
      </w:pPr>
      <w:r>
        <w:rPr>
          <w:rFonts w:eastAsia="仿宋"/>
          <w:color w:val="auto"/>
          <w:sz w:val="24"/>
          <w:highlight w:val="none"/>
        </w:rPr>
        <w:t>（2）安装调试检验：中标人将设备安装、调试完成后，由使用</w:t>
      </w:r>
      <w:r>
        <w:rPr>
          <w:rFonts w:hint="eastAsia" w:eastAsia="仿宋"/>
          <w:color w:val="auto"/>
          <w:sz w:val="24"/>
          <w:highlight w:val="none"/>
        </w:rPr>
        <w:t>单位</w:t>
      </w:r>
      <w:r>
        <w:rPr>
          <w:rFonts w:eastAsia="仿宋"/>
          <w:color w:val="auto"/>
          <w:sz w:val="24"/>
          <w:highlight w:val="none"/>
        </w:rPr>
        <w:t>组织验收人员对安装调试情况进行验收。</w:t>
      </w:r>
    </w:p>
    <w:p w14:paraId="6DE51484">
      <w:pPr>
        <w:spacing w:line="360" w:lineRule="auto"/>
        <w:ind w:firstLine="480" w:firstLineChars="200"/>
        <w:jc w:val="left"/>
        <w:rPr>
          <w:rFonts w:eastAsia="仿宋"/>
          <w:color w:val="auto"/>
          <w:sz w:val="24"/>
          <w:highlight w:val="none"/>
        </w:rPr>
      </w:pPr>
      <w:r>
        <w:rPr>
          <w:rFonts w:eastAsia="仿宋"/>
          <w:color w:val="auto"/>
          <w:sz w:val="24"/>
          <w:highlight w:val="none"/>
        </w:rPr>
        <w:t>（3）最终验收：由使用</w:t>
      </w:r>
      <w:r>
        <w:rPr>
          <w:rFonts w:hint="eastAsia" w:eastAsia="仿宋"/>
          <w:color w:val="auto"/>
          <w:sz w:val="24"/>
          <w:highlight w:val="none"/>
        </w:rPr>
        <w:t>单位</w:t>
      </w:r>
      <w:r>
        <w:rPr>
          <w:rFonts w:eastAsia="仿宋"/>
          <w:color w:val="auto"/>
          <w:sz w:val="24"/>
          <w:highlight w:val="none"/>
        </w:rPr>
        <w:t>组织验收人员进行最终验收。</w:t>
      </w:r>
    </w:p>
    <w:p w14:paraId="541A0037">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.3</w:t>
      </w:r>
      <w:r>
        <w:rPr>
          <w:rFonts w:eastAsia="仿宋"/>
          <w:color w:val="auto"/>
          <w:sz w:val="24"/>
          <w:highlight w:val="none"/>
        </w:rPr>
        <w:t>履约验收内容</w:t>
      </w:r>
    </w:p>
    <w:p w14:paraId="61F40DC6">
      <w:pPr>
        <w:spacing w:line="360" w:lineRule="auto"/>
        <w:ind w:firstLine="480" w:firstLineChars="200"/>
        <w:jc w:val="left"/>
        <w:rPr>
          <w:rFonts w:eastAsia="仿宋"/>
          <w:color w:val="auto"/>
          <w:sz w:val="24"/>
          <w:highlight w:val="none"/>
        </w:rPr>
      </w:pPr>
      <w:r>
        <w:rPr>
          <w:rFonts w:eastAsia="仿宋"/>
          <w:color w:val="auto"/>
          <w:sz w:val="24"/>
          <w:highlight w:val="none"/>
        </w:rPr>
        <w:t>验收内容包括招标文件中的每一项技术和商务要求的履约情况。</w:t>
      </w:r>
    </w:p>
    <w:p w14:paraId="46B31F9F">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.4</w:t>
      </w:r>
      <w:r>
        <w:rPr>
          <w:rFonts w:eastAsia="仿宋"/>
          <w:color w:val="auto"/>
          <w:sz w:val="24"/>
          <w:highlight w:val="none"/>
        </w:rPr>
        <w:t>履约验收验收标准</w:t>
      </w:r>
    </w:p>
    <w:p w14:paraId="4D6FC694">
      <w:pPr>
        <w:spacing w:line="360" w:lineRule="auto"/>
        <w:ind w:firstLine="480" w:firstLineChars="200"/>
        <w:jc w:val="left"/>
        <w:rPr>
          <w:rFonts w:hint="eastAsia" w:eastAsia="仿宋"/>
          <w:color w:val="auto"/>
          <w:sz w:val="24"/>
          <w:highlight w:val="none"/>
        </w:rPr>
      </w:pPr>
      <w:r>
        <w:rPr>
          <w:rFonts w:eastAsia="仿宋"/>
          <w:color w:val="auto"/>
          <w:sz w:val="24"/>
          <w:highlight w:val="none"/>
        </w:rPr>
        <w:t>招标文件、中标人的投标文件、合同及国家有关的质量标准规定，均为验收标准及依据</w:t>
      </w:r>
      <w:r>
        <w:rPr>
          <w:rFonts w:hint="eastAsia" w:eastAsia="仿宋"/>
          <w:color w:val="auto"/>
          <w:sz w:val="24"/>
          <w:highlight w:val="none"/>
        </w:rPr>
        <w:t>。</w:t>
      </w:r>
    </w:p>
    <w:p w14:paraId="47E9196E">
      <w:pPr>
        <w:spacing w:line="360" w:lineRule="auto"/>
        <w:ind w:firstLine="480" w:firstLineChars="200"/>
        <w:jc w:val="left"/>
        <w:rPr>
          <w:rFonts w:hint="default" w:eastAsia="仿宋"/>
          <w:color w:val="auto"/>
          <w:sz w:val="24"/>
          <w:highlight w:val="none"/>
          <w:lang w:val="en-US" w:eastAsia="zh-CN"/>
        </w:rPr>
      </w:pPr>
      <w:r>
        <w:rPr>
          <w:rFonts w:hint="eastAsia" w:eastAsia="仿宋"/>
          <w:color w:val="auto"/>
          <w:sz w:val="24"/>
          <w:highlight w:val="none"/>
          <w:lang w:val="en-US" w:eastAsia="zh-CN"/>
        </w:rPr>
        <w:t>6.3</w:t>
      </w:r>
      <w:r>
        <w:rPr>
          <w:rFonts w:hint="eastAsia" w:eastAsia="仿宋"/>
          <w:color w:val="auto"/>
          <w:sz w:val="24"/>
          <w:highlight w:val="none"/>
          <w:lang w:eastAsia="zh-CN"/>
        </w:rPr>
        <w:t>.</w:t>
      </w:r>
      <w:r>
        <w:rPr>
          <w:rFonts w:hint="eastAsia" w:eastAsia="仿宋"/>
          <w:color w:val="auto"/>
          <w:sz w:val="24"/>
          <w:highlight w:val="none"/>
          <w:lang w:val="en-US" w:eastAsia="zh-CN"/>
        </w:rPr>
        <w:t>应急服务要求：中标人</w:t>
      </w:r>
      <w:r>
        <w:rPr>
          <w:rFonts w:hint="eastAsia" w:eastAsia="仿宋"/>
          <w:color w:val="auto"/>
          <w:sz w:val="24"/>
          <w:highlight w:val="none"/>
        </w:rPr>
        <w:t>应在中国境内方便的地点设置备件库，存入必须的备件，保证10年</w:t>
      </w:r>
      <w:r>
        <w:rPr>
          <w:rFonts w:hint="eastAsia" w:eastAsia="仿宋"/>
          <w:color w:val="auto"/>
          <w:sz w:val="24"/>
          <w:highlight w:val="none"/>
          <w:lang w:val="en-US" w:eastAsia="zh-CN"/>
        </w:rPr>
        <w:t>以上</w:t>
      </w:r>
      <w:r>
        <w:rPr>
          <w:rFonts w:hint="eastAsia" w:eastAsia="仿宋"/>
          <w:color w:val="auto"/>
          <w:sz w:val="24"/>
          <w:highlight w:val="none"/>
        </w:rPr>
        <w:t>零部件供应期</w:t>
      </w:r>
      <w:r>
        <w:rPr>
          <w:rFonts w:hint="eastAsia" w:eastAsia="仿宋"/>
          <w:color w:val="auto"/>
          <w:sz w:val="24"/>
          <w:highlight w:val="none"/>
          <w:lang w:eastAsia="zh-CN"/>
        </w:rPr>
        <w:t>，</w:t>
      </w:r>
      <w:r>
        <w:rPr>
          <w:rFonts w:hint="eastAsia" w:eastAsia="仿宋"/>
          <w:color w:val="auto"/>
          <w:sz w:val="24"/>
          <w:highlight w:val="none"/>
          <w:lang w:val="en-US" w:eastAsia="zh-CN"/>
        </w:rPr>
        <w:t>中标人应对设备故障等突发状况及时响应。</w:t>
      </w:r>
      <w:r>
        <w:rPr>
          <w:rFonts w:hint="eastAsia" w:ascii="Times New Roman" w:hAnsi="Times New Roman" w:eastAsia="仿宋" w:cs="Times New Roman"/>
          <w:color w:val="auto"/>
          <w:sz w:val="24"/>
          <w:highlight w:val="none"/>
        </w:rPr>
        <w:t>若24小时内未修复设备故障，提供备用设备</w:t>
      </w:r>
      <w:r>
        <w:rPr>
          <w:rFonts w:hint="eastAsia" w:ascii="Times New Roman" w:hAnsi="Times New Roman" w:eastAsia="仿宋" w:cs="Times New Roman"/>
          <w:color w:val="auto"/>
          <w:sz w:val="24"/>
          <w:highlight w:val="none"/>
          <w:lang w:val="en-US" w:eastAsia="zh-CN"/>
        </w:rPr>
        <w:t>供院方使用。</w:t>
      </w:r>
    </w:p>
    <w:p w14:paraId="6F5B6ED6">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 xml:space="preserve">6.4 </w:t>
      </w:r>
      <w:r>
        <w:rPr>
          <w:rFonts w:hint="eastAsia" w:eastAsia="仿宋"/>
          <w:color w:val="auto"/>
          <w:sz w:val="24"/>
          <w:highlight w:val="none"/>
        </w:rPr>
        <w:t>安装调试、验收试验及质量保证</w:t>
      </w:r>
    </w:p>
    <w:p w14:paraId="661D6D14">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6.4.1</w:t>
      </w:r>
      <w:r>
        <w:rPr>
          <w:rFonts w:hint="eastAsia" w:eastAsia="仿宋"/>
          <w:color w:val="auto"/>
          <w:sz w:val="24"/>
          <w:highlight w:val="none"/>
        </w:rPr>
        <w:t>中标人在设备安装地点负责安装、调试。</w:t>
      </w:r>
    </w:p>
    <w:p w14:paraId="0A8E27AD">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6.4.2</w:t>
      </w:r>
      <w:r>
        <w:rPr>
          <w:rFonts w:hint="eastAsia" w:eastAsia="仿宋"/>
          <w:color w:val="auto"/>
          <w:sz w:val="24"/>
          <w:highlight w:val="none"/>
        </w:rPr>
        <w:t>具体设备验收标准和程序按采购人要求执行，下列验收程序可参照执行：</w:t>
      </w:r>
    </w:p>
    <w:p w14:paraId="043075AF">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1）</w:t>
      </w:r>
      <w:r>
        <w:rPr>
          <w:rFonts w:hint="eastAsia" w:eastAsia="仿宋"/>
          <w:color w:val="auto"/>
          <w:sz w:val="24"/>
          <w:highlight w:val="none"/>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794086DF">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2）</w:t>
      </w:r>
      <w:r>
        <w:rPr>
          <w:rFonts w:hint="eastAsia" w:eastAsia="仿宋"/>
          <w:color w:val="auto"/>
          <w:sz w:val="24"/>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1E18E0A">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3）</w:t>
      </w:r>
      <w:r>
        <w:rPr>
          <w:rFonts w:hint="eastAsia" w:eastAsia="仿宋"/>
          <w:color w:val="auto"/>
          <w:sz w:val="24"/>
          <w:highlight w:val="none"/>
        </w:rPr>
        <w:t>中标人应根据采购人使用单位的技术要求提供相应的产品。由中标人所提供的设备部件间的连线和插接件均应视为设备内部器件，包含在相应的设备之中。</w:t>
      </w:r>
    </w:p>
    <w:p w14:paraId="442AC474">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4）</w:t>
      </w:r>
      <w:r>
        <w:rPr>
          <w:rFonts w:hint="eastAsia" w:eastAsia="仿宋"/>
          <w:color w:val="auto"/>
          <w:sz w:val="24"/>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14:paraId="14A2E991">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5）</w:t>
      </w:r>
      <w:r>
        <w:rPr>
          <w:rFonts w:hint="eastAsia" w:eastAsia="仿宋"/>
          <w:color w:val="auto"/>
          <w:sz w:val="24"/>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3F69D35A">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6.4.3</w:t>
      </w:r>
      <w:r>
        <w:rPr>
          <w:rFonts w:hint="eastAsia" w:eastAsia="仿宋"/>
          <w:color w:val="auto"/>
          <w:sz w:val="24"/>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73F41CD3">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 xml:space="preserve">6.5. </w:t>
      </w:r>
      <w:r>
        <w:rPr>
          <w:rFonts w:hint="eastAsia" w:eastAsia="仿宋"/>
          <w:color w:val="auto"/>
          <w:sz w:val="24"/>
          <w:highlight w:val="none"/>
        </w:rPr>
        <w:t>包装运输</w:t>
      </w:r>
    </w:p>
    <w:p w14:paraId="273164D6">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6.5.1</w:t>
      </w:r>
      <w:r>
        <w:rPr>
          <w:rFonts w:hint="eastAsia" w:eastAsia="仿宋"/>
          <w:color w:val="auto"/>
          <w:sz w:val="24"/>
          <w:highlight w:val="none"/>
        </w:rPr>
        <w:t>中标人负责设备包装、办理运输和保险，将设备安全运抵交货地点。</w:t>
      </w:r>
    </w:p>
    <w:p w14:paraId="4F479990">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6.5.2</w:t>
      </w:r>
      <w:r>
        <w:rPr>
          <w:rFonts w:hint="eastAsia" w:eastAsia="仿宋"/>
          <w:color w:val="auto"/>
          <w:sz w:val="24"/>
          <w:highlight w:val="none"/>
        </w:rPr>
        <w:t>设备制造完成并通过试验后应及时包装，否则应得到切实的保护，确保其不受污损。</w:t>
      </w:r>
    </w:p>
    <w:p w14:paraId="66803C8D">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6.5.3</w:t>
      </w:r>
      <w:r>
        <w:rPr>
          <w:rFonts w:hint="eastAsia" w:eastAsia="仿宋"/>
          <w:color w:val="auto"/>
          <w:sz w:val="24"/>
          <w:highlight w:val="none"/>
        </w:rPr>
        <w:t>在包装箱外应标明采购人的订货号、发货号。</w:t>
      </w:r>
    </w:p>
    <w:p w14:paraId="0BE10648">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6.5.4</w:t>
      </w:r>
      <w:r>
        <w:rPr>
          <w:rFonts w:hint="eastAsia" w:eastAsia="仿宋"/>
          <w:color w:val="auto"/>
          <w:sz w:val="24"/>
          <w:highlight w:val="none"/>
        </w:rPr>
        <w:t>各种包装应能确保各零部件在运输过程中不致遭到损坏、丢失、变形、受潮和腐蚀。</w:t>
      </w:r>
    </w:p>
    <w:p w14:paraId="530DC53D">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6.5.5</w:t>
      </w:r>
      <w:r>
        <w:rPr>
          <w:rFonts w:hint="eastAsia" w:eastAsia="仿宋"/>
          <w:color w:val="auto"/>
          <w:sz w:val="24"/>
          <w:highlight w:val="none"/>
        </w:rPr>
        <w:t>包装箱上应有明显的包装储运图示标志。</w:t>
      </w:r>
    </w:p>
    <w:p w14:paraId="28B526F6">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6.5.6</w:t>
      </w:r>
      <w:r>
        <w:rPr>
          <w:rFonts w:hint="eastAsia" w:eastAsia="仿宋"/>
          <w:color w:val="auto"/>
          <w:sz w:val="24"/>
          <w:highlight w:val="none"/>
        </w:rPr>
        <w:t>整体产品或分别运输的部件都要适应运输和装载的要求。</w:t>
      </w:r>
    </w:p>
    <w:p w14:paraId="0D0F3561">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6.5.7</w:t>
      </w:r>
      <w:r>
        <w:rPr>
          <w:rFonts w:hint="eastAsia" w:eastAsia="仿宋"/>
          <w:color w:val="auto"/>
          <w:sz w:val="24"/>
          <w:highlight w:val="none"/>
        </w:rPr>
        <w:t>随产品提供的技术资料应完整无缺。</w:t>
      </w:r>
    </w:p>
    <w:p w14:paraId="7AA39B5B">
      <w:pPr>
        <w:spacing w:line="360" w:lineRule="auto"/>
        <w:ind w:firstLine="480" w:firstLineChars="200"/>
        <w:jc w:val="left"/>
        <w:rPr>
          <w:rFonts w:hint="eastAsia" w:eastAsia="仿宋"/>
          <w:color w:val="auto"/>
          <w:sz w:val="24"/>
          <w:highlight w:val="none"/>
          <w:lang w:val="en-US" w:eastAsia="zh-CN"/>
        </w:rPr>
      </w:pPr>
      <w:r>
        <w:rPr>
          <w:rFonts w:hint="eastAsia" w:eastAsia="仿宋"/>
          <w:color w:val="auto"/>
          <w:sz w:val="24"/>
          <w:highlight w:val="none"/>
          <w:lang w:val="en-US" w:eastAsia="zh-CN"/>
        </w:rPr>
        <w:t>6.6. 投标人所投产品应为性能稳定、安全的成熟设备，故障率低、维修便利，并在投标文件中针对所投产品技术先进性、设备性能、配置情况、设计等方面进行阐述说明，提供相应证明材料。</w:t>
      </w:r>
    </w:p>
    <w:p w14:paraId="667E01A6">
      <w:pPr>
        <w:rPr>
          <w:rFonts w:hint="eastAsia" w:ascii="宋体" w:hAnsi="宋体" w:eastAsia="仿宋"/>
          <w:color w:val="auto"/>
          <w:highlight w:val="none"/>
        </w:rPr>
      </w:pPr>
    </w:p>
    <w:p w14:paraId="053C5F48">
      <w:pPr>
        <w:pStyle w:val="2"/>
        <w:widowControl/>
        <w:spacing w:before="0" w:after="0" w:line="360" w:lineRule="auto"/>
        <w:jc w:val="center"/>
        <w:rPr>
          <w:rFonts w:hint="eastAsia" w:ascii="宋体" w:hAnsi="宋体" w:eastAsia="仿宋"/>
          <w:color w:val="auto"/>
          <w:highlight w:val="none"/>
        </w:rPr>
      </w:pPr>
      <w:r>
        <w:rPr>
          <w:rFonts w:hint="eastAsia" w:ascii="宋体" w:hAnsi="宋体" w:eastAsia="仿宋"/>
          <w:color w:val="auto"/>
          <w:highlight w:val="none"/>
        </w:rPr>
        <w:br w:type="page"/>
      </w:r>
      <w:r>
        <w:rPr>
          <w:rFonts w:hint="eastAsia" w:ascii="宋体" w:hAnsi="宋体" w:eastAsia="仿宋"/>
          <w:color w:val="auto"/>
          <w:highlight w:val="none"/>
        </w:rPr>
        <w:t>第四章  资格审查和评标办法（综合评分法）</w:t>
      </w:r>
      <w:bookmarkEnd w:id="769"/>
    </w:p>
    <w:bookmarkEnd w:id="749"/>
    <w:bookmarkEnd w:id="750"/>
    <w:bookmarkEnd w:id="751"/>
    <w:bookmarkEnd w:id="752"/>
    <w:bookmarkEnd w:id="753"/>
    <w:bookmarkEnd w:id="754"/>
    <w:bookmarkEnd w:id="755"/>
    <w:bookmarkEnd w:id="756"/>
    <w:bookmarkEnd w:id="757"/>
    <w:bookmarkEnd w:id="770"/>
    <w:bookmarkEnd w:id="771"/>
    <w:p w14:paraId="5FEF09C7">
      <w:pPr>
        <w:pStyle w:val="3"/>
        <w:jc w:val="center"/>
        <w:rPr>
          <w:rFonts w:hint="eastAsia" w:eastAsia="仿宋"/>
          <w:color w:val="auto"/>
          <w:highlight w:val="none"/>
        </w:rPr>
      </w:pPr>
      <w:r>
        <w:rPr>
          <w:rFonts w:hint="eastAsia" w:eastAsia="仿宋"/>
          <w:color w:val="auto"/>
          <w:highlight w:val="none"/>
        </w:rPr>
        <w:t>第一节  资格审查</w:t>
      </w:r>
    </w:p>
    <w:p w14:paraId="0D29E616">
      <w:pPr>
        <w:spacing w:line="360" w:lineRule="auto"/>
        <w:jc w:val="center"/>
        <w:rPr>
          <w:rFonts w:hint="eastAsia" w:eastAsia="仿宋"/>
          <w:b/>
          <w:color w:val="auto"/>
          <w:sz w:val="28"/>
          <w:szCs w:val="28"/>
          <w:highlight w:val="none"/>
        </w:rPr>
      </w:pPr>
      <w:r>
        <w:rPr>
          <w:rFonts w:hint="eastAsia" w:eastAsia="仿宋"/>
          <w:b/>
          <w:color w:val="auto"/>
          <w:sz w:val="28"/>
          <w:szCs w:val="28"/>
          <w:highlight w:val="none"/>
        </w:rPr>
        <w:t>资格审查办法前附表</w:t>
      </w:r>
    </w:p>
    <w:p w14:paraId="0B282A5B">
      <w:pPr>
        <w:widowControl/>
        <w:adjustRightInd w:val="0"/>
        <w:snapToGrid w:val="0"/>
        <w:spacing w:before="240" w:beforeLines="100" w:after="120" w:afterLines="50" w:line="360" w:lineRule="auto"/>
        <w:ind w:firstLine="482" w:firstLineChars="200"/>
        <w:rPr>
          <w:rFonts w:hint="eastAsia" w:ascii="宋体" w:hAnsi="宋体" w:eastAsia="仿宋"/>
          <w:b/>
          <w:bCs/>
          <w:color w:val="auto"/>
          <w:sz w:val="24"/>
          <w:highlight w:val="none"/>
        </w:rPr>
      </w:pPr>
      <w:r>
        <w:rPr>
          <w:rFonts w:hint="eastAsia" w:ascii="宋体" w:hAnsi="宋体" w:eastAsia="仿宋"/>
          <w:b/>
          <w:bCs/>
          <w:color w:val="auto"/>
          <w:sz w:val="24"/>
          <w:highlight w:val="none"/>
        </w:rPr>
        <w:t>本《资格审查办法前附表》是对本节《资格审查》的具体补充和修改，如有不一致，以本《资格审查办法前附表》为准。</w:t>
      </w:r>
    </w:p>
    <w:tbl>
      <w:tblPr>
        <w:tblStyle w:val="17"/>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999"/>
        <w:gridCol w:w="4798"/>
        <w:gridCol w:w="2503"/>
      </w:tblGrid>
      <w:tr w14:paraId="5EAD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noWrap w:val="0"/>
            <w:vAlign w:val="center"/>
          </w:tcPr>
          <w:p w14:paraId="35DFDEDC">
            <w:pPr>
              <w:adjustRightInd w:val="0"/>
              <w:snapToGrid w:val="0"/>
              <w:ind w:right="-10"/>
              <w:jc w:val="center"/>
              <w:rPr>
                <w:rFonts w:hint="eastAsia" w:ascii="宋体" w:hAnsi="宋体"/>
                <w:color w:val="auto"/>
                <w:sz w:val="24"/>
                <w:highlight w:val="none"/>
              </w:rPr>
            </w:pPr>
            <w:r>
              <w:rPr>
                <w:rFonts w:hint="eastAsia" w:ascii="宋体" w:hAnsi="宋体"/>
                <w:b/>
                <w:color w:val="auto"/>
                <w:sz w:val="24"/>
                <w:szCs w:val="22"/>
                <w:highlight w:val="none"/>
              </w:rPr>
              <w:t>资格审查办法前附表</w:t>
            </w:r>
          </w:p>
        </w:tc>
      </w:tr>
      <w:tr w14:paraId="469A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799C1364">
            <w:pPr>
              <w:adjustRightInd w:val="0"/>
              <w:snapToGrid w:val="0"/>
              <w:ind w:right="-10"/>
              <w:jc w:val="center"/>
              <w:rPr>
                <w:rFonts w:ascii="宋体" w:hAnsi="宋体"/>
                <w:color w:val="auto"/>
                <w:sz w:val="24"/>
                <w:highlight w:val="none"/>
              </w:rPr>
            </w:pPr>
            <w:r>
              <w:rPr>
                <w:rFonts w:hint="eastAsia" w:ascii="宋体" w:hAnsi="宋体"/>
                <w:color w:val="auto"/>
                <w:sz w:val="24"/>
                <w:highlight w:val="none"/>
              </w:rPr>
              <w:t>序号</w:t>
            </w:r>
          </w:p>
        </w:tc>
        <w:tc>
          <w:tcPr>
            <w:tcW w:w="997" w:type="pct"/>
            <w:tcBorders>
              <w:bottom w:val="single" w:color="auto" w:sz="4" w:space="0"/>
            </w:tcBorders>
            <w:noWrap w:val="0"/>
            <w:vAlign w:val="center"/>
          </w:tcPr>
          <w:p w14:paraId="7D16675E">
            <w:pPr>
              <w:pStyle w:val="30"/>
              <w:pBdr>
                <w:bottom w:val="none" w:color="auto" w:sz="0" w:space="0"/>
              </w:pBdr>
              <w:tabs>
                <w:tab w:val="clear" w:pos="4153"/>
                <w:tab w:val="clear" w:pos="8306"/>
              </w:tabs>
              <w:snapToGrid w:val="0"/>
              <w:spacing w:line="240" w:lineRule="auto"/>
              <w:ind w:right="-10"/>
              <w:textAlignment w:val="auto"/>
              <w:rPr>
                <w:rFonts w:ascii="宋体" w:hAnsi="宋体"/>
                <w:color w:val="auto"/>
                <w:kern w:val="2"/>
                <w:szCs w:val="24"/>
                <w:highlight w:val="none"/>
              </w:rPr>
            </w:pPr>
            <w:r>
              <w:rPr>
                <w:rFonts w:hint="eastAsia" w:ascii="宋体" w:hAnsi="宋体"/>
                <w:color w:val="auto"/>
                <w:kern w:val="2"/>
                <w:szCs w:val="24"/>
                <w:highlight w:val="none"/>
              </w:rPr>
              <w:t>审查因素</w:t>
            </w:r>
          </w:p>
        </w:tc>
        <w:tc>
          <w:tcPr>
            <w:tcW w:w="2393" w:type="pct"/>
            <w:tcBorders>
              <w:bottom w:val="single" w:color="auto" w:sz="4" w:space="0"/>
            </w:tcBorders>
            <w:noWrap w:val="0"/>
            <w:vAlign w:val="center"/>
          </w:tcPr>
          <w:p w14:paraId="6C5EB0B3">
            <w:pPr>
              <w:adjustRightInd w:val="0"/>
              <w:snapToGrid w:val="0"/>
              <w:ind w:right="-10"/>
              <w:jc w:val="center"/>
              <w:rPr>
                <w:rFonts w:ascii="宋体" w:hAnsi="宋体"/>
                <w:color w:val="auto"/>
                <w:sz w:val="24"/>
                <w:highlight w:val="none"/>
              </w:rPr>
            </w:pPr>
            <w:r>
              <w:rPr>
                <w:rFonts w:hint="eastAsia" w:ascii="宋体" w:hAnsi="宋体"/>
                <w:color w:val="auto"/>
                <w:sz w:val="24"/>
                <w:highlight w:val="none"/>
              </w:rPr>
              <w:t>审查标准</w:t>
            </w:r>
          </w:p>
        </w:tc>
        <w:tc>
          <w:tcPr>
            <w:tcW w:w="1246" w:type="pct"/>
            <w:tcBorders>
              <w:bottom w:val="single" w:color="auto" w:sz="4" w:space="0"/>
            </w:tcBorders>
            <w:noWrap w:val="0"/>
            <w:vAlign w:val="center"/>
          </w:tcPr>
          <w:p w14:paraId="2D582CA0">
            <w:pPr>
              <w:adjustRightInd w:val="0"/>
              <w:snapToGrid w:val="0"/>
              <w:ind w:right="-10"/>
              <w:jc w:val="center"/>
              <w:rPr>
                <w:rFonts w:ascii="宋体" w:hAnsi="宋体"/>
                <w:color w:val="auto"/>
                <w:sz w:val="24"/>
                <w:highlight w:val="none"/>
              </w:rPr>
            </w:pPr>
            <w:r>
              <w:rPr>
                <w:rFonts w:hint="eastAsia" w:ascii="宋体" w:hAnsi="宋体"/>
                <w:color w:val="auto"/>
                <w:sz w:val="24"/>
                <w:highlight w:val="none"/>
              </w:rPr>
              <w:t>格式及材料要求</w:t>
            </w:r>
          </w:p>
        </w:tc>
      </w:tr>
      <w:tr w14:paraId="77B3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2" w:type="pct"/>
            <w:tcBorders>
              <w:bottom w:val="single" w:color="auto" w:sz="4" w:space="0"/>
            </w:tcBorders>
            <w:noWrap w:val="0"/>
            <w:vAlign w:val="center"/>
          </w:tcPr>
          <w:p w14:paraId="41CF35D9">
            <w:pPr>
              <w:adjustRightInd w:val="0"/>
              <w:snapToGrid w:val="0"/>
              <w:ind w:right="-10"/>
              <w:jc w:val="center"/>
              <w:rPr>
                <w:rFonts w:ascii="宋体" w:hAnsi="宋体"/>
                <w:color w:val="auto"/>
                <w:sz w:val="24"/>
                <w:highlight w:val="none"/>
              </w:rPr>
            </w:pPr>
            <w:r>
              <w:rPr>
                <w:rFonts w:hint="eastAsia" w:ascii="宋体" w:hAnsi="宋体"/>
                <w:color w:val="auto"/>
                <w:sz w:val="24"/>
                <w:highlight w:val="none"/>
              </w:rPr>
              <w:t>1</w:t>
            </w:r>
          </w:p>
        </w:tc>
        <w:tc>
          <w:tcPr>
            <w:tcW w:w="997" w:type="pct"/>
            <w:tcBorders>
              <w:bottom w:val="single" w:color="auto" w:sz="4" w:space="0"/>
            </w:tcBorders>
            <w:noWrap w:val="0"/>
            <w:vAlign w:val="center"/>
          </w:tcPr>
          <w:p w14:paraId="300D8421">
            <w:pPr>
              <w:spacing w:after="50"/>
              <w:ind w:right="-10"/>
              <w:jc w:val="center"/>
              <w:rPr>
                <w:rFonts w:hint="eastAsia" w:ascii="宋体" w:hAnsi="宋体" w:eastAsia="仿宋"/>
                <w:color w:val="auto"/>
                <w:sz w:val="24"/>
                <w:highlight w:val="none"/>
              </w:rPr>
            </w:pPr>
            <w:r>
              <w:rPr>
                <w:rFonts w:hint="eastAsia" w:ascii="宋体" w:hAnsi="宋体" w:eastAsia="仿宋"/>
                <w:color w:val="auto"/>
                <w:sz w:val="24"/>
                <w:highlight w:val="none"/>
              </w:rPr>
              <w:t>营业执照等证明材料</w:t>
            </w:r>
          </w:p>
        </w:tc>
        <w:tc>
          <w:tcPr>
            <w:tcW w:w="2393" w:type="pct"/>
            <w:tcBorders>
              <w:bottom w:val="single" w:color="auto" w:sz="4" w:space="0"/>
            </w:tcBorders>
            <w:noWrap w:val="0"/>
            <w:vAlign w:val="center"/>
          </w:tcPr>
          <w:p w14:paraId="55D10A6B">
            <w:pPr>
              <w:spacing w:after="50"/>
              <w:ind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投标人为企业（包括公司、合伙企业、个人独资企业）的，提供有效的营业执照；</w:t>
            </w:r>
          </w:p>
          <w:p w14:paraId="40235634">
            <w:pPr>
              <w:spacing w:after="50"/>
              <w:ind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投标人为事业单位的，提供有效的事业单位法人证书；</w:t>
            </w:r>
          </w:p>
          <w:p w14:paraId="59242B27">
            <w:pPr>
              <w:spacing w:after="50"/>
              <w:ind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投标人为社会团体的，提供有效的社会团体法人登记证书；</w:t>
            </w:r>
          </w:p>
          <w:p w14:paraId="1F7AA709">
            <w:pPr>
              <w:spacing w:after="50"/>
              <w:ind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投标人为个体工商户的，提供有效的营业执照；</w:t>
            </w:r>
          </w:p>
          <w:p w14:paraId="04C1E256">
            <w:pPr>
              <w:spacing w:after="50"/>
              <w:ind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投标人为不具法人资格的专业服务机构的，提供有效的执业许可证等证明材料；</w:t>
            </w:r>
          </w:p>
          <w:p w14:paraId="5F6C45A3">
            <w:pPr>
              <w:spacing w:after="50"/>
              <w:ind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投标人为自然人的，提供有效的自然人身份证明；</w:t>
            </w:r>
          </w:p>
          <w:p w14:paraId="36B6FD3D">
            <w:pPr>
              <w:spacing w:after="50"/>
              <w:ind w:right="-10"/>
              <w:jc w:val="left"/>
              <w:rPr>
                <w:rFonts w:ascii="宋体" w:hAnsi="宋体"/>
                <w:color w:val="auto"/>
                <w:sz w:val="24"/>
                <w:szCs w:val="28"/>
                <w:highlight w:val="none"/>
              </w:rPr>
            </w:pPr>
            <w:r>
              <w:rPr>
                <w:rFonts w:hint="eastAsia" w:ascii="仿宋" w:hAnsi="仿宋" w:eastAsia="仿宋" w:cs="仿宋"/>
                <w:color w:val="auto"/>
                <w:sz w:val="24"/>
                <w:szCs w:val="28"/>
                <w:highlight w:val="none"/>
              </w:rPr>
              <w:t>其他投标人应按照有关法律、法规和规章规定，提供有效的相应证明材料。</w:t>
            </w:r>
          </w:p>
        </w:tc>
        <w:tc>
          <w:tcPr>
            <w:tcW w:w="1246" w:type="pct"/>
            <w:noWrap w:val="0"/>
            <w:vAlign w:val="center"/>
          </w:tcPr>
          <w:p w14:paraId="7E904236">
            <w:pPr>
              <w:spacing w:after="50"/>
              <w:ind w:right="-10"/>
              <w:jc w:val="left"/>
              <w:rPr>
                <w:rFonts w:hint="eastAsia" w:ascii="宋体" w:hAnsi="宋体"/>
                <w:color w:val="auto"/>
                <w:sz w:val="24"/>
                <w:highlight w:val="none"/>
              </w:rPr>
            </w:pPr>
            <w:r>
              <w:rPr>
                <w:rFonts w:hint="eastAsia" w:ascii="仿宋" w:hAnsi="仿宋" w:eastAsia="仿宋" w:cs="仿宋"/>
                <w:color w:val="auto"/>
                <w:sz w:val="24"/>
                <w:highlight w:val="none"/>
              </w:rPr>
              <w:t>提供原件扫描件或电子证照</w:t>
            </w:r>
          </w:p>
        </w:tc>
      </w:tr>
      <w:tr w14:paraId="4876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5DC1BB17">
            <w:pPr>
              <w:adjustRightInd w:val="0"/>
              <w:snapToGrid w:val="0"/>
              <w:ind w:right="-10"/>
              <w:jc w:val="center"/>
              <w:rPr>
                <w:rFonts w:hint="eastAsia" w:ascii="宋体" w:hAnsi="宋体"/>
                <w:color w:val="auto"/>
                <w:sz w:val="24"/>
                <w:highlight w:val="none"/>
              </w:rPr>
            </w:pPr>
            <w:r>
              <w:rPr>
                <w:rFonts w:hint="eastAsia" w:ascii="宋体" w:hAnsi="宋体"/>
                <w:color w:val="auto"/>
                <w:sz w:val="24"/>
                <w:highlight w:val="none"/>
              </w:rPr>
              <w:t>2</w:t>
            </w:r>
          </w:p>
        </w:tc>
        <w:tc>
          <w:tcPr>
            <w:tcW w:w="997" w:type="pct"/>
            <w:tcBorders>
              <w:bottom w:val="single" w:color="auto" w:sz="4" w:space="0"/>
            </w:tcBorders>
            <w:noWrap w:val="0"/>
            <w:vAlign w:val="center"/>
          </w:tcPr>
          <w:p w14:paraId="308EEC96">
            <w:pPr>
              <w:spacing w:after="50"/>
              <w:ind w:right="-10"/>
              <w:jc w:val="center"/>
              <w:rPr>
                <w:rFonts w:ascii="宋体" w:hAnsi="宋体"/>
                <w:color w:val="auto"/>
                <w:sz w:val="24"/>
                <w:szCs w:val="28"/>
                <w:highlight w:val="none"/>
              </w:rPr>
            </w:pPr>
            <w:r>
              <w:rPr>
                <w:rFonts w:hint="eastAsia" w:ascii="宋体" w:hAnsi="宋体" w:eastAsia="仿宋"/>
                <w:color w:val="auto"/>
                <w:sz w:val="24"/>
                <w:highlight w:val="none"/>
              </w:rPr>
              <w:t>信用状况</w:t>
            </w:r>
          </w:p>
        </w:tc>
        <w:tc>
          <w:tcPr>
            <w:tcW w:w="2393" w:type="pct"/>
            <w:tcBorders>
              <w:bottom w:val="single" w:color="auto" w:sz="4" w:space="0"/>
            </w:tcBorders>
            <w:noWrap w:val="0"/>
            <w:vAlign w:val="center"/>
          </w:tcPr>
          <w:p w14:paraId="4690371C">
            <w:pPr>
              <w:spacing w:after="50"/>
              <w:ind w:right="-10"/>
              <w:jc w:val="left"/>
              <w:rPr>
                <w:rFonts w:hint="eastAsia" w:ascii="宋体" w:hAnsi="宋体" w:eastAsia="仿宋"/>
                <w:color w:val="auto"/>
                <w:sz w:val="24"/>
                <w:highlight w:val="none"/>
              </w:rPr>
            </w:pPr>
            <w:r>
              <w:rPr>
                <w:rFonts w:hint="eastAsia" w:ascii="宋体" w:hAnsi="宋体" w:eastAsia="仿宋"/>
                <w:color w:val="auto"/>
                <w:kern w:val="0"/>
                <w:sz w:val="24"/>
                <w:highlight w:val="none"/>
              </w:rPr>
              <w:t>符合第二章“投标人须知”正文第1.3.3项要求，</w:t>
            </w:r>
            <w:r>
              <w:rPr>
                <w:rFonts w:hint="eastAsia" w:ascii="宋体" w:hAnsi="宋体" w:eastAsia="仿宋"/>
                <w:color w:val="auto"/>
                <w:sz w:val="24"/>
                <w:highlight w:val="none"/>
              </w:rPr>
              <w:t>信用状况只依据下述查询平台（网址）发布的信息：</w:t>
            </w:r>
          </w:p>
          <w:p w14:paraId="18BA52B9">
            <w:pPr>
              <w:pStyle w:val="31"/>
              <w:overflowPunct w:val="0"/>
              <w:autoSpaceDE w:val="0"/>
              <w:autoSpaceDN w:val="0"/>
              <w:adjustRightInd w:val="0"/>
              <w:rPr>
                <w:rFonts w:eastAsia="仿宋"/>
                <w:color w:val="auto"/>
                <w:sz w:val="24"/>
                <w:szCs w:val="24"/>
                <w:highlight w:val="none"/>
              </w:rPr>
            </w:pPr>
            <w:r>
              <w:rPr>
                <w:rFonts w:hint="eastAsia" w:ascii="宋体" w:hAnsi="宋体" w:eastAsia="仿宋"/>
                <w:color w:val="auto"/>
                <w:sz w:val="24"/>
                <w:szCs w:val="24"/>
                <w:highlight w:val="none"/>
              </w:rPr>
              <w:t>（</w:t>
            </w:r>
            <w:r>
              <w:rPr>
                <w:rFonts w:eastAsia="仿宋"/>
                <w:color w:val="auto"/>
                <w:sz w:val="24"/>
                <w:szCs w:val="24"/>
                <w:highlight w:val="none"/>
              </w:rPr>
              <w:t>1</w:t>
            </w:r>
            <w:r>
              <w:rPr>
                <w:rFonts w:hint="eastAsia" w:ascii="宋体" w:hAnsi="宋体" w:eastAsia="仿宋"/>
                <w:color w:val="auto"/>
                <w:sz w:val="24"/>
                <w:szCs w:val="24"/>
                <w:highlight w:val="none"/>
              </w:rPr>
              <w:t>）信用中国</w:t>
            </w:r>
            <w:r>
              <w:rPr>
                <w:rFonts w:eastAsia="仿宋"/>
                <w:color w:val="auto"/>
                <w:sz w:val="24"/>
                <w:szCs w:val="24"/>
                <w:highlight w:val="none"/>
              </w:rPr>
              <w:t>网站</w:t>
            </w:r>
          </w:p>
          <w:p w14:paraId="09255057">
            <w:pPr>
              <w:pStyle w:val="31"/>
              <w:overflowPunct w:val="0"/>
              <w:autoSpaceDE w:val="0"/>
              <w:autoSpaceDN w:val="0"/>
              <w:adjustRightInd w:val="0"/>
              <w:rPr>
                <w:rFonts w:eastAsia="仿宋"/>
                <w:color w:val="auto"/>
                <w:sz w:val="24"/>
                <w:szCs w:val="24"/>
                <w:highlight w:val="none"/>
              </w:rPr>
            </w:pPr>
            <w:r>
              <w:rPr>
                <w:rFonts w:eastAsia="仿宋"/>
                <w:color w:val="auto"/>
                <w:sz w:val="24"/>
                <w:szCs w:val="24"/>
                <w:highlight w:val="none"/>
              </w:rPr>
              <w:t>（www.creditchina.gov.cn）；</w:t>
            </w:r>
          </w:p>
          <w:p w14:paraId="56AB4C30">
            <w:pPr>
              <w:pStyle w:val="31"/>
              <w:overflowPunct w:val="0"/>
              <w:autoSpaceDE w:val="0"/>
              <w:autoSpaceDN w:val="0"/>
              <w:adjustRightInd w:val="0"/>
              <w:rPr>
                <w:rFonts w:eastAsia="仿宋"/>
                <w:color w:val="auto"/>
                <w:sz w:val="24"/>
                <w:szCs w:val="24"/>
                <w:highlight w:val="none"/>
              </w:rPr>
            </w:pPr>
            <w:r>
              <w:rPr>
                <w:rFonts w:eastAsia="仿宋"/>
                <w:color w:val="auto"/>
                <w:sz w:val="24"/>
                <w:szCs w:val="24"/>
                <w:highlight w:val="none"/>
              </w:rPr>
              <w:t>（2）中国执行信息公开网</w:t>
            </w:r>
          </w:p>
          <w:p w14:paraId="2C066120">
            <w:pPr>
              <w:pStyle w:val="31"/>
              <w:overflowPunct w:val="0"/>
              <w:autoSpaceDE w:val="0"/>
              <w:autoSpaceDN w:val="0"/>
              <w:adjustRightInd w:val="0"/>
              <w:rPr>
                <w:rFonts w:eastAsia="仿宋"/>
                <w:color w:val="auto"/>
                <w:sz w:val="24"/>
                <w:szCs w:val="24"/>
                <w:highlight w:val="none"/>
              </w:rPr>
            </w:pPr>
            <w:r>
              <w:rPr>
                <w:rFonts w:eastAsia="仿宋"/>
                <w:color w:val="auto"/>
                <w:sz w:val="24"/>
                <w:szCs w:val="24"/>
                <w:highlight w:val="none"/>
              </w:rPr>
              <w:t>（http://zxgk.court.gov.cn/）</w:t>
            </w:r>
            <w:r>
              <w:rPr>
                <w:rFonts w:hint="eastAsia" w:eastAsia="仿宋"/>
                <w:color w:val="auto"/>
                <w:sz w:val="24"/>
                <w:szCs w:val="24"/>
                <w:highlight w:val="none"/>
              </w:rPr>
              <w:t>；</w:t>
            </w:r>
          </w:p>
          <w:p w14:paraId="4E81F431">
            <w:pPr>
              <w:pStyle w:val="31"/>
              <w:overflowPunct w:val="0"/>
              <w:autoSpaceDE w:val="0"/>
              <w:autoSpaceDN w:val="0"/>
              <w:adjustRightInd w:val="0"/>
              <w:rPr>
                <w:rFonts w:eastAsia="仿宋"/>
                <w:color w:val="auto"/>
                <w:sz w:val="24"/>
                <w:szCs w:val="24"/>
                <w:highlight w:val="none"/>
              </w:rPr>
            </w:pPr>
            <w:r>
              <w:rPr>
                <w:rFonts w:hint="eastAsia" w:eastAsia="仿宋"/>
                <w:color w:val="auto"/>
                <w:sz w:val="24"/>
                <w:szCs w:val="24"/>
                <w:highlight w:val="none"/>
              </w:rPr>
              <w:t>（3）</w:t>
            </w:r>
            <w:r>
              <w:rPr>
                <w:rFonts w:eastAsia="仿宋"/>
                <w:color w:val="auto"/>
                <w:sz w:val="24"/>
                <w:szCs w:val="24"/>
                <w:highlight w:val="none"/>
              </w:rPr>
              <w:t>中国政府采购网</w:t>
            </w:r>
          </w:p>
          <w:p w14:paraId="6FCC7632">
            <w:pPr>
              <w:pStyle w:val="31"/>
              <w:overflowPunct w:val="0"/>
              <w:autoSpaceDE w:val="0"/>
              <w:autoSpaceDN w:val="0"/>
              <w:adjustRightInd w:val="0"/>
              <w:rPr>
                <w:rFonts w:eastAsia="仿宋"/>
                <w:color w:val="auto"/>
                <w:sz w:val="24"/>
                <w:szCs w:val="24"/>
                <w:highlight w:val="none"/>
              </w:rPr>
            </w:pPr>
            <w:r>
              <w:rPr>
                <w:rFonts w:eastAsia="仿宋"/>
                <w:color w:val="auto"/>
                <w:sz w:val="24"/>
                <w:szCs w:val="24"/>
                <w:highlight w:val="none"/>
              </w:rPr>
              <w:t>（http://www.ccgp.gov.cn/）</w:t>
            </w:r>
            <w:r>
              <w:rPr>
                <w:rFonts w:hint="eastAsia" w:eastAsia="仿宋"/>
                <w:color w:val="auto"/>
                <w:sz w:val="24"/>
                <w:szCs w:val="24"/>
                <w:highlight w:val="none"/>
              </w:rPr>
              <w:t>；</w:t>
            </w:r>
          </w:p>
          <w:p w14:paraId="6EFEFC89">
            <w:pPr>
              <w:pStyle w:val="31"/>
              <w:overflowPunct w:val="0"/>
              <w:autoSpaceDE w:val="0"/>
              <w:autoSpaceDN w:val="0"/>
              <w:adjustRightInd w:val="0"/>
              <w:rPr>
                <w:rFonts w:eastAsia="仿宋"/>
                <w:color w:val="auto"/>
                <w:sz w:val="24"/>
                <w:szCs w:val="24"/>
                <w:highlight w:val="none"/>
              </w:rPr>
            </w:pPr>
            <w:r>
              <w:rPr>
                <w:rFonts w:eastAsia="仿宋"/>
                <w:color w:val="auto"/>
                <w:sz w:val="24"/>
                <w:szCs w:val="24"/>
                <w:highlight w:val="none"/>
              </w:rPr>
              <w:t>（4）国家企业信用信息公示系统</w:t>
            </w:r>
          </w:p>
          <w:p w14:paraId="35A0A0D9">
            <w:pPr>
              <w:pStyle w:val="4"/>
              <w:spacing w:line="240" w:lineRule="auto"/>
              <w:outlineLvl w:val="2"/>
              <w:rPr>
                <w:color w:val="auto"/>
                <w:highlight w:val="none"/>
              </w:rPr>
            </w:pPr>
            <w:r>
              <w:rPr>
                <w:rFonts w:ascii="Times New Roman" w:hAnsi="Times New Roman" w:eastAsia="仿宋"/>
                <w:b w:val="0"/>
                <w:bCs w:val="0"/>
                <w:color w:val="auto"/>
                <w:sz w:val="24"/>
                <w:highlight w:val="none"/>
                <w:lang w:eastAsia="zh-CN" w:bidi="ar-SA"/>
              </w:rPr>
              <w:t>（http://www.gsxt.gov.cn/）</w:t>
            </w:r>
            <w:r>
              <w:rPr>
                <w:rFonts w:hint="eastAsia" w:ascii="Times New Roman" w:hAnsi="Times New Roman" w:eastAsia="仿宋"/>
                <w:b w:val="0"/>
                <w:bCs w:val="0"/>
                <w:color w:val="auto"/>
                <w:sz w:val="24"/>
                <w:highlight w:val="none"/>
                <w:lang w:eastAsia="zh-CN" w:bidi="ar-SA"/>
              </w:rPr>
              <w:t>。</w:t>
            </w:r>
          </w:p>
        </w:tc>
        <w:tc>
          <w:tcPr>
            <w:tcW w:w="1246" w:type="pct"/>
            <w:tcBorders>
              <w:bottom w:val="single" w:color="auto" w:sz="4" w:space="0"/>
            </w:tcBorders>
            <w:noWrap w:val="0"/>
            <w:vAlign w:val="center"/>
          </w:tcPr>
          <w:p w14:paraId="4D3BE83A">
            <w:pPr>
              <w:widowControl/>
              <w:adjustRightInd w:val="0"/>
              <w:snapToGrid w:val="0"/>
              <w:rPr>
                <w:rFonts w:hint="eastAsia" w:ascii="宋体" w:hAnsi="宋体"/>
                <w:color w:val="auto"/>
                <w:sz w:val="24"/>
                <w:highlight w:val="none"/>
              </w:rPr>
            </w:pPr>
            <w:r>
              <w:rPr>
                <w:rFonts w:hint="eastAsia" w:ascii="宋体" w:hAnsi="宋体" w:eastAsia="仿宋" w:cs="宋体"/>
                <w:color w:val="auto"/>
                <w:sz w:val="24"/>
                <w:highlight w:val="none"/>
              </w:rPr>
              <w:t>采购人或采购代理机构查询</w:t>
            </w:r>
          </w:p>
        </w:tc>
      </w:tr>
      <w:tr w14:paraId="5560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4BCF3C8A">
            <w:pPr>
              <w:adjustRightInd w:val="0"/>
              <w:snapToGrid w:val="0"/>
              <w:ind w:right="-10"/>
              <w:jc w:val="center"/>
              <w:rPr>
                <w:rFonts w:hint="eastAsia" w:ascii="宋体" w:hAnsi="宋体"/>
                <w:color w:val="auto"/>
                <w:sz w:val="24"/>
                <w:highlight w:val="none"/>
              </w:rPr>
            </w:pPr>
            <w:r>
              <w:rPr>
                <w:rFonts w:hint="eastAsia" w:ascii="宋体" w:hAnsi="宋体"/>
                <w:color w:val="auto"/>
                <w:sz w:val="24"/>
                <w:highlight w:val="none"/>
              </w:rPr>
              <w:t>3</w:t>
            </w:r>
          </w:p>
        </w:tc>
        <w:tc>
          <w:tcPr>
            <w:tcW w:w="997" w:type="pct"/>
            <w:tcBorders>
              <w:bottom w:val="single" w:color="auto" w:sz="4" w:space="0"/>
            </w:tcBorders>
            <w:noWrap w:val="0"/>
            <w:vAlign w:val="center"/>
          </w:tcPr>
          <w:p w14:paraId="75AA9256">
            <w:pPr>
              <w:spacing w:after="50"/>
              <w:ind w:right="-10"/>
              <w:jc w:val="center"/>
              <w:rPr>
                <w:rFonts w:ascii="宋体" w:hAnsi="宋体"/>
                <w:color w:val="auto"/>
                <w:sz w:val="24"/>
                <w:szCs w:val="18"/>
                <w:highlight w:val="none"/>
              </w:rPr>
            </w:pPr>
            <w:r>
              <w:rPr>
                <w:rFonts w:hint="eastAsia" w:ascii="宋体" w:hAnsi="宋体" w:eastAsia="仿宋"/>
                <w:color w:val="auto"/>
                <w:sz w:val="24"/>
                <w:highlight w:val="none"/>
              </w:rPr>
              <w:t>政府采购供应商资格承诺函</w:t>
            </w:r>
          </w:p>
        </w:tc>
        <w:tc>
          <w:tcPr>
            <w:tcW w:w="2393" w:type="pct"/>
            <w:tcBorders>
              <w:bottom w:val="single" w:color="auto" w:sz="4" w:space="0"/>
            </w:tcBorders>
            <w:noWrap w:val="0"/>
            <w:vAlign w:val="center"/>
          </w:tcPr>
          <w:p w14:paraId="1D89D177">
            <w:pPr>
              <w:spacing w:after="50"/>
              <w:ind w:right="-10"/>
              <w:jc w:val="left"/>
              <w:rPr>
                <w:rFonts w:hint="eastAsia" w:ascii="宋体" w:hAnsi="宋体" w:eastAsia="仿宋"/>
                <w:color w:val="auto"/>
                <w:sz w:val="24"/>
                <w:szCs w:val="28"/>
                <w:highlight w:val="none"/>
              </w:rPr>
            </w:pPr>
            <w:r>
              <w:rPr>
                <w:rFonts w:hint="eastAsia" w:ascii="宋体" w:hAnsi="宋体" w:eastAsia="仿宋"/>
                <w:color w:val="auto"/>
                <w:sz w:val="24"/>
                <w:highlight w:val="none"/>
              </w:rPr>
              <w:t>格式、填写要求符合招标文件规定并加盖投标人电子签章。</w:t>
            </w:r>
          </w:p>
        </w:tc>
        <w:tc>
          <w:tcPr>
            <w:tcW w:w="1246" w:type="pct"/>
            <w:tcBorders>
              <w:bottom w:val="single" w:color="auto" w:sz="4" w:space="0"/>
            </w:tcBorders>
            <w:noWrap w:val="0"/>
            <w:vAlign w:val="center"/>
          </w:tcPr>
          <w:p w14:paraId="17BC7219">
            <w:pPr>
              <w:adjustRightInd w:val="0"/>
              <w:snapToGrid w:val="0"/>
              <w:ind w:right="-10"/>
              <w:jc w:val="left"/>
              <w:rPr>
                <w:rFonts w:hint="eastAsia" w:ascii="宋体" w:hAnsi="宋体"/>
                <w:color w:val="auto"/>
                <w:sz w:val="24"/>
                <w:highlight w:val="none"/>
              </w:rPr>
            </w:pPr>
            <w:r>
              <w:rPr>
                <w:rFonts w:hint="eastAsia" w:ascii="宋体" w:hAnsi="宋体" w:eastAsia="仿宋"/>
                <w:color w:val="auto"/>
                <w:sz w:val="24"/>
                <w:highlight w:val="none"/>
              </w:rPr>
              <w:t>详见第六章投标文件格式九（二）</w:t>
            </w:r>
          </w:p>
        </w:tc>
      </w:tr>
      <w:tr w14:paraId="7C43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1B0D2E38">
            <w:pPr>
              <w:adjustRightInd w:val="0"/>
              <w:snapToGrid w:val="0"/>
              <w:ind w:right="-10"/>
              <w:jc w:val="center"/>
              <w:rPr>
                <w:rFonts w:hint="eastAsia" w:ascii="宋体" w:hAnsi="宋体"/>
                <w:color w:val="auto"/>
                <w:sz w:val="24"/>
                <w:highlight w:val="none"/>
              </w:rPr>
            </w:pPr>
            <w:r>
              <w:rPr>
                <w:rFonts w:hint="eastAsia" w:ascii="宋体" w:hAnsi="宋体"/>
                <w:color w:val="auto"/>
                <w:sz w:val="24"/>
                <w:highlight w:val="none"/>
              </w:rPr>
              <w:t>4</w:t>
            </w:r>
          </w:p>
        </w:tc>
        <w:tc>
          <w:tcPr>
            <w:tcW w:w="997" w:type="pct"/>
            <w:tcBorders>
              <w:bottom w:val="single" w:color="auto" w:sz="4" w:space="0"/>
            </w:tcBorders>
            <w:noWrap w:val="0"/>
            <w:vAlign w:val="center"/>
          </w:tcPr>
          <w:p w14:paraId="394F2C74">
            <w:pPr>
              <w:spacing w:after="50"/>
              <w:ind w:right="-10"/>
              <w:jc w:val="center"/>
              <w:rPr>
                <w:rFonts w:hint="eastAsia" w:ascii="宋体" w:hAnsi="宋体" w:eastAsia="仿宋"/>
                <w:color w:val="auto"/>
                <w:sz w:val="24"/>
                <w:highlight w:val="none"/>
              </w:rPr>
            </w:pPr>
            <w:r>
              <w:rPr>
                <w:rFonts w:hint="eastAsia" w:ascii="宋体" w:hAnsi="宋体" w:eastAsia="仿宋"/>
                <w:color w:val="auto"/>
                <w:sz w:val="24"/>
                <w:highlight w:val="none"/>
              </w:rPr>
              <w:t>中小企业声明函</w:t>
            </w:r>
          </w:p>
          <w:p w14:paraId="59F9EB1E">
            <w:pPr>
              <w:spacing w:after="50"/>
              <w:ind w:right="-10"/>
              <w:jc w:val="center"/>
              <w:rPr>
                <w:rFonts w:hint="eastAsia" w:ascii="宋体" w:hAnsi="宋体" w:eastAsia="仿宋"/>
                <w:color w:val="auto"/>
                <w:sz w:val="24"/>
                <w:highlight w:val="none"/>
              </w:rPr>
            </w:pPr>
            <w:r>
              <w:rPr>
                <w:rFonts w:hint="eastAsia" w:ascii="宋体" w:hAnsi="宋体" w:eastAsia="仿宋"/>
                <w:color w:val="auto"/>
                <w:sz w:val="24"/>
                <w:highlight w:val="none"/>
              </w:rPr>
              <w:t>（专门面向中小企业采购项目/采购包适用）</w:t>
            </w:r>
          </w:p>
        </w:tc>
        <w:tc>
          <w:tcPr>
            <w:tcW w:w="2393" w:type="pct"/>
            <w:tcBorders>
              <w:bottom w:val="single" w:color="auto" w:sz="4" w:space="0"/>
            </w:tcBorders>
            <w:noWrap w:val="0"/>
            <w:vAlign w:val="center"/>
          </w:tcPr>
          <w:p w14:paraId="59557011">
            <w:pPr>
              <w:spacing w:after="50"/>
              <w:ind w:right="-10"/>
              <w:jc w:val="left"/>
              <w:rPr>
                <w:rFonts w:hint="eastAsia" w:ascii="宋体" w:hAnsi="宋体" w:eastAsia="仿宋"/>
                <w:color w:val="auto"/>
                <w:sz w:val="24"/>
                <w:highlight w:val="none"/>
              </w:rPr>
            </w:pPr>
            <w:r>
              <w:rPr>
                <w:rFonts w:hint="eastAsia" w:ascii="宋体" w:hAnsi="宋体" w:eastAsia="仿宋"/>
                <w:color w:val="auto"/>
                <w:sz w:val="24"/>
                <w:highlight w:val="none"/>
              </w:rPr>
              <w:t>符合招标公告中落实政府采购政策需满足的资格要求。</w:t>
            </w:r>
          </w:p>
        </w:tc>
        <w:tc>
          <w:tcPr>
            <w:tcW w:w="1246" w:type="pct"/>
            <w:tcBorders>
              <w:bottom w:val="single" w:color="auto" w:sz="4" w:space="0"/>
            </w:tcBorders>
            <w:noWrap w:val="0"/>
            <w:vAlign w:val="center"/>
          </w:tcPr>
          <w:p w14:paraId="11B05BF4">
            <w:pPr>
              <w:spacing w:after="50"/>
              <w:ind w:right="-10"/>
              <w:jc w:val="left"/>
              <w:rPr>
                <w:rFonts w:hint="eastAsia" w:ascii="宋体" w:hAnsi="宋体" w:eastAsia="仿宋"/>
                <w:color w:val="auto"/>
                <w:sz w:val="24"/>
                <w:highlight w:val="none"/>
              </w:rPr>
            </w:pPr>
            <w:r>
              <w:rPr>
                <w:rFonts w:hint="eastAsia" w:ascii="宋体" w:hAnsi="宋体" w:eastAsia="仿宋"/>
                <w:color w:val="auto"/>
                <w:sz w:val="24"/>
                <w:highlight w:val="none"/>
              </w:rPr>
              <w:t>详见第六章投标文件格式五</w:t>
            </w:r>
          </w:p>
        </w:tc>
      </w:tr>
      <w:tr w14:paraId="5F39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362" w:type="pct"/>
            <w:vMerge w:val="restart"/>
            <w:noWrap w:val="0"/>
            <w:vAlign w:val="center"/>
          </w:tcPr>
          <w:p w14:paraId="39FD37D3">
            <w:pPr>
              <w:adjustRightInd w:val="0"/>
              <w:snapToGrid w:val="0"/>
              <w:ind w:right="-10"/>
              <w:jc w:val="center"/>
              <w:rPr>
                <w:rFonts w:hint="eastAsia" w:ascii="宋体" w:hAnsi="宋体"/>
                <w:color w:val="auto"/>
                <w:sz w:val="24"/>
                <w:highlight w:val="none"/>
              </w:rPr>
            </w:pPr>
            <w:r>
              <w:rPr>
                <w:rFonts w:hint="eastAsia" w:ascii="宋体" w:hAnsi="宋体"/>
                <w:color w:val="auto"/>
                <w:sz w:val="24"/>
                <w:highlight w:val="none"/>
              </w:rPr>
              <w:t>5</w:t>
            </w:r>
          </w:p>
        </w:tc>
        <w:tc>
          <w:tcPr>
            <w:tcW w:w="997" w:type="pct"/>
            <w:vMerge w:val="restart"/>
            <w:noWrap w:val="0"/>
            <w:vAlign w:val="center"/>
          </w:tcPr>
          <w:p w14:paraId="7523CD76">
            <w:pPr>
              <w:spacing w:after="50"/>
              <w:ind w:right="-10"/>
              <w:jc w:val="center"/>
              <w:rPr>
                <w:rFonts w:hint="eastAsia" w:ascii="宋体" w:hAnsi="宋体" w:eastAsia="仿宋"/>
                <w:color w:val="auto"/>
                <w:sz w:val="24"/>
                <w:highlight w:val="none"/>
              </w:rPr>
            </w:pPr>
            <w:r>
              <w:rPr>
                <w:rFonts w:hint="eastAsia" w:ascii="宋体" w:hAnsi="宋体" w:eastAsia="仿宋"/>
                <w:color w:val="auto"/>
                <w:sz w:val="24"/>
                <w:highlight w:val="none"/>
              </w:rPr>
              <w:t>中小企业承揽份额（如有）</w:t>
            </w:r>
          </w:p>
        </w:tc>
        <w:tc>
          <w:tcPr>
            <w:tcW w:w="2393" w:type="pct"/>
            <w:tcBorders>
              <w:bottom w:val="single" w:color="auto" w:sz="4" w:space="0"/>
            </w:tcBorders>
            <w:noWrap w:val="0"/>
            <w:vAlign w:val="center"/>
          </w:tcPr>
          <w:p w14:paraId="174D7B79">
            <w:pPr>
              <w:jc w:val="left"/>
              <w:rPr>
                <w:rFonts w:hint="eastAsia" w:ascii="宋体" w:hAnsi="宋体" w:eastAsia="仿宋"/>
                <w:color w:val="auto"/>
                <w:sz w:val="24"/>
                <w:highlight w:val="none"/>
              </w:rPr>
            </w:pPr>
            <w:r>
              <w:rPr>
                <w:rFonts w:hint="eastAsia" w:ascii="宋体" w:hAnsi="宋体" w:eastAsia="仿宋"/>
                <w:color w:val="auto"/>
                <w:sz w:val="24"/>
                <w:highlight w:val="none"/>
              </w:rPr>
              <w:t>如本项目（包）允许通过组成联合体预留部分采购份额面向中小企业采购、且投标人因落实政府采购政策拟组成联合体的，必须提供。</w:t>
            </w:r>
          </w:p>
          <w:p w14:paraId="25E0ACF0">
            <w:pPr>
              <w:jc w:val="left"/>
              <w:rPr>
                <w:rFonts w:ascii="宋体" w:hAnsi="宋体" w:eastAsia="仿宋"/>
                <w:color w:val="auto"/>
                <w:sz w:val="24"/>
                <w:highlight w:val="none"/>
              </w:rPr>
            </w:pPr>
            <w:r>
              <w:rPr>
                <w:rFonts w:hint="eastAsia" w:ascii="宋体" w:hAnsi="宋体" w:eastAsia="仿宋"/>
                <w:color w:val="auto"/>
                <w:sz w:val="24"/>
                <w:highlight w:val="none"/>
              </w:rPr>
              <w:t>中小企业承揽份额须满足招标文件要求。</w:t>
            </w:r>
          </w:p>
        </w:tc>
        <w:tc>
          <w:tcPr>
            <w:tcW w:w="1246" w:type="pct"/>
            <w:tcBorders>
              <w:bottom w:val="single" w:color="auto" w:sz="4" w:space="0"/>
            </w:tcBorders>
            <w:noWrap w:val="0"/>
            <w:vAlign w:val="center"/>
          </w:tcPr>
          <w:p w14:paraId="4DD7F104">
            <w:pPr>
              <w:spacing w:after="50"/>
              <w:ind w:right="-10"/>
              <w:jc w:val="left"/>
              <w:rPr>
                <w:rFonts w:hint="eastAsia" w:ascii="宋体" w:hAnsi="宋体" w:eastAsia="仿宋"/>
                <w:color w:val="auto"/>
                <w:sz w:val="24"/>
                <w:highlight w:val="none"/>
              </w:rPr>
            </w:pPr>
            <w:r>
              <w:rPr>
                <w:rFonts w:hint="eastAsia" w:ascii="宋体" w:hAnsi="宋体" w:eastAsia="仿宋"/>
                <w:color w:val="auto"/>
                <w:sz w:val="24"/>
                <w:highlight w:val="none"/>
              </w:rPr>
              <w:t>详见第六章投标文件格式七</w:t>
            </w:r>
          </w:p>
        </w:tc>
      </w:tr>
      <w:tr w14:paraId="4E70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362" w:type="pct"/>
            <w:vMerge w:val="continue"/>
            <w:noWrap w:val="0"/>
            <w:vAlign w:val="center"/>
          </w:tcPr>
          <w:p w14:paraId="2EEDCD60">
            <w:pPr>
              <w:adjustRightInd w:val="0"/>
              <w:snapToGrid w:val="0"/>
              <w:ind w:right="-10"/>
              <w:jc w:val="center"/>
              <w:rPr>
                <w:rFonts w:ascii="宋体" w:hAnsi="宋体"/>
                <w:color w:val="auto"/>
                <w:sz w:val="24"/>
                <w:highlight w:val="none"/>
              </w:rPr>
            </w:pPr>
          </w:p>
        </w:tc>
        <w:tc>
          <w:tcPr>
            <w:tcW w:w="997" w:type="pct"/>
            <w:vMerge w:val="continue"/>
            <w:noWrap w:val="0"/>
            <w:vAlign w:val="center"/>
          </w:tcPr>
          <w:p w14:paraId="01070BFC">
            <w:pPr>
              <w:spacing w:after="50"/>
              <w:ind w:right="-10"/>
              <w:jc w:val="center"/>
              <w:rPr>
                <w:rFonts w:hint="eastAsia" w:ascii="宋体" w:hAnsi="宋体" w:eastAsia="仿宋"/>
                <w:color w:val="auto"/>
                <w:sz w:val="24"/>
                <w:highlight w:val="none"/>
              </w:rPr>
            </w:pPr>
          </w:p>
        </w:tc>
        <w:tc>
          <w:tcPr>
            <w:tcW w:w="2393" w:type="pct"/>
            <w:noWrap w:val="0"/>
            <w:vAlign w:val="center"/>
          </w:tcPr>
          <w:p w14:paraId="18A9065C">
            <w:pPr>
              <w:jc w:val="left"/>
              <w:rPr>
                <w:rFonts w:hint="eastAsia" w:ascii="宋体" w:hAnsi="宋体" w:eastAsia="仿宋"/>
                <w:color w:val="auto"/>
                <w:sz w:val="24"/>
                <w:highlight w:val="none"/>
              </w:rPr>
            </w:pPr>
            <w:r>
              <w:rPr>
                <w:rFonts w:hint="eastAsia" w:ascii="宋体" w:hAnsi="宋体" w:eastAsia="仿宋"/>
                <w:color w:val="auto"/>
                <w:sz w:val="24"/>
                <w:highlight w:val="none"/>
              </w:rPr>
              <w:t>如本项目（包）允许通过分包措施预留部分采购份额面向中小企业采购、且投标人因落实政府采购政策拟进行分包的，必须提供。</w:t>
            </w:r>
          </w:p>
          <w:p w14:paraId="0F2C8EAB">
            <w:pPr>
              <w:jc w:val="left"/>
              <w:rPr>
                <w:rFonts w:hint="eastAsia" w:ascii="宋体" w:hAnsi="宋体" w:eastAsia="仿宋"/>
                <w:color w:val="auto"/>
                <w:sz w:val="24"/>
                <w:highlight w:val="none"/>
              </w:rPr>
            </w:pPr>
            <w:r>
              <w:rPr>
                <w:rFonts w:hint="eastAsia" w:ascii="宋体" w:hAnsi="宋体" w:eastAsia="仿宋"/>
                <w:color w:val="auto"/>
                <w:sz w:val="24"/>
                <w:highlight w:val="none"/>
              </w:rPr>
              <w:t>中小企业承揽份额须满足招标文件要求。</w:t>
            </w:r>
          </w:p>
        </w:tc>
        <w:tc>
          <w:tcPr>
            <w:tcW w:w="1246" w:type="pct"/>
            <w:noWrap w:val="0"/>
            <w:vAlign w:val="center"/>
          </w:tcPr>
          <w:p w14:paraId="4ACD485C">
            <w:pPr>
              <w:spacing w:after="50"/>
              <w:ind w:right="-10"/>
              <w:jc w:val="left"/>
              <w:rPr>
                <w:rFonts w:hint="eastAsia" w:ascii="宋体" w:hAnsi="宋体" w:eastAsia="仿宋"/>
                <w:color w:val="auto"/>
                <w:sz w:val="24"/>
                <w:highlight w:val="none"/>
              </w:rPr>
            </w:pPr>
            <w:r>
              <w:rPr>
                <w:rFonts w:hint="eastAsia" w:ascii="宋体" w:hAnsi="宋体" w:eastAsia="仿宋"/>
                <w:color w:val="auto"/>
                <w:sz w:val="24"/>
                <w:highlight w:val="none"/>
              </w:rPr>
              <w:t>详见第六章投标文件格式八</w:t>
            </w:r>
          </w:p>
        </w:tc>
      </w:tr>
      <w:tr w14:paraId="4B61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noWrap w:val="0"/>
            <w:vAlign w:val="center"/>
          </w:tcPr>
          <w:p w14:paraId="286652B5">
            <w:pPr>
              <w:adjustRightInd w:val="0"/>
              <w:snapToGrid w:val="0"/>
              <w:ind w:right="-10"/>
              <w:jc w:val="center"/>
              <w:rPr>
                <w:rFonts w:ascii="宋体" w:hAnsi="宋体"/>
                <w:color w:val="auto"/>
                <w:sz w:val="24"/>
                <w:highlight w:val="none"/>
              </w:rPr>
            </w:pPr>
            <w:r>
              <w:rPr>
                <w:rFonts w:ascii="宋体" w:hAnsi="宋体"/>
                <w:color w:val="auto"/>
                <w:sz w:val="24"/>
                <w:highlight w:val="none"/>
              </w:rPr>
              <w:t>6</w:t>
            </w:r>
          </w:p>
        </w:tc>
        <w:tc>
          <w:tcPr>
            <w:tcW w:w="997" w:type="pct"/>
            <w:noWrap w:val="0"/>
            <w:vAlign w:val="center"/>
          </w:tcPr>
          <w:p w14:paraId="2EC6FC57">
            <w:pPr>
              <w:spacing w:after="50"/>
              <w:ind w:right="-10"/>
              <w:jc w:val="center"/>
              <w:rPr>
                <w:rFonts w:hint="eastAsia" w:ascii="宋体" w:hAnsi="宋体" w:eastAsia="仿宋"/>
                <w:color w:val="auto"/>
                <w:sz w:val="24"/>
                <w:highlight w:val="none"/>
              </w:rPr>
            </w:pPr>
            <w:r>
              <w:rPr>
                <w:rFonts w:hint="eastAsia" w:ascii="宋体" w:hAnsi="宋体" w:eastAsia="仿宋"/>
                <w:color w:val="auto"/>
                <w:sz w:val="24"/>
                <w:highlight w:val="none"/>
              </w:rPr>
              <w:t>资质要求</w:t>
            </w:r>
          </w:p>
          <w:p w14:paraId="56729F2B">
            <w:pPr>
              <w:spacing w:after="50"/>
              <w:ind w:right="-10"/>
              <w:jc w:val="center"/>
              <w:rPr>
                <w:rFonts w:hint="eastAsia" w:ascii="宋体" w:hAnsi="宋体" w:eastAsia="仿宋"/>
                <w:color w:val="auto"/>
                <w:sz w:val="24"/>
                <w:highlight w:val="none"/>
              </w:rPr>
            </w:pPr>
            <w:r>
              <w:rPr>
                <w:rFonts w:hint="eastAsia" w:ascii="宋体" w:hAnsi="宋体" w:eastAsia="仿宋"/>
                <w:color w:val="auto"/>
                <w:sz w:val="24"/>
                <w:highlight w:val="none"/>
              </w:rPr>
              <w:t>（如有）</w:t>
            </w:r>
          </w:p>
        </w:tc>
        <w:tc>
          <w:tcPr>
            <w:tcW w:w="2393" w:type="pct"/>
            <w:noWrap w:val="0"/>
            <w:vAlign w:val="center"/>
          </w:tcPr>
          <w:p w14:paraId="1EB01F7F">
            <w:pPr>
              <w:spacing w:after="50"/>
              <w:ind w:right="-10"/>
              <w:jc w:val="left"/>
              <w:rPr>
                <w:rFonts w:hint="eastAsia" w:ascii="宋体" w:hAnsi="宋体" w:eastAsia="仿宋"/>
                <w:color w:val="auto"/>
                <w:sz w:val="24"/>
                <w:highlight w:val="none"/>
              </w:rPr>
            </w:pPr>
            <w:r>
              <w:rPr>
                <w:rFonts w:hint="eastAsia" w:ascii="宋体" w:hAnsi="宋体" w:eastAsia="仿宋"/>
                <w:color w:val="auto"/>
                <w:sz w:val="24"/>
                <w:highlight w:val="none"/>
              </w:rPr>
              <w:t>符合招标公告中资格要求。</w:t>
            </w:r>
          </w:p>
        </w:tc>
        <w:tc>
          <w:tcPr>
            <w:tcW w:w="1246" w:type="pct"/>
            <w:noWrap w:val="0"/>
            <w:vAlign w:val="center"/>
          </w:tcPr>
          <w:p w14:paraId="68905615">
            <w:pPr>
              <w:spacing w:after="50"/>
              <w:ind w:right="-10"/>
              <w:jc w:val="left"/>
              <w:rPr>
                <w:rFonts w:hint="eastAsia" w:ascii="宋体" w:hAnsi="宋体" w:eastAsia="仿宋"/>
                <w:color w:val="auto"/>
                <w:sz w:val="24"/>
                <w:highlight w:val="none"/>
              </w:rPr>
            </w:pPr>
            <w:r>
              <w:rPr>
                <w:rFonts w:hint="eastAsia" w:ascii="宋体" w:hAnsi="宋体" w:eastAsia="仿宋"/>
                <w:color w:val="auto"/>
                <w:sz w:val="24"/>
                <w:highlight w:val="none"/>
              </w:rPr>
              <w:t>提供符合投标人资格中要求的资质证书扫描件或电子证照</w:t>
            </w:r>
          </w:p>
        </w:tc>
      </w:tr>
      <w:tr w14:paraId="086D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noWrap w:val="0"/>
            <w:vAlign w:val="center"/>
          </w:tcPr>
          <w:p w14:paraId="71899100">
            <w:pPr>
              <w:adjustRightInd w:val="0"/>
              <w:snapToGrid w:val="0"/>
              <w:ind w:right="-10"/>
              <w:jc w:val="center"/>
              <w:rPr>
                <w:rFonts w:hint="eastAsia" w:ascii="宋体" w:hAnsi="宋体"/>
                <w:color w:val="auto"/>
                <w:sz w:val="24"/>
                <w:highlight w:val="none"/>
              </w:rPr>
            </w:pPr>
            <w:r>
              <w:rPr>
                <w:rFonts w:hint="eastAsia" w:ascii="宋体" w:hAnsi="宋体"/>
                <w:color w:val="auto"/>
                <w:sz w:val="24"/>
                <w:highlight w:val="none"/>
              </w:rPr>
              <w:t>7</w:t>
            </w:r>
          </w:p>
        </w:tc>
        <w:tc>
          <w:tcPr>
            <w:tcW w:w="997" w:type="pct"/>
            <w:noWrap w:val="0"/>
            <w:vAlign w:val="center"/>
          </w:tcPr>
          <w:p w14:paraId="7C85633D">
            <w:pPr>
              <w:pStyle w:val="31"/>
              <w:adjustRightInd w:val="0"/>
              <w:jc w:val="center"/>
              <w:rPr>
                <w:rFonts w:hint="eastAsia" w:ascii="宋体" w:hAnsi="宋体" w:eastAsia="仿宋"/>
                <w:color w:val="auto"/>
                <w:sz w:val="24"/>
                <w:szCs w:val="24"/>
                <w:highlight w:val="none"/>
              </w:rPr>
            </w:pPr>
            <w:r>
              <w:rPr>
                <w:rFonts w:hint="eastAsia" w:ascii="宋体" w:hAnsi="宋体" w:eastAsia="仿宋"/>
                <w:color w:val="auto"/>
                <w:sz w:val="24"/>
                <w:szCs w:val="24"/>
                <w:highlight w:val="none"/>
              </w:rPr>
              <w:t>业绩要求</w:t>
            </w:r>
          </w:p>
          <w:p w14:paraId="05EC2FC2">
            <w:pPr>
              <w:pStyle w:val="31"/>
              <w:adjustRightInd w:val="0"/>
              <w:jc w:val="center"/>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（如有）</w:t>
            </w:r>
          </w:p>
        </w:tc>
        <w:tc>
          <w:tcPr>
            <w:tcW w:w="2393" w:type="pct"/>
            <w:noWrap w:val="0"/>
            <w:vAlign w:val="center"/>
          </w:tcPr>
          <w:p w14:paraId="339BA6EE">
            <w:pPr>
              <w:pStyle w:val="31"/>
              <w:adjustRightInd w:val="0"/>
              <w:jc w:val="left"/>
              <w:rPr>
                <w:rFonts w:hint="eastAsia" w:ascii="宋体" w:hAnsi="宋体" w:eastAsia="仿宋"/>
                <w:color w:val="auto"/>
                <w:sz w:val="24"/>
                <w:szCs w:val="28"/>
                <w:highlight w:val="none"/>
              </w:rPr>
            </w:pPr>
            <w:r>
              <w:rPr>
                <w:rFonts w:hint="eastAsia" w:ascii="宋体" w:hAnsi="宋体" w:eastAsia="仿宋"/>
                <w:color w:val="auto"/>
                <w:sz w:val="24"/>
                <w:szCs w:val="24"/>
                <w:highlight w:val="none"/>
              </w:rPr>
              <w:t>符合招标公告中资格要求。</w:t>
            </w:r>
          </w:p>
        </w:tc>
        <w:tc>
          <w:tcPr>
            <w:tcW w:w="1246" w:type="pct"/>
            <w:noWrap w:val="0"/>
            <w:vAlign w:val="center"/>
          </w:tcPr>
          <w:p w14:paraId="7E19014F">
            <w:pPr>
              <w:widowControl/>
              <w:adjustRightInd w:val="0"/>
              <w:jc w:val="left"/>
              <w:rPr>
                <w:rFonts w:hint="eastAsia" w:ascii="宋体" w:hAnsi="宋体" w:eastAsia="仿宋"/>
                <w:color w:val="auto"/>
                <w:kern w:val="0"/>
                <w:sz w:val="24"/>
                <w:highlight w:val="none"/>
              </w:rPr>
            </w:pPr>
            <w:r>
              <w:rPr>
                <w:rFonts w:hint="eastAsia" w:ascii="宋体" w:hAnsi="宋体" w:eastAsia="仿宋"/>
                <w:color w:val="auto"/>
                <w:kern w:val="0"/>
                <w:sz w:val="24"/>
                <w:highlight w:val="none"/>
              </w:rPr>
              <w:t>提供合同原件扫描件</w:t>
            </w:r>
          </w:p>
          <w:p w14:paraId="0FAF6332">
            <w:pPr>
              <w:pStyle w:val="4"/>
              <w:spacing w:line="240" w:lineRule="auto"/>
              <w:outlineLvl w:val="2"/>
              <w:rPr>
                <w:rFonts w:hint="eastAsia"/>
                <w:color w:val="auto"/>
                <w:highlight w:val="none"/>
              </w:rPr>
            </w:pPr>
            <w:r>
              <w:rPr>
                <w:rFonts w:hint="eastAsia" w:eastAsia="仿宋"/>
                <w:b w:val="0"/>
                <w:bCs w:val="0"/>
                <w:color w:val="auto"/>
                <w:kern w:val="2"/>
                <w:sz w:val="24"/>
                <w:highlight w:val="none"/>
                <w:lang w:eastAsia="zh-CN" w:bidi="ar-SA"/>
              </w:rPr>
              <w:t>详见第六章投标文件格式九（三）</w:t>
            </w:r>
          </w:p>
        </w:tc>
      </w:tr>
    </w:tbl>
    <w:p w14:paraId="7D10A008">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p>
    <w:p w14:paraId="4B69BDA5">
      <w:pPr>
        <w:pStyle w:val="32"/>
        <w:adjustRightInd w:val="0"/>
        <w:snapToGrid w:val="0"/>
        <w:spacing w:before="0" w:line="360" w:lineRule="auto"/>
        <w:ind w:firstLine="482" w:firstLineChars="200"/>
        <w:jc w:val="center"/>
        <w:rPr>
          <w:rFonts w:ascii="宋体" w:hAnsi="宋体" w:eastAsia="仿宋"/>
          <w:b/>
          <w:color w:val="auto"/>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502EC0A0">
      <w:pPr>
        <w:pStyle w:val="3"/>
        <w:rPr>
          <w:rStyle w:val="23"/>
          <w:rFonts w:hint="eastAsia" w:ascii="宋体" w:hAnsi="宋体" w:eastAsia="仿宋"/>
          <w:b/>
          <w:bCs/>
          <w:color w:val="auto"/>
          <w:sz w:val="24"/>
          <w:szCs w:val="24"/>
          <w:highlight w:val="none"/>
        </w:rPr>
      </w:pPr>
      <w:bookmarkStart w:id="796" w:name="_Toc324404867"/>
      <w:bookmarkStart w:id="797" w:name="_Toc417623587"/>
      <w:r>
        <w:rPr>
          <w:rStyle w:val="23"/>
          <w:rFonts w:hint="eastAsia" w:ascii="宋体" w:hAnsi="宋体" w:eastAsia="仿宋"/>
          <w:b/>
          <w:bCs/>
          <w:color w:val="auto"/>
          <w:sz w:val="24"/>
          <w:szCs w:val="24"/>
          <w:highlight w:val="none"/>
        </w:rPr>
        <w:t>1. 资格审查办法</w:t>
      </w:r>
      <w:bookmarkEnd w:id="796"/>
      <w:bookmarkEnd w:id="797"/>
    </w:p>
    <w:p w14:paraId="69DBFF83">
      <w:pPr>
        <w:snapToGrid w:val="0"/>
        <w:spacing w:line="360" w:lineRule="auto"/>
        <w:ind w:firstLine="480" w:firstLineChars="200"/>
        <w:rPr>
          <w:rFonts w:hint="eastAsia" w:ascii="宋体" w:hAnsi="宋体" w:eastAsia="仿宋"/>
          <w:color w:val="auto"/>
          <w:sz w:val="24"/>
          <w:highlight w:val="none"/>
        </w:rPr>
      </w:pPr>
      <w:bookmarkStart w:id="798" w:name="_Hlk44246459"/>
      <w:r>
        <w:rPr>
          <w:rFonts w:hint="eastAsia" w:ascii="宋体" w:hAnsi="宋体" w:eastAsia="仿宋"/>
          <w:color w:val="auto"/>
          <w:sz w:val="24"/>
          <w:highlight w:val="none"/>
        </w:rPr>
        <w:t>公开</w:t>
      </w:r>
      <w:r>
        <w:rPr>
          <w:rFonts w:hint="eastAsia" w:ascii="宋体" w:hAnsi="宋体" w:eastAsia="仿宋"/>
          <w:color w:val="auto"/>
          <w:sz w:val="24"/>
          <w:highlight w:val="none"/>
          <w:lang w:eastAsia="zh-CN"/>
        </w:rPr>
        <w:t>采购项目</w:t>
      </w:r>
      <w:r>
        <w:rPr>
          <w:rFonts w:hint="eastAsia" w:ascii="宋体" w:hAnsi="宋体" w:eastAsia="仿宋"/>
          <w:color w:val="auto"/>
          <w:sz w:val="24"/>
          <w:highlight w:val="none"/>
        </w:rPr>
        <w:t>开标结束后，采购人或者采购代理机构应当依法组建资格审查小组，按资格审查办法前附表中的审查标准对投标人的资格进行审查。符合本章第一节第2条规定审查标准的申请人均通过资格审查。</w:t>
      </w:r>
    </w:p>
    <w:bookmarkEnd w:id="798"/>
    <w:p w14:paraId="3AA2C700">
      <w:pPr>
        <w:pStyle w:val="3"/>
        <w:rPr>
          <w:rStyle w:val="23"/>
          <w:rFonts w:hint="eastAsia" w:ascii="宋体" w:hAnsi="宋体" w:eastAsia="仿宋"/>
          <w:b/>
          <w:bCs/>
          <w:color w:val="auto"/>
          <w:sz w:val="24"/>
          <w:szCs w:val="24"/>
          <w:highlight w:val="none"/>
        </w:rPr>
      </w:pPr>
      <w:r>
        <w:rPr>
          <w:rStyle w:val="23"/>
          <w:rFonts w:hint="eastAsia" w:ascii="宋体" w:hAnsi="宋体" w:eastAsia="仿宋"/>
          <w:b/>
          <w:bCs/>
          <w:color w:val="auto"/>
          <w:sz w:val="24"/>
          <w:szCs w:val="24"/>
          <w:highlight w:val="none"/>
        </w:rPr>
        <w:t>2. 资格审查标准</w:t>
      </w:r>
    </w:p>
    <w:p w14:paraId="545E6CAA">
      <w:pPr>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审查标准：见资格审查办法前附表。</w:t>
      </w:r>
    </w:p>
    <w:p w14:paraId="6DE6165C">
      <w:pPr>
        <w:pStyle w:val="3"/>
        <w:rPr>
          <w:rStyle w:val="23"/>
          <w:rFonts w:hint="eastAsia" w:ascii="宋体" w:hAnsi="宋体" w:eastAsia="仿宋"/>
          <w:b/>
          <w:bCs/>
          <w:color w:val="auto"/>
          <w:sz w:val="24"/>
          <w:szCs w:val="24"/>
          <w:highlight w:val="none"/>
        </w:rPr>
      </w:pPr>
      <w:r>
        <w:rPr>
          <w:rStyle w:val="23"/>
          <w:rFonts w:hint="eastAsia" w:ascii="宋体" w:hAnsi="宋体" w:eastAsia="仿宋"/>
          <w:b/>
          <w:bCs/>
          <w:color w:val="auto"/>
          <w:sz w:val="24"/>
          <w:szCs w:val="24"/>
          <w:highlight w:val="none"/>
        </w:rPr>
        <w:t>3. 资格审查程序</w:t>
      </w:r>
    </w:p>
    <w:p w14:paraId="22D88994">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3.1 资格审查</w:t>
      </w:r>
    </w:p>
    <w:p w14:paraId="58750754">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3.1.1 资格审查小组按照规定的资格审查标准，对各投标人依次进行审查。有一项不符合审查标准的，资格审查不合格，其投标无效。</w:t>
      </w:r>
    </w:p>
    <w:p w14:paraId="15CFE686">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1.</w:t>
      </w:r>
      <w:r>
        <w:rPr>
          <w:rFonts w:ascii="宋体" w:hAnsi="宋体" w:eastAsia="仿宋"/>
          <w:color w:val="auto"/>
          <w:sz w:val="24"/>
          <w:highlight w:val="none"/>
        </w:rPr>
        <w:t>2</w:t>
      </w:r>
      <w:r>
        <w:rPr>
          <w:rFonts w:hint="eastAsia" w:ascii="宋体" w:hAnsi="宋体" w:eastAsia="仿宋"/>
          <w:color w:val="auto"/>
          <w:sz w:val="24"/>
          <w:highlight w:val="none"/>
        </w:rPr>
        <w:t xml:space="preserve"> </w:t>
      </w:r>
      <w:r>
        <w:rPr>
          <w:rFonts w:ascii="宋体" w:hAnsi="宋体" w:eastAsia="仿宋"/>
          <w:color w:val="auto"/>
          <w:sz w:val="24"/>
          <w:highlight w:val="none"/>
        </w:rPr>
        <w:t>投标人有以下情形之一的，</w:t>
      </w:r>
      <w:r>
        <w:rPr>
          <w:rFonts w:hint="eastAsia" w:ascii="宋体" w:hAnsi="宋体" w:eastAsia="仿宋"/>
          <w:color w:val="auto"/>
          <w:sz w:val="24"/>
          <w:highlight w:val="none"/>
        </w:rPr>
        <w:t>资格审查不合格，其投标无效</w:t>
      </w:r>
      <w:r>
        <w:rPr>
          <w:rFonts w:ascii="宋体" w:hAnsi="宋体" w:eastAsia="仿宋"/>
          <w:color w:val="auto"/>
          <w:sz w:val="24"/>
          <w:highlight w:val="none"/>
        </w:rPr>
        <w:t>：</w:t>
      </w:r>
    </w:p>
    <w:p w14:paraId="3B84BFC6">
      <w:pPr>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w:t>
      </w:r>
      <w:r>
        <w:rPr>
          <w:rFonts w:hint="eastAsia" w:ascii="宋体" w:hAnsi="宋体" w:eastAsia="仿宋"/>
          <w:color w:val="auto"/>
          <w:sz w:val="24"/>
          <w:highlight w:val="none"/>
        </w:rPr>
        <w:t>1</w:t>
      </w:r>
      <w:r>
        <w:rPr>
          <w:rFonts w:ascii="宋体" w:hAnsi="宋体" w:eastAsia="仿宋"/>
          <w:color w:val="auto"/>
          <w:sz w:val="24"/>
          <w:highlight w:val="none"/>
        </w:rPr>
        <w:t>）有弄虚作假、</w:t>
      </w:r>
      <w:r>
        <w:rPr>
          <w:rFonts w:hint="eastAsia" w:ascii="宋体" w:hAnsi="宋体" w:eastAsia="仿宋"/>
          <w:color w:val="auto"/>
          <w:sz w:val="24"/>
          <w:highlight w:val="none"/>
        </w:rPr>
        <w:t>向资格审查小组</w:t>
      </w:r>
      <w:r>
        <w:rPr>
          <w:rFonts w:ascii="宋体" w:hAnsi="宋体" w:eastAsia="仿宋"/>
          <w:color w:val="auto"/>
          <w:sz w:val="24"/>
          <w:highlight w:val="none"/>
        </w:rPr>
        <w:t>行贿等违法行为</w:t>
      </w:r>
      <w:r>
        <w:rPr>
          <w:rFonts w:hint="eastAsia" w:ascii="宋体" w:hAnsi="宋体" w:eastAsia="仿宋"/>
          <w:color w:val="auto"/>
          <w:sz w:val="24"/>
          <w:highlight w:val="none"/>
        </w:rPr>
        <w:t>；</w:t>
      </w:r>
    </w:p>
    <w:p w14:paraId="02EEBF79">
      <w:pPr>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（2）不按照资格审查小组要求澄清、补正的</w:t>
      </w:r>
      <w:r>
        <w:rPr>
          <w:rFonts w:ascii="宋体" w:hAnsi="宋体" w:eastAsia="仿宋"/>
          <w:color w:val="auto"/>
          <w:sz w:val="24"/>
          <w:highlight w:val="none"/>
        </w:rPr>
        <w:t>。</w:t>
      </w:r>
    </w:p>
    <w:p w14:paraId="39F5F8BA">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3.2 投标文件澄清</w:t>
      </w:r>
    </w:p>
    <w:p w14:paraId="7F680932">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.1</w:t>
      </w:r>
      <w:r>
        <w:rPr>
          <w:rFonts w:hint="eastAsia" w:ascii="宋体" w:hAnsi="宋体" w:eastAsia="仿宋"/>
          <w:color w:val="auto"/>
          <w:sz w:val="24"/>
          <w:highlight w:val="none"/>
        </w:rPr>
        <w:t xml:space="preserve"> </w:t>
      </w:r>
      <w:r>
        <w:rPr>
          <w:rFonts w:ascii="宋体" w:hAnsi="宋体" w:eastAsia="仿宋"/>
          <w:color w:val="auto"/>
          <w:sz w:val="24"/>
          <w:highlight w:val="none"/>
        </w:rPr>
        <w:t>在</w:t>
      </w:r>
      <w:r>
        <w:rPr>
          <w:rFonts w:hint="eastAsia" w:ascii="宋体" w:hAnsi="宋体" w:eastAsia="仿宋"/>
          <w:color w:val="auto"/>
          <w:sz w:val="24"/>
          <w:highlight w:val="none"/>
        </w:rPr>
        <w:t>资格审查</w:t>
      </w:r>
      <w:r>
        <w:rPr>
          <w:rFonts w:ascii="宋体" w:hAnsi="宋体" w:eastAsia="仿宋"/>
          <w:color w:val="auto"/>
          <w:sz w:val="24"/>
          <w:highlight w:val="none"/>
        </w:rPr>
        <w:t>过程中，</w:t>
      </w:r>
      <w:r>
        <w:rPr>
          <w:rFonts w:hint="eastAsia" w:ascii="宋体" w:hAnsi="宋体" w:eastAsia="仿宋"/>
          <w:color w:val="auto"/>
          <w:sz w:val="24"/>
          <w:highlight w:val="none"/>
        </w:rPr>
        <w:t>资格审查小组</w:t>
      </w:r>
      <w:r>
        <w:rPr>
          <w:rFonts w:ascii="宋体" w:hAnsi="宋体" w:eastAsia="仿宋"/>
          <w:color w:val="auto"/>
          <w:sz w:val="24"/>
          <w:highlight w:val="none"/>
        </w:rPr>
        <w:t>可以书面形式要求投标人对投标文件中含义不明确、对同类问题表述不一致或者有明显文字错误的内容作必要的澄清、说明或补正。澄清、说明或补正应以书面方式进行。</w:t>
      </w:r>
      <w:r>
        <w:rPr>
          <w:rFonts w:hint="eastAsia" w:ascii="宋体" w:hAnsi="宋体" w:eastAsia="仿宋"/>
          <w:color w:val="auto"/>
          <w:sz w:val="24"/>
          <w:highlight w:val="none"/>
        </w:rPr>
        <w:t>资格审查小组</w:t>
      </w:r>
      <w:r>
        <w:rPr>
          <w:rFonts w:ascii="宋体" w:hAnsi="宋体" w:eastAsia="仿宋"/>
          <w:color w:val="auto"/>
          <w:sz w:val="24"/>
          <w:highlight w:val="none"/>
        </w:rPr>
        <w:t>不接受投标人主动提出的澄清、说明或补正。</w:t>
      </w:r>
    </w:p>
    <w:p w14:paraId="6222BEFA">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.2</w:t>
      </w:r>
      <w:r>
        <w:rPr>
          <w:rFonts w:hint="eastAsia" w:ascii="宋体" w:hAnsi="宋体" w:eastAsia="仿宋"/>
          <w:color w:val="auto"/>
          <w:sz w:val="24"/>
          <w:highlight w:val="none"/>
        </w:rPr>
        <w:t xml:space="preserve"> </w:t>
      </w:r>
      <w:r>
        <w:rPr>
          <w:rFonts w:ascii="宋体" w:hAnsi="宋体" w:eastAsia="仿宋"/>
          <w:color w:val="auto"/>
          <w:sz w:val="24"/>
          <w:highlight w:val="none"/>
        </w:rPr>
        <w:t>澄清、说明或补正不得超出投标文件的范围且不得改变投标文件的实质性内容，并构成投标文件的组成部分。</w:t>
      </w:r>
    </w:p>
    <w:p w14:paraId="30E8056B">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.3</w:t>
      </w:r>
      <w:r>
        <w:rPr>
          <w:rFonts w:hint="eastAsia" w:ascii="宋体" w:hAnsi="宋体" w:eastAsia="仿宋"/>
          <w:color w:val="auto"/>
          <w:sz w:val="24"/>
          <w:highlight w:val="none"/>
        </w:rPr>
        <w:t xml:space="preserve"> 资格审查小组</w:t>
      </w:r>
      <w:r>
        <w:rPr>
          <w:rFonts w:ascii="宋体" w:hAnsi="宋体" w:eastAsia="仿宋"/>
          <w:color w:val="auto"/>
          <w:sz w:val="24"/>
          <w:highlight w:val="none"/>
        </w:rPr>
        <w:t>对投标人提交的澄清、说明或补正有疑问的，可以要求投标人进一步澄清、说明或补正，直至满足</w:t>
      </w:r>
      <w:r>
        <w:rPr>
          <w:rFonts w:hint="eastAsia" w:ascii="宋体" w:hAnsi="宋体" w:eastAsia="仿宋"/>
          <w:color w:val="auto"/>
          <w:sz w:val="24"/>
          <w:highlight w:val="none"/>
        </w:rPr>
        <w:t>资格审查小组</w:t>
      </w:r>
      <w:r>
        <w:rPr>
          <w:rFonts w:ascii="宋体" w:hAnsi="宋体" w:eastAsia="仿宋"/>
          <w:color w:val="auto"/>
          <w:sz w:val="24"/>
          <w:highlight w:val="none"/>
        </w:rPr>
        <w:t>的要求。</w:t>
      </w:r>
    </w:p>
    <w:p w14:paraId="2DC25424">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3.3 资格审查结果</w:t>
      </w:r>
    </w:p>
    <w:p w14:paraId="4E2CA5AA">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3</w:t>
      </w:r>
      <w:r>
        <w:rPr>
          <w:rFonts w:ascii="宋体" w:hAnsi="宋体" w:eastAsia="仿宋"/>
          <w:color w:val="auto"/>
          <w:sz w:val="24"/>
          <w:highlight w:val="none"/>
        </w:rPr>
        <w:t>.1</w:t>
      </w:r>
      <w:r>
        <w:rPr>
          <w:rFonts w:hint="eastAsia" w:ascii="宋体" w:hAnsi="宋体" w:eastAsia="仿宋"/>
          <w:color w:val="auto"/>
          <w:sz w:val="24"/>
          <w:highlight w:val="none"/>
        </w:rPr>
        <w:t xml:space="preserve"> 资格审查完成后，资格审查小组应当出具各投标人资格审查结果的书面意见</w:t>
      </w:r>
      <w:r>
        <w:rPr>
          <w:rFonts w:ascii="宋体" w:hAnsi="宋体" w:eastAsia="仿宋"/>
          <w:color w:val="auto"/>
          <w:sz w:val="24"/>
          <w:highlight w:val="none"/>
        </w:rPr>
        <w:t>。</w:t>
      </w:r>
    </w:p>
    <w:p w14:paraId="054F03AD">
      <w:pPr>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3</w:t>
      </w:r>
      <w:r>
        <w:rPr>
          <w:rFonts w:ascii="宋体" w:hAnsi="宋体" w:eastAsia="仿宋"/>
          <w:color w:val="auto"/>
          <w:sz w:val="24"/>
          <w:highlight w:val="none"/>
        </w:rPr>
        <w:t>.2</w:t>
      </w:r>
      <w:r>
        <w:rPr>
          <w:rFonts w:hint="eastAsia" w:ascii="宋体" w:hAnsi="宋体" w:eastAsia="仿宋"/>
          <w:color w:val="auto"/>
          <w:sz w:val="24"/>
          <w:highlight w:val="none"/>
        </w:rPr>
        <w:t xml:space="preserve"> 只有通过资格审查的投标人才能进入下一步的评标程序</w:t>
      </w:r>
      <w:r>
        <w:rPr>
          <w:rFonts w:ascii="宋体" w:hAnsi="宋体" w:eastAsia="仿宋"/>
          <w:color w:val="auto"/>
          <w:sz w:val="24"/>
          <w:highlight w:val="none"/>
        </w:rPr>
        <w:t>。</w:t>
      </w:r>
    </w:p>
    <w:p w14:paraId="6DE45D51">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3.3.3 合格投标人不足3家的，按废标处理。</w:t>
      </w:r>
    </w:p>
    <w:p w14:paraId="70A7E358">
      <w:pPr>
        <w:pStyle w:val="32"/>
        <w:adjustRightInd w:val="0"/>
        <w:snapToGrid w:val="0"/>
        <w:spacing w:before="0" w:line="360" w:lineRule="auto"/>
        <w:ind w:firstLine="482" w:firstLineChars="200"/>
        <w:jc w:val="center"/>
        <w:rPr>
          <w:rFonts w:hint="eastAsia" w:ascii="宋体" w:hAnsi="宋体" w:eastAsia="仿宋"/>
          <w:b/>
          <w:color w:val="auto"/>
          <w:sz w:val="24"/>
          <w:szCs w:val="24"/>
          <w:highlight w:val="none"/>
        </w:rPr>
      </w:pPr>
    </w:p>
    <w:p w14:paraId="31CAA587">
      <w:pPr>
        <w:pStyle w:val="32"/>
        <w:adjustRightInd w:val="0"/>
        <w:snapToGrid w:val="0"/>
        <w:spacing w:before="0" w:line="360" w:lineRule="auto"/>
        <w:ind w:firstLine="482" w:firstLineChars="200"/>
        <w:jc w:val="center"/>
        <w:rPr>
          <w:rFonts w:ascii="宋体" w:hAnsi="宋体" w:eastAsia="仿宋"/>
          <w:b/>
          <w:color w:val="auto"/>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571A8FE5">
      <w:pPr>
        <w:pStyle w:val="3"/>
        <w:jc w:val="center"/>
        <w:rPr>
          <w:rFonts w:hint="eastAsia" w:eastAsia="仿宋"/>
          <w:color w:val="auto"/>
          <w:highlight w:val="none"/>
        </w:rPr>
      </w:pPr>
      <w:r>
        <w:rPr>
          <w:rFonts w:hint="eastAsia" w:eastAsia="仿宋"/>
          <w:color w:val="auto"/>
          <w:highlight w:val="none"/>
        </w:rPr>
        <w:t>第二节  评标办法</w:t>
      </w:r>
    </w:p>
    <w:p w14:paraId="0FA62642">
      <w:pPr>
        <w:pStyle w:val="32"/>
        <w:adjustRightInd w:val="0"/>
        <w:snapToGrid w:val="0"/>
        <w:spacing w:before="0" w:line="360" w:lineRule="auto"/>
        <w:ind w:firstLine="562" w:firstLineChars="200"/>
        <w:jc w:val="center"/>
        <w:rPr>
          <w:rFonts w:hint="eastAsia" w:ascii="宋体" w:hAnsi="宋体" w:eastAsia="仿宋"/>
          <w:b/>
          <w:color w:val="auto"/>
          <w:highlight w:val="none"/>
        </w:rPr>
      </w:pPr>
      <w:r>
        <w:rPr>
          <w:rFonts w:hint="eastAsia" w:ascii="宋体" w:hAnsi="宋体" w:eastAsia="仿宋"/>
          <w:b/>
          <w:color w:val="auto"/>
          <w:highlight w:val="none"/>
        </w:rPr>
        <w:t>评标办法前附表</w:t>
      </w:r>
    </w:p>
    <w:p w14:paraId="35D4E9F8">
      <w:pPr>
        <w:widowControl/>
        <w:adjustRightInd w:val="0"/>
        <w:snapToGrid w:val="0"/>
        <w:spacing w:before="240" w:beforeLines="100" w:after="120" w:afterLines="50" w:line="360" w:lineRule="auto"/>
        <w:ind w:firstLine="482" w:firstLineChars="200"/>
        <w:rPr>
          <w:rFonts w:hint="eastAsia" w:ascii="宋体" w:hAnsi="宋体" w:eastAsia="仿宋"/>
          <w:b/>
          <w:color w:val="auto"/>
          <w:sz w:val="28"/>
          <w:szCs w:val="28"/>
          <w:highlight w:val="none"/>
        </w:rPr>
      </w:pPr>
      <w:r>
        <w:rPr>
          <w:rFonts w:hint="eastAsia" w:ascii="宋体" w:hAnsi="宋体" w:eastAsia="仿宋"/>
          <w:b/>
          <w:bCs/>
          <w:color w:val="auto"/>
          <w:sz w:val="24"/>
          <w:highlight w:val="none"/>
        </w:rPr>
        <w:t>本《评标办法前附表》是对本节《评标办法》的具体补充和修改，如有不一致，以本《评标办法前附表》为准。</w:t>
      </w:r>
    </w:p>
    <w:p w14:paraId="0E7E0E1A">
      <w:pPr>
        <w:pStyle w:val="32"/>
        <w:adjustRightInd w:val="0"/>
        <w:snapToGrid w:val="0"/>
        <w:spacing w:before="0" w:line="360" w:lineRule="auto"/>
        <w:ind w:firstLine="482" w:firstLineChars="200"/>
        <w:rPr>
          <w:rFonts w:hint="eastAsia" w:ascii="楷体_GB2312" w:hAnsi="宋体" w:eastAsia="楷体_GB2312"/>
          <w:b/>
          <w:i/>
          <w:color w:val="auto"/>
          <w:sz w:val="24"/>
          <w:szCs w:val="24"/>
          <w:highlight w:val="none"/>
        </w:rPr>
      </w:pPr>
      <w:r>
        <w:rPr>
          <w:rFonts w:hint="eastAsia" w:ascii="宋体" w:hAnsi="宋体" w:eastAsia="仿宋"/>
          <w:b/>
          <w:color w:val="auto"/>
          <w:sz w:val="24"/>
          <w:szCs w:val="24"/>
          <w:highlight w:val="none"/>
        </w:rPr>
        <w:t>1. 符合性审查表</w:t>
      </w:r>
    </w:p>
    <w:tbl>
      <w:tblPr>
        <w:tblStyle w:val="17"/>
        <w:tblW w:w="925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1843"/>
        <w:gridCol w:w="6533"/>
      </w:tblGrid>
      <w:tr w14:paraId="3A514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315BF0ED">
            <w:pPr>
              <w:widowControl/>
              <w:jc w:val="center"/>
              <w:rPr>
                <w:rFonts w:hint="eastAsia" w:ascii="宋体" w:hAnsi="宋体"/>
                <w:b/>
                <w:color w:val="auto"/>
                <w:kern w:val="0"/>
                <w:sz w:val="24"/>
                <w:highlight w:val="none"/>
              </w:rPr>
            </w:pPr>
            <w:r>
              <w:rPr>
                <w:rFonts w:hint="eastAsia" w:ascii="宋体" w:hAnsi="宋体" w:eastAsia="仿宋"/>
                <w:b/>
                <w:color w:val="auto"/>
                <w:kern w:val="0"/>
                <w:sz w:val="24"/>
                <w:highlight w:val="none"/>
              </w:rPr>
              <w:t>条款号</w:t>
            </w:r>
          </w:p>
        </w:tc>
        <w:tc>
          <w:tcPr>
            <w:tcW w:w="1843" w:type="dxa"/>
            <w:noWrap w:val="0"/>
            <w:vAlign w:val="center"/>
          </w:tcPr>
          <w:p w14:paraId="234C860D">
            <w:pPr>
              <w:widowControl/>
              <w:jc w:val="center"/>
              <w:rPr>
                <w:rFonts w:ascii="宋体" w:hAnsi="宋体"/>
                <w:b/>
                <w:color w:val="auto"/>
                <w:kern w:val="0"/>
                <w:sz w:val="24"/>
                <w:highlight w:val="none"/>
              </w:rPr>
            </w:pPr>
            <w:r>
              <w:rPr>
                <w:rFonts w:hint="eastAsia" w:ascii="宋体" w:hAnsi="宋体" w:eastAsia="仿宋"/>
                <w:b/>
                <w:color w:val="auto"/>
                <w:kern w:val="0"/>
                <w:sz w:val="24"/>
                <w:highlight w:val="none"/>
              </w:rPr>
              <w:t>审查因素</w:t>
            </w:r>
          </w:p>
        </w:tc>
        <w:tc>
          <w:tcPr>
            <w:tcW w:w="6533" w:type="dxa"/>
            <w:noWrap w:val="0"/>
            <w:vAlign w:val="center"/>
          </w:tcPr>
          <w:p w14:paraId="27B2BE9D">
            <w:pPr>
              <w:widowControl/>
              <w:jc w:val="center"/>
              <w:rPr>
                <w:rFonts w:ascii="宋体" w:hAnsi="宋体"/>
                <w:b/>
                <w:color w:val="auto"/>
                <w:kern w:val="0"/>
                <w:sz w:val="24"/>
                <w:highlight w:val="none"/>
              </w:rPr>
            </w:pPr>
            <w:r>
              <w:rPr>
                <w:rFonts w:hint="eastAsia" w:ascii="宋体" w:hAnsi="宋体" w:eastAsia="仿宋"/>
                <w:b/>
                <w:color w:val="auto"/>
                <w:kern w:val="0"/>
                <w:sz w:val="24"/>
                <w:highlight w:val="none"/>
              </w:rPr>
              <w:t>审查标准</w:t>
            </w:r>
          </w:p>
        </w:tc>
      </w:tr>
      <w:tr w14:paraId="452AB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restart"/>
            <w:noWrap w:val="0"/>
            <w:vAlign w:val="center"/>
          </w:tcPr>
          <w:p w14:paraId="1869630E">
            <w:pPr>
              <w:widowControl/>
              <w:jc w:val="center"/>
              <w:rPr>
                <w:rFonts w:ascii="宋体" w:hAnsi="宋体" w:eastAsia="仿宋"/>
                <w:color w:val="auto"/>
                <w:kern w:val="0"/>
                <w:sz w:val="24"/>
                <w:highlight w:val="none"/>
              </w:rPr>
            </w:pPr>
            <w:r>
              <w:rPr>
                <w:rFonts w:hint="eastAsia" w:ascii="宋体" w:hAnsi="宋体" w:eastAsia="仿宋"/>
                <w:color w:val="auto"/>
                <w:kern w:val="0"/>
                <w:sz w:val="24"/>
                <w:highlight w:val="none"/>
              </w:rPr>
              <w:t>3.1.2</w:t>
            </w:r>
          </w:p>
        </w:tc>
        <w:tc>
          <w:tcPr>
            <w:tcW w:w="1843" w:type="dxa"/>
            <w:noWrap w:val="0"/>
            <w:vAlign w:val="center"/>
          </w:tcPr>
          <w:p w14:paraId="298A2445">
            <w:pPr>
              <w:widowControl/>
              <w:jc w:val="left"/>
              <w:rPr>
                <w:rFonts w:ascii="宋体" w:hAnsi="宋体"/>
                <w:color w:val="auto"/>
                <w:kern w:val="0"/>
                <w:sz w:val="24"/>
                <w:highlight w:val="none"/>
              </w:rPr>
            </w:pPr>
            <w:r>
              <w:rPr>
                <w:rFonts w:hint="eastAsia" w:ascii="宋体" w:hAnsi="宋体" w:eastAsia="仿宋"/>
                <w:color w:val="auto"/>
                <w:kern w:val="0"/>
                <w:sz w:val="24"/>
                <w:highlight w:val="none"/>
              </w:rPr>
              <w:t>投标人名称</w:t>
            </w:r>
          </w:p>
        </w:tc>
        <w:tc>
          <w:tcPr>
            <w:tcW w:w="6533" w:type="dxa"/>
            <w:noWrap w:val="0"/>
            <w:vAlign w:val="center"/>
          </w:tcPr>
          <w:p w14:paraId="429B34F1">
            <w:pPr>
              <w:widowControl/>
              <w:jc w:val="left"/>
              <w:rPr>
                <w:rFonts w:ascii="宋体" w:hAnsi="宋体"/>
                <w:color w:val="auto"/>
                <w:kern w:val="0"/>
                <w:sz w:val="24"/>
                <w:highlight w:val="none"/>
              </w:rPr>
            </w:pPr>
            <w:r>
              <w:rPr>
                <w:rFonts w:hint="eastAsia" w:ascii="宋体" w:hAnsi="宋体" w:eastAsia="仿宋"/>
                <w:color w:val="auto"/>
                <w:kern w:val="0"/>
                <w:sz w:val="24"/>
                <w:highlight w:val="none"/>
              </w:rPr>
              <w:t>与营业执照（或事业单位法人证书等证明材料）一致</w:t>
            </w:r>
          </w:p>
        </w:tc>
      </w:tr>
      <w:tr w14:paraId="05A89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4324404B">
            <w:pPr>
              <w:widowControl/>
              <w:jc w:val="center"/>
              <w:rPr>
                <w:rFonts w:hint="eastAsia" w:ascii="宋体" w:hAnsi="宋体"/>
                <w:color w:val="auto"/>
                <w:kern w:val="0"/>
                <w:sz w:val="24"/>
                <w:highlight w:val="none"/>
              </w:rPr>
            </w:pPr>
          </w:p>
        </w:tc>
        <w:tc>
          <w:tcPr>
            <w:tcW w:w="1843" w:type="dxa"/>
            <w:noWrap w:val="0"/>
            <w:vAlign w:val="center"/>
          </w:tcPr>
          <w:p w14:paraId="665B013A">
            <w:pPr>
              <w:widowControl/>
              <w:jc w:val="left"/>
              <w:rPr>
                <w:rFonts w:ascii="宋体" w:hAnsi="宋体"/>
                <w:color w:val="auto"/>
                <w:kern w:val="0"/>
                <w:sz w:val="24"/>
                <w:highlight w:val="none"/>
              </w:rPr>
            </w:pPr>
            <w:r>
              <w:rPr>
                <w:rFonts w:hint="eastAsia" w:ascii="宋体" w:hAnsi="宋体" w:eastAsia="仿宋"/>
                <w:color w:val="auto"/>
                <w:kern w:val="0"/>
                <w:sz w:val="24"/>
                <w:highlight w:val="none"/>
              </w:rPr>
              <w:t>投标文件签署</w:t>
            </w:r>
          </w:p>
        </w:tc>
        <w:tc>
          <w:tcPr>
            <w:tcW w:w="6533" w:type="dxa"/>
            <w:noWrap w:val="0"/>
            <w:vAlign w:val="center"/>
          </w:tcPr>
          <w:p w14:paraId="1072B461">
            <w:pPr>
              <w:widowControl/>
              <w:jc w:val="left"/>
              <w:rPr>
                <w:rFonts w:ascii="宋体" w:hAnsi="宋体"/>
                <w:color w:val="auto"/>
                <w:kern w:val="0"/>
                <w:sz w:val="24"/>
                <w:highlight w:val="none"/>
              </w:rPr>
            </w:pPr>
            <w:r>
              <w:rPr>
                <w:rFonts w:hint="eastAsia" w:ascii="宋体" w:hAnsi="宋体" w:eastAsia="仿宋"/>
                <w:color w:val="auto"/>
                <w:kern w:val="0"/>
                <w:sz w:val="24"/>
                <w:highlight w:val="none"/>
              </w:rPr>
              <w:t>投标文件签字盖章符合招标文件规定</w:t>
            </w:r>
          </w:p>
        </w:tc>
      </w:tr>
      <w:tr w14:paraId="2EBF9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CBD2251">
            <w:pPr>
              <w:widowControl/>
              <w:jc w:val="center"/>
              <w:rPr>
                <w:rFonts w:hint="eastAsia" w:ascii="宋体" w:hAnsi="宋体"/>
                <w:color w:val="auto"/>
                <w:kern w:val="0"/>
                <w:sz w:val="24"/>
                <w:highlight w:val="none"/>
              </w:rPr>
            </w:pPr>
          </w:p>
        </w:tc>
        <w:tc>
          <w:tcPr>
            <w:tcW w:w="1843" w:type="dxa"/>
            <w:noWrap w:val="0"/>
            <w:vAlign w:val="center"/>
          </w:tcPr>
          <w:p w14:paraId="409D74A7">
            <w:pPr>
              <w:spacing w:line="240" w:lineRule="exact"/>
              <w:rPr>
                <w:rFonts w:hint="eastAsia" w:ascii="宋体" w:hAnsi="宋体"/>
                <w:color w:val="auto"/>
                <w:sz w:val="24"/>
                <w:highlight w:val="none"/>
              </w:rPr>
            </w:pPr>
            <w:r>
              <w:rPr>
                <w:rFonts w:hint="eastAsia" w:ascii="宋体" w:hAnsi="宋体" w:eastAsia="仿宋"/>
                <w:color w:val="auto"/>
                <w:sz w:val="24"/>
                <w:highlight w:val="none"/>
              </w:rPr>
              <w:t>法定代表人（单位负责人）身份证明及授权委托书</w:t>
            </w:r>
          </w:p>
        </w:tc>
        <w:tc>
          <w:tcPr>
            <w:tcW w:w="6533" w:type="dxa"/>
            <w:noWrap w:val="0"/>
            <w:vAlign w:val="center"/>
          </w:tcPr>
          <w:p w14:paraId="749FF6D5">
            <w:pPr>
              <w:spacing w:line="240" w:lineRule="exact"/>
              <w:rPr>
                <w:rFonts w:hint="eastAsia" w:ascii="宋体" w:hAnsi="宋体"/>
                <w:color w:val="auto"/>
                <w:sz w:val="24"/>
                <w:highlight w:val="none"/>
              </w:rPr>
            </w:pPr>
            <w:r>
              <w:rPr>
                <w:rFonts w:hint="eastAsia" w:ascii="宋体" w:hAnsi="宋体" w:eastAsia="仿宋"/>
                <w:color w:val="auto"/>
                <w:sz w:val="24"/>
                <w:highlight w:val="none"/>
              </w:rPr>
              <w:t>法定代表人（单位负责人）身份证明及授权委托书符合招标文件规定的格式，按规定格式签字盖章</w:t>
            </w:r>
          </w:p>
        </w:tc>
      </w:tr>
      <w:tr w14:paraId="6E623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17F3E707">
            <w:pPr>
              <w:widowControl/>
              <w:jc w:val="center"/>
              <w:rPr>
                <w:rFonts w:hint="eastAsia" w:ascii="宋体" w:hAnsi="宋体"/>
                <w:color w:val="auto"/>
                <w:kern w:val="0"/>
                <w:sz w:val="24"/>
                <w:highlight w:val="none"/>
              </w:rPr>
            </w:pPr>
          </w:p>
        </w:tc>
        <w:tc>
          <w:tcPr>
            <w:tcW w:w="1843" w:type="dxa"/>
            <w:noWrap w:val="0"/>
            <w:vAlign w:val="center"/>
          </w:tcPr>
          <w:p w14:paraId="07D83CF7">
            <w:pPr>
              <w:widowControl/>
              <w:jc w:val="left"/>
              <w:rPr>
                <w:rFonts w:ascii="宋体" w:hAnsi="宋体"/>
                <w:color w:val="auto"/>
                <w:kern w:val="0"/>
                <w:sz w:val="24"/>
                <w:highlight w:val="none"/>
              </w:rPr>
            </w:pPr>
            <w:r>
              <w:rPr>
                <w:rFonts w:hint="eastAsia" w:ascii="宋体" w:hAnsi="宋体" w:eastAsia="仿宋"/>
                <w:color w:val="auto"/>
                <w:kern w:val="0"/>
                <w:sz w:val="24"/>
                <w:highlight w:val="none"/>
              </w:rPr>
              <w:t>投标文件格式</w:t>
            </w:r>
          </w:p>
        </w:tc>
        <w:tc>
          <w:tcPr>
            <w:tcW w:w="6533" w:type="dxa"/>
            <w:noWrap w:val="0"/>
            <w:vAlign w:val="center"/>
          </w:tcPr>
          <w:p w14:paraId="0C86F1D8">
            <w:pPr>
              <w:widowControl/>
              <w:jc w:val="left"/>
              <w:rPr>
                <w:rFonts w:ascii="宋体" w:hAnsi="宋体"/>
                <w:color w:val="auto"/>
                <w:kern w:val="0"/>
                <w:sz w:val="24"/>
                <w:highlight w:val="none"/>
              </w:rPr>
            </w:pPr>
            <w:r>
              <w:rPr>
                <w:rFonts w:hint="eastAsia" w:ascii="宋体" w:hAnsi="宋体" w:eastAsia="仿宋"/>
                <w:color w:val="auto"/>
                <w:kern w:val="0"/>
                <w:sz w:val="24"/>
                <w:highlight w:val="none"/>
              </w:rPr>
              <w:t>符合招标文件给定格式要求，实质性内容齐全，关键内容、字迹清晰可辨</w:t>
            </w:r>
          </w:p>
        </w:tc>
      </w:tr>
      <w:tr w14:paraId="242E7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3DA0ECEF">
            <w:pPr>
              <w:widowControl/>
              <w:jc w:val="center"/>
              <w:rPr>
                <w:rFonts w:hint="eastAsia" w:ascii="宋体" w:hAnsi="宋体"/>
                <w:color w:val="auto"/>
                <w:kern w:val="0"/>
                <w:sz w:val="24"/>
                <w:highlight w:val="none"/>
              </w:rPr>
            </w:pPr>
          </w:p>
        </w:tc>
        <w:tc>
          <w:tcPr>
            <w:tcW w:w="1843" w:type="dxa"/>
            <w:noWrap w:val="0"/>
            <w:vAlign w:val="center"/>
          </w:tcPr>
          <w:p w14:paraId="13ADCF52">
            <w:pPr>
              <w:widowControl/>
              <w:jc w:val="left"/>
              <w:rPr>
                <w:rFonts w:hint="eastAsia" w:ascii="宋体" w:hAnsi="宋体" w:eastAsia="仿宋"/>
                <w:color w:val="auto"/>
                <w:kern w:val="0"/>
                <w:sz w:val="24"/>
                <w:highlight w:val="none"/>
              </w:rPr>
            </w:pPr>
            <w:r>
              <w:rPr>
                <w:rFonts w:hint="eastAsia" w:ascii="宋体" w:hAnsi="宋体" w:eastAsia="仿宋"/>
                <w:color w:val="auto"/>
                <w:kern w:val="0"/>
                <w:sz w:val="24"/>
                <w:highlight w:val="none"/>
              </w:rPr>
              <w:t>联合体投标</w:t>
            </w:r>
          </w:p>
          <w:p w14:paraId="6822A02C">
            <w:pPr>
              <w:widowControl/>
              <w:jc w:val="left"/>
              <w:rPr>
                <w:rFonts w:ascii="宋体" w:hAnsi="宋体"/>
                <w:color w:val="auto"/>
                <w:kern w:val="0"/>
                <w:sz w:val="24"/>
                <w:highlight w:val="none"/>
              </w:rPr>
            </w:pPr>
            <w:r>
              <w:rPr>
                <w:rFonts w:hint="eastAsia" w:ascii="宋体" w:hAnsi="宋体" w:eastAsia="仿宋"/>
                <w:color w:val="auto"/>
                <w:kern w:val="0"/>
                <w:sz w:val="24"/>
                <w:highlight w:val="none"/>
              </w:rPr>
              <w:t>（如适用）</w:t>
            </w:r>
          </w:p>
        </w:tc>
        <w:tc>
          <w:tcPr>
            <w:tcW w:w="6533" w:type="dxa"/>
            <w:noWrap w:val="0"/>
            <w:vAlign w:val="center"/>
          </w:tcPr>
          <w:p w14:paraId="069D24B4">
            <w:pPr>
              <w:widowControl/>
              <w:jc w:val="left"/>
              <w:rPr>
                <w:rFonts w:ascii="宋体" w:hAnsi="宋体"/>
                <w:color w:val="auto"/>
                <w:kern w:val="0"/>
                <w:sz w:val="24"/>
                <w:highlight w:val="none"/>
              </w:rPr>
            </w:pPr>
            <w:r>
              <w:rPr>
                <w:rFonts w:hint="eastAsia" w:ascii="宋体" w:hAnsi="宋体" w:eastAsia="仿宋"/>
                <w:color w:val="auto"/>
                <w:kern w:val="0"/>
                <w:sz w:val="24"/>
                <w:highlight w:val="none"/>
              </w:rPr>
              <w:t>提供联合体协议书，并明确联合体牵头人</w:t>
            </w:r>
          </w:p>
        </w:tc>
      </w:tr>
      <w:tr w14:paraId="14E5B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701E6716">
            <w:pPr>
              <w:widowControl/>
              <w:jc w:val="center"/>
              <w:rPr>
                <w:rFonts w:hint="eastAsia" w:ascii="宋体" w:hAnsi="宋体"/>
                <w:color w:val="auto"/>
                <w:kern w:val="0"/>
                <w:sz w:val="24"/>
                <w:highlight w:val="none"/>
              </w:rPr>
            </w:pPr>
          </w:p>
        </w:tc>
        <w:tc>
          <w:tcPr>
            <w:tcW w:w="1843" w:type="dxa"/>
            <w:noWrap w:val="0"/>
            <w:vAlign w:val="center"/>
          </w:tcPr>
          <w:p w14:paraId="7BD80DCE">
            <w:pPr>
              <w:widowControl/>
              <w:rPr>
                <w:rFonts w:hint="eastAsia" w:ascii="宋体" w:hAnsi="宋体" w:eastAsia="仿宋"/>
                <w:color w:val="auto"/>
                <w:kern w:val="0"/>
                <w:sz w:val="24"/>
                <w:highlight w:val="none"/>
              </w:rPr>
            </w:pPr>
            <w:r>
              <w:rPr>
                <w:rFonts w:hint="eastAsia" w:ascii="宋体" w:hAnsi="宋体" w:eastAsia="仿宋"/>
                <w:color w:val="auto"/>
                <w:kern w:val="0"/>
                <w:sz w:val="24"/>
                <w:highlight w:val="none"/>
              </w:rPr>
              <w:t>投标范围</w:t>
            </w:r>
          </w:p>
        </w:tc>
        <w:tc>
          <w:tcPr>
            <w:tcW w:w="6533" w:type="dxa"/>
            <w:noWrap w:val="0"/>
            <w:vAlign w:val="center"/>
          </w:tcPr>
          <w:p w14:paraId="3296C4F4">
            <w:pPr>
              <w:widowControl/>
              <w:jc w:val="left"/>
              <w:rPr>
                <w:rFonts w:hint="eastAsia" w:ascii="宋体" w:hAnsi="宋体"/>
                <w:color w:val="auto"/>
                <w:kern w:val="0"/>
                <w:sz w:val="24"/>
                <w:highlight w:val="none"/>
              </w:rPr>
            </w:pPr>
            <w:r>
              <w:rPr>
                <w:rFonts w:hint="eastAsia" w:ascii="宋体" w:hAnsi="宋体" w:eastAsia="仿宋"/>
                <w:color w:val="auto"/>
                <w:kern w:val="0"/>
                <w:sz w:val="24"/>
                <w:highlight w:val="none"/>
              </w:rPr>
              <w:t>符合招标文件要求</w:t>
            </w:r>
          </w:p>
        </w:tc>
      </w:tr>
      <w:tr w14:paraId="0BDFE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C7C6BEF">
            <w:pPr>
              <w:widowControl/>
              <w:jc w:val="center"/>
              <w:rPr>
                <w:rFonts w:hint="eastAsia" w:ascii="宋体" w:hAnsi="宋体"/>
                <w:color w:val="auto"/>
                <w:kern w:val="0"/>
                <w:sz w:val="24"/>
                <w:highlight w:val="none"/>
              </w:rPr>
            </w:pPr>
          </w:p>
        </w:tc>
        <w:tc>
          <w:tcPr>
            <w:tcW w:w="1843" w:type="dxa"/>
            <w:noWrap w:val="0"/>
            <w:vAlign w:val="center"/>
          </w:tcPr>
          <w:p w14:paraId="4EE4DB23">
            <w:pPr>
              <w:widowControl/>
              <w:rPr>
                <w:rFonts w:ascii="宋体" w:hAnsi="宋体"/>
                <w:color w:val="auto"/>
                <w:kern w:val="0"/>
                <w:sz w:val="24"/>
                <w:highlight w:val="none"/>
              </w:rPr>
            </w:pPr>
            <w:r>
              <w:rPr>
                <w:rFonts w:hint="eastAsia" w:ascii="宋体" w:hAnsi="宋体" w:eastAsia="仿宋"/>
                <w:color w:val="auto"/>
                <w:kern w:val="0"/>
                <w:sz w:val="24"/>
                <w:highlight w:val="none"/>
              </w:rPr>
              <w:t>投标报价</w:t>
            </w:r>
          </w:p>
        </w:tc>
        <w:tc>
          <w:tcPr>
            <w:tcW w:w="6533" w:type="dxa"/>
            <w:noWrap w:val="0"/>
            <w:vAlign w:val="top"/>
          </w:tcPr>
          <w:p w14:paraId="4BBFDA28">
            <w:pPr>
              <w:widowControl/>
              <w:jc w:val="left"/>
              <w:rPr>
                <w:rFonts w:hint="eastAsia" w:ascii="宋体" w:hAnsi="宋体" w:eastAsia="仿宋"/>
                <w:color w:val="auto"/>
                <w:kern w:val="0"/>
                <w:sz w:val="24"/>
                <w:highlight w:val="none"/>
              </w:rPr>
            </w:pPr>
            <w:r>
              <w:rPr>
                <w:rFonts w:hint="eastAsia" w:ascii="宋体" w:hAnsi="宋体" w:eastAsia="仿宋" w:cs="仿宋_GB2312"/>
                <w:color w:val="auto"/>
                <w:sz w:val="24"/>
                <w:highlight w:val="none"/>
                <w:lang w:val="zh-CN"/>
              </w:rPr>
              <w:t>投标报价不得超过</w:t>
            </w:r>
            <w:r>
              <w:rPr>
                <w:rFonts w:hint="eastAsia" w:ascii="宋体" w:hAnsi="宋体" w:eastAsia="仿宋" w:cs="仿宋_GB2312"/>
                <w:color w:val="auto"/>
                <w:sz w:val="24"/>
                <w:highlight w:val="none"/>
              </w:rPr>
              <w:t>预算金额或</w:t>
            </w:r>
            <w:r>
              <w:rPr>
                <w:rFonts w:hint="eastAsia" w:ascii="宋体" w:hAnsi="宋体" w:eastAsia="仿宋" w:cs="仿宋_GB2312"/>
                <w:color w:val="auto"/>
                <w:sz w:val="24"/>
                <w:highlight w:val="none"/>
                <w:lang w:val="zh-CN"/>
              </w:rPr>
              <w:t>最高限价，</w:t>
            </w:r>
            <w:r>
              <w:rPr>
                <w:rFonts w:hint="eastAsia" w:ascii="宋体" w:hAnsi="宋体" w:eastAsia="仿宋"/>
                <w:color w:val="auto"/>
                <w:sz w:val="24"/>
                <w:highlight w:val="none"/>
              </w:rPr>
              <w:t>只能有一个有效报价，不得提交选择性报价（按招标文件规定提交备选投标方案的除外），</w:t>
            </w:r>
            <w:r>
              <w:rPr>
                <w:rFonts w:hint="eastAsia" w:ascii="宋体" w:hAnsi="宋体" w:eastAsia="仿宋"/>
                <w:color w:val="auto"/>
                <w:sz w:val="24"/>
                <w:highlight w:val="none"/>
                <w:lang w:bidi="ar"/>
              </w:rPr>
              <w:t>符合第二章投标人须知第3.2款要求</w:t>
            </w:r>
          </w:p>
        </w:tc>
      </w:tr>
      <w:tr w14:paraId="2DD35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11B2BF40">
            <w:pPr>
              <w:widowControl/>
              <w:jc w:val="center"/>
              <w:rPr>
                <w:rFonts w:hint="eastAsia" w:ascii="宋体" w:hAnsi="宋体"/>
                <w:color w:val="auto"/>
                <w:kern w:val="0"/>
                <w:sz w:val="24"/>
                <w:highlight w:val="none"/>
              </w:rPr>
            </w:pPr>
          </w:p>
        </w:tc>
        <w:tc>
          <w:tcPr>
            <w:tcW w:w="1843" w:type="dxa"/>
            <w:noWrap w:val="0"/>
            <w:vAlign w:val="center"/>
          </w:tcPr>
          <w:p w14:paraId="2A924C89">
            <w:pPr>
              <w:pStyle w:val="31"/>
              <w:rPr>
                <w:rFonts w:ascii="宋体" w:hAnsi="宋体" w:eastAsia="仿宋"/>
                <w:color w:val="auto"/>
                <w:sz w:val="24"/>
                <w:szCs w:val="24"/>
                <w:highlight w:val="none"/>
              </w:rPr>
            </w:pPr>
            <w:r>
              <w:rPr>
                <w:rFonts w:hint="eastAsia" w:ascii="宋体" w:hAnsi="宋体" w:eastAsia="仿宋"/>
                <w:color w:val="auto"/>
                <w:sz w:val="24"/>
                <w:szCs w:val="24"/>
                <w:highlight w:val="none"/>
              </w:rPr>
              <w:t>商务要求</w:t>
            </w:r>
          </w:p>
        </w:tc>
        <w:tc>
          <w:tcPr>
            <w:tcW w:w="6533" w:type="dxa"/>
            <w:noWrap w:val="0"/>
            <w:vAlign w:val="center"/>
          </w:tcPr>
          <w:p w14:paraId="37C60B78">
            <w:pPr>
              <w:pStyle w:val="31"/>
              <w:rPr>
                <w:rFonts w:ascii="宋体" w:hAnsi="宋体" w:eastAsia="仿宋"/>
                <w:color w:val="auto"/>
                <w:sz w:val="24"/>
                <w:szCs w:val="24"/>
                <w:highlight w:val="none"/>
              </w:rPr>
            </w:pPr>
            <w:r>
              <w:rPr>
                <w:rFonts w:hint="eastAsia" w:ascii="宋体" w:hAnsi="宋体" w:eastAsia="仿宋"/>
                <w:color w:val="auto"/>
                <w:sz w:val="24"/>
                <w:highlight w:val="none"/>
              </w:rPr>
              <w:t>符合实质性要求，偏离范围和项数符合招标文件规定</w:t>
            </w:r>
          </w:p>
        </w:tc>
      </w:tr>
      <w:tr w14:paraId="05312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AC614F4">
            <w:pPr>
              <w:widowControl/>
              <w:jc w:val="center"/>
              <w:rPr>
                <w:rFonts w:hint="eastAsia" w:ascii="宋体" w:hAnsi="宋体"/>
                <w:color w:val="auto"/>
                <w:kern w:val="0"/>
                <w:sz w:val="24"/>
                <w:highlight w:val="none"/>
              </w:rPr>
            </w:pPr>
          </w:p>
        </w:tc>
        <w:tc>
          <w:tcPr>
            <w:tcW w:w="1843" w:type="dxa"/>
            <w:noWrap w:val="0"/>
            <w:vAlign w:val="center"/>
          </w:tcPr>
          <w:p w14:paraId="63454AFB">
            <w:pPr>
              <w:widowControl/>
              <w:rPr>
                <w:rFonts w:hint="eastAsia" w:ascii="宋体" w:hAnsi="宋体" w:eastAsia="仿宋"/>
                <w:color w:val="auto"/>
                <w:kern w:val="0"/>
                <w:sz w:val="24"/>
                <w:highlight w:val="none"/>
              </w:rPr>
            </w:pPr>
            <w:r>
              <w:rPr>
                <w:rFonts w:hint="eastAsia" w:ascii="宋体" w:hAnsi="宋体" w:eastAsia="仿宋"/>
                <w:color w:val="auto"/>
                <w:kern w:val="0"/>
                <w:sz w:val="24"/>
                <w:highlight w:val="none"/>
              </w:rPr>
              <w:t>技术要求</w:t>
            </w:r>
          </w:p>
        </w:tc>
        <w:tc>
          <w:tcPr>
            <w:tcW w:w="6533" w:type="dxa"/>
            <w:noWrap w:val="0"/>
            <w:vAlign w:val="center"/>
          </w:tcPr>
          <w:p w14:paraId="16143B32">
            <w:pPr>
              <w:widowControl/>
              <w:jc w:val="left"/>
              <w:rPr>
                <w:rFonts w:ascii="宋体" w:hAnsi="宋体"/>
                <w:color w:val="auto"/>
                <w:kern w:val="0"/>
                <w:sz w:val="24"/>
                <w:highlight w:val="none"/>
              </w:rPr>
            </w:pPr>
            <w:r>
              <w:rPr>
                <w:rFonts w:hint="eastAsia" w:ascii="宋体" w:hAnsi="宋体" w:eastAsia="仿宋"/>
                <w:color w:val="auto"/>
                <w:kern w:val="0"/>
                <w:sz w:val="24"/>
                <w:highlight w:val="none"/>
              </w:rPr>
              <w:t>符合实质性要求，偏离范围和项数符合招标文件规定</w:t>
            </w:r>
          </w:p>
        </w:tc>
      </w:tr>
      <w:tr w14:paraId="0303E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47A5AC8">
            <w:pPr>
              <w:widowControl/>
              <w:jc w:val="center"/>
              <w:rPr>
                <w:rFonts w:hint="eastAsia" w:ascii="宋体" w:hAnsi="宋体"/>
                <w:color w:val="auto"/>
                <w:kern w:val="0"/>
                <w:sz w:val="24"/>
                <w:highlight w:val="none"/>
              </w:rPr>
            </w:pPr>
          </w:p>
        </w:tc>
        <w:tc>
          <w:tcPr>
            <w:tcW w:w="1843" w:type="dxa"/>
            <w:noWrap w:val="0"/>
            <w:vAlign w:val="center"/>
          </w:tcPr>
          <w:p w14:paraId="5DDD78D4">
            <w:pPr>
              <w:widowControl/>
              <w:rPr>
                <w:rFonts w:ascii="宋体" w:hAnsi="宋体"/>
                <w:color w:val="auto"/>
                <w:kern w:val="0"/>
                <w:sz w:val="24"/>
                <w:highlight w:val="none"/>
              </w:rPr>
            </w:pPr>
            <w:r>
              <w:rPr>
                <w:rFonts w:hint="eastAsia" w:ascii="宋体" w:hAnsi="宋体" w:eastAsia="仿宋"/>
                <w:color w:val="auto"/>
                <w:kern w:val="0"/>
                <w:sz w:val="24"/>
                <w:highlight w:val="none"/>
              </w:rPr>
              <w:t>投标有效期</w:t>
            </w:r>
          </w:p>
        </w:tc>
        <w:tc>
          <w:tcPr>
            <w:tcW w:w="6533" w:type="dxa"/>
            <w:noWrap w:val="0"/>
            <w:vAlign w:val="center"/>
          </w:tcPr>
          <w:p w14:paraId="32067ECA">
            <w:pPr>
              <w:widowControl/>
              <w:jc w:val="left"/>
              <w:rPr>
                <w:rFonts w:hint="eastAsia" w:ascii="宋体" w:hAnsi="宋体"/>
                <w:color w:val="auto"/>
                <w:kern w:val="0"/>
                <w:sz w:val="24"/>
                <w:highlight w:val="none"/>
              </w:rPr>
            </w:pPr>
            <w:r>
              <w:rPr>
                <w:rFonts w:hint="eastAsia" w:ascii="宋体" w:hAnsi="宋体" w:eastAsia="仿宋"/>
                <w:color w:val="auto"/>
                <w:kern w:val="0"/>
                <w:sz w:val="24"/>
                <w:highlight w:val="none"/>
              </w:rPr>
              <w:t>符合招标文件要求</w:t>
            </w:r>
          </w:p>
        </w:tc>
      </w:tr>
      <w:tr w14:paraId="5F39C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2A55A32F">
            <w:pPr>
              <w:widowControl/>
              <w:jc w:val="center"/>
              <w:rPr>
                <w:rFonts w:hint="eastAsia" w:ascii="宋体" w:hAnsi="宋体"/>
                <w:color w:val="auto"/>
                <w:kern w:val="0"/>
                <w:sz w:val="24"/>
                <w:highlight w:val="none"/>
              </w:rPr>
            </w:pPr>
          </w:p>
        </w:tc>
        <w:tc>
          <w:tcPr>
            <w:tcW w:w="1843" w:type="dxa"/>
            <w:noWrap w:val="0"/>
            <w:vAlign w:val="center"/>
          </w:tcPr>
          <w:p w14:paraId="07B9819A">
            <w:pPr>
              <w:pStyle w:val="31"/>
              <w:adjustRightInd w:val="0"/>
              <w:rPr>
                <w:rFonts w:hint="eastAsia" w:ascii="宋体" w:hAnsi="宋体"/>
                <w:color w:val="auto"/>
                <w:sz w:val="24"/>
                <w:szCs w:val="24"/>
                <w:highlight w:val="none"/>
              </w:rPr>
            </w:pPr>
            <w:r>
              <w:rPr>
                <w:rFonts w:hint="eastAsia" w:ascii="宋体" w:hAnsi="宋体" w:eastAsia="仿宋"/>
                <w:color w:val="auto"/>
                <w:sz w:val="24"/>
                <w:szCs w:val="24"/>
                <w:highlight w:val="none"/>
              </w:rPr>
              <w:t>进口产品</w:t>
            </w:r>
          </w:p>
        </w:tc>
        <w:tc>
          <w:tcPr>
            <w:tcW w:w="6533" w:type="dxa"/>
            <w:noWrap w:val="0"/>
            <w:vAlign w:val="center"/>
          </w:tcPr>
          <w:p w14:paraId="36051EDC">
            <w:pPr>
              <w:pStyle w:val="31"/>
              <w:adjustRightInd w:val="0"/>
              <w:rPr>
                <w:rFonts w:hint="eastAsia" w:ascii="宋体" w:hAnsi="宋体"/>
                <w:color w:val="auto"/>
                <w:sz w:val="24"/>
                <w:szCs w:val="24"/>
                <w:highlight w:val="none"/>
              </w:rPr>
            </w:pPr>
            <w:r>
              <w:rPr>
                <w:rFonts w:hint="eastAsia" w:ascii="宋体" w:hAnsi="宋体" w:eastAsia="仿宋"/>
                <w:color w:val="auto"/>
                <w:sz w:val="24"/>
                <w:szCs w:val="24"/>
                <w:highlight w:val="none"/>
              </w:rPr>
              <w:t>不接受进口产品投标的，投标产品不得为进口产品（执行</w:t>
            </w:r>
            <w:r>
              <w:rPr>
                <w:rFonts w:ascii="宋体" w:hAnsi="宋体" w:eastAsia="仿宋"/>
                <w:color w:val="auto"/>
                <w:sz w:val="24"/>
                <w:szCs w:val="24"/>
                <w:highlight w:val="none"/>
              </w:rPr>
              <w:t>财办库</w:t>
            </w:r>
            <w:r>
              <w:rPr>
                <w:rFonts w:hint="eastAsia" w:ascii="宋体" w:hAnsi="宋体" w:eastAsia="仿宋"/>
                <w:color w:val="auto"/>
                <w:sz w:val="24"/>
                <w:szCs w:val="24"/>
                <w:highlight w:val="none"/>
              </w:rPr>
              <w:t>〔2008〕</w:t>
            </w:r>
            <w:r>
              <w:rPr>
                <w:rFonts w:ascii="宋体" w:hAnsi="宋体" w:eastAsia="仿宋"/>
                <w:color w:val="auto"/>
                <w:sz w:val="24"/>
                <w:szCs w:val="24"/>
                <w:highlight w:val="none"/>
              </w:rPr>
              <w:t>248号</w:t>
            </w:r>
            <w:r>
              <w:rPr>
                <w:rFonts w:hint="eastAsia" w:ascii="宋体" w:hAnsi="宋体" w:eastAsia="仿宋"/>
                <w:color w:val="auto"/>
                <w:sz w:val="24"/>
                <w:szCs w:val="24"/>
                <w:highlight w:val="none"/>
              </w:rPr>
              <w:t>文件规定）</w:t>
            </w:r>
          </w:p>
        </w:tc>
      </w:tr>
      <w:tr w14:paraId="63EFF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56AB4A77">
            <w:pPr>
              <w:widowControl/>
              <w:jc w:val="center"/>
              <w:rPr>
                <w:rFonts w:hint="eastAsia" w:ascii="宋体" w:hAnsi="宋体"/>
                <w:color w:val="auto"/>
                <w:kern w:val="0"/>
                <w:sz w:val="24"/>
                <w:highlight w:val="none"/>
              </w:rPr>
            </w:pPr>
          </w:p>
        </w:tc>
        <w:tc>
          <w:tcPr>
            <w:tcW w:w="1843" w:type="dxa"/>
            <w:noWrap w:val="0"/>
            <w:vAlign w:val="center"/>
          </w:tcPr>
          <w:p w14:paraId="0FDCB874">
            <w:pPr>
              <w:pStyle w:val="31"/>
              <w:adjustRightInd w:val="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强制采购节能产品</w:t>
            </w:r>
          </w:p>
        </w:tc>
        <w:tc>
          <w:tcPr>
            <w:tcW w:w="6533" w:type="dxa"/>
            <w:noWrap w:val="0"/>
            <w:vAlign w:val="center"/>
          </w:tcPr>
          <w:p w14:paraId="772316A6">
            <w:pPr>
              <w:pStyle w:val="31"/>
              <w:adjustRightInd w:val="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采购标的若属于《节能产品政府采购品目清单》范围中政府强制采购产品，则投标人提供产品须获得国家确定的认证机构出具的、处于有效期之内的节能（水）产品认证证书</w:t>
            </w:r>
          </w:p>
        </w:tc>
      </w:tr>
      <w:tr w14:paraId="4EC21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2399B315">
            <w:pPr>
              <w:widowControl/>
              <w:jc w:val="center"/>
              <w:rPr>
                <w:rFonts w:hint="eastAsia" w:ascii="宋体" w:hAnsi="宋体"/>
                <w:color w:val="auto"/>
                <w:kern w:val="0"/>
                <w:sz w:val="24"/>
                <w:highlight w:val="none"/>
              </w:rPr>
            </w:pPr>
          </w:p>
        </w:tc>
        <w:tc>
          <w:tcPr>
            <w:tcW w:w="1843" w:type="dxa"/>
            <w:noWrap w:val="0"/>
            <w:vAlign w:val="center"/>
          </w:tcPr>
          <w:p w14:paraId="64B19479">
            <w:pPr>
              <w:pStyle w:val="31"/>
              <w:adjustRightInd w:val="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投标文件制作机器识别码</w:t>
            </w:r>
          </w:p>
        </w:tc>
        <w:tc>
          <w:tcPr>
            <w:tcW w:w="6533" w:type="dxa"/>
            <w:noWrap w:val="0"/>
            <w:vAlign w:val="center"/>
          </w:tcPr>
          <w:p w14:paraId="6DDD96B5">
            <w:pPr>
              <w:pStyle w:val="31"/>
              <w:adjustRightInd w:val="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不同投标人未出现使用相同的投标文件制作机器识别码进行投标的情形</w:t>
            </w:r>
          </w:p>
        </w:tc>
      </w:tr>
      <w:tr w14:paraId="1D879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78082165">
            <w:pPr>
              <w:widowControl/>
              <w:jc w:val="center"/>
              <w:rPr>
                <w:rFonts w:hint="eastAsia" w:ascii="宋体" w:hAnsi="宋体"/>
                <w:color w:val="auto"/>
                <w:kern w:val="0"/>
                <w:sz w:val="24"/>
                <w:highlight w:val="none"/>
              </w:rPr>
            </w:pPr>
          </w:p>
        </w:tc>
        <w:tc>
          <w:tcPr>
            <w:tcW w:w="1843" w:type="dxa"/>
            <w:noWrap w:val="0"/>
            <w:vAlign w:val="center"/>
          </w:tcPr>
          <w:p w14:paraId="65E03031">
            <w:pPr>
              <w:widowControl/>
              <w:rPr>
                <w:rFonts w:ascii="宋体" w:hAnsi="宋体"/>
                <w:color w:val="auto"/>
                <w:kern w:val="0"/>
                <w:sz w:val="24"/>
                <w:highlight w:val="none"/>
              </w:rPr>
            </w:pPr>
            <w:r>
              <w:rPr>
                <w:rFonts w:hint="eastAsia" w:ascii="宋体" w:hAnsi="宋体" w:eastAsia="仿宋"/>
                <w:color w:val="auto"/>
                <w:kern w:val="0"/>
                <w:sz w:val="24"/>
                <w:highlight w:val="none"/>
              </w:rPr>
              <w:t>权利义务</w:t>
            </w:r>
          </w:p>
        </w:tc>
        <w:tc>
          <w:tcPr>
            <w:tcW w:w="6533" w:type="dxa"/>
            <w:noWrap w:val="0"/>
            <w:vAlign w:val="center"/>
          </w:tcPr>
          <w:p w14:paraId="567A0B1A">
            <w:pPr>
              <w:widowControl/>
              <w:jc w:val="left"/>
              <w:rPr>
                <w:rFonts w:ascii="宋体" w:hAnsi="宋体"/>
                <w:color w:val="auto"/>
                <w:kern w:val="0"/>
                <w:sz w:val="24"/>
                <w:highlight w:val="none"/>
              </w:rPr>
            </w:pPr>
            <w:r>
              <w:rPr>
                <w:rFonts w:hint="eastAsia" w:ascii="宋体" w:hAnsi="宋体" w:eastAsia="仿宋"/>
                <w:color w:val="auto"/>
                <w:kern w:val="0"/>
                <w:sz w:val="24"/>
                <w:highlight w:val="none"/>
              </w:rPr>
              <w:t>符合招标文件合同条款要求，未另行设定采购人不能接受的采购人应承担的义务，未对投标人的义务予以削弱</w:t>
            </w:r>
          </w:p>
        </w:tc>
      </w:tr>
      <w:tr w14:paraId="376A9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6BAD43DC">
            <w:pPr>
              <w:widowControl/>
              <w:jc w:val="center"/>
              <w:rPr>
                <w:rFonts w:hint="eastAsia" w:ascii="宋体" w:hAnsi="宋体"/>
                <w:color w:val="auto"/>
                <w:kern w:val="0"/>
                <w:sz w:val="24"/>
                <w:highlight w:val="none"/>
              </w:rPr>
            </w:pPr>
          </w:p>
        </w:tc>
        <w:tc>
          <w:tcPr>
            <w:tcW w:w="1843" w:type="dxa"/>
            <w:noWrap w:val="0"/>
            <w:vAlign w:val="center"/>
          </w:tcPr>
          <w:p w14:paraId="10F6C770">
            <w:pPr>
              <w:pStyle w:val="31"/>
              <w:rPr>
                <w:rFonts w:hint="eastAsia" w:ascii="宋体" w:hAnsi="宋体" w:eastAsia="仿宋"/>
                <w:color w:val="auto"/>
                <w:sz w:val="24"/>
                <w:szCs w:val="24"/>
                <w:highlight w:val="none"/>
              </w:rPr>
            </w:pPr>
            <w:r>
              <w:rPr>
                <w:rFonts w:hint="eastAsia" w:ascii="宋体" w:hAnsi="宋体" w:eastAsia="仿宋"/>
                <w:bCs/>
                <w:color w:val="auto"/>
                <w:sz w:val="24"/>
                <w:szCs w:val="24"/>
                <w:highlight w:val="none"/>
              </w:rPr>
              <w:t>提供同一品牌产品</w:t>
            </w:r>
          </w:p>
        </w:tc>
        <w:tc>
          <w:tcPr>
            <w:tcW w:w="6533" w:type="dxa"/>
            <w:noWrap w:val="0"/>
            <w:vAlign w:val="center"/>
          </w:tcPr>
          <w:p w14:paraId="756E399A">
            <w:pPr>
              <w:pStyle w:val="31"/>
              <w:rPr>
                <w:rFonts w:hint="eastAsia" w:ascii="宋体" w:hAnsi="宋体" w:eastAsia="仿宋"/>
                <w:color w:val="auto"/>
                <w:sz w:val="24"/>
                <w:szCs w:val="24"/>
                <w:highlight w:val="none"/>
              </w:rPr>
            </w:pPr>
            <w:r>
              <w:rPr>
                <w:rFonts w:hint="eastAsia" w:ascii="宋体" w:hAnsi="宋体" w:eastAsia="仿宋"/>
                <w:bCs/>
                <w:color w:val="auto"/>
                <w:sz w:val="24"/>
                <w:szCs w:val="24"/>
                <w:highlight w:val="none"/>
              </w:rPr>
              <w:t>单一产品采购项目中，提供同一品牌产品的不同投标人参加同一包项下投标的，以一家投标人计算有效投标人数量。非单一产品采购项目中，提供任意一个核心产品为同一品牌且通过资格审查、符合性审查的不同投标人参加同一包项下投标的，以一家投标人计算有效投标人数量。若有效投标人不足三家，本项目废标</w:t>
            </w:r>
          </w:p>
        </w:tc>
      </w:tr>
      <w:tr w14:paraId="4ACD9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79368CCF">
            <w:pPr>
              <w:widowControl/>
              <w:jc w:val="center"/>
              <w:rPr>
                <w:rFonts w:hint="eastAsia" w:ascii="宋体" w:hAnsi="宋体"/>
                <w:color w:val="auto"/>
                <w:kern w:val="0"/>
                <w:sz w:val="24"/>
                <w:highlight w:val="none"/>
              </w:rPr>
            </w:pPr>
          </w:p>
        </w:tc>
        <w:tc>
          <w:tcPr>
            <w:tcW w:w="1843" w:type="dxa"/>
            <w:noWrap w:val="0"/>
            <w:vAlign w:val="center"/>
          </w:tcPr>
          <w:p w14:paraId="40E2C709">
            <w:pPr>
              <w:pStyle w:val="31"/>
              <w:rPr>
                <w:rFonts w:ascii="宋体" w:hAnsi="宋体" w:eastAsia="仿宋"/>
                <w:color w:val="auto"/>
                <w:sz w:val="24"/>
                <w:szCs w:val="24"/>
                <w:highlight w:val="none"/>
              </w:rPr>
            </w:pPr>
            <w:r>
              <w:rPr>
                <w:rFonts w:hint="eastAsia" w:ascii="宋体" w:hAnsi="宋体" w:eastAsia="仿宋"/>
                <w:color w:val="auto"/>
                <w:sz w:val="24"/>
                <w:szCs w:val="24"/>
                <w:highlight w:val="none"/>
              </w:rPr>
              <w:t>低价说明</w:t>
            </w:r>
          </w:p>
        </w:tc>
        <w:tc>
          <w:tcPr>
            <w:tcW w:w="6533" w:type="dxa"/>
            <w:noWrap w:val="0"/>
            <w:vAlign w:val="center"/>
          </w:tcPr>
          <w:p w14:paraId="0A71428A">
            <w:pPr>
              <w:pStyle w:val="31"/>
              <w:rPr>
                <w:rFonts w:hint="eastAsia" w:ascii="宋体" w:hAnsi="宋体" w:eastAsia="仿宋"/>
                <w:color w:val="auto"/>
                <w:sz w:val="24"/>
                <w:szCs w:val="24"/>
                <w:highlight w:val="none"/>
              </w:rPr>
            </w:pPr>
            <w:r>
              <w:rPr>
                <w:rFonts w:hint="eastAsia" w:ascii="宋体" w:hAnsi="宋体" w:eastAsia="仿宋"/>
                <w:color w:val="auto"/>
                <w:sz w:val="24"/>
                <w:szCs w:val="24"/>
                <w:highlight w:val="none"/>
              </w:rPr>
              <w:t>投标人的报价明显低于其他通过符合性审查投标人的报价，评标委员会要求其提供书面说明时，投标人不能证明其报价合理性的，投标无效</w:t>
            </w:r>
          </w:p>
        </w:tc>
      </w:tr>
      <w:tr w14:paraId="117CD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0D60F23B">
            <w:pPr>
              <w:widowControl/>
              <w:jc w:val="center"/>
              <w:rPr>
                <w:rFonts w:hint="eastAsia" w:ascii="宋体" w:hAnsi="宋体"/>
                <w:color w:val="auto"/>
                <w:kern w:val="0"/>
                <w:sz w:val="24"/>
                <w:highlight w:val="none"/>
              </w:rPr>
            </w:pPr>
          </w:p>
        </w:tc>
        <w:tc>
          <w:tcPr>
            <w:tcW w:w="1843" w:type="dxa"/>
            <w:noWrap w:val="0"/>
            <w:vAlign w:val="center"/>
          </w:tcPr>
          <w:p w14:paraId="1B7D82B0">
            <w:pPr>
              <w:pStyle w:val="31"/>
              <w:rPr>
                <w:rFonts w:ascii="宋体" w:hAnsi="宋体"/>
                <w:color w:val="auto"/>
                <w:sz w:val="24"/>
                <w:szCs w:val="24"/>
                <w:highlight w:val="none"/>
              </w:rPr>
            </w:pPr>
            <w:r>
              <w:rPr>
                <w:rFonts w:hint="eastAsia" w:ascii="宋体" w:hAnsi="宋体" w:eastAsia="仿宋"/>
                <w:color w:val="auto"/>
                <w:sz w:val="24"/>
                <w:szCs w:val="24"/>
                <w:highlight w:val="none"/>
              </w:rPr>
              <w:t>其他</w:t>
            </w:r>
          </w:p>
        </w:tc>
        <w:tc>
          <w:tcPr>
            <w:tcW w:w="6533" w:type="dxa"/>
            <w:noWrap w:val="0"/>
            <w:vAlign w:val="center"/>
          </w:tcPr>
          <w:p w14:paraId="4D6EBE87">
            <w:pPr>
              <w:pStyle w:val="31"/>
              <w:rPr>
                <w:rFonts w:hint="eastAsia" w:ascii="宋体" w:hAnsi="宋体" w:eastAsia="仿宋"/>
                <w:color w:val="auto"/>
                <w:sz w:val="24"/>
                <w:szCs w:val="24"/>
                <w:highlight w:val="none"/>
              </w:rPr>
            </w:pPr>
            <w:r>
              <w:rPr>
                <w:rFonts w:hint="eastAsia" w:ascii="宋体" w:hAnsi="宋体" w:eastAsia="仿宋"/>
                <w:color w:val="auto"/>
                <w:sz w:val="24"/>
                <w:szCs w:val="24"/>
                <w:highlight w:val="none"/>
              </w:rPr>
              <w:t>符合法律、行政法规规定的其他条件</w:t>
            </w:r>
          </w:p>
          <w:p w14:paraId="3E8E7317">
            <w:pPr>
              <w:pStyle w:val="31"/>
              <w:rPr>
                <w:rFonts w:hint="eastAsia" w:ascii="宋体" w:hAnsi="宋体" w:eastAsia="仿宋"/>
                <w:color w:val="auto"/>
                <w:sz w:val="24"/>
                <w:szCs w:val="24"/>
                <w:highlight w:val="none"/>
              </w:rPr>
            </w:pPr>
            <w:r>
              <w:rPr>
                <w:rFonts w:hint="eastAsia" w:ascii="宋体" w:hAnsi="宋体" w:eastAsia="仿宋"/>
                <w:color w:val="auto"/>
                <w:sz w:val="24"/>
                <w:szCs w:val="24"/>
                <w:highlight w:val="none"/>
              </w:rPr>
              <w:t>不符合招标文件列明的其他投标无效的情形</w:t>
            </w:r>
          </w:p>
        </w:tc>
      </w:tr>
    </w:tbl>
    <w:p w14:paraId="0B2876E9">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r>
        <w:rPr>
          <w:rFonts w:ascii="宋体" w:hAnsi="宋体" w:eastAsia="仿宋"/>
          <w:b/>
          <w:color w:val="auto"/>
          <w:sz w:val="24"/>
          <w:szCs w:val="24"/>
          <w:highlight w:val="none"/>
        </w:rPr>
        <w:br w:type="page"/>
      </w:r>
      <w:r>
        <w:rPr>
          <w:rFonts w:hint="eastAsia" w:ascii="宋体" w:hAnsi="宋体" w:eastAsia="仿宋"/>
          <w:b/>
          <w:color w:val="auto"/>
          <w:sz w:val="24"/>
          <w:szCs w:val="24"/>
          <w:highlight w:val="none"/>
        </w:rPr>
        <w:t>2、详细评审表</w:t>
      </w:r>
    </w:p>
    <w:tbl>
      <w:tblPr>
        <w:tblStyle w:val="17"/>
        <w:tblW w:w="948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708"/>
        <w:gridCol w:w="1701"/>
        <w:gridCol w:w="4225"/>
        <w:gridCol w:w="1972"/>
      </w:tblGrid>
      <w:tr w14:paraId="1EFDF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4E6E0CAC">
            <w:pPr>
              <w:snapToGrid w:val="0"/>
              <w:spacing w:line="288"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1701" w:type="dxa"/>
            <w:noWrap w:val="0"/>
            <w:vAlign w:val="center"/>
          </w:tcPr>
          <w:p w14:paraId="79B43B0D">
            <w:pPr>
              <w:snapToGrid w:val="0"/>
              <w:spacing w:line="288"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条款内容</w:t>
            </w:r>
          </w:p>
        </w:tc>
        <w:tc>
          <w:tcPr>
            <w:tcW w:w="4225" w:type="dxa"/>
            <w:noWrap w:val="0"/>
            <w:vAlign w:val="center"/>
          </w:tcPr>
          <w:p w14:paraId="797613B5">
            <w:pPr>
              <w:snapToGrid w:val="0"/>
              <w:spacing w:line="288"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编列内容</w:t>
            </w:r>
          </w:p>
        </w:tc>
        <w:tc>
          <w:tcPr>
            <w:tcW w:w="1972" w:type="dxa"/>
            <w:noWrap w:val="0"/>
            <w:vAlign w:val="center"/>
          </w:tcPr>
          <w:p w14:paraId="2ACA45D7">
            <w:pPr>
              <w:widowControl/>
              <w:snapToGrid w:val="0"/>
              <w:spacing w:line="288" w:lineRule="auto"/>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备注</w:t>
            </w:r>
          </w:p>
        </w:tc>
      </w:tr>
      <w:tr w14:paraId="08424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7AAC7053">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3.2.1</w:t>
            </w:r>
          </w:p>
        </w:tc>
        <w:tc>
          <w:tcPr>
            <w:tcW w:w="1701" w:type="dxa"/>
            <w:noWrap w:val="0"/>
            <w:vAlign w:val="center"/>
          </w:tcPr>
          <w:p w14:paraId="0F63BE83">
            <w:pPr>
              <w:snapToGrid w:val="0"/>
              <w:spacing w:line="288"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分值构成</w:t>
            </w:r>
          </w:p>
          <w:p w14:paraId="43BA9AA0">
            <w:pPr>
              <w:snapToGrid w:val="0"/>
              <w:spacing w:line="288"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（总分100分）</w:t>
            </w:r>
          </w:p>
        </w:tc>
        <w:tc>
          <w:tcPr>
            <w:tcW w:w="4225" w:type="dxa"/>
            <w:noWrap w:val="0"/>
            <w:vAlign w:val="center"/>
          </w:tcPr>
          <w:p w14:paraId="014C9B5E">
            <w:pPr>
              <w:snapToGrid w:val="0"/>
              <w:spacing w:line="288" w:lineRule="auto"/>
              <w:rPr>
                <w:rFonts w:ascii="仿宋" w:hAnsi="仿宋" w:eastAsia="仿宋" w:cs="仿宋"/>
                <w:color w:val="auto"/>
                <w:sz w:val="24"/>
                <w:highlight w:val="none"/>
              </w:rPr>
            </w:pPr>
            <w:r>
              <w:rPr>
                <w:rFonts w:hint="eastAsia" w:ascii="仿宋" w:hAnsi="仿宋" w:eastAsia="仿宋" w:cs="仿宋"/>
                <w:color w:val="auto"/>
                <w:sz w:val="24"/>
                <w:highlight w:val="none"/>
              </w:rPr>
              <w:t>技术部分：</w:t>
            </w:r>
            <w:r>
              <w:rPr>
                <w:rFonts w:ascii="宋体" w:hAnsi="宋体" w:eastAsia="仿宋"/>
                <w:color w:val="auto"/>
                <w:sz w:val="24"/>
                <w:szCs w:val="20"/>
                <w:highlight w:val="none"/>
                <w:u w:val="single"/>
              </w:rPr>
              <w:t xml:space="preserve"> </w:t>
            </w:r>
            <w:r>
              <w:rPr>
                <w:rFonts w:hint="eastAsia" w:ascii="宋体" w:hAnsi="宋体" w:eastAsia="仿宋"/>
                <w:color w:val="auto"/>
                <w:sz w:val="24"/>
                <w:szCs w:val="20"/>
                <w:highlight w:val="none"/>
                <w:u w:val="single"/>
                <w:lang w:val="en-US" w:eastAsia="zh-CN"/>
              </w:rPr>
              <w:t>40</w:t>
            </w:r>
            <w:r>
              <w:rPr>
                <w:rFonts w:ascii="宋体" w:hAnsi="宋体" w:eastAsia="仿宋"/>
                <w:color w:val="auto"/>
                <w:sz w:val="24"/>
                <w:szCs w:val="20"/>
                <w:highlight w:val="none"/>
                <w:u w:val="single"/>
              </w:rPr>
              <w:t xml:space="preserve"> </w:t>
            </w:r>
            <w:r>
              <w:rPr>
                <w:rFonts w:ascii="宋体" w:hAnsi="宋体" w:eastAsia="仿宋"/>
                <w:color w:val="auto"/>
                <w:sz w:val="24"/>
                <w:szCs w:val="20"/>
                <w:highlight w:val="none"/>
              </w:rPr>
              <w:t>分</w:t>
            </w:r>
          </w:p>
          <w:p w14:paraId="72CC0343">
            <w:pPr>
              <w:snapToGrid w:val="0"/>
              <w:spacing w:line="288" w:lineRule="auto"/>
              <w:rPr>
                <w:rFonts w:ascii="宋体" w:hAnsi="宋体" w:eastAsia="仿宋"/>
                <w:color w:val="auto"/>
                <w:sz w:val="24"/>
                <w:szCs w:val="20"/>
                <w:highlight w:val="none"/>
              </w:rPr>
            </w:pPr>
            <w:r>
              <w:rPr>
                <w:rFonts w:hint="eastAsia" w:ascii="仿宋" w:hAnsi="仿宋" w:eastAsia="仿宋" w:cs="仿宋"/>
                <w:color w:val="auto"/>
                <w:sz w:val="24"/>
                <w:highlight w:val="none"/>
              </w:rPr>
              <w:t>商务部分：</w:t>
            </w:r>
            <w:r>
              <w:rPr>
                <w:rFonts w:ascii="宋体" w:hAnsi="宋体" w:eastAsia="仿宋"/>
                <w:color w:val="auto"/>
                <w:sz w:val="24"/>
                <w:szCs w:val="20"/>
                <w:highlight w:val="none"/>
                <w:u w:val="single"/>
              </w:rPr>
              <w:t xml:space="preserve"> </w:t>
            </w:r>
            <w:r>
              <w:rPr>
                <w:rFonts w:hint="eastAsia" w:ascii="宋体" w:hAnsi="宋体" w:eastAsia="仿宋"/>
                <w:color w:val="auto"/>
                <w:sz w:val="24"/>
                <w:szCs w:val="20"/>
                <w:highlight w:val="none"/>
                <w:u w:val="single"/>
                <w:lang w:val="en-US" w:eastAsia="zh-CN"/>
              </w:rPr>
              <w:t>30</w:t>
            </w:r>
            <w:r>
              <w:rPr>
                <w:rFonts w:hint="eastAsia" w:ascii="宋体" w:hAnsi="宋体" w:eastAsia="仿宋"/>
                <w:color w:val="auto"/>
                <w:sz w:val="24"/>
                <w:szCs w:val="20"/>
                <w:highlight w:val="none"/>
                <w:u w:val="single"/>
              </w:rPr>
              <w:t xml:space="preserve"> </w:t>
            </w:r>
            <w:r>
              <w:rPr>
                <w:rFonts w:ascii="宋体" w:hAnsi="宋体" w:eastAsia="仿宋"/>
                <w:color w:val="auto"/>
                <w:sz w:val="24"/>
                <w:szCs w:val="20"/>
                <w:highlight w:val="none"/>
              </w:rPr>
              <w:t>分</w:t>
            </w:r>
          </w:p>
          <w:p w14:paraId="69D7C6FE">
            <w:pPr>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w:t>
            </w:r>
            <w:r>
              <w:rPr>
                <w:rFonts w:ascii="宋体" w:hAnsi="宋体" w:eastAsia="仿宋"/>
                <w:color w:val="auto"/>
                <w:sz w:val="24"/>
                <w:szCs w:val="20"/>
                <w:highlight w:val="none"/>
                <w:u w:val="single"/>
              </w:rPr>
              <w:t xml:space="preserve"> </w:t>
            </w:r>
            <w:r>
              <w:rPr>
                <w:rFonts w:hint="eastAsia" w:ascii="宋体" w:hAnsi="宋体" w:eastAsia="仿宋"/>
                <w:color w:val="auto"/>
                <w:sz w:val="24"/>
                <w:szCs w:val="20"/>
                <w:highlight w:val="none"/>
                <w:u w:val="single"/>
              </w:rPr>
              <w:t xml:space="preserve">30 </w:t>
            </w:r>
            <w:r>
              <w:rPr>
                <w:rFonts w:ascii="宋体" w:hAnsi="宋体" w:eastAsia="仿宋"/>
                <w:color w:val="auto"/>
                <w:sz w:val="24"/>
                <w:szCs w:val="20"/>
                <w:highlight w:val="none"/>
              </w:rPr>
              <w:t>分</w:t>
            </w:r>
          </w:p>
        </w:tc>
        <w:tc>
          <w:tcPr>
            <w:tcW w:w="1972" w:type="dxa"/>
            <w:noWrap w:val="0"/>
            <w:vAlign w:val="top"/>
          </w:tcPr>
          <w:p w14:paraId="5BC00BF1">
            <w:pPr>
              <w:widowControl/>
              <w:snapToGrid w:val="0"/>
              <w:spacing w:line="288" w:lineRule="auto"/>
              <w:jc w:val="left"/>
              <w:rPr>
                <w:rFonts w:ascii="仿宋" w:hAnsi="仿宋" w:eastAsia="仿宋" w:cs="仿宋"/>
                <w:color w:val="auto"/>
                <w:kern w:val="0"/>
                <w:sz w:val="24"/>
                <w:highlight w:val="none"/>
              </w:rPr>
            </w:pPr>
          </w:p>
        </w:tc>
      </w:tr>
      <w:tr w14:paraId="17A36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04AD332D">
            <w:pPr>
              <w:widowControl/>
              <w:snapToGrid w:val="0"/>
              <w:spacing w:line="288"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3.2.2</w:t>
            </w:r>
          </w:p>
        </w:tc>
        <w:tc>
          <w:tcPr>
            <w:tcW w:w="1701" w:type="dxa"/>
            <w:noWrap w:val="0"/>
            <w:vAlign w:val="center"/>
          </w:tcPr>
          <w:p w14:paraId="48866AAB">
            <w:pPr>
              <w:snapToGrid w:val="0"/>
              <w:spacing w:line="288"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评标基准价计算方法</w:t>
            </w:r>
          </w:p>
        </w:tc>
        <w:tc>
          <w:tcPr>
            <w:tcW w:w="4225" w:type="dxa"/>
            <w:noWrap w:val="0"/>
            <w:vAlign w:val="center"/>
          </w:tcPr>
          <w:p w14:paraId="5C2913DC">
            <w:pPr>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有效的投标报价中的最低价作为评标基准价</w:t>
            </w:r>
          </w:p>
        </w:tc>
        <w:tc>
          <w:tcPr>
            <w:tcW w:w="1972" w:type="dxa"/>
            <w:noWrap w:val="0"/>
            <w:vAlign w:val="center"/>
          </w:tcPr>
          <w:p w14:paraId="53B1D9F1">
            <w:pPr>
              <w:snapToGrid w:val="0"/>
              <w:spacing w:line="288" w:lineRule="auto"/>
              <w:ind w:left="-38"/>
              <w:rPr>
                <w:rFonts w:hint="eastAsia" w:ascii="仿宋" w:hAnsi="仿宋" w:eastAsia="仿宋" w:cs="仿宋"/>
                <w:color w:val="auto"/>
                <w:sz w:val="24"/>
                <w:highlight w:val="none"/>
              </w:rPr>
            </w:pPr>
            <w:r>
              <w:rPr>
                <w:rFonts w:hint="eastAsia" w:ascii="仿宋" w:hAnsi="仿宋" w:eastAsia="仿宋" w:cs="仿宋"/>
                <w:color w:val="auto"/>
                <w:sz w:val="24"/>
                <w:highlight w:val="none"/>
              </w:rPr>
              <w:t>符合价格扣除政策的，用扣除后的价格参与计算、评分</w:t>
            </w:r>
          </w:p>
        </w:tc>
      </w:tr>
      <w:tr w14:paraId="36B76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27EC7769">
            <w:pPr>
              <w:snapToGrid w:val="0"/>
              <w:spacing w:line="288"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1701" w:type="dxa"/>
            <w:noWrap w:val="0"/>
            <w:vAlign w:val="center"/>
          </w:tcPr>
          <w:p w14:paraId="390C3427">
            <w:pPr>
              <w:snapToGrid w:val="0"/>
              <w:spacing w:line="288"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评分因素</w:t>
            </w:r>
          </w:p>
        </w:tc>
        <w:tc>
          <w:tcPr>
            <w:tcW w:w="6197" w:type="dxa"/>
            <w:gridSpan w:val="2"/>
            <w:noWrap w:val="0"/>
            <w:vAlign w:val="center"/>
          </w:tcPr>
          <w:p w14:paraId="11580BD3">
            <w:pPr>
              <w:widowControl/>
              <w:snapToGrid w:val="0"/>
              <w:spacing w:line="288" w:lineRule="auto"/>
              <w:jc w:val="center"/>
              <w:rPr>
                <w:rFonts w:hint="eastAsia" w:ascii="仿宋" w:hAnsi="仿宋" w:eastAsia="仿宋" w:cs="仿宋"/>
                <w:b/>
                <w:color w:val="auto"/>
                <w:kern w:val="0"/>
                <w:sz w:val="24"/>
                <w:highlight w:val="none"/>
              </w:rPr>
            </w:pPr>
            <w:r>
              <w:rPr>
                <w:rFonts w:hint="eastAsia" w:ascii="仿宋" w:hAnsi="仿宋" w:eastAsia="仿宋" w:cs="仿宋"/>
                <w:b/>
                <w:color w:val="auto"/>
                <w:sz w:val="24"/>
                <w:highlight w:val="none"/>
              </w:rPr>
              <w:t>评分标准</w:t>
            </w:r>
          </w:p>
        </w:tc>
      </w:tr>
      <w:tr w14:paraId="0E3CA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15818278">
            <w:pPr>
              <w:widowControl/>
              <w:snapToGrid w:val="0"/>
              <w:spacing w:line="288" w:lineRule="auto"/>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3.2.3（1）</w:t>
            </w:r>
          </w:p>
          <w:p w14:paraId="66B9A2D6">
            <w:pPr>
              <w:widowControl/>
              <w:snapToGrid w:val="0"/>
              <w:spacing w:line="288" w:lineRule="auto"/>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技术</w:t>
            </w:r>
          </w:p>
          <w:p w14:paraId="137447AE">
            <w:pPr>
              <w:widowControl/>
              <w:snapToGrid w:val="0"/>
              <w:spacing w:line="288" w:lineRule="auto"/>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部分</w:t>
            </w:r>
          </w:p>
        </w:tc>
        <w:tc>
          <w:tcPr>
            <w:tcW w:w="708" w:type="dxa"/>
            <w:noWrap w:val="0"/>
            <w:vAlign w:val="center"/>
          </w:tcPr>
          <w:p w14:paraId="63CB5BB3">
            <w:pPr>
              <w:widowControl/>
              <w:snapToGrid w:val="0"/>
              <w:spacing w:line="288" w:lineRule="auto"/>
              <w:jc w:val="center"/>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kern w:val="0"/>
                <w:sz w:val="24"/>
                <w:highlight w:val="none"/>
              </w:rPr>
              <w:t>1</w:t>
            </w:r>
          </w:p>
        </w:tc>
        <w:tc>
          <w:tcPr>
            <w:tcW w:w="1701" w:type="dxa"/>
            <w:noWrap w:val="0"/>
            <w:vAlign w:val="center"/>
          </w:tcPr>
          <w:p w14:paraId="0818EF66">
            <w:pPr>
              <w:snapToGrid w:val="0"/>
              <w:jc w:val="center"/>
              <w:rPr>
                <w:rFonts w:hint="eastAsia" w:ascii="仿宋" w:hAnsi="仿宋" w:eastAsia="仿宋" w:cs="仿宋"/>
                <w:b w:val="0"/>
                <w:bCs w:val="0"/>
                <w:color w:val="auto"/>
                <w:sz w:val="24"/>
                <w:szCs w:val="20"/>
                <w:highlight w:val="none"/>
              </w:rPr>
            </w:pPr>
            <w:r>
              <w:rPr>
                <w:rFonts w:hint="eastAsia" w:ascii="仿宋" w:hAnsi="仿宋" w:eastAsia="仿宋" w:cs="仿宋"/>
                <w:b w:val="0"/>
                <w:bCs w:val="0"/>
                <w:color w:val="auto"/>
                <w:sz w:val="24"/>
                <w:szCs w:val="20"/>
                <w:highlight w:val="none"/>
              </w:rPr>
              <w:t>产品的技术参数（</w:t>
            </w:r>
            <w:r>
              <w:rPr>
                <w:rFonts w:hint="eastAsia" w:ascii="仿宋" w:hAnsi="仿宋" w:eastAsia="仿宋" w:cs="仿宋"/>
                <w:b w:val="0"/>
                <w:bCs w:val="0"/>
                <w:color w:val="auto"/>
                <w:sz w:val="24"/>
                <w:szCs w:val="20"/>
                <w:highlight w:val="none"/>
                <w:lang w:val="en-US" w:eastAsia="zh-CN"/>
              </w:rPr>
              <w:t>35</w:t>
            </w:r>
            <w:r>
              <w:rPr>
                <w:rFonts w:hint="eastAsia" w:ascii="仿宋" w:hAnsi="仿宋" w:eastAsia="仿宋" w:cs="仿宋"/>
                <w:b w:val="0"/>
                <w:bCs w:val="0"/>
                <w:color w:val="auto"/>
                <w:sz w:val="24"/>
                <w:szCs w:val="20"/>
                <w:highlight w:val="none"/>
              </w:rPr>
              <w:t>分）</w:t>
            </w:r>
          </w:p>
        </w:tc>
        <w:tc>
          <w:tcPr>
            <w:tcW w:w="6197" w:type="dxa"/>
            <w:gridSpan w:val="2"/>
            <w:noWrap w:val="0"/>
            <w:vAlign w:val="center"/>
          </w:tcPr>
          <w:p w14:paraId="0E7AD5E6">
            <w:pPr>
              <w:snapToGrid w:val="0"/>
              <w:spacing w:line="360" w:lineRule="auto"/>
              <w:rPr>
                <w:rFonts w:hint="eastAsia" w:ascii="仿宋" w:hAnsi="仿宋" w:eastAsia="仿宋" w:cs="仿宋"/>
                <w:b w:val="0"/>
                <w:bCs w:val="0"/>
                <w:color w:val="auto"/>
                <w:sz w:val="24"/>
                <w:szCs w:val="20"/>
                <w:highlight w:val="none"/>
              </w:rPr>
            </w:pPr>
            <w:r>
              <w:rPr>
                <w:rFonts w:hint="eastAsia" w:ascii="仿宋" w:hAnsi="仿宋" w:eastAsia="仿宋" w:cs="仿宋"/>
                <w:b w:val="0"/>
                <w:bCs w:val="0"/>
                <w:color w:val="auto"/>
                <w:sz w:val="24"/>
                <w:szCs w:val="20"/>
                <w:highlight w:val="none"/>
              </w:rPr>
              <w:t>1</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val="0"/>
                <w:color w:val="auto"/>
                <w:sz w:val="24"/>
                <w:szCs w:val="20"/>
                <w:highlight w:val="none"/>
              </w:rPr>
              <w:t>根据投标文件与招标文件要求实质性响应参数（标记“</w:t>
            </w:r>
            <w:r>
              <w:rPr>
                <w:rFonts w:hint="eastAsia" w:ascii="宋体" w:hAnsi="宋体" w:cs="宋体"/>
                <w:b w:val="0"/>
                <w:bCs w:val="0"/>
                <w:color w:val="auto"/>
                <w:kern w:val="0"/>
                <w:sz w:val="22"/>
                <w:szCs w:val="22"/>
                <w:highlight w:val="none"/>
                <w:lang w:bidi="ar"/>
              </w:rPr>
              <w:t>★</w:t>
            </w:r>
            <w:r>
              <w:rPr>
                <w:rFonts w:hint="eastAsia" w:ascii="仿宋" w:hAnsi="仿宋" w:eastAsia="仿宋" w:cs="仿宋"/>
                <w:b w:val="0"/>
                <w:bCs w:val="0"/>
                <w:color w:val="auto"/>
                <w:sz w:val="24"/>
                <w:szCs w:val="20"/>
                <w:highlight w:val="none"/>
              </w:rPr>
              <w:t>”的技术参数）的偏离情况进行评审。</w:t>
            </w:r>
          </w:p>
          <w:p w14:paraId="54B50236">
            <w:pPr>
              <w:snapToGrid w:val="0"/>
              <w:spacing w:line="360" w:lineRule="auto"/>
              <w:rPr>
                <w:rFonts w:hint="eastAsia" w:ascii="仿宋" w:hAnsi="仿宋" w:eastAsia="仿宋" w:cs="仿宋"/>
                <w:b w:val="0"/>
                <w:bCs w:val="0"/>
                <w:color w:val="auto"/>
                <w:sz w:val="24"/>
                <w:szCs w:val="20"/>
                <w:highlight w:val="none"/>
              </w:rPr>
            </w:pPr>
            <w:r>
              <w:rPr>
                <w:rFonts w:hint="eastAsia" w:ascii="仿宋" w:hAnsi="仿宋" w:eastAsia="仿宋" w:cs="仿宋"/>
                <w:b w:val="0"/>
                <w:bCs w:val="0"/>
                <w:color w:val="auto"/>
                <w:sz w:val="24"/>
                <w:szCs w:val="20"/>
                <w:highlight w:val="none"/>
              </w:rPr>
              <w:t>技术支持资料显示不满足招标文件要求的或未提供技术支持资料的，投标将被否决；</w:t>
            </w:r>
          </w:p>
          <w:p w14:paraId="1F283CEC">
            <w:pPr>
              <w:snapToGrid w:val="0"/>
              <w:spacing w:line="360" w:lineRule="auto"/>
              <w:rPr>
                <w:rFonts w:hint="eastAsia" w:ascii="仿宋" w:hAnsi="仿宋" w:eastAsia="仿宋" w:cs="仿宋"/>
                <w:b w:val="0"/>
                <w:bCs w:val="0"/>
                <w:color w:val="auto"/>
                <w:sz w:val="24"/>
                <w:szCs w:val="20"/>
                <w:highlight w:val="none"/>
                <w:lang w:val="en-US" w:eastAsia="zh-CN"/>
              </w:rPr>
            </w:pPr>
            <w:r>
              <w:rPr>
                <w:rFonts w:hint="eastAsia" w:ascii="仿宋" w:hAnsi="仿宋" w:eastAsia="仿宋" w:cs="仿宋"/>
                <w:b w:val="0"/>
                <w:bCs w:val="0"/>
                <w:color w:val="auto"/>
                <w:sz w:val="24"/>
                <w:szCs w:val="20"/>
                <w:highlight w:val="none"/>
                <w:lang w:val="en-US" w:eastAsia="zh-CN"/>
              </w:rPr>
              <w:t>2</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val="0"/>
                <w:color w:val="auto"/>
                <w:sz w:val="24"/>
                <w:szCs w:val="20"/>
                <w:highlight w:val="none"/>
              </w:rPr>
              <w:t>根据投标文件与招标文件要求</w:t>
            </w:r>
            <w:r>
              <w:rPr>
                <w:rFonts w:hint="eastAsia" w:ascii="仿宋" w:hAnsi="仿宋" w:eastAsia="仿宋" w:cs="仿宋"/>
                <w:b w:val="0"/>
                <w:bCs w:val="0"/>
                <w:color w:val="auto"/>
                <w:sz w:val="24"/>
                <w:szCs w:val="20"/>
                <w:highlight w:val="none"/>
                <w:lang w:eastAsia="zh-CN"/>
              </w:rPr>
              <w:t>重要</w:t>
            </w:r>
            <w:r>
              <w:rPr>
                <w:rFonts w:hint="eastAsia" w:ascii="仿宋" w:hAnsi="仿宋" w:eastAsia="仿宋" w:cs="仿宋"/>
                <w:b w:val="0"/>
                <w:bCs w:val="0"/>
                <w:color w:val="auto"/>
                <w:sz w:val="24"/>
                <w:szCs w:val="20"/>
                <w:highlight w:val="none"/>
              </w:rPr>
              <w:t>参数（标记“</w:t>
            </w:r>
            <w:r>
              <w:rPr>
                <w:rFonts w:hint="eastAsia" w:ascii="仿宋" w:hAnsi="仿宋" w:eastAsia="仿宋" w:cs="仿宋"/>
                <w:b w:val="0"/>
                <w:bCs w:val="0"/>
                <w:color w:val="auto"/>
                <w:sz w:val="24"/>
                <w:szCs w:val="20"/>
                <w:highlight w:val="none"/>
                <w:lang w:eastAsia="zh-CN"/>
              </w:rPr>
              <w:t>■</w:t>
            </w:r>
            <w:r>
              <w:rPr>
                <w:rFonts w:hint="eastAsia" w:ascii="仿宋" w:hAnsi="仿宋" w:eastAsia="仿宋" w:cs="仿宋"/>
                <w:b w:val="0"/>
                <w:bCs w:val="0"/>
                <w:color w:val="auto"/>
                <w:sz w:val="24"/>
                <w:szCs w:val="20"/>
                <w:highlight w:val="none"/>
              </w:rPr>
              <w:t>”的技术参数）的偏离情况进行评审，每满足一项得</w:t>
            </w:r>
            <w:r>
              <w:rPr>
                <w:rFonts w:hint="eastAsia" w:ascii="仿宋" w:hAnsi="仿宋" w:eastAsia="仿宋" w:cs="仿宋"/>
                <w:b w:val="0"/>
                <w:bCs w:val="0"/>
                <w:color w:val="auto"/>
                <w:sz w:val="24"/>
                <w:szCs w:val="20"/>
                <w:highlight w:val="none"/>
                <w:lang w:val="en-US" w:eastAsia="zh-CN"/>
              </w:rPr>
              <w:t>0.5</w:t>
            </w:r>
            <w:r>
              <w:rPr>
                <w:rFonts w:hint="eastAsia" w:ascii="仿宋" w:hAnsi="仿宋" w:eastAsia="仿宋" w:cs="仿宋"/>
                <w:b w:val="0"/>
                <w:bCs w:val="0"/>
                <w:color w:val="auto"/>
                <w:sz w:val="24"/>
                <w:szCs w:val="20"/>
                <w:highlight w:val="none"/>
              </w:rPr>
              <w:t>分，共</w:t>
            </w:r>
            <w:r>
              <w:rPr>
                <w:rFonts w:hint="eastAsia" w:ascii="仿宋" w:hAnsi="仿宋" w:eastAsia="仿宋" w:cs="仿宋"/>
                <w:b w:val="0"/>
                <w:bCs w:val="0"/>
                <w:color w:val="auto"/>
                <w:sz w:val="24"/>
                <w:szCs w:val="20"/>
                <w:highlight w:val="none"/>
                <w:lang w:val="en-US" w:eastAsia="zh-CN"/>
              </w:rPr>
              <w:t>21</w:t>
            </w:r>
            <w:r>
              <w:rPr>
                <w:rFonts w:hint="eastAsia" w:ascii="仿宋" w:hAnsi="仿宋" w:eastAsia="仿宋" w:cs="仿宋"/>
                <w:b w:val="0"/>
                <w:bCs w:val="0"/>
                <w:color w:val="auto"/>
                <w:sz w:val="24"/>
                <w:szCs w:val="20"/>
                <w:highlight w:val="none"/>
              </w:rPr>
              <w:t>项，满分</w:t>
            </w:r>
            <w:r>
              <w:rPr>
                <w:rFonts w:hint="eastAsia" w:ascii="仿宋" w:hAnsi="仿宋" w:eastAsia="仿宋" w:cs="仿宋"/>
                <w:b w:val="0"/>
                <w:bCs w:val="0"/>
                <w:color w:val="auto"/>
                <w:sz w:val="24"/>
                <w:szCs w:val="20"/>
                <w:highlight w:val="none"/>
                <w:lang w:val="en-US" w:eastAsia="zh-CN"/>
              </w:rPr>
              <w:t>10.5</w:t>
            </w:r>
            <w:r>
              <w:rPr>
                <w:rFonts w:hint="eastAsia" w:ascii="仿宋" w:hAnsi="仿宋" w:eastAsia="仿宋" w:cs="仿宋"/>
                <w:b w:val="0"/>
                <w:bCs w:val="0"/>
                <w:color w:val="auto"/>
                <w:sz w:val="24"/>
                <w:szCs w:val="20"/>
                <w:highlight w:val="none"/>
              </w:rPr>
              <w:t>分。</w:t>
            </w:r>
          </w:p>
          <w:p w14:paraId="466E5F8E">
            <w:pPr>
              <w:snapToGrid w:val="0"/>
              <w:spacing w:line="360" w:lineRule="auto"/>
              <w:rPr>
                <w:rFonts w:hint="eastAsia" w:ascii="仿宋" w:hAnsi="仿宋" w:eastAsia="仿宋" w:cs="仿宋"/>
                <w:b w:val="0"/>
                <w:bCs w:val="0"/>
                <w:color w:val="auto"/>
                <w:sz w:val="24"/>
                <w:szCs w:val="20"/>
                <w:highlight w:val="none"/>
                <w:lang w:val="en-US" w:eastAsia="zh-CN"/>
              </w:rPr>
            </w:pPr>
            <w:r>
              <w:rPr>
                <w:rFonts w:hint="eastAsia" w:ascii="仿宋" w:hAnsi="仿宋" w:eastAsia="仿宋" w:cs="仿宋"/>
                <w:b w:val="0"/>
                <w:bCs w:val="0"/>
                <w:color w:val="auto"/>
                <w:sz w:val="24"/>
                <w:szCs w:val="20"/>
                <w:highlight w:val="none"/>
                <w:lang w:val="en-US" w:eastAsia="zh-CN"/>
              </w:rPr>
              <w:t>3</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val="0"/>
                <w:color w:val="auto"/>
                <w:sz w:val="24"/>
                <w:szCs w:val="20"/>
                <w:highlight w:val="none"/>
              </w:rPr>
              <w:t>根据投标文件与招标文件要求的一般参数(无标识技术参数)偏离情况进行评分。一般技术参数条款评审得分=（投标人满足一般技术参数条款的数量÷一般技术参数条款的总数量）×一般技术参数设定分值，保留小数点后两位，一般技术参数条款的总数量</w:t>
            </w:r>
            <w:r>
              <w:rPr>
                <w:rFonts w:hint="eastAsia" w:ascii="仿宋" w:hAnsi="仿宋" w:eastAsia="仿宋" w:cs="仿宋"/>
                <w:b w:val="0"/>
                <w:bCs w:val="0"/>
                <w:strike w:val="0"/>
                <w:dstrike w:val="0"/>
                <w:color w:val="auto"/>
                <w:sz w:val="24"/>
                <w:szCs w:val="20"/>
                <w:highlight w:val="none"/>
              </w:rPr>
              <w:t>为</w:t>
            </w:r>
            <w:r>
              <w:rPr>
                <w:rFonts w:hint="eastAsia" w:ascii="仿宋" w:hAnsi="仿宋" w:eastAsia="仿宋" w:cs="仿宋"/>
                <w:b w:val="0"/>
                <w:bCs w:val="0"/>
                <w:color w:val="auto"/>
                <w:sz w:val="24"/>
                <w:szCs w:val="20"/>
                <w:highlight w:val="none"/>
                <w:lang w:val="en-US" w:eastAsia="zh-CN"/>
              </w:rPr>
              <w:t>265</w:t>
            </w:r>
            <w:r>
              <w:rPr>
                <w:rFonts w:hint="eastAsia" w:ascii="仿宋" w:hAnsi="仿宋" w:eastAsia="仿宋" w:cs="仿宋"/>
                <w:b w:val="0"/>
                <w:bCs w:val="0"/>
                <w:color w:val="auto"/>
                <w:sz w:val="24"/>
                <w:szCs w:val="20"/>
                <w:highlight w:val="none"/>
              </w:rPr>
              <w:t>项，满分</w:t>
            </w:r>
            <w:r>
              <w:rPr>
                <w:rFonts w:hint="eastAsia" w:ascii="仿宋" w:hAnsi="仿宋" w:eastAsia="仿宋" w:cs="仿宋"/>
                <w:b w:val="0"/>
                <w:bCs w:val="0"/>
                <w:color w:val="auto"/>
                <w:sz w:val="24"/>
                <w:szCs w:val="20"/>
                <w:highlight w:val="none"/>
                <w:lang w:val="en-US" w:eastAsia="zh-CN"/>
              </w:rPr>
              <w:t>24.5</w:t>
            </w:r>
            <w:r>
              <w:rPr>
                <w:rFonts w:hint="eastAsia" w:ascii="仿宋" w:hAnsi="仿宋" w:eastAsia="仿宋" w:cs="仿宋"/>
                <w:b w:val="0"/>
                <w:bCs w:val="0"/>
                <w:color w:val="auto"/>
                <w:sz w:val="24"/>
                <w:szCs w:val="20"/>
                <w:highlight w:val="none"/>
              </w:rPr>
              <w:t>分。）</w:t>
            </w:r>
          </w:p>
          <w:p w14:paraId="363FAD3C">
            <w:pPr>
              <w:snapToGrid w:val="0"/>
              <w:spacing w:line="360" w:lineRule="auto"/>
              <w:rPr>
                <w:rFonts w:ascii="仿宋" w:hAnsi="仿宋" w:eastAsia="仿宋" w:cs="仿宋"/>
                <w:b w:val="0"/>
                <w:bCs w:val="0"/>
                <w:color w:val="auto"/>
                <w:sz w:val="24"/>
                <w:szCs w:val="20"/>
                <w:highlight w:val="none"/>
              </w:rPr>
            </w:pPr>
            <w:r>
              <w:rPr>
                <w:rFonts w:hint="eastAsia" w:ascii="仿宋" w:hAnsi="仿宋" w:eastAsia="仿宋" w:cs="仿宋"/>
                <w:b w:val="0"/>
                <w:bCs w:val="0"/>
                <w:color w:val="auto"/>
                <w:sz w:val="24"/>
                <w:szCs w:val="20"/>
                <w:highlight w:val="none"/>
              </w:rPr>
              <w:t>注：技术资料：对于标注</w:t>
            </w:r>
            <w:r>
              <w:rPr>
                <w:rFonts w:hint="eastAsia" w:ascii="宋体" w:hAnsi="宋体" w:cs="宋体"/>
                <w:b w:val="0"/>
                <w:bCs w:val="0"/>
                <w:color w:val="auto"/>
                <w:kern w:val="0"/>
                <w:sz w:val="22"/>
                <w:szCs w:val="22"/>
                <w:highlight w:val="none"/>
                <w:lang w:bidi="ar"/>
              </w:rPr>
              <w:t>“★”</w:t>
            </w:r>
            <w:r>
              <w:rPr>
                <w:rFonts w:hint="eastAsia" w:ascii="仿宋" w:hAnsi="仿宋" w:eastAsia="仿宋" w:cs="仿宋"/>
                <w:b w:val="0"/>
                <w:bCs w:val="0"/>
                <w:color w:val="auto"/>
                <w:sz w:val="24"/>
                <w:szCs w:val="20"/>
                <w:highlight w:val="none"/>
              </w:rPr>
              <w:t>号项参数、“</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szCs w:val="20"/>
                <w:highlight w:val="none"/>
              </w:rPr>
              <w:t>”参数技术参数/条款的响应情况，以招标文件明确要求的材料为准，若招标文件未明确要求则以制造商公开发布的资料或产品技术白皮书或产品彩页或产品制造商出具的加盖公章的证明材料或检测机构出具的检测报告为准。若制造商公开发布的资料与检测机构出具的检测报告不一致，以检测机构出具的检测报告为准。</w:t>
            </w:r>
            <w:r>
              <w:rPr>
                <w:rFonts w:ascii="仿宋" w:hAnsi="仿宋" w:eastAsia="仿宋" w:cs="仿宋"/>
                <w:b w:val="0"/>
                <w:bCs w:val="0"/>
                <w:color w:val="auto"/>
                <w:sz w:val="24"/>
                <w:szCs w:val="20"/>
                <w:highlight w:val="none"/>
              </w:rPr>
              <w:t>为便于评审，投标供应商对证明材料中的关键参数进行标注。</w:t>
            </w:r>
          </w:p>
        </w:tc>
      </w:tr>
      <w:tr w14:paraId="09407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restart"/>
            <w:noWrap w:val="0"/>
            <w:vAlign w:val="center"/>
          </w:tcPr>
          <w:p w14:paraId="59B79587">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3.2.3（2）</w:t>
            </w:r>
          </w:p>
          <w:p w14:paraId="075EC8B2">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商务</w:t>
            </w:r>
          </w:p>
          <w:p w14:paraId="5A703BA8">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部分</w:t>
            </w:r>
          </w:p>
        </w:tc>
        <w:tc>
          <w:tcPr>
            <w:tcW w:w="708" w:type="dxa"/>
            <w:noWrap w:val="0"/>
            <w:vAlign w:val="center"/>
          </w:tcPr>
          <w:p w14:paraId="15CA3137">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01" w:type="dxa"/>
            <w:noWrap w:val="0"/>
            <w:vAlign w:val="center"/>
          </w:tcPr>
          <w:p w14:paraId="3C2251C7">
            <w:pPr>
              <w:widowControl/>
              <w:adjustRightInd w:val="0"/>
              <w:snapToGrid w:val="0"/>
              <w:spacing w:line="288"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所投产品业绩（</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w:t>
            </w:r>
          </w:p>
        </w:tc>
        <w:tc>
          <w:tcPr>
            <w:tcW w:w="6197" w:type="dxa"/>
            <w:gridSpan w:val="2"/>
            <w:noWrap w:val="0"/>
            <w:vAlign w:val="center"/>
          </w:tcPr>
          <w:p w14:paraId="6C1F849B">
            <w:pPr>
              <w:widowControl/>
              <w:shd w:val="clear" w:color="auto" w:fill="auto"/>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自202</w:t>
            </w:r>
            <w:r>
              <w:rPr>
                <w:rFonts w:hint="eastAsia" w:ascii="仿宋" w:hAnsi="仿宋" w:eastAsia="仿宋" w:cs="仿宋"/>
                <w:bCs/>
                <w:color w:val="auto"/>
                <w:sz w:val="24"/>
                <w:szCs w:val="20"/>
                <w:highlight w:val="none"/>
                <w:lang w:val="en-US" w:eastAsia="zh-CN"/>
              </w:rPr>
              <w:t>3</w:t>
            </w:r>
            <w:r>
              <w:rPr>
                <w:rFonts w:hint="eastAsia" w:ascii="仿宋" w:hAnsi="仿宋" w:eastAsia="仿宋" w:cs="仿宋"/>
                <w:bCs/>
                <w:color w:val="auto"/>
                <w:sz w:val="24"/>
                <w:szCs w:val="20"/>
                <w:highlight w:val="none"/>
              </w:rPr>
              <w:t>年1月1日以来（以合同签订时间为准），所投同品牌同类型产品具有医疗机构供货业绩的，每提供一个业绩得</w:t>
            </w:r>
            <w:r>
              <w:rPr>
                <w:rFonts w:hint="eastAsia" w:ascii="仿宋" w:hAnsi="仿宋" w:eastAsia="仿宋" w:cs="仿宋"/>
                <w:bCs/>
                <w:color w:val="auto"/>
                <w:sz w:val="24"/>
                <w:szCs w:val="20"/>
                <w:highlight w:val="none"/>
                <w:lang w:val="en-US" w:eastAsia="zh-CN"/>
              </w:rPr>
              <w:t>2</w:t>
            </w:r>
            <w:r>
              <w:rPr>
                <w:rFonts w:hint="eastAsia" w:ascii="仿宋" w:hAnsi="仿宋" w:eastAsia="仿宋" w:cs="仿宋"/>
                <w:bCs/>
                <w:color w:val="auto"/>
                <w:sz w:val="24"/>
                <w:szCs w:val="20"/>
                <w:highlight w:val="none"/>
              </w:rPr>
              <w:t>分，最高得</w:t>
            </w:r>
            <w:r>
              <w:rPr>
                <w:rFonts w:hint="eastAsia" w:ascii="仿宋" w:hAnsi="仿宋" w:eastAsia="仿宋" w:cs="仿宋"/>
                <w:bCs/>
                <w:color w:val="auto"/>
                <w:sz w:val="24"/>
                <w:szCs w:val="20"/>
                <w:highlight w:val="none"/>
                <w:lang w:val="en-US" w:eastAsia="zh-CN"/>
              </w:rPr>
              <w:t>6</w:t>
            </w:r>
            <w:r>
              <w:rPr>
                <w:rFonts w:hint="eastAsia" w:ascii="仿宋" w:hAnsi="仿宋" w:eastAsia="仿宋" w:cs="仿宋"/>
                <w:bCs/>
                <w:color w:val="auto"/>
                <w:sz w:val="24"/>
                <w:szCs w:val="20"/>
                <w:highlight w:val="none"/>
              </w:rPr>
              <w:t>分。</w:t>
            </w:r>
          </w:p>
          <w:p w14:paraId="7A41D982">
            <w:pPr>
              <w:widowControl/>
              <w:snapToGrid/>
              <w:spacing w:line="360" w:lineRule="auto"/>
              <w:rPr>
                <w:rFonts w:hint="eastAsia" w:ascii="仿宋" w:hAnsi="仿宋" w:eastAsia="仿宋" w:cs="仿宋"/>
                <w:color w:val="auto"/>
                <w:kern w:val="0"/>
                <w:sz w:val="24"/>
                <w:highlight w:val="none"/>
              </w:rPr>
            </w:pPr>
            <w:r>
              <w:rPr>
                <w:rFonts w:hint="eastAsia" w:ascii="仿宋" w:hAnsi="仿宋" w:eastAsia="仿宋" w:cs="仿宋"/>
                <w:bCs/>
                <w:color w:val="auto"/>
                <w:sz w:val="24"/>
                <w:szCs w:val="20"/>
                <w:highlight w:val="none"/>
              </w:rPr>
              <w:t>注：</w:t>
            </w:r>
            <w:r>
              <w:rPr>
                <w:rFonts w:hint="eastAsia" w:ascii="仿宋" w:hAnsi="仿宋" w:eastAsia="仿宋" w:cs="仿宋"/>
                <w:color w:val="auto"/>
                <w:kern w:val="0"/>
                <w:sz w:val="24"/>
                <w:highlight w:val="none"/>
              </w:rPr>
              <w:t>（1）本项为所投核心产品业绩；</w:t>
            </w:r>
          </w:p>
          <w:p w14:paraId="11CEFED9">
            <w:pPr>
              <w:widowControl/>
              <w:snapToGrid/>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（2）投标文件中提供完整的合同扫描件，如合同中无法体现签订时间、产品品牌等评审因素的，须同时提供业主单位加盖公章证明材料扫描件，否则不得分；</w:t>
            </w:r>
          </w:p>
          <w:p w14:paraId="2F4A235D">
            <w:pPr>
              <w:widowControl/>
              <w:snapToGrid/>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rPr>
              <w:t>（3）以上业绩须为已供货（安装）完毕的业绩，投标文件中无须提供已供货（安装）完毕证明材料扫描件，投标人在“业绩汇总表”中备注是否供货（安装）完毕即可。</w:t>
            </w:r>
          </w:p>
        </w:tc>
      </w:tr>
      <w:tr w14:paraId="78825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6F514BEF">
            <w:pPr>
              <w:widowControl/>
              <w:snapToGrid w:val="0"/>
              <w:spacing w:line="288" w:lineRule="auto"/>
              <w:jc w:val="center"/>
              <w:rPr>
                <w:rFonts w:hint="eastAsia" w:ascii="仿宋" w:hAnsi="仿宋" w:eastAsia="仿宋" w:cs="仿宋"/>
                <w:color w:val="auto"/>
                <w:kern w:val="0"/>
                <w:sz w:val="24"/>
                <w:highlight w:val="none"/>
              </w:rPr>
            </w:pPr>
          </w:p>
        </w:tc>
        <w:tc>
          <w:tcPr>
            <w:tcW w:w="708" w:type="dxa"/>
            <w:noWrap w:val="0"/>
            <w:vAlign w:val="center"/>
          </w:tcPr>
          <w:p w14:paraId="13E9C658">
            <w:pPr>
              <w:widowControl/>
              <w:snapToGrid w:val="0"/>
              <w:spacing w:line="288" w:lineRule="auto"/>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w:t>
            </w:r>
          </w:p>
        </w:tc>
        <w:tc>
          <w:tcPr>
            <w:tcW w:w="1701" w:type="dxa"/>
            <w:noWrap w:val="0"/>
            <w:vAlign w:val="center"/>
          </w:tcPr>
          <w:p w14:paraId="6565B3CD">
            <w:pPr>
              <w:snapToGrid/>
              <w:spacing w:line="360" w:lineRule="auto"/>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供货方案（5分）</w:t>
            </w:r>
          </w:p>
        </w:tc>
        <w:tc>
          <w:tcPr>
            <w:tcW w:w="6197" w:type="dxa"/>
            <w:gridSpan w:val="2"/>
            <w:noWrap w:val="0"/>
            <w:vAlign w:val="center"/>
          </w:tcPr>
          <w:p w14:paraId="657BA976">
            <w:pPr>
              <w:numPr>
                <w:ilvl w:val="0"/>
                <w:numId w:val="0"/>
              </w:numPr>
              <w:snapToGrid/>
              <w:spacing w:line="360" w:lineRule="auto"/>
              <w:rPr>
                <w:rFonts w:hint="eastAsia" w:ascii="仿宋" w:hAnsi="仿宋" w:eastAsia="仿宋" w:cs="仿宋"/>
                <w:b w:val="0"/>
                <w:bCs/>
                <w:color w:val="auto"/>
                <w:sz w:val="24"/>
                <w:highlight w:val="none"/>
                <w:lang w:eastAsia="zh-CN"/>
              </w:rPr>
            </w:pPr>
            <w:r>
              <w:rPr>
                <w:rFonts w:hint="eastAsia" w:ascii="仿宋" w:hAnsi="仿宋" w:eastAsia="仿宋" w:cs="仿宋"/>
                <w:b w:val="0"/>
                <w:bCs/>
                <w:color w:val="auto"/>
                <w:sz w:val="24"/>
                <w:highlight w:val="none"/>
              </w:rPr>
              <w:t>根据投标人提供的针对本项目的供货安装方案，方案</w:t>
            </w:r>
            <w:r>
              <w:rPr>
                <w:rFonts w:hint="eastAsia" w:ascii="仿宋" w:hAnsi="仿宋" w:eastAsia="仿宋" w:cs="仿宋"/>
                <w:b w:val="0"/>
                <w:bCs/>
                <w:color w:val="auto"/>
                <w:sz w:val="24"/>
                <w:highlight w:val="none"/>
                <w:lang w:val="en-US" w:eastAsia="zh-CN"/>
              </w:rPr>
              <w:t>内容从</w:t>
            </w:r>
            <w:r>
              <w:rPr>
                <w:rFonts w:hint="eastAsia" w:ascii="仿宋" w:hAnsi="仿宋" w:eastAsia="仿宋" w:cs="仿宋"/>
                <w:b w:val="0"/>
                <w:bCs/>
                <w:color w:val="auto"/>
                <w:sz w:val="24"/>
                <w:highlight w:val="none"/>
              </w:rPr>
              <w:t>货物配送运输</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确保本项目</w:t>
            </w:r>
            <w:r>
              <w:rPr>
                <w:rFonts w:hint="eastAsia" w:ascii="仿宋" w:hAnsi="仿宋" w:eastAsia="仿宋" w:cs="仿宋"/>
                <w:b w:val="0"/>
                <w:bCs/>
                <w:color w:val="auto"/>
                <w:sz w:val="24"/>
                <w:highlight w:val="none"/>
              </w:rPr>
              <w:t>保质保量准时完成</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color w:val="auto"/>
                <w:sz w:val="24"/>
                <w:highlight w:val="none"/>
              </w:rPr>
              <w:t>由评标委员会进行综合评</w:t>
            </w:r>
            <w:r>
              <w:rPr>
                <w:rFonts w:hint="eastAsia" w:ascii="仿宋" w:hAnsi="仿宋" w:eastAsia="仿宋" w:cs="仿宋"/>
                <w:b w:val="0"/>
                <w:bCs/>
                <w:color w:val="auto"/>
                <w:sz w:val="24"/>
                <w:highlight w:val="none"/>
                <w:lang w:val="en-US" w:eastAsia="zh-CN"/>
              </w:rPr>
              <w:t>分</w:t>
            </w:r>
            <w:r>
              <w:rPr>
                <w:rFonts w:hint="eastAsia" w:ascii="仿宋" w:hAnsi="仿宋" w:eastAsia="仿宋" w:cs="仿宋"/>
                <w:b w:val="0"/>
                <w:bCs/>
                <w:color w:val="auto"/>
                <w:sz w:val="24"/>
                <w:highlight w:val="none"/>
                <w:lang w:eastAsia="zh-CN"/>
              </w:rPr>
              <w:t>：</w:t>
            </w:r>
          </w:p>
          <w:p w14:paraId="503C17AD">
            <w:pPr>
              <w:numPr>
                <w:ilvl w:val="0"/>
                <w:numId w:val="1"/>
              </w:numPr>
              <w:snapToGrid/>
              <w:spacing w:line="360" w:lineRule="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供货方案优于本项目采购需求，完整详细，可行性、实用性、针对性强，得5分；</w:t>
            </w:r>
          </w:p>
          <w:p w14:paraId="28BE7C17">
            <w:pPr>
              <w:numPr>
                <w:ilvl w:val="0"/>
                <w:numId w:val="1"/>
              </w:numPr>
              <w:snapToGrid/>
              <w:spacing w:line="360" w:lineRule="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供货方案</w:t>
            </w:r>
            <w:r>
              <w:rPr>
                <w:rFonts w:hint="eastAsia" w:ascii="仿宋" w:hAnsi="仿宋" w:eastAsia="仿宋" w:cs="仿宋"/>
                <w:b w:val="0"/>
                <w:bCs/>
                <w:color w:val="auto"/>
                <w:sz w:val="24"/>
                <w:highlight w:val="none"/>
                <w:lang w:val="en-US" w:eastAsia="zh-CN"/>
              </w:rPr>
              <w:t>适合</w:t>
            </w:r>
            <w:r>
              <w:rPr>
                <w:rFonts w:hint="eastAsia" w:ascii="仿宋" w:hAnsi="仿宋" w:eastAsia="仿宋" w:cs="仿宋"/>
                <w:b w:val="0"/>
                <w:bCs/>
                <w:color w:val="auto"/>
                <w:sz w:val="24"/>
                <w:highlight w:val="none"/>
              </w:rPr>
              <w:t>本项目采购需求，</w:t>
            </w:r>
            <w:r>
              <w:rPr>
                <w:rFonts w:hint="eastAsia" w:ascii="仿宋" w:hAnsi="仿宋" w:eastAsia="仿宋" w:cs="仿宋"/>
                <w:b w:val="0"/>
                <w:bCs/>
                <w:color w:val="auto"/>
                <w:sz w:val="24"/>
                <w:highlight w:val="none"/>
                <w:lang w:val="en-US" w:eastAsia="zh-CN"/>
              </w:rPr>
              <w:t>较</w:t>
            </w:r>
            <w:r>
              <w:rPr>
                <w:rFonts w:hint="eastAsia" w:ascii="仿宋" w:hAnsi="仿宋" w:eastAsia="仿宋" w:cs="仿宋"/>
                <w:b w:val="0"/>
                <w:bCs/>
                <w:color w:val="auto"/>
                <w:sz w:val="24"/>
                <w:highlight w:val="none"/>
              </w:rPr>
              <w:t>完整详细，可行性、实用性、针对性</w:t>
            </w:r>
            <w:r>
              <w:rPr>
                <w:rFonts w:hint="eastAsia" w:ascii="仿宋" w:hAnsi="仿宋" w:eastAsia="仿宋" w:cs="仿宋"/>
                <w:b w:val="0"/>
                <w:bCs/>
                <w:color w:val="auto"/>
                <w:sz w:val="24"/>
                <w:highlight w:val="none"/>
                <w:lang w:val="en-US" w:eastAsia="zh-CN"/>
              </w:rPr>
              <w:t>较</w:t>
            </w:r>
            <w:r>
              <w:rPr>
                <w:rFonts w:hint="eastAsia" w:ascii="仿宋" w:hAnsi="仿宋" w:eastAsia="仿宋" w:cs="仿宋"/>
                <w:b w:val="0"/>
                <w:bCs/>
                <w:color w:val="auto"/>
                <w:sz w:val="24"/>
                <w:highlight w:val="none"/>
              </w:rPr>
              <w:t>强，得</w:t>
            </w:r>
            <w:r>
              <w:rPr>
                <w:rFonts w:hint="eastAsia" w:ascii="仿宋" w:hAnsi="仿宋" w:eastAsia="仿宋" w:cs="仿宋"/>
                <w:b w:val="0"/>
                <w:bCs/>
                <w:color w:val="auto"/>
                <w:sz w:val="24"/>
                <w:highlight w:val="none"/>
                <w:lang w:val="en-US" w:eastAsia="zh-CN"/>
              </w:rPr>
              <w:t>4</w:t>
            </w:r>
            <w:r>
              <w:rPr>
                <w:rFonts w:hint="eastAsia" w:ascii="仿宋" w:hAnsi="仿宋" w:eastAsia="仿宋" w:cs="仿宋"/>
                <w:b w:val="0"/>
                <w:bCs/>
                <w:color w:val="auto"/>
                <w:sz w:val="24"/>
                <w:highlight w:val="none"/>
              </w:rPr>
              <w:t>分；</w:t>
            </w:r>
          </w:p>
          <w:p w14:paraId="188C58EE">
            <w:pPr>
              <w:numPr>
                <w:ilvl w:val="0"/>
                <w:numId w:val="0"/>
              </w:numPr>
              <w:snapToGrid/>
              <w:spacing w:line="360" w:lineRule="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rPr>
              <w:t>供货方案</w:t>
            </w:r>
            <w:r>
              <w:rPr>
                <w:rFonts w:hint="eastAsia" w:ascii="仿宋" w:hAnsi="仿宋" w:eastAsia="仿宋" w:cs="仿宋"/>
                <w:b w:val="0"/>
                <w:bCs/>
                <w:color w:val="auto"/>
                <w:sz w:val="24"/>
                <w:highlight w:val="none"/>
                <w:lang w:val="en-US" w:eastAsia="zh-CN"/>
              </w:rPr>
              <w:t>基本满足</w:t>
            </w:r>
            <w:r>
              <w:rPr>
                <w:rFonts w:hint="eastAsia" w:ascii="仿宋" w:hAnsi="仿宋" w:eastAsia="仿宋" w:cs="仿宋"/>
                <w:b w:val="0"/>
                <w:bCs/>
                <w:color w:val="auto"/>
                <w:sz w:val="24"/>
                <w:highlight w:val="none"/>
              </w:rPr>
              <w:t>本项目采购需求，基本全面，具有可行性</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rPr>
              <w:t>实用性和针对性，得3分；</w:t>
            </w:r>
          </w:p>
          <w:p w14:paraId="15094767">
            <w:pPr>
              <w:numPr>
                <w:ilvl w:val="0"/>
                <w:numId w:val="0"/>
              </w:numPr>
              <w:snapToGrid/>
              <w:spacing w:line="360" w:lineRule="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4）</w:t>
            </w:r>
            <w:r>
              <w:rPr>
                <w:rFonts w:hint="eastAsia" w:ascii="仿宋" w:hAnsi="仿宋" w:eastAsia="仿宋" w:cs="仿宋"/>
                <w:b w:val="0"/>
                <w:bCs/>
                <w:color w:val="auto"/>
                <w:sz w:val="24"/>
                <w:highlight w:val="none"/>
              </w:rPr>
              <w:t>供货方案安排有待提升，可行性、实用性</w:t>
            </w:r>
            <w:r>
              <w:rPr>
                <w:rFonts w:hint="eastAsia" w:ascii="仿宋" w:hAnsi="仿宋" w:eastAsia="仿宋" w:cs="仿宋"/>
                <w:b w:val="0"/>
                <w:bCs/>
                <w:color w:val="auto"/>
                <w:sz w:val="24"/>
                <w:highlight w:val="none"/>
                <w:lang w:val="en-US" w:eastAsia="zh-CN"/>
              </w:rPr>
              <w:t>和</w:t>
            </w:r>
            <w:r>
              <w:rPr>
                <w:rFonts w:hint="eastAsia" w:ascii="仿宋" w:hAnsi="仿宋" w:eastAsia="仿宋" w:cs="仿宋"/>
                <w:b w:val="0"/>
                <w:bCs/>
                <w:color w:val="auto"/>
                <w:sz w:val="24"/>
                <w:highlight w:val="none"/>
              </w:rPr>
              <w:t>针对性有待改善，得</w:t>
            </w:r>
            <w:r>
              <w:rPr>
                <w:rFonts w:hint="eastAsia" w:ascii="仿宋" w:hAnsi="仿宋" w:eastAsia="仿宋" w:cs="仿宋"/>
                <w:b w:val="0"/>
                <w:bCs/>
                <w:color w:val="auto"/>
                <w:sz w:val="24"/>
                <w:highlight w:val="none"/>
                <w:lang w:val="en-US" w:eastAsia="zh-CN"/>
              </w:rPr>
              <w:t>2</w:t>
            </w:r>
            <w:r>
              <w:rPr>
                <w:rFonts w:hint="eastAsia" w:ascii="仿宋" w:hAnsi="仿宋" w:eastAsia="仿宋" w:cs="仿宋"/>
                <w:b w:val="0"/>
                <w:bCs/>
                <w:color w:val="auto"/>
                <w:sz w:val="24"/>
                <w:highlight w:val="none"/>
              </w:rPr>
              <w:t>分；</w:t>
            </w:r>
          </w:p>
          <w:p w14:paraId="20A0B61B">
            <w:pPr>
              <w:numPr>
                <w:ilvl w:val="0"/>
                <w:numId w:val="0"/>
              </w:numPr>
              <w:snapToGrid/>
              <w:spacing w:line="360" w:lineRule="auto"/>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val="en-US" w:eastAsia="zh-CN"/>
              </w:rPr>
              <w:t>5）</w:t>
            </w:r>
            <w:r>
              <w:rPr>
                <w:rFonts w:hint="eastAsia" w:ascii="仿宋" w:hAnsi="仿宋" w:eastAsia="仿宋" w:cs="仿宋"/>
                <w:b w:val="0"/>
                <w:bCs/>
                <w:color w:val="auto"/>
                <w:sz w:val="24"/>
                <w:highlight w:val="none"/>
              </w:rPr>
              <w:t>供货方案</w:t>
            </w:r>
            <w:r>
              <w:rPr>
                <w:rFonts w:hint="eastAsia" w:ascii="仿宋" w:hAnsi="仿宋" w:eastAsia="仿宋" w:cs="仿宋"/>
                <w:b w:val="0"/>
                <w:bCs/>
                <w:color w:val="auto"/>
                <w:sz w:val="24"/>
                <w:highlight w:val="none"/>
                <w:lang w:val="en-US" w:eastAsia="zh-CN"/>
              </w:rPr>
              <w:t>无法满足项目需求</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不具有</w:t>
            </w:r>
            <w:r>
              <w:rPr>
                <w:rFonts w:hint="eastAsia" w:ascii="仿宋" w:hAnsi="仿宋" w:eastAsia="仿宋" w:cs="仿宋"/>
                <w:b w:val="0"/>
                <w:bCs/>
                <w:color w:val="auto"/>
                <w:sz w:val="24"/>
                <w:highlight w:val="none"/>
              </w:rPr>
              <w:t>实用性</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rPr>
              <w:t>针对性，得1分；</w:t>
            </w:r>
          </w:p>
          <w:p w14:paraId="3F4A9E74">
            <w:pPr>
              <w:numPr>
                <w:ilvl w:val="0"/>
                <w:numId w:val="0"/>
              </w:numPr>
              <w:snapToGrid/>
              <w:spacing w:line="360" w:lineRule="auto"/>
              <w:ind w:left="0" w:leftChars="0" w:firstLine="0" w:firstLineChars="0"/>
              <w:rPr>
                <w:rFonts w:hint="eastAsia" w:ascii="仿宋" w:hAnsi="仿宋" w:eastAsia="仿宋" w:cs="仿宋"/>
                <w:bCs/>
                <w:color w:val="auto"/>
                <w:sz w:val="24"/>
                <w:highlight w:val="none"/>
                <w:lang w:eastAsia="zh-CN"/>
              </w:rPr>
            </w:pPr>
            <w:r>
              <w:rPr>
                <w:rFonts w:hint="eastAsia" w:ascii="仿宋" w:hAnsi="仿宋" w:eastAsia="仿宋" w:cs="仿宋"/>
                <w:b w:val="0"/>
                <w:bCs/>
                <w:color w:val="auto"/>
                <w:sz w:val="24"/>
                <w:highlight w:val="none"/>
                <w:lang w:val="en-US" w:eastAsia="zh-CN"/>
              </w:rPr>
              <w:t>6</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未提供方案的不得分。</w:t>
            </w:r>
          </w:p>
        </w:tc>
      </w:tr>
      <w:tr w14:paraId="26960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4C243F6E">
            <w:pPr>
              <w:widowControl/>
              <w:snapToGrid w:val="0"/>
              <w:spacing w:line="288" w:lineRule="auto"/>
              <w:jc w:val="center"/>
              <w:rPr>
                <w:rFonts w:hint="eastAsia" w:ascii="仿宋" w:hAnsi="仿宋" w:eastAsia="仿宋" w:cs="仿宋"/>
                <w:color w:val="auto"/>
                <w:kern w:val="0"/>
                <w:sz w:val="24"/>
                <w:highlight w:val="none"/>
              </w:rPr>
            </w:pPr>
          </w:p>
        </w:tc>
        <w:tc>
          <w:tcPr>
            <w:tcW w:w="708" w:type="dxa"/>
            <w:noWrap w:val="0"/>
            <w:vAlign w:val="center"/>
          </w:tcPr>
          <w:p w14:paraId="4159448F">
            <w:pPr>
              <w:widowControl/>
              <w:snapToGrid w:val="0"/>
              <w:spacing w:line="288"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3</w:t>
            </w:r>
          </w:p>
        </w:tc>
        <w:tc>
          <w:tcPr>
            <w:tcW w:w="1701" w:type="dxa"/>
            <w:noWrap w:val="0"/>
            <w:vAlign w:val="center"/>
          </w:tcPr>
          <w:p w14:paraId="77B1EEEF">
            <w:pPr>
              <w:widowControl/>
              <w:adjustRightInd w:val="0"/>
              <w:snapToGrid w:val="0"/>
              <w:spacing w:line="288"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安装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调试实施方案（</w:t>
            </w:r>
            <w:r>
              <w:rPr>
                <w:rFonts w:ascii="仿宋" w:hAnsi="仿宋" w:eastAsia="仿宋" w:cs="仿宋"/>
                <w:color w:val="auto"/>
                <w:sz w:val="24"/>
                <w:highlight w:val="none"/>
              </w:rPr>
              <w:t>5</w:t>
            </w:r>
            <w:r>
              <w:rPr>
                <w:rFonts w:hint="eastAsia" w:ascii="仿宋" w:hAnsi="仿宋" w:eastAsia="仿宋" w:cs="仿宋"/>
                <w:color w:val="auto"/>
                <w:sz w:val="24"/>
                <w:highlight w:val="none"/>
              </w:rPr>
              <w:t>分）</w:t>
            </w:r>
          </w:p>
        </w:tc>
        <w:tc>
          <w:tcPr>
            <w:tcW w:w="6197" w:type="dxa"/>
            <w:gridSpan w:val="2"/>
            <w:noWrap w:val="0"/>
            <w:vAlign w:val="center"/>
          </w:tcPr>
          <w:p w14:paraId="79BA3A88">
            <w:pPr>
              <w:widowControl/>
              <w:numPr>
                <w:ilvl w:val="-1"/>
                <w:numId w:val="0"/>
              </w:numPr>
              <w:snapToGrid/>
              <w:spacing w:line="360" w:lineRule="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根据投标人提供的针对本项目的安装</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调试方案，方案</w:t>
            </w:r>
            <w:r>
              <w:rPr>
                <w:rFonts w:hint="eastAsia" w:ascii="仿宋" w:hAnsi="仿宋" w:eastAsia="仿宋" w:cs="仿宋"/>
                <w:bCs/>
                <w:color w:val="auto"/>
                <w:sz w:val="24"/>
                <w:highlight w:val="none"/>
                <w:lang w:val="en-US" w:eastAsia="zh-CN"/>
              </w:rPr>
              <w:t>内容从</w:t>
            </w:r>
            <w:r>
              <w:rPr>
                <w:rFonts w:hint="eastAsia" w:ascii="仿宋" w:hAnsi="仿宋" w:eastAsia="仿宋" w:cs="仿宋"/>
                <w:bCs/>
                <w:color w:val="auto"/>
                <w:sz w:val="24"/>
                <w:highlight w:val="none"/>
              </w:rPr>
              <w:t>货物安装、调试</w:t>
            </w:r>
            <w:r>
              <w:rPr>
                <w:rFonts w:hint="eastAsia" w:ascii="仿宋" w:hAnsi="仿宋" w:eastAsia="仿宋" w:cs="仿宋"/>
                <w:bCs/>
                <w:color w:val="auto"/>
                <w:sz w:val="24"/>
                <w:highlight w:val="none"/>
                <w:lang w:val="en-US" w:eastAsia="zh-CN"/>
              </w:rPr>
              <w:t>等方面考虑，</w:t>
            </w:r>
            <w:r>
              <w:rPr>
                <w:rFonts w:hint="eastAsia" w:ascii="仿宋" w:hAnsi="仿宋" w:eastAsia="仿宋" w:cs="仿宋"/>
                <w:bCs/>
                <w:color w:val="auto"/>
                <w:sz w:val="24"/>
                <w:highlight w:val="none"/>
              </w:rPr>
              <w:t>由评标委员会进行综合评</w:t>
            </w:r>
            <w:r>
              <w:rPr>
                <w:rFonts w:hint="eastAsia" w:ascii="仿宋" w:hAnsi="仿宋" w:eastAsia="仿宋" w:cs="仿宋"/>
                <w:bCs/>
                <w:color w:val="auto"/>
                <w:sz w:val="24"/>
                <w:highlight w:val="none"/>
                <w:lang w:val="en-US" w:eastAsia="zh-CN"/>
              </w:rPr>
              <w:t>分</w:t>
            </w:r>
            <w:r>
              <w:rPr>
                <w:rFonts w:hint="eastAsia" w:ascii="仿宋" w:hAnsi="仿宋" w:eastAsia="仿宋" w:cs="仿宋"/>
                <w:bCs/>
                <w:color w:val="auto"/>
                <w:sz w:val="24"/>
                <w:highlight w:val="none"/>
                <w:lang w:eastAsia="zh-CN"/>
              </w:rPr>
              <w:t>：</w:t>
            </w:r>
          </w:p>
          <w:p w14:paraId="70A78CC7">
            <w:pPr>
              <w:widowControl/>
              <w:numPr>
                <w:ilvl w:val="-1"/>
                <w:numId w:val="0"/>
              </w:numPr>
              <w:snapToGrid/>
              <w:spacing w:line="360" w:lineRule="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lang w:eastAsia="zh-CN"/>
              </w:rPr>
              <w:t>）安装、调试方案优于本项目采购需求，完整详细，可行性、实用性、针对性强，得5分；</w:t>
            </w:r>
          </w:p>
          <w:p w14:paraId="3475F6F4">
            <w:pPr>
              <w:widowControl/>
              <w:numPr>
                <w:ilvl w:val="-1"/>
                <w:numId w:val="0"/>
              </w:numPr>
              <w:snapToGrid/>
              <w:spacing w:line="360" w:lineRule="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lang w:eastAsia="zh-CN"/>
              </w:rPr>
              <w:t>）安装、调试方案适合本项目采购需求，较完整详细，可行性、实用性、针对性较强，得4分；</w:t>
            </w:r>
          </w:p>
          <w:p w14:paraId="18CC86A0">
            <w:pPr>
              <w:widowControl/>
              <w:numPr>
                <w:ilvl w:val="-1"/>
                <w:numId w:val="0"/>
              </w:numPr>
              <w:snapToGrid/>
              <w:spacing w:line="360" w:lineRule="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3）安装、调试方案基本满足本项目采购需求，基本全面，具有可行性、实用性和针对性，得3分；</w:t>
            </w:r>
          </w:p>
          <w:p w14:paraId="6D8C2EFD">
            <w:pPr>
              <w:widowControl/>
              <w:numPr>
                <w:ilvl w:val="-1"/>
                <w:numId w:val="0"/>
              </w:numPr>
              <w:snapToGrid/>
              <w:spacing w:line="360" w:lineRule="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4）安装、调试方案安排有待提升，可行性、实用性和针对性有待改善，得2分；</w:t>
            </w:r>
          </w:p>
          <w:p w14:paraId="3BBDB2B2">
            <w:pPr>
              <w:widowControl/>
              <w:numPr>
                <w:ilvl w:val="-1"/>
                <w:numId w:val="0"/>
              </w:numPr>
              <w:snapToGrid/>
              <w:spacing w:line="360" w:lineRule="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5）安装、调试方案无法满足项目需求，不具有实用性、针对性，得1分；</w:t>
            </w:r>
          </w:p>
          <w:p w14:paraId="4C853EA3">
            <w:pPr>
              <w:widowControl/>
              <w:numPr>
                <w:ilvl w:val="-1"/>
                <w:numId w:val="0"/>
              </w:numPr>
              <w:snapToGrid/>
              <w:spacing w:line="360" w:lineRule="auto"/>
              <w:rPr>
                <w:rFonts w:hint="eastAsia" w:ascii="仿宋" w:hAnsi="仿宋" w:eastAsia="仿宋" w:cs="仿宋"/>
                <w:b w:val="0"/>
                <w:bCs/>
                <w:color w:val="auto"/>
                <w:kern w:val="0"/>
                <w:sz w:val="24"/>
                <w:szCs w:val="24"/>
                <w:highlight w:val="none"/>
                <w:lang w:val="en-US" w:eastAsia="zh-CN" w:bidi="ar-SA"/>
              </w:rPr>
            </w:pPr>
            <w:r>
              <w:rPr>
                <w:rFonts w:hint="eastAsia" w:ascii="仿宋" w:hAnsi="仿宋" w:eastAsia="仿宋" w:cs="仿宋"/>
                <w:bCs/>
                <w:color w:val="auto"/>
                <w:sz w:val="24"/>
                <w:highlight w:val="none"/>
                <w:lang w:eastAsia="zh-CN"/>
              </w:rPr>
              <w:t>6）未提供方案的不得分。</w:t>
            </w:r>
          </w:p>
        </w:tc>
      </w:tr>
      <w:tr w14:paraId="6750D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5EE258F">
            <w:pPr>
              <w:widowControl/>
              <w:snapToGrid w:val="0"/>
              <w:spacing w:line="288" w:lineRule="auto"/>
              <w:jc w:val="center"/>
              <w:rPr>
                <w:rFonts w:hint="eastAsia" w:ascii="仿宋" w:hAnsi="仿宋" w:eastAsia="仿宋" w:cs="仿宋"/>
                <w:color w:val="auto"/>
                <w:kern w:val="0"/>
                <w:sz w:val="24"/>
                <w:highlight w:val="none"/>
              </w:rPr>
            </w:pPr>
          </w:p>
        </w:tc>
        <w:tc>
          <w:tcPr>
            <w:tcW w:w="708" w:type="dxa"/>
            <w:noWrap w:val="0"/>
            <w:vAlign w:val="center"/>
          </w:tcPr>
          <w:p w14:paraId="7CB9226C">
            <w:pPr>
              <w:widowControl/>
              <w:snapToGrid w:val="0"/>
              <w:spacing w:line="288"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4</w:t>
            </w:r>
          </w:p>
        </w:tc>
        <w:tc>
          <w:tcPr>
            <w:tcW w:w="1701" w:type="dxa"/>
            <w:noWrap w:val="0"/>
            <w:vAlign w:val="center"/>
          </w:tcPr>
          <w:p w14:paraId="3B93BA7D">
            <w:pPr>
              <w:widowControl/>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val="en-US" w:eastAsia="zh-CN"/>
              </w:rPr>
              <w:t>技术</w:t>
            </w:r>
            <w:r>
              <w:rPr>
                <w:rFonts w:hint="eastAsia" w:ascii="仿宋" w:hAnsi="仿宋" w:eastAsia="仿宋" w:cs="仿宋"/>
                <w:color w:val="auto"/>
                <w:sz w:val="24"/>
                <w:highlight w:val="none"/>
              </w:rPr>
              <w:t>培训方案（</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w:t>
            </w:r>
          </w:p>
        </w:tc>
        <w:tc>
          <w:tcPr>
            <w:tcW w:w="6197" w:type="dxa"/>
            <w:gridSpan w:val="2"/>
            <w:shd w:val="clear" w:color="auto" w:fill="auto"/>
            <w:noWrap w:val="0"/>
            <w:vAlign w:val="center"/>
          </w:tcPr>
          <w:p w14:paraId="533B0DA3">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根据投标人提供的</w:t>
            </w:r>
            <w:r>
              <w:rPr>
                <w:rFonts w:hint="eastAsia" w:ascii="仿宋" w:hAnsi="仿宋" w:eastAsia="仿宋" w:cs="仿宋"/>
                <w:color w:val="auto"/>
                <w:sz w:val="24"/>
                <w:highlight w:val="none"/>
                <w:lang w:val="en-US" w:eastAsia="zh-CN"/>
              </w:rPr>
              <w:t>技术</w:t>
            </w:r>
            <w:r>
              <w:rPr>
                <w:rFonts w:hint="eastAsia" w:ascii="仿宋" w:hAnsi="仿宋" w:eastAsia="仿宋" w:cs="仿宋"/>
                <w:color w:val="auto"/>
                <w:sz w:val="24"/>
                <w:highlight w:val="none"/>
              </w:rPr>
              <w:t>培训方案内容的</w:t>
            </w:r>
            <w:r>
              <w:rPr>
                <w:rFonts w:hint="eastAsia" w:ascii="仿宋" w:hAnsi="仿宋" w:eastAsia="仿宋" w:cs="仿宋"/>
                <w:color w:val="auto"/>
                <w:sz w:val="24"/>
                <w:highlight w:val="none"/>
                <w:lang w:val="en-US" w:eastAsia="zh-CN"/>
              </w:rPr>
              <w:t>详细</w:t>
            </w:r>
            <w:r>
              <w:rPr>
                <w:rFonts w:hint="eastAsia" w:ascii="仿宋" w:hAnsi="仿宋" w:eastAsia="仿宋" w:cs="仿宋"/>
                <w:color w:val="auto"/>
                <w:sz w:val="24"/>
                <w:highlight w:val="none"/>
              </w:rPr>
              <w:t>程度、可行性、实用性、针对性等进行评分：</w:t>
            </w:r>
          </w:p>
          <w:p w14:paraId="0A17683B">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1）对本项目的特点和难点理解准确，技术培训方案优于本项目采购需求，完整详细，可行性、实用性、针对性强，得5分；</w:t>
            </w:r>
          </w:p>
          <w:p w14:paraId="5D69C43F">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2）对本项目的特点和难点理解较准确，技术培训方案适合本项目采购需求，完整详细，可行性、实用性、针对性较强，得4分；</w:t>
            </w:r>
          </w:p>
          <w:p w14:paraId="03D661B7">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3）对本项目的特点和难点理解基本准确，技术培训方案基本适合本项目采购需求，较完整详细，具有可行性、实用性和针对性，得3分；</w:t>
            </w:r>
          </w:p>
          <w:p w14:paraId="68FF333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4）对本项目的特点和难点理解有待提升，技术培训方案可行性、实用性和针对性有待改善，得2分；</w:t>
            </w:r>
          </w:p>
          <w:p w14:paraId="09ED9437">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5）对本项目的特点和难点理解不准确，技术培训方案不适合本项目采购需求，不够完整详细，不具有可行性，得1分；</w:t>
            </w:r>
          </w:p>
          <w:p w14:paraId="07DFA3D4">
            <w:pPr>
              <w:snapToGrid w:val="0"/>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highlight w:val="none"/>
              </w:rPr>
              <w:t>6）未提供方案的不得分。</w:t>
            </w:r>
          </w:p>
        </w:tc>
      </w:tr>
      <w:tr w14:paraId="78CFC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2EA0781">
            <w:pPr>
              <w:widowControl/>
              <w:snapToGrid w:val="0"/>
              <w:spacing w:line="288" w:lineRule="auto"/>
              <w:jc w:val="center"/>
              <w:rPr>
                <w:rFonts w:hint="eastAsia" w:ascii="仿宋" w:hAnsi="仿宋" w:eastAsia="仿宋" w:cs="仿宋"/>
                <w:color w:val="auto"/>
                <w:kern w:val="0"/>
                <w:sz w:val="24"/>
                <w:highlight w:val="none"/>
              </w:rPr>
            </w:pPr>
          </w:p>
        </w:tc>
        <w:tc>
          <w:tcPr>
            <w:tcW w:w="708" w:type="dxa"/>
            <w:noWrap w:val="0"/>
            <w:vAlign w:val="center"/>
          </w:tcPr>
          <w:p w14:paraId="153D936F">
            <w:pPr>
              <w:widowControl/>
              <w:snapToGrid w:val="0"/>
              <w:spacing w:line="288" w:lineRule="auto"/>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5</w:t>
            </w:r>
          </w:p>
        </w:tc>
        <w:tc>
          <w:tcPr>
            <w:tcW w:w="1701" w:type="dxa"/>
            <w:noWrap w:val="0"/>
            <w:vAlign w:val="center"/>
          </w:tcPr>
          <w:p w14:paraId="3115CA29">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应急服务方案（5分）</w:t>
            </w:r>
          </w:p>
        </w:tc>
        <w:tc>
          <w:tcPr>
            <w:tcW w:w="6197" w:type="dxa"/>
            <w:gridSpan w:val="2"/>
            <w:noWrap w:val="0"/>
            <w:vAlign w:val="center"/>
          </w:tcPr>
          <w:p w14:paraId="7F4A5E36">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根据投标人提供的应急服务方案内容的详细程度、可行性、实用性、针对性等进行评分：</w:t>
            </w:r>
          </w:p>
          <w:p w14:paraId="7E99B50A">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1）应急服务方案优于本项目采购需求，完整详细，备品备件供应可以得到充分保障，应急服务响应及时，方案实用性强的，得5分；</w:t>
            </w:r>
          </w:p>
          <w:p w14:paraId="218C6638">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2）应急服务方案适合本项目采购需求，完整详细，备品备件供应可以得到保障，应急服务响应较及时，方案实用性较强的，得4分；</w:t>
            </w:r>
          </w:p>
          <w:p w14:paraId="14DDB26E">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3）应急服务方案基本适合本项目采购需求，较完整详细，备品备件供应基本可以得到保障，应急服务能够响应，方案具有一定实用性，得3分；</w:t>
            </w:r>
          </w:p>
          <w:p w14:paraId="1636328A">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4）备品备件供应的保障措施有待提升，应急服务响应及时性有待提高，方案实用性有待改善，得2分；</w:t>
            </w:r>
          </w:p>
          <w:p w14:paraId="46BF4D6C">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5）应急服务方案不适合本项目采购需求，不够完整详细，备品备件供应难以保障，不具有实用性，得1分；</w:t>
            </w:r>
          </w:p>
          <w:p w14:paraId="038CD154">
            <w:pPr>
              <w:snapToGrid w:val="0"/>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bCs/>
                <w:color w:val="auto"/>
                <w:sz w:val="24"/>
                <w:szCs w:val="20"/>
                <w:highlight w:val="none"/>
              </w:rPr>
              <w:t>6）未提供方案的不得分。</w:t>
            </w:r>
          </w:p>
        </w:tc>
      </w:tr>
      <w:tr w14:paraId="61774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40F49D4A">
            <w:pPr>
              <w:widowControl/>
              <w:snapToGrid w:val="0"/>
              <w:spacing w:line="288" w:lineRule="auto"/>
              <w:jc w:val="center"/>
              <w:rPr>
                <w:rFonts w:hint="eastAsia" w:ascii="仿宋" w:hAnsi="仿宋" w:eastAsia="仿宋" w:cs="仿宋"/>
                <w:color w:val="auto"/>
                <w:kern w:val="0"/>
                <w:sz w:val="24"/>
                <w:highlight w:val="none"/>
              </w:rPr>
            </w:pPr>
          </w:p>
        </w:tc>
        <w:tc>
          <w:tcPr>
            <w:tcW w:w="708" w:type="dxa"/>
            <w:noWrap w:val="0"/>
            <w:vAlign w:val="center"/>
          </w:tcPr>
          <w:p w14:paraId="3432761C">
            <w:pPr>
              <w:widowControl/>
              <w:snapToGrid w:val="0"/>
              <w:spacing w:line="288" w:lineRule="auto"/>
              <w:jc w:val="cente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6</w:t>
            </w:r>
          </w:p>
        </w:tc>
        <w:tc>
          <w:tcPr>
            <w:tcW w:w="1701" w:type="dxa"/>
            <w:noWrap w:val="0"/>
            <w:vAlign w:val="center"/>
          </w:tcPr>
          <w:p w14:paraId="51D40660">
            <w:pPr>
              <w:widowControl/>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售后服务</w:t>
            </w:r>
            <w:r>
              <w:rPr>
                <w:rFonts w:hint="eastAsia" w:ascii="仿宋" w:hAnsi="仿宋" w:eastAsia="仿宋" w:cs="仿宋"/>
                <w:color w:val="auto"/>
                <w:sz w:val="24"/>
                <w:highlight w:val="none"/>
                <w:lang w:val="en-US" w:eastAsia="zh-CN"/>
              </w:rPr>
              <w:t>方案</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分）</w:t>
            </w:r>
          </w:p>
        </w:tc>
        <w:tc>
          <w:tcPr>
            <w:tcW w:w="6197" w:type="dxa"/>
            <w:gridSpan w:val="2"/>
            <w:noWrap w:val="0"/>
            <w:vAlign w:val="center"/>
          </w:tcPr>
          <w:p w14:paraId="5F90DB65">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根据投标人提供的售后服务方案进行综合评审：</w:t>
            </w:r>
          </w:p>
          <w:p w14:paraId="17B035D4">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1）对本项目的特点和难点理解准确，售后服务方案优于本项目采购需求，完整详细，可行性、实用性和针对性强，得5分；</w:t>
            </w:r>
          </w:p>
          <w:p w14:paraId="1EB3F6AE">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2）对本项目的特点和难点理解较准确，售后服务方案适合本项目采购需求，完整详细，可行性、实用性和针对性较强，得4分；</w:t>
            </w:r>
          </w:p>
          <w:p w14:paraId="65DA3757">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3）对本项目的特点和难点理解基本准确，售后服务方案基本适合本项目采购需求，较完整详细，具有可行性、实用性和针对性，得3分；</w:t>
            </w:r>
          </w:p>
          <w:p w14:paraId="51F878A1">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4）对本项目的特点和难点理解有待提升，售后服务方案可行性、实用性和针对性有待改善，得2分；</w:t>
            </w:r>
          </w:p>
          <w:p w14:paraId="7AA3AC9C">
            <w:pPr>
              <w:snapToGrid w:val="0"/>
              <w:spacing w:line="360" w:lineRule="auto"/>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5）对本项目的特点和难点理解不准确，</w:t>
            </w:r>
            <w:r>
              <w:rPr>
                <w:rFonts w:hint="eastAsia" w:ascii="仿宋" w:hAnsi="仿宋" w:eastAsia="仿宋" w:cs="仿宋"/>
                <w:bCs/>
                <w:color w:val="auto"/>
                <w:sz w:val="24"/>
                <w:szCs w:val="20"/>
                <w:highlight w:val="none"/>
                <w:lang w:val="en-US" w:eastAsia="zh-CN"/>
              </w:rPr>
              <w:t>售后服务</w:t>
            </w:r>
            <w:r>
              <w:rPr>
                <w:rFonts w:hint="eastAsia" w:ascii="仿宋" w:hAnsi="仿宋" w:eastAsia="仿宋" w:cs="仿宋"/>
                <w:bCs/>
                <w:color w:val="auto"/>
                <w:sz w:val="24"/>
                <w:szCs w:val="20"/>
                <w:highlight w:val="none"/>
              </w:rPr>
              <w:t>方案不适合本项目采购需求，不够完整详细，不具有可行性，得1分；</w:t>
            </w:r>
          </w:p>
          <w:p w14:paraId="5802659B">
            <w:pPr>
              <w:snapToGrid w:val="0"/>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color w:val="auto"/>
                <w:sz w:val="24"/>
                <w:szCs w:val="20"/>
                <w:highlight w:val="none"/>
              </w:rPr>
              <w:t>6）未提供方案的不得分。</w:t>
            </w:r>
          </w:p>
        </w:tc>
      </w:tr>
      <w:tr w14:paraId="008AB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7A51C7BE">
            <w:pPr>
              <w:widowControl/>
              <w:snapToGrid w:val="0"/>
              <w:spacing w:line="288" w:lineRule="auto"/>
              <w:jc w:val="center"/>
              <w:rPr>
                <w:rFonts w:hint="eastAsia" w:ascii="仿宋" w:hAnsi="仿宋" w:eastAsia="仿宋" w:cs="仿宋"/>
                <w:color w:val="auto"/>
                <w:kern w:val="0"/>
                <w:sz w:val="24"/>
                <w:highlight w:val="none"/>
              </w:rPr>
            </w:pPr>
          </w:p>
        </w:tc>
        <w:tc>
          <w:tcPr>
            <w:tcW w:w="708" w:type="dxa"/>
            <w:noWrap w:val="0"/>
            <w:vAlign w:val="center"/>
          </w:tcPr>
          <w:p w14:paraId="66677593">
            <w:pPr>
              <w:widowControl/>
              <w:snapToGrid w:val="0"/>
              <w:spacing w:line="288"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highlight w:val="none"/>
                <w:lang w:val="en-US" w:eastAsia="zh-CN"/>
              </w:rPr>
              <w:t>7</w:t>
            </w:r>
          </w:p>
        </w:tc>
        <w:tc>
          <w:tcPr>
            <w:tcW w:w="1701" w:type="dxa"/>
            <w:noWrap w:val="0"/>
            <w:vAlign w:val="center"/>
          </w:tcPr>
          <w:p w14:paraId="670BD610">
            <w:pPr>
              <w:widowControl/>
              <w:adjustRightInd w:val="0"/>
              <w:snapToGrid w:val="0"/>
              <w:spacing w:line="288"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质保承诺（</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w:t>
            </w:r>
          </w:p>
        </w:tc>
        <w:tc>
          <w:tcPr>
            <w:tcW w:w="6197" w:type="dxa"/>
            <w:gridSpan w:val="2"/>
            <w:noWrap w:val="0"/>
            <w:vAlign w:val="center"/>
          </w:tcPr>
          <w:p w14:paraId="2BE18901">
            <w:pPr>
              <w:snapToGrid w:val="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在招标文件规定的免费质保期基础上，每延长1年得</w:t>
            </w:r>
            <w:r>
              <w:rPr>
                <w:rFonts w:hint="eastAsia" w:ascii="仿宋" w:hAnsi="仿宋" w:eastAsia="仿宋" w:cs="仿宋"/>
                <w:bCs/>
                <w:color w:val="auto"/>
                <w:sz w:val="24"/>
                <w:szCs w:val="20"/>
                <w:highlight w:val="none"/>
                <w:lang w:val="en-US" w:eastAsia="zh-CN"/>
              </w:rPr>
              <w:t>1</w:t>
            </w:r>
            <w:r>
              <w:rPr>
                <w:rFonts w:hint="eastAsia" w:ascii="仿宋" w:hAnsi="仿宋" w:eastAsia="仿宋" w:cs="仿宋"/>
                <w:bCs/>
                <w:color w:val="auto"/>
                <w:sz w:val="24"/>
                <w:szCs w:val="20"/>
                <w:highlight w:val="none"/>
              </w:rPr>
              <w:t>分，满分</w:t>
            </w:r>
            <w:r>
              <w:rPr>
                <w:rFonts w:hint="eastAsia" w:ascii="仿宋" w:hAnsi="仿宋" w:eastAsia="仿宋" w:cs="仿宋"/>
                <w:bCs/>
                <w:color w:val="auto"/>
                <w:sz w:val="24"/>
                <w:szCs w:val="20"/>
                <w:highlight w:val="none"/>
                <w:lang w:val="en-US" w:eastAsia="zh-CN"/>
              </w:rPr>
              <w:t>4</w:t>
            </w:r>
            <w:r>
              <w:rPr>
                <w:rFonts w:hint="eastAsia" w:ascii="仿宋" w:hAnsi="仿宋" w:eastAsia="仿宋" w:cs="仿宋"/>
                <w:bCs/>
                <w:color w:val="auto"/>
                <w:sz w:val="24"/>
                <w:szCs w:val="20"/>
                <w:highlight w:val="none"/>
              </w:rPr>
              <w:t>分。</w:t>
            </w:r>
          </w:p>
          <w:p w14:paraId="577C4ECA">
            <w:pPr>
              <w:snapToGrid w:val="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0"/>
                <w:highlight w:val="none"/>
              </w:rPr>
              <w:t>注：以商务要求偏离表为准；以整年计算，不足1年不得分。</w:t>
            </w:r>
          </w:p>
        </w:tc>
      </w:tr>
      <w:tr w14:paraId="3910D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087B2BBF">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3.2.3（3）</w:t>
            </w:r>
          </w:p>
          <w:p w14:paraId="7D65CFB3">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w:t>
            </w:r>
          </w:p>
          <w:p w14:paraId="14CBDA88">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报价</w:t>
            </w:r>
          </w:p>
        </w:tc>
        <w:tc>
          <w:tcPr>
            <w:tcW w:w="708" w:type="dxa"/>
            <w:noWrap w:val="0"/>
            <w:vAlign w:val="center"/>
          </w:tcPr>
          <w:p w14:paraId="3D2685D6">
            <w:pPr>
              <w:widowControl/>
              <w:snapToGrid w:val="0"/>
              <w:spacing w:line="288"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701" w:type="dxa"/>
            <w:noWrap w:val="0"/>
            <w:vAlign w:val="center"/>
          </w:tcPr>
          <w:p w14:paraId="4FB7D8AF">
            <w:pPr>
              <w:widowControl/>
              <w:adjustRightInd w:val="0"/>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投标报价得分计算</w:t>
            </w:r>
          </w:p>
        </w:tc>
        <w:tc>
          <w:tcPr>
            <w:tcW w:w="4225" w:type="dxa"/>
            <w:noWrap w:val="0"/>
            <w:vAlign w:val="center"/>
          </w:tcPr>
          <w:p w14:paraId="5809952C">
            <w:pPr>
              <w:widowControl/>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满足招标文件要求且投标价格最低的投标报价的价格分为满分，其他供应商的价格分统一按照下列公式计算：</w:t>
            </w:r>
          </w:p>
          <w:p w14:paraId="34395966">
            <w:pPr>
              <w:widowControl/>
              <w:snapToGrid w:val="0"/>
              <w:spacing w:line="28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投标报价得分＝（评标基准价/投标报价）×30。</w:t>
            </w:r>
          </w:p>
        </w:tc>
        <w:tc>
          <w:tcPr>
            <w:tcW w:w="1972" w:type="dxa"/>
            <w:noWrap w:val="0"/>
            <w:vAlign w:val="center"/>
          </w:tcPr>
          <w:p w14:paraId="6E66CB53">
            <w:pPr>
              <w:snapToGrid w:val="0"/>
              <w:spacing w:line="288" w:lineRule="auto"/>
              <w:ind w:left="-38"/>
              <w:rPr>
                <w:rFonts w:hint="eastAsia" w:ascii="仿宋" w:hAnsi="仿宋" w:eastAsia="仿宋" w:cs="仿宋"/>
                <w:color w:val="auto"/>
                <w:sz w:val="24"/>
                <w:highlight w:val="none"/>
              </w:rPr>
            </w:pPr>
            <w:r>
              <w:rPr>
                <w:rFonts w:hint="eastAsia" w:ascii="仿宋" w:hAnsi="仿宋" w:eastAsia="仿宋" w:cs="仿宋"/>
                <w:color w:val="auto"/>
                <w:sz w:val="24"/>
                <w:highlight w:val="none"/>
              </w:rPr>
              <w:t>符合价格扣除政策的，用扣除后的价格参与计算、评分</w:t>
            </w:r>
          </w:p>
        </w:tc>
      </w:tr>
    </w:tbl>
    <w:p w14:paraId="6D336A83">
      <w:pPr>
        <w:pStyle w:val="3"/>
        <w:widowControl/>
        <w:adjustRightInd w:val="0"/>
        <w:spacing w:before="0" w:after="0" w:line="360" w:lineRule="auto"/>
        <w:ind w:firstLine="0" w:firstLineChars="0"/>
        <w:rPr>
          <w:rFonts w:ascii="宋体" w:hAnsi="宋体" w:eastAsia="仿宋"/>
          <w:bCs w:val="0"/>
          <w:color w:val="auto"/>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bookmarkStart w:id="799" w:name="_Toc445554766"/>
    </w:p>
    <w:p w14:paraId="0926438E">
      <w:pPr>
        <w:pStyle w:val="3"/>
        <w:widowControl/>
        <w:adjustRightInd w:val="0"/>
        <w:spacing w:before="0" w:after="0" w:line="360" w:lineRule="auto"/>
        <w:ind w:firstLine="482" w:firstLineChars="200"/>
        <w:rPr>
          <w:rFonts w:ascii="宋体" w:hAnsi="宋体" w:eastAsia="仿宋"/>
          <w:bCs w:val="0"/>
          <w:color w:val="auto"/>
          <w:sz w:val="24"/>
          <w:szCs w:val="24"/>
          <w:highlight w:val="none"/>
        </w:rPr>
      </w:pPr>
      <w:bookmarkStart w:id="800" w:name="_Toc466024565"/>
      <w:bookmarkStart w:id="801" w:name="_Toc455587282"/>
      <w:bookmarkStart w:id="802" w:name="_Toc455587098"/>
      <w:r>
        <w:rPr>
          <w:rFonts w:hint="eastAsia" w:ascii="宋体" w:hAnsi="宋体" w:eastAsia="仿宋"/>
          <w:bCs w:val="0"/>
          <w:color w:val="auto"/>
          <w:sz w:val="24"/>
          <w:szCs w:val="24"/>
          <w:highlight w:val="none"/>
        </w:rPr>
        <w:t>1. 评标方法</w:t>
      </w:r>
      <w:bookmarkEnd w:id="799"/>
      <w:bookmarkEnd w:id="800"/>
      <w:bookmarkEnd w:id="801"/>
      <w:bookmarkEnd w:id="802"/>
    </w:p>
    <w:p w14:paraId="44B2C182">
      <w:pPr>
        <w:pStyle w:val="31"/>
        <w:adjustRightInd w:val="0"/>
        <w:snapToGrid w:val="0"/>
        <w:spacing w:line="360" w:lineRule="auto"/>
        <w:ind w:firstLine="480" w:firstLineChars="200"/>
        <w:rPr>
          <w:rFonts w:hint="eastAsia" w:ascii="ˎ̥" w:hAnsi="ˎ̥" w:eastAsia="仿宋" w:cs="宋体"/>
          <w:color w:val="auto"/>
          <w:sz w:val="24"/>
          <w:szCs w:val="24"/>
          <w:highlight w:val="none"/>
        </w:rPr>
      </w:pPr>
      <w:r>
        <w:rPr>
          <w:rFonts w:hint="eastAsia" w:ascii="ˎ̥" w:hAnsi="ˎ̥" w:eastAsia="仿宋" w:cs="宋体"/>
          <w:color w:val="auto"/>
          <w:sz w:val="24"/>
          <w:szCs w:val="24"/>
          <w:highlight w:val="none"/>
        </w:rPr>
        <w:t>本次评标采用综合评分法。评标委员会</w:t>
      </w:r>
      <w:r>
        <w:rPr>
          <w:rFonts w:ascii="ˎ̥" w:hAnsi="ˎ̥" w:eastAsia="仿宋" w:cs="宋体"/>
          <w:color w:val="auto"/>
          <w:sz w:val="24"/>
          <w:szCs w:val="24"/>
          <w:highlight w:val="none"/>
        </w:rPr>
        <w:t>按照</w:t>
      </w:r>
      <w:r>
        <w:rPr>
          <w:rFonts w:hint="eastAsia" w:ascii="Cambria Math" w:hAnsi="Cambria Math" w:eastAsia="仿宋" w:cs="Calibri"/>
          <w:color w:val="auto"/>
          <w:sz w:val="24"/>
          <w:szCs w:val="24"/>
          <w:highlight w:val="none"/>
        </w:rPr>
        <w:t>本章</w:t>
      </w:r>
      <w:r>
        <w:rPr>
          <w:rFonts w:hint="eastAsia" w:ascii="ˎ̥" w:hAnsi="ˎ̥" w:eastAsia="仿宋" w:cs="宋体"/>
          <w:color w:val="auto"/>
          <w:sz w:val="24"/>
          <w:szCs w:val="24"/>
          <w:highlight w:val="none"/>
        </w:rPr>
        <w:t>第二节</w:t>
      </w:r>
      <w:r>
        <w:rPr>
          <w:rFonts w:hint="eastAsia" w:ascii="Cambria Math" w:hAnsi="Cambria Math" w:eastAsia="仿宋" w:cs="Calibri"/>
          <w:color w:val="auto"/>
          <w:sz w:val="24"/>
          <w:szCs w:val="24"/>
          <w:highlight w:val="none"/>
        </w:rPr>
        <w:t>第</w:t>
      </w:r>
      <w:r>
        <w:rPr>
          <w:rFonts w:hint="eastAsia" w:ascii="仿宋" w:hAnsi="仿宋" w:eastAsia="仿宋" w:cs="仿宋"/>
          <w:color w:val="auto"/>
          <w:sz w:val="24"/>
          <w:szCs w:val="24"/>
          <w:highlight w:val="none"/>
        </w:rPr>
        <w:t>3</w:t>
      </w:r>
      <w:r>
        <w:rPr>
          <w:rFonts w:hint="eastAsia" w:ascii="Cambria Math" w:hAnsi="Cambria Math" w:eastAsia="仿宋" w:cs="Calibri"/>
          <w:color w:val="auto"/>
          <w:sz w:val="24"/>
          <w:szCs w:val="24"/>
          <w:highlight w:val="none"/>
        </w:rPr>
        <w:t>条规定的评审标准</w:t>
      </w:r>
      <w:r>
        <w:rPr>
          <w:rFonts w:hint="eastAsia" w:ascii="ˎ̥" w:hAnsi="ˎ̥" w:eastAsia="仿宋" w:cs="宋体"/>
          <w:color w:val="auto"/>
          <w:sz w:val="24"/>
          <w:szCs w:val="24"/>
          <w:highlight w:val="none"/>
        </w:rPr>
        <w:t>对通过资格审查的</w:t>
      </w:r>
      <w:r>
        <w:rPr>
          <w:rFonts w:ascii="ˎ̥" w:hAnsi="ˎ̥" w:eastAsia="仿宋" w:cs="宋体"/>
          <w:color w:val="auto"/>
          <w:sz w:val="24"/>
          <w:szCs w:val="24"/>
          <w:highlight w:val="none"/>
        </w:rPr>
        <w:t>投标文件</w:t>
      </w:r>
      <w:r>
        <w:rPr>
          <w:rFonts w:hint="eastAsia" w:ascii="ˎ̥" w:hAnsi="ˎ̥" w:eastAsia="仿宋" w:cs="宋体"/>
          <w:color w:val="auto"/>
          <w:sz w:val="24"/>
          <w:szCs w:val="24"/>
          <w:highlight w:val="none"/>
        </w:rPr>
        <w:t>进行评审，在投标文件满足招标文件全部实质性要求的投标人中，按总</w:t>
      </w:r>
      <w:r>
        <w:rPr>
          <w:rFonts w:ascii="ˎ̥" w:hAnsi="ˎ̥" w:eastAsia="仿宋" w:cs="宋体"/>
          <w:color w:val="auto"/>
          <w:sz w:val="24"/>
          <w:szCs w:val="24"/>
          <w:highlight w:val="none"/>
        </w:rPr>
        <w:t>得分</w:t>
      </w:r>
      <w:r>
        <w:rPr>
          <w:rFonts w:hint="eastAsia" w:ascii="ˎ̥" w:hAnsi="ˎ̥" w:eastAsia="仿宋" w:cs="宋体"/>
          <w:color w:val="auto"/>
          <w:sz w:val="24"/>
          <w:szCs w:val="24"/>
          <w:highlight w:val="none"/>
        </w:rPr>
        <w:t>由高到低的顺序推荐中标候选人。如果总得分出现相同的情况，总得分相同的中标候选人按因落实政府采购政策进行价格调整后的投标报价由低到高排序；总得分与进行政策性价格调整的投标报价均相同的，则所投产品为节能或环境标志产品者优先（同时列入节能产品政府采购品目清单和环境标志产品政府采购品目清单的产品，优先于只列入其中一个清单的产品）；若前述均相同且所投产品同为节能/环境标志产品或均无节能/环境标志产品，则采取评标委员会随机抽签方式确定中标候选人排序。</w:t>
      </w:r>
    </w:p>
    <w:p w14:paraId="007C57B5">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803" w:name="_Toc445554768"/>
      <w:bookmarkStart w:id="804" w:name="_Toc466024567"/>
      <w:bookmarkStart w:id="805" w:name="_Toc455587100"/>
      <w:bookmarkStart w:id="806" w:name="_Toc455587284"/>
      <w:r>
        <w:rPr>
          <w:rFonts w:hint="eastAsia" w:ascii="宋体" w:hAnsi="宋体" w:eastAsia="仿宋"/>
          <w:bCs w:val="0"/>
          <w:color w:val="auto"/>
          <w:sz w:val="24"/>
          <w:szCs w:val="24"/>
          <w:highlight w:val="none"/>
        </w:rPr>
        <w:t>2. 评标委员会的组成和职责</w:t>
      </w:r>
      <w:bookmarkEnd w:id="803"/>
      <w:bookmarkEnd w:id="804"/>
      <w:bookmarkEnd w:id="805"/>
      <w:bookmarkEnd w:id="806"/>
    </w:p>
    <w:p w14:paraId="6585F5E3">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2.1 评标委员会的组成</w:t>
      </w:r>
    </w:p>
    <w:p w14:paraId="60C3E810">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评标委员会由采购人依法组建。</w:t>
      </w:r>
      <w:r>
        <w:rPr>
          <w:rFonts w:hint="eastAsia" w:ascii="宋体" w:hAnsi="宋体" w:eastAsia="仿宋" w:cs="宋体"/>
          <w:color w:val="auto"/>
          <w:sz w:val="24"/>
          <w:szCs w:val="24"/>
          <w:highlight w:val="none"/>
        </w:rPr>
        <w:t>评标委员会应当推选组长，但采购人代表不得担任组长。</w:t>
      </w:r>
    </w:p>
    <w:p w14:paraId="7B4C2055">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2.2 评标委员会的职责</w:t>
      </w:r>
    </w:p>
    <w:p w14:paraId="12857FAB">
      <w:pPr>
        <w:spacing w:line="360" w:lineRule="auto"/>
        <w:ind w:firstLine="480" w:firstLineChars="200"/>
        <w:rPr>
          <w:rFonts w:ascii="Arial" w:hAnsi="Arial" w:eastAsia="仿宋" w:cs="Arial"/>
          <w:color w:val="auto"/>
          <w:kern w:val="0"/>
          <w:sz w:val="24"/>
          <w:highlight w:val="none"/>
        </w:rPr>
      </w:pPr>
      <w:r>
        <w:rPr>
          <w:rFonts w:ascii="Arial" w:hAnsi="Arial" w:eastAsia="仿宋" w:cs="Arial"/>
          <w:color w:val="auto"/>
          <w:kern w:val="0"/>
          <w:sz w:val="24"/>
          <w:highlight w:val="none"/>
        </w:rPr>
        <w:t>根据</w:t>
      </w:r>
      <w:r>
        <w:rPr>
          <w:rFonts w:hint="eastAsia" w:ascii="Arial" w:hAnsi="Arial" w:eastAsia="仿宋" w:cs="Arial"/>
          <w:color w:val="auto"/>
          <w:kern w:val="0"/>
          <w:sz w:val="24"/>
          <w:highlight w:val="none"/>
        </w:rPr>
        <w:t>招标</w:t>
      </w:r>
      <w:r>
        <w:rPr>
          <w:rFonts w:ascii="Arial" w:hAnsi="Arial" w:eastAsia="仿宋" w:cs="Arial"/>
          <w:color w:val="auto"/>
          <w:kern w:val="0"/>
          <w:sz w:val="24"/>
          <w:highlight w:val="none"/>
        </w:rPr>
        <w:t>文件规定的评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程序、评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方法和评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标准进行独立评审。</w:t>
      </w:r>
      <w:r>
        <w:rPr>
          <w:rFonts w:hint="eastAsia" w:ascii="宋体" w:hAnsi="宋体" w:eastAsia="仿宋"/>
          <w:color w:val="auto"/>
          <w:sz w:val="24"/>
          <w:highlight w:val="none"/>
        </w:rPr>
        <w:t>评标委员会成员</w:t>
      </w:r>
      <w:r>
        <w:rPr>
          <w:rFonts w:ascii="Arial" w:hAnsi="Arial" w:eastAsia="仿宋" w:cs="Arial"/>
          <w:color w:val="auto"/>
          <w:kern w:val="0"/>
          <w:sz w:val="24"/>
          <w:highlight w:val="none"/>
        </w:rPr>
        <w:t>应当在评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报告上签字，对自己的评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意见承担法律责任。对需要共同认定的事项存在争议的，按照少数服从多数的原则做出结论。对评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报告有异议的，应当在评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报告上签署不同意见并说明理由，否则视为同意评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w:t>
      </w:r>
    </w:p>
    <w:p w14:paraId="0929082E">
      <w:pPr>
        <w:pStyle w:val="32"/>
        <w:snapToGrid w:val="0"/>
        <w:spacing w:line="360" w:lineRule="auto"/>
        <w:ind w:firstLine="482"/>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2</w:t>
      </w:r>
      <w:r>
        <w:rPr>
          <w:rFonts w:ascii="宋体" w:hAnsi="宋体" w:eastAsia="仿宋"/>
          <w:b/>
          <w:color w:val="auto"/>
          <w:sz w:val="24"/>
          <w:szCs w:val="24"/>
          <w:highlight w:val="none"/>
        </w:rPr>
        <w:t>.3 对评标委员会成员的纪律要求</w:t>
      </w:r>
    </w:p>
    <w:p w14:paraId="6DFDDF45">
      <w:pPr>
        <w:widowControl/>
        <w:spacing w:line="360" w:lineRule="auto"/>
        <w:ind w:firstLine="480" w:firstLineChars="200"/>
        <w:rPr>
          <w:rFonts w:ascii="Arial" w:hAnsi="Arial" w:eastAsia="仿宋" w:cs="Arial"/>
          <w:color w:val="auto"/>
          <w:kern w:val="0"/>
          <w:sz w:val="24"/>
          <w:highlight w:val="none"/>
        </w:rPr>
      </w:pPr>
      <w:r>
        <w:rPr>
          <w:rFonts w:ascii="Arial" w:hAnsi="Arial" w:eastAsia="仿宋" w:cs="Arial"/>
          <w:color w:val="auto"/>
          <w:kern w:val="0"/>
          <w:sz w:val="24"/>
          <w:highlight w:val="none"/>
        </w:rPr>
        <w:t>评标委员会成员不得收受他人的财物或者其他好处，不得向他人</w:t>
      </w:r>
      <w:r>
        <w:rPr>
          <w:rFonts w:hint="eastAsia" w:ascii="Arial" w:hAnsi="Arial" w:eastAsia="仿宋" w:cs="Arial"/>
          <w:color w:val="auto"/>
          <w:kern w:val="0"/>
          <w:sz w:val="24"/>
          <w:highlight w:val="none"/>
        </w:rPr>
        <w:t>透露</w:t>
      </w:r>
      <w:r>
        <w:rPr>
          <w:rFonts w:ascii="Arial" w:hAnsi="Arial" w:eastAsia="仿宋" w:cs="Arial"/>
          <w:color w:val="auto"/>
          <w:kern w:val="0"/>
          <w:sz w:val="24"/>
          <w:highlight w:val="none"/>
        </w:rPr>
        <w:t>对投标文件的评审和比较、中标候选人的推荐情况以及评标有关的其他情况。在评标活动中，评标委员会成员不得擅离职守，影响评标程序正常进行，不得使用“评标办法”没有规定的评审因素和标准进行评标。</w:t>
      </w:r>
    </w:p>
    <w:p w14:paraId="439D2C61">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807" w:name="_Toc445554770"/>
      <w:bookmarkStart w:id="808" w:name="_Toc455587102"/>
      <w:bookmarkStart w:id="809" w:name="_Toc455587286"/>
      <w:bookmarkStart w:id="810" w:name="_Toc466024569"/>
      <w:bookmarkStart w:id="811" w:name="_Toc466024568"/>
      <w:bookmarkStart w:id="812" w:name="_Toc445554769"/>
      <w:bookmarkStart w:id="813" w:name="_Toc455587285"/>
      <w:bookmarkStart w:id="814" w:name="_Toc455587101"/>
      <w:r>
        <w:rPr>
          <w:rFonts w:hint="eastAsia" w:ascii="宋体" w:hAnsi="宋体" w:eastAsia="仿宋"/>
          <w:bCs w:val="0"/>
          <w:color w:val="auto"/>
          <w:sz w:val="24"/>
          <w:szCs w:val="24"/>
          <w:highlight w:val="none"/>
        </w:rPr>
        <w:t>3. 评审标准</w:t>
      </w:r>
      <w:bookmarkEnd w:id="807"/>
      <w:bookmarkEnd w:id="808"/>
      <w:bookmarkEnd w:id="809"/>
      <w:bookmarkEnd w:id="810"/>
    </w:p>
    <w:p w14:paraId="6FAD715E">
      <w:pPr>
        <w:pStyle w:val="31"/>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3.1 符合性审查标准</w:t>
      </w:r>
    </w:p>
    <w:p w14:paraId="231A77B4">
      <w:pPr>
        <w:pStyle w:val="31"/>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3.1.1 评标委员会对资格审查合格的投标人的投标文件进行符合性审查，以确定其是否满足招标文件的实质性要求。</w:t>
      </w:r>
    </w:p>
    <w:p w14:paraId="41DC0CBE">
      <w:pPr>
        <w:pStyle w:val="31"/>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3.1.2 评标委员会根据《符合性审查表》中规定的审查因素和审查标准，对投标人的投标文件是否实质上响应招标文件进行符合性审查，并形成符合性审查评审结果。投标人有任何一项不符合要求的，投标无效。</w:t>
      </w:r>
    </w:p>
    <w:p w14:paraId="225CE178">
      <w:pPr>
        <w:pStyle w:val="31"/>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3.2 分值构成与详细评审标准</w:t>
      </w:r>
    </w:p>
    <w:p w14:paraId="62F8B72B">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3.2.1 分值构成：见评标办法前附表。</w:t>
      </w:r>
    </w:p>
    <w:p w14:paraId="4D5FF1D1">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3.2.2 评标基准价计算：见评标办法前附表。</w:t>
      </w:r>
    </w:p>
    <w:p w14:paraId="56EC3ABB">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3.2.3 评分标准：见评标办法前附表。</w:t>
      </w:r>
    </w:p>
    <w:p w14:paraId="5FCC16DE">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3.2.4 取评标委员会对各投标人评审得分的算术平均值作为投标人得分，其中投标报价得分按规定进行计算。</w:t>
      </w:r>
    </w:p>
    <w:p w14:paraId="797A1BA0">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r>
        <w:rPr>
          <w:rFonts w:hint="eastAsia" w:ascii="宋体" w:hAnsi="宋体" w:eastAsia="仿宋"/>
          <w:bCs w:val="0"/>
          <w:color w:val="auto"/>
          <w:sz w:val="24"/>
          <w:szCs w:val="24"/>
          <w:highlight w:val="none"/>
        </w:rPr>
        <w:t>4. 评标程序</w:t>
      </w:r>
      <w:bookmarkEnd w:id="811"/>
      <w:bookmarkEnd w:id="812"/>
      <w:bookmarkEnd w:id="813"/>
      <w:bookmarkEnd w:id="814"/>
    </w:p>
    <w:p w14:paraId="4684C361">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资格审查完成后，合格投标人不少于3家的，开始评标工作。评标先做准备工作，再进行符合性审查，然后进行详细评审。</w:t>
      </w:r>
    </w:p>
    <w:p w14:paraId="2C4EA23C">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4.1 评标准备工作</w:t>
      </w:r>
    </w:p>
    <w:p w14:paraId="2F34B775">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评标委员会熟悉评标</w:t>
      </w:r>
      <w:bookmarkStart w:id="815" w:name="_Hlk79160145"/>
      <w:r>
        <w:rPr>
          <w:rFonts w:hint="eastAsia" w:ascii="宋体" w:hAnsi="宋体" w:eastAsia="仿宋"/>
          <w:color w:val="auto"/>
          <w:sz w:val="24"/>
          <w:szCs w:val="24"/>
          <w:highlight w:val="none"/>
        </w:rPr>
        <w:t>工作</w:t>
      </w:r>
      <w:bookmarkEnd w:id="815"/>
      <w:r>
        <w:rPr>
          <w:rFonts w:hint="eastAsia" w:ascii="宋体" w:hAnsi="宋体" w:eastAsia="仿宋"/>
          <w:color w:val="auto"/>
          <w:sz w:val="24"/>
          <w:szCs w:val="24"/>
          <w:highlight w:val="none"/>
        </w:rPr>
        <w:t>情况：</w:t>
      </w:r>
    </w:p>
    <w:p w14:paraId="310A02DD">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（1）听取采购人或者其委托的采购代理机构对招标项目情况的介绍；</w:t>
      </w:r>
    </w:p>
    <w:p w14:paraId="1E827D11">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（2）阅读、研究招标文件和相关评标资料，获取评标所需要的重要信息和数据,至少应了解和熟悉以下内容：招标目的、采购范围、项目性质、招标文件规定的主要技术参数要求和主要商务条款；</w:t>
      </w:r>
    </w:p>
    <w:p w14:paraId="32E3DCFB">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（3）熟悉招标文件规定的评标标准和评标方法及在评标过程中需要考虑的相关因素；</w:t>
      </w:r>
    </w:p>
    <w:p w14:paraId="01BCF0CB">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（4）核对评标工作资料；</w:t>
      </w:r>
    </w:p>
    <w:p w14:paraId="1C6905E7">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（5）使用电子评标方式的，还应当熟悉电子评标系统使用方法。</w:t>
      </w:r>
    </w:p>
    <w:p w14:paraId="55B144E4">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4.2 符合性审查</w:t>
      </w:r>
    </w:p>
    <w:p w14:paraId="50B840C5">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4.2.1 评标委员会依据本章规定的标准对投标文件进行符合性审查。有一项不符合评审标准的，按无效投标处理。</w:t>
      </w:r>
    </w:p>
    <w:p w14:paraId="202F2C1D">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4.2.2 投标人有以下情形之一的，按照无效投标处理：</w:t>
      </w:r>
    </w:p>
    <w:p w14:paraId="6E4FDABC">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（1）不按评标委员会要求澄清、说明或补正的；</w:t>
      </w:r>
    </w:p>
    <w:p w14:paraId="642D032B">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（2）未实质性响应招标文件的；</w:t>
      </w:r>
    </w:p>
    <w:p w14:paraId="038D6F85">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（3）投标文件中存在采购人不能接受的其它附加实质性条件的；</w:t>
      </w:r>
    </w:p>
    <w:p w14:paraId="3652AA2F">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（4）串通投标或弄虚作假或有其他违法行为的；</w:t>
      </w:r>
    </w:p>
    <w:p w14:paraId="6064FD48">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（5）法律、法规和规章规定的其他情形的。</w:t>
      </w:r>
    </w:p>
    <w:p w14:paraId="3A8E69DC">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4.2.3 投标文件报价出现前后不一致的，按照下列规定修正：</w:t>
      </w:r>
    </w:p>
    <w:p w14:paraId="18D02C49">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（1）投标文件中开标一览表（报价表）内容与投标文件中相应内容不一致的，以开标一览表（报价表）为准；</w:t>
      </w:r>
    </w:p>
    <w:p w14:paraId="138B1CE0">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（2）大写金额和小写金额不一致的，以大写金额为准；</w:t>
      </w:r>
    </w:p>
    <w:p w14:paraId="0A5C7CD3">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（3）单价金额小数点或者百分比有明显错位的，以开标一览表的总价为准，并修改单价；</w:t>
      </w:r>
    </w:p>
    <w:p w14:paraId="3A24BBAD">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（4）总价金额与按单价汇总金额不一致的，以单价金额计算结果为准。</w:t>
      </w:r>
    </w:p>
    <w:p w14:paraId="42C6BE73">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同时出现两种以上不一致的，按照前款规定的顺序修正。修正后的报价经投标人确认后产生约束力，投标人不确认的，其投标无效。</w:t>
      </w:r>
    </w:p>
    <w:p w14:paraId="377A64A0">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中标后，按修正后的投标报价为基准，按同比例修正各单价。</w:t>
      </w:r>
    </w:p>
    <w:p w14:paraId="5BC18B6F">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4.2.4 评标委员会按照规定的原则对投标报价进行校核时，发现投标报价存在多处算术错误或漏项的，使得投标报价校核无法进行的，其投标按无效处理。</w:t>
      </w:r>
    </w:p>
    <w:p w14:paraId="2968FC3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4.2.5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626495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4.2.6 投标报价出现下列情形的，投标无效：</w:t>
      </w:r>
    </w:p>
    <w:p w14:paraId="7B4F867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（1）投标文件提交两个及以上的投标报价、提交任何有选择性的报价或者提交有附加条件的报价的投标将按无效处理，投标人须知前附表允许递交备选方案的除外；</w:t>
      </w:r>
    </w:p>
    <w:p w14:paraId="78768A0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（2）投标报价超过招标文件中规定的预算金额或者最高限价的；</w:t>
      </w:r>
    </w:p>
    <w:p w14:paraId="4E06372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（3）评标委员会认为投标人的报价明显低于其他通过符合性审查投标人的报价，有可能影响产品质量或者不能诚信履约的，投标人未能按要求提供书面说明或者提交相关证明材料证明其报价合理性的；</w:t>
      </w:r>
    </w:p>
    <w:p w14:paraId="18159B7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（4）投标人对根据本章第二节4.2.3项规定修正后的报价不确认的。</w:t>
      </w:r>
    </w:p>
    <w:p w14:paraId="35C53DC8">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4.3 详细评审</w:t>
      </w:r>
    </w:p>
    <w:p w14:paraId="1B0E46D9">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4.3.1 评标委员会按本章</w:t>
      </w:r>
      <w:r>
        <w:rPr>
          <w:rFonts w:hint="eastAsia" w:ascii="宋体" w:hAnsi="宋体" w:eastAsia="仿宋"/>
          <w:color w:val="auto"/>
          <w:sz w:val="24"/>
          <w:highlight w:val="none"/>
        </w:rPr>
        <w:t>第二节</w:t>
      </w:r>
      <w:r>
        <w:rPr>
          <w:rFonts w:hint="eastAsia" w:ascii="宋体" w:hAnsi="宋体" w:eastAsia="仿宋"/>
          <w:color w:val="auto"/>
          <w:sz w:val="24"/>
          <w:szCs w:val="24"/>
          <w:highlight w:val="none"/>
        </w:rPr>
        <w:t>3.2款规定的标准进行评分，并计算各投标人综合评审得分。</w:t>
      </w:r>
    </w:p>
    <w:p w14:paraId="299FC585">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4.3.2 评标委员会成员对投标人的价格分和客观评分项的评分应当一致。采购人、采购代理机构应当对评审数据进行校对、核对。</w:t>
      </w:r>
    </w:p>
    <w:p w14:paraId="7A1F21DD">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4.3.3 评分分值计算保留小数点后两位，小数点后第三位“四舍五入”。</w:t>
      </w:r>
    </w:p>
    <w:p w14:paraId="78A1B616">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4.3.4 相同品牌产品参加投标时，按以下要求确定中标人推荐资格：</w:t>
      </w:r>
    </w:p>
    <w:p w14:paraId="0CBC917E">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采用综合评分法时：</w:t>
      </w:r>
    </w:p>
    <w:p w14:paraId="4EE3536F">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单一产品采购项目，提供相同品牌产品且通过资格审查、符合性审查的不同投标人参加同一合同项下投标的，按一家投标人计算，评审后得分最高的同品牌投标人获得中标人推荐资格；评审得分相同的，由评标委员会随机抽签确定；其他同品牌投标人不作为中标候选人。</w:t>
      </w:r>
    </w:p>
    <w:p w14:paraId="64AC16E2">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非单一产品采购项目，核心产品提供相同品牌产品且通过资格审查、符合性审查的不同投标人参加同一合同项下投标的，按一家投标人计算，评审后得分最高的同品牌投标人获得中标人推荐资格；评审得分相同的，由评标委员会随机抽签确定；其他同品牌投标人不作为中标候选人。</w:t>
      </w:r>
    </w:p>
    <w:p w14:paraId="09EDCCB6">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bookmarkStart w:id="816" w:name="_Toc445554771"/>
      <w:bookmarkStart w:id="817" w:name="_Toc455587287"/>
      <w:bookmarkStart w:id="818" w:name="_Toc455587103"/>
      <w:bookmarkStart w:id="819" w:name="_Toc466024570"/>
      <w:r>
        <w:rPr>
          <w:rFonts w:hint="eastAsia" w:ascii="宋体" w:hAnsi="宋体" w:eastAsia="仿宋"/>
          <w:b/>
          <w:color w:val="auto"/>
          <w:sz w:val="24"/>
          <w:szCs w:val="24"/>
          <w:highlight w:val="none"/>
        </w:rPr>
        <w:t>4.4 投标文件的澄清</w:t>
      </w:r>
      <w:bookmarkEnd w:id="816"/>
      <w:bookmarkEnd w:id="817"/>
      <w:bookmarkEnd w:id="818"/>
      <w:bookmarkEnd w:id="819"/>
    </w:p>
    <w:p w14:paraId="05670A8B">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4.4.1 评标过程中，评标委员会可以要求投标人对投标文件中含义不明确、同类问题表述不一致或者有明显文字和计算错误的内容等作出必要的澄清、说明或者补正。投标人的澄清、说明或者补正不得超出投标文件的范围或者改变投标文件的实质性内容（算术性错误修正的除外）。投标人的书面澄清、说明和补正属于投标文件的组成部分。</w:t>
      </w:r>
    </w:p>
    <w:p w14:paraId="04198F93">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4.4.2 评标委员会要求投标人澄清、说明或者更正投标文件应当以书面形式作出。投标人的澄清、说明或者更正应当由法定代表人（单位负责人）或其授权代表签字或者加盖公章。由授权代表签字的，应当附法定代表人（单位负责人）授权书。投标人为自然人的，应当由本人签字并附身份证明。</w:t>
      </w:r>
    </w:p>
    <w:p w14:paraId="76B7861D">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4.4.3 评标委员会对投标人提交的澄清、说明或补正有疑问的，可以要求投标人进一步澄清、说明或补正，直至满足评标委员会的要求。</w:t>
      </w:r>
    </w:p>
    <w:p w14:paraId="73578756">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4.4.4 实质上没有响应招标文件要求的投标将被拒绝。投标人不得通过修正或撤销不合要求的偏离或保留从而使其投标成为实质上响应的投标。评标委员会不接受投标人主动提出的澄清、说明或补正。</w:t>
      </w:r>
    </w:p>
    <w:p w14:paraId="0C4EC705">
      <w:pPr>
        <w:pStyle w:val="32"/>
        <w:adjustRightInd w:val="0"/>
        <w:snapToGrid w:val="0"/>
        <w:spacing w:before="0" w:line="360" w:lineRule="auto"/>
        <w:ind w:firstLine="482" w:firstLineChars="200"/>
        <w:rPr>
          <w:rFonts w:hint="eastAsia" w:ascii="宋体" w:hAnsi="宋体" w:eastAsia="仿宋"/>
          <w:b/>
          <w:color w:val="auto"/>
          <w:sz w:val="24"/>
          <w:szCs w:val="24"/>
          <w:highlight w:val="none"/>
        </w:rPr>
      </w:pPr>
      <w:bookmarkStart w:id="820" w:name="_Toc455587288"/>
      <w:bookmarkStart w:id="821" w:name="_Toc455587104"/>
      <w:bookmarkStart w:id="822" w:name="_Toc466024571"/>
      <w:bookmarkStart w:id="823" w:name="_Toc445554772"/>
      <w:r>
        <w:rPr>
          <w:rFonts w:hint="eastAsia" w:ascii="宋体" w:hAnsi="宋体" w:eastAsia="仿宋"/>
          <w:b/>
          <w:color w:val="auto"/>
          <w:sz w:val="24"/>
          <w:szCs w:val="24"/>
          <w:highlight w:val="none"/>
        </w:rPr>
        <w:t>4.5 评标结果</w:t>
      </w:r>
      <w:bookmarkEnd w:id="820"/>
      <w:bookmarkEnd w:id="821"/>
      <w:bookmarkEnd w:id="822"/>
      <w:bookmarkEnd w:id="823"/>
    </w:p>
    <w:p w14:paraId="2740E522">
      <w:pPr>
        <w:pStyle w:val="31"/>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4.5.1 除第二章投标人须知前附表授权评标委员会直接确定中标人外，评标委员会按照得分由高到低的顺序推荐中标候选人，并标明排序。</w:t>
      </w:r>
    </w:p>
    <w:p w14:paraId="54CC5AC0">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4.5.2 完成评标后，</w:t>
      </w:r>
      <w:r>
        <w:rPr>
          <w:rFonts w:hint="eastAsia" w:ascii="宋体" w:hAnsi="宋体" w:eastAsia="仿宋" w:cs="宋体"/>
          <w:color w:val="auto"/>
          <w:sz w:val="24"/>
          <w:szCs w:val="24"/>
          <w:highlight w:val="none"/>
        </w:rPr>
        <w:t>评标委员会根据全体评标成员签字的原始评标记录和评标结果编写评标报告。评标报告应当包括以下内容：</w:t>
      </w:r>
    </w:p>
    <w:p w14:paraId="578D2200">
      <w:pPr>
        <w:pStyle w:val="31"/>
        <w:adjustRightInd w:val="0"/>
        <w:spacing w:line="360" w:lineRule="auto"/>
        <w:ind w:firstLine="480" w:firstLineChars="200"/>
        <w:rPr>
          <w:rFonts w:ascii="宋体" w:hAnsi="宋体" w:eastAsia="仿宋" w:cs="宋体"/>
          <w:color w:val="auto"/>
          <w:sz w:val="24"/>
          <w:szCs w:val="24"/>
          <w:highlight w:val="none"/>
        </w:rPr>
      </w:pPr>
      <w:bookmarkStart w:id="824" w:name="_Toc455587105"/>
      <w:bookmarkStart w:id="825" w:name="_Toc445554773"/>
      <w:bookmarkStart w:id="826" w:name="_Toc455587289"/>
      <w:r>
        <w:rPr>
          <w:rFonts w:hint="eastAsia" w:ascii="宋体" w:hAnsi="宋体" w:eastAsia="仿宋" w:cs="宋体"/>
          <w:color w:val="auto"/>
          <w:sz w:val="24"/>
          <w:szCs w:val="24"/>
          <w:highlight w:val="none"/>
        </w:rPr>
        <w:t>（1）招标公告的发布媒介、开标日期和地点；</w:t>
      </w:r>
    </w:p>
    <w:p w14:paraId="4B50773B">
      <w:pPr>
        <w:pStyle w:val="31"/>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（2）投标人名单和评标委员会成员名单；</w:t>
      </w:r>
    </w:p>
    <w:p w14:paraId="27CC94D5">
      <w:pPr>
        <w:pStyle w:val="31"/>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（3）评标方法和标准；</w:t>
      </w:r>
    </w:p>
    <w:p w14:paraId="7E7AC77F">
      <w:pPr>
        <w:pStyle w:val="31"/>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（4）开标记录和评标情况及说明，包括无效投标人名单及原因；</w:t>
      </w:r>
    </w:p>
    <w:p w14:paraId="06714542">
      <w:pPr>
        <w:pStyle w:val="31"/>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（5）评标结果，确定的中标候选人名单或者经采购人委托直接确定的中标人；</w:t>
      </w:r>
    </w:p>
    <w:p w14:paraId="14F2526D">
      <w:pPr>
        <w:pStyle w:val="31"/>
        <w:adjustRightInd w:val="0"/>
        <w:spacing w:line="360" w:lineRule="auto"/>
        <w:ind w:firstLine="480" w:firstLineChars="200"/>
        <w:rPr>
          <w:rFonts w:hint="eastAsia" w:ascii="宋体" w:hAnsi="宋体" w:eastAsia="仿宋" w:cs="宋体"/>
          <w:color w:val="auto"/>
          <w:sz w:val="24"/>
          <w:szCs w:val="24"/>
          <w:highlight w:val="none"/>
        </w:rPr>
      </w:pPr>
      <w:r>
        <w:rPr>
          <w:rFonts w:hint="eastAsia" w:ascii="宋体" w:hAnsi="宋体" w:eastAsia="仿宋" w:cs="宋体"/>
          <w:color w:val="auto"/>
          <w:sz w:val="24"/>
          <w:szCs w:val="24"/>
          <w:highlight w:val="none"/>
        </w:rPr>
        <w:t>（6）其他需要说明的情况，包括评标过程中投标人根据评标委员会要求进行的澄清、说明或者补正，评标委员会成员的更换等。</w:t>
      </w:r>
    </w:p>
    <w:p w14:paraId="2D862752">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827" w:name="_Toc466024572"/>
      <w:r>
        <w:rPr>
          <w:rFonts w:hint="eastAsia" w:ascii="宋体" w:hAnsi="宋体" w:eastAsia="仿宋"/>
          <w:bCs w:val="0"/>
          <w:color w:val="auto"/>
          <w:sz w:val="24"/>
          <w:szCs w:val="24"/>
          <w:highlight w:val="none"/>
        </w:rPr>
        <w:t>5. 其他</w:t>
      </w:r>
      <w:bookmarkEnd w:id="824"/>
      <w:bookmarkEnd w:id="825"/>
      <w:bookmarkEnd w:id="826"/>
      <w:bookmarkEnd w:id="827"/>
    </w:p>
    <w:p w14:paraId="32D0FEEF">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5.1 投标人提供的与投标有关的各类证书、证明、文件、资料等的真实性、合法性由投标人负全责。评标委员会一律不负责进行核查确认。评标时评标委员会发现投标人存在弄虚作假嫌疑的，或者由其他投标人和其他利害关系人投诉举报发现投标人存在弄虚作假行为的,提请有关监督部门另行立案调查，评标工作正常进行；有关监督部门调查确认弄虚作假情况属实的，如果该投标人已被确定为中标候选人的，由采购人按照法律法规相关规定取消其中标资格，并从其他中标候选人中依照推荐次序确定中标人。</w:t>
      </w:r>
    </w:p>
    <w:p w14:paraId="5AF7AAE0">
      <w:pPr>
        <w:pStyle w:val="31"/>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5.2 投标人提供业绩、荣誉证书、资质资格证书、相关证明材料等文件及资料均须在投标文件中提供，电子投标文件中提供扫描件或电子证照。如未在投标文件中提供，则资格审查、符合性审查相应项视为不通过；评分项目相应项不予计分。</w:t>
      </w:r>
    </w:p>
    <w:p w14:paraId="192709AB">
      <w:pPr>
        <w:widowControl/>
        <w:spacing w:line="400" w:lineRule="exact"/>
        <w:ind w:firstLine="480" w:firstLineChars="200"/>
        <w:rPr>
          <w:rFonts w:ascii="宋体" w:hAnsi="宋体" w:eastAsia="仿宋"/>
          <w:color w:val="auto"/>
          <w:sz w:val="24"/>
          <w:highlight w:val="none"/>
        </w:rPr>
      </w:pPr>
    </w:p>
    <w:p w14:paraId="19D2A8CC">
      <w:pPr>
        <w:widowControl/>
        <w:spacing w:line="400" w:lineRule="exact"/>
        <w:ind w:firstLine="480" w:firstLineChars="200"/>
        <w:rPr>
          <w:rFonts w:ascii="宋体" w:hAnsi="宋体" w:eastAsia="仿宋"/>
          <w:color w:val="auto"/>
          <w:sz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2CACCA15">
      <w:pPr>
        <w:pStyle w:val="2"/>
        <w:widowControl/>
        <w:spacing w:before="0" w:after="0" w:line="240" w:lineRule="auto"/>
        <w:jc w:val="center"/>
        <w:rPr>
          <w:rFonts w:hint="eastAsia" w:ascii="宋体" w:hAnsi="宋体" w:eastAsia="仿宋"/>
          <w:color w:val="auto"/>
          <w:highlight w:val="none"/>
        </w:rPr>
      </w:pPr>
      <w:bookmarkStart w:id="828" w:name="_Toc395"/>
      <w:bookmarkStart w:id="829" w:name="_Toc445554783"/>
      <w:bookmarkStart w:id="830" w:name="_Toc466024582"/>
      <w:bookmarkStart w:id="831" w:name="_Toc139194404"/>
      <w:bookmarkStart w:id="832" w:name="_Toc153630652"/>
      <w:bookmarkStart w:id="833" w:name="_Toc162331289"/>
      <w:bookmarkStart w:id="834" w:name="_Toc165463683"/>
      <w:bookmarkStart w:id="835" w:name="_Toc138638816"/>
      <w:bookmarkStart w:id="836" w:name="_Toc176927207"/>
      <w:bookmarkStart w:id="837" w:name="_Toc153636085"/>
      <w:bookmarkStart w:id="838" w:name="_Toc256409867"/>
      <w:bookmarkStart w:id="839" w:name="_Toc255490647"/>
      <w:bookmarkStart w:id="840" w:name="_Toc256434217"/>
      <w:bookmarkStart w:id="841" w:name="_Toc199585022"/>
      <w:bookmarkStart w:id="842" w:name="_Toc153635713"/>
      <w:bookmarkStart w:id="843" w:name="_Toc201377864"/>
      <w:bookmarkStart w:id="844" w:name="_Toc192231354"/>
      <w:bookmarkStart w:id="845" w:name="_Toc153634810"/>
      <w:bookmarkStart w:id="846" w:name="_Toc162410278"/>
      <w:bookmarkStart w:id="847" w:name="_Toc176780575"/>
      <w:bookmarkStart w:id="848" w:name="_Toc138323410"/>
      <w:bookmarkStart w:id="849" w:name="_Toc177181404"/>
      <w:bookmarkStart w:id="850" w:name="_Toc221418700"/>
      <w:bookmarkStart w:id="851" w:name="_Toc153485042"/>
      <w:bookmarkStart w:id="852" w:name="_Toc256955329"/>
      <w:bookmarkStart w:id="853" w:name="_Toc162406884"/>
      <w:bookmarkStart w:id="854" w:name="_Toc152696791"/>
      <w:r>
        <w:rPr>
          <w:rFonts w:hint="eastAsia" w:ascii="宋体" w:hAnsi="宋体" w:eastAsia="仿宋"/>
          <w:color w:val="auto"/>
          <w:highlight w:val="none"/>
        </w:rPr>
        <w:t>第五章  合同条款及格式</w:t>
      </w:r>
      <w:bookmarkEnd w:id="828"/>
      <w:bookmarkEnd w:id="829"/>
      <w:bookmarkEnd w:id="830"/>
    </w:p>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14:paraId="5E70A3A0">
      <w:pPr>
        <w:outlineLvl w:val="9"/>
        <w:rPr>
          <w:rFonts w:ascii="仿宋_GB2312" w:hAnsi="Georgia" w:eastAsia="仿宋_GB2312" w:cs="宋体"/>
          <w:color w:val="auto"/>
          <w:kern w:val="0"/>
          <w:sz w:val="24"/>
          <w:highlight w:val="none"/>
        </w:rPr>
      </w:pPr>
    </w:p>
    <w:p w14:paraId="2CAB9D2D">
      <w:pPr>
        <w:spacing w:line="480" w:lineRule="auto"/>
        <w:jc w:val="center"/>
        <w:outlineLvl w:val="1"/>
        <w:rPr>
          <w:rFonts w:ascii="宋体" w:hAnsi="宋体"/>
          <w:b/>
          <w:color w:val="auto"/>
          <w:sz w:val="32"/>
          <w:szCs w:val="32"/>
          <w:highlight w:val="none"/>
        </w:rPr>
      </w:pPr>
      <w:r>
        <w:rPr>
          <w:rFonts w:ascii="宋体" w:hAnsi="宋体"/>
          <w:b/>
          <w:color w:val="auto"/>
          <w:sz w:val="32"/>
          <w:szCs w:val="32"/>
          <w:highlight w:val="none"/>
        </w:rPr>
        <w:t>政府采购合同</w:t>
      </w:r>
      <w:r>
        <w:rPr>
          <w:rFonts w:hint="eastAsia" w:ascii="宋体" w:hAnsi="宋体"/>
          <w:b/>
          <w:color w:val="auto"/>
          <w:sz w:val="32"/>
          <w:szCs w:val="32"/>
          <w:highlight w:val="none"/>
        </w:rPr>
        <w:t>参考范本</w:t>
      </w:r>
    </w:p>
    <w:p w14:paraId="1F7B0EC9">
      <w:pPr>
        <w:spacing w:line="480" w:lineRule="auto"/>
        <w:jc w:val="center"/>
        <w:outlineLvl w:val="1"/>
        <w:rPr>
          <w:rFonts w:ascii="宋体" w:hAnsi="宋体"/>
          <w:b/>
          <w:color w:val="auto"/>
          <w:sz w:val="32"/>
          <w:szCs w:val="32"/>
          <w:highlight w:val="none"/>
        </w:rPr>
      </w:pPr>
      <w:r>
        <w:rPr>
          <w:rFonts w:hint="eastAsia" w:ascii="宋体" w:hAnsi="宋体"/>
          <w:b/>
          <w:color w:val="auto"/>
          <w:sz w:val="32"/>
          <w:szCs w:val="32"/>
          <w:highlight w:val="none"/>
        </w:rPr>
        <w:t>（货物类）</w:t>
      </w:r>
    </w:p>
    <w:p w14:paraId="09652677">
      <w:pPr>
        <w:spacing w:line="480" w:lineRule="auto"/>
        <w:jc w:val="center"/>
        <w:rPr>
          <w:rFonts w:ascii="宋体" w:hAnsi="宋体"/>
          <w:b/>
          <w:color w:val="auto"/>
          <w:sz w:val="24"/>
          <w:highlight w:val="none"/>
        </w:rPr>
      </w:pPr>
    </w:p>
    <w:p w14:paraId="02A12059">
      <w:pPr>
        <w:spacing w:line="480" w:lineRule="auto"/>
        <w:jc w:val="center"/>
        <w:rPr>
          <w:rFonts w:ascii="宋体" w:hAnsi="宋体"/>
          <w:b/>
          <w:color w:val="auto"/>
          <w:sz w:val="24"/>
          <w:highlight w:val="none"/>
        </w:rPr>
      </w:pPr>
    </w:p>
    <w:p w14:paraId="12308AFA">
      <w:pPr>
        <w:spacing w:line="480" w:lineRule="auto"/>
        <w:jc w:val="center"/>
        <w:rPr>
          <w:rFonts w:ascii="宋体" w:hAnsi="宋体"/>
          <w:b/>
          <w:color w:val="auto"/>
          <w:sz w:val="24"/>
          <w:highlight w:val="none"/>
        </w:rPr>
      </w:pPr>
    </w:p>
    <w:p w14:paraId="2ED681C6">
      <w:pPr>
        <w:spacing w:line="360" w:lineRule="auto"/>
        <w:jc w:val="center"/>
        <w:outlineLvl w:val="1"/>
        <w:rPr>
          <w:rFonts w:ascii="宋体" w:hAnsi="宋体"/>
          <w:b/>
          <w:color w:val="auto"/>
          <w:sz w:val="24"/>
          <w:highlight w:val="none"/>
        </w:rPr>
      </w:pPr>
      <w:r>
        <w:rPr>
          <w:rFonts w:hint="eastAsia" w:ascii="宋体" w:hAnsi="宋体"/>
          <w:b/>
          <w:color w:val="auto"/>
          <w:sz w:val="24"/>
          <w:highlight w:val="none"/>
        </w:rPr>
        <w:t>第一部分 合同书</w:t>
      </w:r>
    </w:p>
    <w:p w14:paraId="1DAEBCEC">
      <w:pPr>
        <w:spacing w:line="480" w:lineRule="auto"/>
        <w:jc w:val="center"/>
        <w:rPr>
          <w:rFonts w:ascii="宋体" w:hAnsi="宋体"/>
          <w:b/>
          <w:color w:val="auto"/>
          <w:sz w:val="24"/>
          <w:highlight w:val="none"/>
        </w:rPr>
      </w:pPr>
    </w:p>
    <w:p w14:paraId="385BB810">
      <w:pPr>
        <w:spacing w:line="480" w:lineRule="auto"/>
        <w:jc w:val="center"/>
        <w:rPr>
          <w:rFonts w:ascii="宋体" w:hAnsi="宋体"/>
          <w:b/>
          <w:color w:val="auto"/>
          <w:sz w:val="24"/>
          <w:highlight w:val="none"/>
        </w:rPr>
      </w:pPr>
    </w:p>
    <w:p w14:paraId="5522B5C1">
      <w:pPr>
        <w:spacing w:line="480" w:lineRule="auto"/>
        <w:jc w:val="center"/>
        <w:rPr>
          <w:rFonts w:ascii="宋体" w:hAnsi="宋体"/>
          <w:b/>
          <w:color w:val="auto"/>
          <w:sz w:val="24"/>
          <w:highlight w:val="none"/>
        </w:rPr>
      </w:pPr>
    </w:p>
    <w:p w14:paraId="72709863">
      <w:pPr>
        <w:spacing w:before="120" w:line="480" w:lineRule="auto"/>
        <w:ind w:left="960"/>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安徽医科大学第一附属医院</w:t>
      </w:r>
      <w:r>
        <w:rPr>
          <w:rFonts w:hint="eastAsia" w:ascii="宋体" w:hAnsi="宋体"/>
          <w:color w:val="auto"/>
          <w:sz w:val="24"/>
          <w:highlight w:val="none"/>
          <w:u w:val="single"/>
          <w:lang w:eastAsia="zh-CN"/>
        </w:rPr>
        <w:t>安徽医科大学第一附属医院数字一体化手术室设备（含无影灯、手术床、吊塔）采购项目</w:t>
      </w:r>
    </w:p>
    <w:p w14:paraId="62012F2C">
      <w:pPr>
        <w:spacing w:before="120" w:line="480" w:lineRule="auto"/>
        <w:ind w:left="960"/>
        <w:rPr>
          <w:rFonts w:hint="eastAsia" w:ascii="宋体" w:hAnsi="宋体"/>
          <w:color w:val="auto"/>
          <w:sz w:val="24"/>
          <w:highlight w:val="none"/>
        </w:rPr>
      </w:pPr>
      <w:r>
        <w:rPr>
          <w:rFonts w:hint="eastAsia" w:ascii="宋体" w:hAnsi="宋体"/>
          <w:color w:val="auto"/>
          <w:sz w:val="24"/>
          <w:highlight w:val="none"/>
        </w:rPr>
        <w:t>项目编号：</w:t>
      </w:r>
      <w:r>
        <w:rPr>
          <w:rFonts w:hint="eastAsia" w:ascii="宋体" w:hAnsi="宋体"/>
          <w:color w:val="auto"/>
          <w:sz w:val="24"/>
          <w:highlight w:val="none"/>
          <w:u w:val="single"/>
        </w:rPr>
        <w:t>某编号</w:t>
      </w:r>
    </w:p>
    <w:p w14:paraId="26AD36A8">
      <w:pPr>
        <w:spacing w:before="120" w:line="480" w:lineRule="auto"/>
        <w:ind w:left="960"/>
        <w:rPr>
          <w:rFonts w:ascii="宋体" w:hAnsi="宋体"/>
          <w:color w:val="auto"/>
          <w:sz w:val="24"/>
          <w:highlight w:val="none"/>
          <w:u w:val="single"/>
        </w:rPr>
      </w:pPr>
      <w:r>
        <w:rPr>
          <w:rFonts w:hint="eastAsia" w:ascii="宋体" w:hAnsi="宋体"/>
          <w:color w:val="auto"/>
          <w:sz w:val="24"/>
          <w:highlight w:val="none"/>
        </w:rPr>
        <w:t>甲方（采购人）：</w:t>
      </w:r>
      <w:r>
        <w:rPr>
          <w:rFonts w:hint="eastAsia" w:ascii="宋体" w:hAnsi="宋体"/>
          <w:color w:val="auto"/>
          <w:sz w:val="24"/>
          <w:highlight w:val="none"/>
          <w:u w:val="single"/>
        </w:rPr>
        <w:t xml:space="preserve">                              </w:t>
      </w:r>
    </w:p>
    <w:p w14:paraId="6C5DEFC8">
      <w:pPr>
        <w:spacing w:before="120" w:line="480" w:lineRule="auto"/>
        <w:ind w:left="960"/>
        <w:rPr>
          <w:rFonts w:ascii="宋体" w:hAnsi="宋体"/>
          <w:color w:val="auto"/>
          <w:sz w:val="24"/>
          <w:highlight w:val="none"/>
          <w:u w:val="single"/>
        </w:rPr>
      </w:pPr>
      <w:r>
        <w:rPr>
          <w:rFonts w:hint="eastAsia" w:ascii="宋体" w:hAnsi="宋体"/>
          <w:color w:val="auto"/>
          <w:sz w:val="24"/>
          <w:highlight w:val="none"/>
        </w:rPr>
        <w:t>乙方（中标人）：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14:paraId="13384B37">
      <w:pPr>
        <w:spacing w:before="120" w:line="480" w:lineRule="auto"/>
        <w:ind w:firstLine="960" w:firstLineChars="400"/>
        <w:rPr>
          <w:rFonts w:ascii="宋体" w:hAnsi="宋体"/>
          <w:color w:val="auto"/>
          <w:sz w:val="24"/>
          <w:highlight w:val="none"/>
          <w:u w:val="single"/>
        </w:rPr>
      </w:pPr>
      <w:r>
        <w:rPr>
          <w:rFonts w:hint="eastAsia" w:ascii="宋体" w:hAnsi="宋体"/>
          <w:color w:val="auto"/>
          <w:sz w:val="24"/>
          <w:highlight w:val="none"/>
        </w:rPr>
        <w:t>签订地：</w:t>
      </w:r>
      <w:r>
        <w:rPr>
          <w:rFonts w:hint="eastAsia" w:ascii="宋体" w:hAnsi="宋体"/>
          <w:color w:val="auto"/>
          <w:sz w:val="24"/>
          <w:highlight w:val="none"/>
          <w:u w:val="single"/>
        </w:rPr>
        <w:t xml:space="preserve">                                     </w:t>
      </w:r>
    </w:p>
    <w:p w14:paraId="284C1E28">
      <w:pPr>
        <w:spacing w:before="120" w:line="480" w:lineRule="auto"/>
        <w:ind w:firstLine="960" w:firstLineChars="400"/>
        <w:rPr>
          <w:rFonts w:ascii="宋体" w:hAnsi="宋体"/>
          <w:color w:val="auto"/>
          <w:sz w:val="24"/>
          <w:highlight w:val="none"/>
        </w:rPr>
      </w:pPr>
      <w:r>
        <w:rPr>
          <w:rFonts w:hint="eastAsia" w:ascii="宋体" w:hAnsi="宋体"/>
          <w:color w:val="auto"/>
          <w:sz w:val="24"/>
          <w:highlight w:val="none"/>
        </w:rPr>
        <w:t>签订日期：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9C2B63E">
      <w:pPr>
        <w:widowControl/>
        <w:jc w:val="left"/>
        <w:rPr>
          <w:rFonts w:ascii="宋体" w:hAnsi="宋体"/>
          <w:color w:val="auto"/>
          <w:sz w:val="24"/>
          <w:highlight w:val="none"/>
        </w:rPr>
      </w:pPr>
      <w:r>
        <w:rPr>
          <w:rFonts w:ascii="宋体" w:hAnsi="宋体"/>
          <w:color w:val="auto"/>
          <w:sz w:val="24"/>
          <w:highlight w:val="none"/>
        </w:rPr>
        <w:br w:type="page"/>
      </w:r>
    </w:p>
    <w:p w14:paraId="113DEE7A">
      <w:pPr>
        <w:spacing w:line="360" w:lineRule="auto"/>
        <w:ind w:firstLine="435"/>
        <w:rPr>
          <w:rFonts w:ascii="宋体" w:hAnsi="宋体"/>
          <w:color w:val="auto"/>
          <w:sz w:val="24"/>
          <w:highlight w:val="none"/>
        </w:rPr>
      </w:pPr>
      <w:r>
        <w:rPr>
          <w:rFonts w:hint="eastAsia" w:ascii="宋体" w:hAnsi="宋体"/>
          <w:color w:val="auto"/>
          <w:sz w:val="24"/>
          <w:highlight w:val="none"/>
          <w:u w:val="single"/>
        </w:rPr>
        <w:t>安徽医科大学第一附属医院</w:t>
      </w:r>
      <w:r>
        <w:rPr>
          <w:rFonts w:hint="eastAsia" w:ascii="宋体" w:hAnsi="宋体"/>
          <w:color w:val="auto"/>
          <w:sz w:val="24"/>
          <w:highlight w:val="none"/>
        </w:rPr>
        <w:t>（</w:t>
      </w:r>
      <w:r>
        <w:rPr>
          <w:rFonts w:hint="eastAsia" w:ascii="宋体" w:hAnsi="宋体"/>
          <w:color w:val="auto"/>
          <w:sz w:val="24"/>
          <w:highlight w:val="none"/>
          <w:lang w:val="zh-CN"/>
        </w:rPr>
        <w:t>以下简称：甲方</w:t>
      </w:r>
      <w:r>
        <w:rPr>
          <w:rFonts w:hint="eastAsia" w:ascii="宋体" w:hAnsi="宋体"/>
          <w:color w:val="auto"/>
          <w:sz w:val="24"/>
          <w:highlight w:val="none"/>
        </w:rPr>
        <w:t>）通过</w:t>
      </w:r>
      <w:r>
        <w:rPr>
          <w:rFonts w:hint="eastAsia" w:ascii="宋体" w:hAnsi="宋体"/>
          <w:color w:val="auto"/>
          <w:sz w:val="24"/>
          <w:highlight w:val="none"/>
          <w:u w:val="single"/>
        </w:rPr>
        <w:t>安徽省招标集团股份有限公司</w:t>
      </w:r>
      <w:r>
        <w:rPr>
          <w:rFonts w:hint="eastAsia" w:ascii="宋体" w:hAnsi="宋体"/>
          <w:color w:val="auto"/>
          <w:sz w:val="24"/>
          <w:highlight w:val="none"/>
        </w:rPr>
        <w:t>组织的</w:t>
      </w:r>
      <w:r>
        <w:rPr>
          <w:rFonts w:hint="eastAsia" w:ascii="宋体" w:hAnsi="宋体"/>
          <w:color w:val="auto"/>
          <w:sz w:val="24"/>
          <w:highlight w:val="none"/>
          <w:u w:val="single"/>
        </w:rPr>
        <w:t>公开招标</w:t>
      </w:r>
      <w:r>
        <w:rPr>
          <w:rFonts w:hint="eastAsia" w:ascii="宋体" w:hAnsi="宋体"/>
          <w:color w:val="auto"/>
          <w:sz w:val="24"/>
          <w:highlight w:val="none"/>
        </w:rPr>
        <w:t>方式采购活动，经</w:t>
      </w:r>
      <w:r>
        <w:rPr>
          <w:rFonts w:hint="eastAsia" w:ascii="宋体" w:hAnsi="宋体"/>
          <w:color w:val="auto"/>
          <w:sz w:val="24"/>
          <w:highlight w:val="none"/>
          <w:u w:val="single"/>
        </w:rPr>
        <w:t>评标委员会</w:t>
      </w:r>
      <w:r>
        <w:rPr>
          <w:rFonts w:hint="eastAsia" w:ascii="宋体" w:hAnsi="宋体"/>
          <w:color w:val="auto"/>
          <w:sz w:val="24"/>
          <w:highlight w:val="none"/>
        </w:rPr>
        <w:t>评定，</w:t>
      </w:r>
      <w:r>
        <w:rPr>
          <w:rFonts w:hint="eastAsia" w:ascii="宋体" w:hAnsi="宋体"/>
          <w:i/>
          <w:iCs/>
          <w:color w:val="auto"/>
          <w:sz w:val="24"/>
          <w:highlight w:val="none"/>
          <w:u w:val="single"/>
        </w:rPr>
        <w:t>（中标人名称）</w:t>
      </w:r>
      <w:r>
        <w:rPr>
          <w:rFonts w:hint="eastAsia" w:ascii="宋体" w:hAnsi="宋体"/>
          <w:color w:val="auto"/>
          <w:sz w:val="24"/>
          <w:highlight w:val="none"/>
        </w:rPr>
        <w:t>（</w:t>
      </w:r>
      <w:r>
        <w:rPr>
          <w:rFonts w:hint="eastAsia" w:ascii="宋体" w:hAnsi="宋体"/>
          <w:color w:val="auto"/>
          <w:sz w:val="24"/>
          <w:highlight w:val="none"/>
          <w:lang w:val="zh-CN"/>
        </w:rPr>
        <w:t>以下简称：乙方</w:t>
      </w:r>
      <w:r>
        <w:rPr>
          <w:rFonts w:hint="eastAsia" w:ascii="宋体" w:hAnsi="宋体"/>
          <w:color w:val="auto"/>
          <w:sz w:val="24"/>
          <w:highlight w:val="none"/>
        </w:rPr>
        <w:t>）为本项目中标人，现按照采购文件确定的事项签订本合同。</w:t>
      </w:r>
    </w:p>
    <w:p w14:paraId="7C262E59">
      <w:pPr>
        <w:spacing w:line="360" w:lineRule="auto"/>
        <w:ind w:firstLine="435"/>
        <w:rPr>
          <w:rFonts w:ascii="宋体" w:hAnsi="宋体"/>
          <w:color w:val="auto"/>
          <w:sz w:val="24"/>
          <w:highlight w:val="none"/>
          <w:lang w:val="zh-CN"/>
        </w:rPr>
      </w:pPr>
      <w:r>
        <w:rPr>
          <w:rFonts w:hint="eastAsia" w:ascii="宋体" w:hAnsi="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27F98EA9">
      <w:pPr>
        <w:spacing w:line="360" w:lineRule="auto"/>
        <w:ind w:firstLine="437"/>
        <w:outlineLvl w:val="2"/>
        <w:rPr>
          <w:rFonts w:ascii="宋体" w:hAnsi="宋体"/>
          <w:b/>
          <w:bCs/>
          <w:color w:val="auto"/>
          <w:sz w:val="24"/>
          <w:highlight w:val="none"/>
          <w:lang w:val="zh-CN"/>
        </w:rPr>
      </w:pPr>
      <w:bookmarkStart w:id="855" w:name="_Toc2232"/>
      <w:bookmarkStart w:id="856" w:name="_Toc3029"/>
      <w:bookmarkStart w:id="857" w:name="_Toc24059"/>
      <w:r>
        <w:rPr>
          <w:rFonts w:hint="eastAsia" w:ascii="宋体" w:hAnsi="宋体"/>
          <w:b/>
          <w:bCs/>
          <w:color w:val="auto"/>
          <w:sz w:val="24"/>
          <w:highlight w:val="none"/>
          <w:lang w:val="zh-CN"/>
        </w:rPr>
        <w:t>1.1</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合同组成部分</w:t>
      </w:r>
      <w:bookmarkEnd w:id="855"/>
      <w:bookmarkEnd w:id="856"/>
      <w:bookmarkEnd w:id="857"/>
    </w:p>
    <w:p w14:paraId="47912310">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F264FB0">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1.1.1本合同及其补充合同、变更协议；</w:t>
      </w:r>
    </w:p>
    <w:p w14:paraId="1E424782">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1.1.2中标通知书；</w:t>
      </w:r>
    </w:p>
    <w:p w14:paraId="0D7C6B77">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1.1.3投标文件（含澄清或者说明文件）；</w:t>
      </w:r>
    </w:p>
    <w:p w14:paraId="5D974BC8">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1.1.4招标文件（含澄清或者修改文件）；</w:t>
      </w:r>
    </w:p>
    <w:p w14:paraId="1A6390E8">
      <w:pPr>
        <w:spacing w:line="360" w:lineRule="auto"/>
        <w:ind w:firstLine="435"/>
        <w:rPr>
          <w:rFonts w:ascii="宋体" w:hAnsi="宋体"/>
          <w:color w:val="auto"/>
          <w:sz w:val="24"/>
          <w:highlight w:val="none"/>
          <w:lang w:val="zh-CN"/>
        </w:rPr>
      </w:pPr>
      <w:r>
        <w:rPr>
          <w:rFonts w:hint="eastAsia" w:ascii="宋体" w:hAnsi="宋体"/>
          <w:color w:val="auto"/>
          <w:sz w:val="24"/>
          <w:highlight w:val="none"/>
          <w:lang w:val="zh-CN"/>
        </w:rPr>
        <w:t>1.1.5其他相关采购文件。</w:t>
      </w:r>
    </w:p>
    <w:p w14:paraId="566DB5EE">
      <w:pPr>
        <w:spacing w:line="360" w:lineRule="auto"/>
        <w:ind w:firstLine="437"/>
        <w:outlineLvl w:val="2"/>
        <w:rPr>
          <w:rFonts w:ascii="宋体" w:hAnsi="宋体"/>
          <w:b/>
          <w:bCs/>
          <w:color w:val="auto"/>
          <w:sz w:val="24"/>
          <w:highlight w:val="none"/>
          <w:lang w:val="zh-CN"/>
        </w:rPr>
      </w:pPr>
      <w:bookmarkStart w:id="858" w:name="_Toc21295"/>
      <w:bookmarkStart w:id="859" w:name="_Toc27126"/>
      <w:bookmarkStart w:id="860" w:name="_Toc24300"/>
      <w:r>
        <w:rPr>
          <w:rFonts w:hint="eastAsia" w:ascii="宋体" w:hAnsi="宋体"/>
          <w:b/>
          <w:bCs/>
          <w:color w:val="auto"/>
          <w:sz w:val="24"/>
          <w:highlight w:val="none"/>
          <w:lang w:val="zh-CN"/>
        </w:rPr>
        <w:t>1.2</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货物</w:t>
      </w:r>
      <w:bookmarkEnd w:id="858"/>
      <w:bookmarkEnd w:id="859"/>
      <w:bookmarkEnd w:id="860"/>
    </w:p>
    <w:p w14:paraId="3DBCAF23">
      <w:pPr>
        <w:spacing w:line="360" w:lineRule="auto"/>
        <w:ind w:firstLine="472" w:firstLineChars="196"/>
        <w:rPr>
          <w:rFonts w:hint="eastAsia" w:ascii="宋体" w:hAnsi="宋体" w:cs="宋体"/>
          <w:b/>
          <w:color w:val="auto"/>
          <w:sz w:val="24"/>
          <w:highlight w:val="none"/>
        </w:rPr>
      </w:pPr>
      <w:bookmarkStart w:id="861" w:name="_Toc21551"/>
      <w:bookmarkStart w:id="862" w:name="_Toc21631"/>
      <w:bookmarkStart w:id="863" w:name="_Toc23292"/>
      <w:r>
        <w:rPr>
          <w:rFonts w:hint="eastAsia" w:ascii="宋体" w:hAnsi="宋体" w:cs="宋体"/>
          <w:b/>
          <w:color w:val="auto"/>
          <w:sz w:val="24"/>
          <w:highlight w:val="none"/>
        </w:rPr>
        <w:t>一、产品名称、型号规格、数量、单位、金额：（单位：</w:t>
      </w:r>
      <w:r>
        <w:rPr>
          <w:rFonts w:hint="eastAsia" w:ascii="宋体" w:hAnsi="宋体" w:cs="宋体"/>
          <w:b/>
          <w:color w:val="auto"/>
          <w:sz w:val="24"/>
          <w:highlight w:val="none"/>
          <w:u w:val="single"/>
        </w:rPr>
        <w:t xml:space="preserve">   元 </w:t>
      </w:r>
      <w:r>
        <w:rPr>
          <w:rFonts w:hint="eastAsia" w:ascii="宋体" w:hAnsi="宋体" w:cs="宋体"/>
          <w:b/>
          <w:color w:val="auto"/>
          <w:sz w:val="24"/>
          <w:highlight w:val="none"/>
        </w:rPr>
        <w:t>）</w:t>
      </w:r>
    </w:p>
    <w:tbl>
      <w:tblPr>
        <w:tblStyle w:val="17"/>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996"/>
        <w:gridCol w:w="773"/>
        <w:gridCol w:w="1276"/>
        <w:gridCol w:w="1134"/>
        <w:gridCol w:w="768"/>
        <w:gridCol w:w="649"/>
        <w:gridCol w:w="948"/>
        <w:gridCol w:w="1183"/>
      </w:tblGrid>
      <w:tr w14:paraId="3AC2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5" w:type="dxa"/>
            <w:noWrap w:val="0"/>
            <w:vAlign w:val="center"/>
          </w:tcPr>
          <w:p w14:paraId="09F7398C">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产品名称</w:t>
            </w:r>
          </w:p>
        </w:tc>
        <w:tc>
          <w:tcPr>
            <w:tcW w:w="996" w:type="dxa"/>
            <w:noWrap w:val="0"/>
            <w:vAlign w:val="center"/>
          </w:tcPr>
          <w:p w14:paraId="694F18C4">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品牌</w:t>
            </w:r>
          </w:p>
        </w:tc>
        <w:tc>
          <w:tcPr>
            <w:tcW w:w="773" w:type="dxa"/>
            <w:noWrap w:val="0"/>
            <w:vAlign w:val="center"/>
          </w:tcPr>
          <w:p w14:paraId="3D4EBB0A">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产地</w:t>
            </w:r>
          </w:p>
        </w:tc>
        <w:tc>
          <w:tcPr>
            <w:tcW w:w="1276" w:type="dxa"/>
            <w:noWrap w:val="0"/>
            <w:vAlign w:val="center"/>
          </w:tcPr>
          <w:p w14:paraId="6F13C66E">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1134" w:type="dxa"/>
            <w:noWrap w:val="0"/>
            <w:vAlign w:val="center"/>
          </w:tcPr>
          <w:p w14:paraId="6175671C">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配置</w:t>
            </w:r>
          </w:p>
        </w:tc>
        <w:tc>
          <w:tcPr>
            <w:tcW w:w="768" w:type="dxa"/>
            <w:noWrap w:val="0"/>
            <w:vAlign w:val="center"/>
          </w:tcPr>
          <w:p w14:paraId="44843AB2">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单位</w:t>
            </w:r>
          </w:p>
        </w:tc>
        <w:tc>
          <w:tcPr>
            <w:tcW w:w="649" w:type="dxa"/>
            <w:noWrap w:val="0"/>
            <w:vAlign w:val="center"/>
          </w:tcPr>
          <w:p w14:paraId="6969E31F">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数量</w:t>
            </w:r>
          </w:p>
        </w:tc>
        <w:tc>
          <w:tcPr>
            <w:tcW w:w="948" w:type="dxa"/>
            <w:noWrap w:val="0"/>
            <w:vAlign w:val="center"/>
          </w:tcPr>
          <w:p w14:paraId="699224FA">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单价</w:t>
            </w:r>
          </w:p>
        </w:tc>
        <w:tc>
          <w:tcPr>
            <w:tcW w:w="1183" w:type="dxa"/>
            <w:noWrap w:val="0"/>
            <w:vAlign w:val="center"/>
          </w:tcPr>
          <w:p w14:paraId="703F7E83">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金额</w:t>
            </w:r>
          </w:p>
        </w:tc>
      </w:tr>
      <w:tr w14:paraId="16D8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75" w:type="dxa"/>
            <w:noWrap w:val="0"/>
            <w:vAlign w:val="center"/>
          </w:tcPr>
          <w:p w14:paraId="34C89354">
            <w:pPr>
              <w:adjustRightInd w:val="0"/>
              <w:snapToGrid w:val="0"/>
              <w:rPr>
                <w:rFonts w:hint="eastAsia" w:ascii="宋体" w:hAnsi="宋体" w:cs="宋体"/>
                <w:color w:val="auto"/>
                <w:sz w:val="24"/>
                <w:highlight w:val="none"/>
              </w:rPr>
            </w:pPr>
          </w:p>
        </w:tc>
        <w:tc>
          <w:tcPr>
            <w:tcW w:w="996" w:type="dxa"/>
            <w:noWrap w:val="0"/>
            <w:vAlign w:val="center"/>
          </w:tcPr>
          <w:p w14:paraId="74CDAB02">
            <w:pPr>
              <w:adjustRightInd w:val="0"/>
              <w:snapToGrid w:val="0"/>
              <w:rPr>
                <w:rFonts w:hint="eastAsia" w:ascii="宋体" w:hAnsi="宋体" w:cs="宋体"/>
                <w:color w:val="auto"/>
                <w:sz w:val="24"/>
                <w:highlight w:val="none"/>
              </w:rPr>
            </w:pPr>
          </w:p>
        </w:tc>
        <w:tc>
          <w:tcPr>
            <w:tcW w:w="773" w:type="dxa"/>
            <w:noWrap w:val="0"/>
            <w:vAlign w:val="center"/>
          </w:tcPr>
          <w:p w14:paraId="5057D553">
            <w:pPr>
              <w:adjustRightInd w:val="0"/>
              <w:snapToGrid w:val="0"/>
              <w:rPr>
                <w:rFonts w:hint="eastAsia" w:ascii="宋体" w:hAnsi="宋体" w:cs="宋体"/>
                <w:color w:val="auto"/>
                <w:sz w:val="24"/>
                <w:highlight w:val="none"/>
              </w:rPr>
            </w:pPr>
          </w:p>
        </w:tc>
        <w:tc>
          <w:tcPr>
            <w:tcW w:w="1276" w:type="dxa"/>
            <w:noWrap w:val="0"/>
            <w:vAlign w:val="center"/>
          </w:tcPr>
          <w:p w14:paraId="3BC4717A">
            <w:pPr>
              <w:adjustRightInd w:val="0"/>
              <w:snapToGrid w:val="0"/>
              <w:rPr>
                <w:rFonts w:hint="eastAsia" w:ascii="宋体" w:hAnsi="宋体" w:cs="宋体"/>
                <w:color w:val="auto"/>
                <w:sz w:val="24"/>
                <w:highlight w:val="none"/>
              </w:rPr>
            </w:pPr>
          </w:p>
        </w:tc>
        <w:tc>
          <w:tcPr>
            <w:tcW w:w="1134" w:type="dxa"/>
            <w:noWrap w:val="0"/>
            <w:vAlign w:val="center"/>
          </w:tcPr>
          <w:p w14:paraId="715187D5">
            <w:pPr>
              <w:adjustRightInd w:val="0"/>
              <w:snapToGrid w:val="0"/>
              <w:rPr>
                <w:rFonts w:hint="eastAsia" w:ascii="宋体" w:hAnsi="宋体" w:cs="宋体"/>
                <w:color w:val="auto"/>
                <w:sz w:val="24"/>
                <w:highlight w:val="none"/>
              </w:rPr>
            </w:pPr>
          </w:p>
        </w:tc>
        <w:tc>
          <w:tcPr>
            <w:tcW w:w="768" w:type="dxa"/>
            <w:noWrap w:val="0"/>
            <w:vAlign w:val="center"/>
          </w:tcPr>
          <w:p w14:paraId="3A22D1E8">
            <w:pPr>
              <w:adjustRightInd w:val="0"/>
              <w:snapToGrid w:val="0"/>
              <w:rPr>
                <w:rFonts w:hint="eastAsia" w:ascii="宋体" w:hAnsi="宋体" w:cs="宋体"/>
                <w:color w:val="auto"/>
                <w:sz w:val="24"/>
                <w:highlight w:val="none"/>
              </w:rPr>
            </w:pPr>
          </w:p>
        </w:tc>
        <w:tc>
          <w:tcPr>
            <w:tcW w:w="649" w:type="dxa"/>
            <w:noWrap w:val="0"/>
            <w:vAlign w:val="center"/>
          </w:tcPr>
          <w:p w14:paraId="5D19F7FA">
            <w:pPr>
              <w:adjustRightInd w:val="0"/>
              <w:snapToGrid w:val="0"/>
              <w:rPr>
                <w:rFonts w:hint="eastAsia" w:ascii="宋体" w:hAnsi="宋体" w:cs="宋体"/>
                <w:color w:val="auto"/>
                <w:sz w:val="24"/>
                <w:highlight w:val="none"/>
              </w:rPr>
            </w:pPr>
          </w:p>
        </w:tc>
        <w:tc>
          <w:tcPr>
            <w:tcW w:w="948" w:type="dxa"/>
            <w:noWrap w:val="0"/>
            <w:vAlign w:val="center"/>
          </w:tcPr>
          <w:p w14:paraId="44F8ED8B">
            <w:pPr>
              <w:adjustRightInd w:val="0"/>
              <w:snapToGrid w:val="0"/>
              <w:rPr>
                <w:rFonts w:hint="eastAsia" w:ascii="宋体" w:hAnsi="宋体" w:cs="宋体"/>
                <w:color w:val="auto"/>
                <w:sz w:val="24"/>
                <w:highlight w:val="none"/>
              </w:rPr>
            </w:pPr>
          </w:p>
        </w:tc>
        <w:tc>
          <w:tcPr>
            <w:tcW w:w="1183" w:type="dxa"/>
            <w:noWrap w:val="0"/>
            <w:vAlign w:val="center"/>
          </w:tcPr>
          <w:p w14:paraId="08E4D606">
            <w:pPr>
              <w:adjustRightInd w:val="0"/>
              <w:snapToGrid w:val="0"/>
              <w:rPr>
                <w:rFonts w:hint="eastAsia" w:ascii="宋体" w:hAnsi="宋体" w:cs="宋体"/>
                <w:color w:val="auto"/>
                <w:sz w:val="24"/>
                <w:highlight w:val="none"/>
              </w:rPr>
            </w:pPr>
          </w:p>
        </w:tc>
      </w:tr>
      <w:tr w14:paraId="644B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75" w:type="dxa"/>
            <w:noWrap w:val="0"/>
            <w:vAlign w:val="center"/>
          </w:tcPr>
          <w:p w14:paraId="09394D27">
            <w:pPr>
              <w:adjustRightInd w:val="0"/>
              <w:snapToGrid w:val="0"/>
              <w:rPr>
                <w:rFonts w:hint="eastAsia" w:ascii="宋体" w:hAnsi="宋体" w:cs="宋体"/>
                <w:color w:val="auto"/>
                <w:sz w:val="24"/>
                <w:highlight w:val="none"/>
              </w:rPr>
            </w:pPr>
          </w:p>
        </w:tc>
        <w:tc>
          <w:tcPr>
            <w:tcW w:w="996" w:type="dxa"/>
            <w:noWrap w:val="0"/>
            <w:vAlign w:val="center"/>
          </w:tcPr>
          <w:p w14:paraId="7CAB0861">
            <w:pPr>
              <w:adjustRightInd w:val="0"/>
              <w:snapToGrid w:val="0"/>
              <w:rPr>
                <w:rFonts w:hint="eastAsia" w:ascii="宋体" w:hAnsi="宋体" w:cs="宋体"/>
                <w:color w:val="auto"/>
                <w:sz w:val="24"/>
                <w:highlight w:val="none"/>
              </w:rPr>
            </w:pPr>
          </w:p>
        </w:tc>
        <w:tc>
          <w:tcPr>
            <w:tcW w:w="773" w:type="dxa"/>
            <w:noWrap w:val="0"/>
            <w:vAlign w:val="center"/>
          </w:tcPr>
          <w:p w14:paraId="75B87E2D">
            <w:pPr>
              <w:adjustRightInd w:val="0"/>
              <w:snapToGrid w:val="0"/>
              <w:rPr>
                <w:rFonts w:hint="eastAsia" w:ascii="宋体" w:hAnsi="宋体" w:cs="宋体"/>
                <w:color w:val="auto"/>
                <w:sz w:val="24"/>
                <w:highlight w:val="none"/>
              </w:rPr>
            </w:pPr>
          </w:p>
        </w:tc>
        <w:tc>
          <w:tcPr>
            <w:tcW w:w="1276" w:type="dxa"/>
            <w:noWrap w:val="0"/>
            <w:vAlign w:val="center"/>
          </w:tcPr>
          <w:p w14:paraId="574560A6">
            <w:pPr>
              <w:adjustRightInd w:val="0"/>
              <w:snapToGrid w:val="0"/>
              <w:rPr>
                <w:rFonts w:hint="eastAsia" w:ascii="宋体" w:hAnsi="宋体" w:cs="宋体"/>
                <w:color w:val="auto"/>
                <w:sz w:val="24"/>
                <w:highlight w:val="none"/>
              </w:rPr>
            </w:pPr>
          </w:p>
        </w:tc>
        <w:tc>
          <w:tcPr>
            <w:tcW w:w="1134" w:type="dxa"/>
            <w:noWrap w:val="0"/>
            <w:vAlign w:val="center"/>
          </w:tcPr>
          <w:p w14:paraId="51949E1D">
            <w:pPr>
              <w:adjustRightInd w:val="0"/>
              <w:snapToGrid w:val="0"/>
              <w:rPr>
                <w:rFonts w:hint="eastAsia" w:ascii="宋体" w:hAnsi="宋体" w:cs="宋体"/>
                <w:color w:val="auto"/>
                <w:sz w:val="24"/>
                <w:highlight w:val="none"/>
              </w:rPr>
            </w:pPr>
          </w:p>
        </w:tc>
        <w:tc>
          <w:tcPr>
            <w:tcW w:w="768" w:type="dxa"/>
            <w:noWrap w:val="0"/>
            <w:vAlign w:val="center"/>
          </w:tcPr>
          <w:p w14:paraId="715B0F05">
            <w:pPr>
              <w:adjustRightInd w:val="0"/>
              <w:snapToGrid w:val="0"/>
              <w:rPr>
                <w:rFonts w:hint="eastAsia" w:ascii="宋体" w:hAnsi="宋体" w:cs="宋体"/>
                <w:color w:val="auto"/>
                <w:sz w:val="24"/>
                <w:highlight w:val="none"/>
              </w:rPr>
            </w:pPr>
          </w:p>
        </w:tc>
        <w:tc>
          <w:tcPr>
            <w:tcW w:w="649" w:type="dxa"/>
            <w:noWrap w:val="0"/>
            <w:vAlign w:val="center"/>
          </w:tcPr>
          <w:p w14:paraId="0524D462">
            <w:pPr>
              <w:adjustRightInd w:val="0"/>
              <w:snapToGrid w:val="0"/>
              <w:rPr>
                <w:rFonts w:hint="eastAsia" w:ascii="宋体" w:hAnsi="宋体" w:cs="宋体"/>
                <w:color w:val="auto"/>
                <w:sz w:val="24"/>
                <w:highlight w:val="none"/>
              </w:rPr>
            </w:pPr>
          </w:p>
        </w:tc>
        <w:tc>
          <w:tcPr>
            <w:tcW w:w="948" w:type="dxa"/>
            <w:noWrap w:val="0"/>
            <w:vAlign w:val="center"/>
          </w:tcPr>
          <w:p w14:paraId="3445E1B0">
            <w:pPr>
              <w:adjustRightInd w:val="0"/>
              <w:snapToGrid w:val="0"/>
              <w:rPr>
                <w:rFonts w:hint="eastAsia" w:ascii="宋体" w:hAnsi="宋体" w:cs="宋体"/>
                <w:color w:val="auto"/>
                <w:sz w:val="24"/>
                <w:highlight w:val="none"/>
              </w:rPr>
            </w:pPr>
          </w:p>
        </w:tc>
        <w:tc>
          <w:tcPr>
            <w:tcW w:w="1183" w:type="dxa"/>
            <w:noWrap w:val="0"/>
            <w:vAlign w:val="center"/>
          </w:tcPr>
          <w:p w14:paraId="19F9AE2B">
            <w:pPr>
              <w:adjustRightInd w:val="0"/>
              <w:snapToGrid w:val="0"/>
              <w:rPr>
                <w:rFonts w:hint="eastAsia" w:ascii="宋体" w:hAnsi="宋体" w:cs="宋体"/>
                <w:color w:val="auto"/>
                <w:sz w:val="24"/>
                <w:highlight w:val="none"/>
              </w:rPr>
            </w:pPr>
          </w:p>
        </w:tc>
      </w:tr>
      <w:tr w14:paraId="272C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75" w:type="dxa"/>
            <w:noWrap w:val="0"/>
            <w:vAlign w:val="center"/>
          </w:tcPr>
          <w:p w14:paraId="73C3B67D">
            <w:pPr>
              <w:adjustRightInd w:val="0"/>
              <w:snapToGrid w:val="0"/>
              <w:rPr>
                <w:rFonts w:hint="eastAsia" w:ascii="宋体" w:hAnsi="宋体" w:cs="宋体"/>
                <w:color w:val="auto"/>
                <w:sz w:val="24"/>
                <w:highlight w:val="none"/>
              </w:rPr>
            </w:pPr>
          </w:p>
        </w:tc>
        <w:tc>
          <w:tcPr>
            <w:tcW w:w="996" w:type="dxa"/>
            <w:noWrap w:val="0"/>
            <w:vAlign w:val="center"/>
          </w:tcPr>
          <w:p w14:paraId="396DDF5C">
            <w:pPr>
              <w:adjustRightInd w:val="0"/>
              <w:snapToGrid w:val="0"/>
              <w:rPr>
                <w:rFonts w:hint="eastAsia" w:ascii="宋体" w:hAnsi="宋体" w:cs="宋体"/>
                <w:color w:val="auto"/>
                <w:sz w:val="24"/>
                <w:highlight w:val="none"/>
              </w:rPr>
            </w:pPr>
          </w:p>
        </w:tc>
        <w:tc>
          <w:tcPr>
            <w:tcW w:w="773" w:type="dxa"/>
            <w:noWrap w:val="0"/>
            <w:vAlign w:val="center"/>
          </w:tcPr>
          <w:p w14:paraId="0A037977">
            <w:pPr>
              <w:adjustRightInd w:val="0"/>
              <w:snapToGrid w:val="0"/>
              <w:rPr>
                <w:rFonts w:hint="eastAsia" w:ascii="宋体" w:hAnsi="宋体" w:cs="宋体"/>
                <w:color w:val="auto"/>
                <w:sz w:val="24"/>
                <w:highlight w:val="none"/>
              </w:rPr>
            </w:pPr>
          </w:p>
        </w:tc>
        <w:tc>
          <w:tcPr>
            <w:tcW w:w="1276" w:type="dxa"/>
            <w:noWrap w:val="0"/>
            <w:vAlign w:val="center"/>
          </w:tcPr>
          <w:p w14:paraId="325D4AF1">
            <w:pPr>
              <w:adjustRightInd w:val="0"/>
              <w:snapToGrid w:val="0"/>
              <w:rPr>
                <w:rFonts w:hint="eastAsia" w:ascii="宋体" w:hAnsi="宋体" w:cs="宋体"/>
                <w:color w:val="auto"/>
                <w:sz w:val="24"/>
                <w:highlight w:val="none"/>
              </w:rPr>
            </w:pPr>
          </w:p>
        </w:tc>
        <w:tc>
          <w:tcPr>
            <w:tcW w:w="1134" w:type="dxa"/>
            <w:noWrap w:val="0"/>
            <w:vAlign w:val="center"/>
          </w:tcPr>
          <w:p w14:paraId="43318C2C">
            <w:pPr>
              <w:adjustRightInd w:val="0"/>
              <w:snapToGrid w:val="0"/>
              <w:rPr>
                <w:rFonts w:hint="eastAsia" w:ascii="宋体" w:hAnsi="宋体" w:cs="宋体"/>
                <w:color w:val="auto"/>
                <w:sz w:val="24"/>
                <w:highlight w:val="none"/>
              </w:rPr>
            </w:pPr>
          </w:p>
        </w:tc>
        <w:tc>
          <w:tcPr>
            <w:tcW w:w="768" w:type="dxa"/>
            <w:noWrap w:val="0"/>
            <w:vAlign w:val="center"/>
          </w:tcPr>
          <w:p w14:paraId="1E545F56">
            <w:pPr>
              <w:adjustRightInd w:val="0"/>
              <w:snapToGrid w:val="0"/>
              <w:rPr>
                <w:rFonts w:hint="eastAsia" w:ascii="宋体" w:hAnsi="宋体" w:cs="宋体"/>
                <w:color w:val="auto"/>
                <w:sz w:val="24"/>
                <w:highlight w:val="none"/>
              </w:rPr>
            </w:pPr>
          </w:p>
        </w:tc>
        <w:tc>
          <w:tcPr>
            <w:tcW w:w="649" w:type="dxa"/>
            <w:noWrap w:val="0"/>
            <w:vAlign w:val="center"/>
          </w:tcPr>
          <w:p w14:paraId="2C912F02">
            <w:pPr>
              <w:adjustRightInd w:val="0"/>
              <w:snapToGrid w:val="0"/>
              <w:rPr>
                <w:rFonts w:hint="eastAsia" w:ascii="宋体" w:hAnsi="宋体" w:cs="宋体"/>
                <w:color w:val="auto"/>
                <w:sz w:val="24"/>
                <w:highlight w:val="none"/>
              </w:rPr>
            </w:pPr>
          </w:p>
        </w:tc>
        <w:tc>
          <w:tcPr>
            <w:tcW w:w="948" w:type="dxa"/>
            <w:noWrap w:val="0"/>
            <w:vAlign w:val="center"/>
          </w:tcPr>
          <w:p w14:paraId="26DEC7CB">
            <w:pPr>
              <w:adjustRightInd w:val="0"/>
              <w:snapToGrid w:val="0"/>
              <w:rPr>
                <w:rFonts w:hint="eastAsia" w:ascii="宋体" w:hAnsi="宋体" w:cs="宋体"/>
                <w:color w:val="auto"/>
                <w:sz w:val="24"/>
                <w:highlight w:val="none"/>
              </w:rPr>
            </w:pPr>
          </w:p>
        </w:tc>
        <w:tc>
          <w:tcPr>
            <w:tcW w:w="1183" w:type="dxa"/>
            <w:noWrap w:val="0"/>
            <w:vAlign w:val="center"/>
          </w:tcPr>
          <w:p w14:paraId="61F55DFB">
            <w:pPr>
              <w:adjustRightInd w:val="0"/>
              <w:snapToGrid w:val="0"/>
              <w:rPr>
                <w:rFonts w:hint="eastAsia" w:ascii="宋体" w:hAnsi="宋体" w:cs="宋体"/>
                <w:color w:val="auto"/>
                <w:sz w:val="24"/>
                <w:highlight w:val="none"/>
              </w:rPr>
            </w:pPr>
          </w:p>
        </w:tc>
      </w:tr>
      <w:tr w14:paraId="4CC7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75" w:type="dxa"/>
            <w:noWrap w:val="0"/>
            <w:vAlign w:val="center"/>
          </w:tcPr>
          <w:p w14:paraId="1729D33B">
            <w:pPr>
              <w:adjustRightInd w:val="0"/>
              <w:snapToGrid w:val="0"/>
              <w:rPr>
                <w:rFonts w:hint="eastAsia" w:ascii="宋体" w:hAnsi="宋体" w:cs="宋体"/>
                <w:color w:val="auto"/>
                <w:sz w:val="24"/>
                <w:highlight w:val="none"/>
              </w:rPr>
            </w:pPr>
          </w:p>
        </w:tc>
        <w:tc>
          <w:tcPr>
            <w:tcW w:w="996" w:type="dxa"/>
            <w:noWrap w:val="0"/>
            <w:vAlign w:val="center"/>
          </w:tcPr>
          <w:p w14:paraId="7C716EB0">
            <w:pPr>
              <w:adjustRightInd w:val="0"/>
              <w:snapToGrid w:val="0"/>
              <w:rPr>
                <w:rFonts w:hint="eastAsia" w:ascii="宋体" w:hAnsi="宋体" w:cs="宋体"/>
                <w:color w:val="auto"/>
                <w:sz w:val="24"/>
                <w:highlight w:val="none"/>
              </w:rPr>
            </w:pPr>
          </w:p>
        </w:tc>
        <w:tc>
          <w:tcPr>
            <w:tcW w:w="773" w:type="dxa"/>
            <w:noWrap w:val="0"/>
            <w:vAlign w:val="center"/>
          </w:tcPr>
          <w:p w14:paraId="3B13F6DB">
            <w:pPr>
              <w:adjustRightInd w:val="0"/>
              <w:snapToGrid w:val="0"/>
              <w:rPr>
                <w:rFonts w:hint="eastAsia" w:ascii="宋体" w:hAnsi="宋体" w:cs="宋体"/>
                <w:color w:val="auto"/>
                <w:sz w:val="24"/>
                <w:highlight w:val="none"/>
              </w:rPr>
            </w:pPr>
          </w:p>
        </w:tc>
        <w:tc>
          <w:tcPr>
            <w:tcW w:w="1276" w:type="dxa"/>
            <w:noWrap w:val="0"/>
            <w:vAlign w:val="center"/>
          </w:tcPr>
          <w:p w14:paraId="2AC7B772">
            <w:pPr>
              <w:adjustRightInd w:val="0"/>
              <w:snapToGrid w:val="0"/>
              <w:rPr>
                <w:rFonts w:hint="eastAsia" w:ascii="宋体" w:hAnsi="宋体" w:cs="宋体"/>
                <w:color w:val="auto"/>
                <w:sz w:val="24"/>
                <w:highlight w:val="none"/>
              </w:rPr>
            </w:pPr>
          </w:p>
        </w:tc>
        <w:tc>
          <w:tcPr>
            <w:tcW w:w="1134" w:type="dxa"/>
            <w:noWrap w:val="0"/>
            <w:vAlign w:val="center"/>
          </w:tcPr>
          <w:p w14:paraId="23E4692B">
            <w:pPr>
              <w:adjustRightInd w:val="0"/>
              <w:snapToGrid w:val="0"/>
              <w:rPr>
                <w:rFonts w:hint="eastAsia" w:ascii="宋体" w:hAnsi="宋体" w:cs="宋体"/>
                <w:color w:val="auto"/>
                <w:sz w:val="24"/>
                <w:highlight w:val="none"/>
              </w:rPr>
            </w:pPr>
          </w:p>
        </w:tc>
        <w:tc>
          <w:tcPr>
            <w:tcW w:w="768" w:type="dxa"/>
            <w:noWrap w:val="0"/>
            <w:vAlign w:val="center"/>
          </w:tcPr>
          <w:p w14:paraId="1C9CC45C">
            <w:pPr>
              <w:adjustRightInd w:val="0"/>
              <w:snapToGrid w:val="0"/>
              <w:rPr>
                <w:rFonts w:hint="eastAsia" w:ascii="宋体" w:hAnsi="宋体" w:cs="宋体"/>
                <w:color w:val="auto"/>
                <w:sz w:val="24"/>
                <w:highlight w:val="none"/>
              </w:rPr>
            </w:pPr>
          </w:p>
        </w:tc>
        <w:tc>
          <w:tcPr>
            <w:tcW w:w="649" w:type="dxa"/>
            <w:noWrap w:val="0"/>
            <w:vAlign w:val="center"/>
          </w:tcPr>
          <w:p w14:paraId="192E52BF">
            <w:pPr>
              <w:adjustRightInd w:val="0"/>
              <w:snapToGrid w:val="0"/>
              <w:rPr>
                <w:rFonts w:hint="eastAsia" w:ascii="宋体" w:hAnsi="宋体" w:cs="宋体"/>
                <w:color w:val="auto"/>
                <w:sz w:val="24"/>
                <w:highlight w:val="none"/>
              </w:rPr>
            </w:pPr>
          </w:p>
        </w:tc>
        <w:tc>
          <w:tcPr>
            <w:tcW w:w="948" w:type="dxa"/>
            <w:noWrap w:val="0"/>
            <w:vAlign w:val="center"/>
          </w:tcPr>
          <w:p w14:paraId="399094E0">
            <w:pPr>
              <w:adjustRightInd w:val="0"/>
              <w:snapToGrid w:val="0"/>
              <w:rPr>
                <w:rFonts w:hint="eastAsia" w:ascii="宋体" w:hAnsi="宋体" w:cs="宋体"/>
                <w:color w:val="auto"/>
                <w:sz w:val="24"/>
                <w:highlight w:val="none"/>
              </w:rPr>
            </w:pPr>
          </w:p>
        </w:tc>
        <w:tc>
          <w:tcPr>
            <w:tcW w:w="1183" w:type="dxa"/>
            <w:noWrap w:val="0"/>
            <w:vAlign w:val="center"/>
          </w:tcPr>
          <w:p w14:paraId="4C9F0A58">
            <w:pPr>
              <w:adjustRightInd w:val="0"/>
              <w:snapToGrid w:val="0"/>
              <w:rPr>
                <w:rFonts w:hint="eastAsia" w:ascii="宋体" w:hAnsi="宋体" w:cs="宋体"/>
                <w:color w:val="auto"/>
                <w:sz w:val="24"/>
                <w:highlight w:val="none"/>
              </w:rPr>
            </w:pPr>
          </w:p>
        </w:tc>
      </w:tr>
      <w:tr w14:paraId="30E66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75" w:type="dxa"/>
            <w:noWrap w:val="0"/>
            <w:vAlign w:val="center"/>
          </w:tcPr>
          <w:p w14:paraId="2D3F2E24">
            <w:pPr>
              <w:adjustRightInd w:val="0"/>
              <w:snapToGrid w:val="0"/>
              <w:rPr>
                <w:rFonts w:hint="eastAsia" w:ascii="宋体" w:hAnsi="宋体" w:cs="宋体"/>
                <w:color w:val="auto"/>
                <w:sz w:val="24"/>
                <w:highlight w:val="none"/>
              </w:rPr>
            </w:pPr>
          </w:p>
        </w:tc>
        <w:tc>
          <w:tcPr>
            <w:tcW w:w="996" w:type="dxa"/>
            <w:noWrap w:val="0"/>
            <w:vAlign w:val="center"/>
          </w:tcPr>
          <w:p w14:paraId="0A4A9D47">
            <w:pPr>
              <w:adjustRightInd w:val="0"/>
              <w:snapToGrid w:val="0"/>
              <w:rPr>
                <w:rFonts w:hint="eastAsia" w:ascii="宋体" w:hAnsi="宋体" w:cs="宋体"/>
                <w:color w:val="auto"/>
                <w:sz w:val="24"/>
                <w:highlight w:val="none"/>
              </w:rPr>
            </w:pPr>
          </w:p>
        </w:tc>
        <w:tc>
          <w:tcPr>
            <w:tcW w:w="773" w:type="dxa"/>
            <w:noWrap w:val="0"/>
            <w:vAlign w:val="center"/>
          </w:tcPr>
          <w:p w14:paraId="001EFE76">
            <w:pPr>
              <w:adjustRightInd w:val="0"/>
              <w:snapToGrid w:val="0"/>
              <w:rPr>
                <w:rFonts w:hint="eastAsia" w:ascii="宋体" w:hAnsi="宋体" w:cs="宋体"/>
                <w:color w:val="auto"/>
                <w:sz w:val="24"/>
                <w:highlight w:val="none"/>
              </w:rPr>
            </w:pPr>
          </w:p>
        </w:tc>
        <w:tc>
          <w:tcPr>
            <w:tcW w:w="1276" w:type="dxa"/>
            <w:noWrap w:val="0"/>
            <w:vAlign w:val="center"/>
          </w:tcPr>
          <w:p w14:paraId="573E83D4">
            <w:pPr>
              <w:adjustRightInd w:val="0"/>
              <w:snapToGrid w:val="0"/>
              <w:rPr>
                <w:rFonts w:hint="eastAsia" w:ascii="宋体" w:hAnsi="宋体" w:cs="宋体"/>
                <w:color w:val="auto"/>
                <w:sz w:val="24"/>
                <w:highlight w:val="none"/>
              </w:rPr>
            </w:pPr>
          </w:p>
        </w:tc>
        <w:tc>
          <w:tcPr>
            <w:tcW w:w="1134" w:type="dxa"/>
            <w:noWrap w:val="0"/>
            <w:vAlign w:val="center"/>
          </w:tcPr>
          <w:p w14:paraId="7C26EF8D">
            <w:pPr>
              <w:adjustRightInd w:val="0"/>
              <w:snapToGrid w:val="0"/>
              <w:rPr>
                <w:rFonts w:hint="eastAsia" w:ascii="宋体" w:hAnsi="宋体" w:cs="宋体"/>
                <w:color w:val="auto"/>
                <w:sz w:val="24"/>
                <w:highlight w:val="none"/>
              </w:rPr>
            </w:pPr>
          </w:p>
        </w:tc>
        <w:tc>
          <w:tcPr>
            <w:tcW w:w="768" w:type="dxa"/>
            <w:noWrap w:val="0"/>
            <w:vAlign w:val="center"/>
          </w:tcPr>
          <w:p w14:paraId="6F28516A">
            <w:pPr>
              <w:adjustRightInd w:val="0"/>
              <w:snapToGrid w:val="0"/>
              <w:rPr>
                <w:rFonts w:hint="eastAsia" w:ascii="宋体" w:hAnsi="宋体" w:cs="宋体"/>
                <w:color w:val="auto"/>
                <w:sz w:val="24"/>
                <w:highlight w:val="none"/>
              </w:rPr>
            </w:pPr>
          </w:p>
        </w:tc>
        <w:tc>
          <w:tcPr>
            <w:tcW w:w="649" w:type="dxa"/>
            <w:noWrap w:val="0"/>
            <w:vAlign w:val="center"/>
          </w:tcPr>
          <w:p w14:paraId="3C9432CA">
            <w:pPr>
              <w:adjustRightInd w:val="0"/>
              <w:snapToGrid w:val="0"/>
              <w:rPr>
                <w:rFonts w:hint="eastAsia" w:ascii="宋体" w:hAnsi="宋体" w:cs="宋体"/>
                <w:color w:val="auto"/>
                <w:sz w:val="24"/>
                <w:highlight w:val="none"/>
              </w:rPr>
            </w:pPr>
          </w:p>
        </w:tc>
        <w:tc>
          <w:tcPr>
            <w:tcW w:w="948" w:type="dxa"/>
            <w:noWrap w:val="0"/>
            <w:vAlign w:val="center"/>
          </w:tcPr>
          <w:p w14:paraId="5410FAC1">
            <w:pPr>
              <w:adjustRightInd w:val="0"/>
              <w:snapToGrid w:val="0"/>
              <w:rPr>
                <w:rFonts w:hint="eastAsia" w:ascii="宋体" w:hAnsi="宋体" w:cs="宋体"/>
                <w:color w:val="auto"/>
                <w:sz w:val="24"/>
                <w:highlight w:val="none"/>
              </w:rPr>
            </w:pPr>
          </w:p>
        </w:tc>
        <w:tc>
          <w:tcPr>
            <w:tcW w:w="1183" w:type="dxa"/>
            <w:noWrap w:val="0"/>
            <w:vAlign w:val="center"/>
          </w:tcPr>
          <w:p w14:paraId="6D644255">
            <w:pPr>
              <w:adjustRightInd w:val="0"/>
              <w:snapToGrid w:val="0"/>
              <w:rPr>
                <w:rFonts w:hint="eastAsia" w:ascii="宋体" w:hAnsi="宋体" w:cs="宋体"/>
                <w:color w:val="auto"/>
                <w:sz w:val="24"/>
                <w:highlight w:val="none"/>
              </w:rPr>
            </w:pPr>
          </w:p>
        </w:tc>
      </w:tr>
      <w:tr w14:paraId="460D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202" w:type="dxa"/>
            <w:gridSpan w:val="9"/>
            <w:noWrap w:val="0"/>
            <w:vAlign w:val="center"/>
          </w:tcPr>
          <w:p w14:paraId="2F42F000">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 xml:space="preserve">合计金额（小写）： </w:t>
            </w:r>
          </w:p>
        </w:tc>
      </w:tr>
      <w:tr w14:paraId="4086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202" w:type="dxa"/>
            <w:gridSpan w:val="9"/>
            <w:noWrap w:val="0"/>
            <w:vAlign w:val="center"/>
          </w:tcPr>
          <w:p w14:paraId="3C923ED1">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合计人民币金额（大写）：</w:t>
            </w:r>
          </w:p>
        </w:tc>
      </w:tr>
      <w:tr w14:paraId="45D3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2" w:type="dxa"/>
            <w:gridSpan w:val="9"/>
            <w:noWrap w:val="0"/>
            <w:vAlign w:val="center"/>
          </w:tcPr>
          <w:p w14:paraId="793C273E">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备注：1. 若渠道合同，注明合同有效期（具体时间）。</w:t>
            </w:r>
          </w:p>
          <w:p w14:paraId="3BE78243">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 xml:space="preserve">      2. 若有配套耗材或易损件，请在附件：配套耗材或易损件明细表填写。</w:t>
            </w:r>
          </w:p>
          <w:p w14:paraId="6DCD4F64">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 xml:space="preserve">      3.</w:t>
            </w:r>
          </w:p>
          <w:p w14:paraId="7C91D86D">
            <w:pPr>
              <w:adjustRightInd w:val="0"/>
              <w:snapToGrid w:val="0"/>
              <w:ind w:firstLine="720" w:firstLineChars="300"/>
              <w:rPr>
                <w:rFonts w:hint="eastAsia" w:ascii="宋体" w:hAnsi="宋体" w:cs="宋体"/>
                <w:color w:val="auto"/>
                <w:sz w:val="24"/>
                <w:highlight w:val="none"/>
              </w:rPr>
            </w:pPr>
            <w:r>
              <w:rPr>
                <w:rFonts w:hint="eastAsia" w:ascii="宋体" w:hAnsi="宋体" w:cs="宋体"/>
                <w:color w:val="auto"/>
                <w:sz w:val="24"/>
                <w:highlight w:val="none"/>
              </w:rPr>
              <w:t>4.</w:t>
            </w:r>
          </w:p>
        </w:tc>
      </w:tr>
    </w:tbl>
    <w:p w14:paraId="583DEE6D">
      <w:pPr>
        <w:spacing w:line="30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附件：配套耗材或易损件明细表                                  （单位：元）</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1984"/>
        <w:gridCol w:w="1491"/>
        <w:gridCol w:w="777"/>
        <w:gridCol w:w="709"/>
        <w:gridCol w:w="1073"/>
        <w:gridCol w:w="992"/>
      </w:tblGrid>
      <w:tr w14:paraId="1631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181" w:type="dxa"/>
            <w:noWrap w:val="0"/>
            <w:vAlign w:val="center"/>
          </w:tcPr>
          <w:p w14:paraId="7CC79A02">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产品名称</w:t>
            </w:r>
          </w:p>
        </w:tc>
        <w:tc>
          <w:tcPr>
            <w:tcW w:w="1984" w:type="dxa"/>
            <w:noWrap w:val="0"/>
            <w:vAlign w:val="center"/>
          </w:tcPr>
          <w:p w14:paraId="7D81A13E">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生产厂家、品牌</w:t>
            </w:r>
          </w:p>
        </w:tc>
        <w:tc>
          <w:tcPr>
            <w:tcW w:w="1491" w:type="dxa"/>
            <w:noWrap w:val="0"/>
            <w:vAlign w:val="center"/>
          </w:tcPr>
          <w:p w14:paraId="7D3BEDD9">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777" w:type="dxa"/>
            <w:noWrap w:val="0"/>
            <w:vAlign w:val="center"/>
          </w:tcPr>
          <w:p w14:paraId="3B315DC0">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单位</w:t>
            </w:r>
          </w:p>
        </w:tc>
        <w:tc>
          <w:tcPr>
            <w:tcW w:w="709" w:type="dxa"/>
            <w:noWrap w:val="0"/>
            <w:vAlign w:val="center"/>
          </w:tcPr>
          <w:p w14:paraId="5A664F2A">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单价</w:t>
            </w:r>
          </w:p>
        </w:tc>
        <w:tc>
          <w:tcPr>
            <w:tcW w:w="1073" w:type="dxa"/>
            <w:noWrap w:val="0"/>
            <w:vAlign w:val="center"/>
          </w:tcPr>
          <w:p w14:paraId="6753782B">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992" w:type="dxa"/>
            <w:noWrap w:val="0"/>
            <w:vAlign w:val="center"/>
          </w:tcPr>
          <w:p w14:paraId="42CF06E5">
            <w:pPr>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金额</w:t>
            </w:r>
          </w:p>
        </w:tc>
      </w:tr>
      <w:tr w14:paraId="7B4D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181" w:type="dxa"/>
            <w:noWrap w:val="0"/>
            <w:vAlign w:val="center"/>
          </w:tcPr>
          <w:p w14:paraId="3C89554C">
            <w:pPr>
              <w:adjustRightInd w:val="0"/>
              <w:snapToGrid w:val="0"/>
              <w:jc w:val="center"/>
              <w:rPr>
                <w:rFonts w:hint="eastAsia" w:ascii="宋体" w:hAnsi="宋体" w:cs="宋体"/>
                <w:color w:val="auto"/>
                <w:sz w:val="24"/>
                <w:highlight w:val="none"/>
              </w:rPr>
            </w:pPr>
          </w:p>
        </w:tc>
        <w:tc>
          <w:tcPr>
            <w:tcW w:w="1984" w:type="dxa"/>
            <w:noWrap w:val="0"/>
            <w:vAlign w:val="center"/>
          </w:tcPr>
          <w:p w14:paraId="63A4A4E7">
            <w:pPr>
              <w:adjustRightInd w:val="0"/>
              <w:snapToGrid w:val="0"/>
              <w:rPr>
                <w:rFonts w:hint="eastAsia" w:ascii="宋体" w:hAnsi="宋体" w:cs="宋体"/>
                <w:color w:val="auto"/>
                <w:sz w:val="24"/>
                <w:highlight w:val="none"/>
              </w:rPr>
            </w:pPr>
          </w:p>
        </w:tc>
        <w:tc>
          <w:tcPr>
            <w:tcW w:w="1491" w:type="dxa"/>
            <w:noWrap w:val="0"/>
            <w:vAlign w:val="center"/>
          </w:tcPr>
          <w:p w14:paraId="2FE245CF">
            <w:pPr>
              <w:adjustRightInd w:val="0"/>
              <w:snapToGrid w:val="0"/>
              <w:rPr>
                <w:rFonts w:hint="eastAsia" w:ascii="宋体" w:hAnsi="宋体" w:cs="宋体"/>
                <w:color w:val="auto"/>
                <w:sz w:val="24"/>
                <w:highlight w:val="none"/>
              </w:rPr>
            </w:pPr>
          </w:p>
        </w:tc>
        <w:tc>
          <w:tcPr>
            <w:tcW w:w="777" w:type="dxa"/>
            <w:noWrap w:val="0"/>
            <w:vAlign w:val="center"/>
          </w:tcPr>
          <w:p w14:paraId="2A1EF07D">
            <w:pPr>
              <w:adjustRightInd w:val="0"/>
              <w:snapToGrid w:val="0"/>
              <w:jc w:val="center"/>
              <w:rPr>
                <w:rFonts w:hint="eastAsia" w:ascii="宋体" w:hAnsi="宋体" w:cs="宋体"/>
                <w:color w:val="auto"/>
                <w:sz w:val="24"/>
                <w:highlight w:val="none"/>
              </w:rPr>
            </w:pPr>
          </w:p>
        </w:tc>
        <w:tc>
          <w:tcPr>
            <w:tcW w:w="709" w:type="dxa"/>
            <w:noWrap w:val="0"/>
            <w:vAlign w:val="center"/>
          </w:tcPr>
          <w:p w14:paraId="46A77EBE">
            <w:pPr>
              <w:adjustRightInd w:val="0"/>
              <w:snapToGrid w:val="0"/>
              <w:ind w:left="120" w:hanging="120" w:hangingChars="50"/>
              <w:rPr>
                <w:rFonts w:hint="eastAsia" w:ascii="宋体" w:hAnsi="宋体" w:cs="宋体"/>
                <w:color w:val="auto"/>
                <w:sz w:val="24"/>
                <w:highlight w:val="none"/>
              </w:rPr>
            </w:pPr>
          </w:p>
        </w:tc>
        <w:tc>
          <w:tcPr>
            <w:tcW w:w="1073" w:type="dxa"/>
            <w:noWrap w:val="0"/>
            <w:vAlign w:val="center"/>
          </w:tcPr>
          <w:p w14:paraId="36DD4943">
            <w:pPr>
              <w:adjustRightInd w:val="0"/>
              <w:snapToGrid w:val="0"/>
              <w:jc w:val="center"/>
              <w:rPr>
                <w:rFonts w:hint="eastAsia" w:ascii="宋体" w:hAnsi="宋体" w:cs="宋体"/>
                <w:color w:val="auto"/>
                <w:sz w:val="24"/>
                <w:highlight w:val="none"/>
              </w:rPr>
            </w:pPr>
          </w:p>
        </w:tc>
        <w:tc>
          <w:tcPr>
            <w:tcW w:w="992" w:type="dxa"/>
            <w:noWrap w:val="0"/>
            <w:vAlign w:val="center"/>
          </w:tcPr>
          <w:p w14:paraId="3E510FDD">
            <w:pPr>
              <w:adjustRightInd w:val="0"/>
              <w:snapToGrid w:val="0"/>
              <w:rPr>
                <w:rFonts w:hint="eastAsia" w:ascii="宋体" w:hAnsi="宋体" w:cs="宋体"/>
                <w:color w:val="auto"/>
                <w:sz w:val="24"/>
                <w:highlight w:val="none"/>
              </w:rPr>
            </w:pPr>
          </w:p>
        </w:tc>
      </w:tr>
      <w:tr w14:paraId="7DE9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181" w:type="dxa"/>
            <w:noWrap w:val="0"/>
            <w:vAlign w:val="center"/>
          </w:tcPr>
          <w:p w14:paraId="74DEB472">
            <w:pPr>
              <w:adjustRightInd w:val="0"/>
              <w:snapToGrid w:val="0"/>
              <w:jc w:val="center"/>
              <w:rPr>
                <w:rFonts w:hint="eastAsia" w:ascii="宋体" w:hAnsi="宋体" w:cs="宋体"/>
                <w:color w:val="auto"/>
                <w:sz w:val="24"/>
                <w:highlight w:val="none"/>
              </w:rPr>
            </w:pPr>
          </w:p>
        </w:tc>
        <w:tc>
          <w:tcPr>
            <w:tcW w:w="1984" w:type="dxa"/>
            <w:noWrap w:val="0"/>
            <w:vAlign w:val="center"/>
          </w:tcPr>
          <w:p w14:paraId="3002985C">
            <w:pPr>
              <w:adjustRightInd w:val="0"/>
              <w:snapToGrid w:val="0"/>
              <w:rPr>
                <w:rFonts w:hint="eastAsia" w:ascii="宋体" w:hAnsi="宋体" w:cs="宋体"/>
                <w:color w:val="auto"/>
                <w:sz w:val="24"/>
                <w:highlight w:val="none"/>
              </w:rPr>
            </w:pPr>
          </w:p>
        </w:tc>
        <w:tc>
          <w:tcPr>
            <w:tcW w:w="1491" w:type="dxa"/>
            <w:noWrap w:val="0"/>
            <w:vAlign w:val="center"/>
          </w:tcPr>
          <w:p w14:paraId="077F37D9">
            <w:pPr>
              <w:adjustRightInd w:val="0"/>
              <w:snapToGrid w:val="0"/>
              <w:rPr>
                <w:rFonts w:hint="eastAsia" w:ascii="宋体" w:hAnsi="宋体" w:cs="宋体"/>
                <w:color w:val="auto"/>
                <w:sz w:val="24"/>
                <w:highlight w:val="none"/>
              </w:rPr>
            </w:pPr>
          </w:p>
        </w:tc>
        <w:tc>
          <w:tcPr>
            <w:tcW w:w="777" w:type="dxa"/>
            <w:noWrap w:val="0"/>
            <w:vAlign w:val="center"/>
          </w:tcPr>
          <w:p w14:paraId="50568A31">
            <w:pPr>
              <w:adjustRightInd w:val="0"/>
              <w:snapToGrid w:val="0"/>
              <w:jc w:val="center"/>
              <w:rPr>
                <w:rFonts w:hint="eastAsia" w:ascii="宋体" w:hAnsi="宋体" w:cs="宋体"/>
                <w:color w:val="auto"/>
                <w:sz w:val="24"/>
                <w:highlight w:val="none"/>
              </w:rPr>
            </w:pPr>
          </w:p>
        </w:tc>
        <w:tc>
          <w:tcPr>
            <w:tcW w:w="709" w:type="dxa"/>
            <w:noWrap w:val="0"/>
            <w:vAlign w:val="center"/>
          </w:tcPr>
          <w:p w14:paraId="108BDC8D">
            <w:pPr>
              <w:adjustRightInd w:val="0"/>
              <w:snapToGrid w:val="0"/>
              <w:ind w:left="120" w:hanging="120" w:hangingChars="50"/>
              <w:rPr>
                <w:rFonts w:hint="eastAsia" w:ascii="宋体" w:hAnsi="宋体" w:cs="宋体"/>
                <w:color w:val="auto"/>
                <w:sz w:val="24"/>
                <w:highlight w:val="none"/>
              </w:rPr>
            </w:pPr>
          </w:p>
        </w:tc>
        <w:tc>
          <w:tcPr>
            <w:tcW w:w="1073" w:type="dxa"/>
            <w:noWrap w:val="0"/>
            <w:vAlign w:val="center"/>
          </w:tcPr>
          <w:p w14:paraId="46FBDE10">
            <w:pPr>
              <w:adjustRightInd w:val="0"/>
              <w:snapToGrid w:val="0"/>
              <w:jc w:val="center"/>
              <w:rPr>
                <w:rFonts w:hint="eastAsia" w:ascii="宋体" w:hAnsi="宋体" w:cs="宋体"/>
                <w:color w:val="auto"/>
                <w:sz w:val="24"/>
                <w:highlight w:val="none"/>
              </w:rPr>
            </w:pPr>
          </w:p>
        </w:tc>
        <w:tc>
          <w:tcPr>
            <w:tcW w:w="992" w:type="dxa"/>
            <w:noWrap w:val="0"/>
            <w:vAlign w:val="center"/>
          </w:tcPr>
          <w:p w14:paraId="234EB0C8">
            <w:pPr>
              <w:adjustRightInd w:val="0"/>
              <w:snapToGrid w:val="0"/>
              <w:rPr>
                <w:rFonts w:hint="eastAsia" w:ascii="宋体" w:hAnsi="宋体" w:cs="宋体"/>
                <w:color w:val="auto"/>
                <w:sz w:val="24"/>
                <w:highlight w:val="none"/>
              </w:rPr>
            </w:pPr>
          </w:p>
        </w:tc>
      </w:tr>
      <w:tr w14:paraId="347C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181" w:type="dxa"/>
            <w:noWrap w:val="0"/>
            <w:vAlign w:val="center"/>
          </w:tcPr>
          <w:p w14:paraId="66013ADE">
            <w:pPr>
              <w:adjustRightInd w:val="0"/>
              <w:snapToGrid w:val="0"/>
              <w:jc w:val="center"/>
              <w:rPr>
                <w:rFonts w:hint="eastAsia" w:ascii="宋体" w:hAnsi="宋体" w:cs="宋体"/>
                <w:color w:val="auto"/>
                <w:sz w:val="24"/>
                <w:highlight w:val="none"/>
              </w:rPr>
            </w:pPr>
          </w:p>
        </w:tc>
        <w:tc>
          <w:tcPr>
            <w:tcW w:w="1984" w:type="dxa"/>
            <w:noWrap w:val="0"/>
            <w:vAlign w:val="center"/>
          </w:tcPr>
          <w:p w14:paraId="73BBE7DB">
            <w:pPr>
              <w:adjustRightInd w:val="0"/>
              <w:snapToGrid w:val="0"/>
              <w:rPr>
                <w:rFonts w:hint="eastAsia" w:ascii="宋体" w:hAnsi="宋体" w:cs="宋体"/>
                <w:color w:val="auto"/>
                <w:sz w:val="24"/>
                <w:highlight w:val="none"/>
              </w:rPr>
            </w:pPr>
          </w:p>
        </w:tc>
        <w:tc>
          <w:tcPr>
            <w:tcW w:w="1491" w:type="dxa"/>
            <w:noWrap w:val="0"/>
            <w:vAlign w:val="center"/>
          </w:tcPr>
          <w:p w14:paraId="12812A4A">
            <w:pPr>
              <w:adjustRightInd w:val="0"/>
              <w:snapToGrid w:val="0"/>
              <w:rPr>
                <w:rFonts w:hint="eastAsia" w:ascii="宋体" w:hAnsi="宋体" w:cs="宋体"/>
                <w:color w:val="auto"/>
                <w:sz w:val="24"/>
                <w:highlight w:val="none"/>
              </w:rPr>
            </w:pPr>
          </w:p>
        </w:tc>
        <w:tc>
          <w:tcPr>
            <w:tcW w:w="777" w:type="dxa"/>
            <w:noWrap w:val="0"/>
            <w:vAlign w:val="center"/>
          </w:tcPr>
          <w:p w14:paraId="5693299E">
            <w:pPr>
              <w:adjustRightInd w:val="0"/>
              <w:snapToGrid w:val="0"/>
              <w:jc w:val="center"/>
              <w:rPr>
                <w:rFonts w:hint="eastAsia" w:ascii="宋体" w:hAnsi="宋体" w:cs="宋体"/>
                <w:color w:val="auto"/>
                <w:sz w:val="24"/>
                <w:highlight w:val="none"/>
              </w:rPr>
            </w:pPr>
          </w:p>
        </w:tc>
        <w:tc>
          <w:tcPr>
            <w:tcW w:w="709" w:type="dxa"/>
            <w:noWrap w:val="0"/>
            <w:vAlign w:val="center"/>
          </w:tcPr>
          <w:p w14:paraId="42EE5DB3">
            <w:pPr>
              <w:adjustRightInd w:val="0"/>
              <w:snapToGrid w:val="0"/>
              <w:ind w:left="120" w:hanging="120" w:hangingChars="50"/>
              <w:rPr>
                <w:rFonts w:hint="eastAsia" w:ascii="宋体" w:hAnsi="宋体" w:cs="宋体"/>
                <w:color w:val="auto"/>
                <w:sz w:val="24"/>
                <w:highlight w:val="none"/>
              </w:rPr>
            </w:pPr>
          </w:p>
        </w:tc>
        <w:tc>
          <w:tcPr>
            <w:tcW w:w="1073" w:type="dxa"/>
            <w:noWrap w:val="0"/>
            <w:vAlign w:val="center"/>
          </w:tcPr>
          <w:p w14:paraId="29640A23">
            <w:pPr>
              <w:adjustRightInd w:val="0"/>
              <w:snapToGrid w:val="0"/>
              <w:jc w:val="center"/>
              <w:rPr>
                <w:rFonts w:hint="eastAsia" w:ascii="宋体" w:hAnsi="宋体" w:cs="宋体"/>
                <w:color w:val="auto"/>
                <w:sz w:val="24"/>
                <w:highlight w:val="none"/>
              </w:rPr>
            </w:pPr>
          </w:p>
        </w:tc>
        <w:tc>
          <w:tcPr>
            <w:tcW w:w="992" w:type="dxa"/>
            <w:noWrap w:val="0"/>
            <w:vAlign w:val="center"/>
          </w:tcPr>
          <w:p w14:paraId="6BCECC6A">
            <w:pPr>
              <w:adjustRightInd w:val="0"/>
              <w:snapToGrid w:val="0"/>
              <w:rPr>
                <w:rFonts w:hint="eastAsia" w:ascii="宋体" w:hAnsi="宋体" w:cs="宋体"/>
                <w:color w:val="auto"/>
                <w:sz w:val="24"/>
                <w:highlight w:val="none"/>
              </w:rPr>
            </w:pPr>
          </w:p>
        </w:tc>
      </w:tr>
      <w:tr w14:paraId="1FCA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207" w:type="dxa"/>
            <w:gridSpan w:val="7"/>
            <w:noWrap w:val="0"/>
            <w:vAlign w:val="center"/>
          </w:tcPr>
          <w:p w14:paraId="2B3E5F4B">
            <w:pPr>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备注:有效期至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tc>
      </w:tr>
    </w:tbl>
    <w:p w14:paraId="23ABF3D0">
      <w:pPr>
        <w:spacing w:line="360" w:lineRule="auto"/>
        <w:ind w:firstLine="437"/>
        <w:outlineLvl w:val="2"/>
        <w:rPr>
          <w:rFonts w:ascii="宋体" w:hAnsi="宋体"/>
          <w:b/>
          <w:bCs/>
          <w:color w:val="auto"/>
          <w:sz w:val="24"/>
          <w:highlight w:val="none"/>
          <w:lang w:val="zh-CN"/>
        </w:rPr>
      </w:pPr>
      <w:r>
        <w:rPr>
          <w:rFonts w:hint="eastAsia" w:ascii="宋体" w:hAnsi="宋体"/>
          <w:b/>
          <w:bCs/>
          <w:color w:val="auto"/>
          <w:sz w:val="24"/>
          <w:highlight w:val="none"/>
          <w:lang w:val="zh-CN"/>
        </w:rPr>
        <w:t>1.</w:t>
      </w:r>
      <w:r>
        <w:rPr>
          <w:rFonts w:ascii="宋体" w:hAnsi="宋体"/>
          <w:b/>
          <w:bCs/>
          <w:color w:val="auto"/>
          <w:sz w:val="24"/>
          <w:highlight w:val="none"/>
          <w:lang w:val="zh-CN"/>
        </w:rPr>
        <w:t xml:space="preserve">3 </w:t>
      </w:r>
      <w:r>
        <w:rPr>
          <w:rFonts w:hint="eastAsia" w:ascii="宋体" w:hAnsi="宋体"/>
          <w:b/>
          <w:bCs/>
          <w:color w:val="auto"/>
          <w:sz w:val="24"/>
          <w:highlight w:val="none"/>
          <w:lang w:val="zh-CN"/>
        </w:rPr>
        <w:t>价款</w:t>
      </w:r>
      <w:bookmarkEnd w:id="861"/>
      <w:bookmarkEnd w:id="862"/>
      <w:bookmarkEnd w:id="863"/>
    </w:p>
    <w:p w14:paraId="68C6625C">
      <w:pPr>
        <w:spacing w:line="360" w:lineRule="auto"/>
        <w:ind w:firstLine="435"/>
        <w:rPr>
          <w:rFonts w:ascii="宋体" w:hAnsi="宋体"/>
          <w:color w:val="auto"/>
          <w:sz w:val="24"/>
          <w:highlight w:val="none"/>
        </w:rPr>
      </w:pPr>
      <w:r>
        <w:rPr>
          <w:rFonts w:ascii="宋体" w:hAnsi="宋体"/>
          <w:color w:val="auto"/>
          <w:sz w:val="24"/>
          <w:highlight w:val="none"/>
        </w:rPr>
        <w:t>本合同总价为</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（大写：人民币</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ascii="宋体" w:hAnsi="宋体"/>
          <w:color w:val="auto"/>
          <w:sz w:val="24"/>
          <w:highlight w:val="none"/>
        </w:rPr>
        <w:t>。</w:t>
      </w:r>
    </w:p>
    <w:p w14:paraId="414D8D5B">
      <w:pPr>
        <w:spacing w:line="360" w:lineRule="auto"/>
        <w:ind w:firstLine="435"/>
        <w:rPr>
          <w:rFonts w:ascii="宋体" w:hAnsi="宋体"/>
          <w:color w:val="auto"/>
          <w:sz w:val="24"/>
          <w:highlight w:val="none"/>
          <w:u w:val="single"/>
        </w:rPr>
      </w:pPr>
      <w:r>
        <w:rPr>
          <w:rFonts w:ascii="宋体" w:hAnsi="宋体"/>
          <w:color w:val="auto"/>
          <w:sz w:val="24"/>
          <w:highlight w:val="none"/>
        </w:rPr>
        <w:t>分项价格：</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06E5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center"/>
          </w:tcPr>
          <w:p w14:paraId="06B843BB">
            <w:pPr>
              <w:jc w:val="center"/>
              <w:rPr>
                <w:rFonts w:ascii="宋体" w:hAnsi="宋体"/>
                <w:color w:val="auto"/>
                <w:sz w:val="24"/>
                <w:highlight w:val="none"/>
                <w:lang w:val="zh-CN"/>
              </w:rPr>
            </w:pPr>
            <w:r>
              <w:rPr>
                <w:rFonts w:ascii="宋体" w:hAnsi="宋体"/>
                <w:color w:val="auto"/>
                <w:sz w:val="24"/>
                <w:highlight w:val="none"/>
                <w:lang w:val="zh-CN"/>
              </w:rPr>
              <w:t>序号</w:t>
            </w:r>
          </w:p>
        </w:tc>
        <w:tc>
          <w:tcPr>
            <w:tcW w:w="4316" w:type="dxa"/>
            <w:noWrap w:val="0"/>
            <w:vAlign w:val="center"/>
          </w:tcPr>
          <w:p w14:paraId="28648E9D">
            <w:pPr>
              <w:ind w:firstLine="200"/>
              <w:jc w:val="center"/>
              <w:rPr>
                <w:rFonts w:ascii="宋体" w:hAnsi="宋体"/>
                <w:color w:val="auto"/>
                <w:sz w:val="24"/>
                <w:highlight w:val="none"/>
              </w:rPr>
            </w:pPr>
            <w:r>
              <w:rPr>
                <w:rFonts w:hint="eastAsia" w:ascii="宋体" w:hAnsi="宋体"/>
                <w:color w:val="auto"/>
                <w:sz w:val="24"/>
                <w:highlight w:val="none"/>
              </w:rPr>
              <w:t>分项名称</w:t>
            </w:r>
          </w:p>
        </w:tc>
        <w:tc>
          <w:tcPr>
            <w:tcW w:w="3237" w:type="dxa"/>
            <w:gridSpan w:val="2"/>
            <w:noWrap w:val="0"/>
            <w:vAlign w:val="center"/>
          </w:tcPr>
          <w:p w14:paraId="64BE54B9">
            <w:pPr>
              <w:jc w:val="center"/>
              <w:rPr>
                <w:rFonts w:ascii="宋体" w:hAnsi="宋体"/>
                <w:color w:val="auto"/>
                <w:sz w:val="24"/>
                <w:highlight w:val="none"/>
              </w:rPr>
            </w:pPr>
            <w:r>
              <w:rPr>
                <w:rFonts w:ascii="宋体" w:hAnsi="宋体"/>
                <w:color w:val="auto"/>
                <w:sz w:val="24"/>
                <w:highlight w:val="none"/>
              </w:rPr>
              <w:t>分项价格</w:t>
            </w:r>
          </w:p>
        </w:tc>
      </w:tr>
      <w:tr w14:paraId="7131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6D52C09A">
            <w:pPr>
              <w:jc w:val="center"/>
              <w:rPr>
                <w:rFonts w:ascii="宋体" w:hAnsi="宋体"/>
                <w:color w:val="auto"/>
                <w:sz w:val="24"/>
                <w:highlight w:val="none"/>
                <w:lang w:val="zh-CN"/>
              </w:rPr>
            </w:pPr>
            <w:r>
              <w:rPr>
                <w:rFonts w:hint="eastAsia" w:ascii="宋体" w:hAnsi="宋体"/>
                <w:color w:val="auto"/>
                <w:sz w:val="24"/>
                <w:highlight w:val="none"/>
                <w:lang w:val="zh-CN"/>
              </w:rPr>
              <w:t>1</w:t>
            </w:r>
          </w:p>
        </w:tc>
        <w:tc>
          <w:tcPr>
            <w:tcW w:w="4316" w:type="dxa"/>
            <w:noWrap w:val="0"/>
            <w:vAlign w:val="center"/>
          </w:tcPr>
          <w:p w14:paraId="5A676357">
            <w:pPr>
              <w:ind w:firstLine="200"/>
              <w:jc w:val="center"/>
              <w:rPr>
                <w:rFonts w:ascii="宋体" w:hAnsi="宋体"/>
                <w:color w:val="auto"/>
                <w:sz w:val="24"/>
                <w:highlight w:val="none"/>
              </w:rPr>
            </w:pPr>
          </w:p>
        </w:tc>
        <w:tc>
          <w:tcPr>
            <w:tcW w:w="3237" w:type="dxa"/>
            <w:gridSpan w:val="2"/>
            <w:noWrap w:val="0"/>
            <w:vAlign w:val="center"/>
          </w:tcPr>
          <w:p w14:paraId="6917D618">
            <w:pPr>
              <w:ind w:firstLine="200"/>
              <w:jc w:val="center"/>
              <w:rPr>
                <w:rFonts w:ascii="宋体" w:hAnsi="宋体"/>
                <w:color w:val="auto"/>
                <w:sz w:val="24"/>
                <w:highlight w:val="none"/>
              </w:rPr>
            </w:pPr>
          </w:p>
        </w:tc>
      </w:tr>
      <w:tr w14:paraId="6479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1182FF71">
            <w:pPr>
              <w:jc w:val="center"/>
              <w:rPr>
                <w:rFonts w:ascii="宋体" w:hAnsi="宋体"/>
                <w:color w:val="auto"/>
                <w:sz w:val="24"/>
                <w:highlight w:val="none"/>
                <w:lang w:val="zh-CN"/>
              </w:rPr>
            </w:pPr>
            <w:r>
              <w:rPr>
                <w:rFonts w:hint="eastAsia" w:ascii="宋体" w:hAnsi="宋体"/>
                <w:color w:val="auto"/>
                <w:sz w:val="24"/>
                <w:highlight w:val="none"/>
                <w:lang w:val="zh-CN"/>
              </w:rPr>
              <w:t>2</w:t>
            </w:r>
          </w:p>
        </w:tc>
        <w:tc>
          <w:tcPr>
            <w:tcW w:w="4316" w:type="dxa"/>
            <w:noWrap w:val="0"/>
            <w:vAlign w:val="center"/>
          </w:tcPr>
          <w:p w14:paraId="6BA58DC8">
            <w:pPr>
              <w:ind w:firstLine="200"/>
              <w:jc w:val="center"/>
              <w:rPr>
                <w:rFonts w:ascii="宋体" w:hAnsi="宋体"/>
                <w:color w:val="auto"/>
                <w:sz w:val="24"/>
                <w:highlight w:val="none"/>
              </w:rPr>
            </w:pPr>
          </w:p>
        </w:tc>
        <w:tc>
          <w:tcPr>
            <w:tcW w:w="3237" w:type="dxa"/>
            <w:gridSpan w:val="2"/>
            <w:noWrap w:val="0"/>
            <w:vAlign w:val="center"/>
          </w:tcPr>
          <w:p w14:paraId="0AC1D7F9">
            <w:pPr>
              <w:ind w:firstLine="200"/>
              <w:jc w:val="center"/>
              <w:rPr>
                <w:rFonts w:ascii="宋体" w:hAnsi="宋体"/>
                <w:color w:val="auto"/>
                <w:sz w:val="24"/>
                <w:highlight w:val="none"/>
              </w:rPr>
            </w:pPr>
          </w:p>
        </w:tc>
      </w:tr>
      <w:tr w14:paraId="3966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1E85AFFA">
            <w:pPr>
              <w:jc w:val="center"/>
              <w:rPr>
                <w:rFonts w:ascii="宋体" w:hAnsi="宋体"/>
                <w:color w:val="auto"/>
                <w:sz w:val="24"/>
                <w:highlight w:val="none"/>
                <w:lang w:val="zh-CN"/>
              </w:rPr>
            </w:pPr>
            <w:r>
              <w:rPr>
                <w:rFonts w:ascii="宋体" w:hAnsi="宋体"/>
                <w:color w:val="auto"/>
                <w:sz w:val="24"/>
                <w:highlight w:val="none"/>
                <w:lang w:val="zh-CN"/>
              </w:rPr>
              <w:t>3</w:t>
            </w:r>
          </w:p>
        </w:tc>
        <w:tc>
          <w:tcPr>
            <w:tcW w:w="4316" w:type="dxa"/>
            <w:noWrap w:val="0"/>
            <w:vAlign w:val="center"/>
          </w:tcPr>
          <w:p w14:paraId="21CAF53F">
            <w:pPr>
              <w:ind w:firstLine="200"/>
              <w:jc w:val="center"/>
              <w:rPr>
                <w:rFonts w:ascii="宋体" w:hAnsi="宋体"/>
                <w:color w:val="auto"/>
                <w:sz w:val="24"/>
                <w:highlight w:val="none"/>
              </w:rPr>
            </w:pPr>
          </w:p>
        </w:tc>
        <w:tc>
          <w:tcPr>
            <w:tcW w:w="3237" w:type="dxa"/>
            <w:gridSpan w:val="2"/>
            <w:noWrap w:val="0"/>
            <w:vAlign w:val="center"/>
          </w:tcPr>
          <w:p w14:paraId="1486062A">
            <w:pPr>
              <w:ind w:firstLine="200"/>
              <w:jc w:val="center"/>
              <w:rPr>
                <w:rFonts w:ascii="宋体" w:hAnsi="宋体"/>
                <w:color w:val="auto"/>
                <w:sz w:val="24"/>
                <w:highlight w:val="none"/>
              </w:rPr>
            </w:pPr>
          </w:p>
        </w:tc>
      </w:tr>
      <w:tr w14:paraId="7225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noWrap w:val="0"/>
            <w:vAlign w:val="top"/>
          </w:tcPr>
          <w:p w14:paraId="423C5342">
            <w:pPr>
              <w:jc w:val="center"/>
              <w:rPr>
                <w:rFonts w:ascii="宋体" w:hAnsi="宋体"/>
                <w:color w:val="auto"/>
                <w:sz w:val="24"/>
                <w:highlight w:val="none"/>
                <w:lang w:val="zh-CN"/>
              </w:rPr>
            </w:pPr>
            <w:r>
              <w:rPr>
                <w:rFonts w:hint="eastAsia" w:ascii="宋体" w:hAnsi="宋体"/>
                <w:color w:val="auto"/>
                <w:sz w:val="24"/>
                <w:highlight w:val="none"/>
                <w:lang w:val="zh-CN"/>
              </w:rPr>
              <w:t>……</w:t>
            </w:r>
          </w:p>
        </w:tc>
        <w:tc>
          <w:tcPr>
            <w:tcW w:w="4316" w:type="dxa"/>
            <w:noWrap w:val="0"/>
            <w:vAlign w:val="center"/>
          </w:tcPr>
          <w:p w14:paraId="10BEB478">
            <w:pPr>
              <w:ind w:firstLine="200"/>
              <w:jc w:val="center"/>
              <w:rPr>
                <w:rFonts w:ascii="宋体" w:hAnsi="宋体"/>
                <w:color w:val="auto"/>
                <w:sz w:val="24"/>
                <w:highlight w:val="none"/>
              </w:rPr>
            </w:pPr>
          </w:p>
        </w:tc>
        <w:tc>
          <w:tcPr>
            <w:tcW w:w="3237" w:type="dxa"/>
            <w:gridSpan w:val="2"/>
            <w:noWrap w:val="0"/>
            <w:vAlign w:val="center"/>
          </w:tcPr>
          <w:p w14:paraId="170737B5">
            <w:pPr>
              <w:ind w:firstLine="200"/>
              <w:jc w:val="center"/>
              <w:rPr>
                <w:rFonts w:ascii="宋体" w:hAnsi="宋体"/>
                <w:color w:val="auto"/>
                <w:sz w:val="24"/>
                <w:highlight w:val="none"/>
              </w:rPr>
            </w:pPr>
          </w:p>
        </w:tc>
      </w:tr>
      <w:tr w14:paraId="2AF9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3B4C9424">
            <w:pPr>
              <w:ind w:firstLine="200"/>
              <w:jc w:val="center"/>
              <w:rPr>
                <w:rFonts w:ascii="宋体" w:hAnsi="宋体"/>
                <w:color w:val="auto"/>
                <w:sz w:val="24"/>
                <w:highlight w:val="none"/>
              </w:rPr>
            </w:pPr>
            <w:r>
              <w:rPr>
                <w:rFonts w:hint="eastAsia" w:ascii="宋体" w:hAnsi="宋体"/>
                <w:color w:val="auto"/>
                <w:sz w:val="24"/>
                <w:highlight w:val="none"/>
              </w:rPr>
              <w:t>总价</w:t>
            </w:r>
          </w:p>
        </w:tc>
        <w:tc>
          <w:tcPr>
            <w:tcW w:w="3237" w:type="dxa"/>
            <w:gridSpan w:val="2"/>
            <w:noWrap w:val="0"/>
            <w:vAlign w:val="center"/>
          </w:tcPr>
          <w:p w14:paraId="4A7758DF">
            <w:pPr>
              <w:ind w:firstLine="200"/>
              <w:jc w:val="center"/>
              <w:rPr>
                <w:rFonts w:ascii="宋体" w:hAnsi="宋体"/>
                <w:color w:val="auto"/>
                <w:sz w:val="24"/>
                <w:highlight w:val="none"/>
              </w:rPr>
            </w:pPr>
          </w:p>
        </w:tc>
      </w:tr>
    </w:tbl>
    <w:p w14:paraId="462E8707">
      <w:pPr>
        <w:spacing w:line="360" w:lineRule="auto"/>
        <w:ind w:firstLine="437"/>
        <w:outlineLvl w:val="2"/>
        <w:rPr>
          <w:rFonts w:ascii="宋体" w:hAnsi="宋体"/>
          <w:b/>
          <w:bCs/>
          <w:color w:val="auto"/>
          <w:sz w:val="24"/>
          <w:highlight w:val="none"/>
          <w:lang w:val="zh-CN"/>
        </w:rPr>
      </w:pPr>
      <w:bookmarkStart w:id="864" w:name="_Toc22618"/>
      <w:bookmarkStart w:id="865" w:name="_Toc1814"/>
      <w:bookmarkStart w:id="866" w:name="_Toc10340"/>
      <w:r>
        <w:rPr>
          <w:rFonts w:hint="eastAsia" w:ascii="宋体" w:hAnsi="宋体"/>
          <w:b/>
          <w:bCs/>
          <w:color w:val="auto"/>
          <w:sz w:val="24"/>
          <w:highlight w:val="none"/>
          <w:lang w:val="zh-CN"/>
        </w:rPr>
        <w:t>1.</w:t>
      </w:r>
      <w:r>
        <w:rPr>
          <w:rFonts w:ascii="宋体" w:hAnsi="宋体"/>
          <w:b/>
          <w:bCs/>
          <w:color w:val="auto"/>
          <w:sz w:val="24"/>
          <w:highlight w:val="none"/>
          <w:lang w:val="zh-CN"/>
        </w:rPr>
        <w:t>4 付款方式和发票开具方式</w:t>
      </w:r>
      <w:bookmarkEnd w:id="864"/>
      <w:bookmarkEnd w:id="865"/>
      <w:bookmarkEnd w:id="866"/>
    </w:p>
    <w:p w14:paraId="0845ED6A">
      <w:pPr>
        <w:spacing w:line="360" w:lineRule="auto"/>
        <w:ind w:firstLine="435"/>
        <w:rPr>
          <w:rFonts w:ascii="宋体" w:hAnsi="宋体"/>
          <w:color w:val="auto"/>
          <w:sz w:val="24"/>
          <w:highlight w:val="none"/>
        </w:rPr>
      </w:pPr>
      <w:r>
        <w:rPr>
          <w:rFonts w:hint="eastAsia" w:ascii="宋体" w:hAnsi="宋体"/>
          <w:color w:val="auto"/>
          <w:sz w:val="24"/>
          <w:highlight w:val="none"/>
        </w:rPr>
        <w:t>1.4.1</w:t>
      </w:r>
      <w:r>
        <w:rPr>
          <w:rFonts w:ascii="宋体" w:hAnsi="宋体"/>
          <w:color w:val="auto"/>
          <w:sz w:val="24"/>
          <w:highlight w:val="none"/>
        </w:rPr>
        <w:t>付款方式：</w:t>
      </w:r>
    </w:p>
    <w:p w14:paraId="1C185897">
      <w:pPr>
        <w:spacing w:line="360" w:lineRule="auto"/>
        <w:ind w:firstLine="435"/>
        <w:rPr>
          <w:rFonts w:hint="eastAsia" w:ascii="宋体" w:hAnsi="宋体"/>
          <w:color w:val="auto"/>
          <w:sz w:val="24"/>
          <w:highlight w:val="none"/>
          <w:u w:val="single"/>
        </w:rPr>
      </w:pPr>
      <w:r>
        <w:rPr>
          <w:rFonts w:hint="eastAsia" w:ascii="宋体" w:hAnsi="宋体"/>
          <w:color w:val="auto"/>
          <w:sz w:val="24"/>
          <w:highlight w:val="none"/>
          <w:u w:val="single"/>
        </w:rPr>
        <w:t>（1）合同生效后，预付合同款的70%(中标人向采购人提交等额的预付款保函或其他担保措施后，见索即付，担保期限不少于合同履约期限）。设备完成安装并验收合格后开具全额发票，按医院付款流程支付至合同总价的100%。</w:t>
      </w:r>
    </w:p>
    <w:p w14:paraId="24D7A7B7">
      <w:pPr>
        <w:spacing w:line="360" w:lineRule="auto"/>
        <w:ind w:firstLine="435"/>
        <w:rPr>
          <w:rFonts w:ascii="宋体" w:hAnsi="宋体"/>
          <w:color w:val="auto"/>
          <w:sz w:val="24"/>
          <w:highlight w:val="none"/>
        </w:rPr>
      </w:pPr>
      <w:r>
        <w:rPr>
          <w:rFonts w:hint="eastAsia" w:ascii="宋体" w:hAnsi="宋体"/>
          <w:color w:val="auto"/>
          <w:sz w:val="24"/>
          <w:highlight w:val="none"/>
        </w:rPr>
        <w:t>1.4.2发票开具方式：</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F5619F1">
      <w:pPr>
        <w:spacing w:line="360" w:lineRule="auto"/>
        <w:ind w:firstLine="437"/>
        <w:outlineLvl w:val="2"/>
        <w:rPr>
          <w:rFonts w:ascii="宋体" w:hAnsi="宋体"/>
          <w:b/>
          <w:bCs/>
          <w:color w:val="auto"/>
          <w:sz w:val="24"/>
          <w:highlight w:val="none"/>
          <w:lang w:val="zh-CN"/>
        </w:rPr>
      </w:pPr>
      <w:bookmarkStart w:id="867" w:name="_Toc32071"/>
      <w:bookmarkStart w:id="868" w:name="_Toc19304"/>
      <w:bookmarkStart w:id="869" w:name="_Toc2846"/>
      <w:r>
        <w:rPr>
          <w:rFonts w:hint="eastAsia" w:ascii="宋体" w:hAnsi="宋体"/>
          <w:b/>
          <w:bCs/>
          <w:color w:val="auto"/>
          <w:sz w:val="24"/>
          <w:highlight w:val="none"/>
          <w:lang w:val="zh-CN"/>
        </w:rPr>
        <w:t>1.</w:t>
      </w:r>
      <w:r>
        <w:rPr>
          <w:rFonts w:ascii="宋体" w:hAnsi="宋体"/>
          <w:b/>
          <w:bCs/>
          <w:color w:val="auto"/>
          <w:sz w:val="24"/>
          <w:highlight w:val="none"/>
          <w:lang w:val="zh-CN"/>
        </w:rPr>
        <w:t>5 货物交付期限</w:t>
      </w:r>
      <w:r>
        <w:rPr>
          <w:rFonts w:hint="eastAsia" w:ascii="宋体" w:hAnsi="宋体"/>
          <w:b/>
          <w:bCs/>
          <w:color w:val="auto"/>
          <w:sz w:val="24"/>
          <w:highlight w:val="none"/>
          <w:lang w:val="zh-CN"/>
        </w:rPr>
        <w:t>、地点和方式</w:t>
      </w:r>
      <w:bookmarkEnd w:id="867"/>
      <w:bookmarkEnd w:id="868"/>
      <w:bookmarkEnd w:id="869"/>
    </w:p>
    <w:p w14:paraId="3525EAFF">
      <w:pPr>
        <w:spacing w:line="360" w:lineRule="auto"/>
        <w:ind w:firstLine="435"/>
        <w:rPr>
          <w:rFonts w:ascii="宋体" w:hAnsi="宋体"/>
          <w:color w:val="auto"/>
          <w:sz w:val="24"/>
          <w:highlight w:val="none"/>
          <w:u w:val="single"/>
        </w:rPr>
      </w:pPr>
      <w:r>
        <w:rPr>
          <w:rFonts w:hint="eastAsia" w:ascii="宋体" w:hAnsi="宋体"/>
          <w:color w:val="auto"/>
          <w:sz w:val="24"/>
          <w:highlight w:val="none"/>
        </w:rPr>
        <w:t>1.5.1交付期限</w:t>
      </w:r>
      <w:r>
        <w:rPr>
          <w:rFonts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0219E1F">
      <w:pPr>
        <w:spacing w:line="360" w:lineRule="auto"/>
        <w:ind w:firstLine="435"/>
        <w:rPr>
          <w:rFonts w:ascii="宋体" w:hAnsi="宋体"/>
          <w:color w:val="auto"/>
          <w:sz w:val="24"/>
          <w:highlight w:val="none"/>
        </w:rPr>
      </w:pPr>
      <w:r>
        <w:rPr>
          <w:rFonts w:hint="eastAsia" w:ascii="宋体" w:hAnsi="宋体"/>
          <w:color w:val="auto"/>
          <w:sz w:val="24"/>
          <w:highlight w:val="none"/>
        </w:rPr>
        <w:t>1.5.2交付地点</w:t>
      </w:r>
      <w:r>
        <w:rPr>
          <w:rFonts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272C2CA6">
      <w:pPr>
        <w:spacing w:line="360" w:lineRule="auto"/>
        <w:ind w:firstLine="435"/>
        <w:rPr>
          <w:rFonts w:ascii="宋体" w:hAnsi="宋体"/>
          <w:color w:val="auto"/>
          <w:sz w:val="24"/>
          <w:highlight w:val="none"/>
        </w:rPr>
      </w:pPr>
      <w:r>
        <w:rPr>
          <w:rFonts w:hint="eastAsia" w:ascii="宋体" w:hAnsi="宋体"/>
          <w:color w:val="auto"/>
          <w:sz w:val="24"/>
          <w:highlight w:val="none"/>
        </w:rPr>
        <w:t>1.5.3交付方式：</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16601B7">
      <w:pPr>
        <w:spacing w:line="360" w:lineRule="auto"/>
        <w:ind w:firstLine="437"/>
        <w:outlineLvl w:val="2"/>
        <w:rPr>
          <w:rFonts w:ascii="宋体" w:hAnsi="宋体"/>
          <w:b/>
          <w:bCs/>
          <w:color w:val="auto"/>
          <w:sz w:val="24"/>
          <w:highlight w:val="none"/>
          <w:lang w:val="zh-CN"/>
        </w:rPr>
      </w:pPr>
      <w:bookmarkStart w:id="870" w:name="_Toc27250"/>
      <w:bookmarkStart w:id="871" w:name="_Toc19554"/>
      <w:bookmarkStart w:id="872" w:name="_Toc21423"/>
      <w:r>
        <w:rPr>
          <w:rFonts w:hint="eastAsia" w:ascii="宋体" w:hAnsi="宋体"/>
          <w:b/>
          <w:bCs/>
          <w:color w:val="auto"/>
          <w:sz w:val="24"/>
          <w:highlight w:val="none"/>
          <w:lang w:val="zh-CN"/>
        </w:rPr>
        <w:t>1.6 违约责任</w:t>
      </w:r>
      <w:bookmarkEnd w:id="870"/>
      <w:bookmarkEnd w:id="871"/>
      <w:bookmarkEnd w:id="872"/>
    </w:p>
    <w:p w14:paraId="26A42210">
      <w:pPr>
        <w:spacing w:line="360" w:lineRule="auto"/>
        <w:ind w:firstLine="435"/>
        <w:rPr>
          <w:rFonts w:ascii="宋体" w:hAnsi="宋体"/>
          <w:color w:val="auto"/>
          <w:sz w:val="24"/>
          <w:highlight w:val="none"/>
        </w:rPr>
      </w:pPr>
      <w:r>
        <w:rPr>
          <w:rFonts w:hint="eastAsia" w:ascii="宋体" w:hAnsi="宋体"/>
          <w:color w:val="auto"/>
          <w:sz w:val="24"/>
          <w:highlight w:val="none"/>
        </w:rPr>
        <w:t>1.6.1</w:t>
      </w:r>
      <w:r>
        <w:rPr>
          <w:rFonts w:ascii="宋体" w:hAnsi="宋体"/>
          <w:color w:val="auto"/>
          <w:sz w:val="24"/>
          <w:highlight w:val="none"/>
        </w:rPr>
        <w:t>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地点和方式交付货物，那么甲方可要求乙方支付违约金</w:t>
      </w:r>
      <w:r>
        <w:rPr>
          <w:rFonts w:hint="eastAsia" w:ascii="宋体" w:hAnsi="宋体"/>
          <w:color w:val="auto"/>
          <w:sz w:val="24"/>
          <w:highlight w:val="none"/>
        </w:rPr>
        <w:t>，</w:t>
      </w:r>
      <w:r>
        <w:rPr>
          <w:rFonts w:ascii="宋体" w:hAnsi="宋体"/>
          <w:color w:val="auto"/>
          <w:sz w:val="24"/>
          <w:highlight w:val="none"/>
        </w:rPr>
        <w:t>违约金按每迟延交付货物一日的应交付而未交付货物价格的</w:t>
      </w:r>
      <w:r>
        <w:rPr>
          <w:rFonts w:hint="eastAsia" w:ascii="宋体" w:hAnsi="宋体"/>
          <w:color w:val="auto"/>
          <w:sz w:val="24"/>
          <w:highlight w:val="none"/>
          <w:u w:val="single"/>
        </w:rPr>
        <w:t xml:space="preserve"> 0.2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hint="eastAsia" w:ascii="宋体" w:hAnsi="宋体"/>
          <w:color w:val="auto"/>
          <w:sz w:val="24"/>
          <w:highlight w:val="none"/>
          <w:u w:val="single"/>
        </w:rPr>
        <w:t xml:space="preserve"> 2.5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迟延交付货物的违约金计算数额达到前述最高限额之日起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0F6FFE76">
      <w:pPr>
        <w:spacing w:line="360" w:lineRule="auto"/>
        <w:ind w:firstLine="435"/>
        <w:rPr>
          <w:rFonts w:ascii="宋体" w:hAnsi="宋体"/>
          <w:color w:val="auto"/>
          <w:sz w:val="24"/>
          <w:highlight w:val="none"/>
        </w:rPr>
      </w:pPr>
      <w:r>
        <w:rPr>
          <w:rFonts w:hint="eastAsia" w:ascii="宋体" w:hAnsi="宋体"/>
          <w:color w:val="auto"/>
          <w:sz w:val="24"/>
          <w:highlight w:val="none"/>
        </w:rPr>
        <w:t>1.6.2</w:t>
      </w:r>
      <w:r>
        <w:rPr>
          <w:rFonts w:ascii="宋体" w:hAnsi="宋体"/>
          <w:color w:val="auto"/>
          <w:sz w:val="24"/>
          <w:highlight w:val="none"/>
        </w:rPr>
        <w:t>除不可抗力外，</w:t>
      </w:r>
      <w:r>
        <w:rPr>
          <w:rFonts w:hint="eastAsia" w:ascii="宋体" w:hAnsi="宋体"/>
          <w:color w:val="auto"/>
          <w:sz w:val="24"/>
          <w:highlight w:val="none"/>
        </w:rPr>
        <w:t>甲方未能按时组织验收，由财政部门责令限期改正，给予警告，对直接负责的主管人员和其他直接责任人员，由其行政主管部门给予处分，并予通报；</w:t>
      </w:r>
    </w:p>
    <w:p w14:paraId="7C0D095D">
      <w:pPr>
        <w:spacing w:line="360" w:lineRule="auto"/>
        <w:ind w:firstLine="435"/>
        <w:rPr>
          <w:rFonts w:ascii="宋体" w:hAnsi="宋体"/>
          <w:color w:val="auto"/>
          <w:sz w:val="24"/>
          <w:highlight w:val="none"/>
        </w:rPr>
      </w:pPr>
      <w:r>
        <w:rPr>
          <w:rFonts w:hint="eastAsia" w:ascii="宋体" w:hAnsi="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D82145D">
      <w:pPr>
        <w:spacing w:line="360" w:lineRule="auto"/>
        <w:ind w:firstLine="435"/>
        <w:rPr>
          <w:rFonts w:ascii="宋体" w:hAnsi="宋体"/>
          <w:color w:val="auto"/>
          <w:sz w:val="24"/>
          <w:highlight w:val="none"/>
        </w:rPr>
      </w:pPr>
      <w:r>
        <w:rPr>
          <w:rFonts w:hint="eastAsia" w:ascii="宋体" w:hAnsi="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1402C51">
      <w:pPr>
        <w:spacing w:line="360" w:lineRule="auto"/>
        <w:ind w:firstLine="435"/>
        <w:rPr>
          <w:rFonts w:ascii="宋体" w:hAnsi="宋体"/>
          <w:color w:val="auto"/>
          <w:sz w:val="24"/>
          <w:highlight w:val="none"/>
        </w:rPr>
      </w:pPr>
      <w:r>
        <w:rPr>
          <w:rFonts w:hint="eastAsia" w:ascii="宋体" w:hAnsi="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7BFB589">
      <w:pPr>
        <w:spacing w:line="360" w:lineRule="auto"/>
        <w:ind w:firstLine="435"/>
        <w:rPr>
          <w:rFonts w:ascii="宋体" w:hAnsi="宋体"/>
          <w:color w:val="auto"/>
          <w:sz w:val="24"/>
          <w:highlight w:val="none"/>
        </w:rPr>
      </w:pPr>
      <w:r>
        <w:rPr>
          <w:rFonts w:hint="eastAsia" w:ascii="宋体" w:hAnsi="宋体"/>
          <w:color w:val="auto"/>
          <w:sz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3141A3A9">
      <w:pPr>
        <w:spacing w:line="360" w:lineRule="auto"/>
        <w:ind w:firstLine="437"/>
        <w:outlineLvl w:val="2"/>
        <w:rPr>
          <w:rFonts w:ascii="宋体" w:hAnsi="宋体"/>
          <w:b/>
          <w:bCs/>
          <w:color w:val="auto"/>
          <w:sz w:val="24"/>
          <w:highlight w:val="none"/>
          <w:lang w:val="zh-CN"/>
        </w:rPr>
      </w:pPr>
      <w:bookmarkStart w:id="873" w:name="_Toc28375"/>
      <w:bookmarkStart w:id="874" w:name="_Toc16021"/>
      <w:bookmarkStart w:id="875" w:name="_Toc15583"/>
      <w:r>
        <w:rPr>
          <w:rFonts w:hint="eastAsia" w:ascii="宋体" w:hAnsi="宋体"/>
          <w:b/>
          <w:bCs/>
          <w:color w:val="auto"/>
          <w:sz w:val="24"/>
          <w:highlight w:val="none"/>
          <w:lang w:val="zh-CN"/>
        </w:rPr>
        <w:t>1.7</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合同</w:t>
      </w:r>
      <w:r>
        <w:rPr>
          <w:rFonts w:ascii="宋体" w:hAnsi="宋体"/>
          <w:b/>
          <w:bCs/>
          <w:color w:val="auto"/>
          <w:sz w:val="24"/>
          <w:highlight w:val="none"/>
          <w:lang w:val="zh-CN"/>
        </w:rPr>
        <w:t>争议的解决</w:t>
      </w:r>
      <w:bookmarkEnd w:id="873"/>
      <w:bookmarkEnd w:id="874"/>
      <w:bookmarkEnd w:id="875"/>
    </w:p>
    <w:p w14:paraId="71825F5E">
      <w:pPr>
        <w:spacing w:line="360" w:lineRule="auto"/>
        <w:ind w:firstLine="435"/>
        <w:rPr>
          <w:rFonts w:ascii="宋体" w:hAnsi="宋体"/>
          <w:color w:val="auto"/>
          <w:sz w:val="24"/>
          <w:highlight w:val="none"/>
        </w:rPr>
      </w:pPr>
      <w:r>
        <w:rPr>
          <w:rFonts w:hint="eastAsia" w:ascii="宋体" w:hAnsi="宋体"/>
          <w:color w:val="auto"/>
          <w:sz w:val="24"/>
          <w:highlight w:val="none"/>
        </w:rPr>
        <w:t>本合</w:t>
      </w:r>
      <w:r>
        <w:rPr>
          <w:rFonts w:ascii="宋体" w:hAnsi="宋体"/>
          <w:color w:val="auto"/>
          <w:sz w:val="24"/>
          <w:highlight w:val="none"/>
        </w:rPr>
        <w:t>同履行过程中发生的任何争议，双方当事人均可</w:t>
      </w:r>
      <w:r>
        <w:rPr>
          <w:rFonts w:hint="eastAsia" w:ascii="宋体" w:hAnsi="宋体"/>
          <w:color w:val="auto"/>
          <w:sz w:val="24"/>
          <w:highlight w:val="none"/>
        </w:rPr>
        <w:t>通过和解或者调解解决；不愿和解、调解或者和解、调解不成的，可以选择下列第</w:t>
      </w:r>
      <w:r>
        <w:rPr>
          <w:rFonts w:hint="eastAsia" w:ascii="宋体" w:hAnsi="宋体"/>
          <w:color w:val="auto"/>
          <w:sz w:val="24"/>
          <w:highlight w:val="none"/>
          <w:u w:val="single"/>
        </w:rPr>
        <w:t xml:space="preserve">  2  </w:t>
      </w:r>
      <w:r>
        <w:rPr>
          <w:rFonts w:hint="eastAsia" w:ascii="宋体" w:hAnsi="宋体"/>
          <w:color w:val="auto"/>
          <w:sz w:val="24"/>
          <w:highlight w:val="none"/>
        </w:rPr>
        <w:t>种方式解决：</w:t>
      </w:r>
    </w:p>
    <w:p w14:paraId="2F6C7F8C">
      <w:pPr>
        <w:spacing w:line="360" w:lineRule="auto"/>
        <w:ind w:firstLine="435"/>
        <w:rPr>
          <w:rFonts w:ascii="宋体" w:hAnsi="宋体"/>
          <w:color w:val="auto"/>
          <w:sz w:val="24"/>
          <w:highlight w:val="none"/>
        </w:rPr>
      </w:pPr>
      <w:r>
        <w:rPr>
          <w:rFonts w:hint="eastAsia" w:ascii="宋体" w:hAnsi="宋体"/>
          <w:color w:val="auto"/>
          <w:sz w:val="24"/>
          <w:highlight w:val="none"/>
        </w:rPr>
        <w:t>1.7.1将争议提交</w:t>
      </w:r>
      <w:r>
        <w:rPr>
          <w:rFonts w:hint="eastAsia" w:ascii="宋体" w:hAnsi="宋体"/>
          <w:color w:val="auto"/>
          <w:sz w:val="24"/>
          <w:highlight w:val="none"/>
          <w:u w:val="single"/>
        </w:rPr>
        <w:t xml:space="preserve">   合肥市   </w:t>
      </w:r>
      <w:r>
        <w:rPr>
          <w:rFonts w:hint="eastAsia" w:ascii="宋体" w:hAnsi="宋体"/>
          <w:color w:val="auto"/>
          <w:sz w:val="24"/>
          <w:highlight w:val="none"/>
        </w:rPr>
        <w:t>仲裁委员会依申请仲裁时其现行有效的仲裁规则裁决；</w:t>
      </w:r>
    </w:p>
    <w:p w14:paraId="5ED4EEB6">
      <w:pPr>
        <w:spacing w:line="360" w:lineRule="auto"/>
        <w:ind w:firstLine="435"/>
        <w:rPr>
          <w:rFonts w:ascii="宋体" w:hAnsi="宋体"/>
          <w:color w:val="auto"/>
          <w:sz w:val="24"/>
          <w:highlight w:val="none"/>
        </w:rPr>
      </w:pPr>
      <w:r>
        <w:rPr>
          <w:rFonts w:hint="eastAsia" w:ascii="宋体" w:hAnsi="宋体"/>
          <w:color w:val="auto"/>
          <w:sz w:val="24"/>
          <w:highlight w:val="none"/>
        </w:rPr>
        <w:t>1.7.2向</w:t>
      </w:r>
      <w:r>
        <w:rPr>
          <w:rFonts w:hint="eastAsia" w:ascii="宋体" w:hAnsi="宋体"/>
          <w:color w:val="auto"/>
          <w:sz w:val="24"/>
          <w:highlight w:val="none"/>
          <w:u w:val="single"/>
        </w:rPr>
        <w:t xml:space="preserve">  合同签订地有管辖权的</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人民法院起诉。</w:t>
      </w:r>
    </w:p>
    <w:p w14:paraId="5AFEF5A0">
      <w:pPr>
        <w:spacing w:line="360" w:lineRule="auto"/>
        <w:ind w:firstLine="437"/>
        <w:outlineLvl w:val="2"/>
        <w:rPr>
          <w:rFonts w:ascii="宋体" w:hAnsi="宋体"/>
          <w:b/>
          <w:bCs/>
          <w:color w:val="auto"/>
          <w:sz w:val="24"/>
          <w:highlight w:val="none"/>
          <w:lang w:val="zh-CN"/>
        </w:rPr>
      </w:pPr>
      <w:bookmarkStart w:id="876" w:name="_Toc7245"/>
      <w:bookmarkStart w:id="877" w:name="_Toc15322"/>
      <w:bookmarkStart w:id="878" w:name="_Toc11173"/>
      <w:r>
        <w:rPr>
          <w:rFonts w:hint="eastAsia" w:ascii="宋体" w:hAnsi="宋体"/>
          <w:b/>
          <w:bCs/>
          <w:color w:val="auto"/>
          <w:sz w:val="24"/>
          <w:highlight w:val="none"/>
          <w:lang w:val="zh-CN"/>
        </w:rPr>
        <w:t>1.8</w:t>
      </w:r>
      <w:r>
        <w:rPr>
          <w:rFonts w:ascii="宋体" w:hAnsi="宋体"/>
          <w:b/>
          <w:bCs/>
          <w:color w:val="auto"/>
          <w:sz w:val="24"/>
          <w:highlight w:val="none"/>
          <w:lang w:val="zh-CN"/>
        </w:rPr>
        <w:t xml:space="preserve"> 合同生效</w:t>
      </w:r>
      <w:bookmarkEnd w:id="876"/>
      <w:bookmarkEnd w:id="877"/>
      <w:bookmarkEnd w:id="878"/>
    </w:p>
    <w:p w14:paraId="4C882517">
      <w:pPr>
        <w:spacing w:line="360" w:lineRule="auto"/>
        <w:ind w:firstLine="435"/>
        <w:rPr>
          <w:rFonts w:ascii="宋体" w:hAnsi="宋体"/>
          <w:color w:val="auto"/>
          <w:sz w:val="24"/>
          <w:highlight w:val="none"/>
        </w:rPr>
      </w:pPr>
      <w:r>
        <w:rPr>
          <w:rFonts w:ascii="宋体" w:hAnsi="宋体"/>
          <w:color w:val="auto"/>
          <w:sz w:val="24"/>
          <w:highlight w:val="none"/>
        </w:rPr>
        <w:t>本合同自</w:t>
      </w:r>
      <w:r>
        <w:rPr>
          <w:rFonts w:hint="eastAsia" w:ascii="宋体" w:hAnsi="宋体"/>
          <w:color w:val="auto"/>
          <w:sz w:val="24"/>
          <w:highlight w:val="none"/>
        </w:rPr>
        <w:t>双方当事人盖章时</w:t>
      </w:r>
      <w:r>
        <w:rPr>
          <w:rFonts w:ascii="宋体" w:hAnsi="宋体"/>
          <w:color w:val="auto"/>
          <w:sz w:val="24"/>
          <w:highlight w:val="none"/>
        </w:rPr>
        <w:t>生效。</w:t>
      </w:r>
    </w:p>
    <w:p w14:paraId="38CC6301">
      <w:pPr>
        <w:autoSpaceDE w:val="0"/>
        <w:autoSpaceDN w:val="0"/>
        <w:adjustRightInd w:val="0"/>
        <w:spacing w:line="560" w:lineRule="exact"/>
        <w:rPr>
          <w:rFonts w:ascii="宋体" w:hAnsi="宋体"/>
          <w:color w:val="auto"/>
          <w:sz w:val="24"/>
          <w:highlight w:val="none"/>
          <w:lang w:val="zh-CN"/>
        </w:rPr>
      </w:pPr>
    </w:p>
    <w:p w14:paraId="53D94598">
      <w:pPr>
        <w:autoSpaceDE w:val="0"/>
        <w:autoSpaceDN w:val="0"/>
        <w:adjustRightInd w:val="0"/>
        <w:spacing w:line="560" w:lineRule="exact"/>
        <w:rPr>
          <w:rFonts w:ascii="宋体" w:hAnsi="宋体"/>
          <w:color w:val="auto"/>
          <w:sz w:val="24"/>
          <w:highlight w:val="none"/>
          <w:lang w:val="zh-CN"/>
        </w:rPr>
      </w:pPr>
    </w:p>
    <w:p w14:paraId="07243649">
      <w:pPr>
        <w:autoSpaceDE w:val="0"/>
        <w:autoSpaceDN w:val="0"/>
        <w:adjustRightInd w:val="0"/>
        <w:spacing w:line="560" w:lineRule="exact"/>
        <w:rPr>
          <w:rFonts w:ascii="宋体" w:hAnsi="宋体"/>
          <w:color w:val="auto"/>
          <w:sz w:val="24"/>
          <w:highlight w:val="none"/>
          <w:lang w:val="zh-CN"/>
        </w:rPr>
      </w:pPr>
    </w:p>
    <w:p w14:paraId="47911755">
      <w:pPr>
        <w:autoSpaceDE w:val="0"/>
        <w:autoSpaceDN w:val="0"/>
        <w:adjustRightInd w:val="0"/>
        <w:spacing w:line="560" w:lineRule="exact"/>
        <w:rPr>
          <w:rFonts w:ascii="宋体" w:hAnsi="宋体"/>
          <w:bCs/>
          <w:color w:val="auto"/>
          <w:sz w:val="24"/>
          <w:highlight w:val="none"/>
          <w:lang w:val="zh-CN"/>
        </w:rPr>
      </w:pPr>
      <w:r>
        <w:rPr>
          <w:rFonts w:hint="eastAsia" w:ascii="宋体" w:hAnsi="宋体"/>
          <w:bCs/>
          <w:color w:val="auto"/>
          <w:sz w:val="24"/>
          <w:highlight w:val="none"/>
          <w:lang w:val="zh-CN"/>
        </w:rPr>
        <w:t xml:space="preserve">甲 </w:t>
      </w:r>
      <w:r>
        <w:rPr>
          <w:rFonts w:ascii="宋体" w:hAnsi="宋体"/>
          <w:bCs/>
          <w:color w:val="auto"/>
          <w:sz w:val="24"/>
          <w:highlight w:val="none"/>
          <w:lang w:val="zh-CN"/>
        </w:rPr>
        <w:t xml:space="preserve">   </w:t>
      </w:r>
      <w:r>
        <w:rPr>
          <w:rFonts w:hint="eastAsia" w:ascii="宋体" w:hAnsi="宋体"/>
          <w:bCs/>
          <w:color w:val="auto"/>
          <w:sz w:val="24"/>
          <w:highlight w:val="none"/>
          <w:lang w:val="zh-CN"/>
        </w:rPr>
        <w:t>方：</w:t>
      </w:r>
      <w:r>
        <w:rPr>
          <w:rFonts w:hint="eastAsia" w:ascii="宋体" w:hAnsi="宋体"/>
          <w:bCs/>
          <w:color w:val="auto"/>
          <w:sz w:val="24"/>
          <w:highlight w:val="none"/>
          <w:u w:val="single"/>
          <w:lang w:val="zh-CN"/>
        </w:rPr>
        <w:t xml:space="preserve">    （单位盖章）     </w:t>
      </w:r>
      <w:r>
        <w:rPr>
          <w:rFonts w:hint="eastAsia" w:ascii="宋体" w:hAnsi="宋体"/>
          <w:bCs/>
          <w:color w:val="auto"/>
          <w:sz w:val="24"/>
          <w:highlight w:val="none"/>
          <w:lang w:val="zh-CN"/>
        </w:rPr>
        <w:t xml:space="preserve">          乙方：</w:t>
      </w:r>
      <w:r>
        <w:rPr>
          <w:rFonts w:hint="eastAsia" w:ascii="宋体" w:hAnsi="宋体"/>
          <w:bCs/>
          <w:color w:val="auto"/>
          <w:sz w:val="24"/>
          <w:highlight w:val="none"/>
          <w:u w:val="single"/>
          <w:lang w:val="zh-CN"/>
        </w:rPr>
        <w:t xml:space="preserve">    （单位盖章）     </w:t>
      </w:r>
    </w:p>
    <w:p w14:paraId="15B637F1">
      <w:pPr>
        <w:autoSpaceDE w:val="0"/>
        <w:autoSpaceDN w:val="0"/>
        <w:adjustRightInd w:val="0"/>
        <w:spacing w:line="560" w:lineRule="exact"/>
        <w:rPr>
          <w:rFonts w:ascii="宋体" w:hAnsi="宋体"/>
          <w:color w:val="auto"/>
          <w:sz w:val="24"/>
          <w:highlight w:val="none"/>
          <w:lang w:val="zh-CN"/>
        </w:rPr>
      </w:pPr>
      <w:r>
        <w:rPr>
          <w:rFonts w:hint="eastAsia" w:ascii="宋体" w:hAnsi="宋体"/>
          <w:color w:val="auto"/>
          <w:sz w:val="24"/>
          <w:highlight w:val="none"/>
          <w:lang w:val="zh-CN"/>
        </w:rPr>
        <w:t xml:space="preserve">法定代表人                             </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w:t>
      </w:r>
    </w:p>
    <w:p w14:paraId="65509A7D">
      <w:pPr>
        <w:autoSpaceDE w:val="0"/>
        <w:autoSpaceDN w:val="0"/>
        <w:adjustRightInd w:val="0"/>
        <w:spacing w:line="560" w:lineRule="exact"/>
        <w:rPr>
          <w:rFonts w:ascii="宋体" w:hAnsi="宋体"/>
          <w:color w:val="auto"/>
          <w:sz w:val="24"/>
          <w:highlight w:val="none"/>
          <w:lang w:val="zh-CN"/>
        </w:rPr>
      </w:pPr>
      <w:r>
        <w:rPr>
          <w:rFonts w:hint="eastAsia" w:ascii="宋体" w:hAnsi="宋体"/>
          <w:color w:val="auto"/>
          <w:sz w:val="24"/>
          <w:highlight w:val="none"/>
          <w:lang w:val="zh-CN"/>
        </w:rPr>
        <w:t>或授权代表（签字）：                      或授权代表（签字）：</w:t>
      </w:r>
    </w:p>
    <w:p w14:paraId="60D719FE">
      <w:pPr>
        <w:widowControl/>
        <w:spacing w:line="560" w:lineRule="exact"/>
        <w:jc w:val="left"/>
        <w:rPr>
          <w:rFonts w:ascii="宋体" w:hAnsi="宋体"/>
          <w:bCs/>
          <w:color w:val="auto"/>
          <w:sz w:val="24"/>
          <w:highlight w:val="none"/>
        </w:rPr>
      </w:pPr>
      <w:bookmarkStart w:id="879" w:name="_Toc331685783"/>
      <w:r>
        <w:rPr>
          <w:rFonts w:hint="eastAsia" w:ascii="宋体" w:hAnsi="宋体"/>
          <w:bCs/>
          <w:color w:val="auto"/>
          <w:sz w:val="24"/>
          <w:highlight w:val="none"/>
        </w:rPr>
        <w:t>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               时间：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ascii="宋体" w:hAnsi="宋体"/>
          <w:bCs/>
          <w:color w:val="auto"/>
          <w:sz w:val="24"/>
          <w:highlight w:val="none"/>
          <w:u w:val="single"/>
        </w:rPr>
        <w:t xml:space="preserve"> </w:t>
      </w:r>
      <w:r>
        <w:rPr>
          <w:rFonts w:hint="eastAsia" w:ascii="宋体" w:hAnsi="宋体"/>
          <w:bCs/>
          <w:color w:val="auto"/>
          <w:sz w:val="24"/>
          <w:highlight w:val="none"/>
          <w:u w:val="single"/>
        </w:rPr>
        <w:t xml:space="preserve">  </w:t>
      </w:r>
      <w:r>
        <w:rPr>
          <w:rFonts w:hint="eastAsia" w:ascii="宋体" w:hAnsi="宋体"/>
          <w:bCs/>
          <w:color w:val="auto"/>
          <w:sz w:val="24"/>
          <w:highlight w:val="none"/>
        </w:rPr>
        <w:t>日</w:t>
      </w:r>
    </w:p>
    <w:p w14:paraId="7C1C7F49">
      <w:pPr>
        <w:spacing w:line="56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乙方账户信息</w:t>
      </w:r>
    </w:p>
    <w:p w14:paraId="17F08047">
      <w:pPr>
        <w:spacing w:line="56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户名：</w:t>
      </w:r>
      <w:r>
        <w:rPr>
          <w:rFonts w:hint="eastAsia" w:ascii="宋体" w:hAnsi="宋体"/>
          <w:color w:val="auto"/>
          <w:sz w:val="24"/>
          <w:highlight w:val="none"/>
          <w:u w:val="single"/>
        </w:rPr>
        <w:t xml:space="preserve">            </w:t>
      </w:r>
    </w:p>
    <w:p w14:paraId="4BC74696">
      <w:pPr>
        <w:spacing w:line="560" w:lineRule="exact"/>
        <w:rPr>
          <w:rFonts w:ascii="宋体" w:hAnsi="宋体"/>
          <w:color w:val="auto"/>
          <w:sz w:val="24"/>
          <w:highlight w:val="none"/>
        </w:rPr>
      </w:pPr>
      <w:r>
        <w:rPr>
          <w:rFonts w:hint="eastAsia" w:ascii="宋体" w:hAnsi="宋体"/>
          <w:color w:val="auto"/>
          <w:sz w:val="24"/>
          <w:highlight w:val="none"/>
        </w:rPr>
        <w:t xml:space="preserve">                                         账号：</w:t>
      </w:r>
      <w:r>
        <w:rPr>
          <w:rFonts w:hint="eastAsia" w:ascii="宋体" w:hAnsi="宋体"/>
          <w:color w:val="auto"/>
          <w:sz w:val="24"/>
          <w:highlight w:val="none"/>
          <w:u w:val="single"/>
        </w:rPr>
        <w:t xml:space="preserve">            </w:t>
      </w:r>
    </w:p>
    <w:p w14:paraId="2F1F704F">
      <w:pPr>
        <w:spacing w:line="560" w:lineRule="exac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开户银行：</w:t>
      </w:r>
      <w:r>
        <w:rPr>
          <w:rFonts w:hint="eastAsia" w:ascii="宋体" w:hAnsi="宋体"/>
          <w:color w:val="auto"/>
          <w:sz w:val="24"/>
          <w:highlight w:val="none"/>
          <w:u w:val="single"/>
        </w:rPr>
        <w:t xml:space="preserve">        </w:t>
      </w:r>
    </w:p>
    <w:p w14:paraId="56587504">
      <w:pPr>
        <w:widowControl/>
        <w:jc w:val="left"/>
        <w:rPr>
          <w:rFonts w:ascii="宋体" w:hAnsi="宋体"/>
          <w:b/>
          <w:color w:val="auto"/>
          <w:sz w:val="24"/>
          <w:highlight w:val="none"/>
        </w:rPr>
      </w:pPr>
      <w:r>
        <w:rPr>
          <w:rFonts w:ascii="宋体" w:hAnsi="宋体"/>
          <w:b/>
          <w:color w:val="auto"/>
          <w:sz w:val="24"/>
          <w:highlight w:val="none"/>
        </w:rPr>
        <w:br w:type="page"/>
      </w:r>
    </w:p>
    <w:p w14:paraId="0B7385A5">
      <w:pPr>
        <w:spacing w:line="360" w:lineRule="auto"/>
        <w:jc w:val="center"/>
        <w:outlineLvl w:val="1"/>
        <w:rPr>
          <w:rFonts w:ascii="宋体" w:hAnsi="宋体"/>
          <w:b/>
          <w:color w:val="auto"/>
          <w:sz w:val="24"/>
          <w:highlight w:val="none"/>
        </w:rPr>
      </w:pPr>
      <w:r>
        <w:rPr>
          <w:rFonts w:hint="eastAsia" w:ascii="宋体" w:hAnsi="宋体"/>
          <w:b/>
          <w:color w:val="auto"/>
          <w:sz w:val="24"/>
          <w:highlight w:val="none"/>
        </w:rPr>
        <w:t>第二部分</w:t>
      </w:r>
      <w:r>
        <w:rPr>
          <w:rFonts w:ascii="宋体" w:hAnsi="宋体"/>
          <w:b/>
          <w:color w:val="auto"/>
          <w:sz w:val="24"/>
          <w:highlight w:val="none"/>
        </w:rPr>
        <w:t xml:space="preserve"> </w:t>
      </w:r>
      <w:r>
        <w:rPr>
          <w:rFonts w:hint="eastAsia" w:ascii="宋体" w:hAnsi="宋体"/>
          <w:b/>
          <w:color w:val="auto"/>
          <w:sz w:val="24"/>
          <w:highlight w:val="none"/>
        </w:rPr>
        <w:t>合同一般条款</w:t>
      </w:r>
      <w:bookmarkEnd w:id="879"/>
    </w:p>
    <w:p w14:paraId="6465FB3A">
      <w:pPr>
        <w:spacing w:line="360" w:lineRule="auto"/>
        <w:ind w:firstLine="437"/>
        <w:outlineLvl w:val="2"/>
        <w:rPr>
          <w:rFonts w:ascii="宋体" w:hAnsi="宋体"/>
          <w:b/>
          <w:bCs/>
          <w:color w:val="auto"/>
          <w:sz w:val="24"/>
          <w:highlight w:val="none"/>
          <w:lang w:val="zh-CN"/>
        </w:rPr>
      </w:pPr>
      <w:bookmarkStart w:id="880" w:name="_Ref467379109"/>
      <w:bookmarkStart w:id="881" w:name="_Ref467378463"/>
      <w:bookmarkStart w:id="882" w:name="_Ref467379195"/>
      <w:bookmarkStart w:id="883" w:name="_Ref467379225"/>
      <w:bookmarkStart w:id="884" w:name="_Toc19614"/>
      <w:bookmarkStart w:id="885" w:name="_Ref467379214"/>
      <w:bookmarkStart w:id="886" w:name="_Toc259093669"/>
      <w:bookmarkStart w:id="887" w:name="_Ref467379205"/>
      <w:bookmarkStart w:id="888" w:name="_Ref467378404"/>
      <w:bookmarkStart w:id="889" w:name="_Ref467379101"/>
      <w:bookmarkStart w:id="890" w:name="_Toc487900349"/>
      <w:bookmarkStart w:id="891" w:name="_Ref467379094"/>
      <w:bookmarkStart w:id="892" w:name="_Toc279701240"/>
      <w:bookmarkStart w:id="893" w:name="_Toc28763"/>
      <w:bookmarkStart w:id="894" w:name="_Ref467378499"/>
      <w:bookmarkStart w:id="895" w:name="_Toc16917"/>
      <w:r>
        <w:rPr>
          <w:rFonts w:hint="eastAsia" w:ascii="宋体" w:hAnsi="宋体"/>
          <w:b/>
          <w:bCs/>
          <w:color w:val="auto"/>
          <w:sz w:val="24"/>
          <w:highlight w:val="none"/>
          <w:lang w:val="zh-CN"/>
        </w:rPr>
        <w:t>2.1</w:t>
      </w:r>
      <w:r>
        <w:rPr>
          <w:rFonts w:ascii="宋体" w:hAnsi="宋体"/>
          <w:b/>
          <w:bCs/>
          <w:color w:val="auto"/>
          <w:sz w:val="24"/>
          <w:highlight w:val="none"/>
          <w:lang w:val="zh-CN"/>
        </w:rPr>
        <w:t xml:space="preserve"> 定义</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671159A9">
      <w:pPr>
        <w:spacing w:line="360" w:lineRule="auto"/>
        <w:ind w:firstLine="435"/>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27490456">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.1</w:t>
      </w:r>
      <w:r>
        <w:rPr>
          <w:rFonts w:ascii="宋体" w:hAnsi="宋体"/>
          <w:color w:val="auto"/>
          <w:sz w:val="24"/>
          <w:highlight w:val="none"/>
        </w:rPr>
        <w:t>“合同”系指采购人和中标人签订的载明双方当事人所达成的协议，并包括所有的附件、附录和构成合同的其他文件。</w:t>
      </w:r>
    </w:p>
    <w:p w14:paraId="54FF2B39">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1.2“合同价”系指根据合同约定，中标人在完全履行合同义务后</w:t>
      </w:r>
      <w:r>
        <w:rPr>
          <w:rFonts w:hint="eastAsia" w:ascii="宋体" w:hAnsi="宋体"/>
          <w:color w:val="auto"/>
          <w:sz w:val="24"/>
          <w:highlight w:val="none"/>
        </w:rPr>
        <w:t>，</w:t>
      </w:r>
      <w:r>
        <w:rPr>
          <w:rFonts w:ascii="宋体" w:hAnsi="宋体"/>
          <w:color w:val="auto"/>
          <w:sz w:val="24"/>
          <w:highlight w:val="none"/>
        </w:rPr>
        <w:t>采购人应支付给中标人的价格。</w:t>
      </w:r>
    </w:p>
    <w:p w14:paraId="2D4DE336">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1.3“货物”系指</w:t>
      </w:r>
      <w:r>
        <w:rPr>
          <w:rFonts w:hint="eastAsia" w:ascii="宋体" w:hAnsi="宋体"/>
          <w:color w:val="auto"/>
          <w:sz w:val="24"/>
          <w:highlight w:val="none"/>
        </w:rPr>
        <w:t>中标人</w:t>
      </w:r>
      <w:r>
        <w:rPr>
          <w:rFonts w:ascii="宋体" w:hAnsi="宋体"/>
          <w:color w:val="auto"/>
          <w:sz w:val="24"/>
          <w:highlight w:val="none"/>
        </w:rPr>
        <w:t>根据合同约定应向采购人交付的一切</w:t>
      </w:r>
      <w:r>
        <w:rPr>
          <w:rFonts w:hint="eastAsia" w:ascii="宋体" w:hAnsi="宋体"/>
          <w:color w:val="auto"/>
          <w:sz w:val="24"/>
          <w:highlight w:val="none"/>
        </w:rPr>
        <w:t>各种形态和种类的物品，包括原材料、燃料、设备、</w:t>
      </w:r>
      <w:r>
        <w:rPr>
          <w:rFonts w:ascii="宋体" w:hAnsi="宋体"/>
          <w:color w:val="auto"/>
          <w:sz w:val="24"/>
          <w:highlight w:val="none"/>
        </w:rPr>
        <w:t>机械、仪表、备件</w:t>
      </w:r>
      <w:r>
        <w:rPr>
          <w:rFonts w:hint="eastAsia" w:ascii="宋体" w:hAnsi="宋体"/>
          <w:color w:val="auto"/>
          <w:sz w:val="24"/>
          <w:highlight w:val="none"/>
        </w:rPr>
        <w:t>、计算机软件、产品等</w:t>
      </w:r>
      <w:r>
        <w:rPr>
          <w:rFonts w:ascii="宋体" w:hAnsi="宋体"/>
          <w:color w:val="auto"/>
          <w:sz w:val="24"/>
          <w:highlight w:val="none"/>
        </w:rPr>
        <w:t>，并包括工具、手册等其他相关资料。</w:t>
      </w:r>
    </w:p>
    <w:p w14:paraId="4F794049">
      <w:pPr>
        <w:spacing w:line="360" w:lineRule="auto"/>
        <w:ind w:firstLine="435"/>
        <w:rPr>
          <w:rFonts w:ascii="宋体" w:hAnsi="宋体"/>
          <w:color w:val="auto"/>
          <w:sz w:val="24"/>
          <w:highlight w:val="none"/>
        </w:rPr>
      </w:pPr>
      <w:bookmarkStart w:id="896" w:name="_Ref467378840"/>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4</w:t>
      </w:r>
      <w:r>
        <w:rPr>
          <w:rFonts w:ascii="宋体" w:hAnsi="宋体"/>
          <w:color w:val="auto"/>
          <w:sz w:val="24"/>
          <w:highlight w:val="none"/>
        </w:rPr>
        <w:t>“</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olor w:val="auto"/>
          <w:sz w:val="24"/>
          <w:highlight w:val="none"/>
        </w:rPr>
        <w:t>中标人</w:t>
      </w:r>
      <w:r>
        <w:rPr>
          <w:rFonts w:ascii="宋体" w:hAnsi="宋体"/>
          <w:color w:val="auto"/>
          <w:sz w:val="24"/>
          <w:highlight w:val="none"/>
        </w:rPr>
        <w:t>签署合同的采购人</w:t>
      </w:r>
      <w:bookmarkEnd w:id="896"/>
      <w:r>
        <w:rPr>
          <w:rFonts w:hint="eastAsia" w:ascii="宋体" w:hAnsi="宋体"/>
          <w:color w:val="auto"/>
          <w:sz w:val="24"/>
          <w:highlight w:val="none"/>
        </w:rPr>
        <w:t>；采购人委托采购代理机构代表其与乙方签订合同的，采购人的授权委托书作为合同附件。</w:t>
      </w:r>
    </w:p>
    <w:p w14:paraId="5DF17A80">
      <w:pPr>
        <w:spacing w:line="360" w:lineRule="auto"/>
        <w:ind w:firstLine="435"/>
        <w:rPr>
          <w:rFonts w:ascii="宋体" w:hAnsi="宋体"/>
          <w:color w:val="auto"/>
          <w:sz w:val="24"/>
          <w:highlight w:val="none"/>
        </w:rPr>
      </w:pPr>
      <w:bookmarkStart w:id="897" w:name="_Ref467379400"/>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5</w:t>
      </w:r>
      <w:r>
        <w:rPr>
          <w:rFonts w:ascii="宋体" w:hAnsi="宋体"/>
          <w:color w:val="auto"/>
          <w:sz w:val="24"/>
          <w:highlight w:val="none"/>
        </w:rPr>
        <w:t>“乙方”系指根据合同约定交付货物的中标人</w:t>
      </w:r>
      <w:bookmarkEnd w:id="897"/>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48C4F98">
      <w:pPr>
        <w:spacing w:line="360" w:lineRule="auto"/>
        <w:ind w:firstLine="435"/>
        <w:rPr>
          <w:rFonts w:ascii="宋体" w:hAnsi="宋体"/>
          <w:color w:val="auto"/>
          <w:sz w:val="24"/>
          <w:highlight w:val="none"/>
        </w:rPr>
      </w:pPr>
      <w:bookmarkStart w:id="898" w:name="_Ref467379436"/>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6</w:t>
      </w:r>
      <w:r>
        <w:rPr>
          <w:rFonts w:ascii="宋体" w:hAnsi="宋体"/>
          <w:color w:val="auto"/>
          <w:sz w:val="24"/>
          <w:highlight w:val="none"/>
        </w:rPr>
        <w:t>“现场”系指合同约定货物将要运至</w:t>
      </w:r>
      <w:r>
        <w:rPr>
          <w:rFonts w:hint="eastAsia" w:ascii="宋体" w:hAnsi="宋体"/>
          <w:color w:val="auto"/>
          <w:sz w:val="24"/>
          <w:highlight w:val="none"/>
        </w:rPr>
        <w:t>或者</w:t>
      </w:r>
      <w:r>
        <w:rPr>
          <w:rFonts w:ascii="宋体" w:hAnsi="宋体"/>
          <w:color w:val="auto"/>
          <w:sz w:val="24"/>
          <w:highlight w:val="none"/>
        </w:rPr>
        <w:t>安装的地点。</w:t>
      </w:r>
      <w:bookmarkEnd w:id="898"/>
    </w:p>
    <w:p w14:paraId="738AACB0">
      <w:pPr>
        <w:spacing w:line="360" w:lineRule="auto"/>
        <w:ind w:firstLine="437"/>
        <w:outlineLvl w:val="2"/>
        <w:rPr>
          <w:rFonts w:ascii="宋体" w:hAnsi="宋体"/>
          <w:b/>
          <w:bCs/>
          <w:color w:val="auto"/>
          <w:sz w:val="24"/>
          <w:highlight w:val="none"/>
          <w:lang w:val="zh-CN"/>
        </w:rPr>
      </w:pPr>
      <w:bookmarkStart w:id="899" w:name="_Toc487900350"/>
      <w:bookmarkStart w:id="900" w:name="_Toc27635"/>
      <w:bookmarkStart w:id="901" w:name="_Toc259093670"/>
      <w:bookmarkStart w:id="902" w:name="_Toc32504"/>
      <w:bookmarkStart w:id="903" w:name="_Toc279701241"/>
      <w:bookmarkStart w:id="904" w:name="_Toc13336"/>
      <w:r>
        <w:rPr>
          <w:rFonts w:hint="eastAsia" w:ascii="宋体" w:hAnsi="宋体"/>
          <w:b/>
          <w:bCs/>
          <w:color w:val="auto"/>
          <w:sz w:val="24"/>
          <w:highlight w:val="none"/>
          <w:lang w:val="zh-CN"/>
        </w:rPr>
        <w:t>2.</w:t>
      </w:r>
      <w:r>
        <w:rPr>
          <w:rFonts w:ascii="宋体" w:hAnsi="宋体"/>
          <w:b/>
          <w:bCs/>
          <w:color w:val="auto"/>
          <w:sz w:val="24"/>
          <w:highlight w:val="none"/>
          <w:lang w:val="zh-CN"/>
        </w:rPr>
        <w:t>2 技术规范</w:t>
      </w:r>
      <w:bookmarkEnd w:id="899"/>
      <w:bookmarkEnd w:id="900"/>
      <w:bookmarkEnd w:id="901"/>
      <w:bookmarkEnd w:id="902"/>
      <w:bookmarkEnd w:id="903"/>
      <w:bookmarkEnd w:id="904"/>
    </w:p>
    <w:p w14:paraId="45271764">
      <w:pPr>
        <w:spacing w:line="360" w:lineRule="auto"/>
        <w:ind w:firstLine="435"/>
        <w:rPr>
          <w:rFonts w:ascii="宋体" w:hAnsi="宋体"/>
          <w:color w:val="auto"/>
          <w:sz w:val="24"/>
          <w:highlight w:val="none"/>
        </w:rPr>
      </w:pPr>
      <w:r>
        <w:rPr>
          <w:rFonts w:ascii="宋体" w:hAnsi="宋体"/>
          <w:color w:val="auto"/>
          <w:sz w:val="24"/>
          <w:highlight w:val="none"/>
        </w:rPr>
        <w:t>货物所应遵守的技术规范应与采购文件规定的技术规范和技术规范附件(如果有的话)及其技术规范偏差表(如果被甲方接受的话)相一致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0AB0CE85">
      <w:pPr>
        <w:spacing w:line="360" w:lineRule="auto"/>
        <w:ind w:firstLine="437"/>
        <w:outlineLvl w:val="2"/>
        <w:rPr>
          <w:rFonts w:ascii="宋体" w:hAnsi="宋体"/>
          <w:b/>
          <w:bCs/>
          <w:color w:val="auto"/>
          <w:sz w:val="24"/>
          <w:highlight w:val="none"/>
          <w:lang w:val="zh-CN"/>
        </w:rPr>
      </w:pPr>
      <w:bookmarkStart w:id="905" w:name="_Toc259093671"/>
      <w:bookmarkStart w:id="906" w:name="_Toc9829"/>
      <w:bookmarkStart w:id="907" w:name="_Toc487900351"/>
      <w:bookmarkStart w:id="908" w:name="_Toc279701242"/>
      <w:bookmarkStart w:id="909" w:name="_Toc31634"/>
      <w:bookmarkStart w:id="910" w:name="_Toc27853"/>
      <w:r>
        <w:rPr>
          <w:rFonts w:hint="eastAsia" w:ascii="宋体" w:hAnsi="宋体"/>
          <w:b/>
          <w:bCs/>
          <w:color w:val="auto"/>
          <w:sz w:val="24"/>
          <w:highlight w:val="none"/>
          <w:lang w:val="zh-CN"/>
        </w:rPr>
        <w:t>2.</w:t>
      </w:r>
      <w:r>
        <w:rPr>
          <w:rFonts w:ascii="宋体" w:hAnsi="宋体"/>
          <w:b/>
          <w:bCs/>
          <w:color w:val="auto"/>
          <w:sz w:val="24"/>
          <w:highlight w:val="none"/>
          <w:lang w:val="zh-CN"/>
        </w:rPr>
        <w:t>3 知识产权</w:t>
      </w:r>
      <w:bookmarkEnd w:id="905"/>
      <w:bookmarkEnd w:id="906"/>
      <w:bookmarkEnd w:id="907"/>
      <w:bookmarkEnd w:id="908"/>
      <w:bookmarkEnd w:id="909"/>
      <w:bookmarkEnd w:id="910"/>
    </w:p>
    <w:p w14:paraId="3757F50D">
      <w:pPr>
        <w:spacing w:line="360" w:lineRule="auto"/>
        <w:ind w:firstLine="435"/>
        <w:rPr>
          <w:rFonts w:ascii="宋体" w:hAnsi="宋体"/>
          <w:color w:val="auto"/>
          <w:sz w:val="24"/>
          <w:highlight w:val="none"/>
        </w:rPr>
      </w:pPr>
      <w:r>
        <w:rPr>
          <w:rFonts w:hint="eastAsia" w:ascii="宋体" w:hAnsi="宋体"/>
          <w:color w:val="auto"/>
          <w:sz w:val="24"/>
          <w:highlight w:val="none"/>
        </w:rPr>
        <w:t>2.3.1乙</w:t>
      </w:r>
      <w:r>
        <w:rPr>
          <w:rFonts w:ascii="宋体" w:hAnsi="宋体"/>
          <w:color w:val="auto"/>
          <w:sz w:val="24"/>
          <w:highlight w:val="none"/>
        </w:rPr>
        <w:t>方应保证甲方在使用该货物或其任何一部分时不受任何第三方提出的侵犯其著作权、商标权、专利权等知识产权方面的起诉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w:t>
      </w:r>
    </w:p>
    <w:p w14:paraId="419810E3">
      <w:pPr>
        <w:spacing w:line="360" w:lineRule="auto"/>
        <w:ind w:firstLine="435"/>
        <w:rPr>
          <w:rFonts w:ascii="宋体" w:hAnsi="宋体"/>
          <w:color w:val="auto"/>
          <w:sz w:val="24"/>
          <w:highlight w:val="none"/>
        </w:rPr>
      </w:pPr>
      <w:r>
        <w:rPr>
          <w:rFonts w:hint="eastAsia" w:ascii="宋体" w:hAnsi="宋体"/>
          <w:color w:val="auto"/>
          <w:sz w:val="24"/>
          <w:highlight w:val="none"/>
        </w:rPr>
        <w:t>2.3.2具有知识产权的计算机软件等货物的知识产权归属，</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3B8018D2">
      <w:pPr>
        <w:spacing w:line="360" w:lineRule="auto"/>
        <w:ind w:firstLine="437"/>
        <w:outlineLvl w:val="2"/>
        <w:rPr>
          <w:rFonts w:ascii="宋体" w:hAnsi="宋体"/>
          <w:b/>
          <w:color w:val="auto"/>
          <w:sz w:val="24"/>
          <w:highlight w:val="none"/>
        </w:rPr>
      </w:pPr>
      <w:bookmarkStart w:id="911" w:name="_Toc4194"/>
      <w:bookmarkStart w:id="912" w:name="_Toc29149"/>
      <w:bookmarkStart w:id="913" w:name="_Toc11932"/>
      <w:r>
        <w:rPr>
          <w:rFonts w:hint="eastAsia" w:ascii="宋体" w:hAnsi="宋体"/>
          <w:b/>
          <w:bCs/>
          <w:color w:val="auto"/>
          <w:sz w:val="24"/>
          <w:highlight w:val="none"/>
          <w:lang w:val="zh-CN"/>
        </w:rPr>
        <w:t>2.4</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包装和装运</w:t>
      </w:r>
      <w:bookmarkEnd w:id="911"/>
      <w:bookmarkEnd w:id="912"/>
      <w:bookmarkEnd w:id="913"/>
    </w:p>
    <w:p w14:paraId="0D3C1144">
      <w:pPr>
        <w:spacing w:line="360" w:lineRule="auto"/>
        <w:ind w:firstLine="435"/>
        <w:rPr>
          <w:rFonts w:ascii="宋体" w:hAnsi="宋体"/>
          <w:color w:val="auto"/>
          <w:sz w:val="24"/>
          <w:highlight w:val="none"/>
        </w:rPr>
      </w:pPr>
      <w:r>
        <w:rPr>
          <w:rFonts w:hint="eastAsia" w:ascii="宋体" w:hAnsi="宋体"/>
          <w:color w:val="auto"/>
          <w:sz w:val="24"/>
          <w:highlight w:val="none"/>
        </w:rPr>
        <w:t>2.4.1除</w:t>
      </w:r>
      <w:r>
        <w:rPr>
          <w:rFonts w:ascii="宋体" w:hAnsi="宋体"/>
          <w:b/>
          <w:i/>
          <w:color w:val="auto"/>
          <w:sz w:val="24"/>
          <w:highlight w:val="none"/>
          <w:u w:val="single"/>
        </w:rPr>
        <w:t>合同专用条款</w:t>
      </w:r>
      <w:r>
        <w:rPr>
          <w:rFonts w:hint="eastAsia" w:ascii="宋体" w:hAnsi="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C518DB0">
      <w:pPr>
        <w:spacing w:line="360" w:lineRule="auto"/>
        <w:ind w:firstLine="435"/>
        <w:rPr>
          <w:rFonts w:ascii="宋体" w:hAnsi="宋体"/>
          <w:color w:val="auto"/>
          <w:sz w:val="24"/>
          <w:highlight w:val="none"/>
        </w:rPr>
      </w:pPr>
      <w:r>
        <w:rPr>
          <w:rFonts w:hint="eastAsia" w:ascii="宋体" w:hAnsi="宋体"/>
          <w:color w:val="auto"/>
          <w:sz w:val="24"/>
          <w:highlight w:val="none"/>
        </w:rPr>
        <w:t>2.4.2装运货物的要求和通知，详见</w:t>
      </w:r>
      <w:r>
        <w:rPr>
          <w:rFonts w:ascii="宋体" w:hAnsi="宋体"/>
          <w:b/>
          <w:i/>
          <w:color w:val="auto"/>
          <w:sz w:val="24"/>
          <w:highlight w:val="none"/>
          <w:u w:val="single"/>
        </w:rPr>
        <w:t>合同专用条款</w:t>
      </w:r>
      <w:r>
        <w:rPr>
          <w:rFonts w:hint="eastAsia" w:ascii="宋体" w:hAnsi="宋体"/>
          <w:color w:val="auto"/>
          <w:sz w:val="24"/>
          <w:highlight w:val="none"/>
        </w:rPr>
        <w:t>。</w:t>
      </w:r>
    </w:p>
    <w:p w14:paraId="64A6552F">
      <w:pPr>
        <w:spacing w:line="360" w:lineRule="auto"/>
        <w:ind w:firstLine="437"/>
        <w:outlineLvl w:val="2"/>
        <w:rPr>
          <w:rFonts w:ascii="宋体" w:hAnsi="宋体"/>
          <w:b/>
          <w:bCs/>
          <w:color w:val="auto"/>
          <w:sz w:val="24"/>
          <w:highlight w:val="none"/>
          <w:lang w:val="zh-CN"/>
        </w:rPr>
      </w:pPr>
      <w:bookmarkStart w:id="914" w:name="_Ref467378541"/>
      <w:bookmarkStart w:id="915" w:name="_Toc487900354"/>
      <w:bookmarkStart w:id="916" w:name="_Ref467379527"/>
      <w:bookmarkStart w:id="917" w:name="_Ref467379542"/>
      <w:bookmarkStart w:id="918" w:name="_Toc279701245"/>
      <w:bookmarkStart w:id="919" w:name="_Ref467379536"/>
      <w:bookmarkStart w:id="920" w:name="_Ref467378591"/>
      <w:bookmarkStart w:id="921" w:name="_Toc259093674"/>
      <w:bookmarkStart w:id="922" w:name="_Toc19074"/>
      <w:bookmarkStart w:id="923" w:name="_Toc26182"/>
      <w:bookmarkStart w:id="924" w:name="_Toc30272"/>
      <w:r>
        <w:rPr>
          <w:rFonts w:hint="eastAsia" w:ascii="宋体" w:hAnsi="宋体"/>
          <w:b/>
          <w:bCs/>
          <w:color w:val="auto"/>
          <w:sz w:val="24"/>
          <w:highlight w:val="none"/>
          <w:lang w:val="zh-CN"/>
        </w:rPr>
        <w:t>2.</w:t>
      </w:r>
      <w:bookmarkEnd w:id="914"/>
      <w:bookmarkEnd w:id="915"/>
      <w:bookmarkEnd w:id="916"/>
      <w:bookmarkEnd w:id="917"/>
      <w:bookmarkEnd w:id="918"/>
      <w:bookmarkEnd w:id="919"/>
      <w:bookmarkEnd w:id="920"/>
      <w:bookmarkEnd w:id="921"/>
      <w:r>
        <w:rPr>
          <w:rFonts w:hint="eastAsia" w:ascii="宋体" w:hAnsi="宋体"/>
          <w:b/>
          <w:bCs/>
          <w:color w:val="auto"/>
          <w:sz w:val="24"/>
          <w:highlight w:val="none"/>
          <w:lang w:val="zh-CN"/>
        </w:rPr>
        <w:t>5</w:t>
      </w:r>
      <w:r>
        <w:rPr>
          <w:rFonts w:ascii="宋体" w:hAnsi="宋体"/>
          <w:b/>
          <w:bCs/>
          <w:color w:val="auto"/>
          <w:sz w:val="24"/>
          <w:highlight w:val="none"/>
          <w:lang w:val="zh-CN"/>
        </w:rPr>
        <w:t xml:space="preserve"> </w:t>
      </w:r>
      <w:r>
        <w:rPr>
          <w:rFonts w:hint="eastAsia" w:ascii="宋体" w:hAnsi="宋体"/>
          <w:b/>
          <w:bCs/>
          <w:color w:val="auto"/>
          <w:sz w:val="24"/>
          <w:highlight w:val="none"/>
          <w:lang w:val="zh-CN"/>
        </w:rPr>
        <w:t>履约检查和问题反馈</w:t>
      </w:r>
      <w:bookmarkEnd w:id="922"/>
      <w:bookmarkEnd w:id="923"/>
      <w:bookmarkEnd w:id="924"/>
    </w:p>
    <w:p w14:paraId="0EA067F7">
      <w:pPr>
        <w:spacing w:line="360" w:lineRule="auto"/>
        <w:ind w:firstLine="435"/>
        <w:rPr>
          <w:rFonts w:ascii="宋体" w:hAnsi="宋体"/>
          <w:color w:val="auto"/>
          <w:sz w:val="24"/>
          <w:highlight w:val="none"/>
        </w:rPr>
      </w:pPr>
      <w:bookmarkStart w:id="925" w:name="_Ref467379657"/>
      <w:r>
        <w:rPr>
          <w:rFonts w:hint="eastAsia" w:ascii="宋体" w:hAnsi="宋体"/>
          <w:color w:val="auto"/>
          <w:sz w:val="24"/>
          <w:highlight w:val="none"/>
        </w:rPr>
        <w:t>2.5</w:t>
      </w:r>
      <w:r>
        <w:rPr>
          <w:rFonts w:ascii="宋体" w:hAnsi="宋体"/>
          <w:color w:val="auto"/>
          <w:sz w:val="24"/>
          <w:highlight w:val="none"/>
        </w:rPr>
        <w:t>.1</w:t>
      </w:r>
      <w:bookmarkEnd w:id="925"/>
      <w:bookmarkStart w:id="926" w:name="_Toc186431854"/>
      <w:bookmarkStart w:id="927" w:name="_Toc259093676"/>
      <w:bookmarkStart w:id="928" w:name="_Toc279701247"/>
      <w:bookmarkStart w:id="929" w:name="_Ref467379807"/>
      <w:bookmarkStart w:id="930" w:name="_Ref467379793"/>
      <w:bookmarkStart w:id="931" w:name="_Toc487900357"/>
      <w:r>
        <w:rPr>
          <w:rFonts w:ascii="宋体" w:hAnsi="宋体"/>
          <w:color w:val="auto"/>
          <w:sz w:val="24"/>
          <w:highlight w:val="none"/>
        </w:rPr>
        <w:t>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，对乙方是否能够按照合同约定交付货物进行履约检查，以确保乙方所交付的货物能够依约满足甲方项目需求，但不得因履约检查妨碍乙方的正常工作，乙方应予积极配合；</w:t>
      </w:r>
    </w:p>
    <w:p w14:paraId="3DE68242">
      <w:pPr>
        <w:spacing w:line="360" w:lineRule="auto"/>
        <w:ind w:firstLine="435"/>
        <w:rPr>
          <w:rFonts w:ascii="宋体" w:hAnsi="宋体"/>
          <w:color w:val="auto"/>
          <w:sz w:val="24"/>
          <w:highlight w:val="none"/>
        </w:rPr>
      </w:pPr>
      <w:r>
        <w:rPr>
          <w:rFonts w:hint="eastAsia" w:ascii="宋体" w:hAnsi="宋体"/>
          <w:color w:val="auto"/>
          <w:sz w:val="24"/>
          <w:highlight w:val="none"/>
        </w:rPr>
        <w:t>2.5.2合同履行期间，甲方有权将履行过程中出现的问题反馈给乙方，双方当事人应以书面形式约定需要完善和改进的内容</w:t>
      </w:r>
      <w:bookmarkEnd w:id="926"/>
      <w:bookmarkStart w:id="932" w:name="_Toc186431855"/>
      <w:r>
        <w:rPr>
          <w:rFonts w:hint="eastAsia" w:ascii="宋体" w:hAnsi="宋体"/>
          <w:color w:val="auto"/>
          <w:sz w:val="24"/>
          <w:highlight w:val="none"/>
        </w:rPr>
        <w:t>。</w:t>
      </w:r>
    </w:p>
    <w:bookmarkEnd w:id="932"/>
    <w:p w14:paraId="427BBB93">
      <w:pPr>
        <w:spacing w:line="360" w:lineRule="auto"/>
        <w:ind w:firstLine="437"/>
        <w:outlineLvl w:val="2"/>
        <w:rPr>
          <w:rFonts w:ascii="宋体" w:hAnsi="宋体"/>
          <w:b/>
          <w:bCs/>
          <w:color w:val="auto"/>
          <w:sz w:val="24"/>
          <w:highlight w:val="none"/>
          <w:lang w:val="zh-CN"/>
        </w:rPr>
      </w:pPr>
      <w:bookmarkStart w:id="933" w:name="_Toc7836"/>
      <w:bookmarkStart w:id="934" w:name="_Toc19219"/>
      <w:bookmarkStart w:id="935" w:name="_Toc28451"/>
      <w:r>
        <w:rPr>
          <w:rFonts w:hint="eastAsia" w:ascii="宋体" w:hAnsi="宋体"/>
          <w:b/>
          <w:bCs/>
          <w:color w:val="auto"/>
          <w:sz w:val="24"/>
          <w:highlight w:val="none"/>
          <w:lang w:val="zh-CN"/>
        </w:rPr>
        <w:t xml:space="preserve">2.6 </w:t>
      </w:r>
      <w:r>
        <w:rPr>
          <w:rFonts w:ascii="宋体" w:hAnsi="宋体"/>
          <w:b/>
          <w:bCs/>
          <w:color w:val="auto"/>
          <w:sz w:val="24"/>
          <w:highlight w:val="none"/>
          <w:lang w:val="zh-CN"/>
        </w:rPr>
        <w:t>结算方式和付款条件</w:t>
      </w:r>
      <w:bookmarkEnd w:id="927"/>
      <w:bookmarkEnd w:id="928"/>
      <w:bookmarkEnd w:id="929"/>
      <w:bookmarkEnd w:id="930"/>
      <w:bookmarkEnd w:id="931"/>
      <w:bookmarkEnd w:id="933"/>
      <w:bookmarkEnd w:id="934"/>
      <w:bookmarkEnd w:id="935"/>
    </w:p>
    <w:p w14:paraId="686B2E46">
      <w:pPr>
        <w:spacing w:line="360" w:lineRule="auto"/>
        <w:ind w:firstLine="435"/>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5D74F2B6">
      <w:pPr>
        <w:spacing w:line="360" w:lineRule="auto"/>
        <w:ind w:firstLine="437"/>
        <w:outlineLvl w:val="2"/>
        <w:rPr>
          <w:rFonts w:ascii="宋体" w:hAnsi="宋体"/>
          <w:b/>
          <w:bCs/>
          <w:color w:val="auto"/>
          <w:sz w:val="24"/>
          <w:highlight w:val="none"/>
          <w:lang w:val="zh-CN"/>
        </w:rPr>
      </w:pPr>
      <w:bookmarkStart w:id="936" w:name="_Toc259093677"/>
      <w:bookmarkStart w:id="937" w:name="_Ref467379863"/>
      <w:bookmarkStart w:id="938" w:name="_Toc487900358"/>
      <w:bookmarkStart w:id="939" w:name="_Toc279701248"/>
      <w:bookmarkStart w:id="940" w:name="_Ref467379852"/>
      <w:bookmarkStart w:id="941" w:name="_Ref467379923"/>
      <w:bookmarkStart w:id="942" w:name="_Toc3225"/>
      <w:bookmarkStart w:id="943" w:name="_Toc774"/>
      <w:bookmarkStart w:id="944" w:name="_Toc16110"/>
      <w:r>
        <w:rPr>
          <w:rFonts w:hint="eastAsia" w:ascii="宋体" w:hAnsi="宋体"/>
          <w:b/>
          <w:bCs/>
          <w:color w:val="auto"/>
          <w:sz w:val="24"/>
          <w:highlight w:val="none"/>
          <w:lang w:val="zh-CN"/>
        </w:rPr>
        <w:t xml:space="preserve">2.7 </w:t>
      </w:r>
      <w:r>
        <w:rPr>
          <w:rFonts w:ascii="宋体" w:hAnsi="宋体"/>
          <w:b/>
          <w:bCs/>
          <w:color w:val="auto"/>
          <w:sz w:val="24"/>
          <w:highlight w:val="none"/>
          <w:lang w:val="zh-CN"/>
        </w:rPr>
        <w:t>技术资料</w:t>
      </w:r>
      <w:bookmarkEnd w:id="936"/>
      <w:bookmarkEnd w:id="937"/>
      <w:bookmarkEnd w:id="938"/>
      <w:bookmarkEnd w:id="939"/>
      <w:bookmarkEnd w:id="940"/>
      <w:bookmarkEnd w:id="941"/>
      <w:r>
        <w:rPr>
          <w:rFonts w:ascii="宋体" w:hAnsi="宋体"/>
          <w:b/>
          <w:bCs/>
          <w:color w:val="auto"/>
          <w:sz w:val="24"/>
          <w:highlight w:val="none"/>
          <w:lang w:val="zh-CN"/>
        </w:rPr>
        <w:t>和保密义务</w:t>
      </w:r>
      <w:bookmarkEnd w:id="942"/>
      <w:bookmarkEnd w:id="943"/>
      <w:bookmarkEnd w:id="944"/>
    </w:p>
    <w:p w14:paraId="3414CDFB">
      <w:pPr>
        <w:spacing w:line="360" w:lineRule="auto"/>
        <w:ind w:firstLine="435"/>
        <w:rPr>
          <w:rFonts w:ascii="宋体" w:hAnsi="宋体"/>
          <w:color w:val="auto"/>
          <w:sz w:val="24"/>
          <w:highlight w:val="none"/>
        </w:rPr>
      </w:pPr>
      <w:r>
        <w:rPr>
          <w:rFonts w:hint="eastAsia" w:ascii="宋体" w:hAnsi="宋体"/>
          <w:color w:val="auto"/>
          <w:sz w:val="24"/>
          <w:highlight w:val="none"/>
        </w:rPr>
        <w:t>2.7</w:t>
      </w:r>
      <w:r>
        <w:rPr>
          <w:rFonts w:ascii="宋体" w:hAnsi="宋体"/>
          <w:color w:val="auto"/>
          <w:sz w:val="24"/>
          <w:highlight w:val="none"/>
        </w:rPr>
        <w:t>.1</w:t>
      </w:r>
      <w:r>
        <w:rPr>
          <w:rFonts w:hint="eastAsia" w:ascii="宋体" w:hAnsi="宋体"/>
          <w:color w:val="auto"/>
          <w:sz w:val="24"/>
          <w:highlight w:val="none"/>
        </w:rPr>
        <w:t>乙方有权依据合同约定和项目需要，向甲方了解有关情况，调阅有关资料等，甲方应予积极配合；</w:t>
      </w:r>
    </w:p>
    <w:p w14:paraId="7C11A1BD">
      <w:pPr>
        <w:spacing w:line="360" w:lineRule="auto"/>
        <w:ind w:firstLine="435"/>
        <w:rPr>
          <w:rFonts w:ascii="宋体" w:hAnsi="宋体"/>
          <w:color w:val="auto"/>
          <w:sz w:val="24"/>
          <w:highlight w:val="none"/>
        </w:rPr>
      </w:pPr>
      <w:r>
        <w:rPr>
          <w:rFonts w:hint="eastAsia" w:ascii="宋体" w:hAnsi="宋体"/>
          <w:color w:val="auto"/>
          <w:sz w:val="24"/>
          <w:highlight w:val="none"/>
        </w:rPr>
        <w:t>2.7.2乙方有义务妥善保管和保护由甲方提供的前款信息和资料等；</w:t>
      </w:r>
    </w:p>
    <w:p w14:paraId="60289496">
      <w:pPr>
        <w:spacing w:line="360" w:lineRule="auto"/>
        <w:ind w:firstLine="435"/>
        <w:rPr>
          <w:rFonts w:ascii="宋体" w:hAnsi="宋体"/>
          <w:color w:val="auto"/>
          <w:sz w:val="24"/>
          <w:highlight w:val="none"/>
        </w:rPr>
      </w:pPr>
      <w:r>
        <w:rPr>
          <w:rFonts w:hint="eastAsia" w:ascii="宋体" w:hAnsi="宋体"/>
          <w:color w:val="auto"/>
          <w:sz w:val="24"/>
          <w:highlight w:val="none"/>
        </w:rPr>
        <w:t>2.7</w:t>
      </w:r>
      <w:r>
        <w:rPr>
          <w:rFonts w:ascii="宋体" w:hAnsi="宋体"/>
          <w:color w:val="auto"/>
          <w:sz w:val="24"/>
          <w:highlight w:val="none"/>
        </w:rPr>
        <w:t>.</w:t>
      </w:r>
      <w:r>
        <w:rPr>
          <w:rFonts w:hint="eastAsia" w:ascii="宋体" w:hAnsi="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758DFE32">
      <w:pPr>
        <w:spacing w:line="360" w:lineRule="auto"/>
        <w:ind w:firstLine="437"/>
        <w:outlineLvl w:val="2"/>
        <w:rPr>
          <w:rFonts w:ascii="宋体" w:hAnsi="宋体"/>
          <w:b/>
          <w:bCs/>
          <w:color w:val="auto"/>
          <w:sz w:val="24"/>
          <w:highlight w:val="none"/>
          <w:lang w:val="zh-CN"/>
        </w:rPr>
      </w:pPr>
      <w:bookmarkStart w:id="945" w:name="_Toc7860"/>
      <w:r>
        <w:rPr>
          <w:rFonts w:ascii="宋体" w:hAnsi="宋体"/>
          <w:b/>
          <w:bCs/>
          <w:color w:val="auto"/>
          <w:sz w:val="24"/>
          <w:highlight w:val="none"/>
          <w:lang w:val="zh-CN"/>
        </w:rPr>
        <w:t>2.8 质量保证</w:t>
      </w:r>
      <w:bookmarkEnd w:id="945"/>
    </w:p>
    <w:p w14:paraId="41FB581F">
      <w:pPr>
        <w:spacing w:line="360" w:lineRule="auto"/>
        <w:ind w:firstLine="435"/>
        <w:rPr>
          <w:rFonts w:ascii="宋体" w:hAnsi="宋体"/>
          <w:color w:val="auto"/>
          <w:sz w:val="24"/>
          <w:highlight w:val="none"/>
        </w:rPr>
      </w:pPr>
      <w:r>
        <w:rPr>
          <w:rFonts w:hint="eastAsia" w:ascii="宋体" w:hAnsi="宋体"/>
          <w:color w:val="auto"/>
          <w:sz w:val="24"/>
          <w:highlight w:val="none"/>
        </w:rPr>
        <w:t>2.8.1乙方应建立和完善履行合同的内部质量保证体系，并提供相关内部规章制度给甲方，以便甲方进行监督检查；</w:t>
      </w:r>
    </w:p>
    <w:p w14:paraId="1BC5A82C">
      <w:pPr>
        <w:spacing w:line="360" w:lineRule="auto"/>
        <w:ind w:firstLine="435"/>
        <w:rPr>
          <w:rFonts w:ascii="宋体" w:hAnsi="宋体"/>
          <w:color w:val="auto"/>
          <w:sz w:val="24"/>
          <w:highlight w:val="none"/>
        </w:rPr>
      </w:pPr>
      <w:r>
        <w:rPr>
          <w:rFonts w:hint="eastAsia" w:ascii="宋体" w:hAnsi="宋体"/>
          <w:color w:val="auto"/>
          <w:sz w:val="24"/>
          <w:highlight w:val="none"/>
        </w:rPr>
        <w:t>2.8.2乙方应保证履行合同的人员数量和素质、软件和硬件设备的配置、场地、环境和设施等满足全面履行合同的要求，并应接受甲方的监督检查。</w:t>
      </w:r>
    </w:p>
    <w:p w14:paraId="36E87AF0">
      <w:pPr>
        <w:spacing w:line="360" w:lineRule="auto"/>
        <w:ind w:firstLine="437"/>
        <w:outlineLvl w:val="2"/>
        <w:rPr>
          <w:rFonts w:ascii="宋体" w:hAnsi="宋体"/>
          <w:b/>
          <w:bCs/>
          <w:color w:val="auto"/>
          <w:sz w:val="24"/>
          <w:highlight w:val="none"/>
          <w:lang w:val="zh-CN"/>
        </w:rPr>
      </w:pPr>
      <w:bookmarkStart w:id="946" w:name="_Toc17244"/>
      <w:bookmarkStart w:id="947" w:name="_Toc279701252"/>
      <w:bookmarkStart w:id="948" w:name="_Toc487900362"/>
      <w:bookmarkStart w:id="949" w:name="_Toc259093681"/>
      <w:r>
        <w:rPr>
          <w:rFonts w:ascii="宋体" w:hAnsi="宋体"/>
          <w:b/>
          <w:bCs/>
          <w:color w:val="auto"/>
          <w:sz w:val="24"/>
          <w:highlight w:val="none"/>
          <w:lang w:val="zh-CN"/>
        </w:rPr>
        <w:t>2.9 货物的风险负担</w:t>
      </w:r>
      <w:bookmarkEnd w:id="946"/>
    </w:p>
    <w:p w14:paraId="388EADDB">
      <w:pPr>
        <w:spacing w:line="360" w:lineRule="auto"/>
        <w:ind w:firstLine="435"/>
        <w:rPr>
          <w:rFonts w:ascii="宋体" w:hAnsi="宋体"/>
          <w:b/>
          <w:color w:val="auto"/>
          <w:sz w:val="24"/>
          <w:highlight w:val="none"/>
        </w:rPr>
      </w:pPr>
      <w:r>
        <w:rPr>
          <w:rFonts w:hint="eastAsia" w:ascii="宋体" w:hAnsi="宋体"/>
          <w:color w:val="auto"/>
          <w:sz w:val="24"/>
          <w:highlight w:val="none"/>
        </w:rPr>
        <w:t>货物或者在途货物或者交付给第一承运人后的货物毁损、灭失的风险负担</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4847DC2A">
      <w:pPr>
        <w:spacing w:line="360" w:lineRule="auto"/>
        <w:ind w:firstLine="437"/>
        <w:outlineLvl w:val="2"/>
        <w:rPr>
          <w:rFonts w:ascii="宋体" w:hAnsi="宋体"/>
          <w:b/>
          <w:bCs/>
          <w:color w:val="auto"/>
          <w:sz w:val="24"/>
          <w:highlight w:val="none"/>
          <w:lang w:val="zh-CN"/>
        </w:rPr>
      </w:pPr>
      <w:bookmarkStart w:id="950" w:name="_Toc14055"/>
      <w:r>
        <w:rPr>
          <w:rFonts w:ascii="宋体" w:hAnsi="宋体"/>
          <w:b/>
          <w:bCs/>
          <w:color w:val="auto"/>
          <w:sz w:val="24"/>
          <w:highlight w:val="none"/>
          <w:lang w:val="zh-CN"/>
        </w:rPr>
        <w:t>2.10 延迟交货</w:t>
      </w:r>
      <w:bookmarkEnd w:id="947"/>
      <w:bookmarkEnd w:id="948"/>
      <w:bookmarkEnd w:id="949"/>
      <w:bookmarkEnd w:id="950"/>
    </w:p>
    <w:p w14:paraId="37BF203E">
      <w:pPr>
        <w:spacing w:line="360" w:lineRule="auto"/>
        <w:ind w:firstLine="435"/>
        <w:rPr>
          <w:rFonts w:ascii="宋体" w:hAnsi="宋体"/>
          <w:color w:val="auto"/>
          <w:sz w:val="24"/>
          <w:highlight w:val="none"/>
        </w:rPr>
      </w:pPr>
      <w:r>
        <w:rPr>
          <w:rFonts w:ascii="宋体" w:hAnsi="宋体"/>
          <w:color w:val="auto"/>
          <w:sz w:val="24"/>
          <w:highlight w:val="none"/>
        </w:rPr>
        <w:t>在合同履行过程中，如果乙方遇到不能按时交付货物的情况，应及时以书面形式将不能按时</w:t>
      </w:r>
      <w:r>
        <w:rPr>
          <w:rFonts w:hint="eastAsia" w:ascii="宋体" w:hAnsi="宋体"/>
          <w:color w:val="auto"/>
          <w:sz w:val="24"/>
          <w:highlight w:val="none"/>
        </w:rPr>
        <w:t>交付货物</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方收到乙方通知后，认为其理由正当的，可以书面形式酌情同意乙方可以延长交货的具体时间。</w:t>
      </w:r>
    </w:p>
    <w:p w14:paraId="41DC02C8">
      <w:pPr>
        <w:spacing w:line="360" w:lineRule="auto"/>
        <w:ind w:firstLine="437"/>
        <w:outlineLvl w:val="2"/>
        <w:rPr>
          <w:rFonts w:ascii="宋体" w:hAnsi="宋体"/>
          <w:b/>
          <w:bCs/>
          <w:color w:val="auto"/>
          <w:sz w:val="24"/>
          <w:highlight w:val="none"/>
          <w:lang w:val="zh-CN"/>
        </w:rPr>
      </w:pPr>
      <w:bookmarkStart w:id="951" w:name="_Toc7502"/>
      <w:bookmarkStart w:id="952" w:name="_Ref467378121"/>
      <w:bookmarkStart w:id="953" w:name="_Toc259093683"/>
      <w:bookmarkStart w:id="954" w:name="_Toc279701254"/>
      <w:bookmarkStart w:id="955" w:name="_Toc487900364"/>
      <w:r>
        <w:rPr>
          <w:rFonts w:ascii="宋体" w:hAnsi="宋体"/>
          <w:b/>
          <w:bCs/>
          <w:color w:val="auto"/>
          <w:sz w:val="24"/>
          <w:highlight w:val="none"/>
          <w:lang w:val="zh-CN"/>
        </w:rPr>
        <w:t>2.11 合同变更</w:t>
      </w:r>
      <w:bookmarkEnd w:id="951"/>
    </w:p>
    <w:p w14:paraId="427C994A">
      <w:pPr>
        <w:spacing w:line="360" w:lineRule="auto"/>
        <w:ind w:firstLine="435"/>
        <w:rPr>
          <w:rFonts w:ascii="宋体" w:hAnsi="宋体"/>
          <w:color w:val="auto"/>
          <w:sz w:val="24"/>
          <w:highlight w:val="none"/>
        </w:rPr>
      </w:pPr>
      <w:r>
        <w:rPr>
          <w:rFonts w:hint="eastAsia" w:ascii="宋体" w:hAnsi="宋体"/>
          <w:color w:val="auto"/>
          <w:sz w:val="24"/>
          <w:highlight w:val="none"/>
        </w:rPr>
        <w:t>2.11.1双方当事人协商一致，可以签订书面补充合同的形式变更合同，但不得违背采购文件确定的事项；</w:t>
      </w:r>
    </w:p>
    <w:p w14:paraId="4A900169">
      <w:pPr>
        <w:spacing w:line="360" w:lineRule="auto"/>
        <w:ind w:firstLine="435"/>
        <w:rPr>
          <w:rFonts w:ascii="宋体" w:hAnsi="宋体"/>
          <w:color w:val="auto"/>
          <w:sz w:val="24"/>
          <w:highlight w:val="none"/>
        </w:rPr>
      </w:pPr>
      <w:r>
        <w:rPr>
          <w:rFonts w:hint="eastAsia" w:ascii="宋体" w:hAnsi="宋体"/>
          <w:color w:val="auto"/>
          <w:sz w:val="24"/>
          <w:highlight w:val="none"/>
        </w:rPr>
        <w:t>2.11.2合同继续履行将损害国家利益和社会公共利益的，双方当事人应当以书面形式变更合同。有过错的一方应当承担赔偿责任，双方当事人都有过错的，各自承担相应的责任。</w:t>
      </w:r>
      <w:bookmarkStart w:id="956" w:name="_Toc487900369"/>
      <w:bookmarkStart w:id="957" w:name="_Toc259093688"/>
      <w:bookmarkStart w:id="958" w:name="_Toc279701259"/>
    </w:p>
    <w:p w14:paraId="3F2D83C2">
      <w:pPr>
        <w:spacing w:line="360" w:lineRule="auto"/>
        <w:ind w:firstLine="437"/>
        <w:outlineLvl w:val="2"/>
        <w:rPr>
          <w:rFonts w:ascii="宋体" w:hAnsi="宋体"/>
          <w:b/>
          <w:bCs/>
          <w:color w:val="auto"/>
          <w:sz w:val="24"/>
          <w:highlight w:val="none"/>
          <w:lang w:val="zh-CN"/>
        </w:rPr>
      </w:pPr>
      <w:bookmarkStart w:id="959" w:name="_Toc15237"/>
      <w:bookmarkStart w:id="960" w:name="_Toc10366"/>
      <w:bookmarkStart w:id="961" w:name="_Toc22955"/>
      <w:r>
        <w:rPr>
          <w:rFonts w:hint="eastAsia" w:ascii="宋体" w:hAnsi="宋体"/>
          <w:b/>
          <w:bCs/>
          <w:color w:val="auto"/>
          <w:sz w:val="24"/>
          <w:highlight w:val="none"/>
          <w:lang w:val="zh-CN"/>
        </w:rPr>
        <w:t xml:space="preserve">2.12 </w:t>
      </w:r>
      <w:r>
        <w:rPr>
          <w:rFonts w:ascii="宋体" w:hAnsi="宋体"/>
          <w:b/>
          <w:bCs/>
          <w:color w:val="auto"/>
          <w:sz w:val="24"/>
          <w:highlight w:val="none"/>
          <w:lang w:val="zh-CN"/>
        </w:rPr>
        <w:t>合同转让</w:t>
      </w:r>
      <w:bookmarkEnd w:id="956"/>
      <w:bookmarkEnd w:id="957"/>
      <w:bookmarkEnd w:id="958"/>
      <w:r>
        <w:rPr>
          <w:rFonts w:ascii="宋体" w:hAnsi="宋体"/>
          <w:b/>
          <w:bCs/>
          <w:color w:val="auto"/>
          <w:sz w:val="24"/>
          <w:highlight w:val="none"/>
          <w:lang w:val="zh-CN"/>
        </w:rPr>
        <w:t>和分包</w:t>
      </w:r>
      <w:bookmarkEnd w:id="959"/>
      <w:bookmarkEnd w:id="960"/>
      <w:bookmarkEnd w:id="961"/>
    </w:p>
    <w:p w14:paraId="3A5838CD">
      <w:pPr>
        <w:spacing w:line="360" w:lineRule="auto"/>
        <w:ind w:firstLine="435"/>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5821AD1E">
      <w:pPr>
        <w:spacing w:line="360" w:lineRule="auto"/>
        <w:ind w:firstLine="437"/>
        <w:outlineLvl w:val="2"/>
        <w:rPr>
          <w:rFonts w:ascii="宋体" w:hAnsi="宋体"/>
          <w:b/>
          <w:bCs/>
          <w:color w:val="auto"/>
          <w:sz w:val="24"/>
          <w:highlight w:val="none"/>
          <w:lang w:val="zh-CN"/>
        </w:rPr>
      </w:pPr>
      <w:bookmarkStart w:id="962" w:name="_Toc16508"/>
      <w:bookmarkStart w:id="963" w:name="_Toc13566"/>
      <w:bookmarkStart w:id="964" w:name="_Toc14066"/>
      <w:r>
        <w:rPr>
          <w:rFonts w:hint="eastAsia" w:ascii="宋体" w:hAnsi="宋体"/>
          <w:b/>
          <w:bCs/>
          <w:color w:val="auto"/>
          <w:sz w:val="24"/>
          <w:highlight w:val="none"/>
          <w:lang w:val="zh-CN"/>
        </w:rPr>
        <w:t>2.13</w:t>
      </w:r>
      <w:r>
        <w:rPr>
          <w:rFonts w:ascii="宋体" w:hAnsi="宋体"/>
          <w:b/>
          <w:bCs/>
          <w:color w:val="auto"/>
          <w:sz w:val="24"/>
          <w:highlight w:val="none"/>
          <w:lang w:val="zh-CN"/>
        </w:rPr>
        <w:t xml:space="preserve"> 不可抗力</w:t>
      </w:r>
      <w:bookmarkEnd w:id="962"/>
      <w:bookmarkEnd w:id="963"/>
      <w:bookmarkEnd w:id="964"/>
    </w:p>
    <w:p w14:paraId="349AC0C7">
      <w:pPr>
        <w:spacing w:line="360" w:lineRule="auto"/>
        <w:ind w:firstLine="435"/>
        <w:rPr>
          <w:rFonts w:ascii="宋体" w:hAnsi="宋体"/>
          <w:color w:val="auto"/>
          <w:sz w:val="24"/>
          <w:highlight w:val="none"/>
        </w:rPr>
      </w:pPr>
      <w:r>
        <w:rPr>
          <w:rFonts w:hint="eastAsia" w:ascii="宋体" w:hAnsi="宋体"/>
          <w:color w:val="auto"/>
          <w:sz w:val="24"/>
          <w:highlight w:val="none"/>
        </w:rPr>
        <w:t>2.13</w:t>
      </w:r>
      <w:r>
        <w:rPr>
          <w:rFonts w:ascii="宋体" w:hAnsi="宋体"/>
          <w:color w:val="auto"/>
          <w:sz w:val="24"/>
          <w:highlight w:val="none"/>
        </w:rPr>
        <w:t>.1如果任何一方遭遇法律规定的不可抗力，致使合同履行受阻时，履行合同的期限应予延长，延长的期限应相当于不可抗力所影响的时间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725E7BC2">
      <w:pPr>
        <w:spacing w:line="360" w:lineRule="auto"/>
        <w:ind w:firstLine="435"/>
        <w:rPr>
          <w:rFonts w:ascii="宋体" w:hAnsi="宋体"/>
          <w:color w:val="auto"/>
          <w:sz w:val="24"/>
          <w:highlight w:val="none"/>
        </w:rPr>
      </w:pPr>
      <w:r>
        <w:rPr>
          <w:rFonts w:hint="eastAsia" w:ascii="宋体" w:hAnsi="宋体"/>
          <w:color w:val="auto"/>
          <w:sz w:val="24"/>
          <w:highlight w:val="none"/>
        </w:rPr>
        <w:t>2.13.2因不可抗力致使不能实现合同目的的，当事人可以解除合同；</w:t>
      </w:r>
    </w:p>
    <w:p w14:paraId="6A942123">
      <w:pPr>
        <w:spacing w:line="360" w:lineRule="auto"/>
        <w:ind w:firstLine="435"/>
        <w:rPr>
          <w:rFonts w:ascii="宋体" w:hAnsi="宋体"/>
          <w:color w:val="auto"/>
          <w:sz w:val="24"/>
          <w:highlight w:val="none"/>
        </w:rPr>
      </w:pPr>
      <w:r>
        <w:rPr>
          <w:rFonts w:hint="eastAsia" w:ascii="宋体" w:hAnsi="宋体"/>
          <w:color w:val="auto"/>
          <w:sz w:val="24"/>
          <w:highlight w:val="none"/>
        </w:rPr>
        <w:t>2.13.3因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7412F19D">
      <w:pPr>
        <w:spacing w:line="360" w:lineRule="auto"/>
        <w:ind w:firstLine="435"/>
        <w:rPr>
          <w:rFonts w:ascii="宋体" w:hAnsi="宋体"/>
          <w:color w:val="auto"/>
          <w:sz w:val="24"/>
          <w:highlight w:val="none"/>
        </w:rPr>
      </w:pPr>
      <w:r>
        <w:rPr>
          <w:rFonts w:hint="eastAsia" w:ascii="宋体" w:hAnsi="宋体"/>
          <w:color w:val="auto"/>
          <w:sz w:val="24"/>
          <w:highlight w:val="none"/>
        </w:rPr>
        <w:t>2.13</w:t>
      </w:r>
      <w:r>
        <w:rPr>
          <w:rFonts w:ascii="宋体" w:hAnsi="宋体"/>
          <w:color w:val="auto"/>
          <w:sz w:val="24"/>
          <w:highlight w:val="none"/>
        </w:rPr>
        <w:t>.</w:t>
      </w: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2B2A23D9">
      <w:pPr>
        <w:spacing w:line="360" w:lineRule="auto"/>
        <w:ind w:firstLine="437"/>
        <w:outlineLvl w:val="2"/>
        <w:rPr>
          <w:rFonts w:ascii="宋体" w:hAnsi="宋体"/>
          <w:b/>
          <w:bCs/>
          <w:color w:val="auto"/>
          <w:sz w:val="24"/>
          <w:highlight w:val="none"/>
          <w:lang w:val="zh-CN"/>
        </w:rPr>
      </w:pPr>
      <w:bookmarkStart w:id="965" w:name="_Toc487900365"/>
      <w:bookmarkStart w:id="966" w:name="_Toc259093684"/>
      <w:bookmarkStart w:id="967" w:name="_Toc279701255"/>
      <w:bookmarkStart w:id="968" w:name="_Toc689"/>
      <w:bookmarkStart w:id="969" w:name="_Toc6969"/>
      <w:bookmarkStart w:id="970" w:name="_Toc30676"/>
      <w:r>
        <w:rPr>
          <w:rFonts w:hint="eastAsia" w:ascii="宋体" w:hAnsi="宋体"/>
          <w:b/>
          <w:bCs/>
          <w:color w:val="auto"/>
          <w:sz w:val="24"/>
          <w:highlight w:val="none"/>
          <w:lang w:val="zh-CN"/>
        </w:rPr>
        <w:t>2.</w:t>
      </w:r>
      <w:r>
        <w:rPr>
          <w:rFonts w:ascii="宋体" w:hAnsi="宋体"/>
          <w:b/>
          <w:bCs/>
          <w:color w:val="auto"/>
          <w:sz w:val="24"/>
          <w:highlight w:val="none"/>
          <w:lang w:val="zh-CN"/>
        </w:rPr>
        <w:t>1</w:t>
      </w:r>
      <w:r>
        <w:rPr>
          <w:rFonts w:hint="eastAsia" w:ascii="宋体" w:hAnsi="宋体"/>
          <w:b/>
          <w:bCs/>
          <w:color w:val="auto"/>
          <w:sz w:val="24"/>
          <w:highlight w:val="none"/>
          <w:lang w:val="zh-CN"/>
        </w:rPr>
        <w:t xml:space="preserve">4 </w:t>
      </w:r>
      <w:r>
        <w:rPr>
          <w:rFonts w:ascii="宋体" w:hAnsi="宋体"/>
          <w:b/>
          <w:bCs/>
          <w:color w:val="auto"/>
          <w:sz w:val="24"/>
          <w:highlight w:val="none"/>
          <w:lang w:val="zh-CN"/>
        </w:rPr>
        <w:t>税费</w:t>
      </w:r>
      <w:bookmarkEnd w:id="965"/>
      <w:bookmarkEnd w:id="966"/>
      <w:bookmarkEnd w:id="967"/>
      <w:bookmarkEnd w:id="968"/>
      <w:bookmarkEnd w:id="969"/>
      <w:bookmarkEnd w:id="970"/>
    </w:p>
    <w:p w14:paraId="79F58FBB">
      <w:pPr>
        <w:spacing w:line="360" w:lineRule="auto"/>
        <w:ind w:firstLine="435"/>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w:t>
      </w:r>
      <w:r>
        <w:rPr>
          <w:rFonts w:hint="eastAsia" w:ascii="宋体" w:hAnsi="宋体"/>
          <w:color w:val="auto"/>
          <w:sz w:val="24"/>
          <w:highlight w:val="none"/>
        </w:rPr>
        <w:t>缴纳</w:t>
      </w:r>
      <w:r>
        <w:rPr>
          <w:rFonts w:ascii="宋体" w:hAnsi="宋体"/>
          <w:color w:val="auto"/>
          <w:sz w:val="24"/>
          <w:highlight w:val="none"/>
        </w:rPr>
        <w:t>。</w:t>
      </w:r>
    </w:p>
    <w:p w14:paraId="3AE75470">
      <w:pPr>
        <w:spacing w:line="360" w:lineRule="auto"/>
        <w:ind w:firstLine="437"/>
        <w:outlineLvl w:val="2"/>
        <w:rPr>
          <w:rFonts w:ascii="宋体" w:hAnsi="宋体"/>
          <w:b/>
          <w:bCs/>
          <w:color w:val="auto"/>
          <w:sz w:val="24"/>
          <w:highlight w:val="none"/>
          <w:lang w:val="zh-CN"/>
        </w:rPr>
      </w:pPr>
      <w:bookmarkStart w:id="971" w:name="_Toc259093687"/>
      <w:bookmarkStart w:id="972" w:name="_Toc7102"/>
      <w:bookmarkStart w:id="973" w:name="_Toc16959"/>
      <w:bookmarkStart w:id="974" w:name="_Toc8298"/>
      <w:bookmarkStart w:id="975" w:name="_Toc487900368"/>
      <w:bookmarkStart w:id="976" w:name="_Toc279701258"/>
      <w:r>
        <w:rPr>
          <w:rFonts w:hint="eastAsia" w:ascii="宋体" w:hAnsi="宋体"/>
          <w:b/>
          <w:bCs/>
          <w:color w:val="auto"/>
          <w:sz w:val="24"/>
          <w:highlight w:val="none"/>
          <w:lang w:val="zh-CN"/>
        </w:rPr>
        <w:t>2.</w:t>
      </w:r>
      <w:r>
        <w:rPr>
          <w:rFonts w:ascii="宋体" w:hAnsi="宋体"/>
          <w:b/>
          <w:bCs/>
          <w:color w:val="auto"/>
          <w:sz w:val="24"/>
          <w:highlight w:val="none"/>
          <w:lang w:val="zh-CN"/>
        </w:rPr>
        <w:t>1</w:t>
      </w:r>
      <w:r>
        <w:rPr>
          <w:rFonts w:hint="eastAsia" w:ascii="宋体" w:hAnsi="宋体"/>
          <w:b/>
          <w:bCs/>
          <w:color w:val="auto"/>
          <w:sz w:val="24"/>
          <w:highlight w:val="none"/>
          <w:lang w:val="zh-CN"/>
        </w:rPr>
        <w:t xml:space="preserve">5 </w:t>
      </w:r>
      <w:r>
        <w:rPr>
          <w:rFonts w:ascii="宋体" w:hAnsi="宋体"/>
          <w:b/>
          <w:bCs/>
          <w:color w:val="auto"/>
          <w:sz w:val="24"/>
          <w:highlight w:val="none"/>
          <w:lang w:val="zh-CN"/>
        </w:rPr>
        <w:t>乙方破产</w:t>
      </w:r>
      <w:bookmarkEnd w:id="971"/>
      <w:bookmarkEnd w:id="972"/>
      <w:bookmarkEnd w:id="973"/>
      <w:bookmarkEnd w:id="974"/>
      <w:bookmarkEnd w:id="975"/>
      <w:bookmarkEnd w:id="976"/>
    </w:p>
    <w:p w14:paraId="1EC71D00">
      <w:pPr>
        <w:spacing w:line="360" w:lineRule="auto"/>
        <w:ind w:firstLine="435"/>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096FF090">
      <w:pPr>
        <w:spacing w:line="360" w:lineRule="auto"/>
        <w:ind w:firstLine="437"/>
        <w:outlineLvl w:val="2"/>
        <w:rPr>
          <w:rFonts w:ascii="宋体" w:hAnsi="宋体"/>
          <w:b/>
          <w:color w:val="auto"/>
          <w:sz w:val="24"/>
          <w:highlight w:val="none"/>
        </w:rPr>
      </w:pPr>
      <w:bookmarkStart w:id="977" w:name="_Toc29333"/>
      <w:bookmarkStart w:id="978" w:name="_Toc6134"/>
      <w:bookmarkStart w:id="979" w:name="_Toc15387"/>
      <w:r>
        <w:rPr>
          <w:rFonts w:hint="eastAsia" w:ascii="宋体" w:hAnsi="宋体"/>
          <w:b/>
          <w:bCs/>
          <w:color w:val="auto"/>
          <w:sz w:val="24"/>
          <w:highlight w:val="none"/>
          <w:lang w:val="zh-CN"/>
        </w:rPr>
        <w:t>2.16 合同中止、终止</w:t>
      </w:r>
      <w:bookmarkEnd w:id="977"/>
      <w:bookmarkEnd w:id="978"/>
      <w:bookmarkEnd w:id="979"/>
    </w:p>
    <w:p w14:paraId="583E5CB7">
      <w:pPr>
        <w:spacing w:line="360" w:lineRule="auto"/>
        <w:ind w:firstLine="435"/>
        <w:rPr>
          <w:rFonts w:ascii="宋体" w:hAnsi="宋体"/>
          <w:color w:val="auto"/>
          <w:sz w:val="24"/>
          <w:highlight w:val="none"/>
        </w:rPr>
      </w:pPr>
      <w:r>
        <w:rPr>
          <w:rFonts w:hint="eastAsia" w:ascii="宋体" w:hAnsi="宋体"/>
          <w:color w:val="auto"/>
          <w:sz w:val="24"/>
          <w:highlight w:val="none"/>
        </w:rPr>
        <w:t>2.16.1双方当事人不得擅自中止或者终止合同；</w:t>
      </w:r>
    </w:p>
    <w:p w14:paraId="70B10C18">
      <w:pPr>
        <w:spacing w:line="360" w:lineRule="auto"/>
        <w:ind w:firstLine="435"/>
        <w:rPr>
          <w:rFonts w:ascii="宋体" w:hAnsi="宋体"/>
          <w:color w:val="auto"/>
          <w:sz w:val="24"/>
          <w:highlight w:val="none"/>
        </w:rPr>
      </w:pPr>
      <w:r>
        <w:rPr>
          <w:rFonts w:hint="eastAsia" w:ascii="宋体" w:hAnsi="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6DEF7C16">
      <w:pPr>
        <w:spacing w:line="360" w:lineRule="auto"/>
        <w:ind w:firstLine="437"/>
        <w:outlineLvl w:val="2"/>
        <w:rPr>
          <w:rFonts w:ascii="宋体" w:hAnsi="宋体"/>
          <w:b/>
          <w:bCs/>
          <w:color w:val="auto"/>
          <w:sz w:val="24"/>
          <w:highlight w:val="none"/>
          <w:lang w:val="zh-CN"/>
        </w:rPr>
      </w:pPr>
      <w:bookmarkStart w:id="980" w:name="_Toc14563"/>
      <w:bookmarkStart w:id="981" w:name="_Toc1125"/>
      <w:bookmarkStart w:id="982" w:name="_Toc6596"/>
      <w:r>
        <w:rPr>
          <w:rFonts w:hint="eastAsia" w:ascii="宋体" w:hAnsi="宋体"/>
          <w:b/>
          <w:bCs/>
          <w:color w:val="auto"/>
          <w:sz w:val="24"/>
          <w:highlight w:val="none"/>
          <w:lang w:val="zh-CN"/>
        </w:rPr>
        <w:t>2.17 检验和验收</w:t>
      </w:r>
      <w:bookmarkEnd w:id="980"/>
      <w:bookmarkEnd w:id="981"/>
      <w:bookmarkEnd w:id="982"/>
    </w:p>
    <w:p w14:paraId="2B952347">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w:t>
      </w:r>
      <w:r>
        <w:rPr>
          <w:rFonts w:hint="eastAsia" w:ascii="宋体" w:hAnsi="宋体"/>
          <w:color w:val="auto"/>
          <w:sz w:val="24"/>
          <w:highlight w:val="none"/>
        </w:rPr>
        <w:t>1货物交付前，乙方应对货物的质量、数量等方面进行详细、全面的检验，并向甲方出具证明货物符合合同约定的文件；货物交付时，乙方在</w:t>
      </w:r>
      <w:r>
        <w:rPr>
          <w:rFonts w:hint="eastAsia" w:ascii="宋体" w:hAnsi="宋体"/>
          <w:b/>
          <w:i/>
          <w:color w:val="auto"/>
          <w:sz w:val="24"/>
          <w:highlight w:val="none"/>
          <w:u w:val="single"/>
        </w:rPr>
        <w:t>合同专用条款</w:t>
      </w:r>
      <w:r>
        <w:rPr>
          <w:rFonts w:hint="eastAsia" w:ascii="宋体" w:hAnsi="宋体"/>
          <w:color w:val="auto"/>
          <w:sz w:val="24"/>
          <w:highlight w:val="none"/>
        </w:rPr>
        <w:t>约定时间内组织验收，并可依法邀请相关方参加，验收应出具验收书。</w:t>
      </w:r>
    </w:p>
    <w:p w14:paraId="5D1B7619">
      <w:pPr>
        <w:spacing w:line="360" w:lineRule="auto"/>
        <w:ind w:firstLine="435"/>
        <w:rPr>
          <w:rFonts w:ascii="宋体" w:hAnsi="宋体"/>
          <w:color w:val="auto"/>
          <w:sz w:val="24"/>
          <w:highlight w:val="none"/>
        </w:rPr>
      </w:pPr>
      <w:r>
        <w:rPr>
          <w:rFonts w:hint="eastAsia" w:ascii="宋体" w:hAnsi="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7BA4FE8">
      <w:pPr>
        <w:spacing w:line="360" w:lineRule="auto"/>
        <w:ind w:firstLine="435"/>
        <w:rPr>
          <w:rFonts w:ascii="宋体" w:hAnsi="宋体"/>
          <w:color w:val="auto"/>
          <w:sz w:val="24"/>
          <w:highlight w:val="none"/>
        </w:rPr>
      </w:pPr>
      <w:r>
        <w:rPr>
          <w:rFonts w:hint="eastAsia" w:ascii="宋体" w:hAnsi="宋体"/>
          <w:color w:val="auto"/>
          <w:sz w:val="24"/>
          <w:highlight w:val="none"/>
        </w:rPr>
        <w:t>2.17.3检验和验收标准、程序等具体内容以及前述验收书的效力详见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bookmarkEnd w:id="952"/>
    <w:bookmarkEnd w:id="953"/>
    <w:bookmarkEnd w:id="954"/>
    <w:bookmarkEnd w:id="955"/>
    <w:p w14:paraId="206128F5">
      <w:pPr>
        <w:spacing w:line="360" w:lineRule="auto"/>
        <w:ind w:firstLine="437"/>
        <w:outlineLvl w:val="2"/>
        <w:rPr>
          <w:rFonts w:ascii="宋体" w:hAnsi="宋体"/>
          <w:b/>
          <w:color w:val="auto"/>
          <w:sz w:val="24"/>
          <w:highlight w:val="none"/>
        </w:rPr>
      </w:pPr>
      <w:bookmarkStart w:id="983" w:name="_Toc4355"/>
      <w:bookmarkStart w:id="984" w:name="_Toc279701262"/>
      <w:bookmarkStart w:id="985" w:name="_Toc18540"/>
      <w:bookmarkStart w:id="986" w:name="_Toc30599"/>
      <w:bookmarkStart w:id="987" w:name="_Toc487900372"/>
      <w:bookmarkStart w:id="988" w:name="_Toc259093691"/>
      <w:r>
        <w:rPr>
          <w:rFonts w:hint="eastAsia" w:ascii="宋体" w:hAnsi="宋体"/>
          <w:b/>
          <w:bCs/>
          <w:color w:val="auto"/>
          <w:sz w:val="24"/>
          <w:highlight w:val="none"/>
          <w:lang w:val="zh-CN"/>
        </w:rPr>
        <w:t>2.1</w:t>
      </w:r>
      <w:r>
        <w:rPr>
          <w:rFonts w:ascii="宋体" w:hAnsi="宋体"/>
          <w:b/>
          <w:bCs/>
          <w:color w:val="auto"/>
          <w:sz w:val="24"/>
          <w:highlight w:val="none"/>
          <w:lang w:val="zh-CN"/>
        </w:rPr>
        <w:t>8</w:t>
      </w:r>
      <w:r>
        <w:rPr>
          <w:rFonts w:hint="eastAsia" w:ascii="宋体" w:hAnsi="宋体"/>
          <w:b/>
          <w:bCs/>
          <w:color w:val="auto"/>
          <w:sz w:val="24"/>
          <w:highlight w:val="none"/>
          <w:lang w:val="zh-CN"/>
        </w:rPr>
        <w:t xml:space="preserve"> </w:t>
      </w:r>
      <w:r>
        <w:rPr>
          <w:rFonts w:ascii="宋体" w:hAnsi="宋体"/>
          <w:b/>
          <w:bCs/>
          <w:color w:val="auto"/>
          <w:sz w:val="24"/>
          <w:highlight w:val="none"/>
          <w:lang w:val="zh-CN"/>
        </w:rPr>
        <w:t>计量单位</w:t>
      </w:r>
      <w:bookmarkEnd w:id="983"/>
      <w:bookmarkEnd w:id="984"/>
      <w:bookmarkEnd w:id="985"/>
      <w:bookmarkEnd w:id="986"/>
      <w:bookmarkEnd w:id="987"/>
      <w:bookmarkEnd w:id="988"/>
    </w:p>
    <w:p w14:paraId="6796A735">
      <w:pPr>
        <w:spacing w:line="360" w:lineRule="auto"/>
        <w:ind w:firstLine="435"/>
        <w:rPr>
          <w:rFonts w:ascii="宋体" w:hAnsi="宋体"/>
          <w:color w:val="auto"/>
          <w:sz w:val="24"/>
          <w:highlight w:val="none"/>
        </w:rPr>
      </w:pPr>
      <w:r>
        <w:rPr>
          <w:rFonts w:ascii="宋体" w:hAnsi="宋体"/>
          <w:color w:val="auto"/>
          <w:sz w:val="24"/>
          <w:highlight w:val="none"/>
        </w:rPr>
        <w:t>除技术规范中另有规定外,合同的计量单位均使用国家法定计量单位。</w:t>
      </w:r>
    </w:p>
    <w:p w14:paraId="56DD565B">
      <w:pPr>
        <w:spacing w:line="360" w:lineRule="auto"/>
        <w:ind w:firstLine="437"/>
        <w:outlineLvl w:val="2"/>
        <w:rPr>
          <w:rFonts w:ascii="宋体" w:hAnsi="宋体"/>
          <w:b/>
          <w:bCs/>
          <w:color w:val="auto"/>
          <w:sz w:val="24"/>
          <w:highlight w:val="none"/>
        </w:rPr>
      </w:pPr>
      <w:bookmarkStart w:id="989" w:name="_Toc487900373"/>
      <w:bookmarkStart w:id="990" w:name="_Toc10330"/>
      <w:bookmarkStart w:id="991" w:name="_Toc279701263"/>
      <w:bookmarkStart w:id="992" w:name="_Toc12773"/>
      <w:bookmarkStart w:id="993" w:name="_Toc259093692"/>
      <w:bookmarkStart w:id="994" w:name="_Toc18567"/>
      <w:r>
        <w:rPr>
          <w:rFonts w:hint="eastAsia" w:ascii="宋体" w:hAnsi="宋体"/>
          <w:b/>
          <w:bCs/>
          <w:color w:val="auto"/>
          <w:sz w:val="24"/>
          <w:highlight w:val="none"/>
        </w:rPr>
        <w:t>2.</w:t>
      </w:r>
      <w:r>
        <w:rPr>
          <w:rFonts w:ascii="宋体" w:hAnsi="宋体"/>
          <w:b/>
          <w:bCs/>
          <w:color w:val="auto"/>
          <w:sz w:val="24"/>
          <w:highlight w:val="none"/>
        </w:rPr>
        <w:t>19</w:t>
      </w:r>
      <w:r>
        <w:rPr>
          <w:rFonts w:hint="eastAsia" w:ascii="宋体" w:hAnsi="宋体"/>
          <w:b/>
          <w:bCs/>
          <w:color w:val="auto"/>
          <w:sz w:val="24"/>
          <w:highlight w:val="none"/>
        </w:rPr>
        <w:t xml:space="preserve"> </w:t>
      </w:r>
      <w:r>
        <w:rPr>
          <w:rFonts w:hint="eastAsia" w:ascii="宋体" w:hAnsi="宋体"/>
          <w:b/>
          <w:bCs/>
          <w:color w:val="auto"/>
          <w:sz w:val="24"/>
          <w:highlight w:val="none"/>
          <w:lang w:val="zh-CN"/>
        </w:rPr>
        <w:t>合同使用的文字和</w:t>
      </w:r>
      <w:r>
        <w:rPr>
          <w:rFonts w:ascii="宋体" w:hAnsi="宋体"/>
          <w:b/>
          <w:bCs/>
          <w:color w:val="auto"/>
          <w:sz w:val="24"/>
          <w:highlight w:val="none"/>
          <w:lang w:val="zh-CN"/>
        </w:rPr>
        <w:t>适用的法律</w:t>
      </w:r>
      <w:bookmarkEnd w:id="989"/>
      <w:bookmarkEnd w:id="990"/>
      <w:bookmarkEnd w:id="991"/>
      <w:bookmarkEnd w:id="992"/>
      <w:bookmarkEnd w:id="993"/>
      <w:bookmarkEnd w:id="994"/>
    </w:p>
    <w:p w14:paraId="408F391C">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19.1合同使用汉语书就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71A5FF5C">
      <w:pPr>
        <w:spacing w:line="360" w:lineRule="auto"/>
        <w:ind w:firstLine="435"/>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19</w:t>
      </w:r>
      <w:r>
        <w:rPr>
          <w:rFonts w:hint="eastAsia" w:ascii="宋体" w:hAnsi="宋体"/>
          <w:color w:val="auto"/>
          <w:sz w:val="24"/>
          <w:highlight w:val="none"/>
        </w:rPr>
        <w:t>.2合同适用</w:t>
      </w:r>
      <w:r>
        <w:rPr>
          <w:rFonts w:ascii="宋体" w:hAnsi="宋体"/>
          <w:color w:val="auto"/>
          <w:sz w:val="24"/>
          <w:highlight w:val="none"/>
        </w:rPr>
        <w:t>中华人民共和国法律。</w:t>
      </w:r>
    </w:p>
    <w:p w14:paraId="6088C628">
      <w:pPr>
        <w:spacing w:line="360" w:lineRule="auto"/>
        <w:ind w:firstLine="437"/>
        <w:outlineLvl w:val="2"/>
        <w:rPr>
          <w:rFonts w:ascii="宋体" w:hAnsi="宋体"/>
          <w:b/>
          <w:color w:val="auto"/>
          <w:sz w:val="24"/>
          <w:highlight w:val="none"/>
        </w:rPr>
      </w:pPr>
      <w:bookmarkStart w:id="995" w:name="_Toc16673"/>
      <w:bookmarkStart w:id="996" w:name="_Toc12004"/>
      <w:bookmarkStart w:id="997" w:name="_Toc259093693"/>
      <w:bookmarkStart w:id="998" w:name="_Toc3148"/>
      <w:bookmarkStart w:id="999" w:name="_Toc279701264"/>
      <w:bookmarkStart w:id="1000" w:name="_Toc487900374"/>
      <w:r>
        <w:rPr>
          <w:rFonts w:hint="eastAsia" w:ascii="宋体" w:hAnsi="宋体"/>
          <w:b/>
          <w:bCs/>
          <w:color w:val="auto"/>
          <w:sz w:val="24"/>
          <w:highlight w:val="none"/>
          <w:lang w:val="zh-CN"/>
        </w:rPr>
        <w:t>2.2</w:t>
      </w:r>
      <w:r>
        <w:rPr>
          <w:rFonts w:ascii="宋体" w:hAnsi="宋体"/>
          <w:b/>
          <w:bCs/>
          <w:color w:val="auto"/>
          <w:sz w:val="24"/>
          <w:highlight w:val="none"/>
          <w:lang w:val="zh-CN"/>
        </w:rPr>
        <w:t>0</w:t>
      </w:r>
      <w:r>
        <w:rPr>
          <w:rFonts w:hint="eastAsia" w:ascii="宋体" w:hAnsi="宋体"/>
          <w:b/>
          <w:bCs/>
          <w:color w:val="auto"/>
          <w:sz w:val="24"/>
          <w:highlight w:val="none"/>
          <w:lang w:val="zh-CN"/>
        </w:rPr>
        <w:t xml:space="preserve"> </w:t>
      </w:r>
      <w:r>
        <w:rPr>
          <w:rFonts w:ascii="宋体" w:hAnsi="宋体"/>
          <w:b/>
          <w:bCs/>
          <w:color w:val="auto"/>
          <w:sz w:val="24"/>
          <w:highlight w:val="none"/>
          <w:lang w:val="zh-CN"/>
        </w:rPr>
        <w:t>履约保证金</w:t>
      </w:r>
      <w:bookmarkEnd w:id="995"/>
      <w:bookmarkEnd w:id="996"/>
      <w:bookmarkEnd w:id="997"/>
      <w:bookmarkEnd w:id="998"/>
      <w:bookmarkEnd w:id="999"/>
    </w:p>
    <w:p w14:paraId="33136071">
      <w:pPr>
        <w:spacing w:line="360" w:lineRule="auto"/>
        <w:ind w:firstLine="435"/>
        <w:rPr>
          <w:rFonts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0</w:t>
      </w:r>
      <w:r>
        <w:rPr>
          <w:rFonts w:hint="eastAsia" w:ascii="宋体" w:hAnsi="宋体"/>
          <w:color w:val="auto"/>
          <w:sz w:val="24"/>
          <w:highlight w:val="none"/>
        </w:rPr>
        <w:t>.1采购文件要求乙方提交履约保证金的，乙方</w:t>
      </w:r>
      <w:r>
        <w:rPr>
          <w:rFonts w:ascii="宋体" w:hAnsi="宋体"/>
          <w:color w:val="auto"/>
          <w:sz w:val="24"/>
          <w:highlight w:val="none"/>
        </w:rPr>
        <w:t>应按</w:t>
      </w:r>
      <w:r>
        <w:rPr>
          <w:rFonts w:ascii="宋体" w:hAnsi="宋体"/>
          <w:b/>
          <w:i/>
          <w:color w:val="auto"/>
          <w:sz w:val="24"/>
          <w:highlight w:val="none"/>
          <w:u w:val="single"/>
        </w:rPr>
        <w:t>合同专用条款</w:t>
      </w:r>
      <w:r>
        <w:rPr>
          <w:rFonts w:ascii="宋体" w:hAnsi="宋体"/>
          <w:color w:val="auto"/>
          <w:sz w:val="24"/>
          <w:highlight w:val="none"/>
        </w:rPr>
        <w:t>约定的方式</w:t>
      </w:r>
      <w:r>
        <w:rPr>
          <w:rFonts w:hint="eastAsia" w:ascii="宋体" w:hAnsi="宋体"/>
          <w:color w:val="auto"/>
          <w:sz w:val="24"/>
          <w:highlight w:val="none"/>
        </w:rPr>
        <w:t>，以支票、汇票、本票或者金融机构、担保机构出具的保函等非现金形式，提交不超过合同价10%的履约保证金；</w:t>
      </w:r>
    </w:p>
    <w:p w14:paraId="6FCB1E7F">
      <w:pPr>
        <w:spacing w:line="360" w:lineRule="auto"/>
        <w:ind w:firstLine="435"/>
        <w:rPr>
          <w:rFonts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0.2履约保证金在</w:t>
      </w:r>
      <w:r>
        <w:rPr>
          <w:rFonts w:ascii="宋体" w:hAnsi="宋体"/>
          <w:b/>
          <w:i/>
          <w:color w:val="auto"/>
          <w:sz w:val="24"/>
          <w:highlight w:val="none"/>
          <w:u w:val="single"/>
        </w:rPr>
        <w:t>合同专用条款</w:t>
      </w:r>
      <w:r>
        <w:rPr>
          <w:rFonts w:ascii="宋体" w:hAnsi="宋体"/>
          <w:color w:val="auto"/>
          <w:sz w:val="24"/>
          <w:highlight w:val="none"/>
        </w:rPr>
        <w:t>约定期间内或者货物质量保证期内不予退还或者应完全有效</w:t>
      </w:r>
      <w:r>
        <w:rPr>
          <w:rFonts w:hint="eastAsia" w:ascii="宋体" w:hAnsi="宋体"/>
          <w:color w:val="auto"/>
          <w:sz w:val="24"/>
          <w:highlight w:val="none"/>
        </w:rPr>
        <w:t>，前述约定期间届满或者</w:t>
      </w:r>
      <w:r>
        <w:rPr>
          <w:rFonts w:ascii="宋体" w:hAnsi="宋体"/>
          <w:color w:val="auto"/>
          <w:sz w:val="24"/>
          <w:highlight w:val="none"/>
        </w:rPr>
        <w:t>货物质量保证期届满之日起</w:t>
      </w:r>
      <w:r>
        <w:rPr>
          <w:rFonts w:hint="eastAsia" w:ascii="宋体" w:hAnsi="宋体"/>
          <w:color w:val="auto"/>
          <w:sz w:val="24"/>
          <w:highlight w:val="none"/>
          <w:u w:val="single"/>
        </w:rPr>
        <w:t xml:space="preserve">  </w:t>
      </w:r>
      <w:r>
        <w:rPr>
          <w:rFonts w:hint="eastAsia" w:ascii="宋体" w:hAnsi="宋体"/>
          <w:color w:val="auto"/>
          <w:sz w:val="24"/>
          <w:highlight w:val="none"/>
        </w:rPr>
        <w:t>个</w:t>
      </w:r>
      <w:r>
        <w:rPr>
          <w:rFonts w:ascii="宋体" w:hAnsi="宋体"/>
          <w:color w:val="auto"/>
          <w:sz w:val="24"/>
          <w:highlight w:val="none"/>
        </w:rPr>
        <w:t>工作日内，甲方应将履约保证金退还乙方</w:t>
      </w:r>
      <w:r>
        <w:rPr>
          <w:rFonts w:hint="eastAsia" w:ascii="宋体" w:hAnsi="宋体"/>
          <w:color w:val="auto"/>
          <w:sz w:val="24"/>
          <w:highlight w:val="none"/>
        </w:rPr>
        <w:t>；</w:t>
      </w:r>
    </w:p>
    <w:p w14:paraId="3EA0CB35">
      <w:pPr>
        <w:spacing w:line="360" w:lineRule="auto"/>
        <w:ind w:firstLine="435"/>
        <w:rPr>
          <w:rFonts w:ascii="宋体" w:hAnsi="宋体"/>
          <w:color w:val="auto"/>
          <w:sz w:val="24"/>
          <w:highlight w:val="none"/>
        </w:rPr>
      </w:pPr>
      <w:r>
        <w:rPr>
          <w:rFonts w:hint="eastAsia" w:ascii="宋体" w:hAnsi="宋体"/>
          <w:color w:val="auto"/>
          <w:sz w:val="24"/>
          <w:highlight w:val="none"/>
        </w:rPr>
        <w:t>2.2</w:t>
      </w:r>
      <w:r>
        <w:rPr>
          <w:rFonts w:ascii="宋体" w:hAnsi="宋体"/>
          <w:color w:val="auto"/>
          <w:sz w:val="24"/>
          <w:highlight w:val="none"/>
        </w:rPr>
        <w:t>0</w:t>
      </w:r>
      <w:r>
        <w:rPr>
          <w:rFonts w:hint="eastAsia" w:ascii="宋体" w:hAnsi="宋体"/>
          <w:color w:val="auto"/>
          <w:sz w:val="24"/>
          <w:highlight w:val="none"/>
        </w:rPr>
        <w:t>.3</w:t>
      </w:r>
      <w:r>
        <w:rPr>
          <w:rFonts w:ascii="宋体" w:hAnsi="宋体"/>
          <w:color w:val="auto"/>
          <w:sz w:val="24"/>
          <w:highlight w:val="none"/>
        </w:rPr>
        <w:t>如果乙方不履行合同</w:t>
      </w:r>
      <w:r>
        <w:rPr>
          <w:rFonts w:hint="eastAsia" w:ascii="宋体" w:hAnsi="宋体"/>
          <w:color w:val="auto"/>
          <w:sz w:val="24"/>
          <w:highlight w:val="none"/>
        </w:rPr>
        <w:t>，履约保证金不予退还；如果乙方</w:t>
      </w:r>
      <w:r>
        <w:rPr>
          <w:rFonts w:ascii="宋体" w:hAnsi="宋体"/>
          <w:color w:val="auto"/>
          <w:sz w:val="24"/>
          <w:highlight w:val="none"/>
        </w:rPr>
        <w:t>未能按合同</w:t>
      </w:r>
      <w:r>
        <w:rPr>
          <w:rFonts w:hint="eastAsia" w:ascii="宋体" w:hAnsi="宋体"/>
          <w:color w:val="auto"/>
          <w:sz w:val="24"/>
          <w:highlight w:val="none"/>
        </w:rPr>
        <w:t>约</w:t>
      </w:r>
      <w:r>
        <w:rPr>
          <w:rFonts w:ascii="宋体" w:hAnsi="宋体"/>
          <w:color w:val="auto"/>
          <w:sz w:val="24"/>
          <w:highlight w:val="none"/>
        </w:rPr>
        <w:t>定全面履行义务，那么甲方有权从履约保证金中取得补偿或赔偿</w:t>
      </w:r>
      <w:r>
        <w:rPr>
          <w:rFonts w:hint="eastAsia" w:ascii="宋体" w:hAnsi="宋体"/>
          <w:color w:val="auto"/>
          <w:sz w:val="24"/>
          <w:highlight w:val="none"/>
        </w:rPr>
        <w:t>，同时不影响甲方要求乙方承担合同约定的超过履约保证金的违约责任的权利。</w:t>
      </w:r>
    </w:p>
    <w:bookmarkEnd w:id="1000"/>
    <w:p w14:paraId="7442ADA3">
      <w:pPr>
        <w:spacing w:line="360" w:lineRule="auto"/>
        <w:ind w:firstLine="437"/>
        <w:outlineLvl w:val="2"/>
        <w:rPr>
          <w:rFonts w:ascii="宋体" w:hAnsi="宋体"/>
          <w:b/>
          <w:color w:val="auto"/>
          <w:sz w:val="24"/>
          <w:highlight w:val="none"/>
        </w:rPr>
      </w:pPr>
      <w:bookmarkStart w:id="1001" w:name="_Toc19890"/>
      <w:bookmarkStart w:id="1002" w:name="_Toc14001"/>
      <w:bookmarkStart w:id="1003" w:name="_Toc6885"/>
      <w:r>
        <w:rPr>
          <w:rFonts w:hint="eastAsia" w:ascii="宋体" w:hAnsi="宋体"/>
          <w:b/>
          <w:bCs/>
          <w:color w:val="auto"/>
          <w:sz w:val="24"/>
          <w:highlight w:val="none"/>
          <w:lang w:val="zh-CN"/>
        </w:rPr>
        <w:t>2.2</w:t>
      </w:r>
      <w:r>
        <w:rPr>
          <w:rFonts w:ascii="宋体" w:hAnsi="宋体"/>
          <w:b/>
          <w:bCs/>
          <w:color w:val="auto"/>
          <w:sz w:val="24"/>
          <w:highlight w:val="none"/>
          <w:lang w:val="zh-CN"/>
        </w:rPr>
        <w:t>1</w:t>
      </w:r>
      <w:r>
        <w:rPr>
          <w:rFonts w:hint="eastAsia" w:ascii="宋体" w:hAnsi="宋体"/>
          <w:b/>
          <w:bCs/>
          <w:color w:val="auto"/>
          <w:sz w:val="24"/>
          <w:highlight w:val="none"/>
          <w:lang w:val="zh-CN"/>
        </w:rPr>
        <w:t xml:space="preserve"> 合同份数</w:t>
      </w:r>
      <w:bookmarkEnd w:id="1001"/>
      <w:bookmarkEnd w:id="1002"/>
      <w:bookmarkEnd w:id="1003"/>
    </w:p>
    <w:p w14:paraId="702910B8">
      <w:pPr>
        <w:spacing w:line="360" w:lineRule="auto"/>
        <w:ind w:firstLine="435"/>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440DE1DB">
      <w:pPr>
        <w:spacing w:line="360" w:lineRule="auto"/>
        <w:jc w:val="center"/>
        <w:outlineLvl w:val="1"/>
        <w:rPr>
          <w:rFonts w:ascii="宋体" w:hAnsi="宋体"/>
          <w:b/>
          <w:color w:val="auto"/>
          <w:sz w:val="24"/>
          <w:highlight w:val="none"/>
        </w:rPr>
      </w:pPr>
      <w:r>
        <w:rPr>
          <w:rFonts w:ascii="宋体" w:hAnsi="宋体"/>
          <w:color w:val="auto"/>
          <w:sz w:val="24"/>
          <w:highlight w:val="none"/>
        </w:rPr>
        <w:br w:type="page"/>
      </w:r>
      <w:bookmarkStart w:id="1004" w:name="_Toc331685784"/>
      <w:r>
        <w:rPr>
          <w:rFonts w:hint="eastAsia" w:ascii="宋体" w:hAnsi="宋体"/>
          <w:b/>
          <w:color w:val="auto"/>
          <w:sz w:val="24"/>
          <w:highlight w:val="none"/>
        </w:rPr>
        <w:t>第三部分</w:t>
      </w:r>
      <w:r>
        <w:rPr>
          <w:rFonts w:ascii="宋体" w:hAnsi="宋体"/>
          <w:b/>
          <w:color w:val="auto"/>
          <w:sz w:val="24"/>
          <w:highlight w:val="none"/>
        </w:rPr>
        <w:t xml:space="preserve"> </w:t>
      </w:r>
      <w:r>
        <w:rPr>
          <w:rFonts w:hint="eastAsia" w:ascii="宋体" w:hAnsi="宋体"/>
          <w:b/>
          <w:color w:val="auto"/>
          <w:sz w:val="24"/>
          <w:highlight w:val="none"/>
        </w:rPr>
        <w:t>合同专用条款</w:t>
      </w:r>
      <w:bookmarkEnd w:id="1004"/>
    </w:p>
    <w:p w14:paraId="71ADDC1C">
      <w:pPr>
        <w:spacing w:line="360" w:lineRule="auto"/>
        <w:ind w:firstLine="435"/>
        <w:rPr>
          <w:rFonts w:ascii="宋体" w:hAnsi="宋体"/>
          <w:color w:val="auto"/>
          <w:sz w:val="24"/>
          <w:highlight w:val="none"/>
        </w:rPr>
      </w:pPr>
      <w:r>
        <w:rPr>
          <w:rFonts w:hint="eastAsia" w:ascii="宋体" w:hAnsi="宋体"/>
          <w:color w:val="auto"/>
          <w:sz w:val="24"/>
          <w:highlight w:val="none"/>
        </w:rPr>
        <w:t>本部分</w:t>
      </w:r>
      <w:r>
        <w:rPr>
          <w:rFonts w:ascii="宋体" w:hAnsi="宋体"/>
          <w:color w:val="auto"/>
          <w:sz w:val="24"/>
          <w:highlight w:val="none"/>
        </w:rPr>
        <w:t>是对</w:t>
      </w:r>
      <w:r>
        <w:rPr>
          <w:rFonts w:hint="eastAsia" w:ascii="宋体" w:hAnsi="宋体"/>
          <w:color w:val="auto"/>
          <w:sz w:val="24"/>
          <w:highlight w:val="none"/>
        </w:rPr>
        <w:t>前两</w:t>
      </w:r>
      <w:r>
        <w:rPr>
          <w:rFonts w:ascii="宋体" w:hAnsi="宋体"/>
          <w:color w:val="auto"/>
          <w:sz w:val="24"/>
          <w:highlight w:val="none"/>
        </w:rPr>
        <w:t>部分的补充和修改</w:t>
      </w:r>
      <w:r>
        <w:rPr>
          <w:rFonts w:hint="eastAsia" w:ascii="宋体" w:hAnsi="宋体"/>
          <w:color w:val="auto"/>
          <w:sz w:val="24"/>
          <w:highlight w:val="none"/>
        </w:rPr>
        <w:t>，</w:t>
      </w:r>
      <w:r>
        <w:rPr>
          <w:rFonts w:ascii="宋体" w:hAnsi="宋体"/>
          <w:color w:val="auto"/>
          <w:sz w:val="24"/>
          <w:highlight w:val="none"/>
        </w:rPr>
        <w:t>如果</w:t>
      </w:r>
      <w:r>
        <w:rPr>
          <w:rFonts w:hint="eastAsia" w:ascii="宋体" w:hAnsi="宋体"/>
          <w:color w:val="auto"/>
          <w:sz w:val="24"/>
          <w:highlight w:val="none"/>
        </w:rPr>
        <w:t>前两</w:t>
      </w:r>
      <w:r>
        <w:rPr>
          <w:rFonts w:ascii="宋体" w:hAnsi="宋体"/>
          <w:color w:val="auto"/>
          <w:sz w:val="24"/>
          <w:highlight w:val="none"/>
        </w:rPr>
        <w:t>部分和本部分的约定不一致</w:t>
      </w:r>
      <w:r>
        <w:rPr>
          <w:rFonts w:hint="eastAsia" w:ascii="宋体" w:hAnsi="宋体"/>
          <w:color w:val="auto"/>
          <w:sz w:val="24"/>
          <w:highlight w:val="none"/>
        </w:rPr>
        <w:t>，</w:t>
      </w:r>
      <w:r>
        <w:rPr>
          <w:rFonts w:ascii="宋体" w:hAnsi="宋体"/>
          <w:color w:val="auto"/>
          <w:sz w:val="24"/>
          <w:highlight w:val="none"/>
        </w:rPr>
        <w:t>应以本部分的约定为准</w:t>
      </w:r>
      <w:r>
        <w:rPr>
          <w:rFonts w:hint="eastAsia" w:ascii="宋体" w:hAnsi="宋体"/>
          <w:color w:val="auto"/>
          <w:sz w:val="24"/>
          <w:highlight w:val="none"/>
        </w:rPr>
        <w:t>。</w:t>
      </w:r>
      <w:r>
        <w:rPr>
          <w:rFonts w:ascii="宋体" w:hAnsi="宋体"/>
          <w:color w:val="auto"/>
          <w:sz w:val="24"/>
          <w:highlight w:val="none"/>
        </w:rPr>
        <w:t>本部分的条款号应与</w:t>
      </w:r>
      <w:r>
        <w:rPr>
          <w:rFonts w:hint="eastAsia" w:ascii="宋体" w:hAnsi="宋体"/>
          <w:color w:val="auto"/>
          <w:sz w:val="24"/>
          <w:highlight w:val="none"/>
        </w:rPr>
        <w:t>前两部分</w:t>
      </w:r>
      <w:r>
        <w:rPr>
          <w:rFonts w:ascii="宋体" w:hAnsi="宋体"/>
          <w:color w:val="auto"/>
          <w:sz w:val="24"/>
          <w:highlight w:val="none"/>
        </w:rPr>
        <w:t>的条款号保持对应</w:t>
      </w:r>
      <w:r>
        <w:rPr>
          <w:rFonts w:hint="eastAsia" w:ascii="宋体" w:hAnsi="宋体"/>
          <w:color w:val="auto"/>
          <w:sz w:val="24"/>
          <w:highlight w:val="none"/>
        </w:rPr>
        <w:t>；与前两部分</w:t>
      </w:r>
      <w:r>
        <w:rPr>
          <w:rFonts w:ascii="宋体" w:hAnsi="宋体"/>
          <w:color w:val="auto"/>
          <w:sz w:val="24"/>
          <w:highlight w:val="none"/>
        </w:rPr>
        <w:t>无对应关系的内容可另行编制条款号</w:t>
      </w:r>
      <w:r>
        <w:rPr>
          <w:rFonts w:hint="eastAsia" w:ascii="宋体" w:hAnsi="宋体"/>
          <w:color w:val="auto"/>
          <w:sz w:val="24"/>
          <w:highlight w:val="none"/>
        </w:rPr>
        <w:t>。</w:t>
      </w:r>
    </w:p>
    <w:tbl>
      <w:tblPr>
        <w:tblStyle w:val="17"/>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38C11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noWrap w:val="0"/>
            <w:vAlign w:val="center"/>
          </w:tcPr>
          <w:p w14:paraId="77DE11D3">
            <w:pPr>
              <w:jc w:val="center"/>
              <w:rPr>
                <w:rFonts w:ascii="宋体" w:hAnsi="宋体"/>
                <w:b/>
                <w:color w:val="auto"/>
                <w:sz w:val="24"/>
                <w:highlight w:val="none"/>
              </w:rPr>
            </w:pPr>
            <w:r>
              <w:rPr>
                <w:rFonts w:ascii="宋体" w:hAnsi="宋体"/>
                <w:b/>
                <w:color w:val="auto"/>
                <w:sz w:val="24"/>
                <w:highlight w:val="none"/>
              </w:rPr>
              <w:t>条款号</w:t>
            </w:r>
          </w:p>
        </w:tc>
        <w:tc>
          <w:tcPr>
            <w:tcW w:w="7568" w:type="dxa"/>
            <w:noWrap w:val="0"/>
            <w:vAlign w:val="center"/>
          </w:tcPr>
          <w:p w14:paraId="308551A1">
            <w:pPr>
              <w:jc w:val="center"/>
              <w:rPr>
                <w:rFonts w:ascii="宋体" w:hAnsi="宋体"/>
                <w:b/>
                <w:color w:val="auto"/>
                <w:sz w:val="24"/>
                <w:highlight w:val="none"/>
              </w:rPr>
            </w:pPr>
            <w:r>
              <w:rPr>
                <w:rFonts w:ascii="宋体" w:hAnsi="宋体"/>
                <w:b/>
                <w:color w:val="auto"/>
                <w:sz w:val="24"/>
                <w:highlight w:val="none"/>
              </w:rPr>
              <w:t>约定内容</w:t>
            </w:r>
          </w:p>
        </w:tc>
      </w:tr>
      <w:tr w14:paraId="4B1EA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noWrap w:val="0"/>
            <w:vAlign w:val="center"/>
          </w:tcPr>
          <w:p w14:paraId="154B3BDB">
            <w:pPr>
              <w:spacing w:line="560" w:lineRule="exact"/>
              <w:rPr>
                <w:rFonts w:ascii="宋体" w:hAnsi="宋体"/>
                <w:color w:val="auto"/>
                <w:sz w:val="24"/>
                <w:highlight w:val="none"/>
              </w:rPr>
            </w:pPr>
          </w:p>
        </w:tc>
        <w:tc>
          <w:tcPr>
            <w:tcW w:w="7568" w:type="dxa"/>
            <w:noWrap w:val="0"/>
            <w:vAlign w:val="center"/>
          </w:tcPr>
          <w:p w14:paraId="19B96F10">
            <w:pPr>
              <w:spacing w:line="560" w:lineRule="exact"/>
              <w:rPr>
                <w:rFonts w:ascii="宋体" w:hAnsi="宋体"/>
                <w:color w:val="auto"/>
                <w:sz w:val="24"/>
                <w:highlight w:val="none"/>
              </w:rPr>
            </w:pPr>
          </w:p>
        </w:tc>
      </w:tr>
      <w:tr w14:paraId="3EBCE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31B965AB">
            <w:pPr>
              <w:spacing w:line="560" w:lineRule="exact"/>
              <w:rPr>
                <w:rFonts w:ascii="宋体" w:hAnsi="宋体"/>
                <w:color w:val="auto"/>
                <w:sz w:val="24"/>
                <w:highlight w:val="none"/>
              </w:rPr>
            </w:pPr>
          </w:p>
        </w:tc>
        <w:tc>
          <w:tcPr>
            <w:tcW w:w="7568" w:type="dxa"/>
            <w:noWrap w:val="0"/>
            <w:vAlign w:val="center"/>
          </w:tcPr>
          <w:p w14:paraId="7D92B32C">
            <w:pPr>
              <w:spacing w:line="560" w:lineRule="exact"/>
              <w:rPr>
                <w:rFonts w:ascii="宋体" w:hAnsi="宋体"/>
                <w:color w:val="auto"/>
                <w:sz w:val="24"/>
                <w:highlight w:val="none"/>
              </w:rPr>
            </w:pPr>
          </w:p>
        </w:tc>
      </w:tr>
      <w:tr w14:paraId="4EE55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7B26A3B7">
            <w:pPr>
              <w:spacing w:line="560" w:lineRule="exact"/>
              <w:rPr>
                <w:rFonts w:ascii="宋体" w:hAnsi="宋体"/>
                <w:color w:val="auto"/>
                <w:sz w:val="24"/>
                <w:highlight w:val="none"/>
              </w:rPr>
            </w:pPr>
          </w:p>
        </w:tc>
        <w:tc>
          <w:tcPr>
            <w:tcW w:w="7568" w:type="dxa"/>
            <w:noWrap w:val="0"/>
            <w:vAlign w:val="center"/>
          </w:tcPr>
          <w:p w14:paraId="44E8DAC8">
            <w:pPr>
              <w:spacing w:line="360" w:lineRule="auto"/>
              <w:outlineLvl w:val="2"/>
              <w:rPr>
                <w:rFonts w:ascii="宋体" w:hAnsi="宋体"/>
                <w:color w:val="auto"/>
                <w:sz w:val="24"/>
                <w:highlight w:val="none"/>
              </w:rPr>
            </w:pPr>
          </w:p>
        </w:tc>
      </w:tr>
      <w:tr w14:paraId="600C0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2F4D4A4A">
            <w:pPr>
              <w:spacing w:line="560" w:lineRule="exact"/>
              <w:rPr>
                <w:rFonts w:ascii="宋体" w:hAnsi="宋体"/>
                <w:color w:val="auto"/>
                <w:sz w:val="24"/>
                <w:highlight w:val="none"/>
              </w:rPr>
            </w:pPr>
          </w:p>
        </w:tc>
        <w:tc>
          <w:tcPr>
            <w:tcW w:w="7568" w:type="dxa"/>
            <w:noWrap w:val="0"/>
            <w:vAlign w:val="center"/>
          </w:tcPr>
          <w:p w14:paraId="17B5E153">
            <w:pPr>
              <w:spacing w:line="560" w:lineRule="exact"/>
              <w:rPr>
                <w:rFonts w:ascii="宋体" w:hAnsi="宋体"/>
                <w:color w:val="auto"/>
                <w:sz w:val="24"/>
                <w:highlight w:val="none"/>
                <w:u w:val="single"/>
              </w:rPr>
            </w:pPr>
          </w:p>
        </w:tc>
      </w:tr>
      <w:tr w14:paraId="26BCD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1DFED0A6">
            <w:pPr>
              <w:spacing w:line="560" w:lineRule="exact"/>
              <w:rPr>
                <w:rFonts w:ascii="宋体" w:hAnsi="宋体"/>
                <w:color w:val="auto"/>
                <w:sz w:val="24"/>
                <w:highlight w:val="none"/>
              </w:rPr>
            </w:pPr>
          </w:p>
        </w:tc>
        <w:tc>
          <w:tcPr>
            <w:tcW w:w="7568" w:type="dxa"/>
            <w:noWrap w:val="0"/>
            <w:vAlign w:val="center"/>
          </w:tcPr>
          <w:p w14:paraId="10968349">
            <w:pPr>
              <w:spacing w:line="560" w:lineRule="exact"/>
              <w:rPr>
                <w:rFonts w:ascii="宋体" w:hAnsi="宋体"/>
                <w:color w:val="auto"/>
                <w:sz w:val="24"/>
                <w:highlight w:val="none"/>
              </w:rPr>
            </w:pPr>
          </w:p>
        </w:tc>
      </w:tr>
      <w:tr w14:paraId="43949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noWrap w:val="0"/>
            <w:vAlign w:val="center"/>
          </w:tcPr>
          <w:p w14:paraId="68E67B49">
            <w:pPr>
              <w:spacing w:line="560" w:lineRule="exact"/>
              <w:rPr>
                <w:rFonts w:ascii="宋体" w:hAnsi="宋体"/>
                <w:color w:val="auto"/>
                <w:sz w:val="24"/>
                <w:highlight w:val="none"/>
              </w:rPr>
            </w:pPr>
          </w:p>
        </w:tc>
        <w:tc>
          <w:tcPr>
            <w:tcW w:w="7568" w:type="dxa"/>
            <w:noWrap w:val="0"/>
            <w:vAlign w:val="center"/>
          </w:tcPr>
          <w:p w14:paraId="08A199A3">
            <w:pPr>
              <w:spacing w:line="360" w:lineRule="auto"/>
              <w:rPr>
                <w:rFonts w:ascii="宋体" w:hAnsi="宋体"/>
                <w:color w:val="auto"/>
                <w:sz w:val="24"/>
                <w:highlight w:val="none"/>
                <w:u w:val="single"/>
              </w:rPr>
            </w:pPr>
          </w:p>
        </w:tc>
      </w:tr>
      <w:tr w14:paraId="6C4DE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65037BC4">
            <w:pPr>
              <w:spacing w:line="560" w:lineRule="exact"/>
              <w:rPr>
                <w:rFonts w:ascii="宋体" w:hAnsi="宋体"/>
                <w:color w:val="auto"/>
                <w:sz w:val="24"/>
                <w:highlight w:val="none"/>
              </w:rPr>
            </w:pPr>
          </w:p>
        </w:tc>
        <w:tc>
          <w:tcPr>
            <w:tcW w:w="7568" w:type="dxa"/>
            <w:noWrap w:val="0"/>
            <w:vAlign w:val="center"/>
          </w:tcPr>
          <w:p w14:paraId="7E553CAA">
            <w:pPr>
              <w:spacing w:line="560" w:lineRule="exact"/>
              <w:rPr>
                <w:rFonts w:ascii="宋体" w:hAnsi="宋体"/>
                <w:color w:val="auto"/>
                <w:sz w:val="24"/>
                <w:highlight w:val="none"/>
              </w:rPr>
            </w:pPr>
          </w:p>
        </w:tc>
      </w:tr>
      <w:tr w14:paraId="6AA26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36624918">
            <w:pPr>
              <w:spacing w:line="560" w:lineRule="exact"/>
              <w:rPr>
                <w:rFonts w:ascii="宋体" w:hAnsi="宋体"/>
                <w:color w:val="auto"/>
                <w:sz w:val="24"/>
                <w:highlight w:val="none"/>
              </w:rPr>
            </w:pPr>
          </w:p>
        </w:tc>
        <w:tc>
          <w:tcPr>
            <w:tcW w:w="7568" w:type="dxa"/>
            <w:noWrap w:val="0"/>
            <w:vAlign w:val="center"/>
          </w:tcPr>
          <w:p w14:paraId="003C3F6E">
            <w:pPr>
              <w:spacing w:line="560" w:lineRule="exact"/>
              <w:rPr>
                <w:rFonts w:ascii="宋体" w:hAnsi="宋体"/>
                <w:color w:val="auto"/>
                <w:sz w:val="24"/>
                <w:highlight w:val="none"/>
              </w:rPr>
            </w:pPr>
          </w:p>
        </w:tc>
      </w:tr>
      <w:tr w14:paraId="748A2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noWrap w:val="0"/>
            <w:vAlign w:val="center"/>
          </w:tcPr>
          <w:p w14:paraId="1DAD1B90">
            <w:pPr>
              <w:spacing w:line="560" w:lineRule="exact"/>
              <w:rPr>
                <w:rFonts w:ascii="宋体" w:hAnsi="宋体"/>
                <w:color w:val="auto"/>
                <w:sz w:val="24"/>
                <w:highlight w:val="none"/>
              </w:rPr>
            </w:pPr>
          </w:p>
        </w:tc>
        <w:tc>
          <w:tcPr>
            <w:tcW w:w="7568" w:type="dxa"/>
            <w:noWrap w:val="0"/>
            <w:vAlign w:val="center"/>
          </w:tcPr>
          <w:p w14:paraId="78C9F1E7">
            <w:pPr>
              <w:spacing w:line="560" w:lineRule="exact"/>
              <w:rPr>
                <w:rFonts w:ascii="宋体" w:hAnsi="宋体"/>
                <w:color w:val="auto"/>
                <w:sz w:val="24"/>
                <w:highlight w:val="none"/>
              </w:rPr>
            </w:pPr>
          </w:p>
        </w:tc>
      </w:tr>
      <w:tr w14:paraId="3ED72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21222D35">
            <w:pPr>
              <w:spacing w:line="560" w:lineRule="exact"/>
              <w:rPr>
                <w:rFonts w:ascii="宋体" w:hAnsi="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78914485">
            <w:pPr>
              <w:spacing w:line="560" w:lineRule="exact"/>
              <w:rPr>
                <w:rFonts w:ascii="宋体" w:hAnsi="宋体"/>
                <w:color w:val="auto"/>
                <w:sz w:val="24"/>
                <w:highlight w:val="none"/>
              </w:rPr>
            </w:pPr>
          </w:p>
        </w:tc>
      </w:tr>
      <w:tr w14:paraId="79A8D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0"/>
            <w:vAlign w:val="center"/>
          </w:tcPr>
          <w:p w14:paraId="44D5BD18">
            <w:pPr>
              <w:spacing w:line="560" w:lineRule="exact"/>
              <w:rPr>
                <w:rFonts w:ascii="宋体" w:hAnsi="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noWrap w:val="0"/>
            <w:vAlign w:val="center"/>
          </w:tcPr>
          <w:p w14:paraId="2497E87D">
            <w:pPr>
              <w:rPr>
                <w:rFonts w:ascii="宋体" w:hAnsi="宋体"/>
                <w:color w:val="auto"/>
                <w:sz w:val="24"/>
                <w:highlight w:val="none"/>
              </w:rPr>
            </w:pPr>
          </w:p>
        </w:tc>
      </w:tr>
    </w:tbl>
    <w:p w14:paraId="4590ECFD">
      <w:pPr>
        <w:outlineLvl w:val="9"/>
        <w:rPr>
          <w:rFonts w:ascii="仿宋_GB2312" w:hAnsi="Georgia" w:eastAsia="仿宋_GB2312" w:cs="宋体"/>
          <w:color w:val="auto"/>
          <w:kern w:val="0"/>
          <w:sz w:val="24"/>
          <w:highlight w:val="none"/>
        </w:rPr>
      </w:pPr>
    </w:p>
    <w:p w14:paraId="78730AF2">
      <w:pPr>
        <w:outlineLvl w:val="9"/>
        <w:rPr>
          <w:rFonts w:ascii="仿宋_GB2312" w:hAnsi="Georgia" w:eastAsia="仿宋_GB2312" w:cs="宋体"/>
          <w:color w:val="auto"/>
          <w:kern w:val="0"/>
          <w:sz w:val="24"/>
          <w:highlight w:val="none"/>
        </w:rPr>
      </w:pPr>
    </w:p>
    <w:p w14:paraId="736641F3">
      <w:pPr>
        <w:pStyle w:val="3"/>
        <w:rPr>
          <w:rFonts w:hint="eastAsia" w:eastAsia="仿宋"/>
          <w:color w:val="auto"/>
          <w:sz w:val="24"/>
          <w:szCs w:val="24"/>
          <w:highlight w:val="none"/>
        </w:rPr>
      </w:pPr>
      <w:r>
        <w:rPr>
          <w:rFonts w:ascii="仿宋_GB2312" w:hAnsi="Georgia" w:eastAsia="仿宋_GB2312" w:cs="宋体"/>
          <w:color w:val="auto"/>
          <w:kern w:val="0"/>
          <w:sz w:val="24"/>
          <w:highlight w:val="none"/>
        </w:rPr>
        <w:br w:type="page"/>
      </w:r>
      <w:bookmarkStart w:id="1005" w:name="_Toc526265702"/>
      <w:bookmarkStart w:id="1006" w:name="_Toc497923303"/>
      <w:bookmarkStart w:id="1007" w:name="_Toc500009176"/>
      <w:bookmarkStart w:id="1008" w:name="_Toc500235608"/>
      <w:r>
        <w:rPr>
          <w:rFonts w:hint="eastAsia" w:eastAsia="仿宋"/>
          <w:color w:val="auto"/>
          <w:sz w:val="24"/>
          <w:szCs w:val="24"/>
          <w:highlight w:val="none"/>
        </w:rPr>
        <w:t>附件一：履约保证金格式</w:t>
      </w:r>
      <w:bookmarkEnd w:id="1005"/>
      <w:bookmarkEnd w:id="1006"/>
      <w:bookmarkEnd w:id="1007"/>
      <w:bookmarkEnd w:id="1008"/>
    </w:p>
    <w:p w14:paraId="69A6E5F0">
      <w:pPr>
        <w:autoSpaceDE w:val="0"/>
        <w:autoSpaceDN w:val="0"/>
        <w:adjustRightInd w:val="0"/>
        <w:spacing w:line="360" w:lineRule="auto"/>
        <w:contextualSpacing/>
        <w:jc w:val="center"/>
        <w:rPr>
          <w:rFonts w:hint="eastAsia" w:ascii="黑体" w:hAnsi="黑体" w:eastAsia="黑体" w:cs="Microsoft JhengHei"/>
          <w:color w:val="auto"/>
          <w:kern w:val="0"/>
          <w:position w:val="-5"/>
          <w:sz w:val="24"/>
          <w:highlight w:val="none"/>
        </w:rPr>
      </w:pPr>
      <w:r>
        <w:rPr>
          <w:rFonts w:hint="eastAsia" w:ascii="黑体" w:hAnsi="黑体" w:eastAsia="黑体" w:cs="Microsoft JhengHei"/>
          <w:color w:val="auto"/>
          <w:kern w:val="0"/>
          <w:position w:val="-5"/>
          <w:sz w:val="24"/>
          <w:highlight w:val="none"/>
        </w:rPr>
        <w:t>履约保函</w:t>
      </w:r>
    </w:p>
    <w:p w14:paraId="0F15FD48">
      <w:pPr>
        <w:spacing w:line="360" w:lineRule="auto"/>
        <w:ind w:right="2974" w:rightChars="1416"/>
        <w:jc w:val="right"/>
        <w:rPr>
          <w:rFonts w:hint="eastAsia" w:ascii="宋体" w:hAnsi="宋体" w:eastAsia="仿宋"/>
          <w:color w:val="auto"/>
          <w:sz w:val="24"/>
          <w:highlight w:val="none"/>
        </w:rPr>
      </w:pPr>
      <w:r>
        <w:rPr>
          <w:rFonts w:hint="eastAsia" w:ascii="宋体" w:hAnsi="宋体" w:eastAsia="仿宋"/>
          <w:color w:val="auto"/>
          <w:sz w:val="24"/>
          <w:highlight w:val="none"/>
        </w:rPr>
        <w:t xml:space="preserve">编号：             </w:t>
      </w:r>
    </w:p>
    <w:p w14:paraId="1953D8D6">
      <w:pPr>
        <w:snapToGrid w:val="0"/>
        <w:spacing w:line="360" w:lineRule="auto"/>
        <w:rPr>
          <w:rFonts w:hint="eastAsia" w:ascii="宋体" w:hAnsi="宋体" w:eastAsia="仿宋" w:cs="宋体"/>
          <w:color w:val="auto"/>
          <w:sz w:val="24"/>
          <w:highlight w:val="none"/>
        </w:rPr>
      </w:pPr>
      <w:r>
        <w:rPr>
          <w:rFonts w:hint="eastAsia" w:ascii="宋体" w:hAnsi="宋体" w:eastAsia="仿宋" w:cs="宋体"/>
          <w:color w:val="auto"/>
          <w:sz w:val="24"/>
          <w:highlight w:val="none"/>
        </w:rPr>
        <w:t>致受益人</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w:t>
      </w:r>
    </w:p>
    <w:p w14:paraId="05BA1DFA">
      <w:pPr>
        <w:snapToGrid w:val="0"/>
        <w:spacing w:line="360" w:lineRule="auto"/>
        <w:ind w:firstLine="480" w:firstLineChars="200"/>
        <w:jc w:val="left"/>
        <w:rPr>
          <w:rFonts w:hint="eastAsia" w:ascii="宋体" w:hAnsi="宋体" w:eastAsia="仿宋" w:cs="宋体"/>
          <w:b/>
          <w:bCs/>
          <w:color w:val="auto"/>
          <w:sz w:val="24"/>
          <w:highlight w:val="none"/>
        </w:rPr>
      </w:pPr>
      <w:r>
        <w:rPr>
          <w:rFonts w:hint="eastAsia" w:ascii="宋体" w:hAnsi="宋体" w:eastAsia="仿宋" w:cs="宋体"/>
          <w:color w:val="auto"/>
          <w:sz w:val="24"/>
          <w:highlight w:val="none"/>
        </w:rPr>
        <w:t>因</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（下称“被保证人”，地址：</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）与你方签订了</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项目合同（项目编号：</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），我方愿就被保证人履行上述合同的义务向你方提供如下保证：</w:t>
      </w:r>
    </w:p>
    <w:p w14:paraId="51E5F02E">
      <w:pPr>
        <w:numPr>
          <w:ilvl w:val="0"/>
          <w:numId w:val="2"/>
        </w:numPr>
        <w:snapToGrid w:val="0"/>
        <w:spacing w:line="360" w:lineRule="auto"/>
        <w:ind w:firstLine="480" w:firstLineChars="200"/>
        <w:rPr>
          <w:rFonts w:hint="eastAsia" w:ascii="宋体" w:hAnsi="宋体" w:eastAsia="仿宋" w:cs="宋体"/>
          <w:color w:val="auto"/>
          <w:sz w:val="24"/>
          <w:highlight w:val="none"/>
        </w:rPr>
      </w:pPr>
      <w:r>
        <w:rPr>
          <w:rFonts w:hint="eastAsia" w:ascii="宋体" w:hAnsi="宋体" w:eastAsia="仿宋" w:cs="宋体"/>
          <w:color w:val="auto"/>
          <w:sz w:val="24"/>
          <w:highlight w:val="none"/>
        </w:rPr>
        <w:t>本保函项下我方承担的保证责任最高限额（下称“担保金额”）为(币种金额、大写)</w:t>
      </w:r>
      <w:r>
        <w:rPr>
          <w:rFonts w:hint="eastAsia" w:ascii="宋体" w:hAnsi="宋体" w:eastAsia="仿宋" w:cs="宋体"/>
          <w:color w:val="auto"/>
          <w:sz w:val="24"/>
          <w:highlight w:val="none"/>
          <w:u w:val="single"/>
        </w:rPr>
        <w:t>人民币</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w:t>
      </w:r>
    </w:p>
    <w:p w14:paraId="3CA9A9DF">
      <w:pPr>
        <w:snapToGrid w:val="0"/>
        <w:spacing w:line="360" w:lineRule="auto"/>
        <w:ind w:firstLine="480" w:firstLineChars="200"/>
        <w:jc w:val="left"/>
        <w:rPr>
          <w:rFonts w:hint="eastAsia" w:ascii="宋体" w:hAnsi="宋体" w:eastAsia="仿宋" w:cs="宋体"/>
          <w:snapToGrid w:val="0"/>
          <w:color w:val="auto"/>
          <w:kern w:val="0"/>
          <w:sz w:val="24"/>
          <w:highlight w:val="none"/>
        </w:rPr>
      </w:pPr>
      <w:r>
        <w:rPr>
          <w:rFonts w:hint="eastAsia" w:ascii="宋体" w:hAnsi="宋体" w:eastAsia="仿宋" w:cs="宋体"/>
          <w:snapToGrid w:val="0"/>
          <w:color w:val="auto"/>
          <w:kern w:val="0"/>
          <w:sz w:val="24"/>
          <w:highlight w:val="none"/>
        </w:rPr>
        <w:t>二、我方在本保函项下提供的保证为</w:t>
      </w:r>
      <w:r>
        <w:rPr>
          <w:rFonts w:hint="eastAsia" w:ascii="宋体" w:hAnsi="宋体" w:eastAsia="仿宋" w:cs="宋体"/>
          <w:snapToGrid w:val="0"/>
          <w:color w:val="auto"/>
          <w:kern w:val="0"/>
          <w:sz w:val="24"/>
          <w:highlight w:val="none"/>
          <w:u w:val="single"/>
        </w:rPr>
        <w:t xml:space="preserve">  连带  </w:t>
      </w:r>
      <w:r>
        <w:rPr>
          <w:rFonts w:hint="eastAsia" w:ascii="宋体" w:hAnsi="宋体" w:eastAsia="仿宋" w:cs="宋体"/>
          <w:snapToGrid w:val="0"/>
          <w:color w:val="auto"/>
          <w:kern w:val="0"/>
          <w:sz w:val="24"/>
          <w:highlight w:val="none"/>
        </w:rPr>
        <w:t>责任保证。</w:t>
      </w:r>
    </w:p>
    <w:p w14:paraId="7A82F20E">
      <w:pPr>
        <w:snapToGrid w:val="0"/>
        <w:spacing w:line="360" w:lineRule="auto"/>
        <w:ind w:firstLine="480" w:firstLineChars="200"/>
        <w:jc w:val="left"/>
        <w:rPr>
          <w:rFonts w:hint="eastAsia" w:ascii="宋体" w:hAnsi="宋体" w:eastAsia="仿宋" w:cs="宋体"/>
          <w:snapToGrid w:val="0"/>
          <w:color w:val="auto"/>
          <w:kern w:val="0"/>
          <w:sz w:val="24"/>
          <w:highlight w:val="none"/>
        </w:rPr>
      </w:pPr>
      <w:r>
        <w:rPr>
          <w:rFonts w:hint="eastAsia" w:ascii="宋体" w:hAnsi="宋体" w:eastAsia="仿宋" w:cs="宋体"/>
          <w:snapToGrid w:val="0"/>
          <w:color w:val="auto"/>
          <w:kern w:val="0"/>
          <w:sz w:val="24"/>
          <w:highlight w:val="none"/>
        </w:rPr>
        <w:t>三、本保函的有效期为以下第</w:t>
      </w:r>
      <w:r>
        <w:rPr>
          <w:rFonts w:hint="eastAsia" w:ascii="宋体" w:hAnsi="宋体" w:eastAsia="仿宋" w:cs="宋体"/>
          <w:snapToGrid w:val="0"/>
          <w:color w:val="auto"/>
          <w:kern w:val="0"/>
          <w:sz w:val="24"/>
          <w:highlight w:val="none"/>
          <w:u w:val="single"/>
        </w:rPr>
        <w:t xml:space="preserve">   1    </w:t>
      </w:r>
      <w:r>
        <w:rPr>
          <w:rFonts w:hint="eastAsia" w:ascii="宋体" w:hAnsi="宋体" w:eastAsia="仿宋" w:cs="宋体"/>
          <w:snapToGrid w:val="0"/>
          <w:color w:val="auto"/>
          <w:kern w:val="0"/>
          <w:sz w:val="24"/>
          <w:highlight w:val="none"/>
        </w:rPr>
        <w:t>种：</w:t>
      </w:r>
    </w:p>
    <w:p w14:paraId="655D5E85">
      <w:pPr>
        <w:snapToGrid w:val="0"/>
        <w:spacing w:line="360" w:lineRule="auto"/>
        <w:ind w:firstLine="480" w:firstLineChars="200"/>
        <w:jc w:val="left"/>
        <w:rPr>
          <w:rFonts w:hint="eastAsia" w:ascii="宋体" w:hAnsi="宋体" w:eastAsia="仿宋"/>
          <w:snapToGrid w:val="0"/>
          <w:color w:val="auto"/>
          <w:kern w:val="0"/>
          <w:sz w:val="24"/>
          <w:highlight w:val="none"/>
        </w:rPr>
      </w:pPr>
      <w:r>
        <w:rPr>
          <w:rFonts w:hint="eastAsia" w:ascii="宋体" w:hAnsi="宋体" w:eastAsia="仿宋" w:cs="宋体"/>
          <w:snapToGrid w:val="0"/>
          <w:color w:val="auto"/>
          <w:kern w:val="0"/>
          <w:sz w:val="24"/>
          <w:highlight w:val="none"/>
        </w:rPr>
        <w:t>1.本保函有效期自生效之日起至</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年</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月</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日止</w:t>
      </w:r>
      <w:r>
        <w:rPr>
          <w:rFonts w:hint="eastAsia" w:ascii="宋体" w:hAnsi="宋体" w:eastAsia="仿宋"/>
          <w:snapToGrid w:val="0"/>
          <w:color w:val="auto"/>
          <w:kern w:val="0"/>
          <w:sz w:val="24"/>
          <w:highlight w:val="none"/>
        </w:rPr>
        <w:t>。</w:t>
      </w:r>
    </w:p>
    <w:p w14:paraId="0A26A51F">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2.</w:t>
      </w:r>
      <w:r>
        <w:rPr>
          <w:rFonts w:hint="eastAsia" w:ascii="宋体" w:hAnsi="宋体" w:eastAsia="仿宋"/>
          <w:snapToGrid w:val="0"/>
          <w:color w:val="auto"/>
          <w:kern w:val="0"/>
          <w:sz w:val="24"/>
          <w:highlight w:val="none"/>
          <w:u w:val="single"/>
        </w:rPr>
        <w:t xml:space="preserve">                                /                    </w:t>
      </w:r>
      <w:r>
        <w:rPr>
          <w:rFonts w:hint="eastAsia" w:ascii="宋体" w:hAnsi="宋体" w:eastAsia="仿宋"/>
          <w:snapToGrid w:val="0"/>
          <w:color w:val="auto"/>
          <w:kern w:val="0"/>
          <w:sz w:val="24"/>
          <w:highlight w:val="none"/>
        </w:rPr>
        <w:t>。</w:t>
      </w:r>
    </w:p>
    <w:p w14:paraId="65FFE0CB">
      <w:pPr>
        <w:snapToGrid w:val="0"/>
        <w:spacing w:line="360" w:lineRule="auto"/>
        <w:ind w:firstLine="480" w:firstLineChars="200"/>
        <w:jc w:val="left"/>
        <w:rPr>
          <w:rFonts w:hint="eastAsia" w:ascii="宋体" w:hAnsi="宋体" w:eastAsia="仿宋"/>
          <w:snapToGrid w:val="0"/>
          <w:color w:val="auto"/>
          <w:kern w:val="0"/>
          <w:sz w:val="24"/>
          <w:highlight w:val="none"/>
        </w:rPr>
      </w:pPr>
      <w:r>
        <w:rPr>
          <w:rFonts w:hint="eastAsia" w:ascii="宋体" w:hAnsi="宋体" w:eastAsia="仿宋"/>
          <w:color w:val="auto"/>
          <w:sz w:val="24"/>
          <w:highlight w:val="none"/>
        </w:rPr>
        <w:t>四、在本保函的有效期内，如被保证人</w:t>
      </w:r>
      <w:r>
        <w:rPr>
          <w:rFonts w:hint="eastAsia" w:ascii="宋体" w:hAnsi="宋体" w:eastAsia="仿宋"/>
          <w:snapToGrid w:val="0"/>
          <w:color w:val="auto"/>
          <w:kern w:val="0"/>
          <w:sz w:val="24"/>
          <w:highlight w:val="none"/>
        </w:rPr>
        <w:t>违反上述合同的约定给你方造成经济损失的，我方将在收到你方提交的本保函原件及符合下列全部条件的索赔通知后</w:t>
      </w:r>
      <w:r>
        <w:rPr>
          <w:rFonts w:hint="eastAsia" w:ascii="宋体" w:hAnsi="宋体" w:eastAsia="仿宋"/>
          <w:snapToGrid w:val="0"/>
          <w:color w:val="auto"/>
          <w:kern w:val="0"/>
          <w:sz w:val="24"/>
          <w:highlight w:val="none"/>
          <w:u w:val="single"/>
        </w:rPr>
        <w:t>10</w:t>
      </w:r>
      <w:r>
        <w:rPr>
          <w:rFonts w:hint="eastAsia" w:ascii="宋体" w:hAnsi="宋体" w:eastAsia="仿宋"/>
          <w:snapToGrid w:val="0"/>
          <w:color w:val="auto"/>
          <w:kern w:val="0"/>
          <w:sz w:val="24"/>
          <w:highlight w:val="none"/>
        </w:rPr>
        <w:t>个工作日内，以上述担保金额为限支付你方索赔金额：</w:t>
      </w:r>
    </w:p>
    <w:p w14:paraId="39FC4D29">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snapToGrid w:val="0"/>
          <w:color w:val="auto"/>
          <w:kern w:val="0"/>
          <w:sz w:val="24"/>
          <w:highlight w:val="none"/>
        </w:rPr>
        <w:t>（一）索赔通知必须以书面形式提出，列明索赔金额，并由你方法定代表人（负责人）或授权代理人签字并加盖公章；代理人签署索赔通知的，应当同时提交法定代表人（负责人）签发的授权文件。</w:t>
      </w:r>
    </w:p>
    <w:p w14:paraId="5049AE02">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（二）索赔通知必须同时附有：</w:t>
      </w:r>
    </w:p>
    <w:p w14:paraId="5B0C5C72">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1.一项书面声明，声明索赔款项并未由</w:t>
      </w:r>
      <w:r>
        <w:rPr>
          <w:rFonts w:hint="eastAsia" w:ascii="宋体" w:hAnsi="宋体" w:eastAsia="仿宋"/>
          <w:color w:val="auto"/>
          <w:sz w:val="24"/>
          <w:highlight w:val="none"/>
        </w:rPr>
        <w:t>被保证人</w:t>
      </w:r>
      <w:r>
        <w:rPr>
          <w:rFonts w:hint="eastAsia" w:ascii="宋体" w:hAnsi="宋体" w:eastAsia="仿宋"/>
          <w:snapToGrid w:val="0"/>
          <w:color w:val="auto"/>
          <w:kern w:val="0"/>
          <w:sz w:val="24"/>
          <w:highlight w:val="none"/>
        </w:rPr>
        <w:t>或其代理人直接或间接地支付给你方；</w:t>
      </w:r>
    </w:p>
    <w:p w14:paraId="0673F7EE">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2. 证明</w:t>
      </w:r>
      <w:r>
        <w:rPr>
          <w:rFonts w:hint="eastAsia" w:ascii="宋体" w:hAnsi="宋体" w:eastAsia="仿宋"/>
          <w:color w:val="auto"/>
          <w:sz w:val="24"/>
          <w:highlight w:val="none"/>
        </w:rPr>
        <w:t>被保证人</w:t>
      </w:r>
      <w:r>
        <w:rPr>
          <w:rFonts w:hint="eastAsia" w:ascii="宋体" w:hAnsi="宋体" w:eastAsia="仿宋"/>
          <w:snapToGrid w:val="0"/>
          <w:color w:val="auto"/>
          <w:kern w:val="0"/>
          <w:sz w:val="24"/>
          <w:highlight w:val="none"/>
        </w:rPr>
        <w:t>违反上述合同的约定以及有责任支付你方索赔金额的证据，包括但不限于已发生法律效力的法院判决书或仲裁裁决书等。</w:t>
      </w:r>
    </w:p>
    <w:p w14:paraId="69EAD94D">
      <w:pPr>
        <w:adjustRightInd w:val="0"/>
        <w:snapToGrid w:val="0"/>
        <w:spacing w:line="360" w:lineRule="auto"/>
        <w:ind w:firstLine="480" w:firstLineChars="200"/>
        <w:rPr>
          <w:rFonts w:hint="eastAsia"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3.索赔资料应在有效期内送达我方，否则我方不承担责任。</w:t>
      </w:r>
    </w:p>
    <w:p w14:paraId="7797C330">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（三）索赔通知必须在本保函有效期内到达以下地址</w:t>
      </w:r>
      <w:r>
        <w:rPr>
          <w:rFonts w:hint="eastAsia" w:ascii="宋体" w:hAnsi="宋体" w:eastAsia="仿宋"/>
          <w:color w:val="auto"/>
          <w:sz w:val="24"/>
          <w:highlight w:val="none"/>
          <w:u w:val="single"/>
        </w:rPr>
        <w:t xml:space="preserve"> </w:t>
      </w:r>
      <w:r>
        <w:rPr>
          <w:rFonts w:ascii="宋体" w:hAnsi="宋体" w:eastAsia="仿宋"/>
          <w:color w:val="auto"/>
          <w:sz w:val="24"/>
          <w:highlight w:val="none"/>
          <w:u w:val="single"/>
        </w:rPr>
        <w:t xml:space="preserve">                     </w:t>
      </w:r>
      <w:r>
        <w:rPr>
          <w:rFonts w:hint="eastAsia" w:ascii="宋体" w:hAnsi="宋体" w:eastAsia="仿宋"/>
          <w:color w:val="auto"/>
          <w:sz w:val="24"/>
          <w:highlight w:val="none"/>
        </w:rPr>
        <w:t>。</w:t>
      </w:r>
    </w:p>
    <w:p w14:paraId="70C27E39">
      <w:pPr>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snapToGrid w:val="0"/>
          <w:color w:val="auto"/>
          <w:kern w:val="0"/>
          <w:sz w:val="24"/>
          <w:highlight w:val="none"/>
        </w:rPr>
        <w:t>五、</w:t>
      </w:r>
      <w:r>
        <w:rPr>
          <w:rFonts w:hint="eastAsia" w:ascii="宋体" w:hAnsi="宋体" w:eastAsia="仿宋"/>
          <w:color w:val="auto"/>
          <w:sz w:val="24"/>
          <w:highlight w:val="none"/>
        </w:rPr>
        <w:t>本保函担保金额将随被保证人逐步履行保函项下合同约定或法定的义务以及我方</w:t>
      </w:r>
      <w:r>
        <w:rPr>
          <w:rFonts w:hint="eastAsia" w:ascii="宋体" w:hAnsi="宋体" w:eastAsia="仿宋"/>
          <w:snapToGrid w:val="0"/>
          <w:color w:val="auto"/>
          <w:kern w:val="0"/>
          <w:sz w:val="24"/>
          <w:highlight w:val="none"/>
        </w:rPr>
        <w:t>按你方索赔通知要求分次支付</w:t>
      </w:r>
      <w:r>
        <w:rPr>
          <w:rFonts w:hint="eastAsia" w:ascii="宋体" w:hAnsi="宋体" w:eastAsia="仿宋"/>
          <w:color w:val="auto"/>
          <w:sz w:val="24"/>
          <w:highlight w:val="none"/>
        </w:rPr>
        <w:t>而相应递减。</w:t>
      </w:r>
    </w:p>
    <w:p w14:paraId="6ECF07EA">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六、本保函项下的权利不得转让，不得设定担保。</w:t>
      </w:r>
    </w:p>
    <w:p w14:paraId="260C8DF1">
      <w:pPr>
        <w:pStyle w:val="8"/>
        <w:snapToGrid w:val="0"/>
        <w:spacing w:after="0" w:line="360" w:lineRule="auto"/>
        <w:ind w:left="0" w:leftChars="0" w:firstLine="480" w:firstLineChars="200"/>
        <w:rPr>
          <w:rFonts w:hint="eastAsia" w:ascii="宋体" w:hAnsi="宋体" w:eastAsia="仿宋"/>
          <w:iCs/>
          <w:color w:val="auto"/>
          <w:sz w:val="24"/>
          <w:highlight w:val="none"/>
          <w:u w:val="single"/>
        </w:rPr>
      </w:pPr>
      <w:r>
        <w:rPr>
          <w:rFonts w:hint="eastAsia" w:ascii="宋体" w:hAnsi="宋体" w:eastAsia="仿宋"/>
          <w:iCs/>
          <w:color w:val="auto"/>
          <w:sz w:val="24"/>
          <w:highlight w:val="none"/>
        </w:rPr>
        <w:t>七、本保函项下的合同或基础交易不成立、不生效、无效、被撤销、被解除，本保函无效；被保证人基于保函项下的合同或基础交易或其他原因的抗辩，我方均有权主张。</w:t>
      </w:r>
    </w:p>
    <w:p w14:paraId="67C8C7F1">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snapToGrid w:val="0"/>
          <w:color w:val="auto"/>
          <w:kern w:val="0"/>
          <w:sz w:val="24"/>
          <w:highlight w:val="none"/>
        </w:rPr>
        <w:t>八、</w:t>
      </w:r>
      <w:r>
        <w:rPr>
          <w:rFonts w:hint="eastAsia" w:ascii="宋体" w:hAnsi="宋体" w:eastAsia="仿宋"/>
          <w:iCs/>
          <w:color w:val="auto"/>
          <w:sz w:val="24"/>
          <w:highlight w:val="none"/>
        </w:rPr>
        <w:t>因本保函发生争议协商解决不成，按以下第</w:t>
      </w:r>
      <w:r>
        <w:rPr>
          <w:rFonts w:hint="eastAsia" w:ascii="宋体" w:hAnsi="宋体" w:eastAsia="仿宋"/>
          <w:iCs/>
          <w:color w:val="auto"/>
          <w:sz w:val="24"/>
          <w:highlight w:val="none"/>
          <w:u w:val="single"/>
        </w:rPr>
        <w:t>（一）</w:t>
      </w:r>
      <w:r>
        <w:rPr>
          <w:rFonts w:hint="eastAsia" w:ascii="宋体" w:hAnsi="宋体" w:eastAsia="仿宋"/>
          <w:iCs/>
          <w:color w:val="auto"/>
          <w:sz w:val="24"/>
          <w:highlight w:val="none"/>
        </w:rPr>
        <w:t>种方式解决：</w:t>
      </w:r>
    </w:p>
    <w:p w14:paraId="79042346">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（一）向</w:t>
      </w:r>
      <w:r>
        <w:rPr>
          <w:rFonts w:hint="eastAsia" w:ascii="宋体" w:hAnsi="宋体" w:eastAsia="仿宋"/>
          <w:iCs/>
          <w:color w:val="auto"/>
          <w:sz w:val="24"/>
          <w:highlight w:val="none"/>
          <w:u w:val="single"/>
        </w:rPr>
        <w:t xml:space="preserve">      </w:t>
      </w:r>
      <w:r>
        <w:rPr>
          <w:rFonts w:hint="eastAsia" w:ascii="宋体" w:hAnsi="宋体" w:eastAsia="仿宋"/>
          <w:iCs/>
          <w:color w:val="auto"/>
          <w:sz w:val="24"/>
          <w:highlight w:val="none"/>
        </w:rPr>
        <w:t>所在地的人民法院起诉。</w:t>
      </w:r>
    </w:p>
    <w:p w14:paraId="6B1945F7">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（二）提交</w:t>
      </w: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仲裁委员会（仲裁地点为</w:t>
      </w: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）,按照申请仲裁时该会现行有效的仲裁规则进行仲裁。仲裁裁决是终局的，对双方均有约束力。</w:t>
      </w:r>
    </w:p>
    <w:p w14:paraId="7D6C9285">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snapToGrid w:val="0"/>
          <w:color w:val="auto"/>
          <w:kern w:val="0"/>
          <w:sz w:val="24"/>
          <w:highlight w:val="none"/>
        </w:rPr>
        <w:t>九、</w:t>
      </w:r>
      <w:r>
        <w:rPr>
          <w:rFonts w:hint="eastAsia" w:ascii="宋体" w:hAnsi="宋体" w:eastAsia="仿宋"/>
          <w:iCs/>
          <w:color w:val="auto"/>
          <w:sz w:val="24"/>
          <w:highlight w:val="none"/>
        </w:rPr>
        <w:t>本保函有效期届满或提前终止，本保函失效，我方在本保函项下的责任消灭，受益人应立即将本保函原件退还我方；受益人未履行上述义务，本保函仍在有效期届至或提前终止之日失效。</w:t>
      </w:r>
    </w:p>
    <w:p w14:paraId="38AE7EC3">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十、本保函适用中华人民共和国法律。</w:t>
      </w:r>
    </w:p>
    <w:p w14:paraId="70F35C99">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十一、其他条款：</w:t>
      </w:r>
    </w:p>
    <w:p w14:paraId="265EC30A">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w:t>
      </w:r>
    </w:p>
    <w:p w14:paraId="2F717BB5">
      <w:pPr>
        <w:pStyle w:val="8"/>
        <w:snapToGrid w:val="0"/>
        <w:spacing w:after="0" w:line="360" w:lineRule="auto"/>
        <w:ind w:left="0" w:leftChars="0" w:firstLine="480" w:firstLineChars="200"/>
        <w:rPr>
          <w:rFonts w:hint="eastAsia" w:ascii="宋体" w:hAnsi="宋体" w:eastAsia="仿宋"/>
          <w:iCs/>
          <w:color w:val="auto"/>
          <w:sz w:val="24"/>
          <w:highlight w:val="none"/>
        </w:rPr>
      </w:pPr>
      <w:r>
        <w:rPr>
          <w:rFonts w:hint="eastAsia" w:ascii="宋体" w:hAnsi="宋体" w:eastAsia="仿宋"/>
          <w:iCs/>
          <w:color w:val="auto"/>
          <w:sz w:val="24"/>
          <w:highlight w:val="none"/>
        </w:rPr>
        <w:t>十二、本保函自我方负责人或授权代理人签字并加盖公章之日起生效。</w:t>
      </w:r>
    </w:p>
    <w:p w14:paraId="5C32A234">
      <w:pPr>
        <w:pStyle w:val="8"/>
        <w:snapToGrid w:val="0"/>
        <w:spacing w:after="0" w:line="360" w:lineRule="auto"/>
        <w:ind w:left="0" w:leftChars="0" w:firstLine="200"/>
        <w:rPr>
          <w:rFonts w:hint="eastAsia" w:ascii="宋体" w:hAnsi="宋体" w:eastAsia="仿宋"/>
          <w:iCs/>
          <w:color w:val="auto"/>
          <w:sz w:val="24"/>
          <w:highlight w:val="none"/>
        </w:rPr>
      </w:pPr>
    </w:p>
    <w:p w14:paraId="53FB24A8">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 xml:space="preserve">保证人（公章）： </w:t>
      </w:r>
      <w:r>
        <w:rPr>
          <w:rFonts w:hint="eastAsia" w:ascii="宋体" w:hAnsi="宋体" w:eastAsia="仿宋"/>
          <w:iCs/>
          <w:color w:val="auto"/>
          <w:sz w:val="24"/>
          <w:highlight w:val="none"/>
          <w:u w:val="single"/>
        </w:rPr>
        <w:t xml:space="preserve">                        </w:t>
      </w:r>
    </w:p>
    <w:p w14:paraId="34A9849B">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负责人或授权代理人（签字）：</w:t>
      </w:r>
      <w:r>
        <w:rPr>
          <w:rFonts w:hint="eastAsia" w:ascii="宋体" w:hAnsi="宋体" w:eastAsia="仿宋"/>
          <w:iCs/>
          <w:color w:val="auto"/>
          <w:sz w:val="24"/>
          <w:highlight w:val="none"/>
          <w:u w:val="single"/>
        </w:rPr>
        <w:t xml:space="preserve">              </w:t>
      </w:r>
    </w:p>
    <w:p w14:paraId="16AC810B">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 xml:space="preserve">邮编： </w:t>
      </w:r>
    </w:p>
    <w:p w14:paraId="31B6E5C9">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电话：</w:t>
      </w:r>
      <w:r>
        <w:rPr>
          <w:rFonts w:ascii="宋体" w:hAnsi="宋体" w:eastAsia="仿宋"/>
          <w:color w:val="auto"/>
          <w:sz w:val="24"/>
          <w:highlight w:val="none"/>
        </w:rPr>
        <w:t xml:space="preserve"> </w:t>
      </w:r>
    </w:p>
    <w:p w14:paraId="1A55ECAF">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 xml:space="preserve">传真： </w:t>
      </w:r>
    </w:p>
    <w:p w14:paraId="4C0BC02E">
      <w:pPr>
        <w:snapToGrid w:val="0"/>
        <w:spacing w:line="360" w:lineRule="auto"/>
        <w:ind w:firstLine="2640" w:firstLineChars="1100"/>
        <w:rPr>
          <w:rFonts w:hint="eastAsia" w:ascii="宋体" w:hAnsi="宋体" w:eastAsia="仿宋"/>
          <w:color w:val="auto"/>
          <w:sz w:val="24"/>
          <w:highlight w:val="none"/>
        </w:rPr>
      </w:pPr>
      <w:r>
        <w:rPr>
          <w:rFonts w:hint="eastAsia" w:ascii="宋体" w:hAnsi="宋体" w:eastAsia="仿宋"/>
          <w:color w:val="auto"/>
          <w:sz w:val="24"/>
          <w:highlight w:val="none"/>
        </w:rPr>
        <w:t xml:space="preserve">签发日期 </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年</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月</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日</w:t>
      </w:r>
    </w:p>
    <w:p w14:paraId="484127E2">
      <w:pPr>
        <w:autoSpaceDE w:val="0"/>
        <w:autoSpaceDN w:val="0"/>
        <w:adjustRightInd w:val="0"/>
        <w:spacing w:line="200" w:lineRule="exact"/>
        <w:contextualSpacing/>
        <w:jc w:val="left"/>
        <w:rPr>
          <w:rFonts w:hint="eastAsia" w:ascii="宋体" w:hAnsi="宋体" w:eastAsia="仿宋" w:cs="Microsoft JhengHei"/>
          <w:color w:val="auto"/>
          <w:kern w:val="0"/>
          <w:sz w:val="20"/>
          <w:szCs w:val="20"/>
          <w:highlight w:val="none"/>
        </w:rPr>
      </w:pPr>
    </w:p>
    <w:p w14:paraId="3677F682">
      <w:pPr>
        <w:rPr>
          <w:rFonts w:hint="eastAsia" w:eastAsia="仿宋"/>
          <w:color w:val="auto"/>
          <w:highlight w:val="none"/>
        </w:rPr>
      </w:pPr>
      <w:r>
        <w:rPr>
          <w:rFonts w:hint="eastAsia" w:eastAsia="仿宋"/>
          <w:color w:val="auto"/>
          <w:highlight w:val="none"/>
        </w:rPr>
        <w:t>注：</w:t>
      </w:r>
    </w:p>
    <w:p w14:paraId="04DF26CD">
      <w:pPr>
        <w:rPr>
          <w:rFonts w:hint="eastAsia" w:eastAsia="仿宋"/>
          <w:color w:val="auto"/>
          <w:highlight w:val="none"/>
        </w:rPr>
      </w:pPr>
      <w:r>
        <w:rPr>
          <w:rFonts w:hint="eastAsia" w:eastAsia="仿宋"/>
          <w:color w:val="auto"/>
          <w:highlight w:val="none"/>
        </w:rPr>
        <w:t>1.允许投标人实际开具的银行保函或担保机构或保证保险机构出具的担保的格式与本文件提供的格式有所不同，但不得更改本文件提供的银行保函或担保格式中的实质性内容。</w:t>
      </w:r>
    </w:p>
    <w:p w14:paraId="085A386B">
      <w:pPr>
        <w:rPr>
          <w:rFonts w:hint="eastAsia" w:eastAsia="仿宋"/>
          <w:color w:val="auto"/>
          <w:highlight w:val="none"/>
        </w:rPr>
      </w:pPr>
      <w:r>
        <w:rPr>
          <w:rFonts w:hint="eastAsia" w:eastAsia="仿宋"/>
          <w:color w:val="auto"/>
          <w:highlight w:val="none"/>
        </w:rPr>
        <w:t>2.投标人开具的银行保函（或担保机构担保或保证保险）必须具有明确有效的查询途径（网址链接及查询方式）。</w:t>
      </w:r>
    </w:p>
    <w:p w14:paraId="30B9FF48">
      <w:pPr>
        <w:spacing w:line="380" w:lineRule="exact"/>
        <w:ind w:left="420"/>
        <w:rPr>
          <w:rFonts w:ascii="仿宋_GB2312" w:hAnsi="Georgia" w:eastAsia="仿宋_GB2312" w:cs="宋体"/>
          <w:color w:val="auto"/>
          <w:kern w:val="0"/>
          <w:sz w:val="24"/>
          <w:highlight w:val="none"/>
        </w:rPr>
      </w:pPr>
    </w:p>
    <w:p w14:paraId="4E209CB7">
      <w:pPr>
        <w:spacing w:line="380" w:lineRule="exact"/>
        <w:ind w:left="420"/>
        <w:rPr>
          <w:rFonts w:ascii="仿宋_GB2312" w:hAnsi="Georgia" w:eastAsia="仿宋_GB2312" w:cs="宋体"/>
          <w:color w:val="auto"/>
          <w:kern w:val="0"/>
          <w:sz w:val="24"/>
          <w:highlight w:val="none"/>
        </w:rPr>
      </w:pPr>
    </w:p>
    <w:p w14:paraId="65D0495A">
      <w:pPr>
        <w:widowControl/>
        <w:rPr>
          <w:rFonts w:ascii="宋体" w:hAnsi="宋体" w:eastAsia="仿宋"/>
          <w:color w:val="auto"/>
          <w:highlight w:val="none"/>
        </w:rPr>
      </w:pPr>
    </w:p>
    <w:p w14:paraId="62E9ACC4">
      <w:pPr>
        <w:pStyle w:val="2"/>
        <w:widowControl/>
        <w:jc w:val="center"/>
        <w:rPr>
          <w:rFonts w:ascii="宋体" w:hAnsi="宋体" w:eastAsia="仿宋"/>
          <w:color w:val="auto"/>
          <w:sz w:val="30"/>
          <w:szCs w:val="30"/>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5498C1C1">
      <w:pPr>
        <w:pStyle w:val="2"/>
        <w:widowControl/>
        <w:spacing w:before="0" w:after="0" w:line="240" w:lineRule="auto"/>
        <w:jc w:val="center"/>
        <w:rPr>
          <w:rFonts w:hint="eastAsia" w:ascii="宋体" w:hAnsi="宋体" w:eastAsia="仿宋"/>
          <w:color w:val="auto"/>
          <w:highlight w:val="none"/>
        </w:rPr>
      </w:pPr>
      <w:bookmarkStart w:id="1009" w:name="_Toc13236"/>
      <w:bookmarkStart w:id="1010" w:name="_Toc445554784"/>
      <w:bookmarkStart w:id="1011" w:name="_Toc466024585"/>
      <w:r>
        <w:rPr>
          <w:rFonts w:hint="eastAsia" w:ascii="宋体" w:hAnsi="宋体" w:eastAsia="仿宋"/>
          <w:color w:val="auto"/>
          <w:highlight w:val="none"/>
        </w:rPr>
        <w:t>第六章  投标文件格式</w:t>
      </w:r>
      <w:bookmarkEnd w:id="1009"/>
      <w:bookmarkEnd w:id="1010"/>
      <w:bookmarkEnd w:id="1011"/>
    </w:p>
    <w:p w14:paraId="40162A3A">
      <w:pPr>
        <w:widowControl/>
        <w:adjustRightInd w:val="0"/>
        <w:snapToGrid w:val="0"/>
        <w:spacing w:before="48" w:beforeLines="20" w:after="48" w:afterLines="20" w:line="540" w:lineRule="exact"/>
        <w:rPr>
          <w:rFonts w:hint="eastAsia" w:ascii="黑体" w:hAnsi="黑体" w:eastAsia="黑体"/>
          <w:color w:val="auto"/>
          <w:sz w:val="36"/>
          <w:highlight w:val="none"/>
        </w:rPr>
      </w:pPr>
    </w:p>
    <w:p w14:paraId="42C88DF9">
      <w:pPr>
        <w:widowControl/>
        <w:adjustRightInd w:val="0"/>
        <w:snapToGrid w:val="0"/>
        <w:spacing w:before="48" w:beforeLines="20" w:after="48" w:afterLines="20" w:line="540" w:lineRule="exact"/>
        <w:rPr>
          <w:rFonts w:hint="eastAsia" w:ascii="黑体" w:hAnsi="黑体" w:eastAsia="黑体"/>
          <w:color w:val="auto"/>
          <w:sz w:val="36"/>
          <w:highlight w:val="none"/>
        </w:rPr>
      </w:pPr>
    </w:p>
    <w:p w14:paraId="74C28AF9">
      <w:pPr>
        <w:widowControl/>
        <w:adjustRightInd w:val="0"/>
        <w:snapToGrid w:val="0"/>
        <w:spacing w:line="360" w:lineRule="auto"/>
        <w:ind w:firstLine="480" w:firstLineChars="200"/>
        <w:rPr>
          <w:rFonts w:hint="eastAsia" w:ascii="仿宋_GB2312" w:hAnsi="黑体" w:eastAsia="仿宋_GB2312"/>
          <w:color w:val="auto"/>
          <w:sz w:val="24"/>
          <w:highlight w:val="none"/>
        </w:rPr>
      </w:pPr>
      <w:r>
        <w:rPr>
          <w:rFonts w:hint="eastAsia" w:ascii="仿宋_GB2312" w:hAnsi="黑体" w:eastAsia="仿宋_GB2312"/>
          <w:color w:val="auto"/>
          <w:sz w:val="24"/>
          <w:highlight w:val="none"/>
        </w:rPr>
        <w:t>注：1.投标人应按给定格式编制投标文件，相关格式可以扩展。评标办法、招标澄清修改等招标文件要求提供相关材料的，此处未给出格式、章节的，请投标人自定格式，编制在投标文件内。</w:t>
      </w:r>
    </w:p>
    <w:p w14:paraId="526287DD">
      <w:pPr>
        <w:widowControl/>
        <w:adjustRightInd w:val="0"/>
        <w:snapToGrid w:val="0"/>
        <w:spacing w:line="360" w:lineRule="auto"/>
        <w:ind w:firstLine="480" w:firstLineChars="200"/>
        <w:rPr>
          <w:rFonts w:hint="eastAsia" w:ascii="仿宋_GB2312" w:hAnsi="宋体" w:eastAsia="仿宋_GB2312"/>
          <w:color w:val="auto"/>
          <w:sz w:val="24"/>
          <w:highlight w:val="none"/>
        </w:rPr>
      </w:pPr>
      <w:r>
        <w:rPr>
          <w:rFonts w:hint="eastAsia" w:ascii="仿宋_GB2312" w:hAnsi="黑体" w:eastAsia="仿宋_GB2312"/>
          <w:color w:val="auto"/>
          <w:sz w:val="24"/>
          <w:highlight w:val="none"/>
        </w:rPr>
        <w:t>2.采用全流程电子招标投标时，投标文件格式要求盖章的，可为电子签章，或盖章后的扫描件。投标文件格式要求签字的，电子投标文件中，应采用签字后的扫描件。</w:t>
      </w:r>
    </w:p>
    <w:p w14:paraId="5D6636F2">
      <w:pPr>
        <w:widowControl/>
        <w:spacing w:line="560" w:lineRule="exact"/>
        <w:ind w:firstLine="420" w:firstLineChars="200"/>
        <w:jc w:val="center"/>
        <w:rPr>
          <w:rFonts w:hint="eastAsia" w:ascii="宋体" w:hAnsi="宋体" w:eastAsia="仿宋"/>
          <w:color w:val="auto"/>
          <w:szCs w:val="21"/>
          <w:highlight w:val="none"/>
        </w:rPr>
      </w:pPr>
      <w:r>
        <w:rPr>
          <w:rFonts w:ascii="宋体" w:hAnsi="宋体" w:eastAsia="仿宋"/>
          <w:color w:val="auto"/>
          <w:szCs w:val="21"/>
          <w:highlight w:val="none"/>
        </w:rPr>
        <w:br w:type="page"/>
      </w:r>
    </w:p>
    <w:p w14:paraId="55917940">
      <w:pPr>
        <w:widowControl/>
        <w:spacing w:line="560" w:lineRule="exact"/>
        <w:ind w:firstLine="420" w:firstLineChars="200"/>
        <w:jc w:val="center"/>
        <w:rPr>
          <w:rFonts w:hint="eastAsia" w:ascii="宋体" w:hAnsi="宋体" w:eastAsia="仿宋"/>
          <w:color w:val="auto"/>
          <w:szCs w:val="21"/>
          <w:highlight w:val="none"/>
        </w:rPr>
      </w:pPr>
    </w:p>
    <w:p w14:paraId="0F14BF03">
      <w:pPr>
        <w:widowControl/>
        <w:spacing w:line="560" w:lineRule="exact"/>
        <w:ind w:firstLine="420" w:firstLineChars="200"/>
        <w:jc w:val="center"/>
        <w:rPr>
          <w:rFonts w:hint="eastAsia" w:ascii="宋体" w:hAnsi="宋体" w:eastAsia="仿宋"/>
          <w:color w:val="auto"/>
          <w:szCs w:val="21"/>
          <w:highlight w:val="none"/>
        </w:rPr>
      </w:pPr>
    </w:p>
    <w:p w14:paraId="28DAC1D3">
      <w:pPr>
        <w:widowControl/>
        <w:spacing w:line="560" w:lineRule="exact"/>
        <w:ind w:firstLine="420" w:firstLineChars="200"/>
        <w:jc w:val="center"/>
        <w:rPr>
          <w:rFonts w:hint="eastAsia" w:ascii="宋体" w:hAnsi="宋体" w:eastAsia="仿宋"/>
          <w:color w:val="auto"/>
          <w:szCs w:val="21"/>
          <w:highlight w:val="none"/>
        </w:rPr>
      </w:pPr>
    </w:p>
    <w:p w14:paraId="69319EED">
      <w:pPr>
        <w:widowControl/>
        <w:spacing w:line="560" w:lineRule="exact"/>
        <w:ind w:firstLine="420" w:firstLineChars="200"/>
        <w:jc w:val="center"/>
        <w:rPr>
          <w:rFonts w:hint="eastAsia" w:ascii="宋体" w:hAnsi="宋体" w:cs="宋体"/>
          <w:color w:val="auto"/>
          <w:szCs w:val="21"/>
          <w:highlight w:val="none"/>
        </w:rPr>
      </w:pPr>
    </w:p>
    <w:p w14:paraId="37963878">
      <w:pPr>
        <w:widowControl/>
        <w:spacing w:line="560" w:lineRule="exact"/>
        <w:ind w:firstLine="880" w:firstLineChars="200"/>
        <w:jc w:val="center"/>
        <w:rPr>
          <w:rFonts w:hint="eastAsia" w:ascii="宋体" w:hAnsi="宋体" w:cs="宋体"/>
          <w:color w:val="auto"/>
          <w:sz w:val="44"/>
          <w:szCs w:val="44"/>
          <w:highlight w:val="none"/>
        </w:rPr>
      </w:pPr>
      <w:r>
        <w:rPr>
          <w:rFonts w:hint="eastAsia" w:ascii="宋体" w:hAnsi="宋体" w:cs="宋体"/>
          <w:color w:val="auto"/>
          <w:sz w:val="44"/>
          <w:szCs w:val="44"/>
          <w:highlight w:val="none"/>
          <w:u w:val="single"/>
        </w:rPr>
        <w:t xml:space="preserve">             </w:t>
      </w:r>
      <w:r>
        <w:rPr>
          <w:rFonts w:hint="eastAsia" w:ascii="宋体" w:hAnsi="宋体" w:cs="宋体"/>
          <w:color w:val="auto"/>
          <w:sz w:val="44"/>
          <w:szCs w:val="44"/>
          <w:highlight w:val="none"/>
        </w:rPr>
        <w:t>（项目名称）招标</w:t>
      </w:r>
    </w:p>
    <w:p w14:paraId="644FF0A5">
      <w:pPr>
        <w:widowControl/>
        <w:spacing w:line="560" w:lineRule="exact"/>
        <w:ind w:firstLine="400" w:firstLineChars="200"/>
        <w:jc w:val="center"/>
        <w:rPr>
          <w:rFonts w:hint="eastAsia" w:ascii="宋体" w:hAnsi="宋体" w:cs="宋体"/>
          <w:color w:val="auto"/>
          <w:sz w:val="20"/>
          <w:szCs w:val="20"/>
          <w:highlight w:val="none"/>
        </w:rPr>
      </w:pPr>
    </w:p>
    <w:p w14:paraId="4906FD01">
      <w:pPr>
        <w:widowControl/>
        <w:spacing w:line="560" w:lineRule="exact"/>
        <w:ind w:firstLine="400" w:firstLineChars="200"/>
        <w:jc w:val="center"/>
        <w:rPr>
          <w:rFonts w:hint="eastAsia" w:ascii="宋体" w:hAnsi="宋体" w:cs="宋体"/>
          <w:color w:val="auto"/>
          <w:sz w:val="20"/>
          <w:szCs w:val="20"/>
          <w:highlight w:val="none"/>
        </w:rPr>
      </w:pPr>
    </w:p>
    <w:p w14:paraId="38A35B51">
      <w:pPr>
        <w:widowControl/>
        <w:snapToGrid w:val="0"/>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投  标  文  件</w:t>
      </w:r>
    </w:p>
    <w:p w14:paraId="03409C68">
      <w:pPr>
        <w:widowControl/>
        <w:spacing w:line="560" w:lineRule="exact"/>
        <w:ind w:firstLine="560" w:firstLineChars="200"/>
        <w:rPr>
          <w:rFonts w:hint="eastAsia" w:ascii="宋体" w:hAnsi="宋体" w:cs="宋体"/>
          <w:color w:val="auto"/>
          <w:sz w:val="28"/>
          <w:szCs w:val="28"/>
          <w:highlight w:val="none"/>
        </w:rPr>
      </w:pPr>
    </w:p>
    <w:p w14:paraId="105952A9">
      <w:pPr>
        <w:widowControl/>
        <w:spacing w:line="560" w:lineRule="exact"/>
        <w:ind w:firstLine="560" w:firstLineChars="200"/>
        <w:rPr>
          <w:rFonts w:hint="eastAsia" w:ascii="宋体" w:hAnsi="宋体" w:cs="宋体"/>
          <w:color w:val="auto"/>
          <w:sz w:val="28"/>
          <w:szCs w:val="28"/>
          <w:highlight w:val="none"/>
        </w:rPr>
      </w:pPr>
    </w:p>
    <w:p w14:paraId="7E14D2CC">
      <w:pPr>
        <w:widowControl/>
        <w:spacing w:line="560" w:lineRule="exact"/>
        <w:ind w:firstLine="560" w:firstLineChars="200"/>
        <w:rPr>
          <w:rFonts w:hint="eastAsia" w:ascii="宋体" w:hAnsi="宋体" w:cs="宋体"/>
          <w:color w:val="auto"/>
          <w:sz w:val="28"/>
          <w:szCs w:val="28"/>
          <w:highlight w:val="none"/>
        </w:rPr>
      </w:pPr>
    </w:p>
    <w:p w14:paraId="33D7589D">
      <w:pPr>
        <w:widowControl/>
        <w:spacing w:line="560" w:lineRule="exact"/>
        <w:ind w:firstLine="560" w:firstLineChars="200"/>
        <w:rPr>
          <w:rFonts w:hint="eastAsia" w:ascii="宋体" w:hAnsi="宋体" w:cs="宋体"/>
          <w:color w:val="auto"/>
          <w:sz w:val="28"/>
          <w:szCs w:val="28"/>
          <w:highlight w:val="none"/>
        </w:rPr>
      </w:pPr>
    </w:p>
    <w:p w14:paraId="53601A00">
      <w:pPr>
        <w:widowControl/>
        <w:spacing w:line="560" w:lineRule="exact"/>
        <w:ind w:firstLine="560" w:firstLineChars="200"/>
        <w:rPr>
          <w:rFonts w:hint="eastAsia" w:ascii="宋体" w:hAnsi="宋体" w:cs="宋体"/>
          <w:color w:val="auto"/>
          <w:sz w:val="28"/>
          <w:szCs w:val="28"/>
          <w:highlight w:val="none"/>
        </w:rPr>
      </w:pPr>
    </w:p>
    <w:p w14:paraId="3B22AE48">
      <w:pPr>
        <w:widowControl/>
        <w:spacing w:line="560" w:lineRule="exact"/>
        <w:ind w:firstLine="560" w:firstLineChars="200"/>
        <w:rPr>
          <w:rFonts w:hint="eastAsia" w:ascii="宋体" w:hAnsi="宋体" w:cs="宋体"/>
          <w:color w:val="auto"/>
          <w:sz w:val="28"/>
          <w:szCs w:val="28"/>
          <w:highlight w:val="none"/>
        </w:rPr>
      </w:pPr>
    </w:p>
    <w:p w14:paraId="403B6B5E">
      <w:pPr>
        <w:widowControl/>
        <w:spacing w:line="56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投标人名称：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14:paraId="62E55D79">
      <w:pPr>
        <w:widowControl/>
        <w:spacing w:line="560" w:lineRule="exact"/>
        <w:ind w:firstLine="560" w:firstLineChars="200"/>
        <w:rPr>
          <w:rFonts w:hint="eastAsia" w:ascii="宋体" w:hAnsi="宋体" w:cs="宋体"/>
          <w:color w:val="auto"/>
          <w:sz w:val="28"/>
          <w:szCs w:val="28"/>
          <w:highlight w:val="none"/>
        </w:rPr>
      </w:pPr>
    </w:p>
    <w:p w14:paraId="4E5F230D">
      <w:pPr>
        <w:widowControl/>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法定代表人（单位负责人）或其委托代理人：</w:t>
      </w:r>
      <w:r>
        <w:rPr>
          <w:rFonts w:hint="eastAsia" w:ascii="宋体" w:hAnsi="宋体" w:cs="宋体"/>
          <w:color w:val="auto"/>
          <w:sz w:val="28"/>
          <w:szCs w:val="28"/>
          <w:highlight w:val="none"/>
          <w:u w:val="single"/>
        </w:rPr>
        <w:t xml:space="preserve">        </w:t>
      </w:r>
    </w:p>
    <w:p w14:paraId="5570BF74">
      <w:pPr>
        <w:widowControl/>
        <w:spacing w:line="560" w:lineRule="exact"/>
        <w:ind w:firstLine="2800" w:firstLineChars="1000"/>
        <w:rPr>
          <w:rFonts w:hint="eastAsia" w:ascii="宋体" w:hAnsi="宋体" w:cs="宋体"/>
          <w:color w:val="auto"/>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613DFBEE">
      <w:pPr>
        <w:widowControl/>
        <w:jc w:val="center"/>
        <w:rPr>
          <w:rFonts w:hint="eastAsia" w:ascii="宋体" w:hAnsi="宋体" w:cs="宋体"/>
          <w:b/>
          <w:bCs/>
          <w:color w:val="auto"/>
          <w:sz w:val="44"/>
          <w:szCs w:val="44"/>
          <w:highlight w:val="none"/>
        </w:rPr>
      </w:pPr>
    </w:p>
    <w:p w14:paraId="71960BBE">
      <w:pPr>
        <w:widowControl/>
        <w:jc w:val="center"/>
        <w:rPr>
          <w:rFonts w:hint="eastAsia" w:ascii="宋体" w:hAnsi="宋体" w:cs="宋体"/>
          <w:b/>
          <w:bCs/>
          <w:color w:val="auto"/>
          <w:sz w:val="44"/>
          <w:szCs w:val="44"/>
          <w:highlight w:val="none"/>
        </w:rPr>
      </w:pPr>
    </w:p>
    <w:p w14:paraId="4177C73B">
      <w:pPr>
        <w:widowControl/>
        <w:jc w:val="center"/>
        <w:rPr>
          <w:rFonts w:hint="eastAsia" w:ascii="宋体" w:hAnsi="宋体" w:cs="宋体"/>
          <w:b/>
          <w:bCs/>
          <w:color w:val="auto"/>
          <w:sz w:val="44"/>
          <w:szCs w:val="44"/>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6F9A3344">
      <w:pPr>
        <w:widowControl/>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535EC3B2">
      <w:pPr>
        <w:widowControl/>
        <w:rPr>
          <w:rFonts w:hint="eastAsia" w:ascii="宋体" w:hAnsi="宋体" w:cs="宋体"/>
          <w:bCs/>
          <w:color w:val="auto"/>
          <w:sz w:val="28"/>
          <w:szCs w:val="28"/>
          <w:highlight w:val="none"/>
        </w:rPr>
      </w:pPr>
    </w:p>
    <w:p w14:paraId="1FB52A5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一、投标函</w:t>
      </w:r>
    </w:p>
    <w:p w14:paraId="4544F9E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二、开标一览表</w:t>
      </w:r>
    </w:p>
    <w:p w14:paraId="34F391D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三、分项报价表</w:t>
      </w:r>
    </w:p>
    <w:p w14:paraId="43D55B1F">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四、投标人综合情况简介</w:t>
      </w:r>
    </w:p>
    <w:p w14:paraId="7791B8E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五、中小企业声明函（货物）</w:t>
      </w:r>
    </w:p>
    <w:p w14:paraId="0835A91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六、法定代表人（单位负责人）身份证明或授权委托书</w:t>
      </w:r>
    </w:p>
    <w:p w14:paraId="276D3166">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七、联合体协议书(如有)</w:t>
      </w:r>
    </w:p>
    <w:p w14:paraId="3E0E1487">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八、分包意向协议书（如有）</w:t>
      </w:r>
    </w:p>
    <w:p w14:paraId="491227C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九、资格审查材料</w:t>
      </w:r>
    </w:p>
    <w:p w14:paraId="5D75CC3B">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十、符合性审查与详细评审材料</w:t>
      </w:r>
    </w:p>
    <w:p w14:paraId="40098BD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十一、主要标的承诺函</w:t>
      </w:r>
    </w:p>
    <w:p w14:paraId="6CD12AE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十二、投标人认为应该提供的其他材料</w:t>
      </w:r>
    </w:p>
    <w:p w14:paraId="3EC77EAF">
      <w:pPr>
        <w:widowControl/>
        <w:rPr>
          <w:rFonts w:hint="eastAsia" w:ascii="宋体" w:hAnsi="宋体" w:cs="宋体"/>
          <w:bCs/>
          <w:color w:val="auto"/>
          <w:highlight w:val="none"/>
        </w:rPr>
      </w:pPr>
    </w:p>
    <w:p w14:paraId="1239DA10">
      <w:pPr>
        <w:pStyle w:val="3"/>
        <w:widowControl/>
        <w:spacing w:before="120" w:after="120" w:line="240" w:lineRule="auto"/>
        <w:jc w:val="center"/>
        <w:rPr>
          <w:rStyle w:val="23"/>
          <w:rFonts w:hint="eastAsia" w:ascii="宋体" w:hAnsi="宋体" w:eastAsia="宋体" w:cs="宋体"/>
          <w:b/>
          <w:bCs/>
          <w:color w:val="auto"/>
          <w:sz w:val="30"/>
          <w:szCs w:val="30"/>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5933F0AA">
      <w:pPr>
        <w:widowControl/>
        <w:rPr>
          <w:rFonts w:hint="eastAsia" w:ascii="宋体" w:hAnsi="宋体" w:cs="宋体"/>
          <w:b/>
          <w:color w:val="auto"/>
          <w:szCs w:val="21"/>
          <w:highlight w:val="none"/>
        </w:rPr>
      </w:pPr>
    </w:p>
    <w:p w14:paraId="1981713E">
      <w:pPr>
        <w:pStyle w:val="3"/>
        <w:widowControl/>
        <w:spacing w:before="120" w:after="120" w:line="240" w:lineRule="auto"/>
        <w:jc w:val="center"/>
        <w:rPr>
          <w:rStyle w:val="23"/>
          <w:rFonts w:hint="eastAsia" w:ascii="宋体" w:hAnsi="宋体" w:eastAsia="宋体" w:cs="宋体"/>
          <w:b/>
          <w:bCs w:val="0"/>
          <w:color w:val="auto"/>
          <w:sz w:val="30"/>
          <w:szCs w:val="30"/>
          <w:highlight w:val="none"/>
        </w:rPr>
      </w:pPr>
      <w:bookmarkStart w:id="1012" w:name="_Toc445554786"/>
      <w:bookmarkStart w:id="1013" w:name="_Toc466024587"/>
      <w:r>
        <w:rPr>
          <w:rStyle w:val="23"/>
          <w:rFonts w:hint="eastAsia" w:ascii="宋体" w:hAnsi="宋体" w:eastAsia="宋体" w:cs="宋体"/>
          <w:b/>
          <w:bCs w:val="0"/>
          <w:color w:val="auto"/>
          <w:sz w:val="30"/>
          <w:szCs w:val="30"/>
          <w:highlight w:val="none"/>
        </w:rPr>
        <w:t>一、投标函</w:t>
      </w:r>
    </w:p>
    <w:p w14:paraId="44F87D26">
      <w:pPr>
        <w:widowControl/>
        <w:tabs>
          <w:tab w:val="left" w:leader="underscore" w:pos="2880"/>
        </w:tabs>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致：【采购人名称】（采购人名称)</w:t>
      </w:r>
    </w:p>
    <w:p w14:paraId="328661DB">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安徽省招标集团股份有限公司  </w:t>
      </w:r>
      <w:r>
        <w:rPr>
          <w:rFonts w:hint="eastAsia" w:ascii="宋体" w:hAnsi="宋体" w:cs="宋体"/>
          <w:color w:val="auto"/>
          <w:szCs w:val="21"/>
          <w:highlight w:val="none"/>
        </w:rPr>
        <w:t>（采购代理名称)</w:t>
      </w:r>
    </w:p>
    <w:p w14:paraId="45BC5340">
      <w:pPr>
        <w:widowControl/>
        <w:spacing w:line="400" w:lineRule="exact"/>
        <w:ind w:firstLine="420" w:firstLineChars="200"/>
        <w:rPr>
          <w:rFonts w:hint="eastAsia" w:ascii="宋体" w:hAnsi="宋体" w:cs="宋体"/>
          <w:color w:val="auto"/>
          <w:szCs w:val="21"/>
          <w:highlight w:val="none"/>
        </w:rPr>
      </w:pPr>
    </w:p>
    <w:p w14:paraId="4086FE29">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1.我方已仔细研究了编号为【项目编号】的【项目名称】招标文件的全部内容，接受你方在招标文件中对投标人的约束条件。我方愿意以开标一览表中确定的投标总价，按照合同的约定履行合同义务。</w:t>
      </w:r>
    </w:p>
    <w:p w14:paraId="7834FF46">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2.我方承诺在招标文件规定的投标有效期内不修改、撤销投标文件</w:t>
      </w:r>
      <w:r>
        <w:rPr>
          <w:rFonts w:hint="eastAsia" w:ascii="宋体" w:hAnsi="宋体" w:cs="宋体"/>
          <w:color w:val="auto"/>
          <w:highlight w:val="none"/>
        </w:rPr>
        <w:t>，且随时准备接受你方发出的中标通知书</w:t>
      </w:r>
      <w:r>
        <w:rPr>
          <w:rFonts w:hint="eastAsia" w:ascii="宋体" w:hAnsi="宋体" w:cs="宋体"/>
          <w:color w:val="auto"/>
          <w:szCs w:val="21"/>
          <w:highlight w:val="none"/>
        </w:rPr>
        <w:t>。</w:t>
      </w:r>
    </w:p>
    <w:p w14:paraId="1A116008">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3.我方已详细审查全部招标文件，包括全部澄清、修改、答疑补充文件。我们完全理解并同意放弃对这方面有不明及误解的权力。</w:t>
      </w:r>
    </w:p>
    <w:p w14:paraId="74826F39">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4.我方在此声明，所递交的投标文件及有关资料内容完整、真实和准确，且不存在招标文件第二章“投标人须知”第1.3.3项规定的任何一种情形。</w:t>
      </w:r>
    </w:p>
    <w:p w14:paraId="662C5117">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5.如我方中标：</w:t>
      </w:r>
    </w:p>
    <w:p w14:paraId="754637CA">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14:paraId="26C07847">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（2）在签订合同时不向你方提出附加条件；</w:t>
      </w:r>
    </w:p>
    <w:p w14:paraId="662471D0">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（3）我方承诺按照招标文件规定向你方递交履约保证金；</w:t>
      </w:r>
    </w:p>
    <w:p w14:paraId="71B027D5">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（4）我方承诺在合同约定的期限内提供并交付货物及服务，履行合同规定的各项义务。</w:t>
      </w:r>
    </w:p>
    <w:p w14:paraId="0E6AF5AA">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6.我方同意按照你方要求提供与我方投标有关的一切数据或资料，完全理解你方不一定接受最低价的投标或收到的任何投标。</w:t>
      </w:r>
    </w:p>
    <w:p w14:paraId="71CEAB8F">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7.我方对投标文件中所提供资料、文件、证书及证件的真实性、合法性和有效性负责。</w:t>
      </w:r>
    </w:p>
    <w:p w14:paraId="24B3EF83">
      <w:pPr>
        <w:widowControl/>
        <w:tabs>
          <w:tab w:val="left" w:leader="underscore" w:pos="3600"/>
          <w:tab w:val="left" w:leader="underscore" w:pos="5400"/>
        </w:tabs>
        <w:spacing w:line="400" w:lineRule="exact"/>
        <w:ind w:firstLine="422" w:firstLineChars="200"/>
        <w:rPr>
          <w:rFonts w:hint="eastAsia" w:ascii="宋体" w:hAnsi="宋体" w:cs="宋体"/>
          <w:b/>
          <w:color w:val="auto"/>
          <w:highlight w:val="none"/>
          <w:u w:val="single"/>
        </w:rPr>
      </w:pPr>
      <w:r>
        <w:rPr>
          <w:rFonts w:hint="eastAsia" w:ascii="宋体" w:hAnsi="宋体" w:cs="宋体"/>
          <w:b/>
          <w:color w:val="auto"/>
          <w:highlight w:val="none"/>
        </w:rPr>
        <w:t>8.其他补充说明：</w:t>
      </w:r>
      <w:r>
        <w:rPr>
          <w:rFonts w:hint="eastAsia" w:ascii="宋体" w:hAnsi="宋体" w:cs="宋体"/>
          <w:b/>
          <w:color w:val="auto"/>
          <w:highlight w:val="none"/>
          <w:u w:val="single"/>
        </w:rPr>
        <w:t xml:space="preserve">                                               </w:t>
      </w:r>
    </w:p>
    <w:p w14:paraId="200F7FDE">
      <w:pPr>
        <w:widowControl/>
        <w:tabs>
          <w:tab w:val="left" w:leader="underscore" w:pos="3600"/>
          <w:tab w:val="left" w:leader="underscore" w:pos="5400"/>
        </w:tabs>
        <w:spacing w:line="400" w:lineRule="exact"/>
        <w:ind w:firstLine="422" w:firstLineChars="200"/>
        <w:rPr>
          <w:rFonts w:hint="eastAsia" w:ascii="宋体" w:hAnsi="宋体" w:cs="宋体"/>
          <w:b/>
          <w:color w:val="auto"/>
          <w:highlight w:val="none"/>
        </w:rPr>
      </w:pPr>
    </w:p>
    <w:p w14:paraId="08116378">
      <w:pPr>
        <w:pStyle w:val="31"/>
        <w:spacing w:line="390" w:lineRule="atLeas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（盖</w:t>
      </w:r>
      <w:r>
        <w:rPr>
          <w:rFonts w:hint="eastAsia" w:ascii="宋体" w:hAnsi="宋体" w:cs="宋体"/>
          <w:color w:val="auto"/>
          <w:spacing w:val="-1"/>
          <w:highlight w:val="none"/>
        </w:rPr>
        <w:t>单</w:t>
      </w:r>
      <w:r>
        <w:rPr>
          <w:rFonts w:hint="eastAsia" w:ascii="宋体" w:hAnsi="宋体" w:cs="宋体"/>
          <w:color w:val="auto"/>
          <w:highlight w:val="none"/>
        </w:rPr>
        <w:t>位章）</w:t>
      </w:r>
    </w:p>
    <w:p w14:paraId="4E2DD9E0">
      <w:pPr>
        <w:pStyle w:val="31"/>
        <w:spacing w:line="390" w:lineRule="atLeast"/>
        <w:rPr>
          <w:rFonts w:hint="eastAsia" w:ascii="宋体" w:hAnsi="宋体" w:cs="宋体"/>
          <w:color w:val="auto"/>
          <w:highlight w:val="none"/>
        </w:rPr>
      </w:pPr>
      <w:r>
        <w:rPr>
          <w:rFonts w:hint="eastAsia" w:ascii="宋体" w:hAnsi="宋体" w:cs="宋体"/>
          <w:color w:val="auto"/>
          <w:highlight w:val="none"/>
        </w:rPr>
        <w:t>法定代表人（单位负责人）或其委托代理人</w:t>
      </w:r>
      <w:r>
        <w:rPr>
          <w:rFonts w:hint="eastAsia" w:ascii="宋体" w:hAnsi="宋体" w:cs="宋体"/>
          <w:color w:val="auto"/>
          <w:spacing w:val="1"/>
          <w:highlight w:val="none"/>
        </w:rPr>
        <w:t>：</w:t>
      </w:r>
      <w:r>
        <w:rPr>
          <w:rFonts w:hint="eastAsia" w:ascii="宋体" w:hAnsi="宋体" w:cs="宋体"/>
          <w:color w:val="auto"/>
          <w:spacing w:val="42"/>
          <w:highlight w:val="none"/>
          <w:u w:val="single"/>
        </w:rPr>
        <w:t xml:space="preserve">            </w:t>
      </w:r>
      <w:r>
        <w:rPr>
          <w:rFonts w:hint="eastAsia" w:ascii="宋体" w:hAnsi="宋体" w:cs="宋体"/>
          <w:color w:val="auto"/>
          <w:highlight w:val="none"/>
        </w:rPr>
        <w:t>（签字或盖章）</w:t>
      </w:r>
    </w:p>
    <w:p w14:paraId="3911F0D7">
      <w:pPr>
        <w:pStyle w:val="31"/>
        <w:spacing w:line="390" w:lineRule="atLeast"/>
        <w:rPr>
          <w:rFonts w:hint="eastAsia" w:ascii="宋体" w:hAnsi="宋体" w:cs="宋体"/>
          <w:color w:val="auto"/>
          <w:highlight w:val="none"/>
        </w:rPr>
      </w:pPr>
      <w:r>
        <w:rPr>
          <w:rFonts w:hint="eastAsia" w:ascii="宋体" w:hAnsi="宋体" w:cs="宋体"/>
          <w:color w:val="auto"/>
          <w:spacing w:val="-1"/>
          <w:highlight w:val="none"/>
        </w:rPr>
        <w:t>地</w:t>
      </w:r>
      <w:r>
        <w:rPr>
          <w:rFonts w:hint="eastAsia" w:ascii="宋体" w:hAnsi="宋体" w:cs="宋体"/>
          <w:color w:val="auto"/>
          <w:spacing w:val="1"/>
          <w:highlight w:val="none"/>
        </w:rPr>
        <w:t>址</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spacing w:val="-1"/>
          <w:highlight w:val="none"/>
        </w:rPr>
        <w:t>邮</w:t>
      </w:r>
      <w:r>
        <w:rPr>
          <w:rFonts w:hint="eastAsia" w:ascii="宋体" w:hAnsi="宋体" w:cs="宋体"/>
          <w:color w:val="auto"/>
          <w:highlight w:val="none"/>
        </w:rPr>
        <w:t>编</w:t>
      </w:r>
      <w:r>
        <w:rPr>
          <w:rFonts w:hint="eastAsia" w:ascii="宋体" w:hAnsi="宋体" w:cs="宋体"/>
          <w:color w:val="auto"/>
          <w:highlight w:val="none"/>
          <w:u w:val="single"/>
        </w:rPr>
        <w:t xml:space="preserve">                            </w:t>
      </w:r>
    </w:p>
    <w:p w14:paraId="53DECFFB">
      <w:pPr>
        <w:pStyle w:val="31"/>
        <w:spacing w:line="390" w:lineRule="atLeast"/>
        <w:rPr>
          <w:rFonts w:hint="eastAsia" w:ascii="宋体" w:hAnsi="宋体" w:cs="宋体"/>
          <w:color w:val="auto"/>
          <w:highlight w:val="none"/>
        </w:rPr>
      </w:pPr>
      <w:r>
        <w:rPr>
          <w:rFonts w:hint="eastAsia" w:ascii="宋体" w:hAnsi="宋体" w:cs="宋体"/>
          <w:color w:val="auto"/>
          <w:spacing w:val="-1"/>
          <w:highlight w:val="none"/>
        </w:rPr>
        <w:t>电</w:t>
      </w:r>
      <w:r>
        <w:rPr>
          <w:rFonts w:hint="eastAsia" w:ascii="宋体" w:hAnsi="宋体" w:cs="宋体"/>
          <w:color w:val="auto"/>
          <w:spacing w:val="1"/>
          <w:highlight w:val="none"/>
        </w:rPr>
        <w:t>话</w:t>
      </w:r>
      <w:r>
        <w:rPr>
          <w:rFonts w:hint="eastAsia" w:ascii="宋体" w:hAnsi="宋体" w:cs="宋体"/>
          <w:color w:val="auto"/>
          <w:highlight w:val="none"/>
          <w:u w:val="single"/>
        </w:rPr>
        <w:t xml:space="preserve">                        </w:t>
      </w:r>
      <w:r>
        <w:rPr>
          <w:rFonts w:hint="eastAsia" w:ascii="宋体" w:hAnsi="宋体" w:cs="宋体"/>
          <w:color w:val="auto"/>
          <w:spacing w:val="-1"/>
          <w:highlight w:val="none"/>
        </w:rPr>
        <w:t>传</w:t>
      </w:r>
      <w:r>
        <w:rPr>
          <w:rFonts w:hint="eastAsia" w:ascii="宋体" w:hAnsi="宋体" w:cs="宋体"/>
          <w:color w:val="auto"/>
          <w:highlight w:val="none"/>
        </w:rPr>
        <w:t>真</w:t>
      </w:r>
      <w:r>
        <w:rPr>
          <w:rFonts w:hint="eastAsia" w:ascii="宋体" w:hAnsi="宋体" w:cs="宋体"/>
          <w:color w:val="auto"/>
          <w:highlight w:val="none"/>
          <w:u w:val="single"/>
        </w:rPr>
        <w:t xml:space="preserve">                       </w:t>
      </w:r>
    </w:p>
    <w:p w14:paraId="0D45C249">
      <w:pPr>
        <w:pStyle w:val="31"/>
        <w:spacing w:line="390" w:lineRule="atLeast"/>
        <w:rPr>
          <w:rFonts w:hint="eastAsia" w:ascii="宋体" w:hAnsi="宋体" w:cs="宋体"/>
          <w:color w:val="auto"/>
          <w:highlight w:val="none"/>
        </w:rPr>
      </w:pPr>
      <w:r>
        <w:rPr>
          <w:rFonts w:hint="eastAsia" w:ascii="宋体" w:hAnsi="宋体" w:cs="宋体"/>
          <w:color w:val="auto"/>
          <w:highlight w:val="none"/>
        </w:rPr>
        <w:t>电子邮箱</w:t>
      </w:r>
      <w:r>
        <w:rPr>
          <w:rFonts w:hint="eastAsia" w:ascii="宋体" w:hAnsi="宋体" w:cs="宋体"/>
          <w:color w:val="auto"/>
          <w:highlight w:val="none"/>
          <w:u w:val="single"/>
        </w:rPr>
        <w:t xml:space="preserve">                  </w:t>
      </w:r>
      <w:r>
        <w:rPr>
          <w:rFonts w:hint="eastAsia" w:ascii="宋体" w:hAnsi="宋体" w:cs="宋体"/>
          <w:color w:val="auto"/>
          <w:highlight w:val="none"/>
        </w:rPr>
        <w:t>网址：</w:t>
      </w:r>
      <w:r>
        <w:rPr>
          <w:rFonts w:hint="eastAsia" w:ascii="宋体" w:hAnsi="宋体" w:cs="宋体"/>
          <w:color w:val="auto"/>
          <w:highlight w:val="none"/>
          <w:u w:val="single"/>
        </w:rPr>
        <w:t xml:space="preserve">                       </w:t>
      </w:r>
    </w:p>
    <w:p w14:paraId="3166518A">
      <w:pPr>
        <w:pStyle w:val="31"/>
        <w:spacing w:line="200" w:lineRule="atLeast"/>
        <w:rPr>
          <w:rFonts w:hint="eastAsia" w:ascii="宋体" w:hAnsi="宋体" w:cs="宋体"/>
          <w:color w:val="auto"/>
          <w:highlight w:val="none"/>
        </w:rPr>
      </w:pPr>
      <w:r>
        <w:rPr>
          <w:rFonts w:hint="eastAsia" w:ascii="宋体" w:hAnsi="宋体" w:cs="宋体"/>
          <w:color w:val="auto"/>
          <w:sz w:val="20"/>
          <w:szCs w:val="20"/>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70A51FE3">
      <w:pPr>
        <w:pStyle w:val="31"/>
        <w:spacing w:line="200" w:lineRule="atLeast"/>
        <w:rPr>
          <w:rFonts w:hint="eastAsia" w:ascii="宋体" w:hAnsi="宋体" w:cs="宋体"/>
          <w:color w:val="auto"/>
          <w:sz w:val="20"/>
          <w:szCs w:val="20"/>
          <w:highlight w:val="none"/>
        </w:rPr>
      </w:pPr>
    </w:p>
    <w:p w14:paraId="7484F8DF">
      <w:pPr>
        <w:pStyle w:val="31"/>
        <w:spacing w:before="6" w:line="220" w:lineRule="atLeast"/>
        <w:rPr>
          <w:rFonts w:hint="eastAsia" w:ascii="宋体" w:hAnsi="宋体" w:cs="宋体"/>
          <w:color w:val="auto"/>
          <w:sz w:val="22"/>
          <w:szCs w:val="22"/>
          <w:highlight w:val="none"/>
        </w:rPr>
      </w:pPr>
    </w:p>
    <w:p w14:paraId="656FDB60">
      <w:pPr>
        <w:pStyle w:val="31"/>
        <w:ind w:left="120" w:right="-20"/>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792092A7">
      <w:pPr>
        <w:pStyle w:val="3"/>
        <w:widowControl/>
        <w:spacing w:before="120" w:after="120" w:line="240" w:lineRule="auto"/>
        <w:jc w:val="center"/>
        <w:rPr>
          <w:rStyle w:val="23"/>
          <w:rFonts w:hint="eastAsia" w:ascii="宋体" w:hAnsi="宋体" w:eastAsia="宋体" w:cs="宋体"/>
          <w:b/>
          <w:bCs w:val="0"/>
          <w:color w:val="auto"/>
          <w:sz w:val="30"/>
          <w:szCs w:val="30"/>
          <w:highlight w:val="none"/>
        </w:rPr>
      </w:pPr>
      <w:r>
        <w:rPr>
          <w:rStyle w:val="23"/>
          <w:rFonts w:hint="eastAsia" w:ascii="宋体" w:hAnsi="宋体" w:eastAsia="宋体" w:cs="宋体"/>
          <w:b/>
          <w:bCs w:val="0"/>
          <w:color w:val="auto"/>
          <w:sz w:val="30"/>
          <w:szCs w:val="30"/>
          <w:highlight w:val="none"/>
        </w:rPr>
        <w:t>二、开标一览表</w:t>
      </w:r>
      <w:bookmarkEnd w:id="1012"/>
      <w:bookmarkEnd w:id="1013"/>
    </w:p>
    <w:p w14:paraId="69C33FF2">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17"/>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44DDC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14:paraId="5CC251DC">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5" w:type="dxa"/>
            <w:noWrap w:val="0"/>
            <w:vAlign w:val="center"/>
          </w:tcPr>
          <w:p w14:paraId="532BA495">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w:t>
            </w:r>
          </w:p>
        </w:tc>
        <w:tc>
          <w:tcPr>
            <w:tcW w:w="6095" w:type="dxa"/>
            <w:noWrap w:val="0"/>
            <w:vAlign w:val="center"/>
          </w:tcPr>
          <w:p w14:paraId="1574A669">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内容</w:t>
            </w:r>
          </w:p>
        </w:tc>
      </w:tr>
      <w:tr w14:paraId="06276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7E52301F">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5" w:type="dxa"/>
            <w:noWrap w:val="0"/>
            <w:vAlign w:val="center"/>
          </w:tcPr>
          <w:p w14:paraId="6BACB158">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095" w:type="dxa"/>
            <w:noWrap w:val="0"/>
            <w:vAlign w:val="center"/>
          </w:tcPr>
          <w:p w14:paraId="0378A538">
            <w:pPr>
              <w:widowControl/>
              <w:adjustRightInd w:val="0"/>
              <w:snapToGrid w:val="0"/>
              <w:rPr>
                <w:rFonts w:hint="eastAsia" w:ascii="宋体" w:hAnsi="宋体" w:cs="宋体"/>
                <w:color w:val="auto"/>
                <w:kern w:val="0"/>
                <w:szCs w:val="21"/>
                <w:highlight w:val="none"/>
              </w:rPr>
            </w:pPr>
          </w:p>
        </w:tc>
      </w:tr>
      <w:tr w14:paraId="61711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038DACC2">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5" w:type="dxa"/>
            <w:noWrap w:val="0"/>
            <w:vAlign w:val="center"/>
          </w:tcPr>
          <w:p w14:paraId="12DFF884">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项目编号</w:t>
            </w:r>
          </w:p>
        </w:tc>
        <w:tc>
          <w:tcPr>
            <w:tcW w:w="6095" w:type="dxa"/>
            <w:noWrap w:val="0"/>
            <w:vAlign w:val="center"/>
          </w:tcPr>
          <w:p w14:paraId="26E35038">
            <w:pPr>
              <w:widowControl/>
              <w:adjustRightInd w:val="0"/>
              <w:snapToGrid w:val="0"/>
              <w:rPr>
                <w:rFonts w:hint="eastAsia" w:ascii="宋体" w:hAnsi="宋体" w:cs="宋体"/>
                <w:color w:val="auto"/>
                <w:kern w:val="0"/>
                <w:szCs w:val="21"/>
                <w:highlight w:val="none"/>
              </w:rPr>
            </w:pPr>
          </w:p>
        </w:tc>
      </w:tr>
      <w:tr w14:paraId="4C8FB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5580498B">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5" w:type="dxa"/>
            <w:noWrap w:val="0"/>
            <w:vAlign w:val="center"/>
          </w:tcPr>
          <w:p w14:paraId="6280308C">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分包号（无分包，不填写）</w:t>
            </w:r>
          </w:p>
        </w:tc>
        <w:tc>
          <w:tcPr>
            <w:tcW w:w="6095" w:type="dxa"/>
            <w:noWrap w:val="0"/>
            <w:vAlign w:val="center"/>
          </w:tcPr>
          <w:p w14:paraId="1944CA77">
            <w:pPr>
              <w:widowControl/>
              <w:adjustRightInd w:val="0"/>
              <w:snapToGrid w:val="0"/>
              <w:rPr>
                <w:rFonts w:hint="eastAsia" w:ascii="宋体" w:hAnsi="宋体" w:cs="宋体"/>
                <w:color w:val="auto"/>
                <w:kern w:val="0"/>
                <w:szCs w:val="21"/>
                <w:highlight w:val="none"/>
              </w:rPr>
            </w:pPr>
          </w:p>
        </w:tc>
      </w:tr>
      <w:tr w14:paraId="2245C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2FEBC6BF">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715" w:type="dxa"/>
            <w:noWrap w:val="0"/>
            <w:vAlign w:val="center"/>
          </w:tcPr>
          <w:p w14:paraId="3828C1A4">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投标总报价</w:t>
            </w:r>
          </w:p>
          <w:p w14:paraId="226A1B7B">
            <w:pPr>
              <w:widowControl/>
              <w:adjustRightInd w:val="0"/>
              <w:snapToGrid w:val="0"/>
              <w:jc w:val="center"/>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投标报价为表3-1、表3-2、表3-3汇总之和</w:t>
            </w:r>
          </w:p>
        </w:tc>
        <w:tc>
          <w:tcPr>
            <w:tcW w:w="6095" w:type="dxa"/>
            <w:noWrap w:val="0"/>
            <w:vAlign w:val="center"/>
          </w:tcPr>
          <w:p w14:paraId="70326C8D">
            <w:pPr>
              <w:widowControl/>
              <w:adjustRightInd w:val="0"/>
              <w:snapToGrid w:val="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元</w:t>
            </w:r>
          </w:p>
        </w:tc>
      </w:tr>
      <w:tr w14:paraId="36DE2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3CE746B2">
            <w:pPr>
              <w:widowControl/>
              <w:adjustRightInd w:val="0"/>
              <w:snapToGrid w:val="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2715" w:type="dxa"/>
            <w:noWrap w:val="0"/>
            <w:vAlign w:val="center"/>
          </w:tcPr>
          <w:p w14:paraId="7E9BD3AC">
            <w:pPr>
              <w:widowControl/>
              <w:adjustRightInd w:val="0"/>
              <w:snapToGrid w:val="0"/>
              <w:jc w:val="center"/>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Cs w:val="21"/>
                <w:highlight w:val="none"/>
              </w:rPr>
              <w:t>备注</w:t>
            </w:r>
          </w:p>
        </w:tc>
        <w:tc>
          <w:tcPr>
            <w:tcW w:w="6095" w:type="dxa"/>
            <w:noWrap w:val="0"/>
            <w:vAlign w:val="center"/>
          </w:tcPr>
          <w:p w14:paraId="65641DDF">
            <w:pPr>
              <w:widowControl/>
              <w:adjustRightInd w:val="0"/>
              <w:snapToGrid w:val="0"/>
              <w:jc w:val="center"/>
              <w:rPr>
                <w:rFonts w:hint="eastAsia" w:ascii="宋体" w:hAnsi="宋体" w:cs="宋体"/>
                <w:color w:val="auto"/>
                <w:kern w:val="0"/>
                <w:szCs w:val="21"/>
                <w:highlight w:val="none"/>
              </w:rPr>
            </w:pPr>
          </w:p>
        </w:tc>
      </w:tr>
    </w:tbl>
    <w:p w14:paraId="3635FB69">
      <w:pPr>
        <w:widowControl/>
        <w:spacing w:line="200" w:lineRule="atLeast"/>
        <w:rPr>
          <w:rFonts w:hint="eastAsia" w:ascii="宋体" w:hAnsi="宋体" w:cs="宋体"/>
          <w:color w:val="auto"/>
          <w:kern w:val="0"/>
          <w:szCs w:val="21"/>
          <w:highlight w:val="none"/>
        </w:rPr>
      </w:pPr>
    </w:p>
    <w:p w14:paraId="06F174CC">
      <w:pPr>
        <w:widowControl/>
        <w:spacing w:before="18" w:line="280" w:lineRule="atLeast"/>
        <w:rPr>
          <w:rFonts w:hint="eastAsia" w:ascii="宋体" w:hAnsi="宋体" w:cs="宋体"/>
          <w:color w:val="auto"/>
          <w:kern w:val="0"/>
          <w:szCs w:val="21"/>
          <w:highlight w:val="none"/>
        </w:rPr>
      </w:pPr>
    </w:p>
    <w:p w14:paraId="44393C81">
      <w:pPr>
        <w:widowControl/>
        <w:spacing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投</w:t>
      </w:r>
      <w:r>
        <w:rPr>
          <w:rFonts w:hint="eastAsia" w:ascii="宋体" w:hAnsi="宋体" w:cs="宋体"/>
          <w:color w:val="auto"/>
          <w:spacing w:val="43"/>
          <w:kern w:val="0"/>
          <w:szCs w:val="21"/>
          <w:highlight w:val="none"/>
        </w:rPr>
        <w:t xml:space="preserve"> </w:t>
      </w:r>
      <w:r>
        <w:rPr>
          <w:rFonts w:hint="eastAsia" w:ascii="宋体" w:hAnsi="宋体" w:cs="宋体"/>
          <w:color w:val="auto"/>
          <w:kern w:val="0"/>
          <w:szCs w:val="21"/>
          <w:highlight w:val="none"/>
        </w:rPr>
        <w:t>标</w:t>
      </w:r>
      <w:r>
        <w:rPr>
          <w:rFonts w:hint="eastAsia" w:ascii="宋体" w:hAnsi="宋体" w:cs="宋体"/>
          <w:color w:val="auto"/>
          <w:spacing w:val="43"/>
          <w:kern w:val="0"/>
          <w:szCs w:val="21"/>
          <w:highlight w:val="none"/>
        </w:rPr>
        <w:t xml:space="preserve"> </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（单位盖章）</w:t>
      </w:r>
    </w:p>
    <w:p w14:paraId="0AFA8433">
      <w:pPr>
        <w:widowControl/>
        <w:spacing w:before="34"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法定代表人（单位负责人）或其委托代理人</w:t>
      </w:r>
      <w:r>
        <w:rPr>
          <w:rFonts w:hint="eastAsia" w:ascii="宋体" w:hAnsi="宋体" w:cs="宋体"/>
          <w:color w:val="auto"/>
          <w:spacing w:val="-47"/>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51EEE906">
      <w:pPr>
        <w:widowControl/>
        <w:spacing w:before="34" w:line="360" w:lineRule="auto"/>
        <w:ind w:left="5516" w:right="-2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4EB391C7">
      <w:pPr>
        <w:widowControl/>
        <w:spacing w:line="200" w:lineRule="atLeast"/>
        <w:rPr>
          <w:rFonts w:hint="eastAsia" w:ascii="宋体" w:hAnsi="宋体" w:cs="宋体"/>
          <w:color w:val="auto"/>
          <w:kern w:val="0"/>
          <w:szCs w:val="21"/>
          <w:highlight w:val="none"/>
        </w:rPr>
      </w:pPr>
    </w:p>
    <w:p w14:paraId="39FA80FF">
      <w:pPr>
        <w:widowControl/>
        <w:spacing w:line="272" w:lineRule="atLeast"/>
        <w:ind w:left="160" w:right="-20"/>
        <w:rPr>
          <w:rFonts w:hint="eastAsia" w:ascii="宋体" w:hAnsi="宋体" w:cs="宋体"/>
          <w:color w:val="auto"/>
          <w:kern w:val="0"/>
          <w:szCs w:val="21"/>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35C772D2">
      <w:pPr>
        <w:pStyle w:val="3"/>
        <w:widowControl/>
        <w:spacing w:before="120" w:after="120" w:line="240" w:lineRule="auto"/>
        <w:jc w:val="center"/>
        <w:rPr>
          <w:rStyle w:val="23"/>
          <w:rFonts w:hint="eastAsia" w:ascii="宋体" w:hAnsi="宋体" w:eastAsia="宋体" w:cs="宋体"/>
          <w:b w:val="0"/>
          <w:bCs/>
          <w:color w:val="auto"/>
          <w:sz w:val="30"/>
          <w:szCs w:val="30"/>
          <w:highlight w:val="none"/>
        </w:rPr>
      </w:pPr>
      <w:bookmarkStart w:id="1014" w:name="_Toc445554787"/>
      <w:bookmarkStart w:id="1015" w:name="_Toc466024588"/>
      <w:r>
        <w:rPr>
          <w:rStyle w:val="23"/>
          <w:rFonts w:hint="eastAsia" w:ascii="宋体" w:hAnsi="宋体" w:eastAsia="宋体" w:cs="宋体"/>
          <w:b/>
          <w:bCs w:val="0"/>
          <w:color w:val="auto"/>
          <w:sz w:val="30"/>
          <w:szCs w:val="30"/>
          <w:highlight w:val="none"/>
        </w:rPr>
        <w:t>三、分项报价表</w:t>
      </w:r>
      <w:bookmarkEnd w:id="1014"/>
      <w:bookmarkEnd w:id="1015"/>
    </w:p>
    <w:p w14:paraId="22BF2F26">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表3-1  分项报价表</w:t>
      </w:r>
    </w:p>
    <w:p w14:paraId="1A7B0A77">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17"/>
        <w:tblW w:w="14216" w:type="dxa"/>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1156"/>
        <w:gridCol w:w="1124"/>
        <w:gridCol w:w="567"/>
        <w:gridCol w:w="567"/>
        <w:gridCol w:w="1134"/>
        <w:gridCol w:w="1050"/>
        <w:gridCol w:w="934"/>
        <w:gridCol w:w="1050"/>
        <w:gridCol w:w="651"/>
        <w:gridCol w:w="709"/>
        <w:gridCol w:w="992"/>
        <w:gridCol w:w="993"/>
        <w:gridCol w:w="851"/>
        <w:gridCol w:w="850"/>
        <w:gridCol w:w="850"/>
      </w:tblGrid>
      <w:tr w14:paraId="3C13C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38" w:type="dxa"/>
            <w:vMerge w:val="restart"/>
            <w:noWrap w:val="0"/>
            <w:vAlign w:val="center"/>
          </w:tcPr>
          <w:p w14:paraId="1BF1D073">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vMerge w:val="restart"/>
            <w:noWrap w:val="0"/>
            <w:vAlign w:val="center"/>
          </w:tcPr>
          <w:p w14:paraId="652072F7">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名称</w:t>
            </w:r>
          </w:p>
        </w:tc>
        <w:tc>
          <w:tcPr>
            <w:tcW w:w="1124" w:type="dxa"/>
            <w:vMerge w:val="restart"/>
            <w:noWrap w:val="0"/>
            <w:vAlign w:val="center"/>
          </w:tcPr>
          <w:p w14:paraId="72B065E6">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567" w:type="dxa"/>
            <w:vMerge w:val="restart"/>
            <w:noWrap w:val="0"/>
            <w:vAlign w:val="center"/>
          </w:tcPr>
          <w:p w14:paraId="799BD3B8">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567" w:type="dxa"/>
            <w:vMerge w:val="restart"/>
            <w:noWrap w:val="0"/>
            <w:vAlign w:val="center"/>
          </w:tcPr>
          <w:p w14:paraId="6A065096">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5528" w:type="dxa"/>
            <w:gridSpan w:val="6"/>
            <w:noWrap w:val="0"/>
            <w:vAlign w:val="center"/>
          </w:tcPr>
          <w:p w14:paraId="39E9A5C7">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992" w:type="dxa"/>
            <w:noWrap w:val="0"/>
            <w:vAlign w:val="center"/>
          </w:tcPr>
          <w:p w14:paraId="7E19F747">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合价</w:t>
            </w:r>
          </w:p>
        </w:tc>
        <w:tc>
          <w:tcPr>
            <w:tcW w:w="993" w:type="dxa"/>
            <w:noWrap w:val="0"/>
            <w:vAlign w:val="center"/>
          </w:tcPr>
          <w:p w14:paraId="087531A7">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851" w:type="dxa"/>
            <w:noWrap w:val="0"/>
            <w:vAlign w:val="center"/>
          </w:tcPr>
          <w:p w14:paraId="2FDE369B">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850" w:type="dxa"/>
            <w:noWrap w:val="0"/>
            <w:vAlign w:val="center"/>
          </w:tcPr>
          <w:p w14:paraId="786A937D">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850" w:type="dxa"/>
            <w:noWrap w:val="0"/>
            <w:vAlign w:val="center"/>
          </w:tcPr>
          <w:p w14:paraId="53BCBDDA">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r>
      <w:tr w14:paraId="03011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vMerge w:val="continue"/>
            <w:noWrap w:val="0"/>
            <w:vAlign w:val="center"/>
          </w:tcPr>
          <w:p w14:paraId="43023C8A">
            <w:pPr>
              <w:widowControl/>
              <w:adjustRightInd w:val="0"/>
              <w:snapToGrid w:val="0"/>
              <w:jc w:val="center"/>
              <w:rPr>
                <w:rFonts w:hint="eastAsia" w:ascii="宋体" w:hAnsi="宋体" w:cs="宋体"/>
                <w:color w:val="auto"/>
                <w:kern w:val="0"/>
                <w:szCs w:val="21"/>
                <w:highlight w:val="none"/>
              </w:rPr>
            </w:pPr>
          </w:p>
        </w:tc>
        <w:tc>
          <w:tcPr>
            <w:tcW w:w="1156" w:type="dxa"/>
            <w:vMerge w:val="continue"/>
            <w:noWrap w:val="0"/>
            <w:vAlign w:val="center"/>
          </w:tcPr>
          <w:p w14:paraId="7377588F">
            <w:pPr>
              <w:widowControl/>
              <w:adjustRightInd w:val="0"/>
              <w:snapToGrid w:val="0"/>
              <w:jc w:val="center"/>
              <w:rPr>
                <w:rFonts w:hint="eastAsia" w:ascii="宋体" w:hAnsi="宋体" w:cs="宋体"/>
                <w:color w:val="auto"/>
                <w:kern w:val="0"/>
                <w:szCs w:val="21"/>
                <w:highlight w:val="none"/>
              </w:rPr>
            </w:pPr>
          </w:p>
        </w:tc>
        <w:tc>
          <w:tcPr>
            <w:tcW w:w="1124" w:type="dxa"/>
            <w:vMerge w:val="continue"/>
            <w:noWrap w:val="0"/>
            <w:vAlign w:val="center"/>
          </w:tcPr>
          <w:p w14:paraId="63C5055C">
            <w:pPr>
              <w:widowControl/>
              <w:adjustRightInd w:val="0"/>
              <w:snapToGrid w:val="0"/>
              <w:jc w:val="center"/>
              <w:rPr>
                <w:rFonts w:hint="eastAsia" w:ascii="宋体" w:hAnsi="宋体" w:cs="宋体"/>
                <w:color w:val="auto"/>
                <w:kern w:val="0"/>
                <w:szCs w:val="21"/>
                <w:highlight w:val="none"/>
              </w:rPr>
            </w:pPr>
          </w:p>
        </w:tc>
        <w:tc>
          <w:tcPr>
            <w:tcW w:w="567" w:type="dxa"/>
            <w:vMerge w:val="continue"/>
            <w:noWrap w:val="0"/>
            <w:vAlign w:val="center"/>
          </w:tcPr>
          <w:p w14:paraId="2B96C2CF">
            <w:pPr>
              <w:widowControl/>
              <w:adjustRightInd w:val="0"/>
              <w:snapToGrid w:val="0"/>
              <w:jc w:val="center"/>
              <w:rPr>
                <w:rFonts w:hint="eastAsia" w:ascii="宋体" w:hAnsi="宋体" w:cs="宋体"/>
                <w:color w:val="auto"/>
                <w:kern w:val="0"/>
                <w:szCs w:val="21"/>
                <w:highlight w:val="none"/>
              </w:rPr>
            </w:pPr>
          </w:p>
        </w:tc>
        <w:tc>
          <w:tcPr>
            <w:tcW w:w="567" w:type="dxa"/>
            <w:vMerge w:val="continue"/>
            <w:noWrap w:val="0"/>
            <w:vAlign w:val="center"/>
          </w:tcPr>
          <w:p w14:paraId="5628653A">
            <w:pPr>
              <w:widowControl/>
              <w:adjustRightInd w:val="0"/>
              <w:snapToGrid w:val="0"/>
              <w:jc w:val="center"/>
              <w:rPr>
                <w:rFonts w:hint="eastAsia" w:ascii="宋体" w:hAnsi="宋体" w:cs="宋体"/>
                <w:color w:val="auto"/>
                <w:kern w:val="0"/>
                <w:szCs w:val="21"/>
                <w:highlight w:val="none"/>
              </w:rPr>
            </w:pPr>
          </w:p>
        </w:tc>
        <w:tc>
          <w:tcPr>
            <w:tcW w:w="1134" w:type="dxa"/>
            <w:noWrap w:val="0"/>
            <w:vAlign w:val="center"/>
          </w:tcPr>
          <w:p w14:paraId="086B4A06">
            <w:pPr>
              <w:jc w:val="center"/>
              <w:rPr>
                <w:rFonts w:hint="eastAsia" w:ascii="宋体" w:hAnsi="宋体" w:cs="宋体"/>
                <w:color w:val="auto"/>
                <w:szCs w:val="21"/>
                <w:highlight w:val="none"/>
              </w:rPr>
            </w:pPr>
            <w:r>
              <w:rPr>
                <w:rFonts w:hint="eastAsia" w:ascii="宋体" w:hAnsi="宋体" w:cs="宋体"/>
                <w:color w:val="auto"/>
                <w:szCs w:val="21"/>
                <w:highlight w:val="none"/>
              </w:rPr>
              <w:t>主机及标准附件</w:t>
            </w:r>
          </w:p>
        </w:tc>
        <w:tc>
          <w:tcPr>
            <w:tcW w:w="1050" w:type="dxa"/>
            <w:noWrap w:val="0"/>
            <w:vAlign w:val="center"/>
          </w:tcPr>
          <w:p w14:paraId="0FA1F991">
            <w:pPr>
              <w:jc w:val="center"/>
              <w:rPr>
                <w:rFonts w:hint="eastAsia" w:ascii="宋体" w:hAnsi="宋体" w:cs="宋体"/>
                <w:color w:val="auto"/>
                <w:szCs w:val="21"/>
                <w:highlight w:val="none"/>
              </w:rPr>
            </w:pPr>
            <w:r>
              <w:rPr>
                <w:rFonts w:hint="eastAsia" w:ascii="宋体" w:hAnsi="宋体" w:cs="宋体"/>
                <w:color w:val="auto"/>
                <w:szCs w:val="21"/>
                <w:highlight w:val="none"/>
              </w:rPr>
              <w:t>运输、保险、卸货</w:t>
            </w:r>
          </w:p>
        </w:tc>
        <w:tc>
          <w:tcPr>
            <w:tcW w:w="934" w:type="dxa"/>
            <w:noWrap w:val="0"/>
            <w:vAlign w:val="center"/>
          </w:tcPr>
          <w:p w14:paraId="797FF315">
            <w:pPr>
              <w:jc w:val="center"/>
              <w:rPr>
                <w:rFonts w:hint="eastAsia" w:ascii="宋体" w:hAnsi="宋体" w:cs="宋体"/>
                <w:color w:val="auto"/>
                <w:szCs w:val="21"/>
                <w:highlight w:val="none"/>
              </w:rPr>
            </w:pPr>
            <w:r>
              <w:rPr>
                <w:rFonts w:hint="eastAsia" w:ascii="宋体" w:hAnsi="宋体" w:cs="宋体"/>
                <w:color w:val="auto"/>
                <w:szCs w:val="21"/>
                <w:highlight w:val="none"/>
              </w:rPr>
              <w:t>安装调试检验</w:t>
            </w:r>
          </w:p>
        </w:tc>
        <w:tc>
          <w:tcPr>
            <w:tcW w:w="1050" w:type="dxa"/>
            <w:noWrap w:val="0"/>
            <w:vAlign w:val="center"/>
          </w:tcPr>
          <w:p w14:paraId="0D277DDB">
            <w:pPr>
              <w:jc w:val="center"/>
              <w:rPr>
                <w:rFonts w:hint="eastAsia" w:ascii="宋体" w:hAnsi="宋体" w:cs="宋体"/>
                <w:color w:val="auto"/>
                <w:szCs w:val="21"/>
                <w:highlight w:val="none"/>
              </w:rPr>
            </w:pPr>
            <w:r>
              <w:rPr>
                <w:rFonts w:hint="eastAsia" w:ascii="宋体" w:hAnsi="宋体" w:cs="宋体"/>
                <w:color w:val="auto"/>
                <w:szCs w:val="21"/>
                <w:highlight w:val="none"/>
              </w:rPr>
              <w:t>培训及</w:t>
            </w:r>
          </w:p>
          <w:p w14:paraId="6C2D6B01">
            <w:pPr>
              <w:jc w:val="center"/>
              <w:rPr>
                <w:rFonts w:hint="eastAsia" w:ascii="宋体" w:hAnsi="宋体" w:cs="宋体"/>
                <w:color w:val="auto"/>
                <w:szCs w:val="21"/>
                <w:highlight w:val="none"/>
              </w:rPr>
            </w:pPr>
            <w:r>
              <w:rPr>
                <w:rFonts w:hint="eastAsia" w:ascii="宋体" w:hAnsi="宋体" w:cs="宋体"/>
                <w:color w:val="auto"/>
                <w:szCs w:val="21"/>
                <w:highlight w:val="none"/>
              </w:rPr>
              <w:t>技术服务</w:t>
            </w:r>
          </w:p>
        </w:tc>
        <w:tc>
          <w:tcPr>
            <w:tcW w:w="651" w:type="dxa"/>
            <w:noWrap w:val="0"/>
            <w:vAlign w:val="center"/>
          </w:tcPr>
          <w:p w14:paraId="20C7A8FD">
            <w:pPr>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09" w:type="dxa"/>
            <w:noWrap w:val="0"/>
            <w:vAlign w:val="center"/>
          </w:tcPr>
          <w:p w14:paraId="1E15A77C">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szCs w:val="21"/>
                <w:highlight w:val="none"/>
              </w:rPr>
              <w:t>小计</w:t>
            </w:r>
          </w:p>
        </w:tc>
        <w:tc>
          <w:tcPr>
            <w:tcW w:w="992" w:type="dxa"/>
            <w:noWrap w:val="0"/>
            <w:vAlign w:val="center"/>
          </w:tcPr>
          <w:p w14:paraId="09534EC4">
            <w:pPr>
              <w:widowControl/>
              <w:adjustRightInd w:val="0"/>
              <w:snapToGrid w:val="0"/>
              <w:jc w:val="center"/>
              <w:rPr>
                <w:rFonts w:hint="eastAsia" w:ascii="宋体" w:hAnsi="宋体" w:cs="宋体"/>
                <w:color w:val="auto"/>
                <w:kern w:val="0"/>
                <w:szCs w:val="21"/>
                <w:highlight w:val="none"/>
              </w:rPr>
            </w:pPr>
          </w:p>
        </w:tc>
        <w:tc>
          <w:tcPr>
            <w:tcW w:w="993" w:type="dxa"/>
            <w:noWrap w:val="0"/>
            <w:vAlign w:val="center"/>
          </w:tcPr>
          <w:p w14:paraId="6A2FDC71">
            <w:pPr>
              <w:widowControl/>
              <w:adjustRightInd w:val="0"/>
              <w:snapToGrid w:val="0"/>
              <w:jc w:val="center"/>
              <w:rPr>
                <w:rFonts w:hint="eastAsia" w:ascii="宋体" w:hAnsi="宋体" w:cs="宋体"/>
                <w:color w:val="auto"/>
                <w:kern w:val="0"/>
                <w:szCs w:val="21"/>
                <w:highlight w:val="none"/>
              </w:rPr>
            </w:pPr>
          </w:p>
        </w:tc>
        <w:tc>
          <w:tcPr>
            <w:tcW w:w="851" w:type="dxa"/>
            <w:noWrap w:val="0"/>
            <w:vAlign w:val="center"/>
          </w:tcPr>
          <w:p w14:paraId="7DA0CEF1">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0D5886B5">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5662DDAE">
            <w:pPr>
              <w:widowControl/>
              <w:adjustRightInd w:val="0"/>
              <w:snapToGrid w:val="0"/>
              <w:jc w:val="center"/>
              <w:rPr>
                <w:rFonts w:hint="eastAsia" w:ascii="宋体" w:hAnsi="宋体" w:cs="宋体"/>
                <w:color w:val="auto"/>
                <w:kern w:val="0"/>
                <w:szCs w:val="21"/>
                <w:highlight w:val="none"/>
              </w:rPr>
            </w:pPr>
          </w:p>
        </w:tc>
      </w:tr>
      <w:tr w14:paraId="7F409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5832D3FF">
            <w:pPr>
              <w:widowControl/>
              <w:adjustRightInd w:val="0"/>
              <w:snapToGrid w:val="0"/>
              <w:jc w:val="center"/>
              <w:rPr>
                <w:rFonts w:hint="eastAsia" w:ascii="宋体" w:hAnsi="宋体" w:cs="宋体"/>
                <w:color w:val="auto"/>
                <w:kern w:val="0"/>
                <w:szCs w:val="21"/>
                <w:highlight w:val="none"/>
              </w:rPr>
            </w:pPr>
          </w:p>
        </w:tc>
        <w:tc>
          <w:tcPr>
            <w:tcW w:w="1156" w:type="dxa"/>
            <w:noWrap w:val="0"/>
            <w:vAlign w:val="center"/>
          </w:tcPr>
          <w:p w14:paraId="2674CB23">
            <w:pPr>
              <w:jc w:val="center"/>
              <w:rPr>
                <w:rFonts w:hint="eastAsia" w:ascii="宋体" w:hAnsi="宋体" w:cs="宋体"/>
                <w:color w:val="auto"/>
                <w:szCs w:val="21"/>
                <w:highlight w:val="none"/>
              </w:rPr>
            </w:pPr>
          </w:p>
        </w:tc>
        <w:tc>
          <w:tcPr>
            <w:tcW w:w="1124" w:type="dxa"/>
            <w:noWrap w:val="0"/>
            <w:vAlign w:val="center"/>
          </w:tcPr>
          <w:p w14:paraId="4C4F26E9">
            <w:pPr>
              <w:jc w:val="center"/>
              <w:rPr>
                <w:rFonts w:hint="eastAsia" w:ascii="宋体" w:hAnsi="宋体" w:cs="宋体"/>
                <w:color w:val="auto"/>
                <w:szCs w:val="21"/>
                <w:highlight w:val="none"/>
              </w:rPr>
            </w:pPr>
          </w:p>
        </w:tc>
        <w:tc>
          <w:tcPr>
            <w:tcW w:w="567" w:type="dxa"/>
            <w:noWrap w:val="0"/>
            <w:vAlign w:val="center"/>
          </w:tcPr>
          <w:p w14:paraId="15A68D57">
            <w:pPr>
              <w:jc w:val="center"/>
              <w:rPr>
                <w:rFonts w:hint="eastAsia" w:ascii="宋体" w:hAnsi="宋体" w:cs="宋体"/>
                <w:color w:val="auto"/>
                <w:szCs w:val="21"/>
                <w:highlight w:val="none"/>
              </w:rPr>
            </w:pPr>
          </w:p>
        </w:tc>
        <w:tc>
          <w:tcPr>
            <w:tcW w:w="567" w:type="dxa"/>
            <w:noWrap w:val="0"/>
            <w:vAlign w:val="center"/>
          </w:tcPr>
          <w:p w14:paraId="7E455E0E">
            <w:pPr>
              <w:jc w:val="center"/>
              <w:rPr>
                <w:rFonts w:hint="eastAsia" w:ascii="宋体" w:hAnsi="宋体" w:cs="宋体"/>
                <w:color w:val="auto"/>
                <w:szCs w:val="21"/>
                <w:highlight w:val="none"/>
              </w:rPr>
            </w:pPr>
          </w:p>
        </w:tc>
        <w:tc>
          <w:tcPr>
            <w:tcW w:w="1134" w:type="dxa"/>
            <w:noWrap w:val="0"/>
            <w:vAlign w:val="center"/>
          </w:tcPr>
          <w:p w14:paraId="4FE6DB98">
            <w:pPr>
              <w:jc w:val="center"/>
              <w:rPr>
                <w:rFonts w:hint="eastAsia" w:ascii="宋体" w:hAnsi="宋体" w:cs="宋体"/>
                <w:color w:val="auto"/>
                <w:szCs w:val="21"/>
                <w:highlight w:val="none"/>
              </w:rPr>
            </w:pPr>
          </w:p>
        </w:tc>
        <w:tc>
          <w:tcPr>
            <w:tcW w:w="1050" w:type="dxa"/>
            <w:noWrap w:val="0"/>
            <w:vAlign w:val="center"/>
          </w:tcPr>
          <w:p w14:paraId="32F25CF2">
            <w:pPr>
              <w:jc w:val="center"/>
              <w:rPr>
                <w:rFonts w:hint="eastAsia" w:ascii="宋体" w:hAnsi="宋体" w:cs="宋体"/>
                <w:color w:val="auto"/>
                <w:szCs w:val="21"/>
                <w:highlight w:val="none"/>
              </w:rPr>
            </w:pPr>
          </w:p>
        </w:tc>
        <w:tc>
          <w:tcPr>
            <w:tcW w:w="934" w:type="dxa"/>
            <w:noWrap w:val="0"/>
            <w:vAlign w:val="center"/>
          </w:tcPr>
          <w:p w14:paraId="53BD1C12">
            <w:pPr>
              <w:jc w:val="center"/>
              <w:rPr>
                <w:rFonts w:hint="eastAsia" w:ascii="宋体" w:hAnsi="宋体" w:cs="宋体"/>
                <w:color w:val="auto"/>
                <w:szCs w:val="21"/>
                <w:highlight w:val="none"/>
              </w:rPr>
            </w:pPr>
          </w:p>
        </w:tc>
        <w:tc>
          <w:tcPr>
            <w:tcW w:w="1050" w:type="dxa"/>
            <w:noWrap w:val="0"/>
            <w:vAlign w:val="center"/>
          </w:tcPr>
          <w:p w14:paraId="618813B2">
            <w:pPr>
              <w:jc w:val="center"/>
              <w:rPr>
                <w:rFonts w:hint="eastAsia" w:ascii="宋体" w:hAnsi="宋体" w:cs="宋体"/>
                <w:color w:val="auto"/>
                <w:szCs w:val="21"/>
                <w:highlight w:val="none"/>
              </w:rPr>
            </w:pPr>
          </w:p>
        </w:tc>
        <w:tc>
          <w:tcPr>
            <w:tcW w:w="651" w:type="dxa"/>
            <w:noWrap w:val="0"/>
            <w:vAlign w:val="center"/>
          </w:tcPr>
          <w:p w14:paraId="11526D0A">
            <w:pPr>
              <w:jc w:val="center"/>
              <w:rPr>
                <w:rFonts w:hint="eastAsia" w:ascii="宋体" w:hAnsi="宋体" w:cs="宋体"/>
                <w:color w:val="auto"/>
                <w:szCs w:val="21"/>
                <w:highlight w:val="none"/>
              </w:rPr>
            </w:pPr>
          </w:p>
        </w:tc>
        <w:tc>
          <w:tcPr>
            <w:tcW w:w="709" w:type="dxa"/>
            <w:noWrap w:val="0"/>
            <w:vAlign w:val="center"/>
          </w:tcPr>
          <w:p w14:paraId="1B40DB89">
            <w:pPr>
              <w:jc w:val="center"/>
              <w:rPr>
                <w:rFonts w:hint="eastAsia" w:ascii="宋体" w:hAnsi="宋体" w:cs="宋体"/>
                <w:color w:val="auto"/>
                <w:szCs w:val="21"/>
                <w:highlight w:val="none"/>
              </w:rPr>
            </w:pPr>
          </w:p>
        </w:tc>
        <w:tc>
          <w:tcPr>
            <w:tcW w:w="992" w:type="dxa"/>
            <w:noWrap w:val="0"/>
            <w:vAlign w:val="center"/>
          </w:tcPr>
          <w:p w14:paraId="1944D5FA">
            <w:pPr>
              <w:jc w:val="center"/>
              <w:rPr>
                <w:rFonts w:hint="eastAsia" w:ascii="宋体" w:hAnsi="宋体" w:cs="宋体"/>
                <w:color w:val="auto"/>
                <w:szCs w:val="21"/>
                <w:highlight w:val="none"/>
              </w:rPr>
            </w:pPr>
          </w:p>
        </w:tc>
        <w:tc>
          <w:tcPr>
            <w:tcW w:w="993" w:type="dxa"/>
            <w:noWrap w:val="0"/>
            <w:vAlign w:val="center"/>
          </w:tcPr>
          <w:p w14:paraId="66DBCD9D">
            <w:pPr>
              <w:jc w:val="center"/>
              <w:rPr>
                <w:rFonts w:hint="eastAsia" w:ascii="宋体" w:hAnsi="宋体" w:cs="宋体"/>
                <w:color w:val="auto"/>
                <w:szCs w:val="21"/>
                <w:highlight w:val="none"/>
              </w:rPr>
            </w:pPr>
          </w:p>
        </w:tc>
        <w:tc>
          <w:tcPr>
            <w:tcW w:w="851" w:type="dxa"/>
            <w:noWrap w:val="0"/>
            <w:vAlign w:val="center"/>
          </w:tcPr>
          <w:p w14:paraId="0A44B841">
            <w:pPr>
              <w:jc w:val="center"/>
              <w:rPr>
                <w:rFonts w:hint="eastAsia" w:ascii="宋体" w:hAnsi="宋体" w:cs="宋体"/>
                <w:color w:val="auto"/>
                <w:szCs w:val="21"/>
                <w:highlight w:val="none"/>
              </w:rPr>
            </w:pPr>
          </w:p>
        </w:tc>
        <w:tc>
          <w:tcPr>
            <w:tcW w:w="850" w:type="dxa"/>
            <w:noWrap w:val="0"/>
            <w:vAlign w:val="center"/>
          </w:tcPr>
          <w:p w14:paraId="1F5140B5">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1C4BAC41">
            <w:pPr>
              <w:widowControl/>
              <w:adjustRightInd w:val="0"/>
              <w:snapToGrid w:val="0"/>
              <w:jc w:val="center"/>
              <w:rPr>
                <w:rFonts w:hint="eastAsia" w:ascii="宋体" w:hAnsi="宋体" w:cs="宋体"/>
                <w:color w:val="auto"/>
                <w:kern w:val="0"/>
                <w:szCs w:val="21"/>
                <w:highlight w:val="none"/>
              </w:rPr>
            </w:pPr>
          </w:p>
        </w:tc>
      </w:tr>
      <w:tr w14:paraId="455D5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453CAD02">
            <w:pPr>
              <w:widowControl/>
              <w:adjustRightInd w:val="0"/>
              <w:snapToGrid w:val="0"/>
              <w:jc w:val="center"/>
              <w:rPr>
                <w:rFonts w:hint="eastAsia" w:ascii="宋体" w:hAnsi="宋体" w:cs="宋体"/>
                <w:color w:val="auto"/>
                <w:kern w:val="0"/>
                <w:szCs w:val="21"/>
                <w:highlight w:val="none"/>
              </w:rPr>
            </w:pPr>
          </w:p>
        </w:tc>
        <w:tc>
          <w:tcPr>
            <w:tcW w:w="1156" w:type="dxa"/>
            <w:noWrap w:val="0"/>
            <w:vAlign w:val="center"/>
          </w:tcPr>
          <w:p w14:paraId="09F77723">
            <w:pPr>
              <w:widowControl/>
              <w:adjustRightInd w:val="0"/>
              <w:snapToGrid w:val="0"/>
              <w:jc w:val="center"/>
              <w:rPr>
                <w:rFonts w:hint="eastAsia" w:ascii="宋体" w:hAnsi="宋体" w:cs="宋体"/>
                <w:color w:val="auto"/>
                <w:kern w:val="0"/>
                <w:szCs w:val="21"/>
                <w:highlight w:val="none"/>
              </w:rPr>
            </w:pPr>
          </w:p>
        </w:tc>
        <w:tc>
          <w:tcPr>
            <w:tcW w:w="1124" w:type="dxa"/>
            <w:noWrap w:val="0"/>
            <w:vAlign w:val="center"/>
          </w:tcPr>
          <w:p w14:paraId="77B14B29">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28DCBB53">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10CF7501">
            <w:pPr>
              <w:widowControl/>
              <w:adjustRightInd w:val="0"/>
              <w:snapToGrid w:val="0"/>
              <w:jc w:val="center"/>
              <w:rPr>
                <w:rFonts w:hint="eastAsia" w:ascii="宋体" w:hAnsi="宋体" w:cs="宋体"/>
                <w:color w:val="auto"/>
                <w:kern w:val="0"/>
                <w:szCs w:val="21"/>
                <w:highlight w:val="none"/>
              </w:rPr>
            </w:pPr>
          </w:p>
        </w:tc>
        <w:tc>
          <w:tcPr>
            <w:tcW w:w="1134" w:type="dxa"/>
            <w:noWrap w:val="0"/>
            <w:vAlign w:val="center"/>
          </w:tcPr>
          <w:p w14:paraId="34726D38">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447701BF">
            <w:pPr>
              <w:widowControl/>
              <w:adjustRightInd w:val="0"/>
              <w:snapToGrid w:val="0"/>
              <w:jc w:val="center"/>
              <w:rPr>
                <w:rFonts w:hint="eastAsia" w:ascii="宋体" w:hAnsi="宋体" w:cs="宋体"/>
                <w:color w:val="auto"/>
                <w:kern w:val="0"/>
                <w:szCs w:val="21"/>
                <w:highlight w:val="none"/>
              </w:rPr>
            </w:pPr>
          </w:p>
        </w:tc>
        <w:tc>
          <w:tcPr>
            <w:tcW w:w="934" w:type="dxa"/>
            <w:noWrap w:val="0"/>
            <w:vAlign w:val="center"/>
          </w:tcPr>
          <w:p w14:paraId="38E4380F">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7A49C040">
            <w:pPr>
              <w:widowControl/>
              <w:adjustRightInd w:val="0"/>
              <w:snapToGrid w:val="0"/>
              <w:jc w:val="center"/>
              <w:rPr>
                <w:rFonts w:hint="eastAsia" w:ascii="宋体" w:hAnsi="宋体" w:cs="宋体"/>
                <w:color w:val="auto"/>
                <w:kern w:val="0"/>
                <w:szCs w:val="21"/>
                <w:highlight w:val="none"/>
              </w:rPr>
            </w:pPr>
          </w:p>
        </w:tc>
        <w:tc>
          <w:tcPr>
            <w:tcW w:w="651" w:type="dxa"/>
            <w:noWrap w:val="0"/>
            <w:vAlign w:val="center"/>
          </w:tcPr>
          <w:p w14:paraId="753A75F5">
            <w:pPr>
              <w:widowControl/>
              <w:adjustRightInd w:val="0"/>
              <w:snapToGrid w:val="0"/>
              <w:jc w:val="center"/>
              <w:rPr>
                <w:rFonts w:hint="eastAsia" w:ascii="宋体" w:hAnsi="宋体" w:cs="宋体"/>
                <w:color w:val="auto"/>
                <w:kern w:val="0"/>
                <w:szCs w:val="21"/>
                <w:highlight w:val="none"/>
              </w:rPr>
            </w:pPr>
          </w:p>
        </w:tc>
        <w:tc>
          <w:tcPr>
            <w:tcW w:w="709" w:type="dxa"/>
            <w:noWrap w:val="0"/>
            <w:vAlign w:val="center"/>
          </w:tcPr>
          <w:p w14:paraId="71173A29">
            <w:pPr>
              <w:widowControl/>
              <w:adjustRightInd w:val="0"/>
              <w:snapToGrid w:val="0"/>
              <w:jc w:val="center"/>
              <w:rPr>
                <w:rFonts w:hint="eastAsia" w:ascii="宋体" w:hAnsi="宋体" w:cs="宋体"/>
                <w:color w:val="auto"/>
                <w:kern w:val="0"/>
                <w:szCs w:val="21"/>
                <w:highlight w:val="none"/>
              </w:rPr>
            </w:pPr>
          </w:p>
        </w:tc>
        <w:tc>
          <w:tcPr>
            <w:tcW w:w="992" w:type="dxa"/>
            <w:noWrap w:val="0"/>
            <w:vAlign w:val="center"/>
          </w:tcPr>
          <w:p w14:paraId="2066FD84">
            <w:pPr>
              <w:widowControl/>
              <w:adjustRightInd w:val="0"/>
              <w:snapToGrid w:val="0"/>
              <w:jc w:val="center"/>
              <w:rPr>
                <w:rFonts w:hint="eastAsia" w:ascii="宋体" w:hAnsi="宋体" w:cs="宋体"/>
                <w:color w:val="auto"/>
                <w:kern w:val="0"/>
                <w:szCs w:val="21"/>
                <w:highlight w:val="none"/>
              </w:rPr>
            </w:pPr>
          </w:p>
        </w:tc>
        <w:tc>
          <w:tcPr>
            <w:tcW w:w="993" w:type="dxa"/>
            <w:noWrap w:val="0"/>
            <w:vAlign w:val="center"/>
          </w:tcPr>
          <w:p w14:paraId="58FDB827">
            <w:pPr>
              <w:widowControl/>
              <w:adjustRightInd w:val="0"/>
              <w:snapToGrid w:val="0"/>
              <w:jc w:val="center"/>
              <w:rPr>
                <w:rFonts w:hint="eastAsia" w:ascii="宋体" w:hAnsi="宋体" w:cs="宋体"/>
                <w:color w:val="auto"/>
                <w:kern w:val="0"/>
                <w:szCs w:val="21"/>
                <w:highlight w:val="none"/>
              </w:rPr>
            </w:pPr>
          </w:p>
        </w:tc>
        <w:tc>
          <w:tcPr>
            <w:tcW w:w="851" w:type="dxa"/>
            <w:noWrap w:val="0"/>
            <w:vAlign w:val="center"/>
          </w:tcPr>
          <w:p w14:paraId="689F0C12">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6BB8FAB4">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4D9658C6">
            <w:pPr>
              <w:widowControl/>
              <w:adjustRightInd w:val="0"/>
              <w:snapToGrid w:val="0"/>
              <w:jc w:val="center"/>
              <w:rPr>
                <w:rFonts w:hint="eastAsia" w:ascii="宋体" w:hAnsi="宋体" w:cs="宋体"/>
                <w:color w:val="auto"/>
                <w:kern w:val="0"/>
                <w:szCs w:val="21"/>
                <w:highlight w:val="none"/>
              </w:rPr>
            </w:pPr>
          </w:p>
        </w:tc>
      </w:tr>
      <w:tr w14:paraId="7AF4F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1238ADAA">
            <w:pPr>
              <w:widowControl/>
              <w:adjustRightInd w:val="0"/>
              <w:snapToGrid w:val="0"/>
              <w:jc w:val="center"/>
              <w:rPr>
                <w:rFonts w:hint="eastAsia" w:ascii="宋体" w:hAnsi="宋体" w:cs="宋体"/>
                <w:color w:val="auto"/>
                <w:kern w:val="0"/>
                <w:szCs w:val="21"/>
                <w:highlight w:val="none"/>
              </w:rPr>
            </w:pPr>
          </w:p>
        </w:tc>
        <w:tc>
          <w:tcPr>
            <w:tcW w:w="1156" w:type="dxa"/>
            <w:noWrap w:val="0"/>
            <w:vAlign w:val="center"/>
          </w:tcPr>
          <w:p w14:paraId="1D05045C">
            <w:pPr>
              <w:widowControl/>
              <w:adjustRightInd w:val="0"/>
              <w:snapToGrid w:val="0"/>
              <w:jc w:val="center"/>
              <w:rPr>
                <w:rFonts w:hint="eastAsia" w:ascii="宋体" w:hAnsi="宋体" w:cs="宋体"/>
                <w:color w:val="auto"/>
                <w:kern w:val="0"/>
                <w:szCs w:val="21"/>
                <w:highlight w:val="none"/>
              </w:rPr>
            </w:pPr>
          </w:p>
        </w:tc>
        <w:tc>
          <w:tcPr>
            <w:tcW w:w="1124" w:type="dxa"/>
            <w:noWrap w:val="0"/>
            <w:vAlign w:val="center"/>
          </w:tcPr>
          <w:p w14:paraId="7C67EBB7">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6E208A02">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6CCE53E7">
            <w:pPr>
              <w:widowControl/>
              <w:adjustRightInd w:val="0"/>
              <w:snapToGrid w:val="0"/>
              <w:jc w:val="center"/>
              <w:rPr>
                <w:rFonts w:hint="eastAsia" w:ascii="宋体" w:hAnsi="宋体" w:cs="宋体"/>
                <w:color w:val="auto"/>
                <w:kern w:val="0"/>
                <w:szCs w:val="21"/>
                <w:highlight w:val="none"/>
              </w:rPr>
            </w:pPr>
          </w:p>
        </w:tc>
        <w:tc>
          <w:tcPr>
            <w:tcW w:w="1134" w:type="dxa"/>
            <w:noWrap w:val="0"/>
            <w:vAlign w:val="center"/>
          </w:tcPr>
          <w:p w14:paraId="79FDD022">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583F682D">
            <w:pPr>
              <w:widowControl/>
              <w:adjustRightInd w:val="0"/>
              <w:snapToGrid w:val="0"/>
              <w:jc w:val="center"/>
              <w:rPr>
                <w:rFonts w:hint="eastAsia" w:ascii="宋体" w:hAnsi="宋体" w:cs="宋体"/>
                <w:color w:val="auto"/>
                <w:kern w:val="0"/>
                <w:szCs w:val="21"/>
                <w:highlight w:val="none"/>
              </w:rPr>
            </w:pPr>
          </w:p>
        </w:tc>
        <w:tc>
          <w:tcPr>
            <w:tcW w:w="934" w:type="dxa"/>
            <w:noWrap w:val="0"/>
            <w:vAlign w:val="center"/>
          </w:tcPr>
          <w:p w14:paraId="4C2AB30B">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42D9B396">
            <w:pPr>
              <w:widowControl/>
              <w:adjustRightInd w:val="0"/>
              <w:snapToGrid w:val="0"/>
              <w:jc w:val="center"/>
              <w:rPr>
                <w:rFonts w:hint="eastAsia" w:ascii="宋体" w:hAnsi="宋体" w:cs="宋体"/>
                <w:color w:val="auto"/>
                <w:kern w:val="0"/>
                <w:szCs w:val="21"/>
                <w:highlight w:val="none"/>
              </w:rPr>
            </w:pPr>
          </w:p>
        </w:tc>
        <w:tc>
          <w:tcPr>
            <w:tcW w:w="651" w:type="dxa"/>
            <w:noWrap w:val="0"/>
            <w:vAlign w:val="center"/>
          </w:tcPr>
          <w:p w14:paraId="1F62CFCB">
            <w:pPr>
              <w:widowControl/>
              <w:adjustRightInd w:val="0"/>
              <w:snapToGrid w:val="0"/>
              <w:jc w:val="center"/>
              <w:rPr>
                <w:rFonts w:hint="eastAsia" w:ascii="宋体" w:hAnsi="宋体" w:cs="宋体"/>
                <w:color w:val="auto"/>
                <w:kern w:val="0"/>
                <w:szCs w:val="21"/>
                <w:highlight w:val="none"/>
              </w:rPr>
            </w:pPr>
          </w:p>
        </w:tc>
        <w:tc>
          <w:tcPr>
            <w:tcW w:w="709" w:type="dxa"/>
            <w:noWrap w:val="0"/>
            <w:vAlign w:val="center"/>
          </w:tcPr>
          <w:p w14:paraId="203A4D62">
            <w:pPr>
              <w:widowControl/>
              <w:adjustRightInd w:val="0"/>
              <w:snapToGrid w:val="0"/>
              <w:jc w:val="center"/>
              <w:rPr>
                <w:rFonts w:hint="eastAsia" w:ascii="宋体" w:hAnsi="宋体" w:cs="宋体"/>
                <w:color w:val="auto"/>
                <w:kern w:val="0"/>
                <w:szCs w:val="21"/>
                <w:highlight w:val="none"/>
              </w:rPr>
            </w:pPr>
          </w:p>
        </w:tc>
        <w:tc>
          <w:tcPr>
            <w:tcW w:w="992" w:type="dxa"/>
            <w:noWrap w:val="0"/>
            <w:vAlign w:val="center"/>
          </w:tcPr>
          <w:p w14:paraId="58E7E70E">
            <w:pPr>
              <w:widowControl/>
              <w:adjustRightInd w:val="0"/>
              <w:snapToGrid w:val="0"/>
              <w:jc w:val="center"/>
              <w:rPr>
                <w:rFonts w:hint="eastAsia" w:ascii="宋体" w:hAnsi="宋体" w:cs="宋体"/>
                <w:color w:val="auto"/>
                <w:kern w:val="0"/>
                <w:szCs w:val="21"/>
                <w:highlight w:val="none"/>
              </w:rPr>
            </w:pPr>
          </w:p>
        </w:tc>
        <w:tc>
          <w:tcPr>
            <w:tcW w:w="993" w:type="dxa"/>
            <w:noWrap w:val="0"/>
            <w:vAlign w:val="center"/>
          </w:tcPr>
          <w:p w14:paraId="0E39D551">
            <w:pPr>
              <w:widowControl/>
              <w:adjustRightInd w:val="0"/>
              <w:snapToGrid w:val="0"/>
              <w:jc w:val="center"/>
              <w:rPr>
                <w:rFonts w:hint="eastAsia" w:ascii="宋体" w:hAnsi="宋体" w:cs="宋体"/>
                <w:color w:val="auto"/>
                <w:kern w:val="0"/>
                <w:szCs w:val="21"/>
                <w:highlight w:val="none"/>
              </w:rPr>
            </w:pPr>
          </w:p>
        </w:tc>
        <w:tc>
          <w:tcPr>
            <w:tcW w:w="851" w:type="dxa"/>
            <w:noWrap w:val="0"/>
            <w:vAlign w:val="center"/>
          </w:tcPr>
          <w:p w14:paraId="396C726E">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1B375828">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1D23F838">
            <w:pPr>
              <w:widowControl/>
              <w:adjustRightInd w:val="0"/>
              <w:snapToGrid w:val="0"/>
              <w:jc w:val="center"/>
              <w:rPr>
                <w:rFonts w:hint="eastAsia" w:ascii="宋体" w:hAnsi="宋体" w:cs="宋体"/>
                <w:color w:val="auto"/>
                <w:kern w:val="0"/>
                <w:szCs w:val="21"/>
                <w:highlight w:val="none"/>
              </w:rPr>
            </w:pPr>
          </w:p>
        </w:tc>
      </w:tr>
      <w:tr w14:paraId="485F1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738" w:type="dxa"/>
            <w:noWrap w:val="0"/>
            <w:vAlign w:val="center"/>
          </w:tcPr>
          <w:p w14:paraId="513A2AC1">
            <w:pPr>
              <w:widowControl/>
              <w:adjustRightInd w:val="0"/>
              <w:snapToGrid w:val="0"/>
              <w:jc w:val="center"/>
              <w:rPr>
                <w:rFonts w:hint="eastAsia" w:ascii="宋体" w:hAnsi="宋体" w:cs="宋体"/>
                <w:color w:val="auto"/>
                <w:kern w:val="0"/>
                <w:szCs w:val="21"/>
                <w:highlight w:val="none"/>
              </w:rPr>
            </w:pPr>
          </w:p>
        </w:tc>
        <w:tc>
          <w:tcPr>
            <w:tcW w:w="1156" w:type="dxa"/>
            <w:noWrap w:val="0"/>
            <w:vAlign w:val="center"/>
          </w:tcPr>
          <w:p w14:paraId="6BFAE9AA">
            <w:pPr>
              <w:widowControl/>
              <w:adjustRightInd w:val="0"/>
              <w:snapToGrid w:val="0"/>
              <w:jc w:val="center"/>
              <w:rPr>
                <w:rFonts w:hint="eastAsia" w:ascii="宋体" w:hAnsi="宋体" w:cs="宋体"/>
                <w:color w:val="auto"/>
                <w:kern w:val="0"/>
                <w:szCs w:val="21"/>
                <w:highlight w:val="none"/>
              </w:rPr>
            </w:pPr>
          </w:p>
        </w:tc>
        <w:tc>
          <w:tcPr>
            <w:tcW w:w="1124" w:type="dxa"/>
            <w:noWrap w:val="0"/>
            <w:vAlign w:val="center"/>
          </w:tcPr>
          <w:p w14:paraId="0467A7F4">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5D0510DB">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43A4A0B3">
            <w:pPr>
              <w:widowControl/>
              <w:adjustRightInd w:val="0"/>
              <w:snapToGrid w:val="0"/>
              <w:jc w:val="center"/>
              <w:rPr>
                <w:rFonts w:hint="eastAsia" w:ascii="宋体" w:hAnsi="宋体" w:cs="宋体"/>
                <w:color w:val="auto"/>
                <w:kern w:val="0"/>
                <w:szCs w:val="21"/>
                <w:highlight w:val="none"/>
              </w:rPr>
            </w:pPr>
          </w:p>
        </w:tc>
        <w:tc>
          <w:tcPr>
            <w:tcW w:w="1134" w:type="dxa"/>
            <w:noWrap w:val="0"/>
            <w:vAlign w:val="center"/>
          </w:tcPr>
          <w:p w14:paraId="5C572E82">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55E7D816">
            <w:pPr>
              <w:widowControl/>
              <w:adjustRightInd w:val="0"/>
              <w:snapToGrid w:val="0"/>
              <w:jc w:val="center"/>
              <w:rPr>
                <w:rFonts w:hint="eastAsia" w:ascii="宋体" w:hAnsi="宋体" w:cs="宋体"/>
                <w:color w:val="auto"/>
                <w:kern w:val="0"/>
                <w:szCs w:val="21"/>
                <w:highlight w:val="none"/>
              </w:rPr>
            </w:pPr>
          </w:p>
        </w:tc>
        <w:tc>
          <w:tcPr>
            <w:tcW w:w="934" w:type="dxa"/>
            <w:noWrap w:val="0"/>
            <w:vAlign w:val="center"/>
          </w:tcPr>
          <w:p w14:paraId="7295200B">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3D550760">
            <w:pPr>
              <w:widowControl/>
              <w:adjustRightInd w:val="0"/>
              <w:snapToGrid w:val="0"/>
              <w:jc w:val="center"/>
              <w:rPr>
                <w:rFonts w:hint="eastAsia" w:ascii="宋体" w:hAnsi="宋体" w:cs="宋体"/>
                <w:color w:val="auto"/>
                <w:kern w:val="0"/>
                <w:szCs w:val="21"/>
                <w:highlight w:val="none"/>
              </w:rPr>
            </w:pPr>
          </w:p>
        </w:tc>
        <w:tc>
          <w:tcPr>
            <w:tcW w:w="651" w:type="dxa"/>
            <w:noWrap w:val="0"/>
            <w:vAlign w:val="center"/>
          </w:tcPr>
          <w:p w14:paraId="6AAE0186">
            <w:pPr>
              <w:widowControl/>
              <w:adjustRightInd w:val="0"/>
              <w:snapToGrid w:val="0"/>
              <w:jc w:val="center"/>
              <w:rPr>
                <w:rFonts w:hint="eastAsia" w:ascii="宋体" w:hAnsi="宋体" w:cs="宋体"/>
                <w:color w:val="auto"/>
                <w:kern w:val="0"/>
                <w:szCs w:val="21"/>
                <w:highlight w:val="none"/>
              </w:rPr>
            </w:pPr>
          </w:p>
        </w:tc>
        <w:tc>
          <w:tcPr>
            <w:tcW w:w="709" w:type="dxa"/>
            <w:noWrap w:val="0"/>
            <w:vAlign w:val="center"/>
          </w:tcPr>
          <w:p w14:paraId="1A5F9C72">
            <w:pPr>
              <w:widowControl/>
              <w:adjustRightInd w:val="0"/>
              <w:snapToGrid w:val="0"/>
              <w:jc w:val="center"/>
              <w:rPr>
                <w:rFonts w:hint="eastAsia" w:ascii="宋体" w:hAnsi="宋体" w:cs="宋体"/>
                <w:color w:val="auto"/>
                <w:kern w:val="0"/>
                <w:szCs w:val="21"/>
                <w:highlight w:val="none"/>
              </w:rPr>
            </w:pPr>
          </w:p>
        </w:tc>
        <w:tc>
          <w:tcPr>
            <w:tcW w:w="992" w:type="dxa"/>
            <w:noWrap w:val="0"/>
            <w:vAlign w:val="center"/>
          </w:tcPr>
          <w:p w14:paraId="5BD68FAE">
            <w:pPr>
              <w:widowControl/>
              <w:adjustRightInd w:val="0"/>
              <w:snapToGrid w:val="0"/>
              <w:jc w:val="center"/>
              <w:rPr>
                <w:rFonts w:hint="eastAsia" w:ascii="宋体" w:hAnsi="宋体" w:cs="宋体"/>
                <w:color w:val="auto"/>
                <w:kern w:val="0"/>
                <w:szCs w:val="21"/>
                <w:highlight w:val="none"/>
              </w:rPr>
            </w:pPr>
          </w:p>
        </w:tc>
        <w:tc>
          <w:tcPr>
            <w:tcW w:w="993" w:type="dxa"/>
            <w:noWrap w:val="0"/>
            <w:vAlign w:val="center"/>
          </w:tcPr>
          <w:p w14:paraId="45CC554B">
            <w:pPr>
              <w:widowControl/>
              <w:adjustRightInd w:val="0"/>
              <w:snapToGrid w:val="0"/>
              <w:jc w:val="center"/>
              <w:rPr>
                <w:rFonts w:hint="eastAsia" w:ascii="宋体" w:hAnsi="宋体" w:cs="宋体"/>
                <w:color w:val="auto"/>
                <w:kern w:val="0"/>
                <w:szCs w:val="21"/>
                <w:highlight w:val="none"/>
              </w:rPr>
            </w:pPr>
          </w:p>
        </w:tc>
        <w:tc>
          <w:tcPr>
            <w:tcW w:w="851" w:type="dxa"/>
            <w:noWrap w:val="0"/>
            <w:vAlign w:val="center"/>
          </w:tcPr>
          <w:p w14:paraId="7F37D64F">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42098528">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632B49CB">
            <w:pPr>
              <w:widowControl/>
              <w:adjustRightInd w:val="0"/>
              <w:snapToGrid w:val="0"/>
              <w:jc w:val="center"/>
              <w:rPr>
                <w:rFonts w:hint="eastAsia" w:ascii="宋体" w:hAnsi="宋体" w:cs="宋体"/>
                <w:color w:val="auto"/>
                <w:kern w:val="0"/>
                <w:szCs w:val="21"/>
                <w:highlight w:val="none"/>
              </w:rPr>
            </w:pPr>
          </w:p>
        </w:tc>
      </w:tr>
      <w:tr w14:paraId="4B1F6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0E393DE7">
            <w:pPr>
              <w:widowControl/>
              <w:adjustRightInd w:val="0"/>
              <w:snapToGrid w:val="0"/>
              <w:jc w:val="center"/>
              <w:rPr>
                <w:rFonts w:hint="eastAsia" w:ascii="宋体" w:hAnsi="宋体" w:cs="宋体"/>
                <w:color w:val="auto"/>
                <w:kern w:val="0"/>
                <w:szCs w:val="21"/>
                <w:highlight w:val="none"/>
              </w:rPr>
            </w:pPr>
          </w:p>
        </w:tc>
        <w:tc>
          <w:tcPr>
            <w:tcW w:w="1156" w:type="dxa"/>
            <w:noWrap w:val="0"/>
            <w:vAlign w:val="center"/>
          </w:tcPr>
          <w:p w14:paraId="460F53F9">
            <w:pPr>
              <w:widowControl/>
              <w:adjustRightInd w:val="0"/>
              <w:snapToGrid w:val="0"/>
              <w:jc w:val="center"/>
              <w:rPr>
                <w:rFonts w:hint="eastAsia" w:ascii="宋体" w:hAnsi="宋体" w:cs="宋体"/>
                <w:color w:val="auto"/>
                <w:kern w:val="0"/>
                <w:szCs w:val="21"/>
                <w:highlight w:val="none"/>
              </w:rPr>
            </w:pPr>
          </w:p>
        </w:tc>
        <w:tc>
          <w:tcPr>
            <w:tcW w:w="1124" w:type="dxa"/>
            <w:noWrap w:val="0"/>
            <w:vAlign w:val="center"/>
          </w:tcPr>
          <w:p w14:paraId="059C7970">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2816D203">
            <w:pPr>
              <w:widowControl/>
              <w:adjustRightInd w:val="0"/>
              <w:snapToGrid w:val="0"/>
              <w:jc w:val="center"/>
              <w:rPr>
                <w:rFonts w:hint="eastAsia" w:ascii="宋体" w:hAnsi="宋体" w:cs="宋体"/>
                <w:color w:val="auto"/>
                <w:kern w:val="0"/>
                <w:szCs w:val="21"/>
                <w:highlight w:val="none"/>
              </w:rPr>
            </w:pPr>
          </w:p>
        </w:tc>
        <w:tc>
          <w:tcPr>
            <w:tcW w:w="567" w:type="dxa"/>
            <w:noWrap w:val="0"/>
            <w:vAlign w:val="center"/>
          </w:tcPr>
          <w:p w14:paraId="13959F3E">
            <w:pPr>
              <w:widowControl/>
              <w:adjustRightInd w:val="0"/>
              <w:snapToGrid w:val="0"/>
              <w:jc w:val="center"/>
              <w:rPr>
                <w:rFonts w:hint="eastAsia" w:ascii="宋体" w:hAnsi="宋体" w:cs="宋体"/>
                <w:color w:val="auto"/>
                <w:kern w:val="0"/>
                <w:szCs w:val="21"/>
                <w:highlight w:val="none"/>
              </w:rPr>
            </w:pPr>
          </w:p>
        </w:tc>
        <w:tc>
          <w:tcPr>
            <w:tcW w:w="1134" w:type="dxa"/>
            <w:noWrap w:val="0"/>
            <w:vAlign w:val="center"/>
          </w:tcPr>
          <w:p w14:paraId="6177F33F">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5FE5E67C">
            <w:pPr>
              <w:widowControl/>
              <w:adjustRightInd w:val="0"/>
              <w:snapToGrid w:val="0"/>
              <w:jc w:val="center"/>
              <w:rPr>
                <w:rFonts w:hint="eastAsia" w:ascii="宋体" w:hAnsi="宋体" w:cs="宋体"/>
                <w:color w:val="auto"/>
                <w:kern w:val="0"/>
                <w:szCs w:val="21"/>
                <w:highlight w:val="none"/>
              </w:rPr>
            </w:pPr>
          </w:p>
        </w:tc>
        <w:tc>
          <w:tcPr>
            <w:tcW w:w="934" w:type="dxa"/>
            <w:noWrap w:val="0"/>
            <w:vAlign w:val="center"/>
          </w:tcPr>
          <w:p w14:paraId="1E825590">
            <w:pPr>
              <w:widowControl/>
              <w:adjustRightInd w:val="0"/>
              <w:snapToGrid w:val="0"/>
              <w:jc w:val="center"/>
              <w:rPr>
                <w:rFonts w:hint="eastAsia" w:ascii="宋体" w:hAnsi="宋体" w:cs="宋体"/>
                <w:color w:val="auto"/>
                <w:kern w:val="0"/>
                <w:szCs w:val="21"/>
                <w:highlight w:val="none"/>
              </w:rPr>
            </w:pPr>
          </w:p>
        </w:tc>
        <w:tc>
          <w:tcPr>
            <w:tcW w:w="1050" w:type="dxa"/>
            <w:noWrap w:val="0"/>
            <w:vAlign w:val="center"/>
          </w:tcPr>
          <w:p w14:paraId="5DB34329">
            <w:pPr>
              <w:widowControl/>
              <w:adjustRightInd w:val="0"/>
              <w:snapToGrid w:val="0"/>
              <w:jc w:val="center"/>
              <w:rPr>
                <w:rFonts w:hint="eastAsia" w:ascii="宋体" w:hAnsi="宋体" w:cs="宋体"/>
                <w:color w:val="auto"/>
                <w:kern w:val="0"/>
                <w:szCs w:val="21"/>
                <w:highlight w:val="none"/>
              </w:rPr>
            </w:pPr>
          </w:p>
        </w:tc>
        <w:tc>
          <w:tcPr>
            <w:tcW w:w="651" w:type="dxa"/>
            <w:noWrap w:val="0"/>
            <w:vAlign w:val="center"/>
          </w:tcPr>
          <w:p w14:paraId="065897AA">
            <w:pPr>
              <w:widowControl/>
              <w:adjustRightInd w:val="0"/>
              <w:snapToGrid w:val="0"/>
              <w:jc w:val="center"/>
              <w:rPr>
                <w:rFonts w:hint="eastAsia" w:ascii="宋体" w:hAnsi="宋体" w:cs="宋体"/>
                <w:color w:val="auto"/>
                <w:kern w:val="0"/>
                <w:szCs w:val="21"/>
                <w:highlight w:val="none"/>
              </w:rPr>
            </w:pPr>
          </w:p>
        </w:tc>
        <w:tc>
          <w:tcPr>
            <w:tcW w:w="709" w:type="dxa"/>
            <w:noWrap w:val="0"/>
            <w:vAlign w:val="center"/>
          </w:tcPr>
          <w:p w14:paraId="69CE1165">
            <w:pPr>
              <w:widowControl/>
              <w:adjustRightInd w:val="0"/>
              <w:snapToGrid w:val="0"/>
              <w:jc w:val="center"/>
              <w:rPr>
                <w:rFonts w:hint="eastAsia" w:ascii="宋体" w:hAnsi="宋体" w:cs="宋体"/>
                <w:color w:val="auto"/>
                <w:kern w:val="0"/>
                <w:szCs w:val="21"/>
                <w:highlight w:val="none"/>
              </w:rPr>
            </w:pPr>
          </w:p>
        </w:tc>
        <w:tc>
          <w:tcPr>
            <w:tcW w:w="992" w:type="dxa"/>
            <w:noWrap w:val="0"/>
            <w:vAlign w:val="center"/>
          </w:tcPr>
          <w:p w14:paraId="567A9207">
            <w:pPr>
              <w:widowControl/>
              <w:adjustRightInd w:val="0"/>
              <w:snapToGrid w:val="0"/>
              <w:jc w:val="center"/>
              <w:rPr>
                <w:rFonts w:hint="eastAsia" w:ascii="宋体" w:hAnsi="宋体" w:cs="宋体"/>
                <w:color w:val="auto"/>
                <w:kern w:val="0"/>
                <w:szCs w:val="21"/>
                <w:highlight w:val="none"/>
              </w:rPr>
            </w:pPr>
          </w:p>
        </w:tc>
        <w:tc>
          <w:tcPr>
            <w:tcW w:w="993" w:type="dxa"/>
            <w:noWrap w:val="0"/>
            <w:vAlign w:val="center"/>
          </w:tcPr>
          <w:p w14:paraId="35F006D9">
            <w:pPr>
              <w:widowControl/>
              <w:adjustRightInd w:val="0"/>
              <w:snapToGrid w:val="0"/>
              <w:jc w:val="center"/>
              <w:rPr>
                <w:rFonts w:hint="eastAsia" w:ascii="宋体" w:hAnsi="宋体" w:cs="宋体"/>
                <w:color w:val="auto"/>
                <w:kern w:val="0"/>
                <w:szCs w:val="21"/>
                <w:highlight w:val="none"/>
              </w:rPr>
            </w:pPr>
          </w:p>
        </w:tc>
        <w:tc>
          <w:tcPr>
            <w:tcW w:w="851" w:type="dxa"/>
            <w:noWrap w:val="0"/>
            <w:vAlign w:val="center"/>
          </w:tcPr>
          <w:p w14:paraId="051D0557">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7817A0B5">
            <w:pPr>
              <w:widowControl/>
              <w:adjustRightInd w:val="0"/>
              <w:snapToGrid w:val="0"/>
              <w:jc w:val="center"/>
              <w:rPr>
                <w:rFonts w:hint="eastAsia" w:ascii="宋体" w:hAnsi="宋体" w:cs="宋体"/>
                <w:color w:val="auto"/>
                <w:kern w:val="0"/>
                <w:szCs w:val="21"/>
                <w:highlight w:val="none"/>
              </w:rPr>
            </w:pPr>
          </w:p>
        </w:tc>
        <w:tc>
          <w:tcPr>
            <w:tcW w:w="850" w:type="dxa"/>
            <w:noWrap w:val="0"/>
            <w:vAlign w:val="center"/>
          </w:tcPr>
          <w:p w14:paraId="503A4DA0">
            <w:pPr>
              <w:widowControl/>
              <w:adjustRightInd w:val="0"/>
              <w:snapToGrid w:val="0"/>
              <w:jc w:val="center"/>
              <w:rPr>
                <w:rFonts w:hint="eastAsia" w:ascii="宋体" w:hAnsi="宋体" w:cs="宋体"/>
                <w:color w:val="auto"/>
                <w:kern w:val="0"/>
                <w:szCs w:val="21"/>
                <w:highlight w:val="none"/>
              </w:rPr>
            </w:pPr>
          </w:p>
        </w:tc>
      </w:tr>
      <w:tr w14:paraId="65018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9680" w:type="dxa"/>
            <w:gridSpan w:val="11"/>
            <w:noWrap w:val="0"/>
            <w:vAlign w:val="center"/>
          </w:tcPr>
          <w:p w14:paraId="5D03622C">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w:t>
            </w:r>
          </w:p>
        </w:tc>
        <w:tc>
          <w:tcPr>
            <w:tcW w:w="992" w:type="dxa"/>
            <w:noWrap w:val="0"/>
            <w:vAlign w:val="center"/>
          </w:tcPr>
          <w:p w14:paraId="68BB6C3E">
            <w:pPr>
              <w:widowControl/>
              <w:adjustRightInd w:val="0"/>
              <w:snapToGrid w:val="0"/>
              <w:jc w:val="center"/>
              <w:rPr>
                <w:rFonts w:hint="eastAsia" w:ascii="宋体" w:hAnsi="宋体" w:cs="宋体"/>
                <w:color w:val="auto"/>
                <w:kern w:val="0"/>
                <w:szCs w:val="21"/>
                <w:highlight w:val="none"/>
              </w:rPr>
            </w:pPr>
          </w:p>
        </w:tc>
        <w:tc>
          <w:tcPr>
            <w:tcW w:w="3544" w:type="dxa"/>
            <w:gridSpan w:val="4"/>
            <w:noWrap w:val="0"/>
            <w:vAlign w:val="center"/>
          </w:tcPr>
          <w:p w14:paraId="22DEC30F">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bl>
    <w:p w14:paraId="000047F6">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33C9925">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1.“单价”系指货物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生产、包装、运输、保险、装卸（至指定地点）、安装（招标文件要求报价）、调试、检验、试运行、技术服务、培训等所有应由投标人承担的各项费用及税金。</w:t>
      </w:r>
    </w:p>
    <w:p w14:paraId="437F33F3">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2.投标总价=分项报价表合计+质保期内备件及易损件分项报价表合计+专用工具分项报价表合计。</w:t>
      </w:r>
    </w:p>
    <w:p w14:paraId="64223B7E">
      <w:pPr>
        <w:widowControl/>
        <w:spacing w:line="200" w:lineRule="atLeas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p w14:paraId="60BA8A00">
      <w:pPr>
        <w:widowControl/>
        <w:spacing w:line="200" w:lineRule="atLeast"/>
        <w:rPr>
          <w:rFonts w:hint="eastAsia" w:ascii="宋体" w:hAnsi="宋体" w:cs="宋体"/>
          <w:color w:val="auto"/>
          <w:kern w:val="0"/>
          <w:sz w:val="20"/>
          <w:szCs w:val="20"/>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286" w:charSpace="0"/>
        </w:sectPr>
      </w:pPr>
      <w:r>
        <w:rPr>
          <w:rFonts w:hint="eastAsia" w:ascii="宋体" w:hAnsi="宋体" w:cs="宋体"/>
          <w:color w:val="auto"/>
          <w:kern w:val="0"/>
          <w:sz w:val="20"/>
          <w:szCs w:val="20"/>
          <w:highlight w:val="none"/>
        </w:rPr>
        <w:t xml:space="preserve"> </w:t>
      </w:r>
    </w:p>
    <w:p w14:paraId="464EC43C">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spacing w:val="12"/>
          <w:kern w:val="0"/>
          <w:sz w:val="28"/>
          <w:szCs w:val="28"/>
          <w:highlight w:val="none"/>
        </w:rPr>
        <w:t>表3-2  质保期内备件及易损件</w:t>
      </w:r>
      <w:r>
        <w:rPr>
          <w:rFonts w:hint="eastAsia" w:ascii="宋体" w:hAnsi="宋体" w:cs="宋体"/>
          <w:color w:val="auto"/>
          <w:kern w:val="0"/>
          <w:sz w:val="28"/>
          <w:szCs w:val="28"/>
          <w:highlight w:val="none"/>
        </w:rPr>
        <w:t>分项报价表</w:t>
      </w:r>
    </w:p>
    <w:p w14:paraId="15AC857E">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17"/>
        <w:tblW w:w="14358" w:type="dxa"/>
        <w:tblInd w:w="209" w:type="dxa"/>
        <w:tblLayout w:type="fixed"/>
        <w:tblCellMar>
          <w:top w:w="0" w:type="dxa"/>
          <w:left w:w="108" w:type="dxa"/>
          <w:bottom w:w="0" w:type="dxa"/>
          <w:right w:w="108" w:type="dxa"/>
        </w:tblCellMar>
      </w:tblPr>
      <w:tblGrid>
        <w:gridCol w:w="738"/>
        <w:gridCol w:w="1156"/>
        <w:gridCol w:w="1124"/>
        <w:gridCol w:w="944"/>
        <w:gridCol w:w="736"/>
        <w:gridCol w:w="1574"/>
        <w:gridCol w:w="1050"/>
        <w:gridCol w:w="1508"/>
        <w:gridCol w:w="992"/>
        <w:gridCol w:w="1134"/>
        <w:gridCol w:w="1701"/>
        <w:gridCol w:w="1701"/>
      </w:tblGrid>
      <w:tr w14:paraId="27F49B6D">
        <w:tblPrEx>
          <w:tblCellMar>
            <w:top w:w="0" w:type="dxa"/>
            <w:left w:w="108" w:type="dxa"/>
            <w:bottom w:w="0" w:type="dxa"/>
            <w:right w:w="108" w:type="dxa"/>
          </w:tblCellMar>
        </w:tblPrEx>
        <w:trPr>
          <w:trHeight w:val="5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516C74B4">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tcBorders>
              <w:top w:val="single" w:color="000000" w:sz="4" w:space="0"/>
              <w:left w:val="nil"/>
              <w:bottom w:val="single" w:color="000000" w:sz="4" w:space="0"/>
              <w:right w:val="single" w:color="000000" w:sz="4" w:space="0"/>
            </w:tcBorders>
            <w:noWrap w:val="0"/>
            <w:vAlign w:val="center"/>
          </w:tcPr>
          <w:p w14:paraId="61256A59">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名称</w:t>
            </w:r>
          </w:p>
        </w:tc>
        <w:tc>
          <w:tcPr>
            <w:tcW w:w="1124" w:type="dxa"/>
            <w:tcBorders>
              <w:top w:val="single" w:color="000000" w:sz="4" w:space="0"/>
              <w:left w:val="nil"/>
              <w:bottom w:val="single" w:color="000000" w:sz="4" w:space="0"/>
              <w:right w:val="single" w:color="000000" w:sz="4" w:space="0"/>
            </w:tcBorders>
            <w:noWrap w:val="0"/>
            <w:vAlign w:val="center"/>
          </w:tcPr>
          <w:p w14:paraId="0D0534BB">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944" w:type="dxa"/>
            <w:tcBorders>
              <w:top w:val="single" w:color="000000" w:sz="4" w:space="0"/>
              <w:left w:val="nil"/>
              <w:bottom w:val="single" w:color="000000" w:sz="4" w:space="0"/>
              <w:right w:val="single" w:color="000000" w:sz="4" w:space="0"/>
            </w:tcBorders>
            <w:noWrap w:val="0"/>
            <w:vAlign w:val="center"/>
          </w:tcPr>
          <w:p w14:paraId="5B98126B">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736" w:type="dxa"/>
            <w:tcBorders>
              <w:top w:val="single" w:color="000000" w:sz="4" w:space="0"/>
              <w:left w:val="nil"/>
              <w:bottom w:val="single" w:color="000000" w:sz="4" w:space="0"/>
              <w:right w:val="single" w:color="000000" w:sz="4" w:space="0"/>
            </w:tcBorders>
            <w:noWrap w:val="0"/>
            <w:vAlign w:val="center"/>
          </w:tcPr>
          <w:p w14:paraId="7DE7562F">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1574" w:type="dxa"/>
            <w:tcBorders>
              <w:top w:val="single" w:color="000000" w:sz="4" w:space="0"/>
              <w:left w:val="nil"/>
              <w:bottom w:val="single" w:color="000000" w:sz="4" w:space="0"/>
              <w:right w:val="single" w:color="000000" w:sz="4" w:space="0"/>
            </w:tcBorders>
            <w:noWrap w:val="0"/>
            <w:vAlign w:val="center"/>
          </w:tcPr>
          <w:p w14:paraId="7EBCAF57">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1050" w:type="dxa"/>
            <w:tcBorders>
              <w:top w:val="single" w:color="000000" w:sz="4" w:space="0"/>
              <w:left w:val="nil"/>
              <w:bottom w:val="single" w:color="000000" w:sz="4" w:space="0"/>
              <w:right w:val="single" w:color="000000" w:sz="4" w:space="0"/>
            </w:tcBorders>
            <w:noWrap w:val="0"/>
            <w:vAlign w:val="center"/>
          </w:tcPr>
          <w:p w14:paraId="50BC5AF6">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合价</w:t>
            </w:r>
          </w:p>
        </w:tc>
        <w:tc>
          <w:tcPr>
            <w:tcW w:w="1508" w:type="dxa"/>
            <w:tcBorders>
              <w:top w:val="single" w:color="000000" w:sz="4" w:space="0"/>
              <w:left w:val="nil"/>
              <w:bottom w:val="single" w:color="000000" w:sz="4" w:space="0"/>
              <w:right w:val="single" w:color="000000" w:sz="4" w:space="0"/>
            </w:tcBorders>
            <w:noWrap w:val="0"/>
            <w:vAlign w:val="center"/>
          </w:tcPr>
          <w:p w14:paraId="073F2069">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992" w:type="dxa"/>
            <w:tcBorders>
              <w:top w:val="single" w:color="000000" w:sz="4" w:space="0"/>
              <w:left w:val="nil"/>
              <w:bottom w:val="single" w:color="000000" w:sz="4" w:space="0"/>
              <w:right w:val="single" w:color="000000" w:sz="4" w:space="0"/>
            </w:tcBorders>
            <w:noWrap w:val="0"/>
            <w:vAlign w:val="center"/>
          </w:tcPr>
          <w:p w14:paraId="481E1F48">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1134" w:type="dxa"/>
            <w:tcBorders>
              <w:top w:val="single" w:color="000000" w:sz="4" w:space="0"/>
              <w:left w:val="nil"/>
              <w:bottom w:val="single" w:color="000000" w:sz="4" w:space="0"/>
              <w:right w:val="single" w:color="000000" w:sz="4" w:space="0"/>
            </w:tcBorders>
            <w:noWrap w:val="0"/>
            <w:vAlign w:val="center"/>
          </w:tcPr>
          <w:p w14:paraId="1655AA3C">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1701" w:type="dxa"/>
            <w:tcBorders>
              <w:top w:val="single" w:color="000000" w:sz="4" w:space="0"/>
              <w:left w:val="nil"/>
              <w:bottom w:val="single" w:color="000000" w:sz="4" w:space="0"/>
              <w:right w:val="single" w:color="000000" w:sz="4" w:space="0"/>
            </w:tcBorders>
            <w:noWrap w:val="0"/>
            <w:vAlign w:val="center"/>
          </w:tcPr>
          <w:p w14:paraId="68A7588A">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c>
          <w:tcPr>
            <w:tcW w:w="1701" w:type="dxa"/>
            <w:tcBorders>
              <w:top w:val="single" w:color="000000" w:sz="4" w:space="0"/>
              <w:left w:val="nil"/>
              <w:bottom w:val="single" w:color="000000" w:sz="4" w:space="0"/>
              <w:right w:val="single" w:color="000000" w:sz="4" w:space="0"/>
            </w:tcBorders>
            <w:noWrap w:val="0"/>
            <w:vAlign w:val="center"/>
          </w:tcPr>
          <w:p w14:paraId="7E9D4FA3">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483422EC">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6E525AD6">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719A4380">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5365A7FE">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587AA6E6">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56BF2E93">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03B6DC7A">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1C8794E9">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35975457">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40918984">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737551D8">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2A872F2A">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30ADF669">
            <w:pPr>
              <w:widowControl/>
              <w:adjustRightInd w:val="0"/>
              <w:snapToGrid w:val="0"/>
              <w:jc w:val="center"/>
              <w:rPr>
                <w:rFonts w:hint="eastAsia" w:ascii="宋体" w:hAnsi="宋体" w:cs="宋体"/>
                <w:color w:val="auto"/>
                <w:kern w:val="0"/>
                <w:szCs w:val="21"/>
                <w:highlight w:val="none"/>
              </w:rPr>
            </w:pPr>
          </w:p>
        </w:tc>
      </w:tr>
      <w:tr w14:paraId="617F8720">
        <w:tblPrEx>
          <w:tblCellMar>
            <w:top w:w="0" w:type="dxa"/>
            <w:left w:w="108" w:type="dxa"/>
            <w:bottom w:w="0" w:type="dxa"/>
            <w:right w:w="108" w:type="dxa"/>
          </w:tblCellMar>
        </w:tblPrEx>
        <w:trPr>
          <w:trHeight w:val="50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035B52E9">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6637574B">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5F2585D8">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07BD4766">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082EBBDE">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2DDDA5B5">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290E9219">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3212971B">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558DEC74">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74A005D0">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08682E58">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540761A5">
            <w:pPr>
              <w:widowControl/>
              <w:adjustRightInd w:val="0"/>
              <w:snapToGrid w:val="0"/>
              <w:jc w:val="center"/>
              <w:rPr>
                <w:rFonts w:hint="eastAsia" w:ascii="宋体" w:hAnsi="宋体" w:cs="宋体"/>
                <w:color w:val="auto"/>
                <w:kern w:val="0"/>
                <w:szCs w:val="21"/>
                <w:highlight w:val="none"/>
              </w:rPr>
            </w:pPr>
          </w:p>
        </w:tc>
      </w:tr>
      <w:tr w14:paraId="00A7D29E">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43872B92">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697D596E">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172DCD1D">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7A0EBBAA">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7CCA838F">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0CF53BA3">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035D7B4A">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14E4A0EE">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09A78716">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1951C68E">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05F8F41C">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22ACE3F2">
            <w:pPr>
              <w:widowControl/>
              <w:adjustRightInd w:val="0"/>
              <w:snapToGrid w:val="0"/>
              <w:jc w:val="center"/>
              <w:rPr>
                <w:rFonts w:hint="eastAsia" w:ascii="宋体" w:hAnsi="宋体" w:cs="宋体"/>
                <w:color w:val="auto"/>
                <w:kern w:val="0"/>
                <w:szCs w:val="21"/>
                <w:highlight w:val="none"/>
              </w:rPr>
            </w:pPr>
          </w:p>
        </w:tc>
      </w:tr>
      <w:tr w14:paraId="0D38BC0B">
        <w:tblPrEx>
          <w:tblCellMar>
            <w:top w:w="0" w:type="dxa"/>
            <w:left w:w="108" w:type="dxa"/>
            <w:bottom w:w="0" w:type="dxa"/>
            <w:right w:w="108" w:type="dxa"/>
          </w:tblCellMar>
        </w:tblPrEx>
        <w:trPr>
          <w:trHeight w:val="505" w:hRule="atLeast"/>
        </w:trPr>
        <w:tc>
          <w:tcPr>
            <w:tcW w:w="6272" w:type="dxa"/>
            <w:gridSpan w:val="6"/>
            <w:tcBorders>
              <w:top w:val="single" w:color="000000" w:sz="4" w:space="0"/>
              <w:left w:val="single" w:color="000000" w:sz="4" w:space="0"/>
              <w:bottom w:val="single" w:color="000000" w:sz="4" w:space="0"/>
              <w:right w:val="single" w:color="000000" w:sz="4" w:space="0"/>
            </w:tcBorders>
            <w:noWrap w:val="0"/>
            <w:vAlign w:val="center"/>
          </w:tcPr>
          <w:p w14:paraId="4818CFB6">
            <w:pPr>
              <w:widowControl/>
              <w:adjustRightInd w:val="0"/>
              <w:snapToGrid w:val="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合计（此表价格含在投标总价内）</w:t>
            </w:r>
          </w:p>
        </w:tc>
        <w:tc>
          <w:tcPr>
            <w:tcW w:w="1050" w:type="dxa"/>
            <w:tcBorders>
              <w:top w:val="single" w:color="000000" w:sz="4" w:space="0"/>
              <w:left w:val="nil"/>
              <w:bottom w:val="single" w:color="000000" w:sz="4" w:space="0"/>
              <w:right w:val="single" w:color="000000" w:sz="4" w:space="0"/>
            </w:tcBorders>
            <w:noWrap w:val="0"/>
            <w:vAlign w:val="center"/>
          </w:tcPr>
          <w:p w14:paraId="57057459">
            <w:pPr>
              <w:widowControl/>
              <w:adjustRightInd w:val="0"/>
              <w:snapToGrid w:val="0"/>
              <w:jc w:val="center"/>
              <w:rPr>
                <w:rFonts w:hint="eastAsia" w:ascii="宋体" w:hAnsi="宋体" w:cs="宋体"/>
                <w:color w:val="auto"/>
                <w:kern w:val="0"/>
                <w:szCs w:val="21"/>
                <w:highlight w:val="none"/>
              </w:rPr>
            </w:pPr>
          </w:p>
        </w:tc>
        <w:tc>
          <w:tcPr>
            <w:tcW w:w="7036" w:type="dxa"/>
            <w:gridSpan w:val="5"/>
            <w:tcBorders>
              <w:top w:val="single" w:color="000000" w:sz="4" w:space="0"/>
              <w:left w:val="nil"/>
              <w:bottom w:val="single" w:color="000000" w:sz="4" w:space="0"/>
              <w:right w:val="single" w:color="000000" w:sz="4" w:space="0"/>
            </w:tcBorders>
            <w:noWrap w:val="0"/>
            <w:vAlign w:val="center"/>
          </w:tcPr>
          <w:p w14:paraId="10EB87E3">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bl>
    <w:p w14:paraId="3122DBC0">
      <w:pPr>
        <w:widowControl/>
        <w:spacing w:before="8" w:line="110" w:lineRule="atLeast"/>
        <w:rPr>
          <w:rFonts w:hint="eastAsia" w:ascii="宋体" w:hAnsi="宋体" w:cs="宋体"/>
          <w:color w:val="auto"/>
          <w:kern w:val="0"/>
          <w:sz w:val="20"/>
          <w:szCs w:val="20"/>
          <w:highlight w:val="none"/>
        </w:rPr>
      </w:pPr>
      <w:r>
        <w:rPr>
          <w:rFonts w:hint="eastAsia" w:ascii="宋体" w:hAnsi="宋体" w:cs="宋体"/>
          <w:color w:val="auto"/>
          <w:kern w:val="0"/>
          <w:sz w:val="11"/>
          <w:szCs w:val="11"/>
          <w:highlight w:val="none"/>
        </w:rPr>
        <w:t xml:space="preserve"> </w:t>
      </w:r>
      <w:r>
        <w:rPr>
          <w:rFonts w:hint="eastAsia" w:ascii="宋体" w:hAnsi="宋体" w:cs="宋体"/>
          <w:color w:val="auto"/>
          <w:kern w:val="0"/>
          <w:sz w:val="20"/>
          <w:szCs w:val="20"/>
          <w:highlight w:val="none"/>
        </w:rPr>
        <w:t xml:space="preserve">  </w:t>
      </w:r>
    </w:p>
    <w:p w14:paraId="773C2EF9">
      <w:pPr>
        <w:widowControl/>
        <w:spacing w:before="3" w:line="180" w:lineRule="atLeast"/>
        <w:rPr>
          <w:rFonts w:hint="eastAsia" w:ascii="宋体" w:hAnsi="宋体" w:cs="宋体"/>
          <w:color w:val="auto"/>
          <w:kern w:val="0"/>
          <w:sz w:val="20"/>
          <w:szCs w:val="20"/>
          <w:highlight w:val="none"/>
        </w:rPr>
      </w:pPr>
    </w:p>
    <w:p w14:paraId="3DE5A371">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spacing w:val="12"/>
          <w:kern w:val="0"/>
          <w:sz w:val="28"/>
          <w:szCs w:val="28"/>
          <w:highlight w:val="none"/>
        </w:rPr>
        <w:t>表3-3  专用工具</w:t>
      </w:r>
      <w:r>
        <w:rPr>
          <w:rFonts w:hint="eastAsia" w:ascii="宋体" w:hAnsi="宋体" w:cs="宋体"/>
          <w:color w:val="auto"/>
          <w:kern w:val="0"/>
          <w:sz w:val="28"/>
          <w:szCs w:val="28"/>
          <w:highlight w:val="none"/>
        </w:rPr>
        <w:t>分项报价表</w:t>
      </w:r>
    </w:p>
    <w:p w14:paraId="3CEEE8D2">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17"/>
        <w:tblW w:w="14358" w:type="dxa"/>
        <w:tblInd w:w="209" w:type="dxa"/>
        <w:tblLayout w:type="fixed"/>
        <w:tblCellMar>
          <w:top w:w="0" w:type="dxa"/>
          <w:left w:w="108" w:type="dxa"/>
          <w:bottom w:w="0" w:type="dxa"/>
          <w:right w:w="108" w:type="dxa"/>
        </w:tblCellMar>
      </w:tblPr>
      <w:tblGrid>
        <w:gridCol w:w="738"/>
        <w:gridCol w:w="1156"/>
        <w:gridCol w:w="1124"/>
        <w:gridCol w:w="944"/>
        <w:gridCol w:w="736"/>
        <w:gridCol w:w="1574"/>
        <w:gridCol w:w="1050"/>
        <w:gridCol w:w="1508"/>
        <w:gridCol w:w="992"/>
        <w:gridCol w:w="1134"/>
        <w:gridCol w:w="1701"/>
        <w:gridCol w:w="1701"/>
      </w:tblGrid>
      <w:tr w14:paraId="24797FE7">
        <w:tblPrEx>
          <w:tblCellMar>
            <w:top w:w="0" w:type="dxa"/>
            <w:left w:w="108" w:type="dxa"/>
            <w:bottom w:w="0" w:type="dxa"/>
            <w:right w:w="108" w:type="dxa"/>
          </w:tblCellMar>
        </w:tblPrEx>
        <w:trPr>
          <w:trHeight w:val="5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763B269">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tcBorders>
              <w:top w:val="single" w:color="000000" w:sz="4" w:space="0"/>
              <w:left w:val="nil"/>
              <w:bottom w:val="single" w:color="000000" w:sz="4" w:space="0"/>
              <w:right w:val="single" w:color="000000" w:sz="4" w:space="0"/>
            </w:tcBorders>
            <w:noWrap w:val="0"/>
            <w:vAlign w:val="center"/>
          </w:tcPr>
          <w:p w14:paraId="12DE2991">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名称</w:t>
            </w:r>
          </w:p>
        </w:tc>
        <w:tc>
          <w:tcPr>
            <w:tcW w:w="1124" w:type="dxa"/>
            <w:tcBorders>
              <w:top w:val="single" w:color="000000" w:sz="4" w:space="0"/>
              <w:left w:val="nil"/>
              <w:bottom w:val="single" w:color="000000" w:sz="4" w:space="0"/>
              <w:right w:val="single" w:color="000000" w:sz="4" w:space="0"/>
            </w:tcBorders>
            <w:noWrap w:val="0"/>
            <w:vAlign w:val="center"/>
          </w:tcPr>
          <w:p w14:paraId="7D3A09D5">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944" w:type="dxa"/>
            <w:tcBorders>
              <w:top w:val="single" w:color="000000" w:sz="4" w:space="0"/>
              <w:left w:val="nil"/>
              <w:bottom w:val="single" w:color="000000" w:sz="4" w:space="0"/>
              <w:right w:val="single" w:color="000000" w:sz="4" w:space="0"/>
            </w:tcBorders>
            <w:noWrap w:val="0"/>
            <w:vAlign w:val="center"/>
          </w:tcPr>
          <w:p w14:paraId="7DCA96F1">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736" w:type="dxa"/>
            <w:tcBorders>
              <w:top w:val="single" w:color="000000" w:sz="4" w:space="0"/>
              <w:left w:val="nil"/>
              <w:bottom w:val="single" w:color="000000" w:sz="4" w:space="0"/>
              <w:right w:val="single" w:color="000000" w:sz="4" w:space="0"/>
            </w:tcBorders>
            <w:noWrap w:val="0"/>
            <w:vAlign w:val="center"/>
          </w:tcPr>
          <w:p w14:paraId="47E10D36">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1574" w:type="dxa"/>
            <w:tcBorders>
              <w:top w:val="single" w:color="000000" w:sz="4" w:space="0"/>
              <w:left w:val="nil"/>
              <w:bottom w:val="single" w:color="000000" w:sz="4" w:space="0"/>
              <w:right w:val="single" w:color="000000" w:sz="4" w:space="0"/>
            </w:tcBorders>
            <w:noWrap w:val="0"/>
            <w:vAlign w:val="center"/>
          </w:tcPr>
          <w:p w14:paraId="7EB2318A">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1050" w:type="dxa"/>
            <w:tcBorders>
              <w:top w:val="single" w:color="000000" w:sz="4" w:space="0"/>
              <w:left w:val="nil"/>
              <w:bottom w:val="single" w:color="000000" w:sz="4" w:space="0"/>
              <w:right w:val="single" w:color="000000" w:sz="4" w:space="0"/>
            </w:tcBorders>
            <w:noWrap w:val="0"/>
            <w:vAlign w:val="center"/>
          </w:tcPr>
          <w:p w14:paraId="22E05E99">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合价</w:t>
            </w:r>
          </w:p>
        </w:tc>
        <w:tc>
          <w:tcPr>
            <w:tcW w:w="1508" w:type="dxa"/>
            <w:tcBorders>
              <w:top w:val="single" w:color="000000" w:sz="4" w:space="0"/>
              <w:left w:val="nil"/>
              <w:bottom w:val="single" w:color="000000" w:sz="4" w:space="0"/>
              <w:right w:val="single" w:color="000000" w:sz="4" w:space="0"/>
            </w:tcBorders>
            <w:noWrap w:val="0"/>
            <w:vAlign w:val="center"/>
          </w:tcPr>
          <w:p w14:paraId="070AE6BC">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992" w:type="dxa"/>
            <w:tcBorders>
              <w:top w:val="single" w:color="000000" w:sz="4" w:space="0"/>
              <w:left w:val="nil"/>
              <w:bottom w:val="single" w:color="000000" w:sz="4" w:space="0"/>
              <w:right w:val="single" w:color="000000" w:sz="4" w:space="0"/>
            </w:tcBorders>
            <w:noWrap w:val="0"/>
            <w:vAlign w:val="center"/>
          </w:tcPr>
          <w:p w14:paraId="4CC2CA09">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1134" w:type="dxa"/>
            <w:tcBorders>
              <w:top w:val="single" w:color="000000" w:sz="4" w:space="0"/>
              <w:left w:val="nil"/>
              <w:bottom w:val="single" w:color="000000" w:sz="4" w:space="0"/>
              <w:right w:val="single" w:color="000000" w:sz="4" w:space="0"/>
            </w:tcBorders>
            <w:noWrap w:val="0"/>
            <w:vAlign w:val="center"/>
          </w:tcPr>
          <w:p w14:paraId="0C38C81F">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1701" w:type="dxa"/>
            <w:tcBorders>
              <w:top w:val="single" w:color="000000" w:sz="4" w:space="0"/>
              <w:left w:val="nil"/>
              <w:bottom w:val="single" w:color="000000" w:sz="4" w:space="0"/>
              <w:right w:val="single" w:color="000000" w:sz="4" w:space="0"/>
            </w:tcBorders>
            <w:noWrap w:val="0"/>
            <w:vAlign w:val="center"/>
          </w:tcPr>
          <w:p w14:paraId="00CE5776">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c>
          <w:tcPr>
            <w:tcW w:w="1701" w:type="dxa"/>
            <w:tcBorders>
              <w:top w:val="single" w:color="000000" w:sz="4" w:space="0"/>
              <w:left w:val="nil"/>
              <w:bottom w:val="single" w:color="000000" w:sz="4" w:space="0"/>
              <w:right w:val="single" w:color="000000" w:sz="4" w:space="0"/>
            </w:tcBorders>
            <w:noWrap w:val="0"/>
            <w:vAlign w:val="center"/>
          </w:tcPr>
          <w:p w14:paraId="151BAB25">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48E36899">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326329EF">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04E4AD72">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40EDDB41">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295D9C3A">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1B12711E">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1215F0A5">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7999C40E">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07A37AE2">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1D9A773A">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63740C19">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653D1C5E">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4E0B9812">
            <w:pPr>
              <w:widowControl/>
              <w:adjustRightInd w:val="0"/>
              <w:snapToGrid w:val="0"/>
              <w:jc w:val="center"/>
              <w:rPr>
                <w:rFonts w:hint="eastAsia" w:ascii="宋体" w:hAnsi="宋体" w:cs="宋体"/>
                <w:color w:val="auto"/>
                <w:kern w:val="0"/>
                <w:szCs w:val="21"/>
                <w:highlight w:val="none"/>
              </w:rPr>
            </w:pPr>
          </w:p>
        </w:tc>
      </w:tr>
      <w:tr w14:paraId="6341671F">
        <w:tblPrEx>
          <w:tblCellMar>
            <w:top w:w="0" w:type="dxa"/>
            <w:left w:w="108" w:type="dxa"/>
            <w:bottom w:w="0" w:type="dxa"/>
            <w:right w:w="108" w:type="dxa"/>
          </w:tblCellMar>
        </w:tblPrEx>
        <w:trPr>
          <w:trHeight w:val="50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03610A32">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04B5B66B">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20CB9D6F">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47D46B0B">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2C5991EF">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1484B1C9">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3131DCB1">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0F3EF6D7">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55F16F79">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337D4757">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6A7A2A86">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3449A756">
            <w:pPr>
              <w:widowControl/>
              <w:adjustRightInd w:val="0"/>
              <w:snapToGrid w:val="0"/>
              <w:jc w:val="center"/>
              <w:rPr>
                <w:rFonts w:hint="eastAsia" w:ascii="宋体" w:hAnsi="宋体" w:cs="宋体"/>
                <w:color w:val="auto"/>
                <w:kern w:val="0"/>
                <w:szCs w:val="21"/>
                <w:highlight w:val="none"/>
              </w:rPr>
            </w:pPr>
          </w:p>
        </w:tc>
      </w:tr>
      <w:tr w14:paraId="5329F577">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9DF4FC7">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615C52D0">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28122584">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1297E4AD">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077E3C67">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7E8418CE">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5A6483F3">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5F78A8C6">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1E3A85B6">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651F2B1A">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4A97D13B">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6FBC7F5F">
            <w:pPr>
              <w:widowControl/>
              <w:adjustRightInd w:val="0"/>
              <w:snapToGrid w:val="0"/>
              <w:jc w:val="center"/>
              <w:rPr>
                <w:rFonts w:hint="eastAsia" w:ascii="宋体" w:hAnsi="宋体" w:cs="宋体"/>
                <w:color w:val="auto"/>
                <w:kern w:val="0"/>
                <w:szCs w:val="21"/>
                <w:highlight w:val="none"/>
              </w:rPr>
            </w:pPr>
          </w:p>
        </w:tc>
      </w:tr>
      <w:tr w14:paraId="66A02E5B">
        <w:tblPrEx>
          <w:tblCellMar>
            <w:top w:w="0" w:type="dxa"/>
            <w:left w:w="108" w:type="dxa"/>
            <w:bottom w:w="0" w:type="dxa"/>
            <w:right w:w="108" w:type="dxa"/>
          </w:tblCellMar>
        </w:tblPrEx>
        <w:trPr>
          <w:trHeight w:val="505" w:hRule="atLeast"/>
        </w:trPr>
        <w:tc>
          <w:tcPr>
            <w:tcW w:w="6272" w:type="dxa"/>
            <w:gridSpan w:val="6"/>
            <w:tcBorders>
              <w:top w:val="single" w:color="000000" w:sz="4" w:space="0"/>
              <w:left w:val="single" w:color="000000" w:sz="4" w:space="0"/>
              <w:bottom w:val="single" w:color="000000" w:sz="4" w:space="0"/>
              <w:right w:val="single" w:color="000000" w:sz="4" w:space="0"/>
            </w:tcBorders>
            <w:noWrap w:val="0"/>
            <w:vAlign w:val="center"/>
          </w:tcPr>
          <w:p w14:paraId="406EE27C">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w:t>
            </w:r>
            <w:r>
              <w:rPr>
                <w:rFonts w:hint="eastAsia" w:ascii="宋体" w:hAnsi="宋体" w:cs="宋体"/>
                <w:b/>
                <w:color w:val="auto"/>
                <w:kern w:val="0"/>
                <w:szCs w:val="21"/>
                <w:highlight w:val="none"/>
              </w:rPr>
              <w:t>此表价格含在投标总价内</w:t>
            </w:r>
            <w:r>
              <w:rPr>
                <w:rFonts w:hint="eastAsia" w:ascii="宋体" w:hAnsi="宋体" w:cs="宋体"/>
                <w:color w:val="auto"/>
                <w:kern w:val="0"/>
                <w:szCs w:val="21"/>
                <w:highlight w:val="none"/>
              </w:rPr>
              <w:t>）</w:t>
            </w:r>
          </w:p>
        </w:tc>
        <w:tc>
          <w:tcPr>
            <w:tcW w:w="1050" w:type="dxa"/>
            <w:tcBorders>
              <w:top w:val="single" w:color="000000" w:sz="4" w:space="0"/>
              <w:left w:val="nil"/>
              <w:bottom w:val="single" w:color="000000" w:sz="4" w:space="0"/>
              <w:right w:val="single" w:color="000000" w:sz="4" w:space="0"/>
            </w:tcBorders>
            <w:noWrap w:val="0"/>
            <w:vAlign w:val="center"/>
          </w:tcPr>
          <w:p w14:paraId="58617B95">
            <w:pPr>
              <w:widowControl/>
              <w:adjustRightInd w:val="0"/>
              <w:snapToGrid w:val="0"/>
              <w:jc w:val="center"/>
              <w:rPr>
                <w:rFonts w:hint="eastAsia" w:ascii="宋体" w:hAnsi="宋体" w:cs="宋体"/>
                <w:color w:val="auto"/>
                <w:kern w:val="0"/>
                <w:szCs w:val="21"/>
                <w:highlight w:val="none"/>
              </w:rPr>
            </w:pPr>
          </w:p>
        </w:tc>
        <w:tc>
          <w:tcPr>
            <w:tcW w:w="7036" w:type="dxa"/>
            <w:gridSpan w:val="5"/>
            <w:tcBorders>
              <w:top w:val="single" w:color="000000" w:sz="4" w:space="0"/>
              <w:left w:val="nil"/>
              <w:bottom w:val="single" w:color="000000" w:sz="4" w:space="0"/>
              <w:right w:val="single" w:color="000000" w:sz="4" w:space="0"/>
            </w:tcBorders>
            <w:noWrap w:val="0"/>
            <w:vAlign w:val="center"/>
          </w:tcPr>
          <w:p w14:paraId="2FF02539">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bl>
    <w:p w14:paraId="002453B8">
      <w:pPr>
        <w:widowControl/>
        <w:spacing w:before="8" w:line="110" w:lineRule="atLeast"/>
        <w:rPr>
          <w:rFonts w:hint="eastAsia" w:ascii="宋体" w:hAnsi="宋体" w:cs="宋体"/>
          <w:color w:val="auto"/>
          <w:kern w:val="0"/>
          <w:sz w:val="20"/>
          <w:szCs w:val="20"/>
          <w:highlight w:val="none"/>
        </w:rPr>
      </w:pPr>
      <w:r>
        <w:rPr>
          <w:rFonts w:hint="eastAsia" w:ascii="宋体" w:hAnsi="宋体" w:cs="宋体"/>
          <w:color w:val="auto"/>
          <w:kern w:val="0"/>
          <w:sz w:val="11"/>
          <w:szCs w:val="11"/>
          <w:highlight w:val="none"/>
        </w:rPr>
        <w:t xml:space="preserve"> </w:t>
      </w:r>
      <w:r>
        <w:rPr>
          <w:rFonts w:hint="eastAsia" w:ascii="宋体" w:hAnsi="宋体" w:cs="宋体"/>
          <w:color w:val="auto"/>
          <w:kern w:val="0"/>
          <w:sz w:val="20"/>
          <w:szCs w:val="20"/>
          <w:highlight w:val="none"/>
        </w:rPr>
        <w:t xml:space="preserve">  </w:t>
      </w:r>
    </w:p>
    <w:p w14:paraId="632240FD">
      <w:pPr>
        <w:widowControl/>
        <w:spacing w:before="7"/>
        <w:ind w:left="5680" w:right="-20"/>
        <w:rPr>
          <w:rFonts w:hint="eastAsia" w:ascii="宋体" w:hAnsi="宋体" w:cs="宋体"/>
          <w:color w:val="auto"/>
          <w:kern w:val="0"/>
          <w:szCs w:val="21"/>
          <w:highlight w:val="none"/>
        </w:rPr>
      </w:pPr>
    </w:p>
    <w:p w14:paraId="58476DC9">
      <w:pPr>
        <w:widowControl/>
        <w:spacing w:before="7"/>
        <w:ind w:left="5680" w:right="-20"/>
        <w:rPr>
          <w:rFonts w:hint="eastAsia" w:ascii="宋体" w:hAnsi="宋体" w:cs="宋体"/>
          <w:color w:val="auto"/>
          <w:kern w:val="0"/>
          <w:szCs w:val="21"/>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286" w:charSpace="0"/>
        </w:sectPr>
      </w:pPr>
    </w:p>
    <w:p w14:paraId="6BCAF07A">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spacing w:val="12"/>
          <w:kern w:val="0"/>
          <w:sz w:val="28"/>
          <w:szCs w:val="28"/>
          <w:highlight w:val="none"/>
        </w:rPr>
        <w:t>表3-4  质保期外备件及易损件</w:t>
      </w:r>
      <w:r>
        <w:rPr>
          <w:rFonts w:hint="eastAsia" w:ascii="宋体" w:hAnsi="宋体" w:cs="宋体"/>
          <w:color w:val="auto"/>
          <w:kern w:val="0"/>
          <w:sz w:val="28"/>
          <w:szCs w:val="28"/>
          <w:highlight w:val="none"/>
        </w:rPr>
        <w:t>分项报价表</w:t>
      </w:r>
    </w:p>
    <w:p w14:paraId="262F746A">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17"/>
        <w:tblW w:w="14358" w:type="dxa"/>
        <w:tblInd w:w="209" w:type="dxa"/>
        <w:tblLayout w:type="fixed"/>
        <w:tblCellMar>
          <w:top w:w="0" w:type="dxa"/>
          <w:left w:w="108" w:type="dxa"/>
          <w:bottom w:w="0" w:type="dxa"/>
          <w:right w:w="108" w:type="dxa"/>
        </w:tblCellMar>
      </w:tblPr>
      <w:tblGrid>
        <w:gridCol w:w="738"/>
        <w:gridCol w:w="1156"/>
        <w:gridCol w:w="1124"/>
        <w:gridCol w:w="944"/>
        <w:gridCol w:w="736"/>
        <w:gridCol w:w="1574"/>
        <w:gridCol w:w="1050"/>
        <w:gridCol w:w="1508"/>
        <w:gridCol w:w="992"/>
        <w:gridCol w:w="1134"/>
        <w:gridCol w:w="1701"/>
        <w:gridCol w:w="1701"/>
      </w:tblGrid>
      <w:tr w14:paraId="222B52FD">
        <w:tblPrEx>
          <w:tblCellMar>
            <w:top w:w="0" w:type="dxa"/>
            <w:left w:w="108" w:type="dxa"/>
            <w:bottom w:w="0" w:type="dxa"/>
            <w:right w:w="108" w:type="dxa"/>
          </w:tblCellMar>
        </w:tblPrEx>
        <w:trPr>
          <w:trHeight w:val="5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FE52242">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tcBorders>
              <w:top w:val="single" w:color="000000" w:sz="4" w:space="0"/>
              <w:left w:val="nil"/>
              <w:bottom w:val="single" w:color="000000" w:sz="4" w:space="0"/>
              <w:right w:val="single" w:color="000000" w:sz="4" w:space="0"/>
            </w:tcBorders>
            <w:noWrap w:val="0"/>
            <w:vAlign w:val="center"/>
          </w:tcPr>
          <w:p w14:paraId="379438F4">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名称</w:t>
            </w:r>
          </w:p>
        </w:tc>
        <w:tc>
          <w:tcPr>
            <w:tcW w:w="1124" w:type="dxa"/>
            <w:tcBorders>
              <w:top w:val="single" w:color="000000" w:sz="4" w:space="0"/>
              <w:left w:val="nil"/>
              <w:bottom w:val="single" w:color="000000" w:sz="4" w:space="0"/>
              <w:right w:val="single" w:color="000000" w:sz="4" w:space="0"/>
            </w:tcBorders>
            <w:noWrap w:val="0"/>
            <w:vAlign w:val="center"/>
          </w:tcPr>
          <w:p w14:paraId="63BF8083">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944" w:type="dxa"/>
            <w:tcBorders>
              <w:top w:val="single" w:color="000000" w:sz="4" w:space="0"/>
              <w:left w:val="nil"/>
              <w:bottom w:val="single" w:color="000000" w:sz="4" w:space="0"/>
              <w:right w:val="single" w:color="000000" w:sz="4" w:space="0"/>
            </w:tcBorders>
            <w:noWrap w:val="0"/>
            <w:vAlign w:val="center"/>
          </w:tcPr>
          <w:p w14:paraId="749022F3">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736" w:type="dxa"/>
            <w:tcBorders>
              <w:top w:val="single" w:color="000000" w:sz="4" w:space="0"/>
              <w:left w:val="nil"/>
              <w:bottom w:val="single" w:color="000000" w:sz="4" w:space="0"/>
              <w:right w:val="single" w:color="000000" w:sz="4" w:space="0"/>
            </w:tcBorders>
            <w:noWrap w:val="0"/>
            <w:vAlign w:val="center"/>
          </w:tcPr>
          <w:p w14:paraId="1B2F32A6">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1574" w:type="dxa"/>
            <w:tcBorders>
              <w:top w:val="single" w:color="000000" w:sz="4" w:space="0"/>
              <w:left w:val="nil"/>
              <w:bottom w:val="single" w:color="000000" w:sz="4" w:space="0"/>
              <w:right w:val="single" w:color="000000" w:sz="4" w:space="0"/>
            </w:tcBorders>
            <w:noWrap w:val="0"/>
            <w:vAlign w:val="center"/>
          </w:tcPr>
          <w:p w14:paraId="250A1D0F">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1050" w:type="dxa"/>
            <w:tcBorders>
              <w:top w:val="single" w:color="000000" w:sz="4" w:space="0"/>
              <w:left w:val="nil"/>
              <w:bottom w:val="single" w:color="000000" w:sz="4" w:space="0"/>
              <w:right w:val="single" w:color="000000" w:sz="4" w:space="0"/>
            </w:tcBorders>
            <w:noWrap w:val="0"/>
            <w:vAlign w:val="center"/>
          </w:tcPr>
          <w:p w14:paraId="40AD2FD0">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合价</w:t>
            </w:r>
          </w:p>
        </w:tc>
        <w:tc>
          <w:tcPr>
            <w:tcW w:w="1508" w:type="dxa"/>
            <w:tcBorders>
              <w:top w:val="single" w:color="000000" w:sz="4" w:space="0"/>
              <w:left w:val="nil"/>
              <w:bottom w:val="single" w:color="000000" w:sz="4" w:space="0"/>
              <w:right w:val="single" w:color="000000" w:sz="4" w:space="0"/>
            </w:tcBorders>
            <w:noWrap w:val="0"/>
            <w:vAlign w:val="center"/>
          </w:tcPr>
          <w:p w14:paraId="632D2CF8">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992" w:type="dxa"/>
            <w:tcBorders>
              <w:top w:val="single" w:color="000000" w:sz="4" w:space="0"/>
              <w:left w:val="nil"/>
              <w:bottom w:val="single" w:color="000000" w:sz="4" w:space="0"/>
              <w:right w:val="single" w:color="000000" w:sz="4" w:space="0"/>
            </w:tcBorders>
            <w:noWrap w:val="0"/>
            <w:vAlign w:val="center"/>
          </w:tcPr>
          <w:p w14:paraId="18C4DD18">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1134" w:type="dxa"/>
            <w:tcBorders>
              <w:top w:val="single" w:color="000000" w:sz="4" w:space="0"/>
              <w:left w:val="nil"/>
              <w:bottom w:val="single" w:color="000000" w:sz="4" w:space="0"/>
              <w:right w:val="single" w:color="000000" w:sz="4" w:space="0"/>
            </w:tcBorders>
            <w:noWrap w:val="0"/>
            <w:vAlign w:val="center"/>
          </w:tcPr>
          <w:p w14:paraId="330785D7">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1701" w:type="dxa"/>
            <w:tcBorders>
              <w:top w:val="single" w:color="000000" w:sz="4" w:space="0"/>
              <w:left w:val="nil"/>
              <w:bottom w:val="single" w:color="000000" w:sz="4" w:space="0"/>
              <w:right w:val="single" w:color="000000" w:sz="4" w:space="0"/>
            </w:tcBorders>
            <w:noWrap w:val="0"/>
            <w:vAlign w:val="center"/>
          </w:tcPr>
          <w:p w14:paraId="646CF507">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c>
          <w:tcPr>
            <w:tcW w:w="1701" w:type="dxa"/>
            <w:tcBorders>
              <w:top w:val="single" w:color="000000" w:sz="4" w:space="0"/>
              <w:left w:val="nil"/>
              <w:bottom w:val="single" w:color="000000" w:sz="4" w:space="0"/>
              <w:right w:val="single" w:color="000000" w:sz="4" w:space="0"/>
            </w:tcBorders>
            <w:noWrap w:val="0"/>
            <w:vAlign w:val="center"/>
          </w:tcPr>
          <w:p w14:paraId="6B31DF2A">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6D755519">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18235CBE">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48F94126">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6F279112">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36AD812D">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269A9E7B">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679550D7">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52E333AA">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0BA72D85">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2A9E441F">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3E9D8C90">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0508C32F">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7E0ED458">
            <w:pPr>
              <w:widowControl/>
              <w:adjustRightInd w:val="0"/>
              <w:snapToGrid w:val="0"/>
              <w:jc w:val="center"/>
              <w:rPr>
                <w:rFonts w:hint="eastAsia" w:ascii="宋体" w:hAnsi="宋体" w:cs="宋体"/>
                <w:color w:val="auto"/>
                <w:kern w:val="0"/>
                <w:szCs w:val="21"/>
                <w:highlight w:val="none"/>
              </w:rPr>
            </w:pPr>
          </w:p>
        </w:tc>
      </w:tr>
      <w:tr w14:paraId="1527A790">
        <w:tblPrEx>
          <w:tblCellMar>
            <w:top w:w="0" w:type="dxa"/>
            <w:left w:w="108" w:type="dxa"/>
            <w:bottom w:w="0" w:type="dxa"/>
            <w:right w:w="108" w:type="dxa"/>
          </w:tblCellMar>
        </w:tblPrEx>
        <w:trPr>
          <w:trHeight w:val="50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0E7935E9">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1CF370C1">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65BAE5F2">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2DEBF49E">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706F32A0">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09697A74">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4E6A7E64">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0FF5D566">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28F5124D">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1F6590FB">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4879F113">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6038EC19">
            <w:pPr>
              <w:widowControl/>
              <w:adjustRightInd w:val="0"/>
              <w:snapToGrid w:val="0"/>
              <w:jc w:val="center"/>
              <w:rPr>
                <w:rFonts w:hint="eastAsia" w:ascii="宋体" w:hAnsi="宋体" w:cs="宋体"/>
                <w:color w:val="auto"/>
                <w:kern w:val="0"/>
                <w:szCs w:val="21"/>
                <w:highlight w:val="none"/>
              </w:rPr>
            </w:pPr>
          </w:p>
        </w:tc>
      </w:tr>
      <w:tr w14:paraId="04FEAEBE">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2EA41EBE">
            <w:pPr>
              <w:widowControl/>
              <w:adjustRightInd w:val="0"/>
              <w:snapToGrid w:val="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734F14A6">
            <w:pPr>
              <w:widowControl/>
              <w:adjustRightInd w:val="0"/>
              <w:snapToGrid w:val="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0D50BA4E">
            <w:pPr>
              <w:widowControl/>
              <w:adjustRightInd w:val="0"/>
              <w:snapToGrid w:val="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6CA6E078">
            <w:pPr>
              <w:widowControl/>
              <w:adjustRightInd w:val="0"/>
              <w:snapToGrid w:val="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3DEAA0D7">
            <w:pPr>
              <w:widowControl/>
              <w:adjustRightInd w:val="0"/>
              <w:snapToGrid w:val="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26BBA478">
            <w:pPr>
              <w:widowControl/>
              <w:adjustRightInd w:val="0"/>
              <w:snapToGrid w:val="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7695D095">
            <w:pPr>
              <w:widowControl/>
              <w:adjustRightInd w:val="0"/>
              <w:snapToGrid w:val="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78416E66">
            <w:pPr>
              <w:widowControl/>
              <w:adjustRightInd w:val="0"/>
              <w:snapToGrid w:val="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4F21A553">
            <w:pPr>
              <w:widowControl/>
              <w:adjustRightInd w:val="0"/>
              <w:snapToGrid w:val="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69B98FA1">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03CD7086">
            <w:pPr>
              <w:widowControl/>
              <w:adjustRightInd w:val="0"/>
              <w:snapToGrid w:val="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26F4FD37">
            <w:pPr>
              <w:widowControl/>
              <w:adjustRightInd w:val="0"/>
              <w:snapToGrid w:val="0"/>
              <w:jc w:val="center"/>
              <w:rPr>
                <w:rFonts w:hint="eastAsia" w:ascii="宋体" w:hAnsi="宋体" w:cs="宋体"/>
                <w:color w:val="auto"/>
                <w:kern w:val="0"/>
                <w:szCs w:val="21"/>
                <w:highlight w:val="none"/>
              </w:rPr>
            </w:pPr>
          </w:p>
        </w:tc>
      </w:tr>
      <w:tr w14:paraId="58BA4767">
        <w:tblPrEx>
          <w:tblCellMar>
            <w:top w:w="0" w:type="dxa"/>
            <w:left w:w="108" w:type="dxa"/>
            <w:bottom w:w="0" w:type="dxa"/>
            <w:right w:w="108" w:type="dxa"/>
          </w:tblCellMar>
        </w:tblPrEx>
        <w:trPr>
          <w:trHeight w:val="505" w:hRule="atLeast"/>
        </w:trPr>
        <w:tc>
          <w:tcPr>
            <w:tcW w:w="6272" w:type="dxa"/>
            <w:gridSpan w:val="6"/>
            <w:tcBorders>
              <w:top w:val="single" w:color="000000" w:sz="4" w:space="0"/>
              <w:left w:val="single" w:color="000000" w:sz="4" w:space="0"/>
              <w:bottom w:val="single" w:color="000000" w:sz="4" w:space="0"/>
              <w:right w:val="single" w:color="000000" w:sz="4" w:space="0"/>
            </w:tcBorders>
            <w:noWrap w:val="0"/>
            <w:vAlign w:val="center"/>
          </w:tcPr>
          <w:p w14:paraId="718BF99A">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w:t>
            </w:r>
            <w:r>
              <w:rPr>
                <w:rFonts w:hint="eastAsia" w:ascii="宋体" w:hAnsi="宋体" w:cs="宋体"/>
                <w:b/>
                <w:color w:val="auto"/>
                <w:kern w:val="0"/>
                <w:szCs w:val="21"/>
                <w:highlight w:val="none"/>
              </w:rPr>
              <w:t>此表价格不含在投标总价内</w:t>
            </w:r>
            <w:r>
              <w:rPr>
                <w:rFonts w:hint="eastAsia" w:ascii="宋体" w:hAnsi="宋体" w:cs="宋体"/>
                <w:color w:val="auto"/>
                <w:kern w:val="0"/>
                <w:szCs w:val="21"/>
                <w:highlight w:val="none"/>
              </w:rPr>
              <w:t>）</w:t>
            </w:r>
          </w:p>
        </w:tc>
        <w:tc>
          <w:tcPr>
            <w:tcW w:w="1050" w:type="dxa"/>
            <w:tcBorders>
              <w:top w:val="single" w:color="000000" w:sz="4" w:space="0"/>
              <w:left w:val="nil"/>
              <w:bottom w:val="single" w:color="000000" w:sz="4" w:space="0"/>
              <w:right w:val="single" w:color="000000" w:sz="4" w:space="0"/>
            </w:tcBorders>
            <w:noWrap w:val="0"/>
            <w:vAlign w:val="center"/>
          </w:tcPr>
          <w:p w14:paraId="006C3F42">
            <w:pPr>
              <w:widowControl/>
              <w:adjustRightInd w:val="0"/>
              <w:snapToGrid w:val="0"/>
              <w:jc w:val="center"/>
              <w:rPr>
                <w:rFonts w:hint="eastAsia" w:ascii="宋体" w:hAnsi="宋体" w:cs="宋体"/>
                <w:color w:val="auto"/>
                <w:kern w:val="0"/>
                <w:szCs w:val="21"/>
                <w:highlight w:val="none"/>
              </w:rPr>
            </w:pPr>
          </w:p>
        </w:tc>
        <w:tc>
          <w:tcPr>
            <w:tcW w:w="7036" w:type="dxa"/>
            <w:gridSpan w:val="5"/>
            <w:tcBorders>
              <w:top w:val="single" w:color="000000" w:sz="4" w:space="0"/>
              <w:left w:val="nil"/>
              <w:bottom w:val="single" w:color="000000" w:sz="4" w:space="0"/>
              <w:right w:val="single" w:color="000000" w:sz="4" w:space="0"/>
            </w:tcBorders>
            <w:noWrap w:val="0"/>
            <w:vAlign w:val="center"/>
          </w:tcPr>
          <w:p w14:paraId="123CF343">
            <w:pPr>
              <w:widowControl/>
              <w:adjustRightInd w:val="0"/>
              <w:snapToGrid w:val="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bl>
    <w:p w14:paraId="22B35E63">
      <w:pPr>
        <w:widowControl/>
        <w:spacing w:line="272" w:lineRule="atLeast"/>
        <w:ind w:left="160" w:right="-20"/>
        <w:rPr>
          <w:rFonts w:hint="eastAsia" w:ascii="宋体" w:hAnsi="宋体" w:cs="宋体"/>
          <w:color w:val="auto"/>
          <w:kern w:val="0"/>
          <w:szCs w:val="21"/>
          <w:highlight w:val="none"/>
        </w:rPr>
      </w:pPr>
    </w:p>
    <w:p w14:paraId="46C6C95C">
      <w:pPr>
        <w:widowControl/>
        <w:spacing w:line="272" w:lineRule="atLeast"/>
        <w:ind w:left="160" w:right="-20"/>
        <w:rPr>
          <w:rFonts w:hint="eastAsia" w:ascii="宋体" w:hAnsi="宋体" w:cs="宋体"/>
          <w:color w:val="auto"/>
          <w:kern w:val="0"/>
          <w:szCs w:val="21"/>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286" w:charSpace="0"/>
        </w:sectPr>
      </w:pPr>
    </w:p>
    <w:p w14:paraId="1DAFEE5B">
      <w:pPr>
        <w:pStyle w:val="3"/>
        <w:widowControl/>
        <w:wordWrap w:val="0"/>
        <w:spacing w:before="120" w:after="120" w:line="240" w:lineRule="auto"/>
        <w:jc w:val="center"/>
        <w:rPr>
          <w:rFonts w:hint="eastAsia" w:ascii="宋体" w:hAnsi="宋体" w:cs="宋体"/>
          <w:color w:val="auto"/>
          <w:kern w:val="0"/>
          <w:sz w:val="30"/>
          <w:szCs w:val="30"/>
          <w:highlight w:val="none"/>
        </w:rPr>
      </w:pPr>
      <w:bookmarkStart w:id="1016" w:name="_Toc466024589"/>
      <w:r>
        <w:rPr>
          <w:rStyle w:val="23"/>
          <w:rFonts w:hint="eastAsia" w:ascii="宋体" w:hAnsi="宋体" w:eastAsia="宋体" w:cs="宋体"/>
          <w:b/>
          <w:bCs w:val="0"/>
          <w:color w:val="auto"/>
          <w:sz w:val="30"/>
          <w:szCs w:val="30"/>
          <w:highlight w:val="none"/>
        </w:rPr>
        <w:t>四、投标人综合情况简介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536"/>
        <w:gridCol w:w="2579"/>
        <w:gridCol w:w="1674"/>
        <w:gridCol w:w="2659"/>
      </w:tblGrid>
      <w:tr w14:paraId="25C2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5829275A">
            <w:pPr>
              <w:widowControl/>
              <w:wordWrap w:val="0"/>
              <w:adjustRightInd w:val="0"/>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项目名称：【项目名称】</w:t>
            </w:r>
          </w:p>
        </w:tc>
      </w:tr>
      <w:tr w14:paraId="2BB6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721C5130">
            <w:pPr>
              <w:wordWrap w:val="0"/>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kern w:val="0"/>
                <w:szCs w:val="21"/>
                <w:highlight w:val="none"/>
              </w:rPr>
              <w:t>：</w:t>
            </w:r>
            <w:r>
              <w:rPr>
                <w:rFonts w:hint="eastAsia" w:ascii="宋体" w:hAnsi="宋体" w:cs="宋体"/>
                <w:color w:val="auto"/>
                <w:szCs w:val="21"/>
                <w:highlight w:val="none"/>
              </w:rPr>
              <w:t>【项目编号】</w:t>
            </w:r>
          </w:p>
        </w:tc>
      </w:tr>
      <w:tr w14:paraId="7928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noWrap w:val="0"/>
            <w:vAlign w:val="center"/>
          </w:tcPr>
          <w:p w14:paraId="2BEA1B4F">
            <w:pPr>
              <w:wordWrap w:val="0"/>
              <w:spacing w:before="31" w:line="24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en-US"/>
              </w:rPr>
              <w:t>基本信息</w:t>
            </w:r>
          </w:p>
        </w:tc>
        <w:tc>
          <w:tcPr>
            <w:tcW w:w="1536" w:type="dxa"/>
            <w:noWrap w:val="0"/>
            <w:vAlign w:val="center"/>
          </w:tcPr>
          <w:p w14:paraId="050BD482">
            <w:pPr>
              <w:widowControl/>
              <w:wordWrap w:val="0"/>
              <w:spacing w:line="240" w:lineRule="exact"/>
              <w:jc w:val="center"/>
              <w:rPr>
                <w:rFonts w:hint="eastAsia" w:ascii="宋体" w:hAnsi="宋体" w:cs="宋体"/>
                <w:color w:val="auto"/>
                <w:szCs w:val="21"/>
                <w:highlight w:val="none"/>
                <w:lang w:eastAsia="en-US"/>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en-US"/>
              </w:rPr>
              <w:t>全称</w:t>
            </w:r>
          </w:p>
        </w:tc>
        <w:tc>
          <w:tcPr>
            <w:tcW w:w="6912" w:type="dxa"/>
            <w:gridSpan w:val="3"/>
            <w:noWrap w:val="0"/>
            <w:vAlign w:val="center"/>
          </w:tcPr>
          <w:p w14:paraId="6DC3B4EA">
            <w:pPr>
              <w:keepNext/>
              <w:keepLines/>
              <w:widowControl/>
              <w:spacing w:before="120" w:after="120"/>
              <w:ind w:right="630"/>
              <w:jc w:val="left"/>
              <w:outlineLvl w:val="1"/>
              <w:rPr>
                <w:rFonts w:hint="eastAsia" w:ascii="宋体" w:hAnsi="宋体" w:cs="宋体"/>
                <w:b/>
                <w:bCs/>
                <w:color w:val="auto"/>
                <w:highlight w:val="none"/>
              </w:rPr>
            </w:pPr>
          </w:p>
        </w:tc>
      </w:tr>
      <w:tr w14:paraId="492F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0F435B04">
            <w:pPr>
              <w:wordWrap w:val="0"/>
              <w:spacing w:before="31" w:line="240" w:lineRule="exact"/>
              <w:jc w:val="center"/>
              <w:rPr>
                <w:rFonts w:hint="eastAsia" w:ascii="宋体" w:hAnsi="宋体" w:cs="宋体"/>
                <w:color w:val="auto"/>
                <w:szCs w:val="21"/>
                <w:highlight w:val="none"/>
              </w:rPr>
            </w:pPr>
          </w:p>
        </w:tc>
        <w:tc>
          <w:tcPr>
            <w:tcW w:w="1536" w:type="dxa"/>
            <w:noWrap w:val="0"/>
            <w:vAlign w:val="center"/>
          </w:tcPr>
          <w:p w14:paraId="7765389E">
            <w:pPr>
              <w:widowControl/>
              <w:wordWrap w:val="0"/>
              <w:spacing w:line="2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注册</w:t>
            </w:r>
            <w:r>
              <w:rPr>
                <w:rFonts w:hint="eastAsia" w:ascii="宋体" w:hAnsi="宋体" w:cs="宋体"/>
                <w:color w:val="auto"/>
                <w:kern w:val="0"/>
                <w:szCs w:val="21"/>
                <w:highlight w:val="none"/>
                <w:lang w:eastAsia="en-US"/>
              </w:rPr>
              <w:t>地址</w:t>
            </w:r>
          </w:p>
        </w:tc>
        <w:tc>
          <w:tcPr>
            <w:tcW w:w="6912" w:type="dxa"/>
            <w:gridSpan w:val="3"/>
            <w:noWrap w:val="0"/>
            <w:vAlign w:val="center"/>
          </w:tcPr>
          <w:p w14:paraId="506DA4F5">
            <w:pPr>
              <w:widowControl/>
              <w:wordWrap w:val="0"/>
              <w:spacing w:line="240" w:lineRule="exact"/>
              <w:jc w:val="center"/>
              <w:rPr>
                <w:rFonts w:hint="eastAsia" w:ascii="宋体" w:hAnsi="宋体" w:cs="宋体"/>
                <w:color w:val="auto"/>
                <w:kern w:val="0"/>
                <w:szCs w:val="21"/>
                <w:highlight w:val="none"/>
              </w:rPr>
            </w:pPr>
          </w:p>
        </w:tc>
      </w:tr>
      <w:tr w14:paraId="7EF3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34FFD5A6">
            <w:pPr>
              <w:wordWrap w:val="0"/>
              <w:rPr>
                <w:rFonts w:hint="eastAsia" w:ascii="宋体" w:hAnsi="宋体" w:cs="宋体"/>
                <w:color w:val="auto"/>
                <w:szCs w:val="21"/>
                <w:highlight w:val="none"/>
              </w:rPr>
            </w:pPr>
          </w:p>
        </w:tc>
        <w:tc>
          <w:tcPr>
            <w:tcW w:w="1536" w:type="dxa"/>
            <w:noWrap w:val="0"/>
            <w:vAlign w:val="center"/>
          </w:tcPr>
          <w:p w14:paraId="0B1C58A1">
            <w:pPr>
              <w:widowControl/>
              <w:wordWrap w:val="0"/>
              <w:spacing w:line="2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en-US"/>
              </w:rPr>
              <w:t>联系人</w:t>
            </w:r>
          </w:p>
        </w:tc>
        <w:tc>
          <w:tcPr>
            <w:tcW w:w="2579" w:type="dxa"/>
            <w:noWrap w:val="0"/>
            <w:vAlign w:val="center"/>
          </w:tcPr>
          <w:p w14:paraId="52740A1E">
            <w:pPr>
              <w:widowControl/>
              <w:wordWrap w:val="0"/>
              <w:spacing w:line="240" w:lineRule="exact"/>
              <w:jc w:val="center"/>
              <w:rPr>
                <w:rFonts w:hint="eastAsia" w:ascii="宋体" w:hAnsi="宋体" w:cs="宋体"/>
                <w:color w:val="auto"/>
                <w:kern w:val="0"/>
                <w:szCs w:val="21"/>
                <w:highlight w:val="none"/>
              </w:rPr>
            </w:pPr>
          </w:p>
        </w:tc>
        <w:tc>
          <w:tcPr>
            <w:tcW w:w="1674" w:type="dxa"/>
            <w:noWrap w:val="0"/>
            <w:vAlign w:val="center"/>
          </w:tcPr>
          <w:p w14:paraId="5D69D984">
            <w:pPr>
              <w:widowControl/>
              <w:wordWrap w:val="0"/>
              <w:spacing w:line="2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en-US"/>
              </w:rPr>
              <w:t>联系电话</w:t>
            </w:r>
          </w:p>
        </w:tc>
        <w:tc>
          <w:tcPr>
            <w:tcW w:w="2659" w:type="dxa"/>
            <w:noWrap w:val="0"/>
            <w:vAlign w:val="center"/>
          </w:tcPr>
          <w:p w14:paraId="7CA207B1">
            <w:pPr>
              <w:widowControl/>
              <w:wordWrap w:val="0"/>
              <w:spacing w:line="240" w:lineRule="exact"/>
              <w:jc w:val="center"/>
              <w:rPr>
                <w:rFonts w:hint="eastAsia" w:ascii="宋体" w:hAnsi="宋体" w:cs="宋体"/>
                <w:color w:val="auto"/>
                <w:kern w:val="0"/>
                <w:szCs w:val="21"/>
                <w:highlight w:val="none"/>
              </w:rPr>
            </w:pPr>
          </w:p>
        </w:tc>
      </w:tr>
      <w:tr w14:paraId="1245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9854" w:type="dxa"/>
            <w:gridSpan w:val="5"/>
            <w:noWrap w:val="0"/>
            <w:vAlign w:val="center"/>
          </w:tcPr>
          <w:p w14:paraId="1CDE8C96">
            <w:pPr>
              <w:wordWrap w:val="0"/>
              <w:spacing w:before="120" w:beforeLines="50" w:line="480" w:lineRule="auto"/>
              <w:rPr>
                <w:rFonts w:hint="eastAsia" w:ascii="宋体" w:hAnsi="宋体" w:cs="宋体"/>
                <w:color w:val="auto"/>
                <w:szCs w:val="21"/>
                <w:highlight w:val="none"/>
              </w:rPr>
            </w:pPr>
            <w:r>
              <w:rPr>
                <w:rFonts w:hint="eastAsia" w:ascii="宋体" w:hAnsi="宋体" w:cs="宋体"/>
                <w:color w:val="auto"/>
                <w:szCs w:val="21"/>
                <w:highlight w:val="none"/>
              </w:rPr>
              <w:t>投标人公章：</w:t>
            </w:r>
          </w:p>
          <w:p w14:paraId="75D3629C">
            <w:pPr>
              <w:wordWrap w:val="0"/>
              <w:spacing w:line="480" w:lineRule="auto"/>
              <w:rPr>
                <w:rFonts w:hint="eastAsia" w:ascii="宋体" w:hAnsi="宋体" w:cs="宋体"/>
                <w:color w:val="auto"/>
                <w:szCs w:val="21"/>
                <w:highlight w:val="none"/>
              </w:rPr>
            </w:pPr>
            <w:r>
              <w:rPr>
                <w:rFonts w:hint="eastAsia" w:ascii="宋体" w:hAnsi="宋体" w:cs="宋体"/>
                <w:color w:val="auto"/>
                <w:szCs w:val="21"/>
                <w:highlight w:val="none"/>
              </w:rPr>
              <w:t>填表日期：</w:t>
            </w:r>
          </w:p>
        </w:tc>
      </w:tr>
      <w:tr w14:paraId="7171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854" w:type="dxa"/>
            <w:gridSpan w:val="5"/>
            <w:noWrap w:val="0"/>
            <w:vAlign w:val="center"/>
          </w:tcPr>
          <w:p w14:paraId="007B53C4">
            <w:pPr>
              <w:wordWrap w:val="0"/>
              <w:spacing w:before="120" w:beforeLines="50" w:line="360" w:lineRule="auto"/>
              <w:rPr>
                <w:rFonts w:hint="eastAsia" w:ascii="宋体" w:hAnsi="宋体" w:cs="宋体"/>
                <w:color w:val="auto"/>
                <w:highlight w:val="none"/>
              </w:rPr>
            </w:pPr>
            <w:r>
              <w:rPr>
                <w:rFonts w:hint="eastAsia" w:ascii="宋体" w:hAnsi="宋体" w:cs="宋体"/>
                <w:color w:val="auto"/>
                <w:highlight w:val="none"/>
              </w:rPr>
              <w:t>填表说明：</w:t>
            </w:r>
          </w:p>
          <w:p w14:paraId="66769CA3">
            <w:pPr>
              <w:wordWrap w:val="0"/>
              <w:spacing w:line="360" w:lineRule="auto"/>
              <w:rPr>
                <w:rFonts w:hint="eastAsia" w:ascii="宋体" w:hAnsi="宋体" w:cs="宋体"/>
                <w:color w:val="auto"/>
                <w:kern w:val="0"/>
                <w:highlight w:val="none"/>
              </w:rPr>
            </w:pPr>
            <w:r>
              <w:rPr>
                <w:rFonts w:hint="eastAsia" w:ascii="宋体" w:hAnsi="宋体" w:cs="宋体"/>
                <w:color w:val="auto"/>
                <w:highlight w:val="none"/>
              </w:rPr>
              <w:t>请填表人认真、准确填写，并加盖单位公章，为便于成交后进行政府采购合同备案，请填写完整。</w:t>
            </w:r>
          </w:p>
        </w:tc>
      </w:tr>
    </w:tbl>
    <w:p w14:paraId="31431E46">
      <w:pPr>
        <w:pStyle w:val="3"/>
        <w:widowControl/>
        <w:spacing w:before="120" w:after="120" w:line="240" w:lineRule="auto"/>
        <w:jc w:val="center"/>
        <w:rPr>
          <w:rStyle w:val="23"/>
          <w:rFonts w:hint="eastAsia" w:ascii="宋体" w:hAnsi="宋体" w:eastAsia="宋体" w:cs="宋体"/>
          <w:b/>
          <w:bCs/>
          <w:color w:val="auto"/>
          <w:sz w:val="30"/>
          <w:szCs w:val="30"/>
          <w:highlight w:val="none"/>
        </w:rPr>
      </w:pPr>
      <w:r>
        <w:rPr>
          <w:rFonts w:ascii="仿宋" w:hAnsi="仿宋" w:eastAsia="仿宋"/>
          <w:color w:val="auto"/>
          <w:kern w:val="0"/>
          <w:szCs w:val="21"/>
          <w:highlight w:val="none"/>
        </w:rPr>
        <w:br w:type="page"/>
      </w:r>
      <w:r>
        <w:rPr>
          <w:rStyle w:val="23"/>
          <w:rFonts w:hint="eastAsia" w:ascii="宋体" w:hAnsi="宋体" w:eastAsia="宋体" w:cs="宋体"/>
          <w:b/>
          <w:bCs/>
          <w:color w:val="auto"/>
          <w:sz w:val="30"/>
          <w:szCs w:val="30"/>
          <w:highlight w:val="none"/>
        </w:rPr>
        <w:t>五、</w:t>
      </w:r>
      <w:bookmarkEnd w:id="1016"/>
      <w:r>
        <w:rPr>
          <w:rStyle w:val="23"/>
          <w:rFonts w:hint="eastAsia" w:ascii="宋体" w:hAnsi="宋体" w:eastAsia="宋体" w:cs="宋体"/>
          <w:b/>
          <w:bCs/>
          <w:color w:val="auto"/>
          <w:sz w:val="30"/>
          <w:szCs w:val="30"/>
          <w:highlight w:val="none"/>
        </w:rPr>
        <w:t>中小企业声明函（货物）</w:t>
      </w:r>
    </w:p>
    <w:p w14:paraId="23AB219D">
      <w:pPr>
        <w:pStyle w:val="11"/>
        <w:spacing w:line="360" w:lineRule="auto"/>
        <w:jc w:val="center"/>
        <w:rPr>
          <w:rFonts w:hint="eastAsia" w:hAnsi="宋体" w:cs="宋体"/>
          <w:color w:val="auto"/>
          <w:highlight w:val="none"/>
        </w:rPr>
      </w:pPr>
      <w:r>
        <w:rPr>
          <w:rFonts w:hint="eastAsia" w:hAnsi="宋体" w:cs="宋体"/>
          <w:color w:val="auto"/>
          <w:highlight w:val="none"/>
        </w:rPr>
        <w:t>（不符合中小企业扶持政策的，无需提供）</w:t>
      </w:r>
    </w:p>
    <w:p w14:paraId="06874A32">
      <w:pPr>
        <w:pStyle w:val="7"/>
        <w:snapToGrid w:val="0"/>
        <w:spacing w:line="360" w:lineRule="auto"/>
        <w:ind w:firstLine="420" w:firstLineChars="200"/>
        <w:rPr>
          <w:rFonts w:hint="eastAsia" w:ascii="宋体" w:hAnsi="宋体" w:eastAsia="宋体" w:cs="宋体"/>
          <w:color w:val="auto"/>
          <w:sz w:val="21"/>
          <w:szCs w:val="21"/>
          <w:highlight w:val="none"/>
        </w:rPr>
      </w:pPr>
    </w:p>
    <w:p w14:paraId="4E9B307A">
      <w:pPr>
        <w:pStyle w:val="15"/>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本公司（联合体）郑重声明，根据《政府采购促进中小企业发展管理办法》（财库﹝2020﹞46号）的规定，本公司（联合体）参加</w:t>
      </w:r>
      <w:r>
        <w:rPr>
          <w:rFonts w:hint="eastAsia" w:cs="宋体"/>
          <w:i/>
          <w:color w:val="auto"/>
          <w:sz w:val="21"/>
          <w:szCs w:val="21"/>
          <w:highlight w:val="none"/>
          <w:u w:val="single" w:color="000000"/>
          <w:lang w:bidi="ar"/>
        </w:rPr>
        <w:t>（单位名称）</w:t>
      </w:r>
      <w:r>
        <w:rPr>
          <w:rFonts w:hint="eastAsia" w:cs="宋体"/>
          <w:color w:val="auto"/>
          <w:kern w:val="2"/>
          <w:sz w:val="21"/>
          <w:szCs w:val="21"/>
          <w:highlight w:val="none"/>
        </w:rPr>
        <w:t>的</w:t>
      </w:r>
      <w:r>
        <w:rPr>
          <w:rFonts w:hint="eastAsia" w:cs="宋体"/>
          <w:i/>
          <w:color w:val="auto"/>
          <w:sz w:val="21"/>
          <w:szCs w:val="21"/>
          <w:highlight w:val="none"/>
          <w:u w:val="single" w:color="000000"/>
          <w:lang w:bidi="ar"/>
        </w:rPr>
        <w:t>（项目名称）</w:t>
      </w:r>
      <w:r>
        <w:rPr>
          <w:rFonts w:hint="eastAsia" w:cs="宋体"/>
          <w:color w:val="auto"/>
          <w:kern w:val="2"/>
          <w:sz w:val="21"/>
          <w:szCs w:val="21"/>
          <w:highlight w:val="none"/>
        </w:rPr>
        <w:t>采购活动，提供的货物全部由符合政策要求的中小企业制造。相关企业（含联合体中的中小企业、签订分包意向协议的中小企业）的具体情况如下：</w:t>
      </w:r>
    </w:p>
    <w:p w14:paraId="60420CE2">
      <w:pPr>
        <w:pStyle w:val="15"/>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1.</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（采购文件中明确的所属行业）行业</w:t>
      </w:r>
      <w:r>
        <w:rPr>
          <w:rFonts w:hint="eastAsia" w:cs="宋体"/>
          <w:color w:val="auto"/>
          <w:kern w:val="2"/>
          <w:sz w:val="21"/>
          <w:szCs w:val="21"/>
          <w:highlight w:val="none"/>
        </w:rPr>
        <w:t>；制造商为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w:t>
      </w:r>
      <w:r>
        <w:rPr>
          <w:rFonts w:hint="eastAsia" w:cs="宋体"/>
          <w:color w:val="auto"/>
          <w:kern w:val="2"/>
          <w:sz w:val="21"/>
          <w:szCs w:val="21"/>
          <w:highlight w:val="none"/>
          <w:vertAlign w:val="superscript"/>
        </w:rPr>
        <w:footnoteReference w:id="0"/>
      </w:r>
      <w:r>
        <w:rPr>
          <w:rFonts w:hint="eastAsia" w:cs="宋体"/>
          <w:color w:val="auto"/>
          <w:kern w:val="2"/>
          <w:sz w:val="21"/>
          <w:szCs w:val="21"/>
          <w:highlight w:val="none"/>
        </w:rPr>
        <w:t>，属于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0356C4E0">
      <w:pPr>
        <w:pStyle w:val="15"/>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2.</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（采购文件中明确的所属行业）行业</w:t>
      </w:r>
      <w:r>
        <w:rPr>
          <w:rFonts w:hint="eastAsia" w:cs="宋体"/>
          <w:color w:val="auto"/>
          <w:kern w:val="2"/>
          <w:sz w:val="21"/>
          <w:szCs w:val="21"/>
          <w:highlight w:val="none"/>
        </w:rPr>
        <w:t>；制造商为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2DF61576">
      <w:pPr>
        <w:pStyle w:val="15"/>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w:t>
      </w:r>
    </w:p>
    <w:p w14:paraId="3E999769">
      <w:pPr>
        <w:pStyle w:val="15"/>
        <w:widowControl w:val="0"/>
        <w:autoSpaceDE w:val="0"/>
        <w:autoSpaceDN w:val="0"/>
        <w:snapToGrid w:val="0"/>
        <w:spacing w:before="0" w:beforeAutospacing="0" w:after="0" w:afterAutospacing="0" w:line="360" w:lineRule="auto"/>
        <w:ind w:right="397" w:rightChars="189"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以上企业，不属于大企业的分支机构，不存在控股股东为大企业的情形，也不存在与大企业的负责人为同一人的情形。</w:t>
      </w:r>
    </w:p>
    <w:p w14:paraId="67C0B70B">
      <w:pPr>
        <w:pStyle w:val="15"/>
        <w:widowControl w:val="0"/>
        <w:autoSpaceDE w:val="0"/>
        <w:autoSpaceDN w:val="0"/>
        <w:snapToGrid w:val="0"/>
        <w:spacing w:before="0" w:beforeAutospacing="0" w:after="0" w:afterAutospacing="0" w:line="360" w:lineRule="auto"/>
        <w:ind w:firstLine="420" w:firstLineChars="200"/>
        <w:rPr>
          <w:rFonts w:hint="eastAsia" w:cs="宋体"/>
          <w:snapToGrid w:val="0"/>
          <w:color w:val="auto"/>
          <w:sz w:val="21"/>
          <w:szCs w:val="21"/>
          <w:highlight w:val="none"/>
        </w:rPr>
      </w:pPr>
      <w:r>
        <w:rPr>
          <w:rFonts w:hint="eastAsia" w:cs="宋体"/>
          <w:snapToGrid w:val="0"/>
          <w:color w:val="auto"/>
          <w:sz w:val="21"/>
          <w:szCs w:val="21"/>
          <w:highlight w:val="none"/>
          <w:lang w:bidi="ar"/>
        </w:rPr>
        <w:t>本企业对上述声明内容的真实性负责。如有虚假，将依法承担相应责任。</w:t>
      </w:r>
    </w:p>
    <w:p w14:paraId="16A175A0">
      <w:pPr>
        <w:pStyle w:val="15"/>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企业名称（盖章）：</w:t>
      </w:r>
    </w:p>
    <w:p w14:paraId="6873F578">
      <w:pPr>
        <w:pStyle w:val="15"/>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日期：</w:t>
      </w:r>
    </w:p>
    <w:p w14:paraId="173AD4D5">
      <w:pPr>
        <w:pStyle w:val="15"/>
        <w:widowControl w:val="0"/>
        <w:autoSpaceDE w:val="0"/>
        <w:autoSpaceDN w:val="0"/>
        <w:snapToGrid w:val="0"/>
        <w:spacing w:before="0" w:beforeAutospacing="0" w:after="0" w:afterAutospacing="0" w:line="360" w:lineRule="auto"/>
        <w:ind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注一：不符合中小企业扶持政策的，或所有标的信息不能填写全面的，无需提供；请投标人务必全面、准确了解相关政策、产品及制造商等相关信息后，谨慎提交。</w:t>
      </w:r>
    </w:p>
    <w:p w14:paraId="70B00087">
      <w:pPr>
        <w:tabs>
          <w:tab w:val="left" w:pos="1183"/>
          <w:tab w:val="left" w:pos="1484"/>
          <w:tab w:val="left" w:pos="4662"/>
          <w:tab w:val="left" w:pos="6903"/>
        </w:tabs>
        <w:snapToGrid w:val="0"/>
        <w:spacing w:line="360" w:lineRule="auto"/>
        <w:ind w:firstLine="442" w:firstLineChars="200"/>
        <w:rPr>
          <w:rFonts w:ascii="宋体" w:hAnsi="宋体"/>
          <w:b/>
          <w:color w:val="auto"/>
          <w:sz w:val="22"/>
          <w:szCs w:val="21"/>
          <w:highlight w:val="none"/>
        </w:rPr>
      </w:pPr>
      <w:r>
        <w:rPr>
          <w:rFonts w:hint="eastAsia" w:ascii="宋体" w:hAnsi="宋体"/>
          <w:b/>
          <w:color w:val="auto"/>
          <w:sz w:val="22"/>
          <w:szCs w:val="21"/>
          <w:highlight w:val="none"/>
        </w:rPr>
        <w:t>投标人须</w:t>
      </w:r>
      <w:r>
        <w:rPr>
          <w:rFonts w:ascii="宋体" w:hAnsi="宋体"/>
          <w:b/>
          <w:color w:val="auto"/>
          <w:sz w:val="22"/>
          <w:szCs w:val="21"/>
          <w:highlight w:val="none"/>
        </w:rPr>
        <w:t>对</w:t>
      </w:r>
      <w:r>
        <w:rPr>
          <w:rFonts w:hint="eastAsia" w:ascii="宋体" w:hAnsi="宋体"/>
          <w:b/>
          <w:color w:val="auto"/>
          <w:sz w:val="22"/>
          <w:szCs w:val="21"/>
          <w:highlight w:val="none"/>
        </w:rPr>
        <w:t>《中小企业声明函》</w:t>
      </w:r>
      <w:r>
        <w:rPr>
          <w:rFonts w:ascii="宋体" w:hAnsi="宋体"/>
          <w:b/>
          <w:color w:val="auto"/>
          <w:sz w:val="22"/>
          <w:szCs w:val="21"/>
          <w:highlight w:val="none"/>
        </w:rPr>
        <w:t>的真实性负责。如有虚假，</w:t>
      </w:r>
      <w:r>
        <w:rPr>
          <w:rFonts w:ascii="宋体" w:hAnsi="宋体"/>
          <w:b/>
          <w:color w:val="auto"/>
          <w:sz w:val="22"/>
          <w:szCs w:val="21"/>
          <w:highlight w:val="none"/>
          <w:lang w:bidi="ar"/>
        </w:rPr>
        <w:t>属于提供虚假材料谋取中标，</w:t>
      </w:r>
      <w:r>
        <w:rPr>
          <w:rFonts w:ascii="宋体" w:hAnsi="宋体"/>
          <w:b/>
          <w:color w:val="auto"/>
          <w:sz w:val="22"/>
          <w:szCs w:val="21"/>
          <w:highlight w:val="none"/>
        </w:rPr>
        <w:t>将依法</w:t>
      </w:r>
      <w:r>
        <w:rPr>
          <w:rFonts w:hint="eastAsia" w:ascii="宋体" w:hAnsi="宋体"/>
          <w:b/>
          <w:color w:val="auto"/>
          <w:sz w:val="22"/>
          <w:szCs w:val="21"/>
          <w:highlight w:val="none"/>
        </w:rPr>
        <w:t>追究</w:t>
      </w:r>
      <w:r>
        <w:rPr>
          <w:rFonts w:ascii="宋体" w:hAnsi="宋体"/>
          <w:b/>
          <w:color w:val="auto"/>
          <w:sz w:val="22"/>
          <w:szCs w:val="21"/>
          <w:highlight w:val="none"/>
        </w:rPr>
        <w:t>相应责任。</w:t>
      </w:r>
      <w:r>
        <w:rPr>
          <w:rFonts w:hint="eastAsia" w:ascii="宋体" w:hAnsi="宋体"/>
          <w:b/>
          <w:color w:val="auto"/>
          <w:sz w:val="22"/>
          <w:szCs w:val="21"/>
          <w:highlight w:val="none"/>
        </w:rPr>
        <w:t>投标人可自行登录工业和信息化部官网进行中小企业规模类型自测（查询网址https://www.miit.gov.cn/）。</w:t>
      </w:r>
    </w:p>
    <w:p w14:paraId="6B349597">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注二：1.监狱企业无需</w:t>
      </w:r>
      <w:r>
        <w:rPr>
          <w:rFonts w:hint="eastAsia" w:ascii="宋体" w:hAnsi="宋体" w:cs="宋体"/>
          <w:color w:val="auto"/>
          <w:spacing w:val="6"/>
          <w:sz w:val="22"/>
          <w:highlight w:val="none"/>
        </w:rPr>
        <w:t>提供</w:t>
      </w:r>
      <w:r>
        <w:rPr>
          <w:rFonts w:hint="eastAsia" w:ascii="宋体" w:hAnsi="宋体" w:cs="宋体"/>
          <w:color w:val="auto"/>
          <w:szCs w:val="21"/>
          <w:highlight w:val="none"/>
        </w:rPr>
        <w:t>《中小企业声明函》，需要提供由省级以上监狱管理局、戒毒管理局(含新疆生产建设兵团)出具的属于监狱企业的证明文件。</w:t>
      </w:r>
    </w:p>
    <w:p w14:paraId="0998F9C3">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2.残疾人福利性单位无需提供《中小企业声明函》，提供以下格式的《残疾人福利性单位声明函》。</w:t>
      </w:r>
    </w:p>
    <w:p w14:paraId="331D38D4">
      <w:pPr>
        <w:spacing w:line="360" w:lineRule="auto"/>
        <w:rPr>
          <w:rFonts w:hint="eastAsia" w:ascii="宋体" w:hAnsi="宋体" w:cs="宋体"/>
          <w:color w:val="auto"/>
          <w:highlight w:val="none"/>
        </w:rPr>
      </w:pPr>
      <w:bookmarkStart w:id="1017" w:name="OLE_LINK13"/>
      <w:bookmarkStart w:id="1018" w:name="OLE_LINK14"/>
    </w:p>
    <w:p w14:paraId="45B8DB71">
      <w:pPr>
        <w:spacing w:line="360" w:lineRule="auto"/>
        <w:rPr>
          <w:rFonts w:hint="eastAsia" w:ascii="宋体" w:hAnsi="宋体" w:cs="宋体"/>
          <w:color w:val="auto"/>
          <w:highlight w:val="none"/>
        </w:rPr>
      </w:pPr>
    </w:p>
    <w:p w14:paraId="1B230FC4">
      <w:pPr>
        <w:rPr>
          <w:rFonts w:hint="eastAsia" w:ascii="宋体" w:hAnsi="宋体" w:cs="宋体"/>
          <w:color w:val="auto"/>
          <w:highlight w:val="none"/>
        </w:rPr>
      </w:pPr>
    </w:p>
    <w:p w14:paraId="371B1DF5">
      <w:pPr>
        <w:pStyle w:val="11"/>
        <w:spacing w:line="360" w:lineRule="auto"/>
        <w:jc w:val="center"/>
        <w:rPr>
          <w:rFonts w:hint="eastAsia" w:hAnsi="宋体" w:cs="宋体"/>
          <w:b/>
          <w:color w:val="auto"/>
          <w:spacing w:val="6"/>
          <w:szCs w:val="24"/>
          <w:highlight w:val="none"/>
        </w:rPr>
      </w:pPr>
      <w:r>
        <w:rPr>
          <w:rFonts w:hint="eastAsia" w:hAnsi="宋体" w:cs="宋体"/>
          <w:b/>
          <w:color w:val="auto"/>
          <w:spacing w:val="6"/>
          <w:szCs w:val="24"/>
          <w:highlight w:val="none"/>
        </w:rPr>
        <w:t>残疾人福利性单位声明函</w:t>
      </w:r>
    </w:p>
    <w:bookmarkEnd w:id="1017"/>
    <w:bookmarkEnd w:id="1018"/>
    <w:p w14:paraId="5D28B2B9">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本单位郑重声明，根据</w:t>
      </w:r>
      <w:r>
        <w:rPr>
          <w:rFonts w:hint="eastAsia" w:ascii="宋体" w:hAnsi="宋体" w:cs="宋体"/>
          <w:color w:val="auto"/>
          <w:sz w:val="22"/>
          <w:highlight w:val="none"/>
          <w:lang w:val="zh-CN"/>
        </w:rPr>
        <w:t>《财政部 民政部 中国残疾人联合会关于促进残疾人就业政府采购政策的通知》</w:t>
      </w:r>
      <w:r>
        <w:rPr>
          <w:rFonts w:hint="eastAsia" w:ascii="宋体" w:hAnsi="宋体" w:cs="宋体"/>
          <w:color w:val="auto"/>
          <w:spacing w:val="6"/>
          <w:sz w:val="22"/>
          <w:highlight w:val="none"/>
        </w:rPr>
        <w:t>（财库</w:t>
      </w:r>
      <w:r>
        <w:rPr>
          <w:rFonts w:hint="eastAsia" w:ascii="宋体" w:hAnsi="宋体" w:cs="宋体"/>
          <w:color w:val="auto"/>
          <w:sz w:val="22"/>
          <w:highlight w:val="none"/>
        </w:rPr>
        <w:t>〔2017〕141</w:t>
      </w:r>
      <w:r>
        <w:rPr>
          <w:rFonts w:hint="eastAsia" w:ascii="宋体" w:hAnsi="宋体" w:cs="宋体"/>
          <w:color w:val="auto"/>
          <w:spacing w:val="6"/>
          <w:sz w:val="22"/>
          <w:highlight w:val="none"/>
        </w:rPr>
        <w:t>号）的规定，本单位为符合条件的残疾人福利性单位，且本单位参加</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单位的</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项目采购活动提供本单位制造的货物（由本单位承担工程/提供服务），或者提供其他残疾人福利性单位制造的货物（不包括使用非残疾人福利性单位注册商标的货物）。</w:t>
      </w:r>
    </w:p>
    <w:p w14:paraId="0585A529">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本单位对上述声明的真实性负责。如有虚假，将依法承担相应责任。</w:t>
      </w:r>
    </w:p>
    <w:p w14:paraId="20D58C26">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 xml:space="preserve">               单位名称：</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rPr>
        <w:t>（盖单位章）</w:t>
      </w:r>
    </w:p>
    <w:p w14:paraId="75839E2D">
      <w:pPr>
        <w:autoSpaceDE w:val="0"/>
        <w:autoSpaceDN w:val="0"/>
        <w:snapToGrid w:val="0"/>
        <w:spacing w:line="360" w:lineRule="auto"/>
        <w:ind w:left="80" w:leftChars="38" w:right="40" w:firstLine="464" w:firstLineChars="200"/>
        <w:rPr>
          <w:rFonts w:hint="eastAsia" w:ascii="宋体" w:hAnsi="宋体" w:cs="宋体"/>
          <w:color w:val="auto"/>
          <w:sz w:val="24"/>
          <w:highlight w:val="none"/>
        </w:rPr>
      </w:pPr>
      <w:r>
        <w:rPr>
          <w:rFonts w:hint="eastAsia" w:ascii="宋体" w:hAnsi="宋体" w:cs="宋体"/>
          <w:color w:val="auto"/>
          <w:spacing w:val="6"/>
          <w:sz w:val="22"/>
          <w:highlight w:val="none"/>
        </w:rPr>
        <w:t xml:space="preserve">               日  期：</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u w:val="single"/>
        </w:rPr>
        <w:br w:type="page"/>
      </w:r>
      <w:r>
        <w:rPr>
          <w:rFonts w:hint="eastAsia" w:ascii="宋体" w:hAnsi="宋体" w:cs="宋体"/>
          <w:color w:val="auto"/>
          <w:sz w:val="24"/>
          <w:highlight w:val="none"/>
        </w:rPr>
        <w:t>附：</w:t>
      </w:r>
    </w:p>
    <w:p w14:paraId="1398796E">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工业和信息化部、国家统计局、国家发展和改革委员会、财政部关于印发中小企业划型标准规定的通知</w:t>
      </w:r>
    </w:p>
    <w:p w14:paraId="0A5659D0">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（工信部联企业〔2011〕300号）</w:t>
      </w:r>
    </w:p>
    <w:p w14:paraId="30C2A761">
      <w:pPr>
        <w:widowControl/>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各省、自治区、直辖市人民政府，国务院各部委、各直属机构及有关单位：</w:t>
      </w:r>
    </w:p>
    <w:p w14:paraId="4177394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0A8D9EB">
      <w:pPr>
        <w:widowControl/>
        <w:jc w:val="right"/>
        <w:rPr>
          <w:rFonts w:hint="eastAsia" w:ascii="宋体" w:hAnsi="宋体" w:cs="宋体"/>
          <w:color w:val="auto"/>
          <w:szCs w:val="21"/>
          <w:highlight w:val="none"/>
        </w:rPr>
      </w:pPr>
      <w:r>
        <w:rPr>
          <w:rFonts w:hint="eastAsia" w:ascii="宋体" w:hAnsi="宋体" w:cs="宋体"/>
          <w:color w:val="auto"/>
          <w:szCs w:val="21"/>
          <w:highlight w:val="none"/>
        </w:rPr>
        <w:t>工业和信息化部</w:t>
      </w:r>
    </w:p>
    <w:p w14:paraId="2ECA8A18">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国家统计局</w:t>
      </w:r>
    </w:p>
    <w:p w14:paraId="150D6CFC">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国家发展和改革委员会</w:t>
      </w:r>
    </w:p>
    <w:p w14:paraId="4F9E0045">
      <w:pPr>
        <w:widowControl/>
        <w:jc w:val="right"/>
        <w:rPr>
          <w:rFonts w:hint="eastAsia" w:ascii="宋体" w:hAnsi="宋体" w:cs="宋体"/>
          <w:color w:val="auto"/>
          <w:szCs w:val="21"/>
          <w:highlight w:val="none"/>
        </w:rPr>
      </w:pPr>
      <w:r>
        <w:rPr>
          <w:rFonts w:hint="eastAsia" w:ascii="宋体" w:hAnsi="宋体" w:cs="宋体"/>
          <w:color w:val="auto"/>
          <w:szCs w:val="21"/>
          <w:highlight w:val="none"/>
        </w:rPr>
        <w:t>财政部</w:t>
      </w:r>
    </w:p>
    <w:p w14:paraId="49CAED2C">
      <w:pPr>
        <w:widowControl/>
        <w:jc w:val="right"/>
        <w:rPr>
          <w:rFonts w:hint="eastAsia" w:ascii="宋体" w:hAnsi="宋体" w:cs="宋体"/>
          <w:color w:val="auto"/>
          <w:szCs w:val="21"/>
          <w:highlight w:val="none"/>
        </w:rPr>
      </w:pPr>
      <w:r>
        <w:rPr>
          <w:rFonts w:hint="eastAsia" w:ascii="宋体" w:hAnsi="宋体" w:cs="宋体"/>
          <w:color w:val="auto"/>
          <w:szCs w:val="21"/>
          <w:highlight w:val="none"/>
        </w:rPr>
        <w:t>二○一一年六月十八日</w:t>
      </w:r>
    </w:p>
    <w:p w14:paraId="7C9C22D3">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中小企业划型标准规定</w:t>
      </w:r>
    </w:p>
    <w:p w14:paraId="573D266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一、根据《中华人民共和国中小企业促进法》和《国务院关于进一步促进中小企业发展的若干意见》（国发〔2009〕36号），制定本规定。</w:t>
      </w:r>
    </w:p>
    <w:p w14:paraId="1D75A37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二、中小企业划分为中型、小型、微型三种类型，具体标准根据企业从业人员、营业收入、资产总额等指标，结合行业特点制定。</w:t>
      </w:r>
    </w:p>
    <w:p w14:paraId="3450685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57738E6">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四、各行业划型标准为：</w:t>
      </w:r>
    </w:p>
    <w:p w14:paraId="6447DAA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（一）农、林、牧、渔业。营业收入20000万元以下的为中小微型企业。其中，营业收入500万元及以上的为中型企业，营业收入50万元及以上的为小型企业，营业收入50万元以下的为微型企业。</w:t>
      </w:r>
    </w:p>
    <w:p w14:paraId="2ABE655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2BD6F0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87A063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4C077C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AC7724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789AD5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6D8277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AA223B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05A4A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B94DA06">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3E1926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39464F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9350D0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F2F8C5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B8C41E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（十六）其他未列明行业。从业人员300人以下的为中小微型企业。其中，从业人员100人及以上的为中型企业；从业人员10人及以上的为小型企业；从业人员10人以下的为微型企业。</w:t>
      </w:r>
    </w:p>
    <w:p w14:paraId="25101B0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五、企业类型的划分以统计部门的统计数据为依据。</w:t>
      </w:r>
    </w:p>
    <w:p w14:paraId="39967CE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六、本规定适用于在中华人民共和国境内依法设立的各类所有制和各种组织形式的企业。个体工商户和本规定以外的行业，参照本规定进行划型。</w:t>
      </w:r>
    </w:p>
    <w:p w14:paraId="06D64AB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288474A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八、本规定由工业和信息化部、国家统计局会同有关部门根据《国民经济行业分类》修订情况和企业发展变化情况适时修订。</w:t>
      </w:r>
    </w:p>
    <w:p w14:paraId="2B30EE4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九、本规定由工业和信息化部、国家统计局会同有关部门负责解释。</w:t>
      </w:r>
    </w:p>
    <w:p w14:paraId="2D3F65B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十、本规定自发布之日起执行，原国家经贸委、原国家计委、财政部和国家统计局2003年颁布的《中小企业标准暂行规定》同时废止。</w:t>
      </w:r>
    </w:p>
    <w:p w14:paraId="3CF584EF">
      <w:pPr>
        <w:widowControl/>
        <w:spacing w:line="200" w:lineRule="atLeast"/>
        <w:rPr>
          <w:rFonts w:hint="eastAsia" w:ascii="宋体" w:hAnsi="宋体" w:cs="宋体"/>
          <w:color w:val="auto"/>
          <w:kern w:val="0"/>
          <w:sz w:val="20"/>
          <w:szCs w:val="20"/>
          <w:highlight w:val="none"/>
        </w:rPr>
        <w:sectPr>
          <w:footnotePr>
            <w:numRestart w:val="eachPage"/>
          </w:footnotePr>
          <w:pgSz w:w="11906" w:h="16838"/>
          <w:pgMar w:top="1134" w:right="1134" w:bottom="1134" w:left="1134" w:header="851" w:footer="851" w:gutter="0"/>
          <w:cols w:space="720" w:num="1"/>
          <w:docGrid w:linePitch="312" w:charSpace="0"/>
        </w:sectPr>
      </w:pPr>
    </w:p>
    <w:p w14:paraId="194FCE6D">
      <w:pPr>
        <w:pStyle w:val="3"/>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bCs w:val="0"/>
          <w:color w:val="auto"/>
          <w:kern w:val="0"/>
          <w:sz w:val="28"/>
          <w:szCs w:val="28"/>
          <w:highlight w:val="none"/>
        </w:rPr>
        <w:t>六、</w:t>
      </w:r>
      <w:r>
        <w:rPr>
          <w:rFonts w:hint="eastAsia" w:ascii="宋体" w:hAnsi="宋体" w:cs="宋体"/>
          <w:color w:val="auto"/>
          <w:kern w:val="0"/>
          <w:sz w:val="28"/>
          <w:szCs w:val="28"/>
          <w:highlight w:val="none"/>
        </w:rPr>
        <w:t>法定代表人（单位负责人）身份证明或授权委托书</w:t>
      </w:r>
    </w:p>
    <w:p w14:paraId="093299C6">
      <w:pPr>
        <w:jc w:val="center"/>
        <w:rPr>
          <w:rFonts w:hint="eastAsia" w:ascii="宋体" w:hAnsi="宋体" w:cs="宋体"/>
          <w:b/>
          <w:color w:val="auto"/>
          <w:highlight w:val="none"/>
        </w:rPr>
      </w:pPr>
      <w:r>
        <w:rPr>
          <w:rFonts w:hint="eastAsia" w:ascii="宋体" w:hAnsi="宋体" w:cs="宋体"/>
          <w:b/>
          <w:color w:val="auto"/>
          <w:kern w:val="0"/>
          <w:sz w:val="28"/>
          <w:szCs w:val="28"/>
          <w:highlight w:val="none"/>
        </w:rPr>
        <w:t>法定代表人（单位负责人）身份证明</w:t>
      </w:r>
    </w:p>
    <w:p w14:paraId="15D03C72">
      <w:pPr>
        <w:widowControl/>
        <w:spacing w:line="360" w:lineRule="auto"/>
        <w:rPr>
          <w:rFonts w:hint="eastAsia" w:ascii="宋体" w:hAnsi="宋体" w:cs="宋体"/>
          <w:color w:val="auto"/>
          <w:spacing w:val="3"/>
          <w:kern w:val="0"/>
          <w:highlight w:val="none"/>
        </w:rPr>
      </w:pPr>
      <w:r>
        <w:rPr>
          <w:rFonts w:hint="eastAsia" w:ascii="宋体" w:hAnsi="宋体" w:cs="宋体"/>
          <w:color w:val="auto"/>
          <w:kern w:val="0"/>
          <w:highlight w:val="none"/>
        </w:rPr>
        <w:t>投标人名称：</w:t>
      </w:r>
      <w:r>
        <w:rPr>
          <w:rFonts w:hint="eastAsia" w:ascii="宋体" w:hAnsi="宋体" w:cs="宋体"/>
          <w:color w:val="auto"/>
          <w:kern w:val="0"/>
          <w:highlight w:val="none"/>
          <w:u w:val="single"/>
        </w:rPr>
        <w:t xml:space="preserve">                                                      </w:t>
      </w:r>
      <w:r>
        <w:rPr>
          <w:rFonts w:hint="eastAsia" w:ascii="宋体" w:hAnsi="宋体" w:cs="宋体"/>
          <w:color w:val="auto"/>
          <w:spacing w:val="3"/>
          <w:kern w:val="0"/>
          <w:highlight w:val="none"/>
          <w:u w:val="single"/>
        </w:rPr>
        <w:t xml:space="preserve"> </w:t>
      </w:r>
      <w:r>
        <w:rPr>
          <w:rFonts w:hint="eastAsia" w:ascii="宋体" w:hAnsi="宋体" w:cs="宋体"/>
          <w:color w:val="auto"/>
          <w:spacing w:val="3"/>
          <w:kern w:val="0"/>
          <w:highlight w:val="none"/>
        </w:rPr>
        <w:t xml:space="preserve"> </w:t>
      </w:r>
    </w:p>
    <w:p w14:paraId="7E0D7C24">
      <w:pPr>
        <w:widowControl/>
        <w:spacing w:line="360" w:lineRule="auto"/>
        <w:rPr>
          <w:rFonts w:hint="eastAsia" w:ascii="宋体" w:hAnsi="宋体" w:cs="宋体"/>
          <w:color w:val="auto"/>
          <w:spacing w:val="26"/>
          <w:kern w:val="0"/>
          <w:highlight w:val="none"/>
        </w:rPr>
      </w:pPr>
      <w:r>
        <w:rPr>
          <w:rFonts w:hint="eastAsia" w:ascii="宋体" w:hAnsi="宋体" w:cs="宋体"/>
          <w:color w:val="auto"/>
          <w:kern w:val="0"/>
          <w:highlight w:val="none"/>
        </w:rPr>
        <w:t>单位</w:t>
      </w:r>
      <w:r>
        <w:rPr>
          <w:rFonts w:hint="eastAsia" w:ascii="宋体" w:hAnsi="宋体" w:cs="宋体"/>
          <w:color w:val="auto"/>
          <w:spacing w:val="-1"/>
          <w:kern w:val="0"/>
          <w:highlight w:val="none"/>
        </w:rPr>
        <w:t>性</w:t>
      </w:r>
      <w:r>
        <w:rPr>
          <w:rFonts w:hint="eastAsia" w:ascii="宋体" w:hAnsi="宋体" w:cs="宋体"/>
          <w:color w:val="auto"/>
          <w:kern w:val="0"/>
          <w:highlight w:val="none"/>
        </w:rPr>
        <w:t>质：</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r>
        <w:rPr>
          <w:rFonts w:hint="eastAsia" w:ascii="宋体" w:hAnsi="宋体" w:cs="宋体"/>
          <w:color w:val="auto"/>
          <w:spacing w:val="26"/>
          <w:kern w:val="0"/>
          <w:highlight w:val="none"/>
        </w:rPr>
        <w:t xml:space="preserve"> </w:t>
      </w:r>
    </w:p>
    <w:p w14:paraId="40306D4F">
      <w:pPr>
        <w:widowControl/>
        <w:spacing w:line="360" w:lineRule="auto"/>
        <w:rPr>
          <w:rFonts w:hint="eastAsia" w:ascii="宋体" w:hAnsi="宋体" w:cs="宋体"/>
          <w:color w:val="auto"/>
          <w:spacing w:val="10"/>
          <w:kern w:val="0"/>
          <w:highlight w:val="none"/>
        </w:rPr>
      </w:pPr>
      <w:r>
        <w:rPr>
          <w:rFonts w:hint="eastAsia" w:ascii="宋体" w:hAnsi="宋体" w:cs="宋体"/>
          <w:color w:val="auto"/>
          <w:kern w:val="0"/>
          <w:highlight w:val="none"/>
        </w:rPr>
        <w:t>地    址</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spacing w:val="10"/>
          <w:kern w:val="0"/>
          <w:highlight w:val="none"/>
          <w:u w:val="single"/>
        </w:rPr>
        <w:t xml:space="preserve"> </w:t>
      </w:r>
      <w:r>
        <w:rPr>
          <w:rFonts w:hint="eastAsia" w:ascii="宋体" w:hAnsi="宋体" w:cs="宋体"/>
          <w:color w:val="auto"/>
          <w:spacing w:val="10"/>
          <w:kern w:val="0"/>
          <w:highlight w:val="none"/>
        </w:rPr>
        <w:t xml:space="preserve"> </w:t>
      </w:r>
    </w:p>
    <w:p w14:paraId="380CEC4F">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成立</w:t>
      </w:r>
      <w:r>
        <w:rPr>
          <w:rFonts w:hint="eastAsia" w:ascii="宋体" w:hAnsi="宋体" w:cs="宋体"/>
          <w:color w:val="auto"/>
          <w:spacing w:val="-1"/>
          <w:kern w:val="0"/>
          <w:highlight w:val="none"/>
        </w:rPr>
        <w:t>时</w:t>
      </w:r>
      <w:r>
        <w:rPr>
          <w:rFonts w:hint="eastAsia" w:ascii="宋体" w:hAnsi="宋体" w:cs="宋体"/>
          <w:color w:val="auto"/>
          <w:kern w:val="0"/>
          <w:highlight w:val="none"/>
        </w:rPr>
        <w:t>间：</w:t>
      </w:r>
      <w:r>
        <w:rPr>
          <w:rFonts w:hint="eastAsia" w:ascii="宋体" w:hAnsi="宋体" w:cs="宋体"/>
          <w:color w:val="auto"/>
          <w:kern w:val="0"/>
          <w:highlight w:val="none"/>
          <w:u w:val="single"/>
        </w:rPr>
        <w:t xml:space="preserve">      </w:t>
      </w:r>
      <w:r>
        <w:rPr>
          <w:rFonts w:hint="eastAsia" w:ascii="宋体" w:hAnsi="宋体" w:cs="宋体"/>
          <w:color w:val="auto"/>
          <w:spacing w:val="-6"/>
          <w:kern w:val="0"/>
          <w:highlight w:val="none"/>
          <w:u w:val="single"/>
        </w:rPr>
        <w:t xml:space="preserve"> </w:t>
      </w:r>
      <w:r>
        <w:rPr>
          <w:rFonts w:hint="eastAsia" w:ascii="宋体" w:hAnsi="宋体" w:cs="宋体"/>
          <w:color w:val="auto"/>
          <w:spacing w:val="-1"/>
          <w:kern w:val="0"/>
          <w:highlight w:val="none"/>
        </w:rPr>
        <w:t>年</w:t>
      </w:r>
      <w:r>
        <w:rPr>
          <w:rFonts w:hint="eastAsia" w:ascii="宋体" w:hAnsi="宋体" w:cs="宋体"/>
          <w:color w:val="auto"/>
          <w:kern w:val="0"/>
          <w:highlight w:val="none"/>
          <w:u w:val="single"/>
        </w:rPr>
        <w:t xml:space="preserve">  </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月</w:t>
      </w:r>
      <w:r>
        <w:rPr>
          <w:rFonts w:hint="eastAsia" w:ascii="宋体" w:hAnsi="宋体" w:cs="宋体"/>
          <w:color w:val="auto"/>
          <w:kern w:val="0"/>
          <w:highlight w:val="none"/>
          <w:u w:val="single"/>
        </w:rPr>
        <w:t xml:space="preserve">   </w:t>
      </w:r>
      <w:r>
        <w:rPr>
          <w:rFonts w:hint="eastAsia" w:ascii="宋体" w:hAnsi="宋体" w:cs="宋体"/>
          <w:color w:val="auto"/>
          <w:spacing w:val="-49"/>
          <w:kern w:val="0"/>
          <w:highlight w:val="none"/>
        </w:rPr>
        <w:t xml:space="preserve"> </w:t>
      </w:r>
      <w:r>
        <w:rPr>
          <w:rFonts w:hint="eastAsia" w:ascii="宋体" w:hAnsi="宋体" w:cs="宋体"/>
          <w:color w:val="auto"/>
          <w:kern w:val="0"/>
          <w:highlight w:val="none"/>
        </w:rPr>
        <w:t xml:space="preserve">日 </w:t>
      </w:r>
    </w:p>
    <w:p w14:paraId="0EC5B743">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经营</w:t>
      </w:r>
      <w:r>
        <w:rPr>
          <w:rFonts w:hint="eastAsia" w:ascii="宋体" w:hAnsi="宋体" w:cs="宋体"/>
          <w:color w:val="auto"/>
          <w:spacing w:val="-1"/>
          <w:kern w:val="0"/>
          <w:highlight w:val="none"/>
        </w:rPr>
        <w:t>期</w:t>
      </w:r>
      <w:r>
        <w:rPr>
          <w:rFonts w:hint="eastAsia" w:ascii="宋体" w:hAnsi="宋体" w:cs="宋体"/>
          <w:color w:val="auto"/>
          <w:kern w:val="0"/>
          <w:highlight w:val="none"/>
        </w:rPr>
        <w:t>限：</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p>
    <w:p w14:paraId="5A4C2A59">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姓名：</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性别：</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年</w:t>
      </w:r>
      <w:r>
        <w:rPr>
          <w:rFonts w:hint="eastAsia" w:ascii="宋体" w:hAnsi="宋体" w:cs="宋体"/>
          <w:color w:val="auto"/>
          <w:spacing w:val="-1"/>
          <w:kern w:val="0"/>
          <w:highlight w:val="none"/>
        </w:rPr>
        <w:t>龄</w:t>
      </w:r>
      <w:r>
        <w:rPr>
          <w:rFonts w:hint="eastAsia" w:ascii="宋体" w:hAnsi="宋体" w:cs="宋体"/>
          <w:color w:val="auto"/>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职务</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 </w:t>
      </w:r>
    </w:p>
    <w:p w14:paraId="637CADEB">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系</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投标人名称）的法定代表人（单位负责人）。</w:t>
      </w:r>
    </w:p>
    <w:p w14:paraId="20DAF966">
      <w:pPr>
        <w:widowControl/>
        <w:spacing w:line="360" w:lineRule="auto"/>
        <w:ind w:right="6463"/>
        <w:rPr>
          <w:rFonts w:hint="eastAsia" w:ascii="宋体" w:hAnsi="宋体" w:cs="宋体"/>
          <w:color w:val="auto"/>
          <w:kern w:val="0"/>
          <w:highlight w:val="none"/>
        </w:rPr>
      </w:pPr>
      <w:r>
        <w:rPr>
          <w:rFonts w:hint="eastAsia" w:ascii="宋体" w:hAnsi="宋体" w:cs="宋体"/>
          <w:color w:val="auto"/>
          <w:kern w:val="0"/>
          <w:highlight w:val="none"/>
        </w:rPr>
        <w:t>特此证明。</w:t>
      </w:r>
    </w:p>
    <w:p w14:paraId="74E8F60B">
      <w:pPr>
        <w:widowControl/>
        <w:spacing w:before="12" w:line="360" w:lineRule="auto"/>
        <w:rPr>
          <w:rFonts w:hint="eastAsia" w:ascii="宋体" w:hAnsi="宋体" w:cs="宋体"/>
          <w:color w:val="auto"/>
          <w:kern w:val="0"/>
          <w:highlight w:val="none"/>
        </w:rPr>
      </w:pPr>
      <w:r>
        <w:rPr>
          <w:rFonts w:hint="eastAsia" w:ascii="宋体" w:hAnsi="宋体" w:cs="宋体"/>
          <w:color w:val="auto"/>
          <w:kern w:val="0"/>
          <w:highlight w:val="none"/>
        </w:rPr>
        <w:t>附：法定代表人（单位负责人）身份证扫描件。</w:t>
      </w:r>
    </w:p>
    <w:tbl>
      <w:tblPr>
        <w:tblStyle w:val="17"/>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4BAF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898" w:type="dxa"/>
            <w:noWrap w:val="0"/>
            <w:vAlign w:val="center"/>
          </w:tcPr>
          <w:p w14:paraId="2C6E45B1">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身份证（正面）</w:t>
            </w:r>
          </w:p>
        </w:tc>
        <w:tc>
          <w:tcPr>
            <w:tcW w:w="3899" w:type="dxa"/>
            <w:noWrap w:val="0"/>
            <w:vAlign w:val="center"/>
          </w:tcPr>
          <w:p w14:paraId="12FC38CF">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身份证（反面）</w:t>
            </w:r>
          </w:p>
        </w:tc>
      </w:tr>
    </w:tbl>
    <w:p w14:paraId="473BC210">
      <w:pPr>
        <w:widowControl/>
        <w:spacing w:before="12" w:line="360" w:lineRule="auto"/>
        <w:rPr>
          <w:rFonts w:hint="eastAsia" w:ascii="宋体" w:hAnsi="宋体" w:cs="宋体"/>
          <w:color w:val="auto"/>
          <w:kern w:val="0"/>
          <w:highlight w:val="none"/>
        </w:rPr>
      </w:pPr>
    </w:p>
    <w:p w14:paraId="03E54990">
      <w:pPr>
        <w:widowControl/>
        <w:spacing w:before="12" w:line="360" w:lineRule="auto"/>
        <w:rPr>
          <w:rFonts w:hint="eastAsia" w:ascii="宋体" w:hAnsi="宋体" w:cs="宋体"/>
          <w:color w:val="auto"/>
          <w:kern w:val="0"/>
          <w:highlight w:val="none"/>
        </w:rPr>
      </w:pPr>
    </w:p>
    <w:p w14:paraId="31CA80D1">
      <w:pPr>
        <w:widowControl/>
        <w:spacing w:line="360" w:lineRule="auto"/>
        <w:ind w:left="5068" w:right="-20"/>
        <w:rPr>
          <w:rFonts w:hint="eastAsia" w:ascii="宋体" w:hAnsi="宋体" w:cs="宋体"/>
          <w:color w:val="auto"/>
          <w:kern w:val="0"/>
          <w:highlight w:val="none"/>
        </w:rPr>
      </w:pPr>
      <w:r>
        <w:rPr>
          <w:rFonts w:hint="eastAsia" w:ascii="宋体" w:hAnsi="宋体" w:cs="宋体"/>
          <w:color w:val="auto"/>
          <w:kern w:val="0"/>
          <w:position w:val="-4"/>
          <w:highlight w:val="none"/>
        </w:rPr>
        <w:t>投标人：</w:t>
      </w:r>
      <w:r>
        <w:rPr>
          <w:rFonts w:hint="eastAsia" w:ascii="宋体" w:hAnsi="宋体" w:cs="宋体"/>
          <w:color w:val="auto"/>
          <w:spacing w:val="42"/>
          <w:kern w:val="0"/>
          <w:position w:val="-4"/>
          <w:highlight w:val="none"/>
          <w:u w:val="single"/>
        </w:rPr>
        <w:t xml:space="preserve"> </w:t>
      </w:r>
      <w:r>
        <w:rPr>
          <w:rFonts w:hint="eastAsia" w:ascii="宋体" w:hAnsi="宋体" w:cs="宋体"/>
          <w:color w:val="auto"/>
          <w:kern w:val="0"/>
          <w:position w:val="-4"/>
          <w:highlight w:val="none"/>
          <w:u w:val="single"/>
        </w:rPr>
        <w:t xml:space="preserve">          </w:t>
      </w:r>
      <w:r>
        <w:rPr>
          <w:rFonts w:hint="eastAsia" w:ascii="宋体" w:hAnsi="宋体" w:cs="宋体"/>
          <w:color w:val="auto"/>
          <w:spacing w:val="-1"/>
          <w:kern w:val="0"/>
          <w:position w:val="-4"/>
          <w:highlight w:val="none"/>
        </w:rPr>
        <w:t>（</w:t>
      </w:r>
      <w:r>
        <w:rPr>
          <w:rFonts w:hint="eastAsia" w:ascii="宋体" w:hAnsi="宋体" w:cs="宋体"/>
          <w:color w:val="auto"/>
          <w:kern w:val="0"/>
          <w:position w:val="-4"/>
          <w:highlight w:val="none"/>
        </w:rPr>
        <w:t>盖单位章）</w:t>
      </w:r>
    </w:p>
    <w:p w14:paraId="3B27F41B">
      <w:pPr>
        <w:widowControl/>
        <w:spacing w:line="360" w:lineRule="auto"/>
        <w:ind w:right="98"/>
        <w:jc w:val="right"/>
        <w:rPr>
          <w:rFonts w:hint="eastAsia" w:ascii="宋体" w:hAnsi="宋体" w:cs="宋体"/>
          <w:color w:val="auto"/>
          <w:kern w:val="0"/>
          <w:highlight w:val="none"/>
        </w:rPr>
      </w:pPr>
      <w:r>
        <w:rPr>
          <w:rFonts w:hint="eastAsia" w:ascii="宋体" w:hAnsi="宋体" w:cs="宋体"/>
          <w:color w:val="auto"/>
          <w:kern w:val="0"/>
          <w:position w:val="-2"/>
          <w:highlight w:val="none"/>
          <w:u w:val="single"/>
        </w:rPr>
        <w:t xml:space="preserve">       </w:t>
      </w:r>
      <w:r>
        <w:rPr>
          <w:rFonts w:hint="eastAsia" w:ascii="宋体" w:hAnsi="宋体" w:cs="宋体"/>
          <w:color w:val="auto"/>
          <w:spacing w:val="-1"/>
          <w:kern w:val="0"/>
          <w:position w:val="-2"/>
          <w:highlight w:val="none"/>
        </w:rPr>
        <w:t>年</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月</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日</w:t>
      </w:r>
    </w:p>
    <w:p w14:paraId="2A995000">
      <w:pPr>
        <w:widowControl/>
        <w:ind w:left="2874" w:right="-20"/>
        <w:rPr>
          <w:rFonts w:hint="eastAsia" w:ascii="宋体" w:hAnsi="宋体" w:cs="宋体"/>
          <w:color w:val="auto"/>
          <w:kern w:val="0"/>
          <w:sz w:val="28"/>
          <w:szCs w:val="28"/>
          <w:highlight w:val="none"/>
        </w:rPr>
      </w:pPr>
    </w:p>
    <w:p w14:paraId="6CDAEC53">
      <w:pPr>
        <w:widowControl/>
        <w:ind w:left="2874" w:right="-2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法定代表人（单位负责人）授权委托书</w:t>
      </w:r>
    </w:p>
    <w:p w14:paraId="608411AD">
      <w:pPr>
        <w:widowControl/>
        <w:spacing w:before="3" w:line="260" w:lineRule="atLeast"/>
        <w:rPr>
          <w:rFonts w:hint="eastAsia" w:ascii="宋体" w:hAnsi="宋体" w:cs="宋体"/>
          <w:color w:val="auto"/>
          <w:kern w:val="0"/>
          <w:sz w:val="26"/>
          <w:szCs w:val="26"/>
          <w:highlight w:val="none"/>
        </w:rPr>
      </w:pPr>
    </w:p>
    <w:p w14:paraId="1FC8976C">
      <w:pPr>
        <w:widowControl/>
        <w:spacing w:line="360" w:lineRule="auto"/>
        <w:ind w:left="120" w:right="31" w:firstLine="421"/>
        <w:rPr>
          <w:rFonts w:hint="eastAsia" w:ascii="宋体" w:hAnsi="宋体" w:cs="宋体"/>
          <w:color w:val="auto"/>
          <w:kern w:val="0"/>
          <w:highlight w:val="none"/>
        </w:rPr>
      </w:pPr>
      <w:r>
        <w:rPr>
          <w:rFonts w:hint="eastAsia" w:ascii="宋体" w:hAnsi="宋体" w:cs="宋体"/>
          <w:color w:val="auto"/>
          <w:kern w:val="0"/>
          <w:highlight w:val="none"/>
        </w:rPr>
        <w:t>本人</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r>
        <w:rPr>
          <w:rFonts w:hint="eastAsia" w:ascii="宋体" w:hAnsi="宋体" w:cs="宋体"/>
          <w:color w:val="auto"/>
          <w:spacing w:val="-1"/>
          <w:kern w:val="0"/>
          <w:highlight w:val="none"/>
        </w:rPr>
        <w:t>姓</w:t>
      </w:r>
      <w:r>
        <w:rPr>
          <w:rFonts w:hint="eastAsia" w:ascii="宋体" w:hAnsi="宋体" w:cs="宋体"/>
          <w:color w:val="auto"/>
          <w:kern w:val="0"/>
          <w:highlight w:val="none"/>
        </w:rPr>
        <w:t>名）系</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（投标人名称）</w:t>
      </w:r>
      <w:r>
        <w:rPr>
          <w:rFonts w:hint="eastAsia" w:ascii="宋体" w:hAnsi="宋体" w:cs="宋体"/>
          <w:color w:val="auto"/>
          <w:spacing w:val="1"/>
          <w:kern w:val="0"/>
          <w:highlight w:val="none"/>
        </w:rPr>
        <w:t>的</w:t>
      </w:r>
      <w:r>
        <w:rPr>
          <w:rFonts w:hint="eastAsia" w:ascii="宋体" w:hAnsi="宋体" w:cs="宋体"/>
          <w:color w:val="auto"/>
          <w:kern w:val="0"/>
          <w:highlight w:val="none"/>
        </w:rPr>
        <w:t>法定代表</w:t>
      </w:r>
      <w:r>
        <w:rPr>
          <w:rFonts w:hint="eastAsia" w:ascii="宋体" w:hAnsi="宋体" w:cs="宋体"/>
          <w:color w:val="auto"/>
          <w:spacing w:val="1"/>
          <w:kern w:val="0"/>
          <w:highlight w:val="none"/>
        </w:rPr>
        <w:t>人（单位负责人）</w:t>
      </w:r>
      <w:r>
        <w:rPr>
          <w:rFonts w:hint="eastAsia" w:ascii="宋体" w:hAnsi="宋体" w:cs="宋体"/>
          <w:color w:val="auto"/>
          <w:kern w:val="0"/>
          <w:highlight w:val="none"/>
        </w:rPr>
        <w:t>，</w:t>
      </w:r>
      <w:r>
        <w:rPr>
          <w:rFonts w:hint="eastAsia" w:ascii="宋体" w:hAnsi="宋体" w:cs="宋体"/>
          <w:color w:val="auto"/>
          <w:spacing w:val="1"/>
          <w:kern w:val="0"/>
          <w:highlight w:val="none"/>
        </w:rPr>
        <w:t>现</w:t>
      </w:r>
      <w:r>
        <w:rPr>
          <w:rFonts w:hint="eastAsia" w:ascii="宋体" w:hAnsi="宋体" w:cs="宋体"/>
          <w:color w:val="auto"/>
          <w:kern w:val="0"/>
          <w:highlight w:val="none"/>
        </w:rPr>
        <w:t>委托</w:t>
      </w:r>
      <w:r>
        <w:rPr>
          <w:rFonts w:hint="eastAsia" w:ascii="宋体" w:hAnsi="宋体" w:cs="宋体"/>
          <w:color w:val="auto"/>
          <w:spacing w:val="42"/>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姓名）为我方代理人。代理人根据授权，以我方名义签署、澄清、说明、补正、递交</w:t>
      </w:r>
      <w:r>
        <w:rPr>
          <w:rFonts w:hint="eastAsia" w:ascii="宋体" w:hAnsi="宋体" w:cs="宋体"/>
          <w:color w:val="auto"/>
          <w:spacing w:val="-13"/>
          <w:kern w:val="0"/>
          <w:highlight w:val="none"/>
        </w:rPr>
        <w:t>、</w:t>
      </w:r>
      <w:r>
        <w:rPr>
          <w:rFonts w:hint="eastAsia" w:ascii="宋体" w:hAnsi="宋体" w:cs="宋体"/>
          <w:color w:val="auto"/>
          <w:kern w:val="0"/>
          <w:highlight w:val="none"/>
        </w:rPr>
        <w:t>撤回</w:t>
      </w:r>
      <w:r>
        <w:rPr>
          <w:rFonts w:hint="eastAsia" w:ascii="宋体" w:hAnsi="宋体" w:cs="宋体"/>
          <w:color w:val="auto"/>
          <w:spacing w:val="-13"/>
          <w:kern w:val="0"/>
          <w:highlight w:val="none"/>
        </w:rPr>
        <w:t>、</w:t>
      </w:r>
      <w:r>
        <w:rPr>
          <w:rFonts w:hint="eastAsia" w:ascii="宋体" w:hAnsi="宋体" w:cs="宋体"/>
          <w:color w:val="auto"/>
          <w:kern w:val="0"/>
          <w:highlight w:val="none"/>
        </w:rPr>
        <w:t>修改</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（项目名</w:t>
      </w:r>
      <w:r>
        <w:rPr>
          <w:rFonts w:hint="eastAsia" w:ascii="宋体" w:hAnsi="宋体" w:cs="宋体"/>
          <w:color w:val="auto"/>
          <w:spacing w:val="-1"/>
          <w:kern w:val="0"/>
          <w:highlight w:val="none"/>
        </w:rPr>
        <w:t>称</w:t>
      </w:r>
      <w:r>
        <w:rPr>
          <w:rFonts w:hint="eastAsia" w:ascii="宋体" w:hAnsi="宋体" w:cs="宋体"/>
          <w:color w:val="auto"/>
          <w:spacing w:val="-13"/>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标包号。未分包的，此处不填写</w:t>
      </w:r>
      <w:r>
        <w:rPr>
          <w:rFonts w:hint="eastAsia" w:ascii="宋体" w:hAnsi="宋体" w:cs="宋体"/>
          <w:color w:val="auto"/>
          <w:spacing w:val="-13"/>
          <w:kern w:val="0"/>
          <w:highlight w:val="none"/>
        </w:rPr>
        <w:t>）</w:t>
      </w:r>
      <w:r>
        <w:rPr>
          <w:rFonts w:hint="eastAsia" w:ascii="宋体" w:hAnsi="宋体" w:cs="宋体"/>
          <w:color w:val="auto"/>
          <w:kern w:val="0"/>
          <w:highlight w:val="none"/>
        </w:rPr>
        <w:t>投标文件</w:t>
      </w:r>
      <w:r>
        <w:rPr>
          <w:rFonts w:hint="eastAsia" w:ascii="宋体" w:hAnsi="宋体" w:cs="宋体"/>
          <w:color w:val="auto"/>
          <w:spacing w:val="-13"/>
          <w:kern w:val="0"/>
          <w:highlight w:val="none"/>
        </w:rPr>
        <w:t>、</w:t>
      </w:r>
      <w:r>
        <w:rPr>
          <w:rFonts w:hint="eastAsia" w:ascii="宋体" w:hAnsi="宋体" w:cs="宋体"/>
          <w:color w:val="auto"/>
          <w:kern w:val="0"/>
          <w:highlight w:val="none"/>
        </w:rPr>
        <w:t>签订合同和处理有关事宜，其法律后果由我方承担。</w:t>
      </w:r>
    </w:p>
    <w:p w14:paraId="74E708DD">
      <w:pPr>
        <w:widowControl/>
        <w:spacing w:before="12" w:line="360" w:lineRule="auto"/>
        <w:ind w:left="556" w:right="5491" w:hanging="14"/>
        <w:rPr>
          <w:rFonts w:hint="eastAsia" w:ascii="宋体" w:hAnsi="宋体" w:cs="宋体"/>
          <w:color w:val="auto"/>
          <w:kern w:val="0"/>
          <w:highlight w:val="none"/>
        </w:rPr>
      </w:pPr>
      <w:r>
        <w:rPr>
          <w:rFonts w:hint="eastAsia" w:ascii="宋体" w:hAnsi="宋体" w:cs="宋体"/>
          <w:color w:val="auto"/>
          <w:kern w:val="0"/>
          <w:highlight w:val="none"/>
        </w:rPr>
        <w:t>代理人无转委托权。</w:t>
      </w:r>
    </w:p>
    <w:tbl>
      <w:tblPr>
        <w:tblStyle w:val="17"/>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6FDC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898" w:type="dxa"/>
            <w:noWrap w:val="0"/>
            <w:vAlign w:val="center"/>
          </w:tcPr>
          <w:p w14:paraId="6098CCDA">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代理人身份证（正面）</w:t>
            </w:r>
          </w:p>
        </w:tc>
        <w:tc>
          <w:tcPr>
            <w:tcW w:w="3899" w:type="dxa"/>
            <w:noWrap w:val="0"/>
            <w:vAlign w:val="center"/>
          </w:tcPr>
          <w:p w14:paraId="77E8D5EA">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代理人身份证（反面）</w:t>
            </w:r>
          </w:p>
        </w:tc>
      </w:tr>
      <w:tr w14:paraId="7501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898" w:type="dxa"/>
            <w:noWrap w:val="0"/>
            <w:vAlign w:val="center"/>
          </w:tcPr>
          <w:p w14:paraId="24A43327">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身份证（正面）</w:t>
            </w:r>
          </w:p>
        </w:tc>
        <w:tc>
          <w:tcPr>
            <w:tcW w:w="3899" w:type="dxa"/>
            <w:noWrap w:val="0"/>
            <w:vAlign w:val="center"/>
          </w:tcPr>
          <w:p w14:paraId="2BC7B94A">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kern w:val="0"/>
                <w:highlight w:val="none"/>
              </w:rPr>
              <w:t>（单位负责人）</w:t>
            </w:r>
            <w:r>
              <w:rPr>
                <w:rFonts w:hint="eastAsia" w:ascii="宋体" w:hAnsi="宋体"/>
                <w:color w:val="auto"/>
                <w:szCs w:val="21"/>
                <w:highlight w:val="none"/>
              </w:rPr>
              <w:t>身份证（反面）</w:t>
            </w:r>
          </w:p>
        </w:tc>
      </w:tr>
    </w:tbl>
    <w:p w14:paraId="15685725">
      <w:pPr>
        <w:widowControl/>
        <w:spacing w:line="360" w:lineRule="auto"/>
        <w:rPr>
          <w:rFonts w:hint="eastAsia" w:ascii="宋体" w:hAnsi="宋体" w:cs="宋体"/>
          <w:color w:val="auto"/>
          <w:kern w:val="0"/>
          <w:highlight w:val="none"/>
        </w:rPr>
      </w:pPr>
    </w:p>
    <w:p w14:paraId="26019E71">
      <w:pPr>
        <w:pStyle w:val="31"/>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代理人：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性别：</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年龄：</w:t>
      </w:r>
      <w:r>
        <w:rPr>
          <w:rFonts w:hint="eastAsia" w:ascii="宋体" w:hAnsi="宋体" w:cs="宋体"/>
          <w:color w:val="auto"/>
          <w:szCs w:val="24"/>
          <w:highlight w:val="none"/>
          <w:u w:val="single"/>
        </w:rPr>
        <w:t xml:space="preserve">     </w:t>
      </w:r>
    </w:p>
    <w:p w14:paraId="216F295F">
      <w:pPr>
        <w:pStyle w:val="31"/>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身份证号码：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职务：</w:t>
      </w:r>
      <w:r>
        <w:rPr>
          <w:rFonts w:hint="eastAsia" w:ascii="宋体" w:hAnsi="宋体" w:cs="宋体"/>
          <w:color w:val="auto"/>
          <w:szCs w:val="24"/>
          <w:highlight w:val="none"/>
          <w:u w:val="single"/>
        </w:rPr>
        <w:t xml:space="preserve">      </w:t>
      </w:r>
    </w:p>
    <w:p w14:paraId="2B6CAF2C">
      <w:pPr>
        <w:pStyle w:val="31"/>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投标人：</w:t>
      </w:r>
      <w:r>
        <w:rPr>
          <w:rFonts w:hint="eastAsia" w:ascii="宋体" w:hAnsi="宋体" w:cs="宋体"/>
          <w:color w:val="auto"/>
          <w:szCs w:val="24"/>
          <w:highlight w:val="none"/>
          <w:u w:val="single"/>
        </w:rPr>
        <w:t xml:space="preserve">                            （盖单位章）</w:t>
      </w:r>
    </w:p>
    <w:p w14:paraId="45151689">
      <w:pPr>
        <w:pStyle w:val="31"/>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（签字或盖章）</w:t>
      </w:r>
    </w:p>
    <w:p w14:paraId="188D6A30">
      <w:pPr>
        <w:pStyle w:val="31"/>
        <w:spacing w:line="360" w:lineRule="auto"/>
        <w:ind w:firstLine="2604" w:firstLineChars="1240"/>
        <w:rPr>
          <w:rFonts w:hint="eastAsia" w:ascii="宋体" w:hAnsi="宋体" w:cs="宋体"/>
          <w:color w:val="auto"/>
          <w:szCs w:val="24"/>
          <w:highlight w:val="none"/>
        </w:rPr>
      </w:pPr>
      <w:r>
        <w:rPr>
          <w:rFonts w:hint="eastAsia" w:ascii="宋体" w:hAnsi="宋体" w:cs="宋体"/>
          <w:color w:val="auto"/>
          <w:szCs w:val="24"/>
          <w:highlight w:val="none"/>
        </w:rPr>
        <w:t>授权委托日期：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0E7F950E">
      <w:pPr>
        <w:widowControl/>
        <w:spacing w:line="295" w:lineRule="atLeast"/>
        <w:ind w:left="556" w:right="-20"/>
        <w:rPr>
          <w:rFonts w:hint="eastAsia" w:ascii="宋体" w:hAnsi="宋体" w:cs="宋体"/>
          <w:color w:val="auto"/>
          <w:kern w:val="0"/>
          <w:szCs w:val="21"/>
          <w:highlight w:val="none"/>
        </w:rPr>
      </w:pPr>
    </w:p>
    <w:p w14:paraId="232705EB">
      <w:pPr>
        <w:widowControl/>
        <w:jc w:val="left"/>
        <w:rPr>
          <w:rFonts w:hint="eastAsia" w:ascii="宋体" w:hAnsi="宋体" w:cs="宋体"/>
          <w:color w:val="auto"/>
          <w:spacing w:val="12"/>
          <w:kern w:val="0"/>
          <w:position w:val="-3"/>
          <w:sz w:val="24"/>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3FCFE927">
      <w:pPr>
        <w:pStyle w:val="3"/>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七、联合体协议书（如有）</w:t>
      </w:r>
    </w:p>
    <w:p w14:paraId="10ADC454">
      <w:pPr>
        <w:widowControl/>
        <w:spacing w:before="7" w:line="110" w:lineRule="atLeast"/>
        <w:rPr>
          <w:rFonts w:hint="eastAsia" w:ascii="宋体" w:hAnsi="宋体" w:cs="宋体"/>
          <w:color w:val="auto"/>
          <w:kern w:val="0"/>
          <w:sz w:val="11"/>
          <w:szCs w:val="11"/>
          <w:highlight w:val="none"/>
        </w:rPr>
      </w:pPr>
      <w:r>
        <w:rPr>
          <w:rFonts w:hint="eastAsia" w:ascii="宋体" w:hAnsi="宋体" w:cs="宋体"/>
          <w:color w:val="auto"/>
          <w:kern w:val="0"/>
          <w:sz w:val="11"/>
          <w:szCs w:val="11"/>
          <w:highlight w:val="none"/>
        </w:rPr>
        <w:t xml:space="preserve"> </w:t>
      </w:r>
    </w:p>
    <w:p w14:paraId="5F3B19D9">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（所有成员单位名称）自愿组成联合体，共同参加【项目名称】的采购活动。现就联合体投标事宜订立如下协议。</w:t>
      </w:r>
    </w:p>
    <w:p w14:paraId="1D5D4E65">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（某成员单位名称）为牵头人。</w:t>
      </w:r>
    </w:p>
    <w:p w14:paraId="50854142">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4536D75A">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3、联合体将严格按照招标文件的各项要求，递交投标文件，履行合同，并对外承担连带责任。</w:t>
      </w:r>
    </w:p>
    <w:p w14:paraId="4BC28575">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4、联合体各成员单位内部的职责分工如下：</w:t>
      </w:r>
    </w:p>
    <w:p w14:paraId="3F280339">
      <w:pPr>
        <w:pStyle w:val="31"/>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（1）牵头人单位：</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，承揽合同份额占合同金额的    %</w:t>
      </w:r>
    </w:p>
    <w:p w14:paraId="55B051E4">
      <w:pPr>
        <w:pStyle w:val="31"/>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（2）成员单位一：</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，承揽合同份额占合同金额的    %</w:t>
      </w:r>
    </w:p>
    <w:p w14:paraId="7169D521">
      <w:pPr>
        <w:pStyle w:val="31"/>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（2）成员单位二：</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，承揽合同份额占合同金额的    %</w:t>
      </w:r>
    </w:p>
    <w:p w14:paraId="3064CE9A">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w:t>
      </w:r>
    </w:p>
    <w:p w14:paraId="74E5A1D2">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 xml:space="preserve">5、本协议书自签署之日起生效，合同履行完毕后自动失效。 </w:t>
      </w:r>
    </w:p>
    <w:p w14:paraId="775B2FF0">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6、本协议书一式</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份，联合体牵头人、成员和采购人各执一份。</w:t>
      </w:r>
    </w:p>
    <w:p w14:paraId="5F6331D5">
      <w:pPr>
        <w:pStyle w:val="31"/>
        <w:topLinePunct/>
        <w:spacing w:line="440" w:lineRule="atLeast"/>
        <w:rPr>
          <w:rFonts w:hint="eastAsia" w:ascii="宋体" w:hAnsi="宋体" w:cs="宋体"/>
          <w:color w:val="auto"/>
          <w:szCs w:val="24"/>
          <w:highlight w:val="none"/>
        </w:rPr>
      </w:pPr>
    </w:p>
    <w:p w14:paraId="5B167DD0">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牵头人名称：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26546BA9">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1A3B48F3">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3C3E2DF2">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成员一名称：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681BFC9C">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3C4B666C">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29EA5CC5">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成员二名称：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2591A493">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6DA134D6">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w:t>
      </w:r>
    </w:p>
    <w:p w14:paraId="1A33363E">
      <w:pPr>
        <w:pStyle w:val="31"/>
        <w:ind w:firstLine="2879"/>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1DDC889B">
      <w:pPr>
        <w:widowControl/>
        <w:spacing w:line="200" w:lineRule="atLeast"/>
        <w:rPr>
          <w:rFonts w:hint="eastAsia" w:ascii="宋体" w:hAnsi="宋体" w:cs="宋体"/>
          <w:color w:val="auto"/>
          <w:kern w:val="0"/>
          <w:sz w:val="24"/>
          <w:highlight w:val="none"/>
        </w:rPr>
      </w:pPr>
    </w:p>
    <w:p w14:paraId="4D9B5ADF">
      <w:pPr>
        <w:widowControl/>
        <w:rPr>
          <w:rFonts w:hint="eastAsia" w:ascii="宋体" w:hAnsi="宋体" w:cs="宋体"/>
          <w:color w:val="auto"/>
          <w:highlight w:val="none"/>
        </w:rPr>
      </w:pPr>
    </w:p>
    <w:p w14:paraId="41E58C19">
      <w:pPr>
        <w:widowControl/>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4854CF24">
      <w:pPr>
        <w:pStyle w:val="3"/>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八、分包意向协议书（如有）</w:t>
      </w:r>
    </w:p>
    <w:p w14:paraId="21C6D5CA">
      <w:pPr>
        <w:pStyle w:val="31"/>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我方承诺一旦在【项目名称】中获得采购合同，拟按下表进行分包。在本项目中签署的一切文件和处理的一切事宜，我方及分包单位均予以承认。分包单位将严格按照招标文件、投标文件的各项要求履行合同，且不再次分包，我方对外承担连带责任。</w:t>
      </w:r>
    </w:p>
    <w:p w14:paraId="0E34BAC8">
      <w:pPr>
        <w:pStyle w:val="31"/>
        <w:topLinePunct/>
        <w:spacing w:line="440" w:lineRule="atLeast"/>
        <w:ind w:firstLine="420"/>
        <w:rPr>
          <w:rFonts w:hint="eastAsia" w:ascii="宋体" w:hAnsi="宋体" w:cs="宋体"/>
          <w:color w:val="auto"/>
          <w:szCs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300"/>
        <w:gridCol w:w="1266"/>
        <w:gridCol w:w="1322"/>
        <w:gridCol w:w="2389"/>
      </w:tblGrid>
      <w:tr w14:paraId="0AB2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6F3DC7BC">
            <w:pPr>
              <w:pStyle w:val="31"/>
              <w:topLinePunct/>
              <w:jc w:val="center"/>
              <w:rPr>
                <w:rFonts w:hint="eastAsia" w:ascii="宋体" w:hAnsi="宋体" w:cs="宋体"/>
                <w:b/>
                <w:bCs/>
                <w:color w:val="auto"/>
                <w:szCs w:val="24"/>
                <w:highlight w:val="none"/>
              </w:rPr>
            </w:pPr>
            <w:r>
              <w:rPr>
                <w:rFonts w:hint="eastAsia" w:ascii="宋体" w:hAnsi="宋体" w:cs="宋体"/>
                <w:b/>
                <w:bCs/>
                <w:color w:val="auto"/>
                <w:szCs w:val="24"/>
                <w:highlight w:val="none"/>
              </w:rPr>
              <w:t>序号</w:t>
            </w:r>
          </w:p>
        </w:tc>
        <w:tc>
          <w:tcPr>
            <w:tcW w:w="2300" w:type="dxa"/>
            <w:noWrap w:val="0"/>
            <w:vAlign w:val="center"/>
          </w:tcPr>
          <w:p w14:paraId="58E26411">
            <w:pPr>
              <w:pStyle w:val="31"/>
              <w:topLinePunct/>
              <w:jc w:val="center"/>
              <w:rPr>
                <w:rFonts w:hint="eastAsia" w:ascii="宋体" w:hAnsi="宋体" w:cs="宋体"/>
                <w:b/>
                <w:bCs/>
                <w:color w:val="auto"/>
                <w:szCs w:val="24"/>
                <w:highlight w:val="none"/>
              </w:rPr>
            </w:pPr>
            <w:r>
              <w:rPr>
                <w:rFonts w:hint="eastAsia" w:ascii="宋体" w:hAnsi="宋体" w:cs="宋体"/>
                <w:b/>
                <w:bCs/>
                <w:color w:val="auto"/>
                <w:szCs w:val="24"/>
                <w:highlight w:val="none"/>
              </w:rPr>
              <w:t>单位名称</w:t>
            </w:r>
          </w:p>
          <w:p w14:paraId="71B09C49">
            <w:pPr>
              <w:pStyle w:val="31"/>
              <w:topLinePunct/>
              <w:jc w:val="center"/>
              <w:rPr>
                <w:rFonts w:ascii="宋体" w:hAnsi="宋体" w:cs="宋体"/>
                <w:b/>
                <w:bCs/>
                <w:color w:val="auto"/>
                <w:szCs w:val="24"/>
                <w:highlight w:val="none"/>
              </w:rPr>
            </w:pPr>
            <w:r>
              <w:rPr>
                <w:rFonts w:hint="eastAsia" w:ascii="宋体" w:hAnsi="宋体" w:cs="宋体"/>
                <w:b/>
                <w:bCs/>
                <w:color w:val="auto"/>
                <w:szCs w:val="24"/>
                <w:highlight w:val="none"/>
              </w:rPr>
              <w:t>（分包单位）</w:t>
            </w:r>
          </w:p>
        </w:tc>
        <w:tc>
          <w:tcPr>
            <w:tcW w:w="1266" w:type="dxa"/>
            <w:noWrap w:val="0"/>
            <w:vAlign w:val="center"/>
          </w:tcPr>
          <w:p w14:paraId="748F874D">
            <w:pPr>
              <w:pStyle w:val="31"/>
              <w:topLinePunct/>
              <w:jc w:val="center"/>
              <w:rPr>
                <w:rFonts w:hint="eastAsia" w:ascii="宋体" w:hAnsi="宋体" w:cs="宋体"/>
                <w:b/>
                <w:bCs/>
                <w:color w:val="auto"/>
                <w:szCs w:val="24"/>
                <w:highlight w:val="none"/>
              </w:rPr>
            </w:pPr>
            <w:r>
              <w:rPr>
                <w:rFonts w:hint="eastAsia" w:ascii="宋体" w:hAnsi="宋体" w:cs="宋体"/>
                <w:b/>
                <w:bCs/>
                <w:color w:val="auto"/>
                <w:szCs w:val="24"/>
                <w:highlight w:val="none"/>
              </w:rPr>
              <w:t>资质</w:t>
            </w:r>
          </w:p>
          <w:p w14:paraId="54AC2BAF">
            <w:pPr>
              <w:pStyle w:val="31"/>
              <w:topLinePunct/>
              <w:jc w:val="center"/>
              <w:rPr>
                <w:rFonts w:hint="eastAsia" w:ascii="宋体" w:hAnsi="宋体" w:cs="宋体"/>
                <w:b/>
                <w:bCs/>
                <w:color w:val="auto"/>
                <w:szCs w:val="24"/>
                <w:highlight w:val="none"/>
              </w:rPr>
            </w:pPr>
            <w:r>
              <w:rPr>
                <w:rFonts w:hint="eastAsia" w:ascii="宋体" w:hAnsi="宋体" w:cs="宋体"/>
                <w:b/>
                <w:bCs/>
                <w:color w:val="auto"/>
                <w:szCs w:val="24"/>
                <w:highlight w:val="none"/>
              </w:rPr>
              <w:t>（如有）</w:t>
            </w:r>
          </w:p>
        </w:tc>
        <w:tc>
          <w:tcPr>
            <w:tcW w:w="1322" w:type="dxa"/>
            <w:noWrap w:val="0"/>
            <w:vAlign w:val="center"/>
          </w:tcPr>
          <w:p w14:paraId="010E4502">
            <w:pPr>
              <w:pStyle w:val="31"/>
              <w:topLinePunct/>
              <w:jc w:val="center"/>
              <w:rPr>
                <w:rFonts w:ascii="宋体" w:hAnsi="宋体" w:cs="宋体"/>
                <w:b/>
                <w:bCs/>
                <w:color w:val="auto"/>
                <w:szCs w:val="24"/>
                <w:highlight w:val="none"/>
              </w:rPr>
            </w:pPr>
            <w:r>
              <w:rPr>
                <w:rFonts w:hint="eastAsia" w:ascii="宋体" w:hAnsi="宋体" w:cs="宋体"/>
                <w:b/>
                <w:bCs/>
                <w:color w:val="auto"/>
                <w:szCs w:val="24"/>
                <w:highlight w:val="none"/>
              </w:rPr>
              <w:t>拟分包内容</w:t>
            </w:r>
          </w:p>
        </w:tc>
        <w:tc>
          <w:tcPr>
            <w:tcW w:w="2389" w:type="dxa"/>
            <w:noWrap w:val="0"/>
            <w:vAlign w:val="center"/>
          </w:tcPr>
          <w:p w14:paraId="031882C7">
            <w:pPr>
              <w:pStyle w:val="31"/>
              <w:topLinePunct/>
              <w:jc w:val="center"/>
              <w:rPr>
                <w:rFonts w:ascii="宋体" w:hAnsi="宋体" w:cs="宋体"/>
                <w:b/>
                <w:bCs/>
                <w:color w:val="auto"/>
                <w:szCs w:val="24"/>
                <w:highlight w:val="none"/>
              </w:rPr>
            </w:pPr>
            <w:r>
              <w:rPr>
                <w:rFonts w:hint="eastAsia" w:ascii="宋体" w:hAnsi="宋体" w:cs="宋体"/>
                <w:b/>
                <w:bCs/>
                <w:color w:val="auto"/>
                <w:szCs w:val="24"/>
                <w:highlight w:val="none"/>
              </w:rPr>
              <w:t>拟分包合同金额占合同金额的比例</w:t>
            </w:r>
          </w:p>
        </w:tc>
      </w:tr>
      <w:tr w14:paraId="60BA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46D30EC1">
            <w:pPr>
              <w:pStyle w:val="31"/>
              <w:topLinePunct/>
              <w:jc w:val="left"/>
              <w:rPr>
                <w:rFonts w:hint="eastAsia" w:ascii="宋体" w:hAnsi="宋体" w:cs="宋体"/>
                <w:color w:val="auto"/>
                <w:szCs w:val="24"/>
                <w:highlight w:val="none"/>
              </w:rPr>
            </w:pPr>
            <w:r>
              <w:rPr>
                <w:rFonts w:hint="eastAsia" w:ascii="宋体" w:hAnsi="宋体" w:cs="宋体"/>
                <w:color w:val="auto"/>
                <w:szCs w:val="24"/>
                <w:highlight w:val="none"/>
              </w:rPr>
              <w:t>1</w:t>
            </w:r>
          </w:p>
        </w:tc>
        <w:tc>
          <w:tcPr>
            <w:tcW w:w="2300" w:type="dxa"/>
            <w:noWrap w:val="0"/>
            <w:vAlign w:val="top"/>
          </w:tcPr>
          <w:p w14:paraId="3E39D9D5">
            <w:pPr>
              <w:pStyle w:val="31"/>
              <w:topLinePunct/>
              <w:jc w:val="left"/>
              <w:rPr>
                <w:rFonts w:hint="eastAsia" w:ascii="宋体" w:hAnsi="宋体" w:cs="宋体"/>
                <w:color w:val="auto"/>
                <w:szCs w:val="24"/>
                <w:highlight w:val="none"/>
              </w:rPr>
            </w:pPr>
          </w:p>
        </w:tc>
        <w:tc>
          <w:tcPr>
            <w:tcW w:w="1266" w:type="dxa"/>
            <w:noWrap w:val="0"/>
            <w:vAlign w:val="top"/>
          </w:tcPr>
          <w:p w14:paraId="125AD46B">
            <w:pPr>
              <w:pStyle w:val="31"/>
              <w:topLinePunct/>
              <w:jc w:val="left"/>
              <w:rPr>
                <w:rFonts w:hint="eastAsia" w:ascii="宋体" w:hAnsi="宋体" w:cs="宋体"/>
                <w:color w:val="auto"/>
                <w:szCs w:val="24"/>
                <w:highlight w:val="none"/>
              </w:rPr>
            </w:pPr>
          </w:p>
        </w:tc>
        <w:tc>
          <w:tcPr>
            <w:tcW w:w="1322" w:type="dxa"/>
            <w:noWrap w:val="0"/>
            <w:vAlign w:val="top"/>
          </w:tcPr>
          <w:p w14:paraId="6DCF3480">
            <w:pPr>
              <w:pStyle w:val="31"/>
              <w:topLinePunct/>
              <w:jc w:val="left"/>
              <w:rPr>
                <w:rFonts w:hint="eastAsia" w:ascii="宋体" w:hAnsi="宋体" w:cs="宋体"/>
                <w:color w:val="auto"/>
                <w:szCs w:val="24"/>
                <w:highlight w:val="none"/>
              </w:rPr>
            </w:pPr>
          </w:p>
        </w:tc>
        <w:tc>
          <w:tcPr>
            <w:tcW w:w="2389" w:type="dxa"/>
            <w:noWrap w:val="0"/>
            <w:vAlign w:val="top"/>
          </w:tcPr>
          <w:p w14:paraId="21CD3C4B">
            <w:pPr>
              <w:pStyle w:val="31"/>
              <w:topLinePunct/>
              <w:jc w:val="left"/>
              <w:rPr>
                <w:rFonts w:hint="eastAsia" w:ascii="宋体" w:hAnsi="宋体" w:cs="宋体"/>
                <w:color w:val="auto"/>
                <w:szCs w:val="24"/>
                <w:highlight w:val="none"/>
              </w:rPr>
            </w:pPr>
          </w:p>
        </w:tc>
      </w:tr>
      <w:tr w14:paraId="248A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432CF1CA">
            <w:pPr>
              <w:pStyle w:val="31"/>
              <w:topLinePunct/>
              <w:jc w:val="left"/>
              <w:rPr>
                <w:rFonts w:hint="eastAsia" w:ascii="宋体" w:hAnsi="宋体" w:cs="宋体"/>
                <w:color w:val="auto"/>
                <w:szCs w:val="24"/>
                <w:highlight w:val="none"/>
              </w:rPr>
            </w:pPr>
            <w:r>
              <w:rPr>
                <w:rFonts w:hint="eastAsia" w:ascii="宋体" w:hAnsi="宋体" w:cs="宋体"/>
                <w:color w:val="auto"/>
                <w:szCs w:val="24"/>
                <w:highlight w:val="none"/>
              </w:rPr>
              <w:t>2</w:t>
            </w:r>
          </w:p>
        </w:tc>
        <w:tc>
          <w:tcPr>
            <w:tcW w:w="2300" w:type="dxa"/>
            <w:noWrap w:val="0"/>
            <w:vAlign w:val="top"/>
          </w:tcPr>
          <w:p w14:paraId="0D513CD0">
            <w:pPr>
              <w:pStyle w:val="31"/>
              <w:topLinePunct/>
              <w:jc w:val="left"/>
              <w:rPr>
                <w:rFonts w:hint="eastAsia" w:ascii="宋体" w:hAnsi="宋体" w:cs="宋体"/>
                <w:color w:val="auto"/>
                <w:szCs w:val="24"/>
                <w:highlight w:val="none"/>
              </w:rPr>
            </w:pPr>
          </w:p>
        </w:tc>
        <w:tc>
          <w:tcPr>
            <w:tcW w:w="1266" w:type="dxa"/>
            <w:noWrap w:val="0"/>
            <w:vAlign w:val="top"/>
          </w:tcPr>
          <w:p w14:paraId="29DF0A97">
            <w:pPr>
              <w:pStyle w:val="31"/>
              <w:topLinePunct/>
              <w:jc w:val="left"/>
              <w:rPr>
                <w:rFonts w:hint="eastAsia" w:ascii="宋体" w:hAnsi="宋体" w:cs="宋体"/>
                <w:color w:val="auto"/>
                <w:szCs w:val="24"/>
                <w:highlight w:val="none"/>
              </w:rPr>
            </w:pPr>
          </w:p>
        </w:tc>
        <w:tc>
          <w:tcPr>
            <w:tcW w:w="1322" w:type="dxa"/>
            <w:noWrap w:val="0"/>
            <w:vAlign w:val="top"/>
          </w:tcPr>
          <w:p w14:paraId="3A772A94">
            <w:pPr>
              <w:pStyle w:val="31"/>
              <w:topLinePunct/>
              <w:jc w:val="left"/>
              <w:rPr>
                <w:rFonts w:hint="eastAsia" w:ascii="宋体" w:hAnsi="宋体" w:cs="宋体"/>
                <w:color w:val="auto"/>
                <w:szCs w:val="24"/>
                <w:highlight w:val="none"/>
              </w:rPr>
            </w:pPr>
          </w:p>
        </w:tc>
        <w:tc>
          <w:tcPr>
            <w:tcW w:w="2389" w:type="dxa"/>
            <w:noWrap w:val="0"/>
            <w:vAlign w:val="top"/>
          </w:tcPr>
          <w:p w14:paraId="0F87848A">
            <w:pPr>
              <w:pStyle w:val="31"/>
              <w:topLinePunct/>
              <w:jc w:val="left"/>
              <w:rPr>
                <w:rFonts w:hint="eastAsia" w:ascii="宋体" w:hAnsi="宋体" w:cs="宋体"/>
                <w:color w:val="auto"/>
                <w:szCs w:val="24"/>
                <w:highlight w:val="none"/>
              </w:rPr>
            </w:pPr>
          </w:p>
        </w:tc>
      </w:tr>
      <w:tr w14:paraId="7729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5E41B59C">
            <w:pPr>
              <w:pStyle w:val="31"/>
              <w:topLinePunct/>
              <w:jc w:val="left"/>
              <w:rPr>
                <w:rFonts w:ascii="宋体" w:hAnsi="宋体" w:cs="宋体"/>
                <w:color w:val="auto"/>
                <w:szCs w:val="24"/>
                <w:highlight w:val="none"/>
              </w:rPr>
            </w:pPr>
            <w:r>
              <w:rPr>
                <w:rFonts w:hint="eastAsia" w:ascii="宋体" w:hAnsi="宋体" w:cs="宋体"/>
                <w:color w:val="auto"/>
                <w:szCs w:val="24"/>
                <w:highlight w:val="none"/>
              </w:rPr>
              <w:t>...</w:t>
            </w:r>
          </w:p>
        </w:tc>
        <w:tc>
          <w:tcPr>
            <w:tcW w:w="2300" w:type="dxa"/>
            <w:noWrap w:val="0"/>
            <w:vAlign w:val="top"/>
          </w:tcPr>
          <w:p w14:paraId="1B013EB6">
            <w:pPr>
              <w:pStyle w:val="31"/>
              <w:topLinePunct/>
              <w:jc w:val="left"/>
              <w:rPr>
                <w:rFonts w:hint="eastAsia" w:ascii="宋体" w:hAnsi="宋体" w:cs="宋体"/>
                <w:color w:val="auto"/>
                <w:szCs w:val="24"/>
                <w:highlight w:val="none"/>
              </w:rPr>
            </w:pPr>
          </w:p>
        </w:tc>
        <w:tc>
          <w:tcPr>
            <w:tcW w:w="1266" w:type="dxa"/>
            <w:noWrap w:val="0"/>
            <w:vAlign w:val="top"/>
          </w:tcPr>
          <w:p w14:paraId="383E54C2">
            <w:pPr>
              <w:pStyle w:val="31"/>
              <w:topLinePunct/>
              <w:jc w:val="left"/>
              <w:rPr>
                <w:rFonts w:hint="eastAsia" w:ascii="宋体" w:hAnsi="宋体" w:cs="宋体"/>
                <w:color w:val="auto"/>
                <w:szCs w:val="24"/>
                <w:highlight w:val="none"/>
              </w:rPr>
            </w:pPr>
          </w:p>
        </w:tc>
        <w:tc>
          <w:tcPr>
            <w:tcW w:w="1322" w:type="dxa"/>
            <w:noWrap w:val="0"/>
            <w:vAlign w:val="top"/>
          </w:tcPr>
          <w:p w14:paraId="1A6BB6E3">
            <w:pPr>
              <w:pStyle w:val="31"/>
              <w:topLinePunct/>
              <w:jc w:val="left"/>
              <w:rPr>
                <w:rFonts w:hint="eastAsia" w:ascii="宋体" w:hAnsi="宋体" w:cs="宋体"/>
                <w:color w:val="auto"/>
                <w:szCs w:val="24"/>
                <w:highlight w:val="none"/>
              </w:rPr>
            </w:pPr>
          </w:p>
        </w:tc>
        <w:tc>
          <w:tcPr>
            <w:tcW w:w="2389" w:type="dxa"/>
            <w:noWrap w:val="0"/>
            <w:vAlign w:val="top"/>
          </w:tcPr>
          <w:p w14:paraId="3F4B64CE">
            <w:pPr>
              <w:pStyle w:val="31"/>
              <w:topLinePunct/>
              <w:jc w:val="left"/>
              <w:rPr>
                <w:rFonts w:hint="eastAsia" w:ascii="宋体" w:hAnsi="宋体" w:cs="宋体"/>
                <w:color w:val="auto"/>
                <w:szCs w:val="24"/>
                <w:highlight w:val="none"/>
              </w:rPr>
            </w:pPr>
          </w:p>
        </w:tc>
      </w:tr>
    </w:tbl>
    <w:p w14:paraId="6C564BDD">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注：</w:t>
      </w:r>
    </w:p>
    <w:p w14:paraId="414C0547">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1.如本项目允许分包，且投标人拟进行分包时，必须提供；如未提供，或提供了但未填写拟签订分包合同的单位名称、拟分包合同金额占合同总金额的比例，投标无效。</w:t>
      </w:r>
    </w:p>
    <w:p w14:paraId="4EBB8B50">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2.如招标公告载明的资格要求与拟分包内容相关，则投标人须在本表中列明分包单位的相应资质，并附资质证书的原件扫描件或电子证书，否则投标无效。</w:t>
      </w:r>
    </w:p>
    <w:p w14:paraId="0DA6C851">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3.投标人为享受政府采购支持中小企业发展政策而向中小微企业分包时，须同时提供分包单位的中小企业声明函，分包单位的企业划型以中小企业声明函作为判断依据。</w:t>
      </w:r>
    </w:p>
    <w:p w14:paraId="54BCD7AF">
      <w:pPr>
        <w:pStyle w:val="31"/>
        <w:topLinePunct/>
        <w:spacing w:line="440" w:lineRule="atLeast"/>
        <w:jc w:val="right"/>
        <w:rPr>
          <w:rFonts w:hint="eastAsia" w:ascii="宋体" w:hAnsi="宋体" w:cs="宋体"/>
          <w:color w:val="auto"/>
          <w:szCs w:val="24"/>
          <w:highlight w:val="none"/>
        </w:rPr>
      </w:pPr>
    </w:p>
    <w:p w14:paraId="622E96FE">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投标人名称：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03220876">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17682AFD">
      <w:pPr>
        <w:pStyle w:val="31"/>
        <w:topLinePunct/>
        <w:spacing w:line="440" w:lineRule="atLeast"/>
        <w:rPr>
          <w:rFonts w:hint="eastAsia" w:ascii="宋体" w:hAnsi="宋体" w:cs="宋体"/>
          <w:color w:val="auto"/>
          <w:szCs w:val="24"/>
          <w:highlight w:val="none"/>
        </w:rPr>
      </w:pPr>
    </w:p>
    <w:p w14:paraId="50C8BE6D">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分包单位一名称：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2E6C4249">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6A0893EC">
      <w:pPr>
        <w:pStyle w:val="31"/>
        <w:topLinePunct/>
        <w:spacing w:line="440" w:lineRule="atLeast"/>
        <w:rPr>
          <w:rFonts w:hint="eastAsia" w:ascii="宋体" w:hAnsi="宋体" w:cs="宋体"/>
          <w:color w:val="auto"/>
          <w:szCs w:val="24"/>
          <w:highlight w:val="none"/>
        </w:rPr>
      </w:pPr>
    </w:p>
    <w:p w14:paraId="6CAB9277">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分包单位二名称：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643251A9">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38CB020B">
      <w:pPr>
        <w:pStyle w:val="31"/>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w:t>
      </w:r>
    </w:p>
    <w:p w14:paraId="15281515">
      <w:pPr>
        <w:pStyle w:val="31"/>
        <w:ind w:firstLine="2879"/>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66873950">
      <w:pPr>
        <w:spacing w:line="440" w:lineRule="exact"/>
        <w:rPr>
          <w:rFonts w:hint="eastAsia" w:ascii="宋体" w:hAnsi="宋体" w:cs="宋体"/>
          <w:color w:val="auto"/>
          <w:szCs w:val="21"/>
          <w:highlight w:val="none"/>
        </w:rPr>
      </w:pPr>
    </w:p>
    <w:p w14:paraId="633119D3">
      <w:pPr>
        <w:widowControl/>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07A88E9E">
      <w:pPr>
        <w:pStyle w:val="3"/>
        <w:widowControl/>
        <w:spacing w:before="120" w:after="120" w:line="240" w:lineRule="auto"/>
        <w:jc w:val="center"/>
        <w:rPr>
          <w:rStyle w:val="23"/>
          <w:rFonts w:hint="eastAsia" w:ascii="宋体" w:hAnsi="宋体" w:eastAsia="宋体" w:cs="宋体"/>
          <w:b/>
          <w:bCs w:val="0"/>
          <w:color w:val="auto"/>
          <w:sz w:val="30"/>
          <w:szCs w:val="30"/>
          <w:highlight w:val="none"/>
        </w:rPr>
      </w:pPr>
      <w:r>
        <w:rPr>
          <w:rStyle w:val="23"/>
          <w:rFonts w:hint="eastAsia" w:ascii="宋体" w:hAnsi="宋体" w:eastAsia="宋体" w:cs="宋体"/>
          <w:b/>
          <w:bCs w:val="0"/>
          <w:color w:val="auto"/>
          <w:sz w:val="30"/>
          <w:szCs w:val="30"/>
          <w:highlight w:val="none"/>
        </w:rPr>
        <w:t>九、资格审查材料</w:t>
      </w:r>
    </w:p>
    <w:p w14:paraId="44970E3E">
      <w:pPr>
        <w:widowControl/>
        <w:tabs>
          <w:tab w:val="left" w:pos="5580"/>
        </w:tabs>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特别提醒：</w:t>
      </w:r>
    </w:p>
    <w:p w14:paraId="3CA967E4">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1．提供证明材料</w:t>
      </w:r>
      <w:r>
        <w:rPr>
          <w:rFonts w:hint="eastAsia" w:ascii="宋体" w:hAnsi="宋体" w:cs="宋体"/>
          <w:b/>
          <w:color w:val="auto"/>
          <w:szCs w:val="21"/>
          <w:highlight w:val="none"/>
        </w:rPr>
        <w:t>原件扫描件或电子证照</w:t>
      </w:r>
      <w:r>
        <w:rPr>
          <w:rFonts w:hint="eastAsia" w:ascii="宋体" w:hAnsi="宋体" w:cs="宋体"/>
          <w:color w:val="auto"/>
          <w:szCs w:val="21"/>
          <w:highlight w:val="none"/>
        </w:rPr>
        <w:t>；</w:t>
      </w:r>
    </w:p>
    <w:p w14:paraId="65C413AF">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2．建议设置审查索引，以便资格审查小组顺利开展审查工作；</w:t>
      </w:r>
    </w:p>
    <w:p w14:paraId="3865E19F">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3．内容须清晰、明确，若提供相关资料内容模糊不清或无法辨认，资格审查小组有权不予认可。</w:t>
      </w:r>
    </w:p>
    <w:p w14:paraId="0359DA34">
      <w:pPr>
        <w:tabs>
          <w:tab w:val="left" w:pos="1260"/>
        </w:tabs>
        <w:jc w:val="center"/>
        <w:rPr>
          <w:rFonts w:hint="eastAsia" w:cs="宋体"/>
          <w:bCs/>
          <w:color w:val="auto"/>
          <w:sz w:val="24"/>
          <w:highlight w:val="none"/>
        </w:rPr>
      </w:pPr>
    </w:p>
    <w:p w14:paraId="01399867">
      <w:pPr>
        <w:pStyle w:val="4"/>
        <w:keepNext w:val="0"/>
        <w:tabs>
          <w:tab w:val="left" w:pos="1260"/>
        </w:tabs>
        <w:jc w:val="center"/>
        <w:rPr>
          <w:rFonts w:hint="eastAsia" w:cs="宋体"/>
          <w:color w:val="auto"/>
          <w:sz w:val="24"/>
          <w:highlight w:val="none"/>
          <w:lang w:eastAsia="zh-CN"/>
        </w:rPr>
      </w:pPr>
      <w:r>
        <w:rPr>
          <w:rFonts w:hint="eastAsia" w:cs="宋体"/>
          <w:bCs w:val="0"/>
          <w:color w:val="auto"/>
          <w:sz w:val="24"/>
          <w:highlight w:val="none"/>
          <w:lang w:eastAsia="zh-CN"/>
        </w:rPr>
        <w:t>（一）招标文件要求的相关资格证明</w:t>
      </w:r>
    </w:p>
    <w:p w14:paraId="6F9C5D04">
      <w:pPr>
        <w:rPr>
          <w:rFonts w:hint="eastAsia" w:ascii="宋体" w:hAnsi="宋体" w:cs="宋体"/>
          <w:b/>
          <w:color w:val="auto"/>
          <w:highlight w:val="none"/>
        </w:rPr>
      </w:pPr>
      <w:r>
        <w:rPr>
          <w:rFonts w:hint="eastAsia" w:ascii="宋体" w:hAnsi="宋体" w:cs="宋体"/>
          <w:b/>
          <w:color w:val="auto"/>
          <w:highlight w:val="none"/>
        </w:rPr>
        <w:t>1-1营业执照等证明材料原件扫描件或电子证照</w:t>
      </w:r>
    </w:p>
    <w:p w14:paraId="77DBF6A0">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投标人为企业（包括公司、合伙企业、个人独资企业）的，提供有效的营业执照；</w:t>
      </w:r>
    </w:p>
    <w:p w14:paraId="68CD6B4C">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投标人为事业单位的，提供有效的事业单位法人证书；</w:t>
      </w:r>
    </w:p>
    <w:p w14:paraId="4E949770">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投标人为社会团体的，提供有效的社会团体法人登记证书；</w:t>
      </w:r>
    </w:p>
    <w:p w14:paraId="22ED4FE5">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投标人为个体工商户的，提供有效的营业执照；</w:t>
      </w:r>
    </w:p>
    <w:p w14:paraId="0B7B0221">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投标人为不具法人资格的专业服务机构的，提供有效的执业许可证等证明材料；</w:t>
      </w:r>
    </w:p>
    <w:p w14:paraId="73A8F7A5">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投标人为自然人的，提供有效的自然人身份证明；</w:t>
      </w:r>
    </w:p>
    <w:p w14:paraId="517D1A66">
      <w:pPr>
        <w:rPr>
          <w:rFonts w:hint="eastAsia" w:ascii="宋体" w:hAnsi="宋体" w:cs="宋体"/>
          <w:color w:val="auto"/>
          <w:sz w:val="18"/>
          <w:szCs w:val="18"/>
          <w:highlight w:val="none"/>
        </w:rPr>
      </w:pPr>
      <w:r>
        <w:rPr>
          <w:rFonts w:hint="eastAsia" w:ascii="宋体" w:hAnsi="宋体" w:cs="宋体"/>
          <w:color w:val="auto"/>
          <w:sz w:val="18"/>
          <w:szCs w:val="18"/>
          <w:highlight w:val="none"/>
        </w:rPr>
        <w:t>其他投标人应按照有关法律、法规和规章规定，提供有效的相应证明材料。</w:t>
      </w:r>
    </w:p>
    <w:p w14:paraId="2A39BA28">
      <w:pPr>
        <w:rPr>
          <w:rFonts w:hint="eastAsia" w:ascii="宋体" w:hAnsi="宋体" w:cs="宋体"/>
          <w:color w:val="auto"/>
          <w:sz w:val="18"/>
          <w:szCs w:val="18"/>
          <w:highlight w:val="none"/>
        </w:rPr>
      </w:pPr>
      <w:r>
        <w:rPr>
          <w:rFonts w:hint="eastAsia" w:ascii="宋体" w:hAnsi="宋体" w:cs="宋体"/>
          <w:color w:val="auto"/>
          <w:sz w:val="18"/>
          <w:szCs w:val="18"/>
          <w:highlight w:val="none"/>
        </w:rPr>
        <w:t>注：</w:t>
      </w:r>
    </w:p>
    <w:p w14:paraId="34571A1B">
      <w:pPr>
        <w:rPr>
          <w:rFonts w:hint="eastAsia" w:ascii="宋体" w:hAnsi="宋体" w:cs="宋体"/>
          <w:color w:val="auto"/>
          <w:sz w:val="18"/>
          <w:szCs w:val="18"/>
          <w:highlight w:val="none"/>
        </w:rPr>
      </w:pPr>
      <w:r>
        <w:rPr>
          <w:rFonts w:hint="eastAsia" w:ascii="宋体" w:hAnsi="宋体" w:cs="宋体"/>
          <w:color w:val="auto"/>
          <w:sz w:val="18"/>
          <w:szCs w:val="18"/>
          <w:highlight w:val="none"/>
        </w:rPr>
        <w:t>1.联合体投标的联合体各方均须提供。</w:t>
      </w:r>
    </w:p>
    <w:p w14:paraId="220198E0">
      <w:pPr>
        <w:rPr>
          <w:rFonts w:hint="eastAsia" w:ascii="宋体" w:hAnsi="宋体" w:cs="宋体"/>
          <w:color w:val="auto"/>
          <w:sz w:val="18"/>
          <w:szCs w:val="18"/>
          <w:highlight w:val="none"/>
        </w:rPr>
      </w:pPr>
      <w:r>
        <w:rPr>
          <w:rFonts w:hint="eastAsia" w:ascii="宋体" w:hAnsi="宋体" w:cs="宋体"/>
          <w:color w:val="auto"/>
          <w:sz w:val="18"/>
          <w:szCs w:val="18"/>
          <w:highlight w:val="none"/>
        </w:rPr>
        <w:t>2.分支机构以分支机构名义参加投标的，应提供该分支机构的上述证明文件；同时还应提供其所属法人/其他组织出具的授权书（格式自拟，须加盖其所属法人/其他组织的公章）；</w:t>
      </w:r>
    </w:p>
    <w:p w14:paraId="59D74AED">
      <w:pPr>
        <w:rPr>
          <w:rFonts w:hint="eastAsia" w:ascii="宋体" w:hAnsi="宋体" w:cs="宋体"/>
          <w:color w:val="auto"/>
          <w:sz w:val="18"/>
          <w:szCs w:val="18"/>
          <w:highlight w:val="none"/>
        </w:rPr>
      </w:pPr>
      <w:r>
        <w:rPr>
          <w:rFonts w:hint="eastAsia" w:ascii="宋体" w:hAnsi="宋体" w:cs="宋体"/>
          <w:color w:val="auto"/>
          <w:sz w:val="18"/>
          <w:szCs w:val="18"/>
          <w:highlight w:val="none"/>
        </w:rPr>
        <w:t>3.分支机构以其所属法人/其他组织名义参加投标的，应提供其所属法人/其他组织的上述证明文件；同时还应提供其所属法人/其他组织出具的授权书（格式自拟，须加盖其所属法人/其他组织的公章）；</w:t>
      </w:r>
    </w:p>
    <w:p w14:paraId="52D9DB02">
      <w:pPr>
        <w:rPr>
          <w:rFonts w:hint="eastAsia" w:ascii="宋体" w:hAnsi="宋体" w:cs="宋体"/>
          <w:color w:val="auto"/>
          <w:szCs w:val="21"/>
          <w:highlight w:val="none"/>
        </w:rPr>
      </w:pPr>
      <w:r>
        <w:rPr>
          <w:rFonts w:hint="eastAsia" w:ascii="宋体" w:hAnsi="宋体" w:cs="宋体"/>
          <w:color w:val="auto"/>
          <w:sz w:val="18"/>
          <w:szCs w:val="18"/>
          <w:highlight w:val="none"/>
        </w:rPr>
        <w:t>4.对于银行、保险、石油石化、电力、电信、邮政、铁路等行业的分支机构，可以提供其所属法人/其他组织出具的授权书，也可以提供其所属法人/其他组织的有关文件或制度等能够证明授权其独立开展业务的证明材料。</w:t>
      </w:r>
    </w:p>
    <w:p w14:paraId="7C4A53C2">
      <w:pPr>
        <w:pStyle w:val="25"/>
        <w:rPr>
          <w:rFonts w:hint="eastAsia"/>
          <w:color w:val="auto"/>
          <w:highlight w:val="none"/>
        </w:rPr>
      </w:pPr>
    </w:p>
    <w:p w14:paraId="48847BA2">
      <w:pPr>
        <w:rPr>
          <w:rFonts w:hint="eastAsia" w:ascii="宋体" w:hAnsi="宋体" w:cs="宋体"/>
          <w:b/>
          <w:color w:val="auto"/>
          <w:highlight w:val="none"/>
        </w:rPr>
      </w:pPr>
      <w:r>
        <w:rPr>
          <w:rFonts w:hint="eastAsia" w:ascii="宋体" w:hAnsi="宋体" w:cs="宋体"/>
          <w:b/>
          <w:color w:val="auto"/>
          <w:highlight w:val="none"/>
        </w:rPr>
        <w:t>1-2资质证书（如有）</w:t>
      </w:r>
    </w:p>
    <w:p w14:paraId="33A6C4C1">
      <w:pPr>
        <w:rPr>
          <w:rFonts w:hint="eastAsia" w:ascii="宋体" w:hAnsi="宋体" w:cs="宋体"/>
          <w:snapToGrid w:val="0"/>
          <w:color w:val="auto"/>
          <w:sz w:val="18"/>
          <w:szCs w:val="18"/>
          <w:highlight w:val="none"/>
        </w:rPr>
      </w:pPr>
      <w:r>
        <w:rPr>
          <w:rFonts w:hint="eastAsia" w:ascii="宋体" w:hAnsi="宋体" w:cs="宋体"/>
          <w:color w:val="auto"/>
          <w:sz w:val="18"/>
          <w:szCs w:val="18"/>
          <w:highlight w:val="none"/>
        </w:rPr>
        <w:t>注：</w:t>
      </w:r>
      <w:r>
        <w:rPr>
          <w:rFonts w:hint="eastAsia" w:ascii="宋体" w:hAnsi="宋体" w:cs="宋体"/>
          <w:snapToGrid w:val="0"/>
          <w:color w:val="auto"/>
          <w:sz w:val="18"/>
          <w:szCs w:val="18"/>
          <w:highlight w:val="none"/>
        </w:rPr>
        <w:t>资质证书包括但不限于投标货物生产（制造）、销售、服务（安装、改造、维修、保养）许可证及有关投标货物（产品）有效鉴定证明等材料。</w:t>
      </w:r>
    </w:p>
    <w:p w14:paraId="5C3E3F94">
      <w:pPr>
        <w:rPr>
          <w:rFonts w:hint="eastAsia" w:ascii="宋体" w:hAnsi="宋体" w:cs="宋体"/>
          <w:color w:val="auto"/>
          <w:szCs w:val="21"/>
          <w:highlight w:val="none"/>
        </w:rPr>
      </w:pPr>
    </w:p>
    <w:p w14:paraId="18E52F86">
      <w:pPr>
        <w:rPr>
          <w:rFonts w:hint="eastAsia" w:ascii="宋体" w:hAnsi="宋体" w:cs="宋体"/>
          <w:b/>
          <w:color w:val="auto"/>
          <w:highlight w:val="none"/>
        </w:rPr>
      </w:pPr>
      <w:r>
        <w:rPr>
          <w:rFonts w:hint="eastAsia" w:ascii="宋体" w:hAnsi="宋体" w:cs="宋体"/>
          <w:b/>
          <w:color w:val="auto"/>
          <w:highlight w:val="none"/>
        </w:rPr>
        <w:t>1-3制造商的相关资质证明（如有）</w:t>
      </w:r>
    </w:p>
    <w:p w14:paraId="656D470E">
      <w:pPr>
        <w:rPr>
          <w:rFonts w:hint="eastAsia" w:ascii="宋体" w:hAnsi="宋体" w:cs="宋体"/>
          <w:b/>
          <w:color w:val="auto"/>
          <w:highlight w:val="none"/>
        </w:rPr>
      </w:pPr>
    </w:p>
    <w:p w14:paraId="0C7DBD53">
      <w:pPr>
        <w:rPr>
          <w:rFonts w:hint="eastAsia" w:ascii="宋体" w:hAnsi="宋体" w:cs="宋体"/>
          <w:b/>
          <w:color w:val="auto"/>
          <w:highlight w:val="none"/>
        </w:rPr>
      </w:pPr>
      <w:r>
        <w:rPr>
          <w:rFonts w:hint="eastAsia" w:ascii="宋体" w:hAnsi="宋体" w:cs="宋体"/>
          <w:b/>
          <w:color w:val="auto"/>
          <w:highlight w:val="none"/>
        </w:rPr>
        <w:t>1-4产品的相关资质证明文件（如有）</w:t>
      </w:r>
    </w:p>
    <w:p w14:paraId="55C91322">
      <w:pPr>
        <w:rPr>
          <w:rFonts w:hint="eastAsia" w:ascii="宋体" w:hAnsi="宋体" w:cs="宋体"/>
          <w:b/>
          <w:color w:val="auto"/>
          <w:highlight w:val="none"/>
        </w:rPr>
      </w:pPr>
    </w:p>
    <w:p w14:paraId="6146A237">
      <w:pPr>
        <w:rPr>
          <w:rFonts w:hint="eastAsia" w:ascii="宋体" w:hAnsi="宋体" w:cs="宋体"/>
          <w:b/>
          <w:color w:val="auto"/>
          <w:highlight w:val="none"/>
        </w:rPr>
      </w:pPr>
      <w:r>
        <w:rPr>
          <w:rFonts w:hint="eastAsia" w:ascii="宋体" w:hAnsi="宋体" w:cs="宋体"/>
          <w:b/>
          <w:color w:val="auto"/>
          <w:highlight w:val="none"/>
        </w:rPr>
        <w:t>1-5其他要求的相关</w:t>
      </w:r>
      <w:r>
        <w:rPr>
          <w:rFonts w:hint="eastAsia" w:ascii="宋体" w:hAnsi="宋体" w:cs="宋体"/>
          <w:b/>
          <w:color w:val="auto"/>
          <w:szCs w:val="21"/>
          <w:highlight w:val="none"/>
        </w:rPr>
        <w:t>资格证明材料</w:t>
      </w:r>
      <w:r>
        <w:rPr>
          <w:rFonts w:hint="eastAsia" w:ascii="宋体" w:hAnsi="宋体" w:cs="宋体"/>
          <w:b/>
          <w:color w:val="auto"/>
          <w:highlight w:val="none"/>
        </w:rPr>
        <w:t>（如有）</w:t>
      </w:r>
    </w:p>
    <w:p w14:paraId="422FF519">
      <w:pPr>
        <w:widowControl/>
        <w:tabs>
          <w:tab w:val="left" w:pos="5580"/>
        </w:tabs>
        <w:spacing w:line="360" w:lineRule="auto"/>
        <w:rPr>
          <w:rFonts w:hint="eastAsia" w:ascii="宋体" w:hAnsi="宋体" w:cs="宋体"/>
          <w:color w:val="auto"/>
          <w:szCs w:val="21"/>
          <w:highlight w:val="none"/>
        </w:rPr>
      </w:pPr>
    </w:p>
    <w:p w14:paraId="2A5059EA">
      <w:pPr>
        <w:widowControl/>
        <w:tabs>
          <w:tab w:val="left" w:pos="5580"/>
        </w:tabs>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注意对照招标公告及第四章规定，提供各类资格证明材料</w:t>
      </w:r>
    </w:p>
    <w:p w14:paraId="7A88DEDF">
      <w:pPr>
        <w:widowControl/>
        <w:tabs>
          <w:tab w:val="left" w:pos="5580"/>
        </w:tabs>
        <w:spacing w:line="360" w:lineRule="auto"/>
        <w:jc w:val="center"/>
        <w:outlineLvl w:val="2"/>
        <w:rPr>
          <w:rFonts w:hint="eastAsia" w:ascii="宋体" w:hAnsi="宋体" w:cs="宋体"/>
          <w:b/>
          <w:color w:val="auto"/>
          <w:sz w:val="24"/>
          <w:highlight w:val="none"/>
        </w:rPr>
      </w:pPr>
      <w:r>
        <w:rPr>
          <w:rFonts w:hint="eastAsia" w:ascii="宋体" w:hAnsi="宋体" w:cs="宋体"/>
          <w:b/>
          <w:color w:val="auto"/>
          <w:szCs w:val="21"/>
          <w:highlight w:val="none"/>
        </w:rPr>
        <w:br w:type="page"/>
      </w:r>
      <w:r>
        <w:rPr>
          <w:rFonts w:hint="eastAsia" w:ascii="宋体" w:hAnsi="宋体" w:cs="宋体"/>
          <w:b/>
          <w:bCs/>
          <w:color w:val="auto"/>
          <w:kern w:val="0"/>
          <w:sz w:val="24"/>
          <w:highlight w:val="none"/>
          <w:lang w:bidi="en-US"/>
        </w:rPr>
        <w:t>（二）政府采购供应商资格承诺函</w:t>
      </w:r>
    </w:p>
    <w:p w14:paraId="1FC1A633">
      <w:pPr>
        <w:snapToGrid w:val="0"/>
        <w:spacing w:line="360" w:lineRule="auto"/>
        <w:rPr>
          <w:rFonts w:hint="eastAsia" w:ascii="宋体" w:hAnsi="宋体" w:cs="宋体"/>
          <w:color w:val="auto"/>
          <w:highlight w:val="none"/>
          <w:u w:val="single"/>
          <w:lang w:bidi="en-US"/>
        </w:rPr>
      </w:pPr>
      <w:r>
        <w:rPr>
          <w:rFonts w:hint="eastAsia" w:ascii="宋体" w:hAnsi="宋体" w:cs="宋体"/>
          <w:color w:val="auto"/>
          <w:highlight w:val="none"/>
          <w:lang w:bidi="en-US"/>
        </w:rPr>
        <w:t>致：【采购人名称】</w:t>
      </w:r>
    </w:p>
    <w:p w14:paraId="2CFF36C7">
      <w:pPr>
        <w:snapToGrid w:val="0"/>
        <w:spacing w:line="360" w:lineRule="auto"/>
        <w:rPr>
          <w:rFonts w:hint="eastAsia" w:ascii="宋体" w:hAnsi="宋体" w:cs="宋体"/>
          <w:color w:val="auto"/>
          <w:highlight w:val="none"/>
          <w:lang w:bidi="en-US"/>
        </w:rPr>
      </w:pPr>
      <w:r>
        <w:rPr>
          <w:rFonts w:hint="eastAsia" w:ascii="宋体" w:hAnsi="宋体" w:cs="宋体"/>
          <w:color w:val="auto"/>
          <w:highlight w:val="none"/>
          <w:lang w:bidi="en-US"/>
        </w:rPr>
        <w:t xml:space="preserve">    安徽省招标集团股份有限公司</w:t>
      </w:r>
    </w:p>
    <w:p w14:paraId="7662693E">
      <w:pPr>
        <w:widowControl/>
        <w:tabs>
          <w:tab w:val="left" w:pos="558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lang w:bidi="en-US"/>
        </w:rPr>
        <w:t>郑重承诺，根据《中华人民共和国政府采购法》及《中华人民共和国政府采购法实施条例》的规定，</w:t>
      </w:r>
      <w:r>
        <w:rPr>
          <w:rFonts w:hint="eastAsia" w:ascii="宋体" w:hAnsi="宋体" w:cs="宋体"/>
          <w:color w:val="auto"/>
          <w:szCs w:val="21"/>
          <w:highlight w:val="none"/>
        </w:rPr>
        <w:t>我方具有独立承担民事责任的能力、具有良好的商业信誉和健全的财务会计制度、依法缴纳税收和社会保障资金,在前三年的经营活动中无重大违法记录,未列入严重失信行为名单,符合政府采购供应商的基本资格要求。</w:t>
      </w:r>
    </w:p>
    <w:p w14:paraId="2BB36A56">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（一）具有独立承担民事责任的能力。</w:t>
      </w:r>
    </w:p>
    <w:p w14:paraId="4C39A680">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（二）具有良好的商业信誉和健全的财务会计制度。</w:t>
      </w:r>
    </w:p>
    <w:p w14:paraId="3697A5EB">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（三）具有履行合同所必需的设备和专业技术能力。</w:t>
      </w:r>
    </w:p>
    <w:p w14:paraId="2BD8DB17">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（四）有依法缴纳税收和社会保障资金的良好记录。</w:t>
      </w:r>
    </w:p>
    <w:p w14:paraId="68F260DD">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五）参加本次政府采购活动前三年内，我方在经营活动中没有重大违法记录，没有因违法经营受到刑事处罚或者责令停产停业、吊销许可证或者执照、较大数额罚款等行政处罚，且未在被禁止参加政府采购活动的处罚期限内。</w:t>
      </w:r>
    </w:p>
    <w:p w14:paraId="2E79FF90">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六）我方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14BE6B85">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（七）符合其他法律法规规定的政府采购供应商条件。</w:t>
      </w:r>
    </w:p>
    <w:p w14:paraId="32EA4D45">
      <w:pPr>
        <w:widowControl/>
        <w:tabs>
          <w:tab w:val="left" w:pos="5580"/>
        </w:tabs>
        <w:spacing w:line="360" w:lineRule="auto"/>
        <w:ind w:firstLine="420" w:firstLineChars="200"/>
        <w:jc w:val="left"/>
        <w:rPr>
          <w:rFonts w:hint="eastAsia" w:ascii="宋体" w:hAnsi="宋体" w:cs="宋体"/>
          <w:bCs/>
          <w:color w:val="auto"/>
          <w:szCs w:val="21"/>
          <w:highlight w:val="none"/>
        </w:rPr>
      </w:pPr>
    </w:p>
    <w:p w14:paraId="6281A727">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我方对上述承诺事项的真实性负责，授权并配合采购人所在同级财政部门及其委托机构，对上述承诺事项进行查证。</w:t>
      </w:r>
    </w:p>
    <w:p w14:paraId="7B9A16B1">
      <w:pPr>
        <w:widowControl/>
        <w:tabs>
          <w:tab w:val="left" w:pos="5580"/>
        </w:tabs>
        <w:spacing w:line="360" w:lineRule="auto"/>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如不属实，属于供应商提供虚假材料谋取中标、成交的情形，按照《中华人民共和国政府采购法》第七十七条第一款的规定，接受采购金额千分之五以上千分之十以下的罚款，列入不良行为记录名单，在一至三年内禁止参加政府采购活动等行政处罚。有违法所得的，并处没收违法所得，情节严重的，由市场监督管理部门吊销营业执照；构成犯罪的，依法追究刑事责任。</w:t>
      </w:r>
    </w:p>
    <w:p w14:paraId="1DB953FB">
      <w:pPr>
        <w:jc w:val="right"/>
        <w:rPr>
          <w:rFonts w:hint="eastAsia" w:ascii="宋体" w:hAnsi="宋体" w:cs="宋体"/>
          <w:color w:val="auto"/>
          <w:highlight w:val="none"/>
          <w:u w:val="single"/>
          <w:lang w:bidi="en-US"/>
        </w:rPr>
      </w:pPr>
      <w:r>
        <w:rPr>
          <w:rFonts w:hint="eastAsia" w:ascii="宋体" w:hAnsi="宋体" w:cs="宋体"/>
          <w:color w:val="auto"/>
          <w:highlight w:val="none"/>
          <w:lang w:bidi="en-US"/>
        </w:rPr>
        <w:t>投标人：</w:t>
      </w:r>
      <w:r>
        <w:rPr>
          <w:rFonts w:hint="eastAsia" w:ascii="宋体" w:hAnsi="宋体" w:cs="宋体"/>
          <w:color w:val="auto"/>
          <w:highlight w:val="none"/>
          <w:u w:val="single"/>
          <w:lang w:bidi="en-US"/>
        </w:rPr>
        <w:t xml:space="preserve">       （盖单位章）</w:t>
      </w:r>
    </w:p>
    <w:p w14:paraId="14D0AB1E">
      <w:pPr>
        <w:bidi/>
        <w:ind w:left="0" w:right="0"/>
        <w:jc w:val="left"/>
        <w:rPr>
          <w:rFonts w:hint="eastAsia" w:ascii="仿宋" w:hAnsi="仿宋" w:eastAsia="仿宋" w:cs="仿宋"/>
          <w:color w:val="auto"/>
          <w:highlight w:val="none"/>
          <w:lang w:bidi="en-US"/>
        </w:rPr>
      </w:pPr>
      <w:r>
        <w:rPr>
          <w:rFonts w:hint="eastAsia" w:ascii="宋体" w:hAnsi="宋体" w:cs="宋体"/>
          <w:color w:val="auto"/>
          <w:highlight w:val="none"/>
          <w:lang w:bidi="en-US"/>
        </w:rPr>
        <w:t>日  期：</w:t>
      </w:r>
      <w:r>
        <w:rPr>
          <w:rFonts w:hint="eastAsia" w:ascii="宋体" w:hAnsi="宋体" w:cs="宋体"/>
          <w:color w:val="auto"/>
          <w:highlight w:val="none"/>
          <w:u w:val="single"/>
          <w:lang w:bidi="en-US"/>
        </w:rPr>
        <w:t xml:space="preserve">                   </w:t>
      </w:r>
    </w:p>
    <w:p w14:paraId="3A52FDD4">
      <w:pPr>
        <w:tabs>
          <w:tab w:val="left" w:pos="5580"/>
        </w:tabs>
        <w:jc w:val="center"/>
        <w:outlineLvl w:val="2"/>
        <w:rPr>
          <w:rFonts w:ascii="宋体" w:hAnsi="宋体" w:cs="宋体"/>
          <w:b/>
          <w:bCs/>
          <w:color w:val="auto"/>
          <w:kern w:val="0"/>
          <w:sz w:val="24"/>
          <w:highlight w:val="none"/>
          <w:lang w:bidi="en-US"/>
        </w:rPr>
      </w:pPr>
      <w:r>
        <w:rPr>
          <w:rFonts w:hint="eastAsia" w:ascii="宋体" w:hAnsi="宋体" w:cs="宋体"/>
          <w:color w:val="auto"/>
          <w:szCs w:val="21"/>
          <w:highlight w:val="none"/>
        </w:rPr>
        <w:br w:type="page"/>
      </w:r>
      <w:r>
        <w:rPr>
          <w:rFonts w:hint="eastAsia" w:ascii="宋体" w:hAnsi="宋体" w:cs="宋体"/>
          <w:b/>
          <w:bCs/>
          <w:color w:val="auto"/>
          <w:kern w:val="0"/>
          <w:sz w:val="24"/>
          <w:highlight w:val="none"/>
          <w:lang w:bidi="en-US"/>
        </w:rPr>
        <w:t>（三）用于资格审查的业绩证明材料（如有）</w:t>
      </w:r>
    </w:p>
    <w:p w14:paraId="767F7197">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1.业绩承诺函</w:t>
      </w:r>
    </w:p>
    <w:p w14:paraId="61D7984E">
      <w:pPr>
        <w:pStyle w:val="11"/>
        <w:spacing w:line="360" w:lineRule="auto"/>
        <w:rPr>
          <w:rFonts w:hint="eastAsia" w:hAnsi="宋体" w:cs="宋体"/>
          <w:b/>
          <w:color w:val="auto"/>
          <w:sz w:val="21"/>
          <w:highlight w:val="none"/>
          <w:u w:val="single"/>
        </w:rPr>
      </w:pPr>
      <w:r>
        <w:rPr>
          <w:rFonts w:hint="eastAsia" w:hAnsi="宋体" w:cs="宋体"/>
          <w:color w:val="auto"/>
          <w:sz w:val="21"/>
          <w:highlight w:val="none"/>
        </w:rPr>
        <w:t>致：【采购人名称】</w:t>
      </w:r>
    </w:p>
    <w:p w14:paraId="1423F260">
      <w:pPr>
        <w:spacing w:line="360" w:lineRule="auto"/>
        <w:ind w:firstLine="435"/>
        <w:rPr>
          <w:rFonts w:hint="eastAsia" w:ascii="宋体" w:hAnsi="宋体" w:cs="宋体"/>
          <w:color w:val="auto"/>
          <w:highlight w:val="none"/>
        </w:rPr>
      </w:pPr>
      <w:r>
        <w:rPr>
          <w:rFonts w:hint="eastAsia" w:ascii="宋体" w:hAnsi="宋体" w:cs="宋体"/>
          <w:color w:val="auto"/>
          <w:highlight w:val="none"/>
        </w:rPr>
        <w:t>我方承诺：投标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布。</w:t>
      </w:r>
    </w:p>
    <w:p w14:paraId="0E4642EA">
      <w:pPr>
        <w:spacing w:line="360" w:lineRule="auto"/>
        <w:ind w:firstLine="3700" w:firstLineChars="1762"/>
        <w:rPr>
          <w:rFonts w:hint="eastAsia"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0FFE25B7">
      <w:pPr>
        <w:tabs>
          <w:tab w:val="left" w:pos="630"/>
        </w:tabs>
        <w:spacing w:line="360" w:lineRule="auto"/>
        <w:ind w:firstLine="3700" w:firstLineChars="1762"/>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16281DF6">
      <w:pPr>
        <w:jc w:val="center"/>
        <w:rPr>
          <w:rFonts w:hint="eastAsia" w:ascii="宋体" w:hAnsi="宋体" w:cs="宋体"/>
          <w:color w:val="auto"/>
          <w:sz w:val="28"/>
          <w:highlight w:val="none"/>
        </w:rPr>
      </w:pPr>
    </w:p>
    <w:p w14:paraId="5970975E">
      <w:pPr>
        <w:jc w:val="center"/>
        <w:rPr>
          <w:rFonts w:hint="eastAsia" w:ascii="宋体" w:hAnsi="宋体" w:cs="宋体"/>
          <w:color w:val="auto"/>
          <w:sz w:val="28"/>
          <w:highlight w:val="none"/>
        </w:rPr>
      </w:pPr>
      <w:r>
        <w:rPr>
          <w:rFonts w:hint="eastAsia" w:ascii="宋体" w:hAnsi="宋体" w:cs="宋体"/>
          <w:b/>
          <w:bCs/>
          <w:color w:val="auto"/>
          <w:sz w:val="24"/>
          <w:highlight w:val="none"/>
        </w:rPr>
        <w:t>2.业绩汇总表</w:t>
      </w:r>
    </w:p>
    <w:tbl>
      <w:tblPr>
        <w:tblStyle w:val="17"/>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466"/>
        <w:gridCol w:w="1845"/>
        <w:gridCol w:w="1247"/>
        <w:gridCol w:w="1865"/>
        <w:gridCol w:w="1535"/>
        <w:gridCol w:w="926"/>
      </w:tblGrid>
      <w:tr w14:paraId="4F1E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13EDC725">
            <w:pPr>
              <w:jc w:val="center"/>
              <w:rPr>
                <w:rFonts w:hint="eastAsia" w:ascii="宋体" w:hAnsi="宋体" w:cs="宋体"/>
                <w:b/>
                <w:color w:val="auto"/>
                <w:highlight w:val="none"/>
              </w:rPr>
            </w:pPr>
            <w:r>
              <w:rPr>
                <w:rFonts w:hint="eastAsia" w:ascii="宋体" w:hAnsi="宋体" w:cs="宋体"/>
                <w:b/>
                <w:color w:val="auto"/>
                <w:highlight w:val="none"/>
              </w:rPr>
              <w:t>序号</w:t>
            </w:r>
          </w:p>
        </w:tc>
        <w:tc>
          <w:tcPr>
            <w:tcW w:w="757" w:type="pct"/>
            <w:noWrap w:val="0"/>
            <w:vAlign w:val="center"/>
          </w:tcPr>
          <w:p w14:paraId="1B681F39">
            <w:pPr>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953" w:type="pct"/>
            <w:noWrap w:val="0"/>
            <w:vAlign w:val="center"/>
          </w:tcPr>
          <w:p w14:paraId="6F88AA3C">
            <w:pPr>
              <w:widowControl/>
              <w:jc w:val="center"/>
              <w:rPr>
                <w:rFonts w:hint="eastAsia" w:ascii="宋体" w:hAnsi="宋体" w:cs="宋体"/>
                <w:b/>
                <w:color w:val="auto"/>
                <w:highlight w:val="none"/>
              </w:rPr>
            </w:pPr>
            <w:r>
              <w:rPr>
                <w:rFonts w:hint="eastAsia" w:ascii="宋体" w:hAnsi="宋体" w:cs="宋体"/>
                <w:b/>
                <w:color w:val="auto"/>
                <w:highlight w:val="none"/>
              </w:rPr>
              <w:t>合同主要内容</w:t>
            </w:r>
          </w:p>
        </w:tc>
        <w:tc>
          <w:tcPr>
            <w:tcW w:w="644" w:type="pct"/>
            <w:noWrap w:val="0"/>
            <w:vAlign w:val="center"/>
          </w:tcPr>
          <w:p w14:paraId="03554C25">
            <w:pPr>
              <w:jc w:val="center"/>
              <w:rPr>
                <w:rFonts w:hint="eastAsia" w:ascii="宋体" w:hAnsi="宋体" w:cs="宋体"/>
                <w:b/>
                <w:color w:val="auto"/>
                <w:highlight w:val="none"/>
              </w:rPr>
            </w:pPr>
            <w:r>
              <w:rPr>
                <w:rFonts w:hint="eastAsia" w:ascii="宋体" w:hAnsi="宋体" w:cs="宋体"/>
                <w:b/>
                <w:color w:val="auto"/>
                <w:highlight w:val="none"/>
              </w:rPr>
              <w:t>签约合同价金额</w:t>
            </w:r>
          </w:p>
        </w:tc>
        <w:tc>
          <w:tcPr>
            <w:tcW w:w="963" w:type="pct"/>
            <w:noWrap w:val="0"/>
            <w:vAlign w:val="center"/>
          </w:tcPr>
          <w:p w14:paraId="6C637B17">
            <w:pPr>
              <w:jc w:val="center"/>
              <w:rPr>
                <w:rFonts w:hint="eastAsia" w:ascii="宋体" w:hAnsi="宋体" w:cs="宋体"/>
                <w:b/>
                <w:color w:val="auto"/>
                <w:highlight w:val="none"/>
              </w:rPr>
            </w:pPr>
            <w:r>
              <w:rPr>
                <w:rFonts w:hint="eastAsia" w:ascii="宋体" w:hAnsi="宋体" w:cs="宋体"/>
                <w:b/>
                <w:color w:val="auto"/>
                <w:highlight w:val="none"/>
              </w:rPr>
              <w:t>业主单位</w:t>
            </w:r>
          </w:p>
          <w:p w14:paraId="41DFD8F2">
            <w:pPr>
              <w:jc w:val="center"/>
              <w:rPr>
                <w:rFonts w:hint="eastAsia" w:ascii="宋体" w:hAnsi="宋体" w:cs="宋体"/>
                <w:b/>
                <w:color w:val="auto"/>
                <w:highlight w:val="none"/>
              </w:rPr>
            </w:pPr>
            <w:r>
              <w:rPr>
                <w:rFonts w:hint="eastAsia" w:ascii="宋体" w:hAnsi="宋体" w:cs="宋体"/>
                <w:b/>
                <w:color w:val="auto"/>
                <w:highlight w:val="none"/>
              </w:rPr>
              <w:t>及联系电话</w:t>
            </w:r>
          </w:p>
        </w:tc>
        <w:tc>
          <w:tcPr>
            <w:tcW w:w="793" w:type="pct"/>
            <w:noWrap w:val="0"/>
            <w:vAlign w:val="center"/>
          </w:tcPr>
          <w:p w14:paraId="39B3DA5F">
            <w:pPr>
              <w:jc w:val="center"/>
              <w:rPr>
                <w:rFonts w:hint="eastAsia" w:ascii="宋体" w:hAnsi="宋体" w:cs="宋体"/>
                <w:b/>
                <w:color w:val="auto"/>
                <w:highlight w:val="none"/>
              </w:rPr>
            </w:pPr>
            <w:r>
              <w:rPr>
                <w:rFonts w:hint="eastAsia" w:ascii="宋体" w:hAnsi="宋体" w:cs="宋体"/>
                <w:b/>
                <w:color w:val="auto"/>
                <w:highlight w:val="none"/>
              </w:rPr>
              <w:t>合同签订时间</w:t>
            </w:r>
          </w:p>
        </w:tc>
        <w:tc>
          <w:tcPr>
            <w:tcW w:w="478" w:type="pct"/>
            <w:noWrap w:val="0"/>
            <w:vAlign w:val="center"/>
          </w:tcPr>
          <w:p w14:paraId="38042213">
            <w:pPr>
              <w:jc w:val="center"/>
              <w:rPr>
                <w:rFonts w:hint="eastAsia" w:ascii="宋体" w:hAnsi="宋体" w:cs="宋体"/>
                <w:b/>
                <w:color w:val="auto"/>
                <w:highlight w:val="none"/>
              </w:rPr>
            </w:pPr>
            <w:r>
              <w:rPr>
                <w:rFonts w:hint="eastAsia" w:ascii="宋体" w:hAnsi="宋体" w:cs="宋体"/>
                <w:b/>
                <w:color w:val="auto"/>
                <w:highlight w:val="none"/>
              </w:rPr>
              <w:t>备注</w:t>
            </w:r>
          </w:p>
        </w:tc>
      </w:tr>
      <w:tr w14:paraId="7164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3B2A8A41">
            <w:pPr>
              <w:jc w:val="center"/>
              <w:rPr>
                <w:rFonts w:hint="eastAsia" w:ascii="宋体" w:hAnsi="宋体" w:cs="宋体"/>
                <w:color w:val="auto"/>
                <w:highlight w:val="none"/>
              </w:rPr>
            </w:pPr>
            <w:r>
              <w:rPr>
                <w:rFonts w:hint="eastAsia" w:ascii="宋体" w:hAnsi="宋体" w:cs="宋体"/>
                <w:color w:val="auto"/>
                <w:highlight w:val="none"/>
              </w:rPr>
              <w:t>1</w:t>
            </w:r>
          </w:p>
        </w:tc>
        <w:tc>
          <w:tcPr>
            <w:tcW w:w="757" w:type="pct"/>
            <w:noWrap w:val="0"/>
            <w:vAlign w:val="center"/>
          </w:tcPr>
          <w:p w14:paraId="53BF6D27">
            <w:pPr>
              <w:rPr>
                <w:rFonts w:hint="eastAsia" w:ascii="宋体" w:hAnsi="宋体" w:cs="宋体"/>
                <w:color w:val="auto"/>
                <w:highlight w:val="none"/>
              </w:rPr>
            </w:pPr>
          </w:p>
        </w:tc>
        <w:tc>
          <w:tcPr>
            <w:tcW w:w="953" w:type="pct"/>
            <w:noWrap w:val="0"/>
            <w:vAlign w:val="center"/>
          </w:tcPr>
          <w:p w14:paraId="7BB8D01C">
            <w:pPr>
              <w:rPr>
                <w:rFonts w:hint="eastAsia" w:ascii="宋体" w:hAnsi="宋体" w:cs="宋体"/>
                <w:color w:val="auto"/>
                <w:highlight w:val="none"/>
              </w:rPr>
            </w:pPr>
          </w:p>
        </w:tc>
        <w:tc>
          <w:tcPr>
            <w:tcW w:w="644" w:type="pct"/>
            <w:noWrap w:val="0"/>
            <w:vAlign w:val="center"/>
          </w:tcPr>
          <w:p w14:paraId="61078F55">
            <w:pPr>
              <w:rPr>
                <w:rFonts w:hint="eastAsia" w:ascii="宋体" w:hAnsi="宋体" w:cs="宋体"/>
                <w:color w:val="auto"/>
                <w:highlight w:val="none"/>
              </w:rPr>
            </w:pPr>
          </w:p>
        </w:tc>
        <w:tc>
          <w:tcPr>
            <w:tcW w:w="963" w:type="pct"/>
            <w:noWrap w:val="0"/>
            <w:vAlign w:val="center"/>
          </w:tcPr>
          <w:p w14:paraId="18F9E285">
            <w:pPr>
              <w:rPr>
                <w:rFonts w:hint="eastAsia" w:ascii="宋体" w:hAnsi="宋体" w:cs="宋体"/>
                <w:color w:val="auto"/>
                <w:highlight w:val="none"/>
              </w:rPr>
            </w:pPr>
          </w:p>
        </w:tc>
        <w:tc>
          <w:tcPr>
            <w:tcW w:w="793" w:type="pct"/>
            <w:noWrap w:val="0"/>
            <w:vAlign w:val="top"/>
          </w:tcPr>
          <w:p w14:paraId="054856D0">
            <w:pPr>
              <w:rPr>
                <w:rFonts w:hint="eastAsia" w:ascii="宋体" w:hAnsi="宋体" w:cs="宋体"/>
                <w:color w:val="auto"/>
                <w:highlight w:val="none"/>
              </w:rPr>
            </w:pPr>
          </w:p>
        </w:tc>
        <w:tc>
          <w:tcPr>
            <w:tcW w:w="478" w:type="pct"/>
            <w:noWrap w:val="0"/>
            <w:vAlign w:val="center"/>
          </w:tcPr>
          <w:p w14:paraId="03736C58">
            <w:pPr>
              <w:rPr>
                <w:rFonts w:hint="eastAsia" w:ascii="宋体" w:hAnsi="宋体" w:cs="宋体"/>
                <w:color w:val="auto"/>
                <w:highlight w:val="none"/>
              </w:rPr>
            </w:pPr>
          </w:p>
        </w:tc>
      </w:tr>
      <w:tr w14:paraId="6177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007A25F3">
            <w:pPr>
              <w:jc w:val="center"/>
              <w:rPr>
                <w:rFonts w:hint="eastAsia" w:ascii="宋体" w:hAnsi="宋体" w:cs="宋体"/>
                <w:color w:val="auto"/>
                <w:highlight w:val="none"/>
              </w:rPr>
            </w:pPr>
            <w:r>
              <w:rPr>
                <w:rFonts w:hint="eastAsia" w:ascii="宋体" w:hAnsi="宋体" w:cs="宋体"/>
                <w:color w:val="auto"/>
                <w:highlight w:val="none"/>
              </w:rPr>
              <w:t>2</w:t>
            </w:r>
          </w:p>
        </w:tc>
        <w:tc>
          <w:tcPr>
            <w:tcW w:w="757" w:type="pct"/>
            <w:noWrap w:val="0"/>
            <w:vAlign w:val="center"/>
          </w:tcPr>
          <w:p w14:paraId="5BAB74B1">
            <w:pPr>
              <w:rPr>
                <w:rFonts w:hint="eastAsia" w:ascii="宋体" w:hAnsi="宋体" w:cs="宋体"/>
                <w:color w:val="auto"/>
                <w:highlight w:val="none"/>
              </w:rPr>
            </w:pPr>
          </w:p>
        </w:tc>
        <w:tc>
          <w:tcPr>
            <w:tcW w:w="953" w:type="pct"/>
            <w:noWrap w:val="0"/>
            <w:vAlign w:val="center"/>
          </w:tcPr>
          <w:p w14:paraId="7B279AAA">
            <w:pPr>
              <w:rPr>
                <w:rFonts w:hint="eastAsia" w:ascii="宋体" w:hAnsi="宋体" w:cs="宋体"/>
                <w:color w:val="auto"/>
                <w:highlight w:val="none"/>
              </w:rPr>
            </w:pPr>
          </w:p>
        </w:tc>
        <w:tc>
          <w:tcPr>
            <w:tcW w:w="644" w:type="pct"/>
            <w:noWrap w:val="0"/>
            <w:vAlign w:val="center"/>
          </w:tcPr>
          <w:p w14:paraId="3A1B2455">
            <w:pPr>
              <w:rPr>
                <w:rFonts w:hint="eastAsia" w:ascii="宋体" w:hAnsi="宋体" w:cs="宋体"/>
                <w:color w:val="auto"/>
                <w:highlight w:val="none"/>
              </w:rPr>
            </w:pPr>
          </w:p>
        </w:tc>
        <w:tc>
          <w:tcPr>
            <w:tcW w:w="963" w:type="pct"/>
            <w:noWrap w:val="0"/>
            <w:vAlign w:val="center"/>
          </w:tcPr>
          <w:p w14:paraId="41D1A819">
            <w:pPr>
              <w:rPr>
                <w:rFonts w:hint="eastAsia" w:ascii="宋体" w:hAnsi="宋体" w:cs="宋体"/>
                <w:color w:val="auto"/>
                <w:highlight w:val="none"/>
              </w:rPr>
            </w:pPr>
          </w:p>
        </w:tc>
        <w:tc>
          <w:tcPr>
            <w:tcW w:w="793" w:type="pct"/>
            <w:noWrap w:val="0"/>
            <w:vAlign w:val="top"/>
          </w:tcPr>
          <w:p w14:paraId="7B29F71B">
            <w:pPr>
              <w:rPr>
                <w:rFonts w:hint="eastAsia" w:ascii="宋体" w:hAnsi="宋体" w:cs="宋体"/>
                <w:color w:val="auto"/>
                <w:highlight w:val="none"/>
              </w:rPr>
            </w:pPr>
          </w:p>
        </w:tc>
        <w:tc>
          <w:tcPr>
            <w:tcW w:w="478" w:type="pct"/>
            <w:noWrap w:val="0"/>
            <w:vAlign w:val="center"/>
          </w:tcPr>
          <w:p w14:paraId="355BE32E">
            <w:pPr>
              <w:rPr>
                <w:rFonts w:hint="eastAsia" w:ascii="宋体" w:hAnsi="宋体" w:cs="宋体"/>
                <w:color w:val="auto"/>
                <w:highlight w:val="none"/>
              </w:rPr>
            </w:pPr>
          </w:p>
        </w:tc>
      </w:tr>
      <w:tr w14:paraId="646B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161359B5">
            <w:pPr>
              <w:jc w:val="center"/>
              <w:rPr>
                <w:rFonts w:hint="eastAsia" w:ascii="宋体" w:hAnsi="宋体" w:cs="宋体"/>
                <w:color w:val="auto"/>
                <w:highlight w:val="none"/>
              </w:rPr>
            </w:pPr>
            <w:r>
              <w:rPr>
                <w:rFonts w:hint="eastAsia" w:ascii="宋体" w:hAnsi="宋体" w:cs="宋体"/>
                <w:color w:val="auto"/>
                <w:highlight w:val="none"/>
              </w:rPr>
              <w:t>3</w:t>
            </w:r>
          </w:p>
        </w:tc>
        <w:tc>
          <w:tcPr>
            <w:tcW w:w="757" w:type="pct"/>
            <w:noWrap w:val="0"/>
            <w:vAlign w:val="center"/>
          </w:tcPr>
          <w:p w14:paraId="4D02B234">
            <w:pPr>
              <w:rPr>
                <w:rFonts w:hint="eastAsia" w:ascii="宋体" w:hAnsi="宋体" w:cs="宋体"/>
                <w:color w:val="auto"/>
                <w:highlight w:val="none"/>
              </w:rPr>
            </w:pPr>
          </w:p>
        </w:tc>
        <w:tc>
          <w:tcPr>
            <w:tcW w:w="953" w:type="pct"/>
            <w:noWrap w:val="0"/>
            <w:vAlign w:val="center"/>
          </w:tcPr>
          <w:p w14:paraId="1E9B5DA7">
            <w:pPr>
              <w:rPr>
                <w:rFonts w:hint="eastAsia" w:ascii="宋体" w:hAnsi="宋体" w:cs="宋体"/>
                <w:color w:val="auto"/>
                <w:highlight w:val="none"/>
              </w:rPr>
            </w:pPr>
          </w:p>
        </w:tc>
        <w:tc>
          <w:tcPr>
            <w:tcW w:w="644" w:type="pct"/>
            <w:noWrap w:val="0"/>
            <w:vAlign w:val="center"/>
          </w:tcPr>
          <w:p w14:paraId="73508970">
            <w:pPr>
              <w:rPr>
                <w:rFonts w:hint="eastAsia" w:ascii="宋体" w:hAnsi="宋体" w:cs="宋体"/>
                <w:color w:val="auto"/>
                <w:highlight w:val="none"/>
              </w:rPr>
            </w:pPr>
          </w:p>
        </w:tc>
        <w:tc>
          <w:tcPr>
            <w:tcW w:w="963" w:type="pct"/>
            <w:noWrap w:val="0"/>
            <w:vAlign w:val="center"/>
          </w:tcPr>
          <w:p w14:paraId="2D9FFCCC">
            <w:pPr>
              <w:rPr>
                <w:rFonts w:hint="eastAsia" w:ascii="宋体" w:hAnsi="宋体" w:cs="宋体"/>
                <w:color w:val="auto"/>
                <w:highlight w:val="none"/>
              </w:rPr>
            </w:pPr>
          </w:p>
        </w:tc>
        <w:tc>
          <w:tcPr>
            <w:tcW w:w="793" w:type="pct"/>
            <w:noWrap w:val="0"/>
            <w:vAlign w:val="top"/>
          </w:tcPr>
          <w:p w14:paraId="3FD2DE92">
            <w:pPr>
              <w:rPr>
                <w:rFonts w:hint="eastAsia" w:ascii="宋体" w:hAnsi="宋体" w:cs="宋体"/>
                <w:color w:val="auto"/>
                <w:highlight w:val="none"/>
              </w:rPr>
            </w:pPr>
          </w:p>
        </w:tc>
        <w:tc>
          <w:tcPr>
            <w:tcW w:w="478" w:type="pct"/>
            <w:noWrap w:val="0"/>
            <w:vAlign w:val="center"/>
          </w:tcPr>
          <w:p w14:paraId="11F20FD3">
            <w:pPr>
              <w:rPr>
                <w:rFonts w:hint="eastAsia" w:ascii="宋体" w:hAnsi="宋体" w:cs="宋体"/>
                <w:color w:val="auto"/>
                <w:highlight w:val="none"/>
              </w:rPr>
            </w:pPr>
          </w:p>
        </w:tc>
      </w:tr>
      <w:tr w14:paraId="66D4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1A52BC12">
            <w:pPr>
              <w:jc w:val="center"/>
              <w:rPr>
                <w:rFonts w:hint="eastAsia" w:ascii="宋体" w:hAnsi="宋体" w:cs="宋体"/>
                <w:color w:val="auto"/>
                <w:highlight w:val="none"/>
              </w:rPr>
            </w:pPr>
            <w:r>
              <w:rPr>
                <w:rFonts w:hint="eastAsia" w:ascii="宋体" w:hAnsi="宋体" w:cs="宋体"/>
                <w:color w:val="auto"/>
                <w:highlight w:val="none"/>
              </w:rPr>
              <w:t>4</w:t>
            </w:r>
          </w:p>
        </w:tc>
        <w:tc>
          <w:tcPr>
            <w:tcW w:w="757" w:type="pct"/>
            <w:noWrap w:val="0"/>
            <w:vAlign w:val="center"/>
          </w:tcPr>
          <w:p w14:paraId="29831636">
            <w:pPr>
              <w:rPr>
                <w:rFonts w:hint="eastAsia" w:ascii="宋体" w:hAnsi="宋体" w:cs="宋体"/>
                <w:color w:val="auto"/>
                <w:highlight w:val="none"/>
              </w:rPr>
            </w:pPr>
          </w:p>
        </w:tc>
        <w:tc>
          <w:tcPr>
            <w:tcW w:w="953" w:type="pct"/>
            <w:noWrap w:val="0"/>
            <w:vAlign w:val="center"/>
          </w:tcPr>
          <w:p w14:paraId="776F3A1D">
            <w:pPr>
              <w:rPr>
                <w:rFonts w:hint="eastAsia" w:ascii="宋体" w:hAnsi="宋体" w:cs="宋体"/>
                <w:color w:val="auto"/>
                <w:highlight w:val="none"/>
              </w:rPr>
            </w:pPr>
          </w:p>
        </w:tc>
        <w:tc>
          <w:tcPr>
            <w:tcW w:w="644" w:type="pct"/>
            <w:noWrap w:val="0"/>
            <w:vAlign w:val="center"/>
          </w:tcPr>
          <w:p w14:paraId="509B47F4">
            <w:pPr>
              <w:rPr>
                <w:rFonts w:hint="eastAsia" w:ascii="宋体" w:hAnsi="宋体" w:cs="宋体"/>
                <w:color w:val="auto"/>
                <w:highlight w:val="none"/>
              </w:rPr>
            </w:pPr>
          </w:p>
        </w:tc>
        <w:tc>
          <w:tcPr>
            <w:tcW w:w="963" w:type="pct"/>
            <w:noWrap w:val="0"/>
            <w:vAlign w:val="center"/>
          </w:tcPr>
          <w:p w14:paraId="160475E7">
            <w:pPr>
              <w:rPr>
                <w:rFonts w:hint="eastAsia" w:ascii="宋体" w:hAnsi="宋体" w:cs="宋体"/>
                <w:color w:val="auto"/>
                <w:highlight w:val="none"/>
              </w:rPr>
            </w:pPr>
          </w:p>
        </w:tc>
        <w:tc>
          <w:tcPr>
            <w:tcW w:w="793" w:type="pct"/>
            <w:noWrap w:val="0"/>
            <w:vAlign w:val="top"/>
          </w:tcPr>
          <w:p w14:paraId="7EBD7363">
            <w:pPr>
              <w:rPr>
                <w:rFonts w:hint="eastAsia" w:ascii="宋体" w:hAnsi="宋体" w:cs="宋体"/>
                <w:color w:val="auto"/>
                <w:highlight w:val="none"/>
              </w:rPr>
            </w:pPr>
          </w:p>
        </w:tc>
        <w:tc>
          <w:tcPr>
            <w:tcW w:w="478" w:type="pct"/>
            <w:noWrap w:val="0"/>
            <w:vAlign w:val="center"/>
          </w:tcPr>
          <w:p w14:paraId="63F859CA">
            <w:pPr>
              <w:rPr>
                <w:rFonts w:hint="eastAsia" w:ascii="宋体" w:hAnsi="宋体" w:cs="宋体"/>
                <w:color w:val="auto"/>
                <w:highlight w:val="none"/>
              </w:rPr>
            </w:pPr>
          </w:p>
        </w:tc>
      </w:tr>
      <w:tr w14:paraId="1A41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26ABA6A3">
            <w:pPr>
              <w:jc w:val="center"/>
              <w:rPr>
                <w:rFonts w:hint="eastAsia" w:ascii="宋体" w:hAnsi="宋体" w:cs="宋体"/>
                <w:color w:val="auto"/>
                <w:highlight w:val="none"/>
              </w:rPr>
            </w:pPr>
            <w:r>
              <w:rPr>
                <w:rFonts w:hint="eastAsia" w:ascii="宋体" w:hAnsi="宋体" w:cs="宋体"/>
                <w:color w:val="auto"/>
                <w:highlight w:val="none"/>
              </w:rPr>
              <w:t>5</w:t>
            </w:r>
          </w:p>
        </w:tc>
        <w:tc>
          <w:tcPr>
            <w:tcW w:w="757" w:type="pct"/>
            <w:noWrap w:val="0"/>
            <w:vAlign w:val="center"/>
          </w:tcPr>
          <w:p w14:paraId="38A38817">
            <w:pPr>
              <w:rPr>
                <w:rFonts w:hint="eastAsia" w:ascii="宋体" w:hAnsi="宋体" w:cs="宋体"/>
                <w:color w:val="auto"/>
                <w:highlight w:val="none"/>
              </w:rPr>
            </w:pPr>
          </w:p>
        </w:tc>
        <w:tc>
          <w:tcPr>
            <w:tcW w:w="953" w:type="pct"/>
            <w:noWrap w:val="0"/>
            <w:vAlign w:val="center"/>
          </w:tcPr>
          <w:p w14:paraId="3E2F4D26">
            <w:pPr>
              <w:rPr>
                <w:rFonts w:hint="eastAsia" w:ascii="宋体" w:hAnsi="宋体" w:cs="宋体"/>
                <w:color w:val="auto"/>
                <w:highlight w:val="none"/>
              </w:rPr>
            </w:pPr>
          </w:p>
        </w:tc>
        <w:tc>
          <w:tcPr>
            <w:tcW w:w="644" w:type="pct"/>
            <w:noWrap w:val="0"/>
            <w:vAlign w:val="center"/>
          </w:tcPr>
          <w:p w14:paraId="6AF6ECBA">
            <w:pPr>
              <w:rPr>
                <w:rFonts w:hint="eastAsia" w:ascii="宋体" w:hAnsi="宋体" w:cs="宋体"/>
                <w:color w:val="auto"/>
                <w:highlight w:val="none"/>
              </w:rPr>
            </w:pPr>
          </w:p>
        </w:tc>
        <w:tc>
          <w:tcPr>
            <w:tcW w:w="963" w:type="pct"/>
            <w:noWrap w:val="0"/>
            <w:vAlign w:val="center"/>
          </w:tcPr>
          <w:p w14:paraId="27F6F99C">
            <w:pPr>
              <w:rPr>
                <w:rFonts w:hint="eastAsia" w:ascii="宋体" w:hAnsi="宋体" w:cs="宋体"/>
                <w:color w:val="auto"/>
                <w:highlight w:val="none"/>
              </w:rPr>
            </w:pPr>
          </w:p>
        </w:tc>
        <w:tc>
          <w:tcPr>
            <w:tcW w:w="793" w:type="pct"/>
            <w:noWrap w:val="0"/>
            <w:vAlign w:val="top"/>
          </w:tcPr>
          <w:p w14:paraId="4ACB726D">
            <w:pPr>
              <w:rPr>
                <w:rFonts w:hint="eastAsia" w:ascii="宋体" w:hAnsi="宋体" w:cs="宋体"/>
                <w:color w:val="auto"/>
                <w:highlight w:val="none"/>
              </w:rPr>
            </w:pPr>
          </w:p>
        </w:tc>
        <w:tc>
          <w:tcPr>
            <w:tcW w:w="478" w:type="pct"/>
            <w:noWrap w:val="0"/>
            <w:vAlign w:val="center"/>
          </w:tcPr>
          <w:p w14:paraId="42E9D7EB">
            <w:pPr>
              <w:rPr>
                <w:rFonts w:hint="eastAsia" w:ascii="宋体" w:hAnsi="宋体" w:cs="宋体"/>
                <w:color w:val="auto"/>
                <w:highlight w:val="none"/>
              </w:rPr>
            </w:pPr>
          </w:p>
        </w:tc>
      </w:tr>
      <w:tr w14:paraId="5690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29CC6ABB">
            <w:pPr>
              <w:jc w:val="center"/>
              <w:rPr>
                <w:rFonts w:hint="eastAsia" w:ascii="宋体" w:hAnsi="宋体" w:cs="宋体"/>
                <w:color w:val="auto"/>
                <w:highlight w:val="none"/>
              </w:rPr>
            </w:pPr>
            <w:r>
              <w:rPr>
                <w:rFonts w:hint="eastAsia" w:ascii="宋体" w:hAnsi="宋体" w:cs="宋体"/>
                <w:color w:val="auto"/>
                <w:highlight w:val="none"/>
              </w:rPr>
              <w:t>……</w:t>
            </w:r>
          </w:p>
        </w:tc>
        <w:tc>
          <w:tcPr>
            <w:tcW w:w="757" w:type="pct"/>
            <w:noWrap w:val="0"/>
            <w:vAlign w:val="center"/>
          </w:tcPr>
          <w:p w14:paraId="1806C690">
            <w:pPr>
              <w:rPr>
                <w:rFonts w:hint="eastAsia" w:ascii="宋体" w:hAnsi="宋体" w:cs="宋体"/>
                <w:color w:val="auto"/>
                <w:highlight w:val="none"/>
              </w:rPr>
            </w:pPr>
          </w:p>
        </w:tc>
        <w:tc>
          <w:tcPr>
            <w:tcW w:w="953" w:type="pct"/>
            <w:noWrap w:val="0"/>
            <w:vAlign w:val="center"/>
          </w:tcPr>
          <w:p w14:paraId="0B2D3F7B">
            <w:pPr>
              <w:rPr>
                <w:rFonts w:hint="eastAsia" w:ascii="宋体" w:hAnsi="宋体" w:cs="宋体"/>
                <w:color w:val="auto"/>
                <w:highlight w:val="none"/>
              </w:rPr>
            </w:pPr>
          </w:p>
        </w:tc>
        <w:tc>
          <w:tcPr>
            <w:tcW w:w="644" w:type="pct"/>
            <w:noWrap w:val="0"/>
            <w:vAlign w:val="center"/>
          </w:tcPr>
          <w:p w14:paraId="70FF678C">
            <w:pPr>
              <w:rPr>
                <w:rFonts w:hint="eastAsia" w:ascii="宋体" w:hAnsi="宋体" w:cs="宋体"/>
                <w:color w:val="auto"/>
                <w:highlight w:val="none"/>
              </w:rPr>
            </w:pPr>
          </w:p>
        </w:tc>
        <w:tc>
          <w:tcPr>
            <w:tcW w:w="963" w:type="pct"/>
            <w:noWrap w:val="0"/>
            <w:vAlign w:val="center"/>
          </w:tcPr>
          <w:p w14:paraId="1B544DCB">
            <w:pPr>
              <w:rPr>
                <w:rFonts w:hint="eastAsia" w:ascii="宋体" w:hAnsi="宋体" w:cs="宋体"/>
                <w:color w:val="auto"/>
                <w:highlight w:val="none"/>
              </w:rPr>
            </w:pPr>
          </w:p>
        </w:tc>
        <w:tc>
          <w:tcPr>
            <w:tcW w:w="793" w:type="pct"/>
            <w:noWrap w:val="0"/>
            <w:vAlign w:val="top"/>
          </w:tcPr>
          <w:p w14:paraId="1FC500D6">
            <w:pPr>
              <w:rPr>
                <w:rFonts w:hint="eastAsia" w:ascii="宋体" w:hAnsi="宋体" w:cs="宋体"/>
                <w:color w:val="auto"/>
                <w:highlight w:val="none"/>
              </w:rPr>
            </w:pPr>
          </w:p>
        </w:tc>
        <w:tc>
          <w:tcPr>
            <w:tcW w:w="478" w:type="pct"/>
            <w:noWrap w:val="0"/>
            <w:vAlign w:val="center"/>
          </w:tcPr>
          <w:p w14:paraId="5785D59A">
            <w:pPr>
              <w:rPr>
                <w:rFonts w:hint="eastAsia" w:ascii="宋体" w:hAnsi="宋体" w:cs="宋体"/>
                <w:color w:val="auto"/>
                <w:highlight w:val="none"/>
              </w:rPr>
            </w:pPr>
          </w:p>
        </w:tc>
      </w:tr>
    </w:tbl>
    <w:p w14:paraId="0180C51D">
      <w:pPr>
        <w:widowControl/>
        <w:jc w:val="left"/>
        <w:rPr>
          <w:rFonts w:hint="eastAsia" w:ascii="宋体" w:hAnsi="宋体" w:cs="宋体"/>
          <w:color w:val="auto"/>
          <w:szCs w:val="21"/>
          <w:highlight w:val="none"/>
        </w:rPr>
      </w:pPr>
      <w:r>
        <w:rPr>
          <w:rFonts w:hint="eastAsia" w:ascii="宋体" w:hAnsi="宋体" w:cs="宋体"/>
          <w:color w:val="auto"/>
          <w:szCs w:val="21"/>
          <w:highlight w:val="none"/>
        </w:rPr>
        <w:t>注：应附中标/成交通知书（如有）和合同协议书，以及验收报告（验收证明文件）（如有）等材料（具体以资格要求为准），具体年份时间要求见招标公告。</w:t>
      </w:r>
    </w:p>
    <w:p w14:paraId="14420B7C">
      <w:pPr>
        <w:rPr>
          <w:rFonts w:hint="eastAsia" w:ascii="宋体" w:hAnsi="宋体" w:cs="宋体"/>
          <w:color w:val="auto"/>
          <w:highlight w:val="none"/>
          <w:lang w:bidi="en-US"/>
        </w:rPr>
      </w:pPr>
    </w:p>
    <w:p w14:paraId="473D8396">
      <w:pPr>
        <w:rPr>
          <w:rFonts w:hint="eastAsia" w:ascii="宋体" w:hAnsi="宋体" w:cs="宋体"/>
          <w:color w:val="auto"/>
          <w:highlight w:val="none"/>
          <w:lang w:bidi="en-US"/>
        </w:rPr>
      </w:pPr>
    </w:p>
    <w:p w14:paraId="5AFD67F6">
      <w:pPr>
        <w:rPr>
          <w:rFonts w:hint="eastAsia" w:ascii="宋体" w:hAnsi="宋体" w:cs="宋体"/>
          <w:color w:val="auto"/>
          <w:highlight w:val="none"/>
          <w:lang w:bidi="en-US"/>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4E169047">
      <w:pPr>
        <w:pStyle w:val="4"/>
        <w:keepNext w:val="0"/>
        <w:tabs>
          <w:tab w:val="left" w:pos="1260"/>
        </w:tabs>
        <w:jc w:val="center"/>
        <w:rPr>
          <w:rFonts w:hint="eastAsia" w:cs="宋体"/>
          <w:bCs w:val="0"/>
          <w:color w:val="auto"/>
          <w:sz w:val="24"/>
          <w:highlight w:val="none"/>
          <w:lang w:eastAsia="zh-CN"/>
        </w:rPr>
      </w:pPr>
      <w:r>
        <w:rPr>
          <w:rFonts w:hint="eastAsia" w:cs="宋体"/>
          <w:bCs w:val="0"/>
          <w:color w:val="auto"/>
          <w:sz w:val="24"/>
          <w:highlight w:val="none"/>
          <w:lang w:eastAsia="zh-CN"/>
        </w:rPr>
        <w:t>（四）制造商授权书</w:t>
      </w:r>
    </w:p>
    <w:p w14:paraId="0733CD2B">
      <w:pPr>
        <w:jc w:val="center"/>
        <w:rPr>
          <w:b/>
          <w:bCs/>
          <w:color w:val="auto"/>
          <w:highlight w:val="none"/>
        </w:rPr>
      </w:pPr>
      <w:r>
        <w:rPr>
          <w:rFonts w:hint="eastAsia"/>
          <w:b/>
          <w:bCs/>
          <w:color w:val="auto"/>
          <w:highlight w:val="none"/>
        </w:rPr>
        <w:t>注：非进口产品无需提供制造商授权书</w:t>
      </w:r>
    </w:p>
    <w:p w14:paraId="6DF58551">
      <w:pPr>
        <w:tabs>
          <w:tab w:val="left" w:pos="0"/>
        </w:tabs>
        <w:spacing w:line="44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highlight w:val="none"/>
          <w:lang w:bidi="en-US"/>
        </w:rPr>
        <w:t>【采购人名称】</w:t>
      </w:r>
    </w:p>
    <w:p w14:paraId="4BC77CD9">
      <w:pPr>
        <w:tabs>
          <w:tab w:val="left" w:pos="0"/>
        </w:tabs>
        <w:spacing w:line="440" w:lineRule="exact"/>
        <w:ind w:left="105" w:lef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（制造商名称）是按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（国家/地区名称）法律成立的制造商，主要营业地点设在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（制造商地址）。兹指派按中华人民共和国的法律正式成立的，主要营业地点设在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（投标人地址）的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（投标人名称）进行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（项目名称）投标活动。我单位同意按照成交合同供货，并对产品质量承担责任。</w:t>
      </w:r>
    </w:p>
    <w:p w14:paraId="32E78B9C">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p>
    <w:p w14:paraId="3F80734F">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（盖单位章）  制造商名称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41558FD0">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签字人职务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签字人职务</w:t>
      </w:r>
      <w:r>
        <w:rPr>
          <w:rFonts w:hint="eastAsia" w:ascii="宋体" w:hAnsi="宋体" w:cs="宋体"/>
          <w:color w:val="auto"/>
          <w:szCs w:val="21"/>
          <w:highlight w:val="none"/>
          <w:u w:val="single"/>
        </w:rPr>
        <w:t xml:space="preserve">                             </w:t>
      </w:r>
    </w:p>
    <w:p w14:paraId="1974CBE3">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签字人姓名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签字人姓名</w:t>
      </w:r>
      <w:r>
        <w:rPr>
          <w:rFonts w:hint="eastAsia" w:ascii="宋体" w:hAnsi="宋体" w:cs="宋体"/>
          <w:color w:val="auto"/>
          <w:szCs w:val="21"/>
          <w:highlight w:val="none"/>
          <w:u w:val="single"/>
        </w:rPr>
        <w:t xml:space="preserve">                             </w:t>
      </w:r>
    </w:p>
    <w:p w14:paraId="75C6B49E">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签字人签名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签字人签名</w:t>
      </w:r>
      <w:r>
        <w:rPr>
          <w:rFonts w:hint="eastAsia" w:ascii="宋体" w:hAnsi="宋体" w:cs="宋体"/>
          <w:color w:val="auto"/>
          <w:szCs w:val="21"/>
          <w:highlight w:val="none"/>
          <w:u w:val="single"/>
        </w:rPr>
        <w:t xml:space="preserve">                             </w:t>
      </w:r>
    </w:p>
    <w:p w14:paraId="35B7536E">
      <w:pPr>
        <w:widowControl/>
        <w:spacing w:before="5" w:line="200" w:lineRule="atLeast"/>
        <w:rPr>
          <w:rFonts w:hint="eastAsia" w:ascii="宋体" w:hAnsi="宋体" w:cs="宋体"/>
          <w:color w:val="auto"/>
          <w:kern w:val="0"/>
          <w:sz w:val="20"/>
          <w:szCs w:val="20"/>
          <w:highlight w:val="none"/>
        </w:rPr>
      </w:pPr>
    </w:p>
    <w:p w14:paraId="66E245DE">
      <w:pPr>
        <w:widowControl/>
        <w:spacing w:line="200" w:lineRule="atLeast"/>
        <w:rPr>
          <w:rFonts w:hint="eastAsia" w:ascii="宋体" w:hAnsi="宋体" w:cs="宋体"/>
          <w:color w:val="auto"/>
          <w:kern w:val="0"/>
          <w:sz w:val="20"/>
          <w:szCs w:val="20"/>
          <w:highlight w:val="none"/>
        </w:rPr>
      </w:pPr>
    </w:p>
    <w:p w14:paraId="47466380">
      <w:pPr>
        <w:widowControl/>
        <w:spacing w:line="200" w:lineRule="atLeast"/>
        <w:rPr>
          <w:rFonts w:hint="eastAsia" w:ascii="宋体" w:hAnsi="宋体" w:cs="宋体"/>
          <w:color w:val="auto"/>
          <w:kern w:val="0"/>
          <w:sz w:val="22"/>
          <w:highlight w:val="none"/>
        </w:rPr>
      </w:pPr>
    </w:p>
    <w:p w14:paraId="113CA00B">
      <w:pPr>
        <w:widowControl/>
        <w:spacing w:line="261" w:lineRule="auto"/>
        <w:ind w:left="120" w:right="40"/>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p>
    <w:p w14:paraId="1DDBA78D">
      <w:pPr>
        <w:pStyle w:val="3"/>
        <w:widowControl/>
        <w:spacing w:before="120" w:after="120" w:line="240" w:lineRule="auto"/>
        <w:jc w:val="center"/>
        <w:rPr>
          <w:rStyle w:val="23"/>
          <w:rFonts w:hint="eastAsia" w:ascii="宋体" w:hAnsi="宋体" w:eastAsia="宋体" w:cs="宋体"/>
          <w:b/>
          <w:bCs/>
          <w:color w:val="auto"/>
          <w:sz w:val="30"/>
          <w:szCs w:val="30"/>
          <w:highlight w:val="none"/>
        </w:rPr>
      </w:pPr>
      <w:r>
        <w:rPr>
          <w:rStyle w:val="23"/>
          <w:rFonts w:hint="eastAsia" w:ascii="宋体" w:hAnsi="宋体" w:eastAsia="宋体" w:cs="宋体"/>
          <w:b/>
          <w:bCs w:val="0"/>
          <w:color w:val="auto"/>
          <w:sz w:val="30"/>
          <w:szCs w:val="30"/>
          <w:highlight w:val="none"/>
        </w:rPr>
        <w:t>十</w:t>
      </w:r>
      <w:r>
        <w:rPr>
          <w:rStyle w:val="23"/>
          <w:rFonts w:hint="eastAsia" w:ascii="宋体" w:hAnsi="宋体" w:eastAsia="宋体" w:cs="宋体"/>
          <w:b/>
          <w:bCs/>
          <w:color w:val="auto"/>
          <w:sz w:val="30"/>
          <w:szCs w:val="30"/>
          <w:highlight w:val="none"/>
        </w:rPr>
        <w:t>、符合性审查与详细评审材料</w:t>
      </w:r>
    </w:p>
    <w:p w14:paraId="45737D58">
      <w:pPr>
        <w:widowControl/>
        <w:tabs>
          <w:tab w:val="left" w:pos="5580"/>
        </w:tabs>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特别提醒：</w:t>
      </w:r>
    </w:p>
    <w:p w14:paraId="7C726FAF">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1．提供证明材料</w:t>
      </w:r>
      <w:r>
        <w:rPr>
          <w:rFonts w:hint="eastAsia" w:ascii="宋体" w:hAnsi="宋体" w:cs="宋体"/>
          <w:b/>
          <w:color w:val="auto"/>
          <w:szCs w:val="21"/>
          <w:highlight w:val="none"/>
        </w:rPr>
        <w:t>原件扫描件或电子证照</w:t>
      </w:r>
      <w:r>
        <w:rPr>
          <w:rFonts w:hint="eastAsia" w:ascii="宋体" w:hAnsi="宋体" w:cs="宋体"/>
          <w:color w:val="auto"/>
          <w:szCs w:val="21"/>
          <w:highlight w:val="none"/>
        </w:rPr>
        <w:t>；</w:t>
      </w:r>
    </w:p>
    <w:p w14:paraId="291914A9">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2．建议设置评审索引，以便评标委员会顺利开展评审工作；</w:t>
      </w:r>
    </w:p>
    <w:p w14:paraId="1A966DA4">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3．内容须清晰、明确，若提供相关资料内容模糊不清或无法辨认，评标委员会有权不予认可。</w:t>
      </w:r>
    </w:p>
    <w:p w14:paraId="63583BAA">
      <w:pPr>
        <w:pStyle w:val="4"/>
        <w:spacing w:before="120" w:after="120" w:line="240" w:lineRule="auto"/>
        <w:jc w:val="center"/>
        <w:rPr>
          <w:rStyle w:val="23"/>
          <w:rFonts w:hint="eastAsia" w:ascii="宋体" w:hAnsi="宋体" w:eastAsia="宋体" w:cs="宋体"/>
          <w:b/>
          <w:bCs/>
          <w:color w:val="auto"/>
          <w:sz w:val="24"/>
          <w:szCs w:val="24"/>
          <w:highlight w:val="none"/>
        </w:rPr>
      </w:pPr>
      <w:r>
        <w:rPr>
          <w:rFonts w:hint="eastAsia" w:cs="宋体"/>
          <w:color w:val="auto"/>
          <w:sz w:val="24"/>
          <w:highlight w:val="none"/>
          <w:lang w:eastAsia="zh-CN"/>
        </w:rPr>
        <w:t>（一）商务要求偏离表</w:t>
      </w:r>
    </w:p>
    <w:tbl>
      <w:tblPr>
        <w:tblStyle w:val="17"/>
        <w:tblW w:w="9978" w:type="dxa"/>
        <w:jc w:val="center"/>
        <w:tblLayout w:type="fixed"/>
        <w:tblCellMar>
          <w:top w:w="0" w:type="dxa"/>
          <w:left w:w="108" w:type="dxa"/>
          <w:bottom w:w="0" w:type="dxa"/>
          <w:right w:w="108" w:type="dxa"/>
        </w:tblCellMar>
      </w:tblPr>
      <w:tblGrid>
        <w:gridCol w:w="738"/>
        <w:gridCol w:w="1370"/>
        <w:gridCol w:w="2382"/>
        <w:gridCol w:w="2553"/>
        <w:gridCol w:w="1570"/>
        <w:gridCol w:w="1365"/>
      </w:tblGrid>
      <w:tr w14:paraId="190D6F3B">
        <w:tblPrEx>
          <w:tblCellMar>
            <w:top w:w="0" w:type="dxa"/>
            <w:left w:w="108" w:type="dxa"/>
            <w:bottom w:w="0" w:type="dxa"/>
            <w:right w:w="108" w:type="dxa"/>
          </w:tblCellMar>
        </w:tblPrEx>
        <w:trPr>
          <w:trHeight w:val="45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3BC5738E">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370" w:type="dxa"/>
            <w:tcBorders>
              <w:top w:val="single" w:color="000000" w:sz="4" w:space="0"/>
              <w:left w:val="nil"/>
              <w:bottom w:val="single" w:color="000000" w:sz="4" w:space="0"/>
              <w:right w:val="single" w:color="000000" w:sz="4" w:space="0"/>
            </w:tcBorders>
            <w:noWrap w:val="0"/>
            <w:vAlign w:val="center"/>
          </w:tcPr>
          <w:p w14:paraId="456780A0">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商务要求项</w:t>
            </w:r>
          </w:p>
        </w:tc>
        <w:tc>
          <w:tcPr>
            <w:tcW w:w="2382" w:type="dxa"/>
            <w:tcBorders>
              <w:top w:val="single" w:color="000000" w:sz="4" w:space="0"/>
              <w:left w:val="nil"/>
              <w:bottom w:val="single" w:color="000000" w:sz="4" w:space="0"/>
              <w:right w:val="single" w:color="000000" w:sz="4" w:space="0"/>
            </w:tcBorders>
            <w:noWrap w:val="0"/>
            <w:vAlign w:val="center"/>
          </w:tcPr>
          <w:p w14:paraId="29544B9C">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招标文件的条款</w:t>
            </w:r>
          </w:p>
        </w:tc>
        <w:tc>
          <w:tcPr>
            <w:tcW w:w="2553" w:type="dxa"/>
            <w:tcBorders>
              <w:top w:val="single" w:color="000000" w:sz="4" w:space="0"/>
              <w:left w:val="nil"/>
              <w:bottom w:val="single" w:color="000000" w:sz="4" w:space="0"/>
              <w:right w:val="single" w:color="000000" w:sz="4" w:space="0"/>
            </w:tcBorders>
            <w:noWrap w:val="0"/>
            <w:vAlign w:val="center"/>
          </w:tcPr>
          <w:p w14:paraId="4769664E">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投标文件的条款</w:t>
            </w:r>
          </w:p>
        </w:tc>
        <w:tc>
          <w:tcPr>
            <w:tcW w:w="1570" w:type="dxa"/>
            <w:tcBorders>
              <w:top w:val="single" w:color="000000" w:sz="4" w:space="0"/>
              <w:left w:val="nil"/>
              <w:bottom w:val="single" w:color="000000" w:sz="4" w:space="0"/>
              <w:right w:val="single" w:color="000000" w:sz="4" w:space="0"/>
            </w:tcBorders>
            <w:noWrap w:val="0"/>
            <w:vAlign w:val="center"/>
          </w:tcPr>
          <w:p w14:paraId="1A4778B8">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c>
          <w:tcPr>
            <w:tcW w:w="1365" w:type="dxa"/>
            <w:tcBorders>
              <w:top w:val="single" w:color="000000" w:sz="4" w:space="0"/>
              <w:left w:val="nil"/>
              <w:bottom w:val="single" w:color="000000" w:sz="4" w:space="0"/>
              <w:right w:val="single" w:color="000000" w:sz="4" w:space="0"/>
            </w:tcBorders>
            <w:noWrap w:val="0"/>
            <w:vAlign w:val="center"/>
          </w:tcPr>
          <w:p w14:paraId="663F4741">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3DFF50F5">
        <w:tblPrEx>
          <w:tblCellMar>
            <w:top w:w="0" w:type="dxa"/>
            <w:left w:w="108" w:type="dxa"/>
            <w:bottom w:w="0" w:type="dxa"/>
            <w:right w:w="108" w:type="dxa"/>
          </w:tblCellMar>
        </w:tblPrEx>
        <w:trPr>
          <w:trHeight w:val="45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C44F5F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370" w:type="dxa"/>
            <w:tcBorders>
              <w:top w:val="single" w:color="000000" w:sz="4" w:space="0"/>
              <w:left w:val="nil"/>
              <w:bottom w:val="single" w:color="000000" w:sz="4" w:space="0"/>
              <w:right w:val="single" w:color="000000" w:sz="4" w:space="0"/>
            </w:tcBorders>
            <w:noWrap w:val="0"/>
            <w:vAlign w:val="center"/>
          </w:tcPr>
          <w:p w14:paraId="7106DE5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交付（实施）的时间（期限）</w:t>
            </w:r>
          </w:p>
        </w:tc>
        <w:tc>
          <w:tcPr>
            <w:tcW w:w="2382" w:type="dxa"/>
            <w:tcBorders>
              <w:top w:val="single" w:color="000000" w:sz="4" w:space="0"/>
              <w:left w:val="nil"/>
              <w:bottom w:val="single" w:color="000000" w:sz="4" w:space="0"/>
              <w:right w:val="single" w:color="000000" w:sz="4" w:space="0"/>
            </w:tcBorders>
            <w:noWrap w:val="0"/>
            <w:vAlign w:val="center"/>
          </w:tcPr>
          <w:p w14:paraId="7E1B16C1">
            <w:pPr>
              <w:widowControl/>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0B6807DD">
            <w:pPr>
              <w:widowControl/>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54211E32">
            <w:pPr>
              <w:widowControl/>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73B2901A">
            <w:pPr>
              <w:widowControl/>
              <w:jc w:val="center"/>
              <w:rPr>
                <w:rFonts w:hint="eastAsia" w:ascii="宋体" w:hAnsi="宋体" w:cs="宋体"/>
                <w:color w:val="auto"/>
                <w:kern w:val="0"/>
                <w:szCs w:val="21"/>
                <w:highlight w:val="none"/>
              </w:rPr>
            </w:pPr>
          </w:p>
        </w:tc>
      </w:tr>
      <w:tr w14:paraId="265CB95C">
        <w:tblPrEx>
          <w:tblCellMar>
            <w:top w:w="0" w:type="dxa"/>
            <w:left w:w="108" w:type="dxa"/>
            <w:bottom w:w="0" w:type="dxa"/>
            <w:right w:w="108" w:type="dxa"/>
          </w:tblCellMar>
        </w:tblPrEx>
        <w:trPr>
          <w:trHeight w:val="45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4C0EC68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370" w:type="dxa"/>
            <w:tcBorders>
              <w:top w:val="single" w:color="000000" w:sz="4" w:space="0"/>
              <w:left w:val="nil"/>
              <w:bottom w:val="single" w:color="000000" w:sz="4" w:space="0"/>
              <w:right w:val="single" w:color="000000" w:sz="4" w:space="0"/>
            </w:tcBorders>
            <w:noWrap w:val="0"/>
            <w:vAlign w:val="center"/>
          </w:tcPr>
          <w:p w14:paraId="1746B30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交付（实施）的地点（范围）</w:t>
            </w:r>
          </w:p>
        </w:tc>
        <w:tc>
          <w:tcPr>
            <w:tcW w:w="2382" w:type="dxa"/>
            <w:tcBorders>
              <w:top w:val="single" w:color="000000" w:sz="4" w:space="0"/>
              <w:left w:val="nil"/>
              <w:bottom w:val="single" w:color="000000" w:sz="4" w:space="0"/>
              <w:right w:val="single" w:color="000000" w:sz="4" w:space="0"/>
            </w:tcBorders>
            <w:noWrap w:val="0"/>
            <w:vAlign w:val="center"/>
          </w:tcPr>
          <w:p w14:paraId="0022AD3B">
            <w:pPr>
              <w:widowControl/>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475ECD4F">
            <w:pPr>
              <w:widowControl/>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8BD66FF">
            <w:pPr>
              <w:widowControl/>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4EADDBFE">
            <w:pPr>
              <w:widowControl/>
              <w:jc w:val="center"/>
              <w:rPr>
                <w:rFonts w:hint="eastAsia" w:ascii="宋体" w:hAnsi="宋体" w:cs="宋体"/>
                <w:color w:val="auto"/>
                <w:kern w:val="0"/>
                <w:szCs w:val="21"/>
                <w:highlight w:val="none"/>
              </w:rPr>
            </w:pPr>
          </w:p>
        </w:tc>
      </w:tr>
      <w:tr w14:paraId="4A6336ED">
        <w:tblPrEx>
          <w:tblCellMar>
            <w:top w:w="0" w:type="dxa"/>
            <w:left w:w="108" w:type="dxa"/>
            <w:bottom w:w="0" w:type="dxa"/>
            <w:right w:w="108" w:type="dxa"/>
          </w:tblCellMar>
        </w:tblPrEx>
        <w:trPr>
          <w:trHeight w:val="406"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63697A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370" w:type="dxa"/>
            <w:tcBorders>
              <w:top w:val="single" w:color="000000" w:sz="4" w:space="0"/>
              <w:left w:val="nil"/>
              <w:bottom w:val="single" w:color="000000" w:sz="4" w:space="0"/>
              <w:right w:val="single" w:color="000000" w:sz="4" w:space="0"/>
            </w:tcBorders>
            <w:noWrap w:val="0"/>
            <w:vAlign w:val="center"/>
          </w:tcPr>
          <w:p w14:paraId="0EE8B7E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2382" w:type="dxa"/>
            <w:tcBorders>
              <w:top w:val="single" w:color="000000" w:sz="4" w:space="0"/>
              <w:left w:val="nil"/>
              <w:bottom w:val="single" w:color="000000" w:sz="4" w:space="0"/>
              <w:right w:val="single" w:color="000000" w:sz="4" w:space="0"/>
            </w:tcBorders>
            <w:noWrap w:val="0"/>
            <w:vAlign w:val="center"/>
          </w:tcPr>
          <w:p w14:paraId="6093E888">
            <w:pPr>
              <w:widowControl/>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22259042">
            <w:pPr>
              <w:widowControl/>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5D64E94C">
            <w:pPr>
              <w:widowControl/>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24196566">
            <w:pPr>
              <w:widowControl/>
              <w:jc w:val="center"/>
              <w:rPr>
                <w:rFonts w:hint="eastAsia" w:ascii="宋体" w:hAnsi="宋体" w:cs="宋体"/>
                <w:color w:val="auto"/>
                <w:kern w:val="0"/>
                <w:szCs w:val="21"/>
                <w:highlight w:val="none"/>
              </w:rPr>
            </w:pPr>
          </w:p>
        </w:tc>
      </w:tr>
      <w:tr w14:paraId="6173D178">
        <w:tblPrEx>
          <w:tblCellMar>
            <w:top w:w="0" w:type="dxa"/>
            <w:left w:w="108" w:type="dxa"/>
            <w:bottom w:w="0" w:type="dxa"/>
            <w:right w:w="108" w:type="dxa"/>
          </w:tblCellMar>
        </w:tblPrEx>
        <w:trPr>
          <w:trHeight w:val="662"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2DAC9C6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370" w:type="dxa"/>
            <w:tcBorders>
              <w:top w:val="single" w:color="000000" w:sz="4" w:space="0"/>
              <w:left w:val="nil"/>
              <w:bottom w:val="single" w:color="000000" w:sz="4" w:space="0"/>
              <w:right w:val="single" w:color="000000" w:sz="4" w:space="0"/>
            </w:tcBorders>
            <w:noWrap w:val="0"/>
            <w:vAlign w:val="center"/>
          </w:tcPr>
          <w:p w14:paraId="17AB727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质量保证期</w:t>
            </w:r>
          </w:p>
        </w:tc>
        <w:tc>
          <w:tcPr>
            <w:tcW w:w="2382" w:type="dxa"/>
            <w:tcBorders>
              <w:top w:val="single" w:color="000000" w:sz="4" w:space="0"/>
              <w:left w:val="nil"/>
              <w:bottom w:val="single" w:color="000000" w:sz="4" w:space="0"/>
              <w:right w:val="single" w:color="000000" w:sz="4" w:space="0"/>
            </w:tcBorders>
            <w:noWrap w:val="0"/>
            <w:vAlign w:val="center"/>
          </w:tcPr>
          <w:p w14:paraId="53F465F3">
            <w:pPr>
              <w:widowControl/>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128715C8">
            <w:pPr>
              <w:widowControl/>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DDF7951">
            <w:pPr>
              <w:widowControl/>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6C991D3A">
            <w:pPr>
              <w:widowControl/>
              <w:jc w:val="center"/>
              <w:rPr>
                <w:rFonts w:hint="eastAsia" w:ascii="宋体" w:hAnsi="宋体" w:cs="宋体"/>
                <w:color w:val="auto"/>
                <w:kern w:val="0"/>
                <w:szCs w:val="21"/>
                <w:highlight w:val="none"/>
              </w:rPr>
            </w:pPr>
          </w:p>
        </w:tc>
      </w:tr>
      <w:tr w14:paraId="7B29786A">
        <w:tblPrEx>
          <w:tblCellMar>
            <w:top w:w="0" w:type="dxa"/>
            <w:left w:w="108" w:type="dxa"/>
            <w:bottom w:w="0" w:type="dxa"/>
            <w:right w:w="108" w:type="dxa"/>
          </w:tblCellMar>
        </w:tblPrEx>
        <w:trPr>
          <w:trHeight w:val="454" w:hRule="atLeast"/>
          <w:jc w:val="center"/>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37A7D867">
            <w:pPr>
              <w:widowControl/>
              <w:jc w:val="center"/>
              <w:rPr>
                <w:rFonts w:hint="eastAsia" w:ascii="宋体" w:hAnsi="宋体" w:cs="宋体"/>
                <w:color w:val="auto"/>
                <w:kern w:val="0"/>
                <w:szCs w:val="21"/>
                <w:highlight w:val="none"/>
              </w:rPr>
            </w:pPr>
          </w:p>
        </w:tc>
        <w:tc>
          <w:tcPr>
            <w:tcW w:w="1370" w:type="dxa"/>
            <w:tcBorders>
              <w:top w:val="single" w:color="000000" w:sz="4" w:space="0"/>
              <w:left w:val="nil"/>
              <w:bottom w:val="single" w:color="000000" w:sz="4" w:space="0"/>
              <w:right w:val="single" w:color="000000" w:sz="4" w:space="0"/>
            </w:tcBorders>
            <w:noWrap w:val="0"/>
            <w:vAlign w:val="center"/>
          </w:tcPr>
          <w:p w14:paraId="69630721">
            <w:pPr>
              <w:widowControl/>
              <w:jc w:val="center"/>
              <w:rPr>
                <w:rFonts w:hint="eastAsia" w:ascii="宋体" w:hAnsi="宋体" w:cs="宋体"/>
                <w:color w:val="auto"/>
                <w:kern w:val="0"/>
                <w:szCs w:val="21"/>
                <w:highlight w:val="none"/>
              </w:rPr>
            </w:pPr>
          </w:p>
        </w:tc>
        <w:tc>
          <w:tcPr>
            <w:tcW w:w="2382" w:type="dxa"/>
            <w:tcBorders>
              <w:top w:val="single" w:color="000000" w:sz="4" w:space="0"/>
              <w:left w:val="nil"/>
              <w:bottom w:val="single" w:color="000000" w:sz="4" w:space="0"/>
              <w:right w:val="single" w:color="000000" w:sz="4" w:space="0"/>
            </w:tcBorders>
            <w:noWrap w:val="0"/>
            <w:vAlign w:val="center"/>
          </w:tcPr>
          <w:p w14:paraId="1964BC5D">
            <w:pPr>
              <w:widowControl/>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50D0E434">
            <w:pPr>
              <w:widowControl/>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6E69D32B">
            <w:pPr>
              <w:widowControl/>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2569B713">
            <w:pPr>
              <w:widowControl/>
              <w:jc w:val="center"/>
              <w:rPr>
                <w:rFonts w:hint="eastAsia" w:ascii="宋体" w:hAnsi="宋体" w:cs="宋体"/>
                <w:color w:val="auto"/>
                <w:kern w:val="0"/>
                <w:szCs w:val="21"/>
                <w:highlight w:val="none"/>
              </w:rPr>
            </w:pPr>
          </w:p>
        </w:tc>
      </w:tr>
    </w:tbl>
    <w:p w14:paraId="0638E38B">
      <w:pPr>
        <w:rPr>
          <w:rFonts w:hint="eastAsia" w:ascii="宋体" w:hAnsi="宋体" w:cs="宋体"/>
          <w:color w:val="auto"/>
          <w:szCs w:val="21"/>
          <w:highlight w:val="none"/>
        </w:rPr>
      </w:pPr>
      <w:r>
        <w:rPr>
          <w:rFonts w:hint="eastAsia" w:ascii="宋体" w:hAnsi="宋体" w:cs="宋体"/>
          <w:color w:val="auto"/>
          <w:szCs w:val="21"/>
          <w:highlight w:val="none"/>
        </w:rPr>
        <w:t>投标人保证：除商务要求偏离表列出的偏差外，投标人响应招标文件的全部要求。</w:t>
      </w:r>
    </w:p>
    <w:p w14:paraId="64782887">
      <w:pPr>
        <w:widowControl/>
        <w:spacing w:line="360" w:lineRule="exact"/>
        <w:ind w:firstLine="411" w:firstLineChars="196"/>
        <w:rPr>
          <w:rFonts w:hint="eastAsia" w:ascii="宋体" w:hAnsi="宋体" w:cs="宋体"/>
          <w:color w:val="auto"/>
          <w:highlight w:val="none"/>
        </w:rPr>
      </w:pPr>
    </w:p>
    <w:p w14:paraId="62E2BA45">
      <w:pPr>
        <w:pStyle w:val="4"/>
        <w:spacing w:before="120" w:after="120" w:line="240" w:lineRule="auto"/>
        <w:jc w:val="center"/>
        <w:rPr>
          <w:rFonts w:hint="eastAsia" w:cs="宋体"/>
          <w:color w:val="auto"/>
          <w:sz w:val="24"/>
          <w:highlight w:val="none"/>
          <w:lang w:eastAsia="zh-CN"/>
        </w:rPr>
      </w:pPr>
      <w:r>
        <w:rPr>
          <w:rFonts w:hint="eastAsia" w:cs="宋体"/>
          <w:color w:val="auto"/>
          <w:sz w:val="24"/>
          <w:highlight w:val="none"/>
          <w:lang w:eastAsia="zh-CN"/>
        </w:rPr>
        <w:t>（二）技术要求偏离表</w:t>
      </w:r>
    </w:p>
    <w:tbl>
      <w:tblPr>
        <w:tblStyle w:val="17"/>
        <w:tblW w:w="10516" w:type="dxa"/>
        <w:jc w:val="center"/>
        <w:tblLayout w:type="fixed"/>
        <w:tblCellMar>
          <w:top w:w="0" w:type="dxa"/>
          <w:left w:w="108" w:type="dxa"/>
          <w:bottom w:w="0" w:type="dxa"/>
          <w:right w:w="108" w:type="dxa"/>
        </w:tblCellMar>
      </w:tblPr>
      <w:tblGrid>
        <w:gridCol w:w="947"/>
        <w:gridCol w:w="1270"/>
        <w:gridCol w:w="2013"/>
        <w:gridCol w:w="1951"/>
        <w:gridCol w:w="1709"/>
        <w:gridCol w:w="1313"/>
        <w:gridCol w:w="1313"/>
      </w:tblGrid>
      <w:tr w14:paraId="66F6C993">
        <w:tblPrEx>
          <w:tblCellMar>
            <w:top w:w="0" w:type="dxa"/>
            <w:left w:w="108" w:type="dxa"/>
            <w:bottom w:w="0" w:type="dxa"/>
            <w:right w:w="108" w:type="dxa"/>
          </w:tblCellMar>
        </w:tblPrEx>
        <w:trPr>
          <w:trHeight w:val="508" w:hRule="atLeast"/>
          <w:jc w:val="center"/>
        </w:trPr>
        <w:tc>
          <w:tcPr>
            <w:tcW w:w="947" w:type="dxa"/>
            <w:tcBorders>
              <w:top w:val="single" w:color="000000" w:sz="4" w:space="0"/>
              <w:left w:val="single" w:color="000000" w:sz="4" w:space="0"/>
              <w:bottom w:val="single" w:color="auto" w:sz="4" w:space="0"/>
              <w:right w:val="single" w:color="000000" w:sz="4" w:space="0"/>
            </w:tcBorders>
            <w:noWrap w:val="0"/>
            <w:vAlign w:val="center"/>
          </w:tcPr>
          <w:p w14:paraId="6E2215AC">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270" w:type="dxa"/>
            <w:tcBorders>
              <w:top w:val="single" w:color="000000" w:sz="4" w:space="0"/>
              <w:left w:val="nil"/>
              <w:bottom w:val="single" w:color="auto" w:sz="4" w:space="0"/>
              <w:right w:val="single" w:color="000000" w:sz="4" w:space="0"/>
            </w:tcBorders>
            <w:noWrap w:val="0"/>
            <w:vAlign w:val="center"/>
          </w:tcPr>
          <w:p w14:paraId="142C21F5">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技术要求项</w:t>
            </w:r>
          </w:p>
          <w:p w14:paraId="3BF827CF">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条款号</w:t>
            </w:r>
          </w:p>
        </w:tc>
        <w:tc>
          <w:tcPr>
            <w:tcW w:w="2013" w:type="dxa"/>
            <w:tcBorders>
              <w:top w:val="single" w:color="000000" w:sz="4" w:space="0"/>
              <w:left w:val="nil"/>
              <w:bottom w:val="single" w:color="000000" w:sz="4" w:space="0"/>
              <w:right w:val="single" w:color="000000" w:sz="4" w:space="0"/>
            </w:tcBorders>
            <w:noWrap w:val="0"/>
            <w:vAlign w:val="center"/>
          </w:tcPr>
          <w:p w14:paraId="2E71E4C4">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招标文件的条款</w:t>
            </w:r>
          </w:p>
        </w:tc>
        <w:tc>
          <w:tcPr>
            <w:tcW w:w="1951" w:type="dxa"/>
            <w:tcBorders>
              <w:top w:val="single" w:color="000000" w:sz="4" w:space="0"/>
              <w:left w:val="nil"/>
              <w:bottom w:val="single" w:color="000000" w:sz="4" w:space="0"/>
              <w:right w:val="single" w:color="000000" w:sz="4" w:space="0"/>
            </w:tcBorders>
            <w:noWrap w:val="0"/>
            <w:vAlign w:val="center"/>
          </w:tcPr>
          <w:p w14:paraId="1DB9E5AE">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投标文件的条款</w:t>
            </w:r>
          </w:p>
        </w:tc>
        <w:tc>
          <w:tcPr>
            <w:tcW w:w="1709" w:type="dxa"/>
            <w:tcBorders>
              <w:top w:val="single" w:color="000000" w:sz="4" w:space="0"/>
              <w:left w:val="nil"/>
              <w:bottom w:val="single" w:color="000000" w:sz="4" w:space="0"/>
              <w:right w:val="single" w:color="000000" w:sz="4" w:space="0"/>
            </w:tcBorders>
            <w:noWrap w:val="0"/>
            <w:vAlign w:val="center"/>
          </w:tcPr>
          <w:p w14:paraId="2AA4D6B1">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c>
          <w:tcPr>
            <w:tcW w:w="1313" w:type="dxa"/>
            <w:tcBorders>
              <w:top w:val="single" w:color="000000" w:sz="4" w:space="0"/>
              <w:left w:val="nil"/>
              <w:bottom w:val="single" w:color="000000" w:sz="4" w:space="0"/>
              <w:right w:val="single" w:color="000000" w:sz="4" w:space="0"/>
            </w:tcBorders>
            <w:noWrap w:val="0"/>
            <w:vAlign w:val="center"/>
          </w:tcPr>
          <w:p w14:paraId="62250C9B">
            <w:pPr>
              <w:widowControl/>
              <w:jc w:val="center"/>
              <w:rPr>
                <w:rFonts w:hint="eastAsia" w:ascii="宋体" w:hAnsi="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证明材料</w:t>
            </w:r>
          </w:p>
          <w:p w14:paraId="247A3CB1">
            <w:pPr>
              <w:widowControl/>
              <w:jc w:val="center"/>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（具体页码）</w:t>
            </w:r>
          </w:p>
        </w:tc>
        <w:tc>
          <w:tcPr>
            <w:tcW w:w="1313" w:type="dxa"/>
            <w:tcBorders>
              <w:top w:val="single" w:color="000000" w:sz="4" w:space="0"/>
              <w:left w:val="nil"/>
              <w:bottom w:val="single" w:color="000000" w:sz="4" w:space="0"/>
              <w:right w:val="single" w:color="000000" w:sz="4" w:space="0"/>
            </w:tcBorders>
            <w:noWrap w:val="0"/>
            <w:vAlign w:val="center"/>
          </w:tcPr>
          <w:p w14:paraId="3A829A96">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592007FC">
        <w:tblPrEx>
          <w:tblCellMar>
            <w:top w:w="0" w:type="dxa"/>
            <w:left w:w="108" w:type="dxa"/>
            <w:bottom w:w="0" w:type="dxa"/>
            <w:right w:w="108" w:type="dxa"/>
          </w:tblCellMar>
        </w:tblPrEx>
        <w:trPr>
          <w:trHeight w:val="321" w:hRule="atLeast"/>
          <w:jc w:val="center"/>
        </w:trPr>
        <w:tc>
          <w:tcPr>
            <w:tcW w:w="947" w:type="dxa"/>
            <w:vMerge w:val="restart"/>
            <w:tcBorders>
              <w:top w:val="single" w:color="auto" w:sz="4" w:space="0"/>
              <w:left w:val="single" w:color="000000" w:sz="4" w:space="0"/>
              <w:bottom w:val="single" w:color="000000" w:sz="4" w:space="0"/>
              <w:right w:val="single" w:color="000000" w:sz="4" w:space="0"/>
            </w:tcBorders>
            <w:noWrap w:val="0"/>
            <w:vAlign w:val="center"/>
          </w:tcPr>
          <w:p w14:paraId="7EB90050">
            <w:pPr>
              <w:widowControl/>
              <w:rPr>
                <w:rFonts w:hint="eastAsia" w:ascii="宋体" w:hAnsi="宋体" w:cs="宋体"/>
                <w:bCs/>
                <w:color w:val="auto"/>
                <w:kern w:val="0"/>
                <w:szCs w:val="21"/>
                <w:highlight w:val="none"/>
              </w:rPr>
            </w:pPr>
          </w:p>
        </w:tc>
        <w:tc>
          <w:tcPr>
            <w:tcW w:w="1270" w:type="dxa"/>
            <w:vMerge w:val="restart"/>
            <w:tcBorders>
              <w:top w:val="single" w:color="auto" w:sz="4" w:space="0"/>
              <w:left w:val="nil"/>
              <w:bottom w:val="single" w:color="000000" w:sz="4" w:space="0"/>
              <w:right w:val="single" w:color="000000" w:sz="4" w:space="0"/>
            </w:tcBorders>
            <w:noWrap w:val="0"/>
            <w:vAlign w:val="center"/>
          </w:tcPr>
          <w:p w14:paraId="6E9D3442">
            <w:pPr>
              <w:widowControl/>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4B629E87">
            <w:pPr>
              <w:widowControl/>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center"/>
          </w:tcPr>
          <w:p w14:paraId="4CF2F9B8">
            <w:pPr>
              <w:widowControl/>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232BD511">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111B0FD2">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4DCC56EA">
            <w:pPr>
              <w:widowControl/>
              <w:jc w:val="center"/>
              <w:rPr>
                <w:rFonts w:hint="eastAsia" w:ascii="宋体" w:hAnsi="宋体" w:cs="宋体"/>
                <w:color w:val="auto"/>
                <w:kern w:val="0"/>
                <w:szCs w:val="21"/>
                <w:highlight w:val="none"/>
              </w:rPr>
            </w:pPr>
          </w:p>
        </w:tc>
      </w:tr>
      <w:tr w14:paraId="3B6C3301">
        <w:tblPrEx>
          <w:tblCellMar>
            <w:top w:w="0" w:type="dxa"/>
            <w:left w:w="108" w:type="dxa"/>
            <w:bottom w:w="0" w:type="dxa"/>
            <w:right w:w="108" w:type="dxa"/>
          </w:tblCellMar>
        </w:tblPrEx>
        <w:trPr>
          <w:trHeight w:val="321" w:hRule="atLeast"/>
          <w:jc w:val="center"/>
        </w:trPr>
        <w:tc>
          <w:tcPr>
            <w:tcW w:w="947" w:type="dxa"/>
            <w:vMerge w:val="continue"/>
            <w:tcBorders>
              <w:top w:val="nil"/>
              <w:left w:val="single" w:color="000000" w:sz="4" w:space="0"/>
              <w:bottom w:val="single" w:color="000000" w:sz="4" w:space="0"/>
              <w:right w:val="single" w:color="000000" w:sz="4" w:space="0"/>
            </w:tcBorders>
            <w:noWrap w:val="0"/>
            <w:vAlign w:val="center"/>
          </w:tcPr>
          <w:p w14:paraId="78FE917A">
            <w:pPr>
              <w:widowControl/>
              <w:jc w:val="left"/>
              <w:rPr>
                <w:rFonts w:hint="eastAsia" w:ascii="宋体" w:hAnsi="宋体" w:cs="宋体"/>
                <w:bCs/>
                <w:color w:val="auto"/>
                <w:kern w:val="0"/>
                <w:szCs w:val="21"/>
                <w:highlight w:val="none"/>
              </w:rPr>
            </w:pPr>
          </w:p>
        </w:tc>
        <w:tc>
          <w:tcPr>
            <w:tcW w:w="1270" w:type="dxa"/>
            <w:vMerge w:val="continue"/>
            <w:tcBorders>
              <w:top w:val="nil"/>
              <w:left w:val="nil"/>
              <w:bottom w:val="single" w:color="000000" w:sz="4" w:space="0"/>
              <w:right w:val="single" w:color="000000" w:sz="4" w:space="0"/>
            </w:tcBorders>
            <w:noWrap w:val="0"/>
            <w:vAlign w:val="center"/>
          </w:tcPr>
          <w:p w14:paraId="4A208C29">
            <w:pPr>
              <w:widowControl/>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2DE62336">
            <w:pPr>
              <w:widowControl/>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7BA4085F">
            <w:pPr>
              <w:widowControl/>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5765F489">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550CF050">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73D7A3CD">
            <w:pPr>
              <w:widowControl/>
              <w:jc w:val="center"/>
              <w:rPr>
                <w:rFonts w:hint="eastAsia" w:ascii="宋体" w:hAnsi="宋体" w:cs="宋体"/>
                <w:color w:val="auto"/>
                <w:kern w:val="0"/>
                <w:szCs w:val="21"/>
                <w:highlight w:val="none"/>
              </w:rPr>
            </w:pPr>
          </w:p>
        </w:tc>
      </w:tr>
      <w:tr w14:paraId="240393E9">
        <w:tblPrEx>
          <w:tblCellMar>
            <w:top w:w="0" w:type="dxa"/>
            <w:left w:w="108" w:type="dxa"/>
            <w:bottom w:w="0" w:type="dxa"/>
            <w:right w:w="108" w:type="dxa"/>
          </w:tblCellMar>
        </w:tblPrEx>
        <w:trPr>
          <w:trHeight w:val="334" w:hRule="atLeast"/>
          <w:jc w:val="center"/>
        </w:trPr>
        <w:tc>
          <w:tcPr>
            <w:tcW w:w="947" w:type="dxa"/>
            <w:vMerge w:val="continue"/>
            <w:tcBorders>
              <w:top w:val="nil"/>
              <w:left w:val="single" w:color="000000" w:sz="4" w:space="0"/>
              <w:bottom w:val="single" w:color="auto" w:sz="4" w:space="0"/>
              <w:right w:val="single" w:color="000000" w:sz="4" w:space="0"/>
            </w:tcBorders>
            <w:noWrap w:val="0"/>
            <w:vAlign w:val="center"/>
          </w:tcPr>
          <w:p w14:paraId="26E40D33">
            <w:pPr>
              <w:widowControl/>
              <w:jc w:val="left"/>
              <w:rPr>
                <w:rFonts w:hint="eastAsia" w:ascii="宋体" w:hAnsi="宋体" w:cs="宋体"/>
                <w:bCs/>
                <w:color w:val="auto"/>
                <w:kern w:val="0"/>
                <w:szCs w:val="21"/>
                <w:highlight w:val="none"/>
              </w:rPr>
            </w:pPr>
          </w:p>
        </w:tc>
        <w:tc>
          <w:tcPr>
            <w:tcW w:w="1270" w:type="dxa"/>
            <w:vMerge w:val="continue"/>
            <w:tcBorders>
              <w:top w:val="nil"/>
              <w:left w:val="nil"/>
              <w:bottom w:val="single" w:color="auto" w:sz="4" w:space="0"/>
              <w:right w:val="single" w:color="000000" w:sz="4" w:space="0"/>
            </w:tcBorders>
            <w:noWrap w:val="0"/>
            <w:vAlign w:val="center"/>
          </w:tcPr>
          <w:p w14:paraId="42D7E064">
            <w:pPr>
              <w:widowControl/>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27AD62A4">
            <w:pPr>
              <w:widowControl/>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04E7FBD5">
            <w:pPr>
              <w:widowControl/>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6D453111">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7013975B">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0C637221">
            <w:pPr>
              <w:widowControl/>
              <w:jc w:val="center"/>
              <w:rPr>
                <w:rFonts w:hint="eastAsia" w:ascii="宋体" w:hAnsi="宋体" w:cs="宋体"/>
                <w:color w:val="auto"/>
                <w:kern w:val="0"/>
                <w:szCs w:val="21"/>
                <w:highlight w:val="none"/>
              </w:rPr>
            </w:pPr>
          </w:p>
        </w:tc>
      </w:tr>
      <w:tr w14:paraId="4DA6C715">
        <w:tblPrEx>
          <w:tblCellMar>
            <w:top w:w="0" w:type="dxa"/>
            <w:left w:w="108" w:type="dxa"/>
            <w:bottom w:w="0" w:type="dxa"/>
            <w:right w:w="108" w:type="dxa"/>
          </w:tblCellMar>
        </w:tblPrEx>
        <w:trPr>
          <w:trHeight w:val="321" w:hRule="atLeast"/>
          <w:jc w:val="center"/>
        </w:trPr>
        <w:tc>
          <w:tcPr>
            <w:tcW w:w="947" w:type="dxa"/>
            <w:vMerge w:val="restart"/>
            <w:tcBorders>
              <w:top w:val="single" w:color="auto" w:sz="4" w:space="0"/>
              <w:left w:val="single" w:color="000000" w:sz="4" w:space="0"/>
              <w:bottom w:val="single" w:color="000000" w:sz="4" w:space="0"/>
              <w:right w:val="single" w:color="000000" w:sz="4" w:space="0"/>
            </w:tcBorders>
            <w:noWrap w:val="0"/>
            <w:vAlign w:val="center"/>
          </w:tcPr>
          <w:p w14:paraId="0373BDEB">
            <w:pPr>
              <w:widowControl/>
              <w:jc w:val="left"/>
              <w:rPr>
                <w:rFonts w:hint="eastAsia" w:ascii="宋体" w:hAnsi="宋体" w:cs="宋体"/>
                <w:bCs/>
                <w:color w:val="auto"/>
                <w:kern w:val="0"/>
                <w:szCs w:val="21"/>
                <w:highlight w:val="none"/>
              </w:rPr>
            </w:pPr>
          </w:p>
        </w:tc>
        <w:tc>
          <w:tcPr>
            <w:tcW w:w="1270" w:type="dxa"/>
            <w:vMerge w:val="restart"/>
            <w:tcBorders>
              <w:top w:val="single" w:color="auto" w:sz="4" w:space="0"/>
              <w:left w:val="nil"/>
              <w:bottom w:val="single" w:color="000000" w:sz="4" w:space="0"/>
              <w:right w:val="single" w:color="000000" w:sz="4" w:space="0"/>
            </w:tcBorders>
            <w:noWrap w:val="0"/>
            <w:vAlign w:val="center"/>
          </w:tcPr>
          <w:p w14:paraId="33463618">
            <w:pPr>
              <w:widowControl/>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1C86098E">
            <w:pPr>
              <w:widowControl/>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3A55B754">
            <w:pPr>
              <w:widowControl/>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4B002A1B">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263AEBDA">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46941365">
            <w:pPr>
              <w:widowControl/>
              <w:jc w:val="center"/>
              <w:rPr>
                <w:rFonts w:hint="eastAsia" w:ascii="宋体" w:hAnsi="宋体" w:cs="宋体"/>
                <w:color w:val="auto"/>
                <w:kern w:val="0"/>
                <w:szCs w:val="21"/>
                <w:highlight w:val="none"/>
              </w:rPr>
            </w:pPr>
          </w:p>
        </w:tc>
      </w:tr>
      <w:tr w14:paraId="1AE6FC67">
        <w:tblPrEx>
          <w:tblCellMar>
            <w:top w:w="0" w:type="dxa"/>
            <w:left w:w="108" w:type="dxa"/>
            <w:bottom w:w="0" w:type="dxa"/>
            <w:right w:w="108" w:type="dxa"/>
          </w:tblCellMar>
        </w:tblPrEx>
        <w:trPr>
          <w:trHeight w:val="321" w:hRule="atLeast"/>
          <w:jc w:val="center"/>
        </w:trPr>
        <w:tc>
          <w:tcPr>
            <w:tcW w:w="947" w:type="dxa"/>
            <w:vMerge w:val="continue"/>
            <w:tcBorders>
              <w:top w:val="nil"/>
              <w:left w:val="single" w:color="000000" w:sz="4" w:space="0"/>
              <w:bottom w:val="single" w:color="000000" w:sz="4" w:space="0"/>
              <w:right w:val="single" w:color="000000" w:sz="4" w:space="0"/>
            </w:tcBorders>
            <w:noWrap w:val="0"/>
            <w:vAlign w:val="center"/>
          </w:tcPr>
          <w:p w14:paraId="63D2D9B7">
            <w:pPr>
              <w:widowControl/>
              <w:jc w:val="left"/>
              <w:rPr>
                <w:rFonts w:hint="eastAsia" w:ascii="宋体" w:hAnsi="宋体" w:cs="宋体"/>
                <w:bCs/>
                <w:color w:val="auto"/>
                <w:kern w:val="0"/>
                <w:szCs w:val="21"/>
                <w:highlight w:val="none"/>
              </w:rPr>
            </w:pPr>
          </w:p>
        </w:tc>
        <w:tc>
          <w:tcPr>
            <w:tcW w:w="1270" w:type="dxa"/>
            <w:vMerge w:val="continue"/>
            <w:tcBorders>
              <w:top w:val="nil"/>
              <w:left w:val="nil"/>
              <w:bottom w:val="single" w:color="000000" w:sz="4" w:space="0"/>
              <w:right w:val="single" w:color="000000" w:sz="4" w:space="0"/>
            </w:tcBorders>
            <w:noWrap w:val="0"/>
            <w:vAlign w:val="center"/>
          </w:tcPr>
          <w:p w14:paraId="2F006393">
            <w:pPr>
              <w:widowControl/>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00D1F72F">
            <w:pPr>
              <w:widowControl/>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3836749E">
            <w:pPr>
              <w:widowControl/>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606219B3">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4701632A">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7DDCEF79">
            <w:pPr>
              <w:widowControl/>
              <w:jc w:val="center"/>
              <w:rPr>
                <w:rFonts w:hint="eastAsia" w:ascii="宋体" w:hAnsi="宋体" w:cs="宋体"/>
                <w:color w:val="auto"/>
                <w:kern w:val="0"/>
                <w:szCs w:val="21"/>
                <w:highlight w:val="none"/>
              </w:rPr>
            </w:pPr>
          </w:p>
        </w:tc>
      </w:tr>
      <w:tr w14:paraId="303619DD">
        <w:tblPrEx>
          <w:tblCellMar>
            <w:top w:w="0" w:type="dxa"/>
            <w:left w:w="108" w:type="dxa"/>
            <w:bottom w:w="0" w:type="dxa"/>
            <w:right w:w="108" w:type="dxa"/>
          </w:tblCellMar>
        </w:tblPrEx>
        <w:trPr>
          <w:trHeight w:val="330" w:hRule="atLeast"/>
          <w:jc w:val="center"/>
        </w:trPr>
        <w:tc>
          <w:tcPr>
            <w:tcW w:w="947" w:type="dxa"/>
            <w:vMerge w:val="continue"/>
            <w:tcBorders>
              <w:top w:val="nil"/>
              <w:left w:val="single" w:color="000000" w:sz="4" w:space="0"/>
              <w:bottom w:val="single" w:color="000000" w:sz="4" w:space="0"/>
              <w:right w:val="single" w:color="000000" w:sz="4" w:space="0"/>
            </w:tcBorders>
            <w:noWrap w:val="0"/>
            <w:vAlign w:val="center"/>
          </w:tcPr>
          <w:p w14:paraId="6C9A63D2">
            <w:pPr>
              <w:widowControl/>
              <w:jc w:val="left"/>
              <w:rPr>
                <w:rFonts w:hint="eastAsia" w:ascii="宋体" w:hAnsi="宋体" w:cs="宋体"/>
                <w:bCs/>
                <w:color w:val="auto"/>
                <w:kern w:val="0"/>
                <w:szCs w:val="21"/>
                <w:highlight w:val="none"/>
              </w:rPr>
            </w:pPr>
          </w:p>
        </w:tc>
        <w:tc>
          <w:tcPr>
            <w:tcW w:w="1270" w:type="dxa"/>
            <w:vMerge w:val="continue"/>
            <w:tcBorders>
              <w:top w:val="nil"/>
              <w:left w:val="nil"/>
              <w:bottom w:val="single" w:color="000000" w:sz="4" w:space="0"/>
              <w:right w:val="single" w:color="000000" w:sz="4" w:space="0"/>
            </w:tcBorders>
            <w:noWrap w:val="0"/>
            <w:vAlign w:val="center"/>
          </w:tcPr>
          <w:p w14:paraId="0AEDCD73">
            <w:pPr>
              <w:widowControl/>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1ED4EA0E">
            <w:pPr>
              <w:widowControl/>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43A5EC08">
            <w:pPr>
              <w:widowControl/>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7C43B6B6">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1F09F030">
            <w:pPr>
              <w:widowControl/>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252C0D82">
            <w:pPr>
              <w:widowControl/>
              <w:jc w:val="center"/>
              <w:rPr>
                <w:rFonts w:hint="eastAsia" w:ascii="宋体" w:hAnsi="宋体" w:cs="宋体"/>
                <w:color w:val="auto"/>
                <w:kern w:val="0"/>
                <w:szCs w:val="21"/>
                <w:highlight w:val="none"/>
              </w:rPr>
            </w:pPr>
          </w:p>
        </w:tc>
      </w:tr>
    </w:tbl>
    <w:p w14:paraId="0FA0CBD8">
      <w:pPr>
        <w:rPr>
          <w:rFonts w:hint="eastAsia" w:ascii="宋体" w:hAnsi="宋体" w:cs="宋体"/>
          <w:color w:val="auto"/>
          <w:szCs w:val="21"/>
          <w:highlight w:val="none"/>
        </w:rPr>
      </w:pPr>
      <w:r>
        <w:rPr>
          <w:rFonts w:hint="eastAsia" w:ascii="宋体" w:hAnsi="宋体" w:cs="宋体"/>
          <w:color w:val="auto"/>
          <w:szCs w:val="21"/>
          <w:highlight w:val="none"/>
        </w:rPr>
        <w:t>投标人保证：除技术要求偏离表列出的偏差外，投标人响应招标文件的全部要求。</w:t>
      </w:r>
    </w:p>
    <w:p w14:paraId="579FC777">
      <w:pPr>
        <w:widowControl/>
        <w:spacing w:line="360" w:lineRule="exact"/>
        <w:ind w:firstLine="470" w:firstLineChars="196"/>
        <w:rPr>
          <w:rFonts w:hint="eastAsia" w:ascii="宋体" w:hAnsi="宋体" w:cs="宋体"/>
          <w:color w:val="auto"/>
          <w:kern w:val="0"/>
          <w:sz w:val="24"/>
          <w:highlight w:val="none"/>
        </w:rPr>
      </w:pPr>
    </w:p>
    <w:p w14:paraId="37F70A80">
      <w:pPr>
        <w:pStyle w:val="4"/>
        <w:jc w:val="center"/>
        <w:rPr>
          <w:rStyle w:val="23"/>
          <w:rFonts w:hint="eastAsia" w:ascii="宋体" w:hAnsi="宋体" w:eastAsia="宋体" w:cs="宋体"/>
          <w:b/>
          <w:bCs w:val="0"/>
          <w:color w:val="auto"/>
          <w:sz w:val="24"/>
          <w:szCs w:val="24"/>
          <w:highlight w:val="none"/>
        </w:rPr>
      </w:pPr>
      <w:r>
        <w:rPr>
          <w:rFonts w:hint="eastAsia" w:cs="宋体"/>
          <w:color w:val="auto"/>
          <w:highlight w:val="none"/>
        </w:rPr>
        <w:br w:type="page"/>
      </w:r>
      <w:r>
        <w:rPr>
          <w:rFonts w:hint="eastAsia" w:cs="宋体"/>
          <w:color w:val="auto"/>
          <w:sz w:val="24"/>
          <w:highlight w:val="none"/>
          <w:lang w:eastAsia="zh-CN"/>
        </w:rPr>
        <w:t>（三）</w:t>
      </w:r>
      <w:r>
        <w:rPr>
          <w:rStyle w:val="23"/>
          <w:rFonts w:hint="eastAsia" w:ascii="宋体" w:hAnsi="宋体" w:eastAsia="宋体" w:cs="宋体"/>
          <w:b/>
          <w:bCs w:val="0"/>
          <w:color w:val="auto"/>
          <w:sz w:val="24"/>
          <w:szCs w:val="24"/>
          <w:highlight w:val="none"/>
        </w:rPr>
        <w:t>技术响应资料</w:t>
      </w:r>
    </w:p>
    <w:p w14:paraId="1C68D369">
      <w:pPr>
        <w:widowControl/>
        <w:jc w:val="left"/>
        <w:rPr>
          <w:rFonts w:hint="eastAsia" w:ascii="宋体" w:hAnsi="宋体" w:cs="宋体"/>
          <w:color w:val="auto"/>
          <w:highlight w:val="none"/>
        </w:rPr>
      </w:pPr>
    </w:p>
    <w:p w14:paraId="6F21605A">
      <w:pPr>
        <w:pStyle w:val="5"/>
        <w:keepNext w:val="0"/>
        <w:tabs>
          <w:tab w:val="left" w:pos="1260"/>
        </w:tabs>
        <w:jc w:val="center"/>
        <w:rPr>
          <w:rFonts w:hint="eastAsia" w:cs="宋体"/>
          <w:b w:val="0"/>
          <w:bCs w:val="0"/>
          <w:color w:val="auto"/>
          <w:sz w:val="24"/>
          <w:highlight w:val="none"/>
          <w:lang w:eastAsia="zh-CN"/>
        </w:rPr>
      </w:pPr>
      <w:r>
        <w:rPr>
          <w:rFonts w:hint="eastAsia" w:ascii="宋体" w:hAnsi="宋体" w:cs="宋体"/>
          <w:color w:val="auto"/>
          <w:sz w:val="24"/>
          <w:highlight w:val="none"/>
          <w:lang w:eastAsia="zh-CN"/>
        </w:rPr>
        <w:t>1.货物（服务）主要技术指标和性能的详细说明</w:t>
      </w:r>
    </w:p>
    <w:tbl>
      <w:tblPr>
        <w:tblStyle w:val="17"/>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701"/>
        <w:gridCol w:w="1134"/>
        <w:gridCol w:w="1984"/>
        <w:gridCol w:w="2269"/>
        <w:gridCol w:w="1135"/>
      </w:tblGrid>
      <w:tr w14:paraId="12692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0C71681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货物名称</w:t>
            </w:r>
          </w:p>
        </w:tc>
        <w:tc>
          <w:tcPr>
            <w:tcW w:w="1701" w:type="dxa"/>
            <w:noWrap w:val="0"/>
            <w:vAlign w:val="center"/>
          </w:tcPr>
          <w:p w14:paraId="583FAF4C">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主要部件或功能配置名称</w:t>
            </w:r>
          </w:p>
        </w:tc>
        <w:tc>
          <w:tcPr>
            <w:tcW w:w="1134" w:type="dxa"/>
            <w:noWrap w:val="0"/>
            <w:vAlign w:val="center"/>
          </w:tcPr>
          <w:p w14:paraId="7ECD81E0">
            <w:pPr>
              <w:widowControl/>
              <w:jc w:val="center"/>
              <w:rPr>
                <w:rFonts w:hint="eastAsia" w:ascii="宋体" w:hAnsi="宋体" w:cs="宋体"/>
                <w:b/>
                <w:color w:val="auto"/>
                <w:szCs w:val="21"/>
                <w:highlight w:val="none"/>
              </w:rPr>
            </w:pPr>
            <w:r>
              <w:rPr>
                <w:rFonts w:hint="eastAsia" w:ascii="宋体" w:hAnsi="宋体" w:cs="宋体"/>
                <w:b/>
                <w:color w:val="auto"/>
                <w:szCs w:val="21"/>
                <w:highlight w:val="none"/>
              </w:rPr>
              <w:t>规格/型号</w:t>
            </w:r>
          </w:p>
        </w:tc>
        <w:tc>
          <w:tcPr>
            <w:tcW w:w="1984" w:type="dxa"/>
            <w:noWrap w:val="0"/>
            <w:vAlign w:val="center"/>
          </w:tcPr>
          <w:p w14:paraId="7F72947D">
            <w:pPr>
              <w:widowControl/>
              <w:jc w:val="center"/>
              <w:rPr>
                <w:rFonts w:hint="eastAsia" w:ascii="宋体" w:hAnsi="宋体" w:cs="宋体"/>
                <w:b/>
                <w:color w:val="auto"/>
                <w:szCs w:val="21"/>
                <w:highlight w:val="none"/>
              </w:rPr>
            </w:pPr>
            <w:r>
              <w:rPr>
                <w:rFonts w:hint="eastAsia" w:ascii="宋体" w:hAnsi="宋体" w:cs="宋体"/>
                <w:b/>
                <w:color w:val="auto"/>
                <w:szCs w:val="21"/>
                <w:highlight w:val="none"/>
              </w:rPr>
              <w:t>产地、品牌及制造商名称</w:t>
            </w:r>
          </w:p>
        </w:tc>
        <w:tc>
          <w:tcPr>
            <w:tcW w:w="2269" w:type="dxa"/>
            <w:noWrap w:val="0"/>
            <w:vAlign w:val="center"/>
          </w:tcPr>
          <w:p w14:paraId="69279C76">
            <w:pPr>
              <w:widowControl/>
              <w:jc w:val="center"/>
              <w:rPr>
                <w:rFonts w:hint="eastAsia" w:ascii="宋体" w:hAnsi="宋体" w:cs="宋体"/>
                <w:b/>
                <w:color w:val="auto"/>
                <w:szCs w:val="21"/>
                <w:highlight w:val="none"/>
              </w:rPr>
            </w:pPr>
            <w:r>
              <w:rPr>
                <w:rFonts w:hint="eastAsia" w:ascii="宋体" w:hAnsi="宋体" w:cs="宋体"/>
                <w:b/>
                <w:color w:val="auto"/>
                <w:szCs w:val="21"/>
                <w:highlight w:val="none"/>
              </w:rPr>
              <w:t>主要技术指标及功能描述</w:t>
            </w:r>
          </w:p>
        </w:tc>
        <w:tc>
          <w:tcPr>
            <w:tcW w:w="1135" w:type="dxa"/>
            <w:noWrap w:val="0"/>
            <w:vAlign w:val="center"/>
          </w:tcPr>
          <w:p w14:paraId="65F957A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287D9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restart"/>
            <w:noWrap w:val="0"/>
            <w:vAlign w:val="center"/>
          </w:tcPr>
          <w:p w14:paraId="3C5E6FFA">
            <w:pPr>
              <w:widowControl/>
              <w:rPr>
                <w:rFonts w:hint="eastAsia" w:ascii="宋体" w:hAnsi="宋体" w:cs="宋体"/>
                <w:color w:val="auto"/>
                <w:kern w:val="0"/>
                <w:szCs w:val="21"/>
                <w:highlight w:val="none"/>
              </w:rPr>
            </w:pPr>
          </w:p>
        </w:tc>
        <w:tc>
          <w:tcPr>
            <w:tcW w:w="1701" w:type="dxa"/>
            <w:noWrap w:val="0"/>
            <w:vAlign w:val="top"/>
          </w:tcPr>
          <w:p w14:paraId="5457EC92">
            <w:pPr>
              <w:widowControl/>
              <w:jc w:val="center"/>
              <w:rPr>
                <w:rFonts w:hint="eastAsia" w:ascii="宋体" w:hAnsi="宋体" w:cs="宋体"/>
                <w:b/>
                <w:color w:val="auto"/>
                <w:szCs w:val="21"/>
                <w:highlight w:val="none"/>
              </w:rPr>
            </w:pPr>
          </w:p>
        </w:tc>
        <w:tc>
          <w:tcPr>
            <w:tcW w:w="1134" w:type="dxa"/>
            <w:noWrap w:val="0"/>
            <w:vAlign w:val="center"/>
          </w:tcPr>
          <w:p w14:paraId="01D55078">
            <w:pPr>
              <w:widowControl/>
              <w:jc w:val="center"/>
              <w:rPr>
                <w:rFonts w:hint="eastAsia" w:ascii="宋体" w:hAnsi="宋体" w:cs="宋体"/>
                <w:b/>
                <w:color w:val="auto"/>
                <w:szCs w:val="21"/>
                <w:highlight w:val="none"/>
              </w:rPr>
            </w:pPr>
          </w:p>
        </w:tc>
        <w:tc>
          <w:tcPr>
            <w:tcW w:w="1984" w:type="dxa"/>
            <w:noWrap w:val="0"/>
            <w:vAlign w:val="center"/>
          </w:tcPr>
          <w:p w14:paraId="63757E95">
            <w:pPr>
              <w:widowControl/>
              <w:jc w:val="center"/>
              <w:rPr>
                <w:rFonts w:hint="eastAsia" w:ascii="宋体" w:hAnsi="宋体" w:cs="宋体"/>
                <w:b/>
                <w:color w:val="auto"/>
                <w:szCs w:val="21"/>
                <w:highlight w:val="none"/>
              </w:rPr>
            </w:pPr>
          </w:p>
        </w:tc>
        <w:tc>
          <w:tcPr>
            <w:tcW w:w="2269" w:type="dxa"/>
            <w:noWrap w:val="0"/>
            <w:vAlign w:val="top"/>
          </w:tcPr>
          <w:p w14:paraId="7199FFD6">
            <w:pPr>
              <w:widowControl/>
              <w:jc w:val="center"/>
              <w:rPr>
                <w:rFonts w:hint="eastAsia" w:ascii="宋体" w:hAnsi="宋体" w:cs="宋体"/>
                <w:color w:val="auto"/>
                <w:kern w:val="0"/>
                <w:szCs w:val="21"/>
                <w:highlight w:val="none"/>
              </w:rPr>
            </w:pPr>
          </w:p>
        </w:tc>
        <w:tc>
          <w:tcPr>
            <w:tcW w:w="1135" w:type="dxa"/>
            <w:noWrap w:val="0"/>
            <w:vAlign w:val="center"/>
          </w:tcPr>
          <w:p w14:paraId="47FC3B8C">
            <w:pPr>
              <w:widowControl/>
              <w:jc w:val="center"/>
              <w:rPr>
                <w:rFonts w:hint="eastAsia" w:ascii="宋体" w:hAnsi="宋体" w:cs="宋体"/>
                <w:color w:val="auto"/>
                <w:kern w:val="0"/>
                <w:szCs w:val="21"/>
                <w:highlight w:val="none"/>
              </w:rPr>
            </w:pPr>
          </w:p>
        </w:tc>
      </w:tr>
      <w:tr w14:paraId="4CD85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11E4FE7B">
            <w:pPr>
              <w:widowControl/>
              <w:rPr>
                <w:rFonts w:hint="eastAsia" w:ascii="宋体" w:hAnsi="宋体" w:cs="宋体"/>
                <w:color w:val="auto"/>
                <w:kern w:val="0"/>
                <w:szCs w:val="21"/>
                <w:highlight w:val="none"/>
              </w:rPr>
            </w:pPr>
          </w:p>
        </w:tc>
        <w:tc>
          <w:tcPr>
            <w:tcW w:w="1701" w:type="dxa"/>
            <w:noWrap w:val="0"/>
            <w:vAlign w:val="top"/>
          </w:tcPr>
          <w:p w14:paraId="5D63BC6B">
            <w:pPr>
              <w:widowControl/>
              <w:jc w:val="center"/>
              <w:rPr>
                <w:rFonts w:hint="eastAsia" w:ascii="宋体" w:hAnsi="宋体" w:cs="宋体"/>
                <w:b/>
                <w:color w:val="auto"/>
                <w:szCs w:val="21"/>
                <w:highlight w:val="none"/>
              </w:rPr>
            </w:pPr>
          </w:p>
        </w:tc>
        <w:tc>
          <w:tcPr>
            <w:tcW w:w="1134" w:type="dxa"/>
            <w:noWrap w:val="0"/>
            <w:vAlign w:val="center"/>
          </w:tcPr>
          <w:p w14:paraId="025C542E">
            <w:pPr>
              <w:widowControl/>
              <w:jc w:val="center"/>
              <w:rPr>
                <w:rFonts w:hint="eastAsia" w:ascii="宋体" w:hAnsi="宋体" w:cs="宋体"/>
                <w:b/>
                <w:color w:val="auto"/>
                <w:szCs w:val="21"/>
                <w:highlight w:val="none"/>
              </w:rPr>
            </w:pPr>
          </w:p>
        </w:tc>
        <w:tc>
          <w:tcPr>
            <w:tcW w:w="1984" w:type="dxa"/>
            <w:noWrap w:val="0"/>
            <w:vAlign w:val="center"/>
          </w:tcPr>
          <w:p w14:paraId="5800CD07">
            <w:pPr>
              <w:widowControl/>
              <w:jc w:val="center"/>
              <w:rPr>
                <w:rFonts w:hint="eastAsia" w:ascii="宋体" w:hAnsi="宋体" w:cs="宋体"/>
                <w:color w:val="auto"/>
                <w:kern w:val="0"/>
                <w:szCs w:val="21"/>
                <w:highlight w:val="none"/>
              </w:rPr>
            </w:pPr>
          </w:p>
        </w:tc>
        <w:tc>
          <w:tcPr>
            <w:tcW w:w="2269" w:type="dxa"/>
            <w:noWrap w:val="0"/>
            <w:vAlign w:val="top"/>
          </w:tcPr>
          <w:p w14:paraId="4A29A281">
            <w:pPr>
              <w:widowControl/>
              <w:jc w:val="center"/>
              <w:rPr>
                <w:rFonts w:hint="eastAsia" w:ascii="宋体" w:hAnsi="宋体" w:cs="宋体"/>
                <w:color w:val="auto"/>
                <w:kern w:val="0"/>
                <w:szCs w:val="21"/>
                <w:highlight w:val="none"/>
              </w:rPr>
            </w:pPr>
          </w:p>
        </w:tc>
        <w:tc>
          <w:tcPr>
            <w:tcW w:w="1135" w:type="dxa"/>
            <w:noWrap w:val="0"/>
            <w:vAlign w:val="center"/>
          </w:tcPr>
          <w:p w14:paraId="5DFF3A07">
            <w:pPr>
              <w:widowControl/>
              <w:jc w:val="center"/>
              <w:rPr>
                <w:rFonts w:hint="eastAsia" w:ascii="宋体" w:hAnsi="宋体" w:cs="宋体"/>
                <w:color w:val="auto"/>
                <w:kern w:val="0"/>
                <w:szCs w:val="21"/>
                <w:highlight w:val="none"/>
              </w:rPr>
            </w:pPr>
          </w:p>
        </w:tc>
      </w:tr>
      <w:tr w14:paraId="5188B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3B78A716">
            <w:pPr>
              <w:widowControl/>
              <w:rPr>
                <w:rFonts w:hint="eastAsia" w:ascii="宋体" w:hAnsi="宋体" w:cs="宋体"/>
                <w:color w:val="auto"/>
                <w:kern w:val="0"/>
                <w:szCs w:val="21"/>
                <w:highlight w:val="none"/>
              </w:rPr>
            </w:pPr>
          </w:p>
        </w:tc>
        <w:tc>
          <w:tcPr>
            <w:tcW w:w="1701" w:type="dxa"/>
            <w:noWrap w:val="0"/>
            <w:vAlign w:val="top"/>
          </w:tcPr>
          <w:p w14:paraId="49D863FF">
            <w:pPr>
              <w:widowControl/>
              <w:jc w:val="center"/>
              <w:rPr>
                <w:rFonts w:hint="eastAsia" w:ascii="宋体" w:hAnsi="宋体" w:cs="宋体"/>
                <w:color w:val="auto"/>
                <w:kern w:val="0"/>
                <w:szCs w:val="21"/>
                <w:highlight w:val="none"/>
              </w:rPr>
            </w:pPr>
          </w:p>
        </w:tc>
        <w:tc>
          <w:tcPr>
            <w:tcW w:w="1134" w:type="dxa"/>
            <w:noWrap w:val="0"/>
            <w:vAlign w:val="center"/>
          </w:tcPr>
          <w:p w14:paraId="1921E32E">
            <w:pPr>
              <w:widowControl/>
              <w:jc w:val="center"/>
              <w:rPr>
                <w:rFonts w:hint="eastAsia" w:ascii="宋体" w:hAnsi="宋体" w:cs="宋体"/>
                <w:color w:val="auto"/>
                <w:kern w:val="0"/>
                <w:szCs w:val="21"/>
                <w:highlight w:val="none"/>
              </w:rPr>
            </w:pPr>
          </w:p>
        </w:tc>
        <w:tc>
          <w:tcPr>
            <w:tcW w:w="1984" w:type="dxa"/>
            <w:noWrap w:val="0"/>
            <w:vAlign w:val="center"/>
          </w:tcPr>
          <w:p w14:paraId="33DADF23">
            <w:pPr>
              <w:widowControl/>
              <w:jc w:val="center"/>
              <w:rPr>
                <w:rFonts w:hint="eastAsia" w:ascii="宋体" w:hAnsi="宋体" w:cs="宋体"/>
                <w:color w:val="auto"/>
                <w:kern w:val="0"/>
                <w:szCs w:val="21"/>
                <w:highlight w:val="none"/>
              </w:rPr>
            </w:pPr>
          </w:p>
        </w:tc>
        <w:tc>
          <w:tcPr>
            <w:tcW w:w="2269" w:type="dxa"/>
            <w:noWrap w:val="0"/>
            <w:vAlign w:val="top"/>
          </w:tcPr>
          <w:p w14:paraId="593CCE26">
            <w:pPr>
              <w:widowControl/>
              <w:jc w:val="center"/>
              <w:rPr>
                <w:rFonts w:hint="eastAsia" w:ascii="宋体" w:hAnsi="宋体" w:cs="宋体"/>
                <w:color w:val="auto"/>
                <w:kern w:val="0"/>
                <w:szCs w:val="21"/>
                <w:highlight w:val="none"/>
              </w:rPr>
            </w:pPr>
          </w:p>
        </w:tc>
        <w:tc>
          <w:tcPr>
            <w:tcW w:w="1135" w:type="dxa"/>
            <w:noWrap w:val="0"/>
            <w:vAlign w:val="center"/>
          </w:tcPr>
          <w:p w14:paraId="0DBD9B04">
            <w:pPr>
              <w:widowControl/>
              <w:jc w:val="center"/>
              <w:rPr>
                <w:rFonts w:hint="eastAsia" w:ascii="宋体" w:hAnsi="宋体" w:cs="宋体"/>
                <w:color w:val="auto"/>
                <w:kern w:val="0"/>
                <w:szCs w:val="21"/>
                <w:highlight w:val="none"/>
              </w:rPr>
            </w:pPr>
          </w:p>
        </w:tc>
      </w:tr>
      <w:tr w14:paraId="4BC9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restart"/>
            <w:noWrap w:val="0"/>
            <w:vAlign w:val="center"/>
          </w:tcPr>
          <w:p w14:paraId="44BA18EE">
            <w:pPr>
              <w:widowControl/>
              <w:rPr>
                <w:rFonts w:hint="eastAsia" w:ascii="宋体" w:hAnsi="宋体" w:cs="宋体"/>
                <w:color w:val="auto"/>
                <w:kern w:val="0"/>
                <w:szCs w:val="21"/>
                <w:highlight w:val="none"/>
              </w:rPr>
            </w:pPr>
          </w:p>
        </w:tc>
        <w:tc>
          <w:tcPr>
            <w:tcW w:w="1701" w:type="dxa"/>
            <w:noWrap w:val="0"/>
            <w:vAlign w:val="top"/>
          </w:tcPr>
          <w:p w14:paraId="4CF73887">
            <w:pPr>
              <w:widowControl/>
              <w:jc w:val="center"/>
              <w:rPr>
                <w:rFonts w:hint="eastAsia" w:ascii="宋体" w:hAnsi="宋体" w:cs="宋体"/>
                <w:color w:val="auto"/>
                <w:kern w:val="0"/>
                <w:szCs w:val="21"/>
                <w:highlight w:val="none"/>
              </w:rPr>
            </w:pPr>
          </w:p>
        </w:tc>
        <w:tc>
          <w:tcPr>
            <w:tcW w:w="1134" w:type="dxa"/>
            <w:noWrap w:val="0"/>
            <w:vAlign w:val="center"/>
          </w:tcPr>
          <w:p w14:paraId="0E326845">
            <w:pPr>
              <w:widowControl/>
              <w:jc w:val="center"/>
              <w:rPr>
                <w:rFonts w:hint="eastAsia" w:ascii="宋体" w:hAnsi="宋体" w:cs="宋体"/>
                <w:color w:val="auto"/>
                <w:kern w:val="0"/>
                <w:szCs w:val="21"/>
                <w:highlight w:val="none"/>
              </w:rPr>
            </w:pPr>
          </w:p>
        </w:tc>
        <w:tc>
          <w:tcPr>
            <w:tcW w:w="1984" w:type="dxa"/>
            <w:noWrap w:val="0"/>
            <w:vAlign w:val="center"/>
          </w:tcPr>
          <w:p w14:paraId="7F0CEE3B">
            <w:pPr>
              <w:widowControl/>
              <w:jc w:val="center"/>
              <w:rPr>
                <w:rFonts w:hint="eastAsia" w:ascii="宋体" w:hAnsi="宋体" w:cs="宋体"/>
                <w:color w:val="auto"/>
                <w:kern w:val="0"/>
                <w:szCs w:val="21"/>
                <w:highlight w:val="none"/>
              </w:rPr>
            </w:pPr>
          </w:p>
        </w:tc>
        <w:tc>
          <w:tcPr>
            <w:tcW w:w="2269" w:type="dxa"/>
            <w:noWrap w:val="0"/>
            <w:vAlign w:val="top"/>
          </w:tcPr>
          <w:p w14:paraId="16DE2948">
            <w:pPr>
              <w:widowControl/>
              <w:jc w:val="center"/>
              <w:rPr>
                <w:rFonts w:hint="eastAsia" w:ascii="宋体" w:hAnsi="宋体" w:cs="宋体"/>
                <w:color w:val="auto"/>
                <w:kern w:val="0"/>
                <w:szCs w:val="21"/>
                <w:highlight w:val="none"/>
              </w:rPr>
            </w:pPr>
          </w:p>
        </w:tc>
        <w:tc>
          <w:tcPr>
            <w:tcW w:w="1135" w:type="dxa"/>
            <w:noWrap w:val="0"/>
            <w:vAlign w:val="center"/>
          </w:tcPr>
          <w:p w14:paraId="4D66EF04">
            <w:pPr>
              <w:widowControl/>
              <w:jc w:val="center"/>
              <w:rPr>
                <w:rFonts w:hint="eastAsia" w:ascii="宋体" w:hAnsi="宋体" w:cs="宋体"/>
                <w:color w:val="auto"/>
                <w:kern w:val="0"/>
                <w:szCs w:val="21"/>
                <w:highlight w:val="none"/>
              </w:rPr>
            </w:pPr>
          </w:p>
        </w:tc>
      </w:tr>
      <w:tr w14:paraId="7A213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37293F15">
            <w:pPr>
              <w:widowControl/>
              <w:rPr>
                <w:rFonts w:hint="eastAsia" w:ascii="宋体" w:hAnsi="宋体" w:cs="宋体"/>
                <w:color w:val="auto"/>
                <w:kern w:val="0"/>
                <w:szCs w:val="21"/>
                <w:highlight w:val="none"/>
              </w:rPr>
            </w:pPr>
          </w:p>
        </w:tc>
        <w:tc>
          <w:tcPr>
            <w:tcW w:w="1701" w:type="dxa"/>
            <w:noWrap w:val="0"/>
            <w:vAlign w:val="top"/>
          </w:tcPr>
          <w:p w14:paraId="647C1CCF">
            <w:pPr>
              <w:widowControl/>
              <w:jc w:val="center"/>
              <w:rPr>
                <w:rFonts w:hint="eastAsia" w:ascii="宋体" w:hAnsi="宋体" w:cs="宋体"/>
                <w:color w:val="auto"/>
                <w:kern w:val="0"/>
                <w:szCs w:val="21"/>
                <w:highlight w:val="none"/>
              </w:rPr>
            </w:pPr>
          </w:p>
        </w:tc>
        <w:tc>
          <w:tcPr>
            <w:tcW w:w="1134" w:type="dxa"/>
            <w:noWrap w:val="0"/>
            <w:vAlign w:val="center"/>
          </w:tcPr>
          <w:p w14:paraId="658C8569">
            <w:pPr>
              <w:widowControl/>
              <w:jc w:val="center"/>
              <w:rPr>
                <w:rFonts w:hint="eastAsia" w:ascii="宋体" w:hAnsi="宋体" w:cs="宋体"/>
                <w:color w:val="auto"/>
                <w:kern w:val="0"/>
                <w:szCs w:val="21"/>
                <w:highlight w:val="none"/>
              </w:rPr>
            </w:pPr>
          </w:p>
        </w:tc>
        <w:tc>
          <w:tcPr>
            <w:tcW w:w="1984" w:type="dxa"/>
            <w:noWrap w:val="0"/>
            <w:vAlign w:val="center"/>
          </w:tcPr>
          <w:p w14:paraId="14C3493D">
            <w:pPr>
              <w:widowControl/>
              <w:jc w:val="center"/>
              <w:rPr>
                <w:rFonts w:hint="eastAsia" w:ascii="宋体" w:hAnsi="宋体" w:cs="宋体"/>
                <w:color w:val="auto"/>
                <w:kern w:val="0"/>
                <w:szCs w:val="21"/>
                <w:highlight w:val="none"/>
              </w:rPr>
            </w:pPr>
          </w:p>
        </w:tc>
        <w:tc>
          <w:tcPr>
            <w:tcW w:w="2269" w:type="dxa"/>
            <w:noWrap w:val="0"/>
            <w:vAlign w:val="top"/>
          </w:tcPr>
          <w:p w14:paraId="447D8096">
            <w:pPr>
              <w:widowControl/>
              <w:jc w:val="center"/>
              <w:rPr>
                <w:rFonts w:hint="eastAsia" w:ascii="宋体" w:hAnsi="宋体" w:cs="宋体"/>
                <w:color w:val="auto"/>
                <w:kern w:val="0"/>
                <w:szCs w:val="21"/>
                <w:highlight w:val="none"/>
              </w:rPr>
            </w:pPr>
          </w:p>
        </w:tc>
        <w:tc>
          <w:tcPr>
            <w:tcW w:w="1135" w:type="dxa"/>
            <w:noWrap w:val="0"/>
            <w:vAlign w:val="center"/>
          </w:tcPr>
          <w:p w14:paraId="532DD71B">
            <w:pPr>
              <w:widowControl/>
              <w:jc w:val="center"/>
              <w:rPr>
                <w:rFonts w:hint="eastAsia" w:ascii="宋体" w:hAnsi="宋体" w:cs="宋体"/>
                <w:color w:val="auto"/>
                <w:kern w:val="0"/>
                <w:szCs w:val="21"/>
                <w:highlight w:val="none"/>
              </w:rPr>
            </w:pPr>
          </w:p>
        </w:tc>
      </w:tr>
      <w:tr w14:paraId="54C9C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17A9587C">
            <w:pPr>
              <w:widowControl/>
              <w:rPr>
                <w:rFonts w:hint="eastAsia" w:ascii="宋体" w:hAnsi="宋体" w:cs="宋体"/>
                <w:color w:val="auto"/>
                <w:kern w:val="0"/>
                <w:szCs w:val="21"/>
                <w:highlight w:val="none"/>
              </w:rPr>
            </w:pPr>
          </w:p>
        </w:tc>
        <w:tc>
          <w:tcPr>
            <w:tcW w:w="1701" w:type="dxa"/>
            <w:noWrap w:val="0"/>
            <w:vAlign w:val="top"/>
          </w:tcPr>
          <w:p w14:paraId="4AFAE2F3">
            <w:pPr>
              <w:widowControl/>
              <w:jc w:val="center"/>
              <w:rPr>
                <w:rFonts w:hint="eastAsia" w:ascii="宋体" w:hAnsi="宋体" w:cs="宋体"/>
                <w:color w:val="auto"/>
                <w:kern w:val="0"/>
                <w:szCs w:val="21"/>
                <w:highlight w:val="none"/>
              </w:rPr>
            </w:pPr>
          </w:p>
        </w:tc>
        <w:tc>
          <w:tcPr>
            <w:tcW w:w="1134" w:type="dxa"/>
            <w:noWrap w:val="0"/>
            <w:vAlign w:val="center"/>
          </w:tcPr>
          <w:p w14:paraId="286A2268">
            <w:pPr>
              <w:widowControl/>
              <w:jc w:val="center"/>
              <w:rPr>
                <w:rFonts w:hint="eastAsia" w:ascii="宋体" w:hAnsi="宋体" w:cs="宋体"/>
                <w:color w:val="auto"/>
                <w:kern w:val="0"/>
                <w:szCs w:val="21"/>
                <w:highlight w:val="none"/>
              </w:rPr>
            </w:pPr>
          </w:p>
        </w:tc>
        <w:tc>
          <w:tcPr>
            <w:tcW w:w="1984" w:type="dxa"/>
            <w:noWrap w:val="0"/>
            <w:vAlign w:val="center"/>
          </w:tcPr>
          <w:p w14:paraId="7A16853A">
            <w:pPr>
              <w:widowControl/>
              <w:jc w:val="center"/>
              <w:rPr>
                <w:rFonts w:hint="eastAsia" w:ascii="宋体" w:hAnsi="宋体" w:cs="宋体"/>
                <w:color w:val="auto"/>
                <w:kern w:val="0"/>
                <w:szCs w:val="21"/>
                <w:highlight w:val="none"/>
              </w:rPr>
            </w:pPr>
          </w:p>
        </w:tc>
        <w:tc>
          <w:tcPr>
            <w:tcW w:w="2269" w:type="dxa"/>
            <w:noWrap w:val="0"/>
            <w:vAlign w:val="top"/>
          </w:tcPr>
          <w:p w14:paraId="179FFB02">
            <w:pPr>
              <w:widowControl/>
              <w:jc w:val="center"/>
              <w:rPr>
                <w:rFonts w:hint="eastAsia" w:ascii="宋体" w:hAnsi="宋体" w:cs="宋体"/>
                <w:color w:val="auto"/>
                <w:kern w:val="0"/>
                <w:szCs w:val="21"/>
                <w:highlight w:val="none"/>
              </w:rPr>
            </w:pPr>
          </w:p>
        </w:tc>
        <w:tc>
          <w:tcPr>
            <w:tcW w:w="1135" w:type="dxa"/>
            <w:noWrap w:val="0"/>
            <w:vAlign w:val="center"/>
          </w:tcPr>
          <w:p w14:paraId="292510B9">
            <w:pPr>
              <w:widowControl/>
              <w:jc w:val="center"/>
              <w:rPr>
                <w:rFonts w:hint="eastAsia" w:ascii="宋体" w:hAnsi="宋体" w:cs="宋体"/>
                <w:color w:val="auto"/>
                <w:kern w:val="0"/>
                <w:szCs w:val="21"/>
                <w:highlight w:val="none"/>
              </w:rPr>
            </w:pPr>
          </w:p>
        </w:tc>
      </w:tr>
      <w:tr w14:paraId="35B77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12A88C83">
            <w:pPr>
              <w:widowControl/>
              <w:rPr>
                <w:rFonts w:hint="eastAsia" w:ascii="宋体" w:hAnsi="宋体" w:cs="宋体"/>
                <w:color w:val="auto"/>
                <w:kern w:val="0"/>
                <w:szCs w:val="21"/>
                <w:highlight w:val="none"/>
              </w:rPr>
            </w:pPr>
          </w:p>
        </w:tc>
        <w:tc>
          <w:tcPr>
            <w:tcW w:w="1701" w:type="dxa"/>
            <w:noWrap w:val="0"/>
            <w:vAlign w:val="top"/>
          </w:tcPr>
          <w:p w14:paraId="59C57217">
            <w:pPr>
              <w:widowControl/>
              <w:jc w:val="center"/>
              <w:rPr>
                <w:rFonts w:hint="eastAsia" w:ascii="宋体" w:hAnsi="宋体" w:cs="宋体"/>
                <w:color w:val="auto"/>
                <w:kern w:val="0"/>
                <w:szCs w:val="21"/>
                <w:highlight w:val="none"/>
              </w:rPr>
            </w:pPr>
          </w:p>
        </w:tc>
        <w:tc>
          <w:tcPr>
            <w:tcW w:w="1134" w:type="dxa"/>
            <w:noWrap w:val="0"/>
            <w:vAlign w:val="center"/>
          </w:tcPr>
          <w:p w14:paraId="008310B5">
            <w:pPr>
              <w:widowControl/>
              <w:jc w:val="center"/>
              <w:rPr>
                <w:rFonts w:hint="eastAsia" w:ascii="宋体" w:hAnsi="宋体" w:cs="宋体"/>
                <w:color w:val="auto"/>
                <w:kern w:val="0"/>
                <w:szCs w:val="21"/>
                <w:highlight w:val="none"/>
              </w:rPr>
            </w:pPr>
          </w:p>
        </w:tc>
        <w:tc>
          <w:tcPr>
            <w:tcW w:w="1984" w:type="dxa"/>
            <w:noWrap w:val="0"/>
            <w:vAlign w:val="center"/>
          </w:tcPr>
          <w:p w14:paraId="2EEA8815">
            <w:pPr>
              <w:widowControl/>
              <w:jc w:val="center"/>
              <w:rPr>
                <w:rFonts w:hint="eastAsia" w:ascii="宋体" w:hAnsi="宋体" w:cs="宋体"/>
                <w:color w:val="auto"/>
                <w:kern w:val="0"/>
                <w:szCs w:val="21"/>
                <w:highlight w:val="none"/>
              </w:rPr>
            </w:pPr>
          </w:p>
        </w:tc>
        <w:tc>
          <w:tcPr>
            <w:tcW w:w="2269" w:type="dxa"/>
            <w:noWrap w:val="0"/>
            <w:vAlign w:val="top"/>
          </w:tcPr>
          <w:p w14:paraId="65456BCA">
            <w:pPr>
              <w:widowControl/>
              <w:jc w:val="center"/>
              <w:rPr>
                <w:rFonts w:hint="eastAsia" w:ascii="宋体" w:hAnsi="宋体" w:cs="宋体"/>
                <w:color w:val="auto"/>
                <w:kern w:val="0"/>
                <w:szCs w:val="21"/>
                <w:highlight w:val="none"/>
              </w:rPr>
            </w:pPr>
          </w:p>
        </w:tc>
        <w:tc>
          <w:tcPr>
            <w:tcW w:w="1135" w:type="dxa"/>
            <w:noWrap w:val="0"/>
            <w:vAlign w:val="center"/>
          </w:tcPr>
          <w:p w14:paraId="462F6A07">
            <w:pPr>
              <w:widowControl/>
              <w:jc w:val="center"/>
              <w:rPr>
                <w:rFonts w:hint="eastAsia" w:ascii="宋体" w:hAnsi="宋体" w:cs="宋体"/>
                <w:color w:val="auto"/>
                <w:kern w:val="0"/>
                <w:szCs w:val="21"/>
                <w:highlight w:val="none"/>
              </w:rPr>
            </w:pPr>
          </w:p>
        </w:tc>
      </w:tr>
      <w:tr w14:paraId="2E8D7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25694A0B">
            <w:pPr>
              <w:widowControl/>
              <w:rPr>
                <w:rFonts w:hint="eastAsia" w:ascii="宋体" w:hAnsi="宋体" w:cs="宋体"/>
                <w:color w:val="auto"/>
                <w:kern w:val="0"/>
                <w:szCs w:val="21"/>
                <w:highlight w:val="none"/>
              </w:rPr>
            </w:pPr>
          </w:p>
        </w:tc>
        <w:tc>
          <w:tcPr>
            <w:tcW w:w="1701" w:type="dxa"/>
            <w:noWrap w:val="0"/>
            <w:vAlign w:val="top"/>
          </w:tcPr>
          <w:p w14:paraId="6083C3B4">
            <w:pPr>
              <w:widowControl/>
              <w:jc w:val="center"/>
              <w:rPr>
                <w:rFonts w:hint="eastAsia" w:ascii="宋体" w:hAnsi="宋体" w:cs="宋体"/>
                <w:color w:val="auto"/>
                <w:kern w:val="0"/>
                <w:szCs w:val="21"/>
                <w:highlight w:val="none"/>
              </w:rPr>
            </w:pPr>
          </w:p>
        </w:tc>
        <w:tc>
          <w:tcPr>
            <w:tcW w:w="1134" w:type="dxa"/>
            <w:noWrap w:val="0"/>
            <w:vAlign w:val="center"/>
          </w:tcPr>
          <w:p w14:paraId="38D28960">
            <w:pPr>
              <w:widowControl/>
              <w:jc w:val="center"/>
              <w:rPr>
                <w:rFonts w:hint="eastAsia" w:ascii="宋体" w:hAnsi="宋体" w:cs="宋体"/>
                <w:color w:val="auto"/>
                <w:kern w:val="0"/>
                <w:szCs w:val="21"/>
                <w:highlight w:val="none"/>
              </w:rPr>
            </w:pPr>
          </w:p>
        </w:tc>
        <w:tc>
          <w:tcPr>
            <w:tcW w:w="1984" w:type="dxa"/>
            <w:noWrap w:val="0"/>
            <w:vAlign w:val="center"/>
          </w:tcPr>
          <w:p w14:paraId="580E03EA">
            <w:pPr>
              <w:widowControl/>
              <w:jc w:val="center"/>
              <w:rPr>
                <w:rFonts w:hint="eastAsia" w:ascii="宋体" w:hAnsi="宋体" w:cs="宋体"/>
                <w:color w:val="auto"/>
                <w:kern w:val="0"/>
                <w:szCs w:val="21"/>
                <w:highlight w:val="none"/>
              </w:rPr>
            </w:pPr>
          </w:p>
        </w:tc>
        <w:tc>
          <w:tcPr>
            <w:tcW w:w="2269" w:type="dxa"/>
            <w:noWrap w:val="0"/>
            <w:vAlign w:val="top"/>
          </w:tcPr>
          <w:p w14:paraId="53A3C158">
            <w:pPr>
              <w:widowControl/>
              <w:jc w:val="center"/>
              <w:rPr>
                <w:rFonts w:hint="eastAsia" w:ascii="宋体" w:hAnsi="宋体" w:cs="宋体"/>
                <w:color w:val="auto"/>
                <w:kern w:val="0"/>
                <w:szCs w:val="21"/>
                <w:highlight w:val="none"/>
              </w:rPr>
            </w:pPr>
          </w:p>
        </w:tc>
        <w:tc>
          <w:tcPr>
            <w:tcW w:w="1135" w:type="dxa"/>
            <w:noWrap w:val="0"/>
            <w:vAlign w:val="center"/>
          </w:tcPr>
          <w:p w14:paraId="54D9CE52">
            <w:pPr>
              <w:widowControl/>
              <w:jc w:val="center"/>
              <w:rPr>
                <w:rFonts w:hint="eastAsia" w:ascii="宋体" w:hAnsi="宋体" w:cs="宋体"/>
                <w:color w:val="auto"/>
                <w:kern w:val="0"/>
                <w:szCs w:val="21"/>
                <w:highlight w:val="none"/>
              </w:rPr>
            </w:pPr>
          </w:p>
        </w:tc>
      </w:tr>
      <w:tr w14:paraId="2448A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40088EA4">
            <w:pPr>
              <w:widowControl/>
              <w:rPr>
                <w:rFonts w:hint="eastAsia" w:ascii="宋体" w:hAnsi="宋体" w:cs="宋体"/>
                <w:color w:val="auto"/>
                <w:kern w:val="0"/>
                <w:szCs w:val="21"/>
                <w:highlight w:val="none"/>
              </w:rPr>
            </w:pPr>
          </w:p>
        </w:tc>
        <w:tc>
          <w:tcPr>
            <w:tcW w:w="1701" w:type="dxa"/>
            <w:noWrap w:val="0"/>
            <w:vAlign w:val="top"/>
          </w:tcPr>
          <w:p w14:paraId="761DF2F3">
            <w:pPr>
              <w:widowControl/>
              <w:jc w:val="center"/>
              <w:rPr>
                <w:rFonts w:hint="eastAsia" w:ascii="宋体" w:hAnsi="宋体" w:cs="宋体"/>
                <w:color w:val="auto"/>
                <w:kern w:val="0"/>
                <w:szCs w:val="21"/>
                <w:highlight w:val="none"/>
              </w:rPr>
            </w:pPr>
          </w:p>
        </w:tc>
        <w:tc>
          <w:tcPr>
            <w:tcW w:w="1134" w:type="dxa"/>
            <w:noWrap w:val="0"/>
            <w:vAlign w:val="center"/>
          </w:tcPr>
          <w:p w14:paraId="55A29CE8">
            <w:pPr>
              <w:widowControl/>
              <w:jc w:val="center"/>
              <w:rPr>
                <w:rFonts w:hint="eastAsia" w:ascii="宋体" w:hAnsi="宋体" w:cs="宋体"/>
                <w:color w:val="auto"/>
                <w:kern w:val="0"/>
                <w:szCs w:val="21"/>
                <w:highlight w:val="none"/>
              </w:rPr>
            </w:pPr>
          </w:p>
        </w:tc>
        <w:tc>
          <w:tcPr>
            <w:tcW w:w="1984" w:type="dxa"/>
            <w:noWrap w:val="0"/>
            <w:vAlign w:val="center"/>
          </w:tcPr>
          <w:p w14:paraId="47A676BF">
            <w:pPr>
              <w:widowControl/>
              <w:jc w:val="center"/>
              <w:rPr>
                <w:rFonts w:hint="eastAsia" w:ascii="宋体" w:hAnsi="宋体" w:cs="宋体"/>
                <w:color w:val="auto"/>
                <w:kern w:val="0"/>
                <w:szCs w:val="21"/>
                <w:highlight w:val="none"/>
              </w:rPr>
            </w:pPr>
          </w:p>
        </w:tc>
        <w:tc>
          <w:tcPr>
            <w:tcW w:w="2269" w:type="dxa"/>
            <w:noWrap w:val="0"/>
            <w:vAlign w:val="top"/>
          </w:tcPr>
          <w:p w14:paraId="401B8DAA">
            <w:pPr>
              <w:widowControl/>
              <w:jc w:val="center"/>
              <w:rPr>
                <w:rFonts w:hint="eastAsia" w:ascii="宋体" w:hAnsi="宋体" w:cs="宋体"/>
                <w:color w:val="auto"/>
                <w:kern w:val="0"/>
                <w:szCs w:val="21"/>
                <w:highlight w:val="none"/>
              </w:rPr>
            </w:pPr>
          </w:p>
        </w:tc>
        <w:tc>
          <w:tcPr>
            <w:tcW w:w="1135" w:type="dxa"/>
            <w:noWrap w:val="0"/>
            <w:vAlign w:val="center"/>
          </w:tcPr>
          <w:p w14:paraId="7259B8AC">
            <w:pPr>
              <w:widowControl/>
              <w:jc w:val="center"/>
              <w:rPr>
                <w:rFonts w:hint="eastAsia" w:ascii="宋体" w:hAnsi="宋体" w:cs="宋体"/>
                <w:color w:val="auto"/>
                <w:kern w:val="0"/>
                <w:szCs w:val="21"/>
                <w:highlight w:val="none"/>
              </w:rPr>
            </w:pPr>
          </w:p>
        </w:tc>
      </w:tr>
    </w:tbl>
    <w:p w14:paraId="0FE2CE6A">
      <w:pPr>
        <w:widowControl/>
        <w:jc w:val="left"/>
        <w:rPr>
          <w:rFonts w:hint="eastAsia" w:ascii="宋体" w:hAnsi="宋体" w:cs="宋体"/>
          <w:color w:val="auto"/>
          <w:sz w:val="24"/>
          <w:highlight w:val="none"/>
        </w:rPr>
      </w:pPr>
      <w:r>
        <w:rPr>
          <w:rFonts w:hint="eastAsia" w:ascii="宋体" w:hAnsi="宋体" w:cs="宋体"/>
          <w:color w:val="auto"/>
          <w:sz w:val="24"/>
          <w:highlight w:val="none"/>
        </w:rPr>
        <w:t>注：投标人应将投标产品拆分为相关主要部件分别描述。</w:t>
      </w:r>
    </w:p>
    <w:p w14:paraId="6BBC7AFD">
      <w:pPr>
        <w:widowControl/>
        <w:jc w:val="left"/>
        <w:rPr>
          <w:rFonts w:hint="eastAsia" w:ascii="宋体" w:hAnsi="宋体" w:cs="宋体"/>
          <w:color w:val="auto"/>
          <w:sz w:val="24"/>
          <w:highlight w:val="none"/>
        </w:rPr>
      </w:pPr>
    </w:p>
    <w:p w14:paraId="4A461400">
      <w:pPr>
        <w:pStyle w:val="5"/>
        <w:keepNext w:val="0"/>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eastAsia="zh-CN"/>
        </w:rPr>
        <w:t>2.货物（服务）说明（按此格式或者投标人自定格式）</w:t>
      </w:r>
    </w:p>
    <w:tbl>
      <w:tblPr>
        <w:tblStyle w:val="17"/>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09"/>
        <w:gridCol w:w="5930"/>
      </w:tblGrid>
      <w:tr w14:paraId="60F46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3109" w:type="dxa"/>
            <w:noWrap w:val="0"/>
            <w:vAlign w:val="center"/>
          </w:tcPr>
          <w:p w14:paraId="1D33BF0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货物名称</w:t>
            </w:r>
          </w:p>
        </w:tc>
        <w:tc>
          <w:tcPr>
            <w:tcW w:w="5930" w:type="dxa"/>
            <w:noWrap w:val="0"/>
            <w:vAlign w:val="center"/>
          </w:tcPr>
          <w:p w14:paraId="522FFEEB">
            <w:pPr>
              <w:widowControl/>
              <w:jc w:val="center"/>
              <w:rPr>
                <w:rFonts w:hint="eastAsia" w:ascii="宋体" w:hAnsi="宋体" w:cs="宋体"/>
                <w:b/>
                <w:bCs/>
                <w:color w:val="auto"/>
                <w:kern w:val="0"/>
                <w:szCs w:val="21"/>
                <w:highlight w:val="none"/>
              </w:rPr>
            </w:pPr>
          </w:p>
        </w:tc>
      </w:tr>
      <w:tr w14:paraId="1D1EB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9039" w:type="dxa"/>
            <w:gridSpan w:val="2"/>
            <w:noWrap w:val="0"/>
            <w:vAlign w:val="center"/>
          </w:tcPr>
          <w:p w14:paraId="572A8E73">
            <w:pPr>
              <w:widowControl/>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供货范围</w:t>
            </w:r>
          </w:p>
        </w:tc>
      </w:tr>
      <w:tr w14:paraId="6ECEA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9039" w:type="dxa"/>
            <w:gridSpan w:val="2"/>
            <w:noWrap w:val="0"/>
            <w:vAlign w:val="center"/>
          </w:tcPr>
          <w:p w14:paraId="58F25F3F">
            <w:pPr>
              <w:widowControl/>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工艺、参数等货物（服务）详细说明</w:t>
            </w:r>
          </w:p>
        </w:tc>
      </w:tr>
    </w:tbl>
    <w:p w14:paraId="4412B9B8">
      <w:pPr>
        <w:widowControl/>
        <w:jc w:val="left"/>
        <w:rPr>
          <w:rFonts w:hint="eastAsia" w:ascii="宋体" w:hAnsi="宋体" w:cs="宋体"/>
          <w:color w:val="auto"/>
          <w:sz w:val="24"/>
          <w:highlight w:val="none"/>
        </w:rPr>
      </w:pPr>
    </w:p>
    <w:p w14:paraId="2822CEB3">
      <w:pPr>
        <w:rPr>
          <w:rFonts w:hint="eastAsia" w:ascii="宋体" w:hAnsi="宋体" w:cs="宋体"/>
          <w:color w:val="auto"/>
          <w:sz w:val="24"/>
          <w:highlight w:val="none"/>
          <w:lang w:bidi="en-US"/>
        </w:rPr>
      </w:pPr>
    </w:p>
    <w:p w14:paraId="4B2E6D2A">
      <w:pPr>
        <w:pStyle w:val="5"/>
        <w:keepNext w:val="0"/>
        <w:pageBreakBefore w:val="0"/>
        <w:tabs>
          <w:tab w:val="left" w:pos="1260"/>
        </w:tabs>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sz w:val="24"/>
          <w:highlight w:val="none"/>
        </w:rPr>
      </w:pPr>
      <w:r>
        <w:rPr>
          <w:rFonts w:hint="eastAsia" w:ascii="宋体" w:hAnsi="宋体" w:cs="宋体"/>
          <w:iCs w:val="0"/>
          <w:color w:val="auto"/>
          <w:sz w:val="24"/>
          <w:highlight w:val="none"/>
          <w:lang w:val="en-US" w:eastAsia="zh-CN"/>
        </w:rPr>
        <w:t>3</w:t>
      </w:r>
      <w:r>
        <w:rPr>
          <w:rFonts w:hint="eastAsia" w:ascii="宋体" w:hAnsi="宋体" w:cs="宋体"/>
          <w:iCs w:val="0"/>
          <w:color w:val="auto"/>
          <w:sz w:val="24"/>
          <w:highlight w:val="none"/>
          <w:lang w:eastAsia="zh-CN"/>
        </w:rPr>
        <w:t>.</w:t>
      </w:r>
      <w:r>
        <w:rPr>
          <w:rFonts w:hint="eastAsia" w:ascii="宋体" w:hAnsi="宋体" w:cs="宋体"/>
          <w:b/>
          <w:bCs/>
          <w:color w:val="auto"/>
          <w:sz w:val="24"/>
          <w:highlight w:val="none"/>
        </w:rPr>
        <w:t>供货方案</w:t>
      </w:r>
    </w:p>
    <w:p w14:paraId="476ECF29">
      <w:pPr>
        <w:jc w:val="both"/>
        <w:rPr>
          <w:rFonts w:hint="eastAsia" w:ascii="宋体" w:hAnsi="宋体" w:cs="宋体"/>
          <w:b/>
          <w:bCs/>
          <w:iCs w:val="0"/>
          <w:color w:val="auto"/>
          <w:sz w:val="24"/>
          <w:highlight w:val="none"/>
          <w:lang w:val="en-US" w:eastAsia="zh-CN"/>
        </w:rPr>
      </w:pPr>
    </w:p>
    <w:p w14:paraId="72900156">
      <w:pPr>
        <w:jc w:val="center"/>
        <w:rPr>
          <w:rFonts w:hint="eastAsia" w:ascii="宋体" w:hAnsi="宋体" w:cs="宋体"/>
          <w:color w:val="auto"/>
          <w:sz w:val="24"/>
          <w:highlight w:val="none"/>
          <w:lang w:bidi="en-US"/>
        </w:rPr>
      </w:pPr>
      <w:r>
        <w:rPr>
          <w:rFonts w:hint="eastAsia" w:ascii="宋体" w:hAnsi="宋体" w:cs="宋体"/>
          <w:b/>
          <w:bCs/>
          <w:iCs w:val="0"/>
          <w:color w:val="auto"/>
          <w:sz w:val="24"/>
          <w:highlight w:val="none"/>
          <w:lang w:val="en-US" w:eastAsia="zh-CN"/>
        </w:rPr>
        <w:t>4</w:t>
      </w:r>
      <w:r>
        <w:rPr>
          <w:rFonts w:hint="eastAsia" w:ascii="宋体" w:hAnsi="宋体" w:cs="宋体"/>
          <w:b/>
          <w:bCs/>
          <w:iCs w:val="0"/>
          <w:color w:val="auto"/>
          <w:sz w:val="24"/>
          <w:highlight w:val="none"/>
          <w:lang w:eastAsia="zh-CN"/>
        </w:rPr>
        <w:t>.</w:t>
      </w:r>
      <w:r>
        <w:rPr>
          <w:rFonts w:hint="eastAsia" w:ascii="宋体" w:hAnsi="宋体" w:cs="宋体"/>
          <w:b/>
          <w:bCs/>
          <w:color w:val="auto"/>
          <w:sz w:val="24"/>
          <w:highlight w:val="none"/>
        </w:rPr>
        <w:t>安装</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调试实施方案</w:t>
      </w:r>
    </w:p>
    <w:p w14:paraId="05F6038F">
      <w:pPr>
        <w:rPr>
          <w:rFonts w:hint="eastAsia" w:ascii="宋体" w:hAnsi="宋体" w:cs="宋体"/>
          <w:color w:val="auto"/>
          <w:sz w:val="24"/>
          <w:highlight w:val="none"/>
          <w:lang w:bidi="en-US"/>
        </w:rPr>
      </w:pPr>
    </w:p>
    <w:p w14:paraId="1B4297F8">
      <w:pPr>
        <w:pStyle w:val="5"/>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val="en-US" w:eastAsia="zh-CN"/>
        </w:rPr>
        <w:t>5</w:t>
      </w:r>
      <w:r>
        <w:rPr>
          <w:rFonts w:hint="eastAsia" w:ascii="宋体" w:hAnsi="宋体" w:cs="宋体"/>
          <w:iCs w:val="0"/>
          <w:color w:val="auto"/>
          <w:sz w:val="24"/>
          <w:highlight w:val="none"/>
          <w:lang w:eastAsia="zh-CN"/>
        </w:rPr>
        <w:t>.</w:t>
      </w:r>
      <w:r>
        <w:rPr>
          <w:rFonts w:hint="eastAsia" w:ascii="宋体" w:hAnsi="宋体" w:cs="宋体"/>
          <w:b/>
          <w:bCs/>
          <w:color w:val="auto"/>
          <w:sz w:val="24"/>
          <w:highlight w:val="none"/>
          <w:lang w:val="en-US" w:eastAsia="zh-CN"/>
        </w:rPr>
        <w:t>技术</w:t>
      </w:r>
      <w:r>
        <w:rPr>
          <w:rFonts w:hint="eastAsia" w:ascii="宋体" w:hAnsi="宋体" w:cs="宋体"/>
          <w:b/>
          <w:bCs/>
          <w:color w:val="auto"/>
          <w:sz w:val="24"/>
          <w:highlight w:val="none"/>
        </w:rPr>
        <w:t>培训方案</w:t>
      </w:r>
    </w:p>
    <w:p w14:paraId="676D3906">
      <w:pPr>
        <w:rPr>
          <w:rFonts w:hint="eastAsia" w:ascii="宋体" w:hAnsi="宋体" w:cs="宋体"/>
          <w:color w:val="auto"/>
          <w:sz w:val="24"/>
          <w:highlight w:val="none"/>
          <w:lang w:bidi="en-US"/>
        </w:rPr>
      </w:pPr>
    </w:p>
    <w:p w14:paraId="47DA3772">
      <w:pPr>
        <w:numPr>
          <w:ilvl w:val="0"/>
          <w:numId w:val="0"/>
        </w:numPr>
        <w:jc w:val="cente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应急服务方案</w:t>
      </w:r>
    </w:p>
    <w:p w14:paraId="5003B13D">
      <w:pPr>
        <w:numPr>
          <w:ilvl w:val="0"/>
          <w:numId w:val="0"/>
        </w:numPr>
        <w:jc w:val="center"/>
        <w:rPr>
          <w:rFonts w:hint="eastAsia" w:ascii="宋体" w:hAnsi="宋体" w:cs="宋体"/>
          <w:b/>
          <w:bCs/>
          <w:color w:val="auto"/>
          <w:kern w:val="2"/>
          <w:sz w:val="24"/>
          <w:szCs w:val="24"/>
          <w:highlight w:val="none"/>
          <w:lang w:val="en-US" w:eastAsia="zh-CN" w:bidi="ar-SA"/>
        </w:rPr>
      </w:pPr>
    </w:p>
    <w:p w14:paraId="292DABC3">
      <w:pPr>
        <w:numPr>
          <w:ilvl w:val="0"/>
          <w:numId w:val="0"/>
        </w:numPr>
        <w:jc w:val="center"/>
        <w:rPr>
          <w:rFonts w:hint="eastAsia" w:ascii="宋体" w:hAnsi="宋体" w:cs="宋体"/>
          <w:b/>
          <w:bCs/>
          <w:color w:val="auto"/>
          <w:sz w:val="24"/>
          <w:highlight w:val="none"/>
          <w:lang w:val="en-US" w:eastAsia="zh-CN"/>
        </w:rPr>
      </w:pPr>
      <w:r>
        <w:rPr>
          <w:rFonts w:hint="eastAsia" w:ascii="宋体" w:hAnsi="宋体" w:cs="宋体"/>
          <w:b/>
          <w:bCs/>
          <w:color w:val="auto"/>
          <w:kern w:val="2"/>
          <w:sz w:val="24"/>
          <w:szCs w:val="24"/>
          <w:highlight w:val="none"/>
          <w:lang w:val="en-US" w:eastAsia="zh-CN" w:bidi="ar-SA"/>
        </w:rPr>
        <w:t>7</w:t>
      </w: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sz w:val="24"/>
          <w:highlight w:val="none"/>
        </w:rPr>
        <w:t>售后服务</w:t>
      </w:r>
      <w:r>
        <w:rPr>
          <w:rFonts w:hint="eastAsia" w:ascii="宋体" w:hAnsi="宋体" w:cs="宋体"/>
          <w:b/>
          <w:bCs/>
          <w:color w:val="auto"/>
          <w:sz w:val="24"/>
          <w:highlight w:val="none"/>
          <w:lang w:val="en-US" w:eastAsia="zh-CN"/>
        </w:rPr>
        <w:t>方案</w:t>
      </w:r>
    </w:p>
    <w:p w14:paraId="21181F01">
      <w:pPr>
        <w:numPr>
          <w:ilvl w:val="0"/>
          <w:numId w:val="0"/>
        </w:numPr>
        <w:jc w:val="center"/>
        <w:rPr>
          <w:rFonts w:hint="eastAsia" w:ascii="宋体" w:hAnsi="宋体" w:cs="宋体"/>
          <w:b/>
          <w:bCs/>
          <w:color w:val="auto"/>
          <w:sz w:val="24"/>
          <w:highlight w:val="none"/>
          <w:lang w:val="en-US" w:eastAsia="zh-CN"/>
        </w:rPr>
      </w:pPr>
    </w:p>
    <w:p w14:paraId="4E7AADE0">
      <w:pPr>
        <w:pStyle w:val="5"/>
        <w:tabs>
          <w:tab w:val="left" w:pos="1260"/>
        </w:tabs>
        <w:jc w:val="center"/>
        <w:rPr>
          <w:rFonts w:hint="eastAsia" w:ascii="宋体" w:hAnsi="宋体" w:cs="宋体"/>
          <w:iCs w:val="0"/>
          <w:color w:val="auto"/>
          <w:sz w:val="24"/>
          <w:highlight w:val="none"/>
          <w:lang w:eastAsia="zh-CN"/>
        </w:rPr>
      </w:pPr>
      <w:r>
        <w:rPr>
          <w:rFonts w:hint="eastAsia" w:ascii="宋体" w:hAnsi="宋体" w:cs="宋体"/>
          <w:iCs w:val="0"/>
          <w:color w:val="auto"/>
          <w:sz w:val="24"/>
          <w:highlight w:val="none"/>
          <w:lang w:val="en-US" w:eastAsia="zh-CN"/>
        </w:rPr>
        <w:t>8</w:t>
      </w:r>
      <w:r>
        <w:rPr>
          <w:rFonts w:hint="eastAsia" w:ascii="宋体" w:hAnsi="宋体" w:cs="宋体"/>
          <w:iCs w:val="0"/>
          <w:color w:val="auto"/>
          <w:sz w:val="24"/>
          <w:highlight w:val="none"/>
          <w:lang w:eastAsia="zh-CN"/>
        </w:rPr>
        <w:t>.所投货物（服务）的技术资料或检测报告等</w:t>
      </w:r>
    </w:p>
    <w:p w14:paraId="33BAC41F">
      <w:pPr>
        <w:spacing w:line="360" w:lineRule="auto"/>
        <w:jc w:val="center"/>
        <w:outlineLvl w:val="2"/>
        <w:rPr>
          <w:rFonts w:hint="eastAsia" w:ascii="宋体" w:hAnsi="宋体" w:cs="宋体"/>
          <w:b/>
          <w:bCs/>
          <w:color w:val="auto"/>
          <w:kern w:val="0"/>
          <w:sz w:val="24"/>
          <w:highlight w:val="none"/>
          <w:lang w:bidi="en-US"/>
        </w:rPr>
      </w:pPr>
      <w:r>
        <w:rPr>
          <w:rFonts w:hint="eastAsia" w:ascii="宋体" w:hAnsi="宋体" w:cs="宋体"/>
          <w:b/>
          <w:bCs/>
          <w:color w:val="auto"/>
          <w:kern w:val="0"/>
          <w:sz w:val="24"/>
          <w:highlight w:val="none"/>
          <w:lang w:bidi="en-US"/>
        </w:rPr>
        <w:br w:type="page"/>
      </w:r>
      <w:r>
        <w:rPr>
          <w:rFonts w:hint="eastAsia" w:ascii="宋体" w:hAnsi="宋体" w:cs="宋体"/>
          <w:b/>
          <w:bCs/>
          <w:color w:val="auto"/>
          <w:kern w:val="0"/>
          <w:sz w:val="24"/>
          <w:highlight w:val="none"/>
          <w:lang w:bidi="en-US"/>
        </w:rPr>
        <w:t>（四）用于评标的业绩证明材料</w:t>
      </w:r>
    </w:p>
    <w:p w14:paraId="36CD33AA">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1.业绩承诺函</w:t>
      </w:r>
    </w:p>
    <w:p w14:paraId="0C1DDED3">
      <w:pPr>
        <w:pStyle w:val="11"/>
        <w:spacing w:line="360" w:lineRule="auto"/>
        <w:rPr>
          <w:rFonts w:hint="eastAsia" w:hAnsi="宋体" w:cs="宋体"/>
          <w:b/>
          <w:color w:val="auto"/>
          <w:sz w:val="21"/>
          <w:highlight w:val="none"/>
          <w:u w:val="single"/>
        </w:rPr>
      </w:pPr>
      <w:r>
        <w:rPr>
          <w:rFonts w:hint="eastAsia" w:hAnsi="宋体" w:cs="宋体"/>
          <w:color w:val="auto"/>
          <w:sz w:val="21"/>
          <w:highlight w:val="none"/>
        </w:rPr>
        <w:t>致：【采购人名称】</w:t>
      </w:r>
    </w:p>
    <w:p w14:paraId="36BDD964">
      <w:pPr>
        <w:spacing w:line="360" w:lineRule="auto"/>
        <w:ind w:firstLine="435"/>
        <w:rPr>
          <w:rFonts w:hint="eastAsia" w:ascii="宋体" w:hAnsi="宋体" w:cs="宋体"/>
          <w:color w:val="auto"/>
          <w:highlight w:val="none"/>
        </w:rPr>
      </w:pPr>
      <w:r>
        <w:rPr>
          <w:rFonts w:hint="eastAsia" w:ascii="宋体" w:hAnsi="宋体" w:cs="宋体"/>
          <w:color w:val="auto"/>
          <w:highlight w:val="none"/>
        </w:rPr>
        <w:t>我方承诺：投标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布。</w:t>
      </w:r>
    </w:p>
    <w:p w14:paraId="79AFA433">
      <w:pPr>
        <w:spacing w:line="360" w:lineRule="auto"/>
        <w:ind w:firstLine="3700" w:firstLineChars="1762"/>
        <w:rPr>
          <w:rFonts w:hint="eastAsia"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6D864EC7">
      <w:pPr>
        <w:tabs>
          <w:tab w:val="left" w:pos="630"/>
        </w:tabs>
        <w:spacing w:line="360" w:lineRule="auto"/>
        <w:ind w:firstLine="3700" w:firstLineChars="1762"/>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38D4CBDD">
      <w:pPr>
        <w:jc w:val="center"/>
        <w:rPr>
          <w:rFonts w:hint="eastAsia" w:ascii="宋体" w:hAnsi="宋体" w:cs="宋体"/>
          <w:color w:val="auto"/>
          <w:sz w:val="28"/>
          <w:highlight w:val="none"/>
        </w:rPr>
      </w:pPr>
    </w:p>
    <w:p w14:paraId="29B95A32">
      <w:pPr>
        <w:jc w:val="center"/>
        <w:rPr>
          <w:rFonts w:hint="eastAsia" w:ascii="宋体" w:hAnsi="宋体" w:cs="宋体"/>
          <w:color w:val="auto"/>
          <w:sz w:val="28"/>
          <w:highlight w:val="none"/>
        </w:rPr>
      </w:pPr>
      <w:r>
        <w:rPr>
          <w:rFonts w:hint="eastAsia" w:ascii="宋体" w:hAnsi="宋体" w:cs="宋体"/>
          <w:b/>
          <w:bCs/>
          <w:color w:val="auto"/>
          <w:sz w:val="24"/>
          <w:highlight w:val="none"/>
        </w:rPr>
        <w:t>2.业绩汇总表</w:t>
      </w:r>
    </w:p>
    <w:tbl>
      <w:tblPr>
        <w:tblStyle w:val="17"/>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466"/>
        <w:gridCol w:w="1845"/>
        <w:gridCol w:w="1247"/>
        <w:gridCol w:w="1865"/>
        <w:gridCol w:w="1535"/>
        <w:gridCol w:w="926"/>
      </w:tblGrid>
      <w:tr w14:paraId="409F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19AA4CD4">
            <w:pPr>
              <w:jc w:val="center"/>
              <w:rPr>
                <w:rFonts w:hint="eastAsia" w:ascii="宋体" w:hAnsi="宋体" w:cs="宋体"/>
                <w:b/>
                <w:color w:val="auto"/>
                <w:highlight w:val="none"/>
              </w:rPr>
            </w:pPr>
            <w:r>
              <w:rPr>
                <w:rFonts w:hint="eastAsia" w:ascii="宋体" w:hAnsi="宋体" w:cs="宋体"/>
                <w:b/>
                <w:color w:val="auto"/>
                <w:highlight w:val="none"/>
              </w:rPr>
              <w:t>序号</w:t>
            </w:r>
          </w:p>
        </w:tc>
        <w:tc>
          <w:tcPr>
            <w:tcW w:w="757" w:type="pct"/>
            <w:noWrap w:val="0"/>
            <w:vAlign w:val="center"/>
          </w:tcPr>
          <w:p w14:paraId="4E9004D3">
            <w:pPr>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953" w:type="pct"/>
            <w:noWrap w:val="0"/>
            <w:vAlign w:val="center"/>
          </w:tcPr>
          <w:p w14:paraId="238B2C41">
            <w:pPr>
              <w:widowControl/>
              <w:jc w:val="center"/>
              <w:rPr>
                <w:rFonts w:hint="eastAsia" w:ascii="宋体" w:hAnsi="宋体" w:cs="宋体"/>
                <w:b/>
                <w:color w:val="auto"/>
                <w:highlight w:val="none"/>
              </w:rPr>
            </w:pPr>
            <w:r>
              <w:rPr>
                <w:rFonts w:hint="eastAsia" w:ascii="宋体" w:hAnsi="宋体" w:cs="宋体"/>
                <w:b/>
                <w:color w:val="auto"/>
                <w:highlight w:val="none"/>
              </w:rPr>
              <w:t>合同主要内容</w:t>
            </w:r>
          </w:p>
        </w:tc>
        <w:tc>
          <w:tcPr>
            <w:tcW w:w="644" w:type="pct"/>
            <w:noWrap w:val="0"/>
            <w:vAlign w:val="center"/>
          </w:tcPr>
          <w:p w14:paraId="3E35DEAA">
            <w:pPr>
              <w:jc w:val="center"/>
              <w:rPr>
                <w:rFonts w:hint="eastAsia" w:ascii="宋体" w:hAnsi="宋体" w:cs="宋体"/>
                <w:b/>
                <w:color w:val="auto"/>
                <w:highlight w:val="none"/>
              </w:rPr>
            </w:pPr>
            <w:r>
              <w:rPr>
                <w:rFonts w:hint="eastAsia" w:ascii="宋体" w:hAnsi="宋体" w:cs="宋体"/>
                <w:b/>
                <w:color w:val="auto"/>
                <w:highlight w:val="none"/>
              </w:rPr>
              <w:t>签约合同价金额</w:t>
            </w:r>
          </w:p>
        </w:tc>
        <w:tc>
          <w:tcPr>
            <w:tcW w:w="963" w:type="pct"/>
            <w:noWrap w:val="0"/>
            <w:vAlign w:val="center"/>
          </w:tcPr>
          <w:p w14:paraId="0B3A8F6D">
            <w:pPr>
              <w:jc w:val="center"/>
              <w:rPr>
                <w:rFonts w:hint="eastAsia" w:ascii="宋体" w:hAnsi="宋体" w:cs="宋体"/>
                <w:b/>
                <w:color w:val="auto"/>
                <w:highlight w:val="none"/>
              </w:rPr>
            </w:pPr>
            <w:r>
              <w:rPr>
                <w:rFonts w:hint="eastAsia" w:ascii="宋体" w:hAnsi="宋体" w:cs="宋体"/>
                <w:b/>
                <w:color w:val="auto"/>
                <w:highlight w:val="none"/>
              </w:rPr>
              <w:t>业主单位</w:t>
            </w:r>
          </w:p>
          <w:p w14:paraId="18374E15">
            <w:pPr>
              <w:jc w:val="center"/>
              <w:rPr>
                <w:rFonts w:hint="eastAsia" w:ascii="宋体" w:hAnsi="宋体" w:cs="宋体"/>
                <w:b/>
                <w:color w:val="auto"/>
                <w:highlight w:val="none"/>
              </w:rPr>
            </w:pPr>
            <w:r>
              <w:rPr>
                <w:rFonts w:hint="eastAsia" w:ascii="宋体" w:hAnsi="宋体" w:cs="宋体"/>
                <w:b/>
                <w:color w:val="auto"/>
                <w:highlight w:val="none"/>
              </w:rPr>
              <w:t>及联系电话</w:t>
            </w:r>
          </w:p>
        </w:tc>
        <w:tc>
          <w:tcPr>
            <w:tcW w:w="793" w:type="pct"/>
            <w:noWrap w:val="0"/>
            <w:vAlign w:val="center"/>
          </w:tcPr>
          <w:p w14:paraId="65D873BA">
            <w:pPr>
              <w:jc w:val="center"/>
              <w:rPr>
                <w:rFonts w:hint="eastAsia" w:ascii="宋体" w:hAnsi="宋体" w:cs="宋体"/>
                <w:b/>
                <w:color w:val="auto"/>
                <w:highlight w:val="none"/>
              </w:rPr>
            </w:pPr>
            <w:r>
              <w:rPr>
                <w:rFonts w:hint="eastAsia" w:ascii="宋体" w:hAnsi="宋体" w:cs="宋体"/>
                <w:b/>
                <w:color w:val="auto"/>
                <w:highlight w:val="none"/>
              </w:rPr>
              <w:t>合同签订时间</w:t>
            </w:r>
          </w:p>
        </w:tc>
        <w:tc>
          <w:tcPr>
            <w:tcW w:w="478" w:type="pct"/>
            <w:noWrap w:val="0"/>
            <w:vAlign w:val="center"/>
          </w:tcPr>
          <w:p w14:paraId="24654707">
            <w:pPr>
              <w:jc w:val="center"/>
              <w:rPr>
                <w:rFonts w:hint="eastAsia" w:ascii="宋体" w:hAnsi="宋体" w:cs="宋体"/>
                <w:b/>
                <w:color w:val="auto"/>
                <w:highlight w:val="none"/>
              </w:rPr>
            </w:pPr>
            <w:r>
              <w:rPr>
                <w:rFonts w:hint="eastAsia" w:ascii="宋体" w:hAnsi="宋体" w:cs="宋体"/>
                <w:b/>
                <w:color w:val="auto"/>
                <w:highlight w:val="none"/>
              </w:rPr>
              <w:t>备注</w:t>
            </w:r>
          </w:p>
        </w:tc>
      </w:tr>
      <w:tr w14:paraId="2B7E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01B37921">
            <w:pPr>
              <w:jc w:val="center"/>
              <w:rPr>
                <w:rFonts w:hint="eastAsia" w:ascii="宋体" w:hAnsi="宋体" w:cs="宋体"/>
                <w:color w:val="auto"/>
                <w:highlight w:val="none"/>
              </w:rPr>
            </w:pPr>
            <w:r>
              <w:rPr>
                <w:rFonts w:hint="eastAsia" w:ascii="宋体" w:hAnsi="宋体" w:cs="宋体"/>
                <w:color w:val="auto"/>
                <w:highlight w:val="none"/>
              </w:rPr>
              <w:t>1</w:t>
            </w:r>
          </w:p>
        </w:tc>
        <w:tc>
          <w:tcPr>
            <w:tcW w:w="757" w:type="pct"/>
            <w:noWrap w:val="0"/>
            <w:vAlign w:val="center"/>
          </w:tcPr>
          <w:p w14:paraId="09D58F88">
            <w:pPr>
              <w:rPr>
                <w:rFonts w:hint="eastAsia" w:ascii="宋体" w:hAnsi="宋体" w:cs="宋体"/>
                <w:color w:val="auto"/>
                <w:highlight w:val="none"/>
              </w:rPr>
            </w:pPr>
          </w:p>
        </w:tc>
        <w:tc>
          <w:tcPr>
            <w:tcW w:w="953" w:type="pct"/>
            <w:noWrap w:val="0"/>
            <w:vAlign w:val="center"/>
          </w:tcPr>
          <w:p w14:paraId="4A5CF06C">
            <w:pPr>
              <w:rPr>
                <w:rFonts w:hint="eastAsia" w:ascii="宋体" w:hAnsi="宋体" w:cs="宋体"/>
                <w:color w:val="auto"/>
                <w:highlight w:val="none"/>
              </w:rPr>
            </w:pPr>
          </w:p>
        </w:tc>
        <w:tc>
          <w:tcPr>
            <w:tcW w:w="644" w:type="pct"/>
            <w:noWrap w:val="0"/>
            <w:vAlign w:val="center"/>
          </w:tcPr>
          <w:p w14:paraId="6630F4B2">
            <w:pPr>
              <w:rPr>
                <w:rFonts w:hint="eastAsia" w:ascii="宋体" w:hAnsi="宋体" w:cs="宋体"/>
                <w:color w:val="auto"/>
                <w:highlight w:val="none"/>
              </w:rPr>
            </w:pPr>
          </w:p>
        </w:tc>
        <w:tc>
          <w:tcPr>
            <w:tcW w:w="963" w:type="pct"/>
            <w:noWrap w:val="0"/>
            <w:vAlign w:val="center"/>
          </w:tcPr>
          <w:p w14:paraId="683F5102">
            <w:pPr>
              <w:rPr>
                <w:rFonts w:hint="eastAsia" w:ascii="宋体" w:hAnsi="宋体" w:cs="宋体"/>
                <w:color w:val="auto"/>
                <w:highlight w:val="none"/>
              </w:rPr>
            </w:pPr>
          </w:p>
        </w:tc>
        <w:tc>
          <w:tcPr>
            <w:tcW w:w="793" w:type="pct"/>
            <w:noWrap w:val="0"/>
            <w:vAlign w:val="top"/>
          </w:tcPr>
          <w:p w14:paraId="587176FA">
            <w:pPr>
              <w:rPr>
                <w:rFonts w:hint="eastAsia" w:ascii="宋体" w:hAnsi="宋体" w:cs="宋体"/>
                <w:color w:val="auto"/>
                <w:highlight w:val="none"/>
              </w:rPr>
            </w:pPr>
          </w:p>
        </w:tc>
        <w:tc>
          <w:tcPr>
            <w:tcW w:w="478" w:type="pct"/>
            <w:noWrap w:val="0"/>
            <w:vAlign w:val="center"/>
          </w:tcPr>
          <w:p w14:paraId="0FB8CDBD">
            <w:pPr>
              <w:rPr>
                <w:rFonts w:hint="eastAsia" w:ascii="宋体" w:hAnsi="宋体" w:cs="宋体"/>
                <w:color w:val="auto"/>
                <w:highlight w:val="none"/>
              </w:rPr>
            </w:pPr>
          </w:p>
        </w:tc>
      </w:tr>
      <w:tr w14:paraId="2ED4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70226620">
            <w:pPr>
              <w:jc w:val="center"/>
              <w:rPr>
                <w:rFonts w:hint="eastAsia" w:ascii="宋体" w:hAnsi="宋体" w:cs="宋体"/>
                <w:color w:val="auto"/>
                <w:highlight w:val="none"/>
              </w:rPr>
            </w:pPr>
            <w:r>
              <w:rPr>
                <w:rFonts w:hint="eastAsia" w:ascii="宋体" w:hAnsi="宋体" w:cs="宋体"/>
                <w:color w:val="auto"/>
                <w:highlight w:val="none"/>
              </w:rPr>
              <w:t>2</w:t>
            </w:r>
          </w:p>
        </w:tc>
        <w:tc>
          <w:tcPr>
            <w:tcW w:w="757" w:type="pct"/>
            <w:noWrap w:val="0"/>
            <w:vAlign w:val="center"/>
          </w:tcPr>
          <w:p w14:paraId="10A2B479">
            <w:pPr>
              <w:rPr>
                <w:rFonts w:hint="eastAsia" w:ascii="宋体" w:hAnsi="宋体" w:cs="宋体"/>
                <w:color w:val="auto"/>
                <w:highlight w:val="none"/>
              </w:rPr>
            </w:pPr>
          </w:p>
        </w:tc>
        <w:tc>
          <w:tcPr>
            <w:tcW w:w="953" w:type="pct"/>
            <w:noWrap w:val="0"/>
            <w:vAlign w:val="center"/>
          </w:tcPr>
          <w:p w14:paraId="1ACA6D13">
            <w:pPr>
              <w:rPr>
                <w:rFonts w:hint="eastAsia" w:ascii="宋体" w:hAnsi="宋体" w:cs="宋体"/>
                <w:color w:val="auto"/>
                <w:highlight w:val="none"/>
              </w:rPr>
            </w:pPr>
          </w:p>
        </w:tc>
        <w:tc>
          <w:tcPr>
            <w:tcW w:w="644" w:type="pct"/>
            <w:noWrap w:val="0"/>
            <w:vAlign w:val="center"/>
          </w:tcPr>
          <w:p w14:paraId="6F86E32C">
            <w:pPr>
              <w:rPr>
                <w:rFonts w:hint="eastAsia" w:ascii="宋体" w:hAnsi="宋体" w:cs="宋体"/>
                <w:color w:val="auto"/>
                <w:highlight w:val="none"/>
              </w:rPr>
            </w:pPr>
          </w:p>
        </w:tc>
        <w:tc>
          <w:tcPr>
            <w:tcW w:w="963" w:type="pct"/>
            <w:noWrap w:val="0"/>
            <w:vAlign w:val="center"/>
          </w:tcPr>
          <w:p w14:paraId="4234C03F">
            <w:pPr>
              <w:rPr>
                <w:rFonts w:hint="eastAsia" w:ascii="宋体" w:hAnsi="宋体" w:cs="宋体"/>
                <w:color w:val="auto"/>
                <w:highlight w:val="none"/>
              </w:rPr>
            </w:pPr>
          </w:p>
        </w:tc>
        <w:tc>
          <w:tcPr>
            <w:tcW w:w="793" w:type="pct"/>
            <w:noWrap w:val="0"/>
            <w:vAlign w:val="top"/>
          </w:tcPr>
          <w:p w14:paraId="5CFE5B7E">
            <w:pPr>
              <w:rPr>
                <w:rFonts w:hint="eastAsia" w:ascii="宋体" w:hAnsi="宋体" w:cs="宋体"/>
                <w:color w:val="auto"/>
                <w:highlight w:val="none"/>
              </w:rPr>
            </w:pPr>
          </w:p>
        </w:tc>
        <w:tc>
          <w:tcPr>
            <w:tcW w:w="478" w:type="pct"/>
            <w:noWrap w:val="0"/>
            <w:vAlign w:val="center"/>
          </w:tcPr>
          <w:p w14:paraId="690ED488">
            <w:pPr>
              <w:rPr>
                <w:rFonts w:hint="eastAsia" w:ascii="宋体" w:hAnsi="宋体" w:cs="宋体"/>
                <w:color w:val="auto"/>
                <w:highlight w:val="none"/>
              </w:rPr>
            </w:pPr>
          </w:p>
        </w:tc>
      </w:tr>
      <w:tr w14:paraId="0F1A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51BD30FE">
            <w:pPr>
              <w:jc w:val="center"/>
              <w:rPr>
                <w:rFonts w:hint="eastAsia" w:ascii="宋体" w:hAnsi="宋体" w:cs="宋体"/>
                <w:color w:val="auto"/>
                <w:highlight w:val="none"/>
              </w:rPr>
            </w:pPr>
            <w:r>
              <w:rPr>
                <w:rFonts w:hint="eastAsia" w:ascii="宋体" w:hAnsi="宋体" w:cs="宋体"/>
                <w:color w:val="auto"/>
                <w:highlight w:val="none"/>
              </w:rPr>
              <w:t>3</w:t>
            </w:r>
          </w:p>
        </w:tc>
        <w:tc>
          <w:tcPr>
            <w:tcW w:w="757" w:type="pct"/>
            <w:noWrap w:val="0"/>
            <w:vAlign w:val="center"/>
          </w:tcPr>
          <w:p w14:paraId="0D26BDE2">
            <w:pPr>
              <w:rPr>
                <w:rFonts w:hint="eastAsia" w:ascii="宋体" w:hAnsi="宋体" w:cs="宋体"/>
                <w:color w:val="auto"/>
                <w:highlight w:val="none"/>
              </w:rPr>
            </w:pPr>
          </w:p>
        </w:tc>
        <w:tc>
          <w:tcPr>
            <w:tcW w:w="953" w:type="pct"/>
            <w:noWrap w:val="0"/>
            <w:vAlign w:val="center"/>
          </w:tcPr>
          <w:p w14:paraId="1C87F108">
            <w:pPr>
              <w:rPr>
                <w:rFonts w:hint="eastAsia" w:ascii="宋体" w:hAnsi="宋体" w:cs="宋体"/>
                <w:color w:val="auto"/>
                <w:highlight w:val="none"/>
              </w:rPr>
            </w:pPr>
          </w:p>
        </w:tc>
        <w:tc>
          <w:tcPr>
            <w:tcW w:w="644" w:type="pct"/>
            <w:noWrap w:val="0"/>
            <w:vAlign w:val="center"/>
          </w:tcPr>
          <w:p w14:paraId="41EE77BF">
            <w:pPr>
              <w:rPr>
                <w:rFonts w:hint="eastAsia" w:ascii="宋体" w:hAnsi="宋体" w:cs="宋体"/>
                <w:color w:val="auto"/>
                <w:highlight w:val="none"/>
              </w:rPr>
            </w:pPr>
          </w:p>
        </w:tc>
        <w:tc>
          <w:tcPr>
            <w:tcW w:w="963" w:type="pct"/>
            <w:noWrap w:val="0"/>
            <w:vAlign w:val="center"/>
          </w:tcPr>
          <w:p w14:paraId="521E92AF">
            <w:pPr>
              <w:rPr>
                <w:rFonts w:hint="eastAsia" w:ascii="宋体" w:hAnsi="宋体" w:cs="宋体"/>
                <w:color w:val="auto"/>
                <w:highlight w:val="none"/>
              </w:rPr>
            </w:pPr>
          </w:p>
        </w:tc>
        <w:tc>
          <w:tcPr>
            <w:tcW w:w="793" w:type="pct"/>
            <w:noWrap w:val="0"/>
            <w:vAlign w:val="top"/>
          </w:tcPr>
          <w:p w14:paraId="20BCE0BB">
            <w:pPr>
              <w:rPr>
                <w:rFonts w:hint="eastAsia" w:ascii="宋体" w:hAnsi="宋体" w:cs="宋体"/>
                <w:color w:val="auto"/>
                <w:highlight w:val="none"/>
              </w:rPr>
            </w:pPr>
          </w:p>
        </w:tc>
        <w:tc>
          <w:tcPr>
            <w:tcW w:w="478" w:type="pct"/>
            <w:noWrap w:val="0"/>
            <w:vAlign w:val="center"/>
          </w:tcPr>
          <w:p w14:paraId="2C5173E2">
            <w:pPr>
              <w:rPr>
                <w:rFonts w:hint="eastAsia" w:ascii="宋体" w:hAnsi="宋体" w:cs="宋体"/>
                <w:color w:val="auto"/>
                <w:highlight w:val="none"/>
              </w:rPr>
            </w:pPr>
          </w:p>
        </w:tc>
      </w:tr>
      <w:tr w14:paraId="0B3A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5FEC901C">
            <w:pPr>
              <w:jc w:val="center"/>
              <w:rPr>
                <w:rFonts w:hint="eastAsia" w:ascii="宋体" w:hAnsi="宋体" w:cs="宋体"/>
                <w:color w:val="auto"/>
                <w:highlight w:val="none"/>
              </w:rPr>
            </w:pPr>
            <w:r>
              <w:rPr>
                <w:rFonts w:hint="eastAsia" w:ascii="宋体" w:hAnsi="宋体" w:cs="宋体"/>
                <w:color w:val="auto"/>
                <w:highlight w:val="none"/>
              </w:rPr>
              <w:t>4</w:t>
            </w:r>
          </w:p>
        </w:tc>
        <w:tc>
          <w:tcPr>
            <w:tcW w:w="757" w:type="pct"/>
            <w:noWrap w:val="0"/>
            <w:vAlign w:val="center"/>
          </w:tcPr>
          <w:p w14:paraId="795B7F35">
            <w:pPr>
              <w:rPr>
                <w:rFonts w:hint="eastAsia" w:ascii="宋体" w:hAnsi="宋体" w:cs="宋体"/>
                <w:color w:val="auto"/>
                <w:highlight w:val="none"/>
              </w:rPr>
            </w:pPr>
          </w:p>
        </w:tc>
        <w:tc>
          <w:tcPr>
            <w:tcW w:w="953" w:type="pct"/>
            <w:noWrap w:val="0"/>
            <w:vAlign w:val="center"/>
          </w:tcPr>
          <w:p w14:paraId="5B4C1262">
            <w:pPr>
              <w:rPr>
                <w:rFonts w:hint="eastAsia" w:ascii="宋体" w:hAnsi="宋体" w:cs="宋体"/>
                <w:color w:val="auto"/>
                <w:highlight w:val="none"/>
              </w:rPr>
            </w:pPr>
          </w:p>
        </w:tc>
        <w:tc>
          <w:tcPr>
            <w:tcW w:w="644" w:type="pct"/>
            <w:noWrap w:val="0"/>
            <w:vAlign w:val="center"/>
          </w:tcPr>
          <w:p w14:paraId="2EAD1CEC">
            <w:pPr>
              <w:rPr>
                <w:rFonts w:hint="eastAsia" w:ascii="宋体" w:hAnsi="宋体" w:cs="宋体"/>
                <w:color w:val="auto"/>
                <w:highlight w:val="none"/>
              </w:rPr>
            </w:pPr>
          </w:p>
        </w:tc>
        <w:tc>
          <w:tcPr>
            <w:tcW w:w="963" w:type="pct"/>
            <w:noWrap w:val="0"/>
            <w:vAlign w:val="center"/>
          </w:tcPr>
          <w:p w14:paraId="7DA06574">
            <w:pPr>
              <w:rPr>
                <w:rFonts w:hint="eastAsia" w:ascii="宋体" w:hAnsi="宋体" w:cs="宋体"/>
                <w:color w:val="auto"/>
                <w:highlight w:val="none"/>
              </w:rPr>
            </w:pPr>
          </w:p>
        </w:tc>
        <w:tc>
          <w:tcPr>
            <w:tcW w:w="793" w:type="pct"/>
            <w:noWrap w:val="0"/>
            <w:vAlign w:val="top"/>
          </w:tcPr>
          <w:p w14:paraId="1EB2BC82">
            <w:pPr>
              <w:rPr>
                <w:rFonts w:hint="eastAsia" w:ascii="宋体" w:hAnsi="宋体" w:cs="宋体"/>
                <w:color w:val="auto"/>
                <w:highlight w:val="none"/>
              </w:rPr>
            </w:pPr>
          </w:p>
        </w:tc>
        <w:tc>
          <w:tcPr>
            <w:tcW w:w="478" w:type="pct"/>
            <w:noWrap w:val="0"/>
            <w:vAlign w:val="center"/>
          </w:tcPr>
          <w:p w14:paraId="7B6269FD">
            <w:pPr>
              <w:rPr>
                <w:rFonts w:hint="eastAsia" w:ascii="宋体" w:hAnsi="宋体" w:cs="宋体"/>
                <w:color w:val="auto"/>
                <w:highlight w:val="none"/>
              </w:rPr>
            </w:pPr>
          </w:p>
        </w:tc>
      </w:tr>
      <w:tr w14:paraId="066F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682C3276">
            <w:pPr>
              <w:jc w:val="center"/>
              <w:rPr>
                <w:rFonts w:hint="eastAsia" w:ascii="宋体" w:hAnsi="宋体" w:cs="宋体"/>
                <w:color w:val="auto"/>
                <w:highlight w:val="none"/>
              </w:rPr>
            </w:pPr>
            <w:r>
              <w:rPr>
                <w:rFonts w:hint="eastAsia" w:ascii="宋体" w:hAnsi="宋体" w:cs="宋体"/>
                <w:color w:val="auto"/>
                <w:highlight w:val="none"/>
              </w:rPr>
              <w:t>5</w:t>
            </w:r>
          </w:p>
        </w:tc>
        <w:tc>
          <w:tcPr>
            <w:tcW w:w="757" w:type="pct"/>
            <w:noWrap w:val="0"/>
            <w:vAlign w:val="center"/>
          </w:tcPr>
          <w:p w14:paraId="23087DD5">
            <w:pPr>
              <w:rPr>
                <w:rFonts w:hint="eastAsia" w:ascii="宋体" w:hAnsi="宋体" w:cs="宋体"/>
                <w:color w:val="auto"/>
                <w:highlight w:val="none"/>
              </w:rPr>
            </w:pPr>
          </w:p>
        </w:tc>
        <w:tc>
          <w:tcPr>
            <w:tcW w:w="953" w:type="pct"/>
            <w:noWrap w:val="0"/>
            <w:vAlign w:val="center"/>
          </w:tcPr>
          <w:p w14:paraId="2D23CE0F">
            <w:pPr>
              <w:rPr>
                <w:rFonts w:hint="eastAsia" w:ascii="宋体" w:hAnsi="宋体" w:cs="宋体"/>
                <w:color w:val="auto"/>
                <w:highlight w:val="none"/>
              </w:rPr>
            </w:pPr>
          </w:p>
        </w:tc>
        <w:tc>
          <w:tcPr>
            <w:tcW w:w="644" w:type="pct"/>
            <w:noWrap w:val="0"/>
            <w:vAlign w:val="center"/>
          </w:tcPr>
          <w:p w14:paraId="0C000E8C">
            <w:pPr>
              <w:rPr>
                <w:rFonts w:hint="eastAsia" w:ascii="宋体" w:hAnsi="宋体" w:cs="宋体"/>
                <w:color w:val="auto"/>
                <w:highlight w:val="none"/>
              </w:rPr>
            </w:pPr>
          </w:p>
        </w:tc>
        <w:tc>
          <w:tcPr>
            <w:tcW w:w="963" w:type="pct"/>
            <w:noWrap w:val="0"/>
            <w:vAlign w:val="center"/>
          </w:tcPr>
          <w:p w14:paraId="6CFEEF38">
            <w:pPr>
              <w:rPr>
                <w:rFonts w:hint="eastAsia" w:ascii="宋体" w:hAnsi="宋体" w:cs="宋体"/>
                <w:color w:val="auto"/>
                <w:highlight w:val="none"/>
              </w:rPr>
            </w:pPr>
          </w:p>
        </w:tc>
        <w:tc>
          <w:tcPr>
            <w:tcW w:w="793" w:type="pct"/>
            <w:noWrap w:val="0"/>
            <w:vAlign w:val="top"/>
          </w:tcPr>
          <w:p w14:paraId="27945C0C">
            <w:pPr>
              <w:rPr>
                <w:rFonts w:hint="eastAsia" w:ascii="宋体" w:hAnsi="宋体" w:cs="宋体"/>
                <w:color w:val="auto"/>
                <w:highlight w:val="none"/>
              </w:rPr>
            </w:pPr>
          </w:p>
        </w:tc>
        <w:tc>
          <w:tcPr>
            <w:tcW w:w="478" w:type="pct"/>
            <w:noWrap w:val="0"/>
            <w:vAlign w:val="center"/>
          </w:tcPr>
          <w:p w14:paraId="542BC35F">
            <w:pPr>
              <w:rPr>
                <w:rFonts w:hint="eastAsia" w:ascii="宋体" w:hAnsi="宋体" w:cs="宋体"/>
                <w:color w:val="auto"/>
                <w:highlight w:val="none"/>
              </w:rPr>
            </w:pPr>
          </w:p>
        </w:tc>
      </w:tr>
      <w:tr w14:paraId="0C98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1222DC13">
            <w:pPr>
              <w:jc w:val="center"/>
              <w:rPr>
                <w:rFonts w:hint="eastAsia" w:ascii="宋体" w:hAnsi="宋体" w:cs="宋体"/>
                <w:color w:val="auto"/>
                <w:highlight w:val="none"/>
              </w:rPr>
            </w:pPr>
            <w:r>
              <w:rPr>
                <w:rFonts w:hint="eastAsia" w:ascii="宋体" w:hAnsi="宋体" w:cs="宋体"/>
                <w:color w:val="auto"/>
                <w:highlight w:val="none"/>
              </w:rPr>
              <w:t>……</w:t>
            </w:r>
          </w:p>
        </w:tc>
        <w:tc>
          <w:tcPr>
            <w:tcW w:w="757" w:type="pct"/>
            <w:noWrap w:val="0"/>
            <w:vAlign w:val="center"/>
          </w:tcPr>
          <w:p w14:paraId="14157D66">
            <w:pPr>
              <w:rPr>
                <w:rFonts w:hint="eastAsia" w:ascii="宋体" w:hAnsi="宋体" w:cs="宋体"/>
                <w:color w:val="auto"/>
                <w:highlight w:val="none"/>
              </w:rPr>
            </w:pPr>
          </w:p>
        </w:tc>
        <w:tc>
          <w:tcPr>
            <w:tcW w:w="953" w:type="pct"/>
            <w:noWrap w:val="0"/>
            <w:vAlign w:val="center"/>
          </w:tcPr>
          <w:p w14:paraId="220C939E">
            <w:pPr>
              <w:rPr>
                <w:rFonts w:hint="eastAsia" w:ascii="宋体" w:hAnsi="宋体" w:cs="宋体"/>
                <w:color w:val="auto"/>
                <w:highlight w:val="none"/>
              </w:rPr>
            </w:pPr>
          </w:p>
        </w:tc>
        <w:tc>
          <w:tcPr>
            <w:tcW w:w="644" w:type="pct"/>
            <w:noWrap w:val="0"/>
            <w:vAlign w:val="center"/>
          </w:tcPr>
          <w:p w14:paraId="2037897F">
            <w:pPr>
              <w:rPr>
                <w:rFonts w:hint="eastAsia" w:ascii="宋体" w:hAnsi="宋体" w:cs="宋体"/>
                <w:color w:val="auto"/>
                <w:highlight w:val="none"/>
              </w:rPr>
            </w:pPr>
          </w:p>
        </w:tc>
        <w:tc>
          <w:tcPr>
            <w:tcW w:w="963" w:type="pct"/>
            <w:noWrap w:val="0"/>
            <w:vAlign w:val="center"/>
          </w:tcPr>
          <w:p w14:paraId="09260F6E">
            <w:pPr>
              <w:rPr>
                <w:rFonts w:hint="eastAsia" w:ascii="宋体" w:hAnsi="宋体" w:cs="宋体"/>
                <w:color w:val="auto"/>
                <w:highlight w:val="none"/>
              </w:rPr>
            </w:pPr>
          </w:p>
        </w:tc>
        <w:tc>
          <w:tcPr>
            <w:tcW w:w="793" w:type="pct"/>
            <w:noWrap w:val="0"/>
            <w:vAlign w:val="top"/>
          </w:tcPr>
          <w:p w14:paraId="1982E889">
            <w:pPr>
              <w:rPr>
                <w:rFonts w:hint="eastAsia" w:ascii="宋体" w:hAnsi="宋体" w:cs="宋体"/>
                <w:color w:val="auto"/>
                <w:highlight w:val="none"/>
              </w:rPr>
            </w:pPr>
          </w:p>
        </w:tc>
        <w:tc>
          <w:tcPr>
            <w:tcW w:w="478" w:type="pct"/>
            <w:noWrap w:val="0"/>
            <w:vAlign w:val="center"/>
          </w:tcPr>
          <w:p w14:paraId="090AEC71">
            <w:pPr>
              <w:rPr>
                <w:rFonts w:hint="eastAsia" w:ascii="宋体" w:hAnsi="宋体" w:cs="宋体"/>
                <w:color w:val="auto"/>
                <w:highlight w:val="none"/>
              </w:rPr>
            </w:pPr>
          </w:p>
        </w:tc>
      </w:tr>
    </w:tbl>
    <w:p w14:paraId="0FBA98A2">
      <w:pPr>
        <w:widowControl/>
        <w:jc w:val="left"/>
        <w:rPr>
          <w:rFonts w:hint="eastAsia" w:ascii="宋体" w:hAnsi="宋体" w:cs="宋体"/>
          <w:color w:val="auto"/>
          <w:szCs w:val="21"/>
          <w:highlight w:val="none"/>
        </w:rPr>
      </w:pPr>
      <w:r>
        <w:rPr>
          <w:rFonts w:hint="eastAsia" w:ascii="宋体" w:hAnsi="宋体" w:cs="宋体"/>
          <w:color w:val="auto"/>
          <w:szCs w:val="21"/>
          <w:highlight w:val="none"/>
        </w:rPr>
        <w:t>注：应附中标/成交通知书（如有）和合同协议书，以及验收报告（验收证明文件）（如有）等材料（具体以评标办法章节要求为准），具体年份时间要求见评标办法章节。</w:t>
      </w:r>
    </w:p>
    <w:p w14:paraId="4EC99E75">
      <w:pPr>
        <w:rPr>
          <w:rFonts w:hint="eastAsia" w:ascii="宋体" w:hAnsi="宋体" w:cs="宋体"/>
          <w:color w:val="auto"/>
          <w:highlight w:val="none"/>
          <w:lang w:bidi="en-US"/>
        </w:rPr>
      </w:pPr>
    </w:p>
    <w:p w14:paraId="72481593">
      <w:pPr>
        <w:rPr>
          <w:rFonts w:hint="eastAsia" w:ascii="宋体" w:hAnsi="宋体" w:cs="宋体"/>
          <w:color w:val="auto"/>
          <w:highlight w:val="none"/>
          <w:lang w:bidi="en-US"/>
        </w:rPr>
      </w:pPr>
    </w:p>
    <w:p w14:paraId="713AF107">
      <w:pPr>
        <w:rPr>
          <w:rFonts w:hint="eastAsia" w:ascii="宋体" w:hAnsi="宋体" w:cs="宋体"/>
          <w:color w:val="auto"/>
          <w:highlight w:val="none"/>
          <w:lang w:bidi="en-US"/>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5CC51FFE">
      <w:pPr>
        <w:pStyle w:val="4"/>
        <w:tabs>
          <w:tab w:val="left" w:pos="1260"/>
        </w:tabs>
        <w:jc w:val="center"/>
        <w:rPr>
          <w:rFonts w:hint="eastAsia" w:cs="宋体"/>
          <w:color w:val="auto"/>
          <w:sz w:val="24"/>
          <w:highlight w:val="none"/>
          <w:lang w:eastAsia="zh-CN"/>
        </w:rPr>
      </w:pPr>
      <w:r>
        <w:rPr>
          <w:rFonts w:hint="eastAsia" w:cs="宋体"/>
          <w:color w:val="auto"/>
          <w:sz w:val="24"/>
          <w:highlight w:val="none"/>
          <w:lang w:eastAsia="zh-CN"/>
        </w:rPr>
        <w:t>（五）样品（如有）</w:t>
      </w:r>
    </w:p>
    <w:p w14:paraId="28B13358">
      <w:pPr>
        <w:jc w:val="center"/>
        <w:rPr>
          <w:rFonts w:hint="eastAsia"/>
          <w:color w:val="auto"/>
          <w:highlight w:val="none"/>
        </w:rPr>
      </w:pPr>
      <w:r>
        <w:rPr>
          <w:rFonts w:hint="eastAsia" w:ascii="宋体" w:hAnsi="宋体" w:cs="宋体"/>
          <w:color w:val="auto"/>
          <w:highlight w:val="none"/>
        </w:rPr>
        <w:t>如招标文件要求提供样品，请按规定提供。</w:t>
      </w:r>
    </w:p>
    <w:p w14:paraId="68D58B58">
      <w:pPr>
        <w:rPr>
          <w:color w:val="auto"/>
          <w:highlight w:val="none"/>
        </w:rPr>
      </w:pPr>
    </w:p>
    <w:p w14:paraId="1F9DC2C2">
      <w:pPr>
        <w:pStyle w:val="4"/>
        <w:tabs>
          <w:tab w:val="left" w:pos="1260"/>
        </w:tabs>
        <w:jc w:val="center"/>
        <w:rPr>
          <w:rFonts w:cs="宋体"/>
          <w:color w:val="auto"/>
          <w:sz w:val="24"/>
          <w:highlight w:val="none"/>
          <w:lang w:eastAsia="zh-CN"/>
        </w:rPr>
      </w:pPr>
      <w:r>
        <w:rPr>
          <w:rFonts w:hint="eastAsia" w:cs="宋体"/>
          <w:color w:val="auto"/>
          <w:sz w:val="24"/>
          <w:highlight w:val="none"/>
          <w:lang w:eastAsia="zh-CN"/>
        </w:rPr>
        <w:t>（六）其他材料</w:t>
      </w:r>
    </w:p>
    <w:p w14:paraId="6454AF85">
      <w:pPr>
        <w:widowControl/>
        <w:jc w:val="left"/>
        <w:rPr>
          <w:rFonts w:hint="eastAsia" w:ascii="宋体" w:hAnsi="宋体" w:cs="宋体"/>
          <w:color w:val="auto"/>
          <w:highlight w:val="none"/>
        </w:rPr>
      </w:pPr>
    </w:p>
    <w:p w14:paraId="68DEE76D">
      <w:pPr>
        <w:widowControl/>
        <w:jc w:val="left"/>
        <w:rPr>
          <w:rFonts w:hint="eastAsia" w:ascii="宋体" w:hAnsi="宋体" w:cs="宋体"/>
          <w:color w:val="auto"/>
          <w:highlight w:val="none"/>
        </w:rPr>
      </w:pPr>
    </w:p>
    <w:p w14:paraId="11EE859B">
      <w:pPr>
        <w:widowControl/>
        <w:jc w:val="left"/>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0726551E">
      <w:pPr>
        <w:spacing w:line="360" w:lineRule="auto"/>
        <w:jc w:val="center"/>
        <w:outlineLvl w:val="1"/>
        <w:rPr>
          <w:rFonts w:hint="eastAsia" w:ascii="宋体" w:hAnsi="宋体"/>
          <w:b/>
          <w:color w:val="auto"/>
          <w:sz w:val="24"/>
          <w:highlight w:val="none"/>
        </w:rPr>
      </w:pPr>
      <w:bookmarkStart w:id="1019" w:name="_Hlk11531103"/>
      <w:r>
        <w:rPr>
          <w:rStyle w:val="23"/>
          <w:rFonts w:hint="eastAsia" w:ascii="宋体" w:hAnsi="宋体" w:eastAsia="宋体" w:cs="宋体"/>
          <w:color w:val="auto"/>
          <w:sz w:val="30"/>
          <w:szCs w:val="30"/>
          <w:highlight w:val="none"/>
        </w:rPr>
        <w:t>十一、主要标的承诺函</w:t>
      </w:r>
    </w:p>
    <w:p w14:paraId="0C134E34">
      <w:pPr>
        <w:jc w:val="center"/>
        <w:rPr>
          <w:rFonts w:hint="eastAsia"/>
          <w:color w:val="auto"/>
          <w:highlight w:val="none"/>
        </w:rPr>
      </w:pPr>
      <w:r>
        <w:rPr>
          <w:rFonts w:hint="eastAsia" w:ascii="宋体" w:hAnsi="宋体"/>
          <w:b/>
          <w:color w:val="auto"/>
          <w:sz w:val="24"/>
          <w:highlight w:val="none"/>
        </w:rPr>
        <w:t>（列出招标文件标明</w:t>
      </w:r>
      <w:r>
        <w:rPr>
          <w:rFonts w:hint="eastAsia" w:ascii="仿宋" w:hAnsi="仿宋" w:eastAsia="仿宋" w:cs="仿宋"/>
          <w:color w:val="auto"/>
          <w:sz w:val="24"/>
          <w:highlight w:val="none"/>
        </w:rPr>
        <w:t>▲</w:t>
      </w:r>
      <w:r>
        <w:rPr>
          <w:rFonts w:hint="eastAsia" w:ascii="宋体" w:hAnsi="宋体"/>
          <w:b/>
          <w:color w:val="auto"/>
          <w:sz w:val="24"/>
          <w:highlight w:val="none"/>
        </w:rPr>
        <w:t>货物的信息）</w:t>
      </w:r>
    </w:p>
    <w:p w14:paraId="548055E0">
      <w:pPr>
        <w:widowControl/>
        <w:tabs>
          <w:tab w:val="left" w:leader="underscore" w:pos="2880"/>
        </w:tabs>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致：【采购人名称】（采购人名称)</w:t>
      </w:r>
    </w:p>
    <w:p w14:paraId="695406ED">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安徽省招标集团股份有限公司  </w:t>
      </w:r>
      <w:r>
        <w:rPr>
          <w:rFonts w:hint="eastAsia" w:ascii="宋体" w:hAnsi="宋体" w:cs="宋体"/>
          <w:color w:val="auto"/>
          <w:szCs w:val="21"/>
          <w:highlight w:val="none"/>
        </w:rPr>
        <w:t>（采购代理名称)</w:t>
      </w:r>
    </w:p>
    <w:p w14:paraId="27EB88D4">
      <w:pPr>
        <w:spacing w:line="360" w:lineRule="auto"/>
        <w:ind w:firstLine="435"/>
        <w:rPr>
          <w:rFonts w:ascii="宋体" w:hAnsi="宋体"/>
          <w:color w:val="auto"/>
          <w:szCs w:val="21"/>
          <w:highlight w:val="none"/>
        </w:rPr>
      </w:pPr>
      <w:r>
        <w:rPr>
          <w:rFonts w:hint="eastAsia" w:ascii="宋体" w:hAnsi="宋体"/>
          <w:color w:val="auto"/>
          <w:szCs w:val="21"/>
          <w:highlight w:val="none"/>
        </w:rPr>
        <w:t>我单位同意中标结果公告中公告以下主要标的信息并承诺：投标文件中所提供的主要标的信息均真实有效。若被发现存在任何虚假、隐瞒情况，我单位承担由此产生的一切后果。</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583"/>
        <w:gridCol w:w="1062"/>
        <w:gridCol w:w="1646"/>
        <w:gridCol w:w="1890"/>
        <w:gridCol w:w="1809"/>
        <w:gridCol w:w="1003"/>
      </w:tblGrid>
      <w:tr w14:paraId="6284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37" w:type="pct"/>
            <w:noWrap w:val="0"/>
            <w:vAlign w:val="center"/>
          </w:tcPr>
          <w:p w14:paraId="7D472341">
            <w:pPr>
              <w:widowControl/>
              <w:jc w:val="center"/>
              <w:rPr>
                <w:rFonts w:ascii="宋体" w:hAnsi="宋体"/>
                <w:color w:val="auto"/>
                <w:szCs w:val="21"/>
                <w:highlight w:val="none"/>
              </w:rPr>
            </w:pPr>
            <w:r>
              <w:rPr>
                <w:rFonts w:hint="eastAsia" w:ascii="宋体" w:hAnsi="宋体"/>
                <w:color w:val="auto"/>
                <w:szCs w:val="21"/>
                <w:highlight w:val="none"/>
              </w:rPr>
              <w:t>序号</w:t>
            </w:r>
          </w:p>
        </w:tc>
        <w:tc>
          <w:tcPr>
            <w:tcW w:w="803" w:type="pct"/>
            <w:noWrap w:val="0"/>
            <w:vAlign w:val="center"/>
          </w:tcPr>
          <w:p w14:paraId="3391CE2A">
            <w:pPr>
              <w:widowControl/>
              <w:jc w:val="center"/>
              <w:rPr>
                <w:rFonts w:ascii="宋体" w:hAnsi="宋体"/>
                <w:color w:val="auto"/>
                <w:szCs w:val="21"/>
                <w:highlight w:val="none"/>
              </w:rPr>
            </w:pPr>
            <w:r>
              <w:rPr>
                <w:rFonts w:hint="eastAsia" w:ascii="宋体" w:hAnsi="宋体"/>
                <w:color w:val="auto"/>
                <w:szCs w:val="21"/>
                <w:highlight w:val="none"/>
              </w:rPr>
              <w:t>名称</w:t>
            </w:r>
          </w:p>
        </w:tc>
        <w:tc>
          <w:tcPr>
            <w:tcW w:w="539" w:type="pct"/>
            <w:noWrap w:val="0"/>
            <w:vAlign w:val="center"/>
          </w:tcPr>
          <w:p w14:paraId="5B928FDB">
            <w:pPr>
              <w:widowControl/>
              <w:jc w:val="center"/>
              <w:rPr>
                <w:rFonts w:ascii="宋体" w:hAnsi="宋体"/>
                <w:color w:val="auto"/>
                <w:szCs w:val="21"/>
                <w:highlight w:val="none"/>
              </w:rPr>
            </w:pPr>
            <w:r>
              <w:rPr>
                <w:rFonts w:hint="eastAsia" w:ascii="宋体" w:hAnsi="宋体"/>
                <w:color w:val="auto"/>
                <w:szCs w:val="21"/>
                <w:highlight w:val="none"/>
              </w:rPr>
              <w:t>品牌</w:t>
            </w:r>
          </w:p>
        </w:tc>
        <w:tc>
          <w:tcPr>
            <w:tcW w:w="835" w:type="pct"/>
            <w:noWrap w:val="0"/>
            <w:vAlign w:val="center"/>
          </w:tcPr>
          <w:p w14:paraId="7AF5B10E">
            <w:pPr>
              <w:widowControl/>
              <w:jc w:val="center"/>
              <w:rPr>
                <w:rFonts w:ascii="宋体" w:hAnsi="宋体"/>
                <w:color w:val="auto"/>
                <w:szCs w:val="21"/>
                <w:highlight w:val="none"/>
              </w:rPr>
            </w:pPr>
            <w:r>
              <w:rPr>
                <w:rFonts w:hint="eastAsia" w:ascii="宋体" w:hAnsi="宋体"/>
                <w:color w:val="auto"/>
                <w:szCs w:val="21"/>
                <w:highlight w:val="none"/>
              </w:rPr>
              <w:t>规格型号</w:t>
            </w:r>
          </w:p>
        </w:tc>
        <w:tc>
          <w:tcPr>
            <w:tcW w:w="959" w:type="pct"/>
            <w:noWrap w:val="0"/>
            <w:vAlign w:val="center"/>
          </w:tcPr>
          <w:p w14:paraId="641B27FC">
            <w:pPr>
              <w:widowControl/>
              <w:jc w:val="center"/>
              <w:rPr>
                <w:rFonts w:ascii="宋体" w:hAnsi="宋体"/>
                <w:color w:val="auto"/>
                <w:szCs w:val="21"/>
                <w:highlight w:val="none"/>
              </w:rPr>
            </w:pPr>
            <w:r>
              <w:rPr>
                <w:rFonts w:hint="eastAsia" w:ascii="宋体" w:hAnsi="宋体"/>
                <w:color w:val="auto"/>
                <w:szCs w:val="21"/>
                <w:highlight w:val="none"/>
              </w:rPr>
              <w:t>数量</w:t>
            </w:r>
          </w:p>
        </w:tc>
        <w:tc>
          <w:tcPr>
            <w:tcW w:w="918" w:type="pct"/>
            <w:noWrap w:val="0"/>
            <w:vAlign w:val="center"/>
          </w:tcPr>
          <w:p w14:paraId="1E7A3DF1">
            <w:pPr>
              <w:widowControl/>
              <w:jc w:val="center"/>
              <w:rPr>
                <w:rFonts w:ascii="宋体" w:hAnsi="宋体"/>
                <w:color w:val="auto"/>
                <w:szCs w:val="21"/>
                <w:highlight w:val="none"/>
              </w:rPr>
            </w:pPr>
            <w:r>
              <w:rPr>
                <w:rFonts w:hint="eastAsia" w:ascii="宋体" w:hAnsi="宋体"/>
                <w:color w:val="auto"/>
                <w:szCs w:val="21"/>
                <w:highlight w:val="none"/>
              </w:rPr>
              <w:t>单价</w:t>
            </w:r>
          </w:p>
        </w:tc>
        <w:tc>
          <w:tcPr>
            <w:tcW w:w="509" w:type="pct"/>
            <w:noWrap w:val="0"/>
            <w:vAlign w:val="center"/>
          </w:tcPr>
          <w:p w14:paraId="5F082A5B">
            <w:pPr>
              <w:widowControl/>
              <w:jc w:val="center"/>
              <w:rPr>
                <w:rFonts w:ascii="宋体" w:hAnsi="宋体"/>
                <w:color w:val="auto"/>
                <w:szCs w:val="21"/>
                <w:highlight w:val="none"/>
              </w:rPr>
            </w:pPr>
            <w:r>
              <w:rPr>
                <w:rFonts w:hint="eastAsia" w:ascii="宋体" w:hAnsi="宋体"/>
                <w:color w:val="auto"/>
                <w:szCs w:val="21"/>
                <w:highlight w:val="none"/>
              </w:rPr>
              <w:t>备注</w:t>
            </w:r>
          </w:p>
        </w:tc>
      </w:tr>
      <w:tr w14:paraId="7C77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05480B05">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803" w:type="pct"/>
            <w:noWrap w:val="0"/>
            <w:vAlign w:val="center"/>
          </w:tcPr>
          <w:p w14:paraId="0F2EF684">
            <w:pPr>
              <w:spacing w:line="360" w:lineRule="auto"/>
              <w:rPr>
                <w:rFonts w:ascii="宋体" w:hAnsi="宋体"/>
                <w:color w:val="auto"/>
                <w:szCs w:val="21"/>
                <w:highlight w:val="none"/>
              </w:rPr>
            </w:pPr>
          </w:p>
        </w:tc>
        <w:tc>
          <w:tcPr>
            <w:tcW w:w="539" w:type="pct"/>
            <w:noWrap w:val="0"/>
            <w:vAlign w:val="center"/>
          </w:tcPr>
          <w:p w14:paraId="0B86DE97">
            <w:pPr>
              <w:spacing w:line="360" w:lineRule="auto"/>
              <w:rPr>
                <w:rFonts w:ascii="宋体" w:hAnsi="宋体"/>
                <w:color w:val="auto"/>
                <w:szCs w:val="21"/>
                <w:highlight w:val="none"/>
              </w:rPr>
            </w:pPr>
          </w:p>
        </w:tc>
        <w:tc>
          <w:tcPr>
            <w:tcW w:w="835" w:type="pct"/>
            <w:noWrap w:val="0"/>
            <w:vAlign w:val="center"/>
          </w:tcPr>
          <w:p w14:paraId="747109D4">
            <w:pPr>
              <w:spacing w:line="360" w:lineRule="auto"/>
              <w:rPr>
                <w:rFonts w:ascii="宋体" w:hAnsi="宋体"/>
                <w:color w:val="auto"/>
                <w:szCs w:val="21"/>
                <w:highlight w:val="none"/>
              </w:rPr>
            </w:pPr>
          </w:p>
        </w:tc>
        <w:tc>
          <w:tcPr>
            <w:tcW w:w="959" w:type="pct"/>
            <w:noWrap w:val="0"/>
            <w:vAlign w:val="center"/>
          </w:tcPr>
          <w:p w14:paraId="7956783F">
            <w:pPr>
              <w:spacing w:line="360" w:lineRule="auto"/>
              <w:rPr>
                <w:rFonts w:ascii="宋体" w:hAnsi="宋体"/>
                <w:color w:val="auto"/>
                <w:szCs w:val="21"/>
                <w:highlight w:val="none"/>
              </w:rPr>
            </w:pPr>
          </w:p>
        </w:tc>
        <w:tc>
          <w:tcPr>
            <w:tcW w:w="918" w:type="pct"/>
            <w:noWrap w:val="0"/>
            <w:vAlign w:val="center"/>
          </w:tcPr>
          <w:p w14:paraId="57EC0558">
            <w:pPr>
              <w:spacing w:line="360" w:lineRule="auto"/>
              <w:rPr>
                <w:rFonts w:ascii="宋体" w:hAnsi="宋体"/>
                <w:color w:val="auto"/>
                <w:szCs w:val="21"/>
                <w:highlight w:val="none"/>
              </w:rPr>
            </w:pPr>
          </w:p>
        </w:tc>
        <w:tc>
          <w:tcPr>
            <w:tcW w:w="509" w:type="pct"/>
            <w:noWrap w:val="0"/>
            <w:vAlign w:val="center"/>
          </w:tcPr>
          <w:p w14:paraId="4394977E">
            <w:pPr>
              <w:spacing w:line="360" w:lineRule="auto"/>
              <w:rPr>
                <w:rFonts w:ascii="宋体" w:hAnsi="宋体"/>
                <w:color w:val="auto"/>
                <w:szCs w:val="21"/>
                <w:highlight w:val="none"/>
              </w:rPr>
            </w:pPr>
          </w:p>
        </w:tc>
      </w:tr>
      <w:tr w14:paraId="4589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3C7A28F6">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803" w:type="pct"/>
            <w:noWrap w:val="0"/>
            <w:vAlign w:val="center"/>
          </w:tcPr>
          <w:p w14:paraId="6A0E88AF">
            <w:pPr>
              <w:spacing w:line="360" w:lineRule="auto"/>
              <w:rPr>
                <w:rFonts w:ascii="宋体" w:hAnsi="宋体"/>
                <w:color w:val="auto"/>
                <w:szCs w:val="21"/>
                <w:highlight w:val="none"/>
              </w:rPr>
            </w:pPr>
          </w:p>
        </w:tc>
        <w:tc>
          <w:tcPr>
            <w:tcW w:w="539" w:type="pct"/>
            <w:noWrap w:val="0"/>
            <w:vAlign w:val="center"/>
          </w:tcPr>
          <w:p w14:paraId="109C2C40">
            <w:pPr>
              <w:spacing w:line="360" w:lineRule="auto"/>
              <w:rPr>
                <w:rFonts w:ascii="宋体" w:hAnsi="宋体"/>
                <w:color w:val="auto"/>
                <w:szCs w:val="21"/>
                <w:highlight w:val="none"/>
              </w:rPr>
            </w:pPr>
          </w:p>
        </w:tc>
        <w:tc>
          <w:tcPr>
            <w:tcW w:w="835" w:type="pct"/>
            <w:noWrap w:val="0"/>
            <w:vAlign w:val="center"/>
          </w:tcPr>
          <w:p w14:paraId="62E5FEE0">
            <w:pPr>
              <w:spacing w:line="360" w:lineRule="auto"/>
              <w:rPr>
                <w:rFonts w:ascii="宋体" w:hAnsi="宋体"/>
                <w:color w:val="auto"/>
                <w:szCs w:val="21"/>
                <w:highlight w:val="none"/>
              </w:rPr>
            </w:pPr>
          </w:p>
        </w:tc>
        <w:tc>
          <w:tcPr>
            <w:tcW w:w="959" w:type="pct"/>
            <w:noWrap w:val="0"/>
            <w:vAlign w:val="center"/>
          </w:tcPr>
          <w:p w14:paraId="7298F213">
            <w:pPr>
              <w:spacing w:line="360" w:lineRule="auto"/>
              <w:rPr>
                <w:rFonts w:ascii="宋体" w:hAnsi="宋体"/>
                <w:color w:val="auto"/>
                <w:szCs w:val="21"/>
                <w:highlight w:val="none"/>
              </w:rPr>
            </w:pPr>
          </w:p>
        </w:tc>
        <w:tc>
          <w:tcPr>
            <w:tcW w:w="918" w:type="pct"/>
            <w:noWrap w:val="0"/>
            <w:vAlign w:val="center"/>
          </w:tcPr>
          <w:p w14:paraId="2D913398">
            <w:pPr>
              <w:spacing w:line="360" w:lineRule="auto"/>
              <w:rPr>
                <w:rFonts w:ascii="宋体" w:hAnsi="宋体"/>
                <w:color w:val="auto"/>
                <w:szCs w:val="21"/>
                <w:highlight w:val="none"/>
              </w:rPr>
            </w:pPr>
          </w:p>
        </w:tc>
        <w:tc>
          <w:tcPr>
            <w:tcW w:w="509" w:type="pct"/>
            <w:noWrap w:val="0"/>
            <w:vAlign w:val="center"/>
          </w:tcPr>
          <w:p w14:paraId="771176A4">
            <w:pPr>
              <w:spacing w:line="360" w:lineRule="auto"/>
              <w:rPr>
                <w:rFonts w:ascii="宋体" w:hAnsi="宋体"/>
                <w:color w:val="auto"/>
                <w:szCs w:val="21"/>
                <w:highlight w:val="none"/>
              </w:rPr>
            </w:pPr>
          </w:p>
        </w:tc>
      </w:tr>
      <w:tr w14:paraId="14C4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215AE0D9">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803" w:type="pct"/>
            <w:noWrap w:val="0"/>
            <w:vAlign w:val="center"/>
          </w:tcPr>
          <w:p w14:paraId="1C1F0FD0">
            <w:pPr>
              <w:spacing w:line="360" w:lineRule="auto"/>
              <w:rPr>
                <w:rFonts w:ascii="宋体" w:hAnsi="宋体"/>
                <w:color w:val="auto"/>
                <w:szCs w:val="21"/>
                <w:highlight w:val="none"/>
              </w:rPr>
            </w:pPr>
          </w:p>
        </w:tc>
        <w:tc>
          <w:tcPr>
            <w:tcW w:w="539" w:type="pct"/>
            <w:noWrap w:val="0"/>
            <w:vAlign w:val="center"/>
          </w:tcPr>
          <w:p w14:paraId="489B502C">
            <w:pPr>
              <w:spacing w:line="360" w:lineRule="auto"/>
              <w:rPr>
                <w:rFonts w:ascii="宋体" w:hAnsi="宋体"/>
                <w:color w:val="auto"/>
                <w:szCs w:val="21"/>
                <w:highlight w:val="none"/>
              </w:rPr>
            </w:pPr>
          </w:p>
        </w:tc>
        <w:tc>
          <w:tcPr>
            <w:tcW w:w="835" w:type="pct"/>
            <w:noWrap w:val="0"/>
            <w:vAlign w:val="center"/>
          </w:tcPr>
          <w:p w14:paraId="6E010F34">
            <w:pPr>
              <w:spacing w:line="360" w:lineRule="auto"/>
              <w:rPr>
                <w:rFonts w:ascii="宋体" w:hAnsi="宋体"/>
                <w:color w:val="auto"/>
                <w:szCs w:val="21"/>
                <w:highlight w:val="none"/>
              </w:rPr>
            </w:pPr>
          </w:p>
        </w:tc>
        <w:tc>
          <w:tcPr>
            <w:tcW w:w="959" w:type="pct"/>
            <w:noWrap w:val="0"/>
            <w:vAlign w:val="center"/>
          </w:tcPr>
          <w:p w14:paraId="5E7983D4">
            <w:pPr>
              <w:spacing w:line="360" w:lineRule="auto"/>
              <w:rPr>
                <w:rFonts w:ascii="宋体" w:hAnsi="宋体"/>
                <w:color w:val="auto"/>
                <w:szCs w:val="21"/>
                <w:highlight w:val="none"/>
              </w:rPr>
            </w:pPr>
          </w:p>
        </w:tc>
        <w:tc>
          <w:tcPr>
            <w:tcW w:w="918" w:type="pct"/>
            <w:noWrap w:val="0"/>
            <w:vAlign w:val="center"/>
          </w:tcPr>
          <w:p w14:paraId="0E401891">
            <w:pPr>
              <w:spacing w:line="360" w:lineRule="auto"/>
              <w:rPr>
                <w:rFonts w:ascii="宋体" w:hAnsi="宋体"/>
                <w:color w:val="auto"/>
                <w:szCs w:val="21"/>
                <w:highlight w:val="none"/>
              </w:rPr>
            </w:pPr>
          </w:p>
        </w:tc>
        <w:tc>
          <w:tcPr>
            <w:tcW w:w="509" w:type="pct"/>
            <w:noWrap w:val="0"/>
            <w:vAlign w:val="center"/>
          </w:tcPr>
          <w:p w14:paraId="17EBED59">
            <w:pPr>
              <w:spacing w:line="360" w:lineRule="auto"/>
              <w:rPr>
                <w:rFonts w:ascii="宋体" w:hAnsi="宋体"/>
                <w:color w:val="auto"/>
                <w:szCs w:val="21"/>
                <w:highlight w:val="none"/>
              </w:rPr>
            </w:pPr>
          </w:p>
        </w:tc>
      </w:tr>
      <w:tr w14:paraId="0947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0596B242">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803" w:type="pct"/>
            <w:noWrap w:val="0"/>
            <w:vAlign w:val="center"/>
          </w:tcPr>
          <w:p w14:paraId="5ECF8052">
            <w:pPr>
              <w:spacing w:line="360" w:lineRule="auto"/>
              <w:rPr>
                <w:rFonts w:ascii="宋体" w:hAnsi="宋体"/>
                <w:color w:val="auto"/>
                <w:szCs w:val="21"/>
                <w:highlight w:val="none"/>
              </w:rPr>
            </w:pPr>
          </w:p>
        </w:tc>
        <w:tc>
          <w:tcPr>
            <w:tcW w:w="539" w:type="pct"/>
            <w:noWrap w:val="0"/>
            <w:vAlign w:val="center"/>
          </w:tcPr>
          <w:p w14:paraId="21DC01A4">
            <w:pPr>
              <w:spacing w:line="360" w:lineRule="auto"/>
              <w:rPr>
                <w:rFonts w:ascii="宋体" w:hAnsi="宋体"/>
                <w:color w:val="auto"/>
                <w:szCs w:val="21"/>
                <w:highlight w:val="none"/>
              </w:rPr>
            </w:pPr>
          </w:p>
        </w:tc>
        <w:tc>
          <w:tcPr>
            <w:tcW w:w="835" w:type="pct"/>
            <w:noWrap w:val="0"/>
            <w:vAlign w:val="center"/>
          </w:tcPr>
          <w:p w14:paraId="5E32C0CA">
            <w:pPr>
              <w:spacing w:line="360" w:lineRule="auto"/>
              <w:rPr>
                <w:rFonts w:ascii="宋体" w:hAnsi="宋体"/>
                <w:color w:val="auto"/>
                <w:szCs w:val="21"/>
                <w:highlight w:val="none"/>
              </w:rPr>
            </w:pPr>
          </w:p>
        </w:tc>
        <w:tc>
          <w:tcPr>
            <w:tcW w:w="959" w:type="pct"/>
            <w:noWrap w:val="0"/>
            <w:vAlign w:val="center"/>
          </w:tcPr>
          <w:p w14:paraId="7C923C02">
            <w:pPr>
              <w:spacing w:line="360" w:lineRule="auto"/>
              <w:rPr>
                <w:rFonts w:ascii="宋体" w:hAnsi="宋体"/>
                <w:color w:val="auto"/>
                <w:szCs w:val="21"/>
                <w:highlight w:val="none"/>
              </w:rPr>
            </w:pPr>
          </w:p>
        </w:tc>
        <w:tc>
          <w:tcPr>
            <w:tcW w:w="918" w:type="pct"/>
            <w:noWrap w:val="0"/>
            <w:vAlign w:val="center"/>
          </w:tcPr>
          <w:p w14:paraId="21165934">
            <w:pPr>
              <w:spacing w:line="360" w:lineRule="auto"/>
              <w:rPr>
                <w:rFonts w:ascii="宋体" w:hAnsi="宋体"/>
                <w:color w:val="auto"/>
                <w:szCs w:val="21"/>
                <w:highlight w:val="none"/>
              </w:rPr>
            </w:pPr>
          </w:p>
        </w:tc>
        <w:tc>
          <w:tcPr>
            <w:tcW w:w="509" w:type="pct"/>
            <w:noWrap w:val="0"/>
            <w:vAlign w:val="center"/>
          </w:tcPr>
          <w:p w14:paraId="33FF4601">
            <w:pPr>
              <w:spacing w:line="360" w:lineRule="auto"/>
              <w:rPr>
                <w:rFonts w:ascii="宋体" w:hAnsi="宋体"/>
                <w:color w:val="auto"/>
                <w:szCs w:val="21"/>
                <w:highlight w:val="none"/>
              </w:rPr>
            </w:pPr>
          </w:p>
        </w:tc>
      </w:tr>
      <w:tr w14:paraId="1D16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4634D86C">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803" w:type="pct"/>
            <w:noWrap w:val="0"/>
            <w:vAlign w:val="center"/>
          </w:tcPr>
          <w:p w14:paraId="1DE129B7">
            <w:pPr>
              <w:spacing w:line="360" w:lineRule="auto"/>
              <w:rPr>
                <w:rFonts w:ascii="宋体" w:hAnsi="宋体"/>
                <w:color w:val="auto"/>
                <w:szCs w:val="21"/>
                <w:highlight w:val="none"/>
              </w:rPr>
            </w:pPr>
          </w:p>
        </w:tc>
        <w:tc>
          <w:tcPr>
            <w:tcW w:w="539" w:type="pct"/>
            <w:noWrap w:val="0"/>
            <w:vAlign w:val="center"/>
          </w:tcPr>
          <w:p w14:paraId="55A7A2D2">
            <w:pPr>
              <w:spacing w:line="360" w:lineRule="auto"/>
              <w:rPr>
                <w:rFonts w:ascii="宋体" w:hAnsi="宋体"/>
                <w:color w:val="auto"/>
                <w:szCs w:val="21"/>
                <w:highlight w:val="none"/>
              </w:rPr>
            </w:pPr>
          </w:p>
        </w:tc>
        <w:tc>
          <w:tcPr>
            <w:tcW w:w="835" w:type="pct"/>
            <w:noWrap w:val="0"/>
            <w:vAlign w:val="center"/>
          </w:tcPr>
          <w:p w14:paraId="340526E7">
            <w:pPr>
              <w:spacing w:line="360" w:lineRule="auto"/>
              <w:rPr>
                <w:rFonts w:ascii="宋体" w:hAnsi="宋体"/>
                <w:color w:val="auto"/>
                <w:szCs w:val="21"/>
                <w:highlight w:val="none"/>
              </w:rPr>
            </w:pPr>
          </w:p>
        </w:tc>
        <w:tc>
          <w:tcPr>
            <w:tcW w:w="959" w:type="pct"/>
            <w:noWrap w:val="0"/>
            <w:vAlign w:val="center"/>
          </w:tcPr>
          <w:p w14:paraId="37FE3A80">
            <w:pPr>
              <w:spacing w:line="360" w:lineRule="auto"/>
              <w:rPr>
                <w:rFonts w:ascii="宋体" w:hAnsi="宋体"/>
                <w:color w:val="auto"/>
                <w:szCs w:val="21"/>
                <w:highlight w:val="none"/>
              </w:rPr>
            </w:pPr>
          </w:p>
        </w:tc>
        <w:tc>
          <w:tcPr>
            <w:tcW w:w="918" w:type="pct"/>
            <w:noWrap w:val="0"/>
            <w:vAlign w:val="center"/>
          </w:tcPr>
          <w:p w14:paraId="03C74A79">
            <w:pPr>
              <w:spacing w:line="360" w:lineRule="auto"/>
              <w:rPr>
                <w:rFonts w:ascii="宋体" w:hAnsi="宋体"/>
                <w:color w:val="auto"/>
                <w:szCs w:val="21"/>
                <w:highlight w:val="none"/>
              </w:rPr>
            </w:pPr>
          </w:p>
        </w:tc>
        <w:tc>
          <w:tcPr>
            <w:tcW w:w="509" w:type="pct"/>
            <w:noWrap w:val="0"/>
            <w:vAlign w:val="center"/>
          </w:tcPr>
          <w:p w14:paraId="22E46E50">
            <w:pPr>
              <w:spacing w:line="360" w:lineRule="auto"/>
              <w:rPr>
                <w:rFonts w:ascii="宋体" w:hAnsi="宋体"/>
                <w:color w:val="auto"/>
                <w:szCs w:val="21"/>
                <w:highlight w:val="none"/>
              </w:rPr>
            </w:pPr>
          </w:p>
        </w:tc>
      </w:tr>
      <w:tr w14:paraId="5624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2BF902B2">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803" w:type="pct"/>
            <w:noWrap w:val="0"/>
            <w:vAlign w:val="center"/>
          </w:tcPr>
          <w:p w14:paraId="35C8E750">
            <w:pPr>
              <w:spacing w:line="360" w:lineRule="auto"/>
              <w:rPr>
                <w:rFonts w:ascii="宋体" w:hAnsi="宋体"/>
                <w:color w:val="auto"/>
                <w:szCs w:val="21"/>
                <w:highlight w:val="none"/>
              </w:rPr>
            </w:pPr>
          </w:p>
        </w:tc>
        <w:tc>
          <w:tcPr>
            <w:tcW w:w="539" w:type="pct"/>
            <w:noWrap w:val="0"/>
            <w:vAlign w:val="center"/>
          </w:tcPr>
          <w:p w14:paraId="023EC1E8">
            <w:pPr>
              <w:spacing w:line="360" w:lineRule="auto"/>
              <w:rPr>
                <w:rFonts w:ascii="宋体" w:hAnsi="宋体"/>
                <w:color w:val="auto"/>
                <w:szCs w:val="21"/>
                <w:highlight w:val="none"/>
              </w:rPr>
            </w:pPr>
          </w:p>
        </w:tc>
        <w:tc>
          <w:tcPr>
            <w:tcW w:w="835" w:type="pct"/>
            <w:noWrap w:val="0"/>
            <w:vAlign w:val="center"/>
          </w:tcPr>
          <w:p w14:paraId="340B2C8E">
            <w:pPr>
              <w:spacing w:line="360" w:lineRule="auto"/>
              <w:rPr>
                <w:rFonts w:ascii="宋体" w:hAnsi="宋体"/>
                <w:color w:val="auto"/>
                <w:szCs w:val="21"/>
                <w:highlight w:val="none"/>
              </w:rPr>
            </w:pPr>
          </w:p>
        </w:tc>
        <w:tc>
          <w:tcPr>
            <w:tcW w:w="959" w:type="pct"/>
            <w:noWrap w:val="0"/>
            <w:vAlign w:val="center"/>
          </w:tcPr>
          <w:p w14:paraId="3696A76C">
            <w:pPr>
              <w:spacing w:line="360" w:lineRule="auto"/>
              <w:rPr>
                <w:rFonts w:ascii="宋体" w:hAnsi="宋体"/>
                <w:color w:val="auto"/>
                <w:szCs w:val="21"/>
                <w:highlight w:val="none"/>
              </w:rPr>
            </w:pPr>
          </w:p>
        </w:tc>
        <w:tc>
          <w:tcPr>
            <w:tcW w:w="918" w:type="pct"/>
            <w:noWrap w:val="0"/>
            <w:vAlign w:val="center"/>
          </w:tcPr>
          <w:p w14:paraId="4BD867F4">
            <w:pPr>
              <w:spacing w:line="360" w:lineRule="auto"/>
              <w:rPr>
                <w:rFonts w:ascii="宋体" w:hAnsi="宋体"/>
                <w:color w:val="auto"/>
                <w:szCs w:val="21"/>
                <w:highlight w:val="none"/>
              </w:rPr>
            </w:pPr>
          </w:p>
        </w:tc>
        <w:tc>
          <w:tcPr>
            <w:tcW w:w="509" w:type="pct"/>
            <w:noWrap w:val="0"/>
            <w:vAlign w:val="center"/>
          </w:tcPr>
          <w:p w14:paraId="491BD022">
            <w:pPr>
              <w:spacing w:line="360" w:lineRule="auto"/>
              <w:rPr>
                <w:rFonts w:ascii="宋体" w:hAnsi="宋体"/>
                <w:color w:val="auto"/>
                <w:szCs w:val="21"/>
                <w:highlight w:val="none"/>
              </w:rPr>
            </w:pPr>
          </w:p>
        </w:tc>
      </w:tr>
    </w:tbl>
    <w:p w14:paraId="623032C9">
      <w:pPr>
        <w:adjustRightInd w:val="0"/>
        <w:snapToGrid w:val="0"/>
        <w:spacing w:line="360" w:lineRule="auto"/>
        <w:rPr>
          <w:rFonts w:ascii="宋体" w:hAnsi="宋体"/>
          <w:b/>
          <w:bCs/>
          <w:color w:val="auto"/>
          <w:szCs w:val="21"/>
          <w:highlight w:val="none"/>
        </w:rPr>
      </w:pPr>
    </w:p>
    <w:p w14:paraId="631ECA0C">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备注：</w:t>
      </w:r>
    </w:p>
    <w:p w14:paraId="0A8C8BE6">
      <w:pPr>
        <w:spacing w:line="360" w:lineRule="auto"/>
        <w:ind w:firstLine="435"/>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表中所列内容为满足本项目要求的</w:t>
      </w:r>
      <w:r>
        <w:rPr>
          <w:rFonts w:hint="eastAsia" w:ascii="宋体" w:hAnsi="宋体"/>
          <w:bCs/>
          <w:color w:val="auto"/>
          <w:szCs w:val="21"/>
          <w:highlight w:val="none"/>
        </w:rPr>
        <w:t>主要标的信息；</w:t>
      </w:r>
    </w:p>
    <w:p w14:paraId="2D32096B">
      <w:pPr>
        <w:spacing w:line="360" w:lineRule="auto"/>
        <w:ind w:firstLine="435"/>
        <w:rPr>
          <w:rFonts w:ascii="宋体" w:hAnsi="宋体"/>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中标人提供的以上承诺情况（含名称、品牌、规格型号、数量、单价），经评标委员会确认后，将按约定随中标结果公告同时公告。</w:t>
      </w:r>
    </w:p>
    <w:bookmarkEnd w:id="1019"/>
    <w:p w14:paraId="302106FD">
      <w:pPr>
        <w:pStyle w:val="3"/>
        <w:widowControl/>
        <w:spacing w:before="120" w:after="120" w:line="240" w:lineRule="auto"/>
        <w:jc w:val="center"/>
        <w:rPr>
          <w:rStyle w:val="23"/>
          <w:rFonts w:hint="eastAsia" w:ascii="宋体" w:hAnsi="宋体" w:eastAsia="宋体" w:cs="宋体"/>
          <w:b/>
          <w:bCs/>
          <w:color w:val="auto"/>
          <w:sz w:val="30"/>
          <w:szCs w:val="30"/>
          <w:highlight w:val="none"/>
        </w:rPr>
      </w:pPr>
      <w:r>
        <w:rPr>
          <w:rStyle w:val="23"/>
          <w:rFonts w:hint="eastAsia" w:ascii="宋体" w:hAnsi="宋体" w:eastAsia="宋体" w:cs="宋体"/>
          <w:b/>
          <w:bCs/>
          <w:color w:val="auto"/>
          <w:sz w:val="30"/>
          <w:szCs w:val="30"/>
          <w:highlight w:val="none"/>
        </w:rPr>
        <w:br w:type="page"/>
      </w:r>
      <w:r>
        <w:rPr>
          <w:rStyle w:val="23"/>
          <w:rFonts w:hint="eastAsia" w:ascii="宋体" w:hAnsi="宋体" w:eastAsia="宋体" w:cs="宋体"/>
          <w:b/>
          <w:bCs/>
          <w:color w:val="auto"/>
          <w:sz w:val="30"/>
          <w:szCs w:val="30"/>
          <w:highlight w:val="none"/>
        </w:rPr>
        <w:t>十二、投标人认为应该提供的其他资料</w:t>
      </w:r>
    </w:p>
    <w:p w14:paraId="53CD1CB4">
      <w:pPr>
        <w:widowControl/>
        <w:jc w:val="left"/>
        <w:rPr>
          <w:rFonts w:hint="eastAsia" w:ascii="宋体" w:hAnsi="宋体" w:cs="宋体"/>
          <w:color w:val="auto"/>
          <w:szCs w:val="21"/>
          <w:highlight w:val="none"/>
        </w:rPr>
      </w:pPr>
    </w:p>
    <w:p w14:paraId="0BE47ED4">
      <w:pPr>
        <w:rPr>
          <w:color w:val="auto"/>
          <w:highlight w:val="none"/>
        </w:rPr>
      </w:pPr>
    </w:p>
    <w:sectPr>
      <w:footerReference r:id="rId9" w:type="even"/>
      <w:footnotePr>
        <w:numFmt w:val="decimalEnclosedCircleChinese"/>
        <w:numRestart w:val="eachPage"/>
      </w:footnotePr>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659C7">
    <w:pPr>
      <w:pStyle w:val="12"/>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47B0">
    <w:pPr>
      <w:pStyle w:val="12"/>
      <w:rPr>
        <w:rFonts w:ascii="宋体" w:hAnsi="宋体"/>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61EF7">
    <w:pPr>
      <w:pStyle w:val="12"/>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14</w:t>
    </w:r>
    <w:r>
      <w:rPr>
        <w:rFonts w:ascii="宋体" w:hAnsi="宋体"/>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5DCD5">
    <w:pPr>
      <w:pStyle w:val="12"/>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40</w:t>
    </w:r>
    <w:r>
      <w:rPr>
        <w:rFonts w:ascii="宋体" w:hAnsi="宋体"/>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4921A">
    <w:pPr>
      <w:pStyle w:val="12"/>
      <w:framePr w:wrap="around" w:vAnchor="text" w:hAnchor="margin" w:xAlign="center" w:y="1"/>
      <w:rPr>
        <w:rStyle w:val="20"/>
      </w:rPr>
    </w:pPr>
    <w:r>
      <w:fldChar w:fldCharType="begin"/>
    </w:r>
    <w:r>
      <w:rPr>
        <w:rStyle w:val="20"/>
      </w:rPr>
      <w:instrText xml:space="preserve">PAGE  </w:instrText>
    </w:r>
    <w:r>
      <w:fldChar w:fldCharType="separate"/>
    </w:r>
    <w:r>
      <w:fldChar w:fldCharType="end"/>
    </w:r>
  </w:p>
  <w:p w14:paraId="5991748B">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46E388A">
      <w:pPr>
        <w:widowControl/>
        <w:jc w:val="left"/>
        <w:rPr>
          <w:rFonts w:eastAsia="仿宋"/>
        </w:rPr>
      </w:pPr>
      <w:r>
        <w:rPr>
          <w:rStyle w:val="22"/>
          <w:rFonts w:eastAsia="仿宋"/>
        </w:rPr>
        <w:footnoteRef/>
      </w:r>
      <w:r>
        <w:rPr>
          <w:rFonts w:hint="eastAsia" w:ascii="宋体" w:hAnsi="宋体" w:eastAsia="仿宋" w:cs="宋体"/>
          <w:color w:val="000000"/>
          <w:kern w:val="0"/>
          <w:sz w:val="18"/>
          <w:szCs w:val="18"/>
          <w:lang w:bidi="ar"/>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450AF">
    <w:pPr>
      <w:pStyle w:val="13"/>
      <w:jc w:val="left"/>
      <w:rPr>
        <w:sz w:val="21"/>
      </w:rPr>
    </w:pPr>
    <w:r>
      <w:rPr>
        <w:rFonts w:hint="eastAsia"/>
        <w:sz w:val="21"/>
      </w:rPr>
      <w:t xml:space="preserve">        项目名称                                             安徽省招标集团股份有限公司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CA6A8"/>
    <w:multiLevelType w:val="singleLevel"/>
    <w:tmpl w:val="CD7CA6A8"/>
    <w:lvl w:ilvl="0" w:tentative="0">
      <w:start w:val="1"/>
      <w:numFmt w:val="chineseCounting"/>
      <w:suff w:val="nothing"/>
      <w:lvlText w:val="%1、"/>
      <w:lvlJc w:val="left"/>
      <w:rPr>
        <w:rFonts w:hint="eastAsia"/>
        <w:color w:val="000000"/>
      </w:rPr>
    </w:lvl>
  </w:abstractNum>
  <w:abstractNum w:abstractNumId="1">
    <w:nsid w:val="DC6B3FD0"/>
    <w:multiLevelType w:val="singleLevel"/>
    <w:tmpl w:val="DC6B3FD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64E69"/>
    <w:rsid w:val="00645991"/>
    <w:rsid w:val="007A51B4"/>
    <w:rsid w:val="02CD3CC1"/>
    <w:rsid w:val="030A0A72"/>
    <w:rsid w:val="033E071B"/>
    <w:rsid w:val="0361440A"/>
    <w:rsid w:val="045D72C7"/>
    <w:rsid w:val="04BA0275"/>
    <w:rsid w:val="054E5BCA"/>
    <w:rsid w:val="055661F0"/>
    <w:rsid w:val="06110498"/>
    <w:rsid w:val="06CC4A19"/>
    <w:rsid w:val="06FE51BD"/>
    <w:rsid w:val="07046BC9"/>
    <w:rsid w:val="07100621"/>
    <w:rsid w:val="0762064D"/>
    <w:rsid w:val="080C528C"/>
    <w:rsid w:val="08207405"/>
    <w:rsid w:val="08430582"/>
    <w:rsid w:val="085C4D67"/>
    <w:rsid w:val="08E90E55"/>
    <w:rsid w:val="09293CBF"/>
    <w:rsid w:val="09A82D92"/>
    <w:rsid w:val="0A1044A4"/>
    <w:rsid w:val="0A195A3E"/>
    <w:rsid w:val="0A1C108A"/>
    <w:rsid w:val="0A5B1BB3"/>
    <w:rsid w:val="0ABA0FCF"/>
    <w:rsid w:val="0ABD461B"/>
    <w:rsid w:val="0AED21E1"/>
    <w:rsid w:val="0B5D195B"/>
    <w:rsid w:val="0BDC31C7"/>
    <w:rsid w:val="0BDF7055"/>
    <w:rsid w:val="0BF64289"/>
    <w:rsid w:val="0C032502"/>
    <w:rsid w:val="0C6F7B97"/>
    <w:rsid w:val="0CA50682"/>
    <w:rsid w:val="0CC223BD"/>
    <w:rsid w:val="0D274753"/>
    <w:rsid w:val="0DAE649D"/>
    <w:rsid w:val="0DD34156"/>
    <w:rsid w:val="0EB501FE"/>
    <w:rsid w:val="0F1561D3"/>
    <w:rsid w:val="0F403A6D"/>
    <w:rsid w:val="101F1ADF"/>
    <w:rsid w:val="10274A79"/>
    <w:rsid w:val="1029442C"/>
    <w:rsid w:val="10DE52EC"/>
    <w:rsid w:val="113A74D6"/>
    <w:rsid w:val="11655DAA"/>
    <w:rsid w:val="11BF6ECB"/>
    <w:rsid w:val="11FC011F"/>
    <w:rsid w:val="122B584C"/>
    <w:rsid w:val="1255112F"/>
    <w:rsid w:val="12AD1419"/>
    <w:rsid w:val="12B66520"/>
    <w:rsid w:val="12B91B6C"/>
    <w:rsid w:val="14327E28"/>
    <w:rsid w:val="14EC2265"/>
    <w:rsid w:val="14F450DE"/>
    <w:rsid w:val="154C6CC8"/>
    <w:rsid w:val="1557566D"/>
    <w:rsid w:val="156C736A"/>
    <w:rsid w:val="157D1577"/>
    <w:rsid w:val="15802E15"/>
    <w:rsid w:val="15FB06EE"/>
    <w:rsid w:val="1651030E"/>
    <w:rsid w:val="16985F3D"/>
    <w:rsid w:val="16BC60CF"/>
    <w:rsid w:val="16CB00C0"/>
    <w:rsid w:val="171338FD"/>
    <w:rsid w:val="17575DF8"/>
    <w:rsid w:val="17AA5F28"/>
    <w:rsid w:val="17AC6144"/>
    <w:rsid w:val="17CE60BA"/>
    <w:rsid w:val="17F6116D"/>
    <w:rsid w:val="17F82355"/>
    <w:rsid w:val="181B6E25"/>
    <w:rsid w:val="182932F0"/>
    <w:rsid w:val="194A1770"/>
    <w:rsid w:val="1A306CD8"/>
    <w:rsid w:val="1A6B0CB8"/>
    <w:rsid w:val="1A9D2818"/>
    <w:rsid w:val="1B466AA1"/>
    <w:rsid w:val="1B733202"/>
    <w:rsid w:val="1C0B3B97"/>
    <w:rsid w:val="1C2838BF"/>
    <w:rsid w:val="1C646FED"/>
    <w:rsid w:val="1CD75D0D"/>
    <w:rsid w:val="1CDA2E0B"/>
    <w:rsid w:val="1CDA72AF"/>
    <w:rsid w:val="1CF540E9"/>
    <w:rsid w:val="1D083E1C"/>
    <w:rsid w:val="1D8316F5"/>
    <w:rsid w:val="1DE303E5"/>
    <w:rsid w:val="1E432C32"/>
    <w:rsid w:val="1EC975DB"/>
    <w:rsid w:val="1ECF0A05"/>
    <w:rsid w:val="1F1545CE"/>
    <w:rsid w:val="1F332CA6"/>
    <w:rsid w:val="1FF40688"/>
    <w:rsid w:val="200A09E3"/>
    <w:rsid w:val="207F6D55"/>
    <w:rsid w:val="208960B4"/>
    <w:rsid w:val="217575A6"/>
    <w:rsid w:val="21920158"/>
    <w:rsid w:val="21D175BF"/>
    <w:rsid w:val="21EB1616"/>
    <w:rsid w:val="22CC769A"/>
    <w:rsid w:val="22DD5403"/>
    <w:rsid w:val="22F97D63"/>
    <w:rsid w:val="22FF35CB"/>
    <w:rsid w:val="232B0864"/>
    <w:rsid w:val="243A3AB5"/>
    <w:rsid w:val="24F829C8"/>
    <w:rsid w:val="25421E95"/>
    <w:rsid w:val="25A8619C"/>
    <w:rsid w:val="263C4B36"/>
    <w:rsid w:val="26681488"/>
    <w:rsid w:val="270C275B"/>
    <w:rsid w:val="27387176"/>
    <w:rsid w:val="27447380"/>
    <w:rsid w:val="27856069"/>
    <w:rsid w:val="2786250D"/>
    <w:rsid w:val="27AB1F74"/>
    <w:rsid w:val="27ED6457"/>
    <w:rsid w:val="27F136FF"/>
    <w:rsid w:val="280C1AE6"/>
    <w:rsid w:val="28213FE4"/>
    <w:rsid w:val="2870444E"/>
    <w:rsid w:val="28761D28"/>
    <w:rsid w:val="289B1FE8"/>
    <w:rsid w:val="28A40771"/>
    <w:rsid w:val="290A4A78"/>
    <w:rsid w:val="29787C34"/>
    <w:rsid w:val="29AB625B"/>
    <w:rsid w:val="2A84085A"/>
    <w:rsid w:val="2AAB5DE7"/>
    <w:rsid w:val="2ABE5B1A"/>
    <w:rsid w:val="2ABE6C4C"/>
    <w:rsid w:val="2ADC0B65"/>
    <w:rsid w:val="2C2A1134"/>
    <w:rsid w:val="2C4D2971"/>
    <w:rsid w:val="2C5C1A8E"/>
    <w:rsid w:val="2C680433"/>
    <w:rsid w:val="2C9F7BCD"/>
    <w:rsid w:val="2DB33930"/>
    <w:rsid w:val="2E0226E0"/>
    <w:rsid w:val="2E6769A6"/>
    <w:rsid w:val="2EC67D1D"/>
    <w:rsid w:val="2EC954D7"/>
    <w:rsid w:val="2F546A4D"/>
    <w:rsid w:val="2FAF45CB"/>
    <w:rsid w:val="2FDE6C5E"/>
    <w:rsid w:val="2FEC4ED7"/>
    <w:rsid w:val="30093CDB"/>
    <w:rsid w:val="303D3985"/>
    <w:rsid w:val="306C6018"/>
    <w:rsid w:val="307355F9"/>
    <w:rsid w:val="308E5F8F"/>
    <w:rsid w:val="30A65EF4"/>
    <w:rsid w:val="30DC4F4C"/>
    <w:rsid w:val="30E357F3"/>
    <w:rsid w:val="310E70CF"/>
    <w:rsid w:val="31210BB1"/>
    <w:rsid w:val="31337F7A"/>
    <w:rsid w:val="31815AF3"/>
    <w:rsid w:val="31864EB8"/>
    <w:rsid w:val="3195661E"/>
    <w:rsid w:val="31B639EF"/>
    <w:rsid w:val="31F455C7"/>
    <w:rsid w:val="323A3483"/>
    <w:rsid w:val="32582CF8"/>
    <w:rsid w:val="32D745DC"/>
    <w:rsid w:val="32F50547"/>
    <w:rsid w:val="32F80037"/>
    <w:rsid w:val="33633703"/>
    <w:rsid w:val="337C2A16"/>
    <w:rsid w:val="337E6F92"/>
    <w:rsid w:val="33E02FA5"/>
    <w:rsid w:val="350D601C"/>
    <w:rsid w:val="35321C38"/>
    <w:rsid w:val="3566572C"/>
    <w:rsid w:val="358931C8"/>
    <w:rsid w:val="35A3072E"/>
    <w:rsid w:val="35A818A1"/>
    <w:rsid w:val="35BB570A"/>
    <w:rsid w:val="37144D14"/>
    <w:rsid w:val="375D2B5F"/>
    <w:rsid w:val="37F05781"/>
    <w:rsid w:val="37F4701F"/>
    <w:rsid w:val="383518C3"/>
    <w:rsid w:val="38C23DE9"/>
    <w:rsid w:val="392E0314"/>
    <w:rsid w:val="393B4B12"/>
    <w:rsid w:val="39A749FB"/>
    <w:rsid w:val="39CE41FA"/>
    <w:rsid w:val="3A15327D"/>
    <w:rsid w:val="3A231E3E"/>
    <w:rsid w:val="3A3000B7"/>
    <w:rsid w:val="3A3B2CFD"/>
    <w:rsid w:val="3B201ED9"/>
    <w:rsid w:val="3B3140E6"/>
    <w:rsid w:val="3B86087B"/>
    <w:rsid w:val="3C177780"/>
    <w:rsid w:val="3C3814A4"/>
    <w:rsid w:val="3C8628E4"/>
    <w:rsid w:val="3CB52AF5"/>
    <w:rsid w:val="3D0A4BEF"/>
    <w:rsid w:val="3D0D46DF"/>
    <w:rsid w:val="3D115F7D"/>
    <w:rsid w:val="3DB72FC9"/>
    <w:rsid w:val="3E265A58"/>
    <w:rsid w:val="3E4B54BF"/>
    <w:rsid w:val="3F584337"/>
    <w:rsid w:val="3F7D5B4C"/>
    <w:rsid w:val="3F9774E0"/>
    <w:rsid w:val="3FD2156D"/>
    <w:rsid w:val="400022D9"/>
    <w:rsid w:val="40C8729B"/>
    <w:rsid w:val="40DB5220"/>
    <w:rsid w:val="40ED4F53"/>
    <w:rsid w:val="412A1D04"/>
    <w:rsid w:val="415360D2"/>
    <w:rsid w:val="41566655"/>
    <w:rsid w:val="41B63597"/>
    <w:rsid w:val="42E3660E"/>
    <w:rsid w:val="433E3844"/>
    <w:rsid w:val="43560B8E"/>
    <w:rsid w:val="43AA712C"/>
    <w:rsid w:val="440A4DD0"/>
    <w:rsid w:val="44727C49"/>
    <w:rsid w:val="4484797D"/>
    <w:rsid w:val="45303661"/>
    <w:rsid w:val="46A93627"/>
    <w:rsid w:val="46F626C3"/>
    <w:rsid w:val="4707219F"/>
    <w:rsid w:val="47372A84"/>
    <w:rsid w:val="47540767"/>
    <w:rsid w:val="475B13AB"/>
    <w:rsid w:val="47DC187E"/>
    <w:rsid w:val="48050DD4"/>
    <w:rsid w:val="48795CD4"/>
    <w:rsid w:val="488400BD"/>
    <w:rsid w:val="489B5295"/>
    <w:rsid w:val="48F86243"/>
    <w:rsid w:val="491453EA"/>
    <w:rsid w:val="49663AF5"/>
    <w:rsid w:val="49D5105C"/>
    <w:rsid w:val="49E1723F"/>
    <w:rsid w:val="49E55FF2"/>
    <w:rsid w:val="49EE01EE"/>
    <w:rsid w:val="4A1E617D"/>
    <w:rsid w:val="4A225C6E"/>
    <w:rsid w:val="4A6022F2"/>
    <w:rsid w:val="4AD056CA"/>
    <w:rsid w:val="4BB46D99"/>
    <w:rsid w:val="4BD5286C"/>
    <w:rsid w:val="4C0B44E0"/>
    <w:rsid w:val="4C567E51"/>
    <w:rsid w:val="4C6D6F48"/>
    <w:rsid w:val="4CD07C03"/>
    <w:rsid w:val="4D2E0486"/>
    <w:rsid w:val="4D811942"/>
    <w:rsid w:val="4DEF5FB2"/>
    <w:rsid w:val="4DF55447"/>
    <w:rsid w:val="4E2E44B5"/>
    <w:rsid w:val="4E743459"/>
    <w:rsid w:val="4E8E340F"/>
    <w:rsid w:val="4EA32D0C"/>
    <w:rsid w:val="4EFB083B"/>
    <w:rsid w:val="4F147DB1"/>
    <w:rsid w:val="4F735052"/>
    <w:rsid w:val="4FEC63D6"/>
    <w:rsid w:val="4FFA6D45"/>
    <w:rsid w:val="502B6EFE"/>
    <w:rsid w:val="502D0DEF"/>
    <w:rsid w:val="50355FCF"/>
    <w:rsid w:val="503E7693"/>
    <w:rsid w:val="50D84076"/>
    <w:rsid w:val="50E973D1"/>
    <w:rsid w:val="51AC2C9C"/>
    <w:rsid w:val="51B86EB8"/>
    <w:rsid w:val="51BF403F"/>
    <w:rsid w:val="51F53C68"/>
    <w:rsid w:val="528B637A"/>
    <w:rsid w:val="528D3EA0"/>
    <w:rsid w:val="52E635B0"/>
    <w:rsid w:val="53034162"/>
    <w:rsid w:val="530F0D59"/>
    <w:rsid w:val="531E71EE"/>
    <w:rsid w:val="537E1A3B"/>
    <w:rsid w:val="539B72CE"/>
    <w:rsid w:val="53C77CA0"/>
    <w:rsid w:val="53F64661"/>
    <w:rsid w:val="541C7282"/>
    <w:rsid w:val="54AB6860"/>
    <w:rsid w:val="54C13A1C"/>
    <w:rsid w:val="552D73AD"/>
    <w:rsid w:val="558C48E3"/>
    <w:rsid w:val="55B32AE8"/>
    <w:rsid w:val="55FA7A9F"/>
    <w:rsid w:val="55FC3817"/>
    <w:rsid w:val="56352885"/>
    <w:rsid w:val="566E5D97"/>
    <w:rsid w:val="567B7E74"/>
    <w:rsid w:val="56F42740"/>
    <w:rsid w:val="572F5526"/>
    <w:rsid w:val="585538A0"/>
    <w:rsid w:val="5895585D"/>
    <w:rsid w:val="58C94B89"/>
    <w:rsid w:val="58ED7447"/>
    <w:rsid w:val="59396B30"/>
    <w:rsid w:val="59782ED0"/>
    <w:rsid w:val="59BD5424"/>
    <w:rsid w:val="59C81C62"/>
    <w:rsid w:val="59D10B16"/>
    <w:rsid w:val="59E720E8"/>
    <w:rsid w:val="59EE6A80"/>
    <w:rsid w:val="5A252118"/>
    <w:rsid w:val="5A3F0176"/>
    <w:rsid w:val="5A6A5702"/>
    <w:rsid w:val="5A7B3A8B"/>
    <w:rsid w:val="5AC16A76"/>
    <w:rsid w:val="5ACB1A0A"/>
    <w:rsid w:val="5AFF16B3"/>
    <w:rsid w:val="5B280C0A"/>
    <w:rsid w:val="5B751975"/>
    <w:rsid w:val="5B780C82"/>
    <w:rsid w:val="5B9C33A6"/>
    <w:rsid w:val="5C3902D5"/>
    <w:rsid w:val="5C570C57"/>
    <w:rsid w:val="5CBD35D4"/>
    <w:rsid w:val="5CD86660"/>
    <w:rsid w:val="5D392F99"/>
    <w:rsid w:val="5D3F048D"/>
    <w:rsid w:val="5D450974"/>
    <w:rsid w:val="5D663C6C"/>
    <w:rsid w:val="5D746D54"/>
    <w:rsid w:val="5D845EA0"/>
    <w:rsid w:val="5EC05B97"/>
    <w:rsid w:val="5ECC5D50"/>
    <w:rsid w:val="5EF32937"/>
    <w:rsid w:val="5F125D34"/>
    <w:rsid w:val="5F321DAE"/>
    <w:rsid w:val="5FAA42E4"/>
    <w:rsid w:val="5FEA3975"/>
    <w:rsid w:val="5FEF619A"/>
    <w:rsid w:val="602D0A71"/>
    <w:rsid w:val="60824919"/>
    <w:rsid w:val="60964868"/>
    <w:rsid w:val="60E127A8"/>
    <w:rsid w:val="612E1512"/>
    <w:rsid w:val="617D1584"/>
    <w:rsid w:val="61BC3E5A"/>
    <w:rsid w:val="625D388F"/>
    <w:rsid w:val="63100901"/>
    <w:rsid w:val="6454481E"/>
    <w:rsid w:val="648D7D30"/>
    <w:rsid w:val="64D51FD8"/>
    <w:rsid w:val="653A1489"/>
    <w:rsid w:val="653E092E"/>
    <w:rsid w:val="65404DA2"/>
    <w:rsid w:val="657C5397"/>
    <w:rsid w:val="659A6BA8"/>
    <w:rsid w:val="65C77271"/>
    <w:rsid w:val="665F74AA"/>
    <w:rsid w:val="66DB2FD4"/>
    <w:rsid w:val="66FD119D"/>
    <w:rsid w:val="67191D4F"/>
    <w:rsid w:val="671B1798"/>
    <w:rsid w:val="67492634"/>
    <w:rsid w:val="68016A6B"/>
    <w:rsid w:val="6820799D"/>
    <w:rsid w:val="68550B65"/>
    <w:rsid w:val="688558EE"/>
    <w:rsid w:val="688E4705"/>
    <w:rsid w:val="692769A5"/>
    <w:rsid w:val="69AD52CF"/>
    <w:rsid w:val="6A1F142A"/>
    <w:rsid w:val="6A2133F4"/>
    <w:rsid w:val="6A2C68C7"/>
    <w:rsid w:val="6A7A48B2"/>
    <w:rsid w:val="6B170353"/>
    <w:rsid w:val="6B321631"/>
    <w:rsid w:val="6B713F07"/>
    <w:rsid w:val="6BE51391"/>
    <w:rsid w:val="6C356C5F"/>
    <w:rsid w:val="6CA43E69"/>
    <w:rsid w:val="6CB542C8"/>
    <w:rsid w:val="6CC369E5"/>
    <w:rsid w:val="6CC62031"/>
    <w:rsid w:val="6D5E670D"/>
    <w:rsid w:val="6D97577B"/>
    <w:rsid w:val="6E5F098F"/>
    <w:rsid w:val="6EB347CC"/>
    <w:rsid w:val="6ED50C51"/>
    <w:rsid w:val="6ED76777"/>
    <w:rsid w:val="6EF957F8"/>
    <w:rsid w:val="6F5E47A3"/>
    <w:rsid w:val="6F834209"/>
    <w:rsid w:val="6F871F4B"/>
    <w:rsid w:val="6FAA5C3A"/>
    <w:rsid w:val="6FD831C3"/>
    <w:rsid w:val="6FD9207B"/>
    <w:rsid w:val="6FE7486A"/>
    <w:rsid w:val="70251764"/>
    <w:rsid w:val="70311EB7"/>
    <w:rsid w:val="709B37D5"/>
    <w:rsid w:val="713003C1"/>
    <w:rsid w:val="71324139"/>
    <w:rsid w:val="71750E68"/>
    <w:rsid w:val="71866233"/>
    <w:rsid w:val="71995F66"/>
    <w:rsid w:val="72190C01"/>
    <w:rsid w:val="721E7841"/>
    <w:rsid w:val="727918F3"/>
    <w:rsid w:val="72B50B7E"/>
    <w:rsid w:val="72EE1264"/>
    <w:rsid w:val="731735E6"/>
    <w:rsid w:val="734C0DB6"/>
    <w:rsid w:val="74081181"/>
    <w:rsid w:val="74393A30"/>
    <w:rsid w:val="74822CE1"/>
    <w:rsid w:val="74C4779E"/>
    <w:rsid w:val="74DF0134"/>
    <w:rsid w:val="7530273D"/>
    <w:rsid w:val="75325BDD"/>
    <w:rsid w:val="7557074A"/>
    <w:rsid w:val="757310EA"/>
    <w:rsid w:val="75F57459"/>
    <w:rsid w:val="761402B1"/>
    <w:rsid w:val="761756AB"/>
    <w:rsid w:val="76C30C21"/>
    <w:rsid w:val="772E7150"/>
    <w:rsid w:val="782A5B6A"/>
    <w:rsid w:val="7A252DF4"/>
    <w:rsid w:val="7A822C67"/>
    <w:rsid w:val="7AA64E38"/>
    <w:rsid w:val="7ABD0AD6"/>
    <w:rsid w:val="7AF33677"/>
    <w:rsid w:val="7B4231CA"/>
    <w:rsid w:val="7B9B28DB"/>
    <w:rsid w:val="7BC2255D"/>
    <w:rsid w:val="7BD506E7"/>
    <w:rsid w:val="7BE82D0A"/>
    <w:rsid w:val="7C264A87"/>
    <w:rsid w:val="7C354ADD"/>
    <w:rsid w:val="7C36444F"/>
    <w:rsid w:val="7CF46746"/>
    <w:rsid w:val="7D20578D"/>
    <w:rsid w:val="7D2F59D0"/>
    <w:rsid w:val="7D8C697F"/>
    <w:rsid w:val="7D9046C1"/>
    <w:rsid w:val="7DF2712A"/>
    <w:rsid w:val="7DFE3170"/>
    <w:rsid w:val="7E946FE7"/>
    <w:rsid w:val="7EC64112"/>
    <w:rsid w:val="7F126889"/>
    <w:rsid w:val="7F435763"/>
    <w:rsid w:val="7F517E80"/>
    <w:rsid w:val="7F535494"/>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paragraph" w:styleId="4">
    <w:name w:val="heading 3"/>
    <w:basedOn w:val="1"/>
    <w:next w:val="1"/>
    <w:qFormat/>
    <w:uiPriority w:val="0"/>
    <w:pPr>
      <w:keepNext/>
      <w:keepLines/>
      <w:widowControl/>
      <w:snapToGrid w:val="0"/>
      <w:spacing w:line="360" w:lineRule="auto"/>
      <w:jc w:val="left"/>
      <w:outlineLvl w:val="2"/>
    </w:pPr>
    <w:rPr>
      <w:rFonts w:ascii="宋体" w:hAnsi="宋体"/>
      <w:b/>
      <w:bCs/>
      <w:kern w:val="0"/>
      <w:sz w:val="28"/>
      <w:lang w:eastAsia="en-US" w:bidi="en-US"/>
    </w:rPr>
  </w:style>
  <w:style w:type="paragraph" w:styleId="5">
    <w:name w:val="heading 4"/>
    <w:basedOn w:val="1"/>
    <w:next w:val="1"/>
    <w:qFormat/>
    <w:uiPriority w:val="0"/>
    <w:pPr>
      <w:keepNext/>
      <w:keepLines/>
      <w:widowControl/>
      <w:spacing w:beforeLines="0" w:line="276" w:lineRule="auto"/>
      <w:jc w:val="left"/>
      <w:outlineLvl w:val="3"/>
    </w:pPr>
    <w:rPr>
      <w:rFonts w:ascii="Cambria" w:hAnsi="Cambria" w:eastAsia="宋体"/>
      <w:b/>
      <w:bCs/>
      <w:iCs/>
      <w:color w:val="4F81BD"/>
      <w:kern w:val="0"/>
      <w:sz w:val="22"/>
      <w:lang w:eastAsia="en-US" w:bidi="en-US"/>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qFormat/>
    <w:uiPriority w:val="0"/>
    <w:rPr>
      <w:rFonts w:eastAsia="黑体"/>
      <w:sz w:val="36"/>
    </w:rPr>
  </w:style>
  <w:style w:type="paragraph" w:styleId="8">
    <w:name w:val="Body Text Indent"/>
    <w:basedOn w:val="1"/>
    <w:next w:val="9"/>
    <w:qFormat/>
    <w:uiPriority w:val="0"/>
    <w:pPr>
      <w:spacing w:after="120" w:afterLines="0"/>
      <w:ind w:left="420" w:leftChars="200"/>
    </w:pPr>
  </w:style>
  <w:style w:type="paragraph" w:styleId="9">
    <w:name w:val="envelope return"/>
    <w:basedOn w:val="1"/>
    <w:unhideWhenUsed/>
    <w:qFormat/>
    <w:uiPriority w:val="0"/>
    <w:pPr>
      <w:snapToGrid w:val="0"/>
    </w:pPr>
    <w:rPr>
      <w:rFonts w:ascii="Arial" w:hAnsi="Arial"/>
    </w:rPr>
  </w:style>
  <w:style w:type="paragraph" w:styleId="10">
    <w:name w:val="Plain Text"/>
    <w:basedOn w:val="1"/>
    <w:qFormat/>
    <w:uiPriority w:val="0"/>
    <w:rPr>
      <w:rFonts w:ascii="宋体" w:hAnsi="Courier New"/>
      <w:szCs w:val="21"/>
    </w:rPr>
  </w:style>
  <w:style w:type="paragraph" w:styleId="11">
    <w:name w:val="Date"/>
    <w:basedOn w:val="1"/>
    <w:next w:val="1"/>
    <w:qFormat/>
    <w:uiPriority w:val="0"/>
    <w:pPr>
      <w:adjustRightInd w:val="0"/>
      <w:spacing w:line="360" w:lineRule="atLeast"/>
    </w:pPr>
    <w:rPr>
      <w:rFonts w:ascii="宋体"/>
      <w:kern w:val="0"/>
      <w:sz w:val="24"/>
      <w:szCs w:val="20"/>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pPr>
      <w:spacing w:before="120" w:after="120"/>
      <w:jc w:val="left"/>
    </w:pPr>
    <w:rPr>
      <w:rFonts w:ascii="Calibri" w:hAnsi="Calibri"/>
      <w:b/>
      <w:bCs/>
      <w:caps/>
      <w:sz w:val="20"/>
      <w:szCs w:val="20"/>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6">
    <w:name w:val="Body Text First Indent 2"/>
    <w:basedOn w:val="8"/>
    <w:next w:val="1"/>
    <w:qFormat/>
    <w:uiPriority w:val="99"/>
    <w:pPr>
      <w:tabs>
        <w:tab w:val="left" w:pos="8280"/>
      </w:tabs>
      <w:ind w:left="480" w:firstLine="210" w:firstLineChars="100"/>
      <w:jc w:val="left"/>
    </w:pPr>
    <w:rPr>
      <w:rFonts w:ascii="DFKai-SB" w:eastAsia="DFKai-SB"/>
      <w:sz w:val="28"/>
      <w:lang w:eastAsia="zh-TW"/>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Hyperlink"/>
    <w:qFormat/>
    <w:uiPriority w:val="99"/>
    <w:rPr>
      <w:color w:val="333333"/>
      <w:u w:val="none"/>
    </w:rPr>
  </w:style>
  <w:style w:type="character" w:styleId="22">
    <w:name w:val="footnote reference"/>
    <w:qFormat/>
    <w:uiPriority w:val="99"/>
    <w:rPr>
      <w:vertAlign w:val="superscript"/>
    </w:rPr>
  </w:style>
  <w:style w:type="character" w:customStyle="1" w:styleId="23">
    <w:name w:val="标题 2 Char Char"/>
    <w:qFormat/>
    <w:uiPriority w:val="0"/>
    <w:rPr>
      <w:rFonts w:ascii="Arial" w:hAnsi="Arial" w:eastAsia="黑体" w:cs="Times New Roman"/>
      <w:b/>
      <w:bCs/>
      <w:kern w:val="2"/>
      <w:sz w:val="32"/>
      <w:szCs w:val="32"/>
      <w:lang w:val="en-US" w:eastAsia="zh-CN" w:bidi="ar-SA"/>
    </w:rPr>
  </w:style>
  <w:style w:type="paragraph" w:customStyle="1" w:styleId="24">
    <w:name w:val="正文2"/>
    <w:qFormat/>
    <w:uiPriority w:val="0"/>
    <w:pPr>
      <w:widowControl w:val="0"/>
      <w:adjustRightInd w:val="0"/>
      <w:spacing w:line="312" w:lineRule="atLeast"/>
      <w:jc w:val="both"/>
      <w:textAlignment w:val="baseline"/>
    </w:pPr>
    <w:rPr>
      <w:rFonts w:ascii="宋体" w:hAnsi="Times New Roman" w:eastAsia="楷体" w:cs="Times New Roman"/>
      <w:b/>
      <w:color w:val="0000FF"/>
      <w:kern w:val="2"/>
      <w:sz w:val="21"/>
      <w:szCs w:val="22"/>
      <w:lang w:val="en-US" w:eastAsia="zh-CN" w:bidi="ar-SA"/>
    </w:rPr>
  </w:style>
  <w:style w:type="paragraph" w:customStyle="1" w:styleId="25">
    <w:name w:val="列出段落1"/>
    <w:basedOn w:val="1"/>
    <w:qFormat/>
    <w:uiPriority w:val="0"/>
    <w:pPr>
      <w:ind w:firstLine="420" w:firstLineChars="200"/>
    </w:pPr>
  </w:style>
  <w:style w:type="character" w:customStyle="1" w:styleId="26">
    <w:name w:val="font31"/>
    <w:basedOn w:val="19"/>
    <w:qFormat/>
    <w:uiPriority w:val="0"/>
    <w:rPr>
      <w:rFonts w:hint="eastAsia" w:ascii="宋体" w:hAnsi="宋体" w:eastAsia="宋体" w:cs="宋体"/>
      <w:color w:val="000000"/>
      <w:sz w:val="22"/>
      <w:szCs w:val="22"/>
      <w:u w:val="none"/>
    </w:rPr>
  </w:style>
  <w:style w:type="character" w:customStyle="1" w:styleId="27">
    <w:name w:val="font21"/>
    <w:basedOn w:val="19"/>
    <w:qFormat/>
    <w:uiPriority w:val="0"/>
    <w:rPr>
      <w:rFonts w:hint="eastAsia" w:ascii="仿宋" w:hAnsi="仿宋" w:eastAsia="仿宋" w:cs="仿宋"/>
      <w:color w:val="000000"/>
      <w:sz w:val="21"/>
      <w:szCs w:val="21"/>
      <w:u w:val="none"/>
    </w:rPr>
  </w:style>
  <w:style w:type="character" w:customStyle="1" w:styleId="28">
    <w:name w:val="font81"/>
    <w:basedOn w:val="19"/>
    <w:qFormat/>
    <w:uiPriority w:val="0"/>
    <w:rPr>
      <w:rFonts w:hint="eastAsia" w:ascii="仿宋" w:hAnsi="仿宋" w:eastAsia="仿宋" w:cs="仿宋"/>
      <w:color w:val="000000"/>
      <w:sz w:val="22"/>
      <w:szCs w:val="22"/>
      <w:u w:val="none"/>
    </w:rPr>
  </w:style>
  <w:style w:type="character" w:customStyle="1" w:styleId="29">
    <w:name w:val="font61"/>
    <w:basedOn w:val="19"/>
    <w:qFormat/>
    <w:uiPriority w:val="0"/>
    <w:rPr>
      <w:rFonts w:hint="default" w:ascii="Times New Roman" w:hAnsi="Times New Roman" w:cs="Times New Roman"/>
      <w:color w:val="000000"/>
      <w:sz w:val="22"/>
      <w:szCs w:val="22"/>
      <w:u w:val="none"/>
    </w:rPr>
  </w:style>
  <w:style w:type="paragraph" w:customStyle="1" w:styleId="30">
    <w:name w:val="D&amp;L"/>
    <w:basedOn w:val="1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31">
    <w:name w:val="p0"/>
    <w:basedOn w:val="1"/>
    <w:qFormat/>
    <w:uiPriority w:val="0"/>
    <w:pPr>
      <w:widowControl/>
    </w:pPr>
    <w:rPr>
      <w:kern w:val="0"/>
      <w:szCs w:val="21"/>
    </w:rPr>
  </w:style>
  <w:style w:type="paragraph" w:customStyle="1" w:styleId="32">
    <w:name w:val="p15"/>
    <w:basedOn w:val="1"/>
    <w:qFormat/>
    <w:uiPriority w:val="0"/>
    <w:pPr>
      <w:widowControl/>
      <w:spacing w:before="100" w:line="400" w:lineRule="atLeast"/>
    </w:pPr>
    <w:rPr>
      <w:kern w:val="0"/>
      <w:sz w:val="28"/>
      <w:szCs w:val="28"/>
    </w:rPr>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4">
    <w:name w:val="font11"/>
    <w:basedOn w:val="19"/>
    <w:qFormat/>
    <w:uiPriority w:val="0"/>
    <w:rPr>
      <w:rFonts w:hint="eastAsia" w:ascii="宋体" w:hAnsi="宋体" w:eastAsia="宋体" w:cs="宋体"/>
      <w:color w:val="000000"/>
      <w:sz w:val="21"/>
      <w:szCs w:val="21"/>
      <w:u w:val="none"/>
    </w:rPr>
  </w:style>
  <w:style w:type="paragraph" w:styleId="3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124</Pages>
  <Words>20197</Words>
  <Characters>22289</Characters>
  <Lines>0</Lines>
  <Paragraphs>0</Paragraphs>
  <TotalTime>23</TotalTime>
  <ScaleCrop>false</ScaleCrop>
  <LinksUpToDate>false</LinksUpToDate>
  <CharactersWithSpaces>22534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2025-08-20T05:52:00Z</dcterms:created>
  <dc:creator>Mouns-J</dc:creator>
  <cp:lastModifiedBy>Mouns-J</cp:lastModifiedBy>
  <dcterms:modified xsi:type="dcterms:W3CDTF">2025-11-19T11:04:07Z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eyJoZGlkIjoiMmJiYzRlOGJmMGIyYjk3YjE2YTYxOTA5ZDBjZWRiM2UiLCJ1c2VySWQiOiIzMjIxNTQ2MDAifQ==</vt:lpwstr>
  </property>
  <property fmtid="{D5CDD505-2E9C-101B-9397-08002B2CF9AE}" pid="4" name="ICV">
    <vt:lpwstr>18837C51CD79424C9835367892DF9BB0_13</vt:lpwstr>
  </property>
</Properties>
</file>