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648A9894">
      <w:pPr>
        <w:spacing w:line="360" w:lineRule="auto"/>
        <w:ind w:firstLine="435"/>
        <w:rPr>
          <w:rFonts w:ascii="宋体" w:hAnsi="宋体" w:eastAsia="宋体"/>
          <w:sz w:val="24"/>
          <w:szCs w:val="18"/>
        </w:rPr>
      </w:pPr>
      <w:r>
        <w:rPr>
          <w:rFonts w:hint="eastAsia" w:asciiTheme="minorEastAsia" w:hAnsiTheme="minorEastAsia" w:eastAsiaTheme="minorEastAsia"/>
          <w:sz w:val="24"/>
        </w:rPr>
        <w:t>1.</w:t>
      </w:r>
      <w:r>
        <w:rPr>
          <w:rFonts w:ascii="宋体" w:hAnsi="宋体" w:eastAsia="宋体"/>
          <w:sz w:val="24"/>
          <w:szCs w:val="18"/>
        </w:rPr>
        <w:t>根据《</w:t>
      </w:r>
      <w:r>
        <w:rPr>
          <w:rFonts w:hint="eastAsia" w:ascii="宋体" w:hAnsi="宋体" w:eastAsia="宋体"/>
          <w:sz w:val="24"/>
          <w:szCs w:val="18"/>
        </w:rPr>
        <w:t>政府采购进口产品管理办法</w:t>
      </w:r>
      <w:r>
        <w:rPr>
          <w:rFonts w:ascii="宋体" w:hAnsi="宋体" w:eastAsia="宋体"/>
          <w:sz w:val="24"/>
          <w:szCs w:val="18"/>
        </w:rPr>
        <w:t>》及政府采购管理部门的相关规定，下列采购需求中</w:t>
      </w:r>
      <w:r>
        <w:rPr>
          <w:rFonts w:hint="eastAsia" w:ascii="宋体" w:hAnsi="宋体" w:eastAsia="宋体"/>
          <w:sz w:val="24"/>
          <w:szCs w:val="18"/>
        </w:rPr>
        <w:t>标注进口产品的货物均</w:t>
      </w:r>
      <w:r>
        <w:rPr>
          <w:rFonts w:ascii="宋体" w:hAnsi="宋体" w:eastAsia="宋体"/>
          <w:sz w:val="24"/>
          <w:szCs w:val="18"/>
        </w:rPr>
        <w:t>已履行相关论证手续，经核准采购进口</w:t>
      </w:r>
      <w:r>
        <w:rPr>
          <w:rFonts w:hint="eastAsia" w:ascii="宋体" w:hAnsi="宋体" w:eastAsia="宋体"/>
          <w:sz w:val="24"/>
          <w:szCs w:val="18"/>
        </w:rPr>
        <w:t>产品</w:t>
      </w:r>
      <w:r>
        <w:rPr>
          <w:rFonts w:ascii="宋体" w:hAnsi="宋体" w:eastAsia="宋体"/>
          <w:sz w:val="24"/>
          <w:szCs w:val="18"/>
        </w:rPr>
        <w:t>，但不限制满足招标文件要求的国内产品参与竞争</w:t>
      </w:r>
      <w:r>
        <w:rPr>
          <w:rFonts w:hint="eastAsia" w:ascii="宋体" w:hAnsi="宋体" w:eastAsia="宋体"/>
          <w:sz w:val="24"/>
          <w:szCs w:val="18"/>
        </w:rPr>
        <w:t>。未标注进口产品的货物均</w:t>
      </w:r>
      <w:r>
        <w:rPr>
          <w:rFonts w:ascii="宋体" w:hAnsi="宋体" w:eastAsia="宋体"/>
          <w:sz w:val="24"/>
          <w:szCs w:val="18"/>
        </w:rPr>
        <w:t>为拒绝采购进口产品</w:t>
      </w:r>
      <w:r>
        <w:rPr>
          <w:rFonts w:hint="eastAsia" w:ascii="宋体" w:hAnsi="宋体" w:eastAsia="宋体"/>
          <w:sz w:val="24"/>
          <w:szCs w:val="18"/>
        </w:rPr>
        <w:t>。</w:t>
      </w:r>
    </w:p>
    <w:p w14:paraId="3D19009F">
      <w:pPr>
        <w:spacing w:line="360" w:lineRule="auto"/>
        <w:ind w:firstLine="435"/>
        <w:rPr>
          <w:rFonts w:ascii="宋体" w:hAnsi="宋体" w:eastAsia="宋体"/>
          <w:sz w:val="24"/>
          <w:szCs w:val="18"/>
        </w:rPr>
      </w:pPr>
      <w:r>
        <w:rPr>
          <w:rFonts w:hint="eastAsia" w:ascii="宋体" w:hAnsi="宋体" w:eastAsia="宋体"/>
          <w:sz w:val="24"/>
          <w:szCs w:val="18"/>
        </w:rPr>
        <w:t>2.</w:t>
      </w:r>
      <w:r>
        <w:rPr>
          <w:rFonts w:ascii="宋体" w:hAnsi="宋体" w:eastAsia="宋体" w:cs="宋体"/>
          <w:sz w:val="24"/>
          <w:szCs w:val="24"/>
        </w:rPr>
        <w:t>政府采购政策（包括但不限于下列具体政策要求</w:t>
      </w:r>
      <w:r>
        <w:rPr>
          <w:rFonts w:hint="eastAsia" w:ascii="宋体" w:hAnsi="宋体" w:eastAsia="宋体" w:cs="宋体"/>
          <w:sz w:val="24"/>
          <w:szCs w:val="24"/>
        </w:rPr>
        <w:t>）</w:t>
      </w:r>
      <w:r>
        <w:rPr>
          <w:rFonts w:hint="eastAsia" w:ascii="宋体" w:hAnsi="宋体" w:eastAsia="宋体"/>
          <w:sz w:val="24"/>
          <w:szCs w:val="18"/>
        </w:rPr>
        <w:t>：</w:t>
      </w:r>
    </w:p>
    <w:p w14:paraId="471EC60B">
      <w:pPr>
        <w:spacing w:line="360" w:lineRule="auto"/>
        <w:ind w:firstLine="435"/>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ascii="宋体" w:hAnsi="宋体" w:eastAsia="宋体" w:cs="宋体"/>
          <w:sz w:val="24"/>
          <w:szCs w:val="24"/>
        </w:rPr>
      </w:pPr>
      <w:r>
        <w:rPr>
          <w:rFonts w:hint="eastAsia" w:ascii="宋体" w:hAnsi="宋体" w:eastAsia="宋体" w:cs="宋体"/>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ascii="宋体" w:hAnsi="宋体" w:eastAsia="宋体"/>
          <w:sz w:val="24"/>
          <w:szCs w:val="18"/>
        </w:rPr>
      </w:pPr>
      <w:r>
        <w:rPr>
          <w:rFonts w:hint="eastAsia" w:ascii="宋体" w:hAnsi="宋体" w:eastAsia="宋体" w:cs="宋体"/>
          <w:sz w:val="24"/>
          <w:szCs w:val="24"/>
        </w:rPr>
        <w:t>3.</w:t>
      </w:r>
      <w:r>
        <w:rPr>
          <w:rFonts w:hint="eastAsia" w:ascii="宋体" w:hAnsi="宋体" w:eastAsia="宋体"/>
          <w:sz w:val="24"/>
          <w:szCs w:val="18"/>
        </w:rPr>
        <w:t>如采购人允许采用分包方式履行合同的，应当明确可以分包履行的相关内容。</w:t>
      </w:r>
    </w:p>
    <w:p w14:paraId="0A603A90">
      <w:pPr>
        <w:spacing w:line="360" w:lineRule="auto"/>
        <w:ind w:firstLine="435"/>
        <w:rPr>
          <w:rFonts w:ascii="宋体" w:hAnsi="宋体" w:eastAsia="宋体"/>
          <w:sz w:val="24"/>
          <w:szCs w:val="18"/>
        </w:rPr>
      </w:pPr>
      <w:r>
        <w:rPr>
          <w:rFonts w:hint="eastAsia" w:ascii="宋体" w:hAnsi="宋体" w:eastAsia="宋体"/>
          <w:sz w:val="24"/>
          <w:szCs w:val="18"/>
        </w:rPr>
        <w:t>4.下列采购需求中：标注▲的产品为核心产品（主要中标标的）。</w:t>
      </w:r>
    </w:p>
    <w:p w14:paraId="30B0ED33">
      <w:pPr>
        <w:spacing w:line="360" w:lineRule="auto"/>
        <w:ind w:firstLine="437"/>
        <w:outlineLvl w:val="1"/>
        <w:rPr>
          <w:rFonts w:ascii="宋体" w:hAnsi="宋体" w:eastAsia="宋体"/>
          <w:b/>
          <w:sz w:val="24"/>
          <w:szCs w:val="18"/>
        </w:rPr>
      </w:pPr>
      <w:bookmarkStart w:id="0" w:name="_Toc2554"/>
      <w:bookmarkStart w:id="1" w:name="_Toc8199"/>
      <w:bookmarkStart w:id="2" w:name="_Toc32151"/>
      <w:r>
        <w:rPr>
          <w:rFonts w:hint="eastAsia" w:ascii="宋体" w:hAnsi="宋体" w:eastAsia="宋体"/>
          <w:b/>
          <w:sz w:val="24"/>
          <w:szCs w:val="18"/>
        </w:rPr>
        <w:t>一、采购需求前附表</w:t>
      </w:r>
      <w:bookmarkEnd w:id="0"/>
      <w:bookmarkEnd w:id="1"/>
      <w:bookmarkEnd w:id="2"/>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7"/>
              <w:pBdr>
                <w:bottom w:val="none" w:color="auto" w:sz="0" w:space="0"/>
              </w:pBdr>
              <w:tabs>
                <w:tab w:val="clear" w:pos="4153"/>
                <w:tab w:val="clear" w:pos="8306"/>
              </w:tabs>
              <w:adjustRightInd/>
              <w:spacing w:line="240" w:lineRule="auto"/>
              <w:textAlignment w:val="auto"/>
              <w:rPr>
                <w:rFonts w:ascii="宋体" w:hAnsi="宋体" w:eastAsia="宋体"/>
                <w:b/>
                <w:kern w:val="2"/>
              </w:rPr>
            </w:pPr>
            <w:r>
              <w:rPr>
                <w:rFonts w:hint="eastAsia" w:ascii="宋体" w:hAnsi="宋体" w:eastAsia="宋体"/>
                <w:b/>
                <w:kern w:val="2"/>
              </w:rPr>
              <w:t>序号</w:t>
            </w:r>
          </w:p>
        </w:tc>
        <w:tc>
          <w:tcPr>
            <w:tcW w:w="1192" w:type="pct"/>
            <w:vAlign w:val="center"/>
          </w:tcPr>
          <w:p w14:paraId="200C6B67">
            <w:pPr>
              <w:pStyle w:val="8"/>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条款名称</w:t>
            </w:r>
          </w:p>
        </w:tc>
        <w:tc>
          <w:tcPr>
            <w:tcW w:w="3217" w:type="pct"/>
            <w:vAlign w:val="center"/>
          </w:tcPr>
          <w:p w14:paraId="1E08E055">
            <w:pPr>
              <w:pStyle w:val="8"/>
              <w:widowControl w:val="0"/>
              <w:spacing w:before="0" w:beforeAutospacing="0" w:after="0" w:afterAutospacing="0" w:line="360" w:lineRule="auto"/>
              <w:rPr>
                <w:rFonts w:ascii="宋体" w:hAnsi="宋体" w:eastAsia="宋体"/>
                <w:bCs w:val="0"/>
                <w:sz w:val="24"/>
              </w:rPr>
            </w:pPr>
            <w:r>
              <w:rPr>
                <w:rFonts w:hint="eastAsia" w:ascii="宋体" w:hAnsi="宋体" w:eastAsia="宋体"/>
                <w:bCs w:val="0"/>
                <w:sz w:val="24"/>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7"/>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1</w:t>
            </w:r>
          </w:p>
        </w:tc>
        <w:tc>
          <w:tcPr>
            <w:tcW w:w="2032" w:type="dxa"/>
            <w:vAlign w:val="center"/>
          </w:tcPr>
          <w:p w14:paraId="7EA999D1">
            <w:pPr>
              <w:pStyle w:val="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ascii="宋体" w:hAnsi="宋体" w:eastAsia="宋体"/>
                <w:b w:val="0"/>
                <w:sz w:val="24"/>
              </w:rPr>
            </w:pPr>
            <w:r>
              <w:rPr>
                <w:rFonts w:hint="eastAsia" w:ascii="宋体" w:hAnsi="宋体" w:eastAsia="宋体" w:cs="宋体"/>
                <w:b w:val="0"/>
                <w:color w:val="auto"/>
                <w:sz w:val="21"/>
                <w:szCs w:val="21"/>
                <w:highlight w:val="none"/>
                <w:u w:val="none"/>
              </w:rPr>
              <w:t>付款方式</w:t>
            </w:r>
          </w:p>
        </w:tc>
        <w:tc>
          <w:tcPr>
            <w:tcW w:w="5484" w:type="dxa"/>
            <w:vAlign w:val="center"/>
          </w:tcPr>
          <w:p w14:paraId="24EA1847">
            <w:pPr>
              <w:pStyle w:val="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合同生效后，采购人付至合同价的</w:t>
            </w:r>
            <w:r>
              <w:rPr>
                <w:rFonts w:hint="eastAsia" w:ascii="宋体" w:hAnsi="宋体" w:eastAsia="宋体" w:cs="宋体"/>
                <w:b w:val="0"/>
                <w:color w:val="auto"/>
                <w:sz w:val="21"/>
                <w:szCs w:val="21"/>
                <w:highlight w:val="none"/>
                <w:u w:val="none"/>
                <w:lang w:val="en-US" w:eastAsia="zh-CN"/>
              </w:rPr>
              <w:t>6</w:t>
            </w:r>
            <w:r>
              <w:rPr>
                <w:rFonts w:hint="eastAsia" w:ascii="宋体" w:hAnsi="宋体" w:eastAsia="宋体" w:cs="宋体"/>
                <w:b w:val="0"/>
                <w:color w:val="auto"/>
                <w:sz w:val="21"/>
                <w:szCs w:val="21"/>
                <w:highlight w:val="none"/>
                <w:u w:val="none"/>
              </w:rPr>
              <w:t>0%（中标人须提供等额预付款担保），项目经验收合格且相关资料齐备己移交后，一次性付清合同价款。</w:t>
            </w:r>
          </w:p>
          <w:p w14:paraId="4E9DD67B">
            <w:pPr>
              <w:pStyle w:val="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注：</w:t>
            </w:r>
          </w:p>
          <w:p w14:paraId="6D8B00B5">
            <w:pPr>
              <w:pStyle w:val="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b w:val="0"/>
                <w:color w:val="auto"/>
                <w:sz w:val="21"/>
                <w:szCs w:val="21"/>
                <w:highlight w:val="none"/>
                <w:u w:val="none"/>
              </w:rPr>
            </w:pPr>
            <w:r>
              <w:rPr>
                <w:rFonts w:hint="eastAsia" w:ascii="宋体" w:hAnsi="宋体" w:eastAsia="宋体" w:cs="宋体"/>
                <w:b w:val="0"/>
                <w:color w:val="auto"/>
                <w:sz w:val="21"/>
                <w:szCs w:val="21"/>
                <w:highlight w:val="none"/>
                <w:u w:val="none"/>
              </w:rPr>
              <w:t>（1）中标人未按规定提供预付款担保的，视为放弃预付款；</w:t>
            </w:r>
          </w:p>
          <w:p w14:paraId="1F339844">
            <w:pPr>
              <w:pStyle w:val="8"/>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both"/>
              <w:textAlignment w:val="auto"/>
              <w:rPr>
                <w:rFonts w:ascii="宋体" w:hAnsi="宋体" w:eastAsia="宋体"/>
                <w:b w:val="0"/>
                <w:sz w:val="24"/>
              </w:rPr>
            </w:pPr>
            <w:r>
              <w:rPr>
                <w:rFonts w:hint="eastAsia" w:ascii="宋体" w:hAnsi="宋体" w:eastAsia="宋体" w:cs="宋体"/>
                <w:b w:val="0"/>
                <w:color w:val="auto"/>
                <w:sz w:val="21"/>
                <w:szCs w:val="21"/>
                <w:highlight w:val="none"/>
                <w:u w:val="none"/>
              </w:rPr>
              <w:t>（2）预付款担保要求：采用银行保函（或担保机构担保或保证保险）形式提交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7"/>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400801A7">
            <w:pPr>
              <w:pStyle w:val="8"/>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供货及安装地点</w:t>
            </w:r>
          </w:p>
        </w:tc>
        <w:tc>
          <w:tcPr>
            <w:tcW w:w="3217" w:type="pct"/>
            <w:vAlign w:val="center"/>
          </w:tcPr>
          <w:p w14:paraId="008E1630">
            <w:pPr>
              <w:pStyle w:val="8"/>
              <w:widowControl w:val="0"/>
              <w:snapToGrid w:val="0"/>
              <w:spacing w:before="0" w:beforeAutospacing="0" w:after="0" w:afterAutospacing="0" w:line="300" w:lineRule="auto"/>
              <w:jc w:val="both"/>
              <w:rPr>
                <w:rFonts w:ascii="宋体" w:hAnsi="宋体" w:eastAsia="宋体"/>
                <w:b w:val="0"/>
                <w:sz w:val="24"/>
              </w:rPr>
            </w:pPr>
            <w:r>
              <w:rPr>
                <w:rFonts w:hint="eastAsia" w:ascii="宋体" w:hAnsi="宋体" w:eastAsia="宋体" w:cs="宋体"/>
                <w:b w:val="0"/>
                <w:sz w:val="21"/>
                <w:szCs w:val="21"/>
              </w:rPr>
              <w:t>安徽省特种设备检测院，具体按采购人指定地点。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7"/>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28D0729D">
            <w:pPr>
              <w:pStyle w:val="8"/>
              <w:widowControl w:val="0"/>
              <w:spacing w:before="0" w:beforeAutospacing="0" w:after="0" w:afterAutospacing="0" w:line="360" w:lineRule="auto"/>
              <w:rPr>
                <w:rFonts w:ascii="宋体" w:hAnsi="宋体" w:eastAsia="宋体"/>
                <w:b w:val="0"/>
                <w:sz w:val="24"/>
              </w:rPr>
            </w:pPr>
            <w:r>
              <w:rPr>
                <w:rFonts w:hint="eastAsia" w:ascii="宋体" w:hAnsi="宋体" w:eastAsia="宋体"/>
                <w:b w:val="0"/>
                <w:sz w:val="24"/>
              </w:rPr>
              <w:t>供货及安装期限</w:t>
            </w:r>
          </w:p>
        </w:tc>
        <w:tc>
          <w:tcPr>
            <w:tcW w:w="3217" w:type="pct"/>
            <w:vAlign w:val="center"/>
          </w:tcPr>
          <w:p w14:paraId="64A45A16">
            <w:pPr>
              <w:pStyle w:val="8"/>
              <w:widowControl w:val="0"/>
              <w:snapToGrid w:val="0"/>
              <w:spacing w:before="0" w:beforeAutospacing="0" w:after="0" w:afterAutospacing="0" w:line="300" w:lineRule="auto"/>
              <w:jc w:val="both"/>
              <w:rPr>
                <w:rFonts w:ascii="宋体" w:hAnsi="宋体" w:eastAsia="宋体"/>
                <w:b w:val="0"/>
                <w:sz w:val="24"/>
              </w:rPr>
            </w:pPr>
            <w:r>
              <w:rPr>
                <w:rFonts w:hint="eastAsia" w:ascii="宋体" w:hAnsi="宋体" w:eastAsia="宋体" w:cs="宋体"/>
                <w:b w:val="0"/>
                <w:sz w:val="21"/>
                <w:szCs w:val="21"/>
              </w:rPr>
              <w:t>合同生效之日起，2个月内完成供货、安装、调试、培训等所有工作内容。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7"/>
              <w:pBdr>
                <w:bottom w:val="none" w:color="auto" w:sz="0" w:space="0"/>
              </w:pBdr>
              <w:tabs>
                <w:tab w:val="clear" w:pos="4153"/>
                <w:tab w:val="clear" w:pos="8306"/>
              </w:tabs>
              <w:adjustRightInd/>
              <w:spacing w:line="240" w:lineRule="auto"/>
              <w:textAlignment w:val="auto"/>
              <w:rPr>
                <w:rFonts w:ascii="宋体" w:hAnsi="宋体" w:eastAsia="宋体"/>
                <w:bCs/>
                <w:kern w:val="2"/>
              </w:rPr>
            </w:pPr>
            <w:r>
              <w:rPr>
                <w:rFonts w:hint="eastAsia" w:ascii="宋体" w:hAnsi="宋体" w:eastAsia="宋体"/>
                <w:bCs/>
                <w:kern w:val="2"/>
              </w:rPr>
              <w:t>4</w:t>
            </w:r>
          </w:p>
        </w:tc>
        <w:tc>
          <w:tcPr>
            <w:tcW w:w="1192" w:type="pct"/>
            <w:vAlign w:val="center"/>
          </w:tcPr>
          <w:p w14:paraId="6BA5A37C">
            <w:pPr>
              <w:pStyle w:val="8"/>
              <w:widowControl w:val="0"/>
              <w:snapToGrid w:val="0"/>
              <w:spacing w:before="0" w:beforeAutospacing="0" w:after="0" w:afterAutospacing="0" w:line="300" w:lineRule="auto"/>
              <w:rPr>
                <w:rFonts w:ascii="宋体" w:hAnsi="宋体" w:eastAsia="宋体"/>
                <w:b w:val="0"/>
                <w:sz w:val="24"/>
              </w:rPr>
            </w:pPr>
            <w:r>
              <w:rPr>
                <w:rFonts w:hint="eastAsia" w:ascii="宋体" w:hAnsi="宋体" w:eastAsia="宋体" w:cs="宋体"/>
                <w:b w:val="0"/>
                <w:sz w:val="21"/>
                <w:szCs w:val="21"/>
              </w:rPr>
              <w:t>免费质保期</w:t>
            </w:r>
          </w:p>
        </w:tc>
        <w:tc>
          <w:tcPr>
            <w:tcW w:w="3217" w:type="pct"/>
            <w:vAlign w:val="center"/>
          </w:tcPr>
          <w:p w14:paraId="6AFCE733">
            <w:pPr>
              <w:pStyle w:val="8"/>
              <w:widowControl w:val="0"/>
              <w:snapToGrid w:val="0"/>
              <w:spacing w:before="0" w:beforeAutospacing="0" w:after="0" w:afterAutospacing="0" w:line="300" w:lineRule="auto"/>
              <w:jc w:val="both"/>
              <w:rPr>
                <w:rFonts w:ascii="宋体" w:hAnsi="宋体" w:eastAsia="宋体" w:cs="宋体"/>
                <w:b w:val="0"/>
                <w:sz w:val="21"/>
                <w:szCs w:val="21"/>
              </w:rPr>
            </w:pPr>
            <w:r>
              <w:rPr>
                <w:rFonts w:hint="eastAsia" w:ascii="宋体" w:hAnsi="宋体" w:eastAsia="宋体" w:cs="宋体"/>
                <w:b w:val="0"/>
                <w:sz w:val="21"/>
                <w:szCs w:val="21"/>
              </w:rPr>
              <w:t>货物需求清单中未明确的，免费质保期为自验收合格之日起</w:t>
            </w:r>
            <w:r>
              <w:rPr>
                <w:rFonts w:hint="eastAsia" w:ascii="宋体" w:hAnsi="宋体" w:eastAsia="宋体" w:cs="宋体"/>
                <w:b w:val="0"/>
                <w:sz w:val="21"/>
                <w:szCs w:val="21"/>
                <w:lang w:val="en-US" w:eastAsia="zh-CN"/>
              </w:rPr>
              <w:t>2</w:t>
            </w:r>
            <w:r>
              <w:rPr>
                <w:rFonts w:hint="eastAsia" w:ascii="宋体" w:hAnsi="宋体" w:eastAsia="宋体" w:cs="宋体"/>
                <w:b w:val="0"/>
                <w:sz w:val="21"/>
                <w:szCs w:val="21"/>
              </w:rPr>
              <w:t xml:space="preserve">年；货物需求清单中明确的，免费质保期按货物需求清单执行。 </w:t>
            </w:r>
          </w:p>
          <w:p w14:paraId="6E4C95FD">
            <w:pPr>
              <w:pStyle w:val="8"/>
              <w:widowControl w:val="0"/>
              <w:snapToGrid w:val="0"/>
              <w:spacing w:before="0" w:beforeAutospacing="0" w:after="0" w:afterAutospacing="0" w:line="300" w:lineRule="auto"/>
              <w:jc w:val="both"/>
              <w:rPr>
                <w:rFonts w:ascii="宋体" w:hAnsi="宋体" w:eastAsia="宋体"/>
                <w:b w:val="0"/>
                <w:sz w:val="24"/>
              </w:rPr>
            </w:pPr>
            <w:r>
              <w:rPr>
                <w:rFonts w:hint="eastAsia" w:ascii="宋体" w:hAnsi="宋体" w:eastAsia="宋体" w:cs="宋体"/>
                <w:b w:val="0"/>
                <w:sz w:val="21"/>
                <w:szCs w:val="21"/>
              </w:rPr>
              <w:t xml:space="preserve">注：质保期内如有零件损坏，自更换该零件起，再对该零件重新计算质保期。     </w:t>
            </w:r>
          </w:p>
        </w:tc>
      </w:tr>
    </w:tbl>
    <w:p w14:paraId="2F553E65">
      <w:pPr>
        <w:spacing w:line="360" w:lineRule="auto"/>
        <w:ind w:firstLine="437"/>
        <w:outlineLvl w:val="1"/>
        <w:rPr>
          <w:rFonts w:ascii="宋体" w:hAnsi="宋体" w:eastAsia="宋体"/>
          <w:b/>
          <w:bCs/>
          <w:sz w:val="24"/>
          <w:szCs w:val="18"/>
        </w:rPr>
      </w:pPr>
      <w:bookmarkStart w:id="3" w:name="_Toc7671"/>
      <w:bookmarkStart w:id="4" w:name="_Toc5944"/>
    </w:p>
    <w:p w14:paraId="3E806DB2">
      <w:pPr>
        <w:spacing w:line="360" w:lineRule="auto"/>
        <w:ind w:firstLine="437"/>
        <w:outlineLvl w:val="1"/>
        <w:rPr>
          <w:rFonts w:ascii="宋体" w:hAnsi="宋体" w:eastAsia="宋体"/>
          <w:b/>
          <w:bCs/>
          <w:sz w:val="24"/>
          <w:szCs w:val="18"/>
        </w:rPr>
      </w:pPr>
      <w:bookmarkStart w:id="5" w:name="_Toc17280"/>
      <w:r>
        <w:rPr>
          <w:rFonts w:hint="eastAsia" w:ascii="宋体" w:hAnsi="宋体" w:eastAsia="宋体"/>
          <w:b/>
          <w:bCs/>
          <w:sz w:val="24"/>
          <w:szCs w:val="18"/>
        </w:rPr>
        <w:t>二、</w:t>
      </w:r>
      <w:r>
        <w:rPr>
          <w:rFonts w:hint="eastAsia" w:ascii="宋体" w:hAnsi="宋体" w:eastAsia="宋体"/>
          <w:b/>
          <w:sz w:val="24"/>
          <w:szCs w:val="18"/>
        </w:rPr>
        <w:t>货物</w:t>
      </w:r>
      <w:r>
        <w:rPr>
          <w:rFonts w:hint="eastAsia" w:ascii="宋体" w:hAnsi="宋体" w:eastAsia="宋体"/>
          <w:b/>
          <w:bCs/>
          <w:sz w:val="24"/>
          <w:szCs w:val="18"/>
        </w:rPr>
        <w:t>需求</w:t>
      </w:r>
      <w:bookmarkEnd w:id="3"/>
      <w:bookmarkEnd w:id="4"/>
      <w:bookmarkEnd w:id="5"/>
    </w:p>
    <w:p w14:paraId="6C3D332C">
      <w:pPr>
        <w:widowControl/>
        <w:ind w:firstLine="482" w:firstLineChars="200"/>
        <w:outlineLvl w:val="2"/>
        <w:rPr>
          <w:rFonts w:ascii="宋体" w:hAnsi="宋体" w:eastAsia="宋体" w:cs="宋体"/>
          <w:b/>
          <w:bCs/>
          <w:sz w:val="24"/>
          <w:szCs w:val="24"/>
        </w:rPr>
      </w:pPr>
      <w:r>
        <w:rPr>
          <w:rFonts w:hint="eastAsia" w:ascii="宋体" w:hAnsi="宋体" w:eastAsia="宋体" w:cs="宋体"/>
          <w:b/>
          <w:bCs/>
          <w:sz w:val="24"/>
          <w:szCs w:val="24"/>
        </w:rPr>
        <w:t>（一）标识符号</w:t>
      </w:r>
    </w:p>
    <w:tbl>
      <w:tblPr>
        <w:tblStyle w:val="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9E44409">
            <w:pPr>
              <w:spacing w:line="300" w:lineRule="auto"/>
              <w:jc w:val="center"/>
              <w:rPr>
                <w:rFonts w:ascii="宋体" w:hAnsi="宋体" w:eastAsia="宋体" w:cs="宋体"/>
                <w:b/>
                <w:sz w:val="21"/>
                <w:szCs w:val="21"/>
              </w:rPr>
            </w:pPr>
            <w:r>
              <w:rPr>
                <w:rFonts w:hint="eastAsia" w:ascii="宋体" w:hAnsi="宋体" w:eastAsia="宋体" w:cs="宋体"/>
                <w:b/>
                <w:sz w:val="21"/>
                <w:szCs w:val="21"/>
              </w:rPr>
              <w:t>标识类型</w:t>
            </w:r>
          </w:p>
        </w:tc>
        <w:tc>
          <w:tcPr>
            <w:tcW w:w="1365" w:type="dxa"/>
            <w:vAlign w:val="center"/>
          </w:tcPr>
          <w:p w14:paraId="5A1C0A9F">
            <w:pPr>
              <w:spacing w:line="300" w:lineRule="auto"/>
              <w:jc w:val="center"/>
              <w:rPr>
                <w:rFonts w:ascii="宋体" w:hAnsi="宋体" w:eastAsia="宋体" w:cs="宋体"/>
                <w:b/>
                <w:sz w:val="21"/>
                <w:szCs w:val="21"/>
              </w:rPr>
            </w:pPr>
            <w:r>
              <w:rPr>
                <w:rFonts w:hint="eastAsia" w:ascii="宋体" w:hAnsi="宋体" w:eastAsia="宋体" w:cs="宋体"/>
                <w:b/>
                <w:sz w:val="21"/>
                <w:szCs w:val="21"/>
              </w:rPr>
              <w:t>标识符号</w:t>
            </w:r>
          </w:p>
        </w:tc>
        <w:tc>
          <w:tcPr>
            <w:tcW w:w="5363" w:type="dxa"/>
            <w:vAlign w:val="center"/>
          </w:tcPr>
          <w:p w14:paraId="144C8CF0">
            <w:pPr>
              <w:spacing w:line="300" w:lineRule="auto"/>
              <w:jc w:val="center"/>
              <w:rPr>
                <w:rFonts w:ascii="宋体" w:hAnsi="宋体" w:eastAsia="宋体" w:cs="宋体"/>
                <w:b/>
                <w:sz w:val="21"/>
                <w:szCs w:val="21"/>
              </w:rPr>
            </w:pPr>
            <w:r>
              <w:rPr>
                <w:rFonts w:hint="eastAsia" w:ascii="宋体" w:hAnsi="宋体" w:eastAsia="宋体" w:cs="宋体"/>
                <w:b/>
                <w:sz w:val="21"/>
                <w:szCs w:val="21"/>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09193C6">
            <w:pPr>
              <w:spacing w:line="30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核心指标项</w:t>
            </w:r>
          </w:p>
        </w:tc>
        <w:tc>
          <w:tcPr>
            <w:tcW w:w="1365" w:type="dxa"/>
            <w:vAlign w:val="center"/>
          </w:tcPr>
          <w:p w14:paraId="64C4671D">
            <w:pPr>
              <w:wordWrap w:val="0"/>
              <w:adjustRightInd w:val="0"/>
              <w:snapToGrid w:val="0"/>
              <w:spacing w:line="300" w:lineRule="auto"/>
              <w:jc w:val="center"/>
              <w:rPr>
                <w:rFonts w:ascii="宋体" w:hAnsi="宋体" w:eastAsia="宋体" w:cs="宋体"/>
                <w:bCs/>
                <w:color w:val="000000"/>
                <w:sz w:val="21"/>
                <w:szCs w:val="21"/>
              </w:rPr>
            </w:pPr>
            <w:r>
              <w:rPr>
                <w:rFonts w:hint="eastAsia" w:ascii="宋体" w:hAnsi="宋体" w:eastAsia="宋体" w:cs="宋体"/>
                <w:color w:val="000000"/>
                <w:sz w:val="21"/>
                <w:szCs w:val="21"/>
              </w:rPr>
              <w:t>★</w:t>
            </w:r>
          </w:p>
        </w:tc>
        <w:tc>
          <w:tcPr>
            <w:tcW w:w="5363" w:type="dxa"/>
            <w:vAlign w:val="center"/>
          </w:tcPr>
          <w:p w14:paraId="33E24031">
            <w:pPr>
              <w:wordWrap w:val="0"/>
              <w:adjustRightInd w:val="0"/>
              <w:snapToGrid w:val="0"/>
              <w:spacing w:line="300" w:lineRule="auto"/>
              <w:jc w:val="left"/>
              <w:rPr>
                <w:rFonts w:ascii="宋体" w:hAnsi="宋体" w:eastAsia="宋体" w:cs="宋体"/>
                <w:bCs/>
                <w:color w:val="000000"/>
                <w:sz w:val="21"/>
                <w:szCs w:val="21"/>
              </w:rPr>
            </w:pPr>
            <w:r>
              <w:rPr>
                <w:rFonts w:hint="eastAsia" w:ascii="宋体" w:hAnsi="宋体" w:eastAsia="宋体" w:cs="宋体"/>
                <w:bCs/>
                <w:color w:val="000000"/>
                <w:sz w:val="21"/>
                <w:szCs w:val="21"/>
              </w:rPr>
              <w:t>评分项，</w:t>
            </w:r>
            <w:r>
              <w:rPr>
                <w:rFonts w:hint="eastAsia" w:ascii="宋体" w:hAnsi="宋体" w:eastAsia="宋体" w:cs="宋体"/>
                <w:color w:val="000000"/>
                <w:sz w:val="21"/>
                <w:szCs w:val="21"/>
                <w:lang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4929B256">
            <w:pPr>
              <w:spacing w:line="300" w:lineRule="auto"/>
              <w:jc w:val="center"/>
              <w:rPr>
                <w:rFonts w:ascii="宋体" w:hAnsi="宋体" w:eastAsia="宋体" w:cs="宋体"/>
                <w:color w:val="000000"/>
                <w:sz w:val="21"/>
                <w:szCs w:val="21"/>
              </w:rPr>
            </w:pPr>
            <w:r>
              <w:rPr>
                <w:rFonts w:hint="eastAsia" w:ascii="宋体" w:hAnsi="宋体" w:eastAsia="宋体" w:cs="宋体"/>
                <w:color w:val="000000"/>
                <w:sz w:val="21"/>
                <w:szCs w:val="21"/>
              </w:rPr>
              <w:t>无标识项</w:t>
            </w:r>
          </w:p>
        </w:tc>
        <w:tc>
          <w:tcPr>
            <w:tcW w:w="1365" w:type="dxa"/>
            <w:vAlign w:val="center"/>
          </w:tcPr>
          <w:p w14:paraId="37BD2C2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ascii="宋体" w:hAnsi="宋体" w:eastAsia="宋体" w:cs="宋体"/>
                <w:bCs/>
                <w:color w:val="000000"/>
                <w:sz w:val="21"/>
                <w:szCs w:val="21"/>
              </w:rPr>
            </w:pPr>
          </w:p>
        </w:tc>
        <w:tc>
          <w:tcPr>
            <w:tcW w:w="5363" w:type="dxa"/>
            <w:vAlign w:val="center"/>
          </w:tcPr>
          <w:p w14:paraId="31CD4D0C">
            <w:pPr>
              <w:keepNext w:val="0"/>
              <w:keepLines w:val="0"/>
              <w:pageBreakBefore w:val="0"/>
              <w:widowControl w:val="0"/>
              <w:kinsoku/>
              <w:wordWrap/>
              <w:overflowPunct/>
              <w:topLinePunct w:val="0"/>
              <w:autoSpaceDE/>
              <w:autoSpaceDN/>
              <w:bidi w:val="0"/>
              <w:adjustRightInd/>
              <w:snapToGrid/>
              <w:spacing w:line="300" w:lineRule="auto"/>
              <w:jc w:val="left"/>
              <w:textAlignment w:val="auto"/>
              <w:rPr>
                <w:rFonts w:ascii="宋体" w:hAnsi="宋体" w:eastAsia="宋体" w:cs="宋体"/>
                <w:bCs/>
                <w:color w:val="000000"/>
                <w:sz w:val="21"/>
                <w:szCs w:val="21"/>
              </w:rPr>
            </w:pPr>
            <w:r>
              <w:rPr>
                <w:rFonts w:hint="eastAsia" w:ascii="宋体" w:hAnsi="宋体" w:eastAsia="宋体" w:cs="宋体"/>
                <w:kern w:val="2"/>
                <w:sz w:val="21"/>
                <w:szCs w:val="21"/>
                <w:lang w:val="en-US" w:eastAsia="zh-CN" w:bidi="ar-SA"/>
              </w:rPr>
              <w:t>符合性审查项，投标人须在投标文件中提供承诺：</w:t>
            </w:r>
            <w:r>
              <w:rPr>
                <w:rFonts w:hint="eastAsia" w:ascii="宋体" w:hAnsi="宋体" w:eastAsia="宋体" w:cs="宋体"/>
                <w:b/>
                <w:bCs/>
                <w:kern w:val="2"/>
                <w:sz w:val="21"/>
                <w:szCs w:val="21"/>
                <w:lang w:val="en-US" w:eastAsia="zh-CN" w:bidi="ar-SA"/>
              </w:rPr>
              <w:t>承诺无标识项完全满足采购文件要求，如履约验收期间所投产品不满足采购文件要求，采购人有权解除合同并上报政府采购监督管理部门，中标人承担由此产生的一切后果及责任（承诺函格式详见投标文件/响应文件格式）</w:t>
            </w:r>
            <w:r>
              <w:rPr>
                <w:rFonts w:hint="eastAsia" w:ascii="宋体" w:hAnsi="宋体" w:eastAsia="宋体" w:cs="宋体"/>
                <w:kern w:val="2"/>
                <w:sz w:val="21"/>
                <w:szCs w:val="21"/>
                <w:lang w:val="en-US" w:eastAsia="zh-CN" w:bidi="ar-SA"/>
              </w:rPr>
              <w:t>。投标文件中未提供相应承诺或承诺的内容不满足要求的，</w:t>
            </w:r>
            <w:r>
              <w:rPr>
                <w:rFonts w:hint="eastAsia" w:ascii="宋体" w:hAnsi="宋体" w:eastAsia="宋体" w:cs="宋体"/>
                <w:b/>
                <w:bCs/>
                <w:kern w:val="2"/>
                <w:sz w:val="21"/>
                <w:szCs w:val="21"/>
                <w:lang w:val="en-US" w:eastAsia="zh-CN" w:bidi="ar-SA"/>
              </w:rPr>
              <w:t>投标无效。</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DC57536">
            <w:pPr>
              <w:spacing w:line="300" w:lineRule="auto"/>
              <w:jc w:val="left"/>
              <w:rPr>
                <w:rFonts w:ascii="宋体" w:hAnsi="宋体" w:eastAsia="宋体" w:cs="宋体"/>
                <w:color w:val="000000"/>
                <w:sz w:val="21"/>
                <w:szCs w:val="21"/>
              </w:rPr>
            </w:pPr>
            <w:r>
              <w:rPr>
                <w:rFonts w:hint="eastAsia" w:ascii="宋体" w:hAnsi="宋体" w:eastAsia="宋体" w:cs="宋体"/>
                <w:color w:val="000000"/>
                <w:sz w:val="21"/>
                <w:szCs w:val="21"/>
              </w:rPr>
              <w:t>注：</w:t>
            </w:r>
          </w:p>
          <w:p w14:paraId="1B3374F6">
            <w:pPr>
              <w:spacing w:line="300" w:lineRule="auto"/>
              <w:jc w:val="left"/>
              <w:rPr>
                <w:rFonts w:ascii="宋体" w:hAnsi="宋体" w:eastAsia="宋体" w:cs="宋体"/>
                <w:color w:val="000000"/>
                <w:sz w:val="21"/>
                <w:szCs w:val="21"/>
              </w:rPr>
            </w:pPr>
            <w:r>
              <w:rPr>
                <w:rFonts w:hint="eastAsia" w:ascii="宋体" w:hAnsi="宋体" w:eastAsia="宋体" w:cs="宋体"/>
                <w:color w:val="000000"/>
                <w:sz w:val="21"/>
                <w:szCs w:val="21"/>
              </w:rPr>
              <w:t>（1）如某项标识中包含多条技术参数或要求，则该项标识所含内容均需满足或优于采购文件要求，否则不予认可。</w:t>
            </w:r>
          </w:p>
          <w:p w14:paraId="1B19CC89">
            <w:pPr>
              <w:spacing w:line="300" w:lineRule="auto"/>
              <w:jc w:val="left"/>
              <w:rPr>
                <w:rFonts w:ascii="宋体" w:hAnsi="宋体" w:eastAsia="宋体" w:cs="宋体"/>
                <w:color w:val="000000"/>
                <w:sz w:val="21"/>
                <w:szCs w:val="21"/>
              </w:rPr>
            </w:pPr>
            <w:r>
              <w:rPr>
                <w:rFonts w:hint="eastAsia" w:ascii="宋体" w:hAnsi="宋体" w:eastAsia="宋体" w:cs="宋体"/>
                <w:color w:val="000000"/>
                <w:sz w:val="21"/>
                <w:szCs w:val="21"/>
              </w:rPr>
              <w:t>（2）</w:t>
            </w:r>
            <w:r>
              <w:rPr>
                <w:rFonts w:hint="eastAsia" w:ascii="宋体" w:hAnsi="宋体" w:eastAsia="宋体" w:cs="宋体"/>
                <w:kern w:val="0"/>
                <w:sz w:val="21"/>
                <w:szCs w:val="21"/>
              </w:rPr>
              <w:t>下述技术参数所涉及的具体物理尺寸：货物需求清单中明确允许偏离范围的，按货物需求清单</w:t>
            </w:r>
            <w:r>
              <w:rPr>
                <w:rFonts w:hint="eastAsia" w:ascii="宋体" w:hAnsi="宋体" w:eastAsia="宋体" w:cs="宋体"/>
                <w:sz w:val="21"/>
                <w:szCs w:val="21"/>
              </w:rPr>
              <w:t>要求</w:t>
            </w:r>
            <w:r>
              <w:rPr>
                <w:rFonts w:hint="eastAsia" w:ascii="宋体" w:hAnsi="宋体" w:eastAsia="宋体" w:cs="宋体"/>
                <w:kern w:val="0"/>
                <w:sz w:val="21"/>
                <w:szCs w:val="21"/>
              </w:rPr>
              <w:t>执行；货物需求清单中未明确允许偏离范围的，允许±5%偏离</w:t>
            </w:r>
            <w:r>
              <w:rPr>
                <w:rFonts w:hint="eastAsia" w:ascii="宋体" w:hAnsi="宋体" w:eastAsia="宋体" w:cs="宋体"/>
                <w:sz w:val="21"/>
                <w:szCs w:val="21"/>
              </w:rPr>
              <w:t>。</w:t>
            </w:r>
          </w:p>
          <w:p w14:paraId="192D49CC">
            <w:pPr>
              <w:spacing w:line="300" w:lineRule="auto"/>
              <w:jc w:val="left"/>
              <w:rPr>
                <w:rFonts w:ascii="宋体" w:hAnsi="宋体" w:eastAsia="宋体" w:cs="宋体"/>
                <w:color w:val="000000"/>
                <w:sz w:val="21"/>
                <w:szCs w:val="21"/>
              </w:rPr>
            </w:pPr>
            <w:r>
              <w:rPr>
                <w:rFonts w:hint="eastAsia" w:ascii="宋体" w:hAnsi="宋体" w:eastAsia="宋体" w:cs="宋体"/>
                <w:color w:val="000000"/>
                <w:sz w:val="21"/>
                <w:szCs w:val="21"/>
              </w:rPr>
              <w:t>（3）针对货物需求清单中要求提供证明材料的技术参数及要求：货物需求清单已明确证明材料类型的，按货物需求清单执行；货物需求清单未明确证明材料类型的，证明材料包括但不限于产品技术白皮书、产品技术说明书、产品彩页、产品（软件）功能截图、实物图片、厂家（制造商）官网截图、第三方机构出具的检测报告等（提供其中之一即可）。未按以上要求提供证明材料的视为负偏离或未响应</w:t>
            </w:r>
            <w:r>
              <w:rPr>
                <w:rFonts w:hint="eastAsia" w:ascii="宋体" w:hAnsi="宋体" w:eastAsia="宋体" w:cs="宋体"/>
                <w:b/>
                <w:bCs/>
                <w:color w:val="000000"/>
                <w:sz w:val="21"/>
                <w:szCs w:val="21"/>
              </w:rPr>
              <w:t>（为便于评审，建议投标人对证明材料中的关键参数进行标注）</w:t>
            </w:r>
            <w:r>
              <w:rPr>
                <w:rFonts w:hint="eastAsia" w:ascii="宋体" w:hAnsi="宋体" w:eastAsia="宋体" w:cs="宋体"/>
                <w:color w:val="000000"/>
                <w:sz w:val="21"/>
                <w:szCs w:val="21"/>
              </w:rPr>
              <w:t>。</w:t>
            </w:r>
          </w:p>
          <w:p w14:paraId="32506066">
            <w:pPr>
              <w:spacing w:line="300" w:lineRule="auto"/>
              <w:jc w:val="left"/>
              <w:rPr>
                <w:rFonts w:ascii="宋体" w:hAnsi="宋体" w:eastAsia="宋体" w:cs="宋体"/>
                <w:color w:val="000000"/>
                <w:sz w:val="21"/>
                <w:szCs w:val="21"/>
              </w:rPr>
            </w:pPr>
            <w:r>
              <w:rPr>
                <w:rFonts w:hint="eastAsia" w:ascii="宋体" w:hAnsi="宋体" w:eastAsia="宋体" w:cs="宋体"/>
                <w:color w:val="000000"/>
                <w:sz w:val="21"/>
                <w:szCs w:val="21"/>
              </w:rPr>
              <w:t>（4）所属行业中标注“/”的品目，无须在《中小企业声明函》中列明。</w:t>
            </w:r>
          </w:p>
        </w:tc>
      </w:tr>
    </w:tbl>
    <w:p w14:paraId="75BA992C">
      <w:pPr>
        <w:widowControl/>
        <w:snapToGrid w:val="0"/>
        <w:spacing w:line="360" w:lineRule="auto"/>
        <w:ind w:firstLine="482" w:firstLineChars="200"/>
        <w:outlineLvl w:val="2"/>
        <w:rPr>
          <w:rFonts w:ascii="宋体" w:hAnsi="宋体" w:eastAsia="宋体" w:cs="宋体"/>
          <w:b/>
          <w:bCs/>
          <w:sz w:val="24"/>
          <w:szCs w:val="24"/>
        </w:rPr>
      </w:pPr>
    </w:p>
    <w:p w14:paraId="7E9B8411">
      <w:pPr>
        <w:widowControl/>
        <w:snapToGrid w:val="0"/>
        <w:spacing w:line="360" w:lineRule="auto"/>
        <w:ind w:firstLine="482" w:firstLineChars="200"/>
        <w:outlineLvl w:val="2"/>
      </w:pPr>
      <w:r>
        <w:rPr>
          <w:rFonts w:hint="eastAsia" w:ascii="宋体" w:hAnsi="宋体" w:eastAsia="宋体" w:cs="宋体"/>
          <w:b/>
          <w:bCs/>
          <w:sz w:val="24"/>
          <w:szCs w:val="24"/>
        </w:rPr>
        <w:t>（二）货物需求清单</w:t>
      </w:r>
    </w:p>
    <w:tbl>
      <w:tblPr>
        <w:tblStyle w:val="5"/>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1227"/>
        <w:gridCol w:w="4868"/>
        <w:gridCol w:w="1092"/>
        <w:gridCol w:w="813"/>
      </w:tblGrid>
      <w:tr w14:paraId="53A39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467B4F73">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717" w:type="pct"/>
            <w:vAlign w:val="center"/>
          </w:tcPr>
          <w:p w14:paraId="5F31DA5C">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货物名称</w:t>
            </w:r>
          </w:p>
        </w:tc>
        <w:tc>
          <w:tcPr>
            <w:tcW w:w="2845" w:type="pct"/>
            <w:vAlign w:val="center"/>
          </w:tcPr>
          <w:p w14:paraId="6102B780">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技术参数及要求</w:t>
            </w:r>
          </w:p>
        </w:tc>
        <w:tc>
          <w:tcPr>
            <w:tcW w:w="638" w:type="pct"/>
            <w:vAlign w:val="center"/>
          </w:tcPr>
          <w:p w14:paraId="5FAB4FE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数量</w:t>
            </w:r>
          </w:p>
          <w:p w14:paraId="4469B55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b/>
                <w:bCs/>
                <w:sz w:val="21"/>
                <w:szCs w:val="21"/>
                <w:lang w:val="en-US" w:eastAsia="zh-CN"/>
              </w:rPr>
              <w:t>台/套</w:t>
            </w:r>
            <w:r>
              <w:rPr>
                <w:rFonts w:hint="eastAsia" w:asciiTheme="minorEastAsia" w:hAnsiTheme="minorEastAsia" w:eastAsiaTheme="minorEastAsia" w:cstheme="minorEastAsia"/>
                <w:b/>
                <w:bCs/>
                <w:sz w:val="21"/>
                <w:szCs w:val="21"/>
              </w:rPr>
              <w:t>）</w:t>
            </w:r>
          </w:p>
        </w:tc>
        <w:tc>
          <w:tcPr>
            <w:tcW w:w="475" w:type="pct"/>
            <w:vAlign w:val="center"/>
          </w:tcPr>
          <w:p w14:paraId="738F3E2D">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所属</w:t>
            </w:r>
          </w:p>
          <w:p w14:paraId="732EB27B">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行业</w:t>
            </w:r>
          </w:p>
        </w:tc>
      </w:tr>
      <w:tr w14:paraId="107A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3946058B">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717" w:type="pct"/>
            <w:vAlign w:val="center"/>
          </w:tcPr>
          <w:p w14:paraId="62E3082A">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接地电阻测试仪</w:t>
            </w:r>
          </w:p>
        </w:tc>
        <w:tc>
          <w:tcPr>
            <w:tcW w:w="2845" w:type="pct"/>
            <w:vAlign w:val="center"/>
          </w:tcPr>
          <w:p w14:paraId="479AA127">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★1、具有数据存储、数据保持功能</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技术说明书进行佐证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3FA26C94">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2、可测量出接地故障，具有报警功能；</w:t>
            </w:r>
          </w:p>
          <w:p w14:paraId="162AC653">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3、测量范围覆盖0.010Ω～1200Ω，分辨率≤0.001Ω，测量频率≥1kHz；</w:t>
            </w:r>
          </w:p>
          <w:p w14:paraId="0C15FF29">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4、电流量程覆盖0mA~40A；电流分辨率≤0.05mA；</w:t>
            </w:r>
          </w:p>
          <w:p w14:paraId="4F449509">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5、交直流电压测量，量程覆盖：AC（0.000V～750.0V）；DC（0.000V～999.9V）；</w:t>
            </w:r>
          </w:p>
          <w:p w14:paraId="74128522">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★6、具有蓝牙通讯功能，支持仪器与手机app连接进行数据分析记录</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功能截图进行佐证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25BC4718">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7、测量方法覆盖二线法、三线法、四线法、选择法等。</w:t>
            </w:r>
          </w:p>
        </w:tc>
        <w:tc>
          <w:tcPr>
            <w:tcW w:w="638" w:type="pct"/>
            <w:vAlign w:val="center"/>
          </w:tcPr>
          <w:p w14:paraId="007D5475">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2</w:t>
            </w:r>
          </w:p>
        </w:tc>
        <w:tc>
          <w:tcPr>
            <w:tcW w:w="475" w:type="pct"/>
            <w:vAlign w:val="center"/>
          </w:tcPr>
          <w:p w14:paraId="6B596790">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工业</w:t>
            </w:r>
          </w:p>
        </w:tc>
      </w:tr>
      <w:tr w14:paraId="3944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4BE84AF3">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717" w:type="pct"/>
            <w:vAlign w:val="center"/>
          </w:tcPr>
          <w:p w14:paraId="0590B955">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绝缘电阻测量仪</w:t>
            </w:r>
          </w:p>
        </w:tc>
        <w:tc>
          <w:tcPr>
            <w:tcW w:w="2845" w:type="pct"/>
            <w:vAlign w:val="center"/>
          </w:tcPr>
          <w:p w14:paraId="22EDBE52">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1、具有带电保护功能；完成测试后自动放电；</w:t>
            </w:r>
          </w:p>
          <w:p w14:paraId="003618A7">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2、测量范围覆盖0.01MΩ～4000MΩ，分辨率≤1Ω；</w:t>
            </w:r>
          </w:p>
          <w:p w14:paraId="513D6F57">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3、测试电压覆盖：50V/100V/250V/500V/1000V，</w:t>
            </w:r>
            <w:r>
              <w:rPr>
                <w:rFonts w:hint="eastAsia" w:asciiTheme="minorEastAsia" w:hAnsiTheme="minorEastAsia" w:eastAsiaTheme="minorEastAsia" w:cstheme="minorEastAsia"/>
                <w:sz w:val="21"/>
                <w:szCs w:val="21"/>
                <w:lang w:val="en-US" w:eastAsia="zh-CN"/>
              </w:rPr>
              <w:t>测量分辨率≤1V，测量精度</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w:t>
            </w:r>
          </w:p>
          <w:p w14:paraId="45C4D6D2">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★4、交/直流电压测量：≥600V；电阻测量：≥20KΩ</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技术说明书进行佐证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38BCFEDC">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5、短路测试电流≥2mA；</w:t>
            </w:r>
          </w:p>
          <w:p w14:paraId="33488121">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★6、配置遥控表笔，可遥控进行测试</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技术说明书进行佐证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0702B3C8">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★7、具有蓝牙通讯功能，支持仪器与手机app连接进行数据分析记录</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功能截图进行佐证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tc>
        <w:tc>
          <w:tcPr>
            <w:tcW w:w="638" w:type="pct"/>
            <w:vAlign w:val="center"/>
          </w:tcPr>
          <w:p w14:paraId="6BE62890">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18</w:t>
            </w:r>
          </w:p>
        </w:tc>
        <w:tc>
          <w:tcPr>
            <w:tcW w:w="475" w:type="pct"/>
            <w:vAlign w:val="center"/>
          </w:tcPr>
          <w:p w14:paraId="159C1C81">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工业</w:t>
            </w:r>
          </w:p>
        </w:tc>
      </w:tr>
      <w:tr w14:paraId="4018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114C975C">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717" w:type="pct"/>
            <w:vAlign w:val="center"/>
          </w:tcPr>
          <w:p w14:paraId="25C64BBB">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转速表或者速度检测仪</w:t>
            </w:r>
          </w:p>
        </w:tc>
        <w:tc>
          <w:tcPr>
            <w:tcW w:w="2845" w:type="pct"/>
            <w:vAlign w:val="center"/>
          </w:tcPr>
          <w:p w14:paraId="179C5EAA">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1、测量方式覆盖接触式+红外测量；</w:t>
            </w:r>
          </w:p>
          <w:p w14:paraId="2D7AEBF4">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2、测量范围覆盖0.5rpm～10000rpm；</w:t>
            </w:r>
          </w:p>
          <w:p w14:paraId="64B60045">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3、测量精度≤± (0.05%+1)rpm；</w:t>
            </w:r>
          </w:p>
          <w:p w14:paraId="6D1843B4">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4、测试传感距离覆盖50mm至 500mm；</w:t>
            </w:r>
          </w:p>
          <w:p w14:paraId="34CCD27D">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5、测试数据保存≥9999组。</w:t>
            </w:r>
          </w:p>
        </w:tc>
        <w:tc>
          <w:tcPr>
            <w:tcW w:w="638" w:type="pct"/>
            <w:vAlign w:val="center"/>
          </w:tcPr>
          <w:p w14:paraId="38014081">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8</w:t>
            </w:r>
          </w:p>
        </w:tc>
        <w:tc>
          <w:tcPr>
            <w:tcW w:w="475" w:type="pct"/>
            <w:vAlign w:val="center"/>
          </w:tcPr>
          <w:p w14:paraId="66A3B590">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工业</w:t>
            </w:r>
          </w:p>
        </w:tc>
      </w:tr>
      <w:tr w14:paraId="4251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39568012">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717" w:type="pct"/>
            <w:vAlign w:val="center"/>
          </w:tcPr>
          <w:p w14:paraId="74F7AFD5">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激光测距仪</w:t>
            </w:r>
          </w:p>
        </w:tc>
        <w:tc>
          <w:tcPr>
            <w:tcW w:w="2845" w:type="pct"/>
            <w:vAlign w:val="center"/>
          </w:tcPr>
          <w:p w14:paraId="4C8E08AB">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1、测量精度：±(2.0mm+5x10</w:t>
            </w:r>
            <w:r>
              <w:rPr>
                <w:rFonts w:hint="eastAsia" w:asciiTheme="minorEastAsia" w:hAnsiTheme="minorEastAsia" w:eastAsiaTheme="minorEastAsia" w:cstheme="minorEastAsia"/>
                <w:sz w:val="21"/>
                <w:szCs w:val="21"/>
                <w:vertAlign w:val="superscript"/>
              </w:rPr>
              <w:t>-5</w:t>
            </w:r>
            <w:r>
              <w:rPr>
                <w:rFonts w:hint="eastAsia" w:asciiTheme="minorEastAsia" w:hAnsiTheme="minorEastAsia" w:eastAsiaTheme="minorEastAsia" w:cstheme="minorEastAsia"/>
                <w:sz w:val="21"/>
                <w:szCs w:val="21"/>
              </w:rPr>
              <w:t>D）；</w:t>
            </w:r>
          </w:p>
          <w:p w14:paraId="597B89D6">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2、角度精度：±(0.3°+0.1°+0.01*A),A最高每象限达+/-45°；</w:t>
            </w:r>
          </w:p>
          <w:p w14:paraId="1014E7AB">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★3、具有3D空间测量功能，支持测量任意两点之间的距离</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功能截图进行佐证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74D66A80">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4、测量功能包括：单次测量、连续测量、面积测量、体积测量、一次勾股、二次勾股、自动水平、自动垂直、空间两点测距、放样功能、延时测量；</w:t>
            </w:r>
          </w:p>
          <w:p w14:paraId="79EAA706">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★5、支持无线充电功能</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功能截图进行佐证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77CF0843">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6、测量范围覆盖0.5m～100m；</w:t>
            </w:r>
          </w:p>
          <w:p w14:paraId="7B6BFD9F">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7、30m内测量精度≤1.5mm；</w:t>
            </w:r>
          </w:p>
          <w:p w14:paraId="439694C6">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8、历史测量数据保存≥100组。</w:t>
            </w:r>
          </w:p>
        </w:tc>
        <w:tc>
          <w:tcPr>
            <w:tcW w:w="638" w:type="pct"/>
            <w:vAlign w:val="center"/>
          </w:tcPr>
          <w:p w14:paraId="0DC36687">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6</w:t>
            </w:r>
          </w:p>
        </w:tc>
        <w:tc>
          <w:tcPr>
            <w:tcW w:w="475" w:type="pct"/>
            <w:vAlign w:val="center"/>
          </w:tcPr>
          <w:p w14:paraId="56E343B6">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工业</w:t>
            </w:r>
          </w:p>
        </w:tc>
      </w:tr>
      <w:tr w14:paraId="5A18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2CF661DB">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717" w:type="pct"/>
            <w:vAlign w:val="center"/>
          </w:tcPr>
          <w:p w14:paraId="68F65673">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▲电梯限速器测试仪</w:t>
            </w:r>
          </w:p>
        </w:tc>
        <w:tc>
          <w:tcPr>
            <w:tcW w:w="2845" w:type="pct"/>
            <w:vAlign w:val="center"/>
          </w:tcPr>
          <w:p w14:paraId="3C0F59B7">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★1、便携一体式测量仪器，内置可充电锂电池，可不接电源工作，满电状态下连续测试时间≥6小时</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技术说明书进行佐证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3F3E47F2">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2、可操作触摸屏，设置参数完成后可开始测试，自动加速捕捉动作速度完成测试；</w:t>
            </w:r>
          </w:p>
          <w:p w14:paraId="18C03205">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★3、支持U盘信息导入功能</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功能截图进行佐证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64118504">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4、配备微型打印机，测试完成后可现场打印有额定速度、双电气和双机械速度（如有）、平均动作速度、参考速度范围、测量时间、电梯编号等信息的测试凭证；</w:t>
            </w:r>
          </w:p>
          <w:p w14:paraId="05EA0311">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★5、支持数据自动保存到主机，</w:t>
            </w:r>
            <w:r>
              <w:rPr>
                <w:rFonts w:hint="eastAsia" w:asciiTheme="minorEastAsia" w:hAnsiTheme="minorEastAsia" w:eastAsiaTheme="minorEastAsia" w:cstheme="minorEastAsia"/>
                <w:sz w:val="21"/>
                <w:szCs w:val="21"/>
                <w:lang w:val="en-US" w:eastAsia="zh-CN"/>
              </w:rPr>
              <w:t>存储数据</w:t>
            </w:r>
            <w:r>
              <w:rPr>
                <w:rFonts w:hint="eastAsia" w:asciiTheme="minorEastAsia" w:hAnsiTheme="minorEastAsia" w:eastAsiaTheme="minorEastAsia" w:cstheme="minorEastAsia"/>
                <w:sz w:val="21"/>
                <w:szCs w:val="21"/>
              </w:rPr>
              <w:t>≥200组；也可外接U盘实现内存拓展，数据可导入电脑查看</w:t>
            </w:r>
            <w:r>
              <w:rPr>
                <w:rFonts w:hint="eastAsia" w:asciiTheme="minorEastAsia" w:hAnsiTheme="minorEastAsia" w:eastAsiaTheme="minorEastAsia" w:cstheme="minorEastAsia"/>
                <w:b/>
                <w:bCs/>
                <w:sz w:val="21"/>
                <w:szCs w:val="21"/>
              </w:rPr>
              <w:t>（投标文件中提供</w:t>
            </w:r>
            <w:r>
              <w:rPr>
                <w:rFonts w:hint="eastAsia" w:asciiTheme="minorEastAsia" w:hAnsiTheme="minorEastAsia" w:eastAsiaTheme="minorEastAsia" w:cstheme="minorEastAsia"/>
                <w:b/>
                <w:bCs/>
                <w:sz w:val="21"/>
                <w:szCs w:val="21"/>
                <w:lang w:val="en-US" w:eastAsia="zh-CN"/>
              </w:rPr>
              <w:t>技术说明书进行佐证</w:t>
            </w:r>
            <w:r>
              <w:rPr>
                <w:rFonts w:hint="eastAsia" w:asciiTheme="minorEastAsia" w:hAnsiTheme="minorEastAsia" w:eastAsiaTheme="minorEastAsia" w:cstheme="minorEastAsia"/>
                <w:b/>
                <w:bCs/>
                <w:sz w:val="21"/>
                <w:szCs w:val="21"/>
              </w:rPr>
              <w:t>）</w:t>
            </w:r>
            <w:r>
              <w:rPr>
                <w:rFonts w:hint="eastAsia" w:asciiTheme="minorEastAsia" w:hAnsiTheme="minorEastAsia" w:eastAsiaTheme="minorEastAsia" w:cstheme="minorEastAsia"/>
                <w:sz w:val="21"/>
                <w:szCs w:val="21"/>
              </w:rPr>
              <w:t>；</w:t>
            </w:r>
          </w:p>
          <w:p w14:paraId="374DE12B">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6、测量范围覆盖0.25m/s～4m/s；</w:t>
            </w:r>
          </w:p>
          <w:p w14:paraId="5441E19A">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7、测量误差≤1%。</w:t>
            </w:r>
          </w:p>
        </w:tc>
        <w:tc>
          <w:tcPr>
            <w:tcW w:w="638" w:type="pct"/>
            <w:vAlign w:val="center"/>
          </w:tcPr>
          <w:p w14:paraId="173D3B5A">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1</w:t>
            </w:r>
          </w:p>
        </w:tc>
        <w:tc>
          <w:tcPr>
            <w:tcW w:w="475" w:type="pct"/>
            <w:vAlign w:val="center"/>
          </w:tcPr>
          <w:p w14:paraId="3BD02711">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工业</w:t>
            </w:r>
          </w:p>
        </w:tc>
      </w:tr>
      <w:tr w14:paraId="6B5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131A772D">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bookmarkStart w:id="6" w:name="_Toc7421"/>
            <w:bookmarkStart w:id="7" w:name="_Toc4843"/>
            <w:r>
              <w:rPr>
                <w:rFonts w:hint="eastAsia" w:asciiTheme="minorEastAsia" w:hAnsiTheme="minorEastAsia" w:eastAsiaTheme="minorEastAsia" w:cstheme="minorEastAsia"/>
                <w:sz w:val="21"/>
                <w:szCs w:val="21"/>
                <w:lang w:val="en-US" w:eastAsia="zh-CN"/>
              </w:rPr>
              <w:t>6</w:t>
            </w:r>
          </w:p>
        </w:tc>
        <w:tc>
          <w:tcPr>
            <w:tcW w:w="1227" w:type="dxa"/>
            <w:shd w:val="clear" w:color="auto" w:fill="auto"/>
            <w:vAlign w:val="center"/>
          </w:tcPr>
          <w:p w14:paraId="40B6624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电梯加减速度测试仪-3（电梯综合性能检测仪)</w:t>
            </w:r>
          </w:p>
        </w:tc>
        <w:tc>
          <w:tcPr>
            <w:tcW w:w="4868" w:type="dxa"/>
            <w:shd w:val="clear" w:color="auto" w:fill="auto"/>
            <w:vAlign w:val="center"/>
          </w:tcPr>
          <w:p w14:paraId="163C19E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一、技术参数：</w:t>
            </w:r>
          </w:p>
          <w:p w14:paraId="2E6E3303">
            <w:pPr>
              <w:keepNext w:val="0"/>
              <w:keepLines w:val="0"/>
              <w:pageBreakBefore w:val="0"/>
              <w:numPr>
                <w:ilvl w:val="0"/>
                <w:numId w:val="1"/>
              </w:numPr>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加减速度测量：</w:t>
            </w:r>
          </w:p>
          <w:p w14:paraId="7D956CE6">
            <w:pPr>
              <w:pStyle w:val="2"/>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（1）加减速度测量范围覆盖：-4g～+4g；加速度测量分辨率：≤0.001g</w:t>
            </w:r>
            <w:r>
              <w:rPr>
                <w:rFonts w:hint="eastAsia" w:asciiTheme="minorEastAsia" w:hAnsiTheme="minorEastAsia" w:eastAsiaTheme="minorEastAsia" w:cstheme="minorEastAsia"/>
                <w:sz w:val="21"/>
                <w:szCs w:val="21"/>
                <w:highlight w:val="none"/>
                <w:lang w:eastAsia="zh-CN"/>
              </w:rPr>
              <w:t>；</w:t>
            </w:r>
          </w:p>
          <w:p w14:paraId="05304E48">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textAlignment w:val="auto"/>
              <w:rPr>
                <w:rFonts w:hint="eastAsia" w:asciiTheme="minorEastAsia" w:hAnsiTheme="minorEastAsia" w:eastAsiaTheme="minorEastAsia" w:cstheme="minorEastAsia"/>
                <w:kern w:val="2"/>
                <w:sz w:val="21"/>
                <w:szCs w:val="21"/>
                <w:highlight w:val="none"/>
              </w:rPr>
            </w:pPr>
            <w:r>
              <w:rPr>
                <w:rFonts w:hint="eastAsia" w:asciiTheme="minorEastAsia" w:hAnsiTheme="minorEastAsia" w:eastAsiaTheme="minorEastAsia" w:cstheme="minorEastAsia"/>
                <w:kern w:val="2"/>
                <w:sz w:val="21"/>
                <w:szCs w:val="21"/>
                <w:highlight w:val="none"/>
              </w:rPr>
              <w:t>（2）速度分辨率≤0.001m/s；</w:t>
            </w:r>
          </w:p>
          <w:p w14:paraId="1F402DC9">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textAlignment w:val="auto"/>
              <w:rPr>
                <w:rFonts w:hint="eastAsia" w:asciiTheme="minorEastAsia" w:hAnsiTheme="minorEastAsia" w:eastAsiaTheme="minorEastAsia" w:cstheme="minorEastAsia"/>
                <w:kern w:val="2"/>
                <w:sz w:val="21"/>
                <w:szCs w:val="21"/>
                <w:highlight w:val="none"/>
                <w:lang w:eastAsia="zh-CN"/>
              </w:rPr>
            </w:pPr>
            <w:r>
              <w:rPr>
                <w:rFonts w:hint="eastAsia" w:asciiTheme="minorEastAsia" w:hAnsiTheme="minorEastAsia" w:eastAsiaTheme="minorEastAsia" w:cstheme="minorEastAsia"/>
                <w:kern w:val="2"/>
                <w:sz w:val="21"/>
                <w:szCs w:val="21"/>
                <w:highlight w:val="none"/>
              </w:rPr>
              <w:t>（3）位移分辨率≤0.001m</w:t>
            </w:r>
            <w:r>
              <w:rPr>
                <w:rFonts w:hint="eastAsia" w:asciiTheme="minorEastAsia" w:hAnsiTheme="minorEastAsia" w:eastAsiaTheme="minorEastAsia" w:cstheme="minorEastAsia"/>
                <w:kern w:val="2"/>
                <w:sz w:val="21"/>
                <w:szCs w:val="21"/>
                <w:highlight w:val="none"/>
                <w:lang w:eastAsia="zh-CN"/>
              </w:rPr>
              <w:t>；</w:t>
            </w:r>
          </w:p>
          <w:p w14:paraId="3DD2A3D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00" w:lineRule="auto"/>
              <w:textAlignment w:val="auto"/>
              <w:rPr>
                <w:rFonts w:hint="eastAsia" w:asciiTheme="minorEastAsia" w:hAnsiTheme="minorEastAsia" w:eastAsiaTheme="minorEastAsia" w:cstheme="minorEastAsia"/>
                <w:kern w:val="2"/>
                <w:sz w:val="21"/>
                <w:szCs w:val="21"/>
                <w:highlight w:val="none"/>
              </w:rPr>
            </w:pPr>
            <w:r>
              <w:rPr>
                <w:rFonts w:hint="eastAsia" w:asciiTheme="minorEastAsia" w:hAnsiTheme="minorEastAsia" w:eastAsiaTheme="minorEastAsia" w:cstheme="minorEastAsia"/>
                <w:kern w:val="2"/>
                <w:sz w:val="21"/>
                <w:szCs w:val="21"/>
                <w:highlight w:val="none"/>
              </w:rPr>
              <w:t>（4）采样频率：≥256Hz；</w:t>
            </w:r>
          </w:p>
          <w:p w14:paraId="5A2B0655">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kern w:val="2"/>
                <w:sz w:val="21"/>
                <w:szCs w:val="21"/>
                <w:highlight w:val="none"/>
              </w:rPr>
            </w:pPr>
            <w:r>
              <w:rPr>
                <w:rFonts w:hint="eastAsia" w:asciiTheme="minorEastAsia" w:hAnsiTheme="minorEastAsia" w:eastAsiaTheme="minorEastAsia" w:cstheme="minorEastAsia"/>
                <w:kern w:val="2"/>
                <w:sz w:val="21"/>
                <w:szCs w:val="21"/>
                <w:highlight w:val="none"/>
              </w:rPr>
              <w:t>★（5）支持频谱分析，可对波形中对应长度和时间进行选择并进行频谱分析</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kern w:val="2"/>
                <w:highlight w:val="none"/>
              </w:rPr>
              <w:t>投标文件中提供功能截图进行</w:t>
            </w:r>
            <w:r>
              <w:rPr>
                <w:rFonts w:hint="eastAsia" w:asciiTheme="minorEastAsia" w:hAnsiTheme="minorEastAsia" w:eastAsiaTheme="minorEastAsia" w:cstheme="minorEastAsia"/>
                <w:b/>
                <w:bCs/>
                <w:highlight w:val="none"/>
              </w:rPr>
              <w:t>佐</w:t>
            </w:r>
            <w:r>
              <w:rPr>
                <w:rFonts w:hint="eastAsia" w:asciiTheme="minorEastAsia" w:hAnsiTheme="minorEastAsia" w:eastAsiaTheme="minorEastAsia" w:cstheme="minorEastAsia"/>
                <w:b/>
                <w:bCs/>
                <w:kern w:val="2"/>
                <w:highlight w:val="none"/>
              </w:rPr>
              <w:t>证</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kern w:val="2"/>
                <w:sz w:val="21"/>
                <w:szCs w:val="21"/>
                <w:highlight w:val="none"/>
              </w:rPr>
              <w:t>；</w:t>
            </w:r>
          </w:p>
          <w:p w14:paraId="0954282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2、检验环境测量：</w:t>
            </w:r>
          </w:p>
          <w:p w14:paraId="748A5B2D">
            <w:pPr>
              <w:pStyle w:val="2"/>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（1）温度测量范围：覆盖-30℃～150℃</w:t>
            </w:r>
          </w:p>
          <w:p w14:paraId="053626F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（2）光照度测量范围：覆盖0～2000Lux；测量精度≤±3%</w:t>
            </w:r>
          </w:p>
          <w:p w14:paraId="372D5B70">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（3）湿度测量范围：覆盖0～100%RH；测量精度：≤3%</w:t>
            </w:r>
          </w:p>
          <w:p w14:paraId="23AA5FE0">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（4）噪音测量范围：覆盖30dB～130dB；分辨率：≤0.1dB</w:t>
            </w:r>
          </w:p>
          <w:p w14:paraId="6A45153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3、门间隙测量：</w:t>
            </w:r>
          </w:p>
          <w:p w14:paraId="4791FCE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（1）测距范围：覆盖0～50mm           </w:t>
            </w:r>
          </w:p>
          <w:p w14:paraId="3849C8F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（2）测距精度：≤0.01mm          </w:t>
            </w:r>
          </w:p>
          <w:p w14:paraId="70FC9D5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（3）测力范围：覆盖0～300N        </w:t>
            </w:r>
          </w:p>
          <w:p w14:paraId="094DB28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（4）测力精度：≤0.5%</w:t>
            </w:r>
            <w:r>
              <w:rPr>
                <w:rFonts w:hint="eastAsia" w:asciiTheme="minorEastAsia" w:hAnsiTheme="minorEastAsia" w:eastAsiaTheme="minorEastAsia" w:cstheme="minorEastAsia"/>
                <w:sz w:val="21"/>
                <w:szCs w:val="21"/>
                <w:highlight w:val="none"/>
              </w:rPr>
              <w:tab/>
            </w:r>
            <w:r>
              <w:rPr>
                <w:rFonts w:hint="eastAsia" w:asciiTheme="minorEastAsia" w:hAnsiTheme="minorEastAsia" w:eastAsiaTheme="minorEastAsia" w:cstheme="minorEastAsia"/>
                <w:sz w:val="21"/>
                <w:szCs w:val="21"/>
                <w:highlight w:val="none"/>
              </w:rPr>
              <w:t xml:space="preserve">           </w:t>
            </w:r>
          </w:p>
          <w:p w14:paraId="0B4E95C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（5）测力分辨率：≤0.1N</w:t>
            </w:r>
          </w:p>
          <w:p w14:paraId="1D9B6FA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4、护脚板强度检测：</w:t>
            </w:r>
          </w:p>
          <w:p w14:paraId="5BC88762">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（1）具备自动测量功能。自动识别加载力及形变量，在超标位置自动停止，实时显示护脚板形变量数值与力值施加数值，自动锁定300N静力时护脚板形变量或35mm形变量时所施加的压力值。</w:t>
            </w:r>
          </w:p>
          <w:p w14:paraId="367D002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（2）护脚板自动加载力范围：覆盖0～500N，分辨率≤0.01N，精度≤1%；</w:t>
            </w:r>
          </w:p>
          <w:p w14:paraId="7CCBE5A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（3）护脚板形变量测量范围：覆盖0～50mm，分辨率≤0.01mm，精度≤1%</w:t>
            </w:r>
          </w:p>
          <w:p w14:paraId="73CCA5CA">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5、钢丝绳张紧力检测：</w:t>
            </w:r>
          </w:p>
          <w:p w14:paraId="038622A0">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（1）可测钢丝绳公称直径：覆盖6mm～18mm，操作力≤30N；</w:t>
            </w:r>
          </w:p>
          <w:p w14:paraId="69D1A4A1">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（2）测量范围：覆盖0～1000N，测量精度≤1%；</w:t>
            </w:r>
          </w:p>
          <w:p w14:paraId="526F1B87">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（3）主机屏幕可实时显示各个张力值及偏差。</w:t>
            </w:r>
          </w:p>
          <w:p w14:paraId="6EEA7025">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6、电梯导轨垂直度测量：</w:t>
            </w:r>
          </w:p>
          <w:p w14:paraId="6CA3738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color w:val="000000"/>
                <w:sz w:val="21"/>
                <w:szCs w:val="21"/>
                <w:highlight w:val="none"/>
              </w:rPr>
              <w:t>上下双激光束测量标准偏差：≤1/100000</w:t>
            </w:r>
          </w:p>
          <w:p w14:paraId="3DC2CE59">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color w:val="000000"/>
                <w:sz w:val="21"/>
                <w:szCs w:val="21"/>
                <w:highlight w:val="none"/>
              </w:rPr>
              <w:t>自动安平范围：≥3°</w:t>
            </w:r>
          </w:p>
          <w:p w14:paraId="3E515A19">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color w:val="000000"/>
                <w:sz w:val="21"/>
                <w:szCs w:val="21"/>
                <w:highlight w:val="none"/>
              </w:rPr>
              <w:t>水平转换五角棱镜头精度：≤2″；</w:t>
            </w:r>
          </w:p>
          <w:p w14:paraId="482463BA">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sz w:val="21"/>
                <w:szCs w:val="21"/>
                <w:highlight w:val="none"/>
              </w:rPr>
              <w:t>（4）</w:t>
            </w:r>
            <w:r>
              <w:rPr>
                <w:rFonts w:hint="eastAsia" w:asciiTheme="minorEastAsia" w:hAnsiTheme="minorEastAsia" w:eastAsiaTheme="minorEastAsia" w:cstheme="minorEastAsia"/>
                <w:color w:val="000000"/>
                <w:sz w:val="21"/>
                <w:szCs w:val="21"/>
                <w:highlight w:val="none"/>
              </w:rPr>
              <w:t>测量距离：上出光：≥150米，下出光：≥150米</w:t>
            </w:r>
            <w:r>
              <w:rPr>
                <w:rFonts w:hint="eastAsia" w:asciiTheme="minorEastAsia" w:hAnsiTheme="minorEastAsia" w:eastAsiaTheme="minorEastAsia" w:cstheme="minorEastAsia"/>
                <w:color w:val="000000"/>
                <w:sz w:val="21"/>
                <w:szCs w:val="21"/>
                <w:highlight w:val="none"/>
                <w:lang w:eastAsia="zh-CN"/>
              </w:rPr>
              <w:t>；</w:t>
            </w:r>
          </w:p>
          <w:p w14:paraId="6843608D">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sz w:val="21"/>
                <w:szCs w:val="21"/>
                <w:highlight w:val="none"/>
              </w:rPr>
              <w:t>（5）</w:t>
            </w:r>
            <w:r>
              <w:rPr>
                <w:rFonts w:hint="eastAsia" w:asciiTheme="minorEastAsia" w:hAnsiTheme="minorEastAsia" w:eastAsiaTheme="minorEastAsia" w:cstheme="minorEastAsia"/>
                <w:color w:val="000000"/>
                <w:sz w:val="21"/>
                <w:szCs w:val="21"/>
                <w:highlight w:val="none"/>
              </w:rPr>
              <w:t>圆水泡角度值：≥8′</w:t>
            </w:r>
            <w:r>
              <w:rPr>
                <w:rFonts w:hint="eastAsia" w:asciiTheme="minorEastAsia" w:hAnsiTheme="minorEastAsia" w:eastAsiaTheme="minorEastAsia" w:cstheme="minorEastAsia"/>
                <w:color w:val="000000"/>
                <w:sz w:val="21"/>
                <w:szCs w:val="21"/>
                <w:highlight w:val="none"/>
                <w:lang w:eastAsia="zh-CN"/>
              </w:rPr>
              <w:t>；</w:t>
            </w:r>
          </w:p>
          <w:p w14:paraId="4DD632E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sz w:val="21"/>
                <w:szCs w:val="21"/>
                <w:highlight w:val="none"/>
              </w:rPr>
              <w:t>（6）</w:t>
            </w:r>
            <w:r>
              <w:rPr>
                <w:rFonts w:hint="eastAsia" w:asciiTheme="minorEastAsia" w:hAnsiTheme="minorEastAsia" w:eastAsiaTheme="minorEastAsia" w:cstheme="minorEastAsia"/>
                <w:color w:val="000000"/>
                <w:sz w:val="21"/>
                <w:szCs w:val="21"/>
                <w:highlight w:val="none"/>
              </w:rPr>
              <w:t>数显标尺的精度≤0.2</w:t>
            </w:r>
            <w:r>
              <w:rPr>
                <w:rFonts w:hint="eastAsia" w:asciiTheme="minorEastAsia" w:hAnsiTheme="minorEastAsia" w:eastAsiaTheme="minorEastAsia" w:cstheme="minorEastAsia"/>
                <w:color w:val="000000"/>
                <w:sz w:val="21"/>
                <w:szCs w:val="21"/>
                <w:highlight w:val="none"/>
                <w:lang w:eastAsia="zh-CN"/>
              </w:rPr>
              <w:t>；</w:t>
            </w:r>
          </w:p>
          <w:p w14:paraId="4FC2A7BF">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sz w:val="21"/>
                <w:szCs w:val="21"/>
                <w:highlight w:val="none"/>
              </w:rPr>
              <w:t>★（7）</w:t>
            </w:r>
            <w:r>
              <w:rPr>
                <w:rFonts w:hint="eastAsia" w:asciiTheme="minorEastAsia" w:hAnsiTheme="minorEastAsia" w:eastAsiaTheme="minorEastAsia" w:cstheme="minorEastAsia"/>
                <w:color w:val="000000"/>
                <w:sz w:val="21"/>
                <w:szCs w:val="21"/>
                <w:highlight w:val="none"/>
              </w:rPr>
              <w:t>可实时记录 X/Y 轴位置，自动计算偏移量，并导出测试数据</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kern w:val="2"/>
                <w:highlight w:val="none"/>
              </w:rPr>
              <w:t>投标文件中提供功能截图进行</w:t>
            </w:r>
            <w:r>
              <w:rPr>
                <w:rFonts w:hint="eastAsia" w:asciiTheme="minorEastAsia" w:hAnsiTheme="minorEastAsia" w:eastAsiaTheme="minorEastAsia" w:cstheme="minorEastAsia"/>
                <w:b/>
                <w:bCs/>
                <w:highlight w:val="none"/>
              </w:rPr>
              <w:t>佐</w:t>
            </w:r>
            <w:r>
              <w:rPr>
                <w:rFonts w:hint="eastAsia" w:asciiTheme="minorEastAsia" w:hAnsiTheme="minorEastAsia" w:eastAsiaTheme="minorEastAsia" w:cstheme="minorEastAsia"/>
                <w:b/>
                <w:bCs/>
                <w:kern w:val="2"/>
                <w:highlight w:val="none"/>
              </w:rPr>
              <w:t>证</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color w:val="000000"/>
                <w:sz w:val="21"/>
                <w:szCs w:val="21"/>
                <w:highlight w:val="none"/>
              </w:rPr>
              <w:t>。</w:t>
            </w:r>
          </w:p>
          <w:p w14:paraId="70A2B21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7、门锁啮合深度测量：</w:t>
            </w:r>
          </w:p>
          <w:p w14:paraId="00BEC4A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（1）测量范围：</w:t>
            </w:r>
            <w:r>
              <w:rPr>
                <w:rFonts w:hint="eastAsia" w:asciiTheme="minorEastAsia" w:hAnsiTheme="minorEastAsia" w:eastAsiaTheme="minorEastAsia" w:cstheme="minorEastAsia"/>
                <w:sz w:val="21"/>
                <w:szCs w:val="21"/>
                <w:highlight w:val="none"/>
              </w:rPr>
              <w:t>覆盖</w:t>
            </w:r>
            <w:r>
              <w:rPr>
                <w:rFonts w:hint="eastAsia" w:asciiTheme="minorEastAsia" w:hAnsiTheme="minorEastAsia" w:eastAsiaTheme="minorEastAsia" w:cstheme="minorEastAsia"/>
                <w:color w:val="000000"/>
                <w:sz w:val="21"/>
                <w:szCs w:val="21"/>
                <w:highlight w:val="none"/>
              </w:rPr>
              <w:t>0-15mm</w:t>
            </w:r>
            <w:r>
              <w:rPr>
                <w:rFonts w:hint="eastAsia" w:asciiTheme="minorEastAsia" w:hAnsiTheme="minorEastAsia" w:eastAsiaTheme="minorEastAsia" w:cstheme="minorEastAsia"/>
                <w:color w:val="000000"/>
                <w:sz w:val="21"/>
                <w:szCs w:val="21"/>
                <w:highlight w:val="none"/>
                <w:lang w:eastAsia="zh-CN"/>
              </w:rPr>
              <w:t>；</w:t>
            </w:r>
            <w:r>
              <w:rPr>
                <w:rFonts w:hint="eastAsia" w:asciiTheme="minorEastAsia" w:hAnsiTheme="minorEastAsia" w:eastAsiaTheme="minorEastAsia" w:cstheme="minorEastAsia"/>
                <w:color w:val="000000"/>
                <w:sz w:val="21"/>
                <w:szCs w:val="21"/>
                <w:highlight w:val="none"/>
              </w:rPr>
              <w:t xml:space="preserve">       </w:t>
            </w:r>
          </w:p>
          <w:p w14:paraId="25F99CDB">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（2）测量精度≤0.1mm</w:t>
            </w:r>
            <w:r>
              <w:rPr>
                <w:rFonts w:hint="eastAsia" w:asciiTheme="minorEastAsia" w:hAnsiTheme="minorEastAsia" w:eastAsiaTheme="minorEastAsia" w:cstheme="minorEastAsia"/>
                <w:color w:val="000000"/>
                <w:sz w:val="21"/>
                <w:szCs w:val="21"/>
                <w:highlight w:val="none"/>
                <w:lang w:eastAsia="zh-CN"/>
              </w:rPr>
              <w:t>；</w:t>
            </w:r>
          </w:p>
          <w:p w14:paraId="0CA1380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lang w:eastAsia="zh-CN"/>
              </w:rPr>
            </w:pPr>
            <w:r>
              <w:rPr>
                <w:rFonts w:hint="eastAsia" w:asciiTheme="minorEastAsia" w:hAnsiTheme="minorEastAsia" w:eastAsiaTheme="minorEastAsia" w:cstheme="minorEastAsia"/>
                <w:color w:val="000000"/>
                <w:sz w:val="21"/>
                <w:szCs w:val="21"/>
                <w:highlight w:val="none"/>
              </w:rPr>
              <w:t>（3）测量分辨率：≤0.1mm</w:t>
            </w:r>
            <w:r>
              <w:rPr>
                <w:rFonts w:hint="eastAsia" w:asciiTheme="minorEastAsia" w:hAnsiTheme="minorEastAsia" w:eastAsiaTheme="minorEastAsia" w:cstheme="minorEastAsia"/>
                <w:color w:val="000000"/>
                <w:sz w:val="21"/>
                <w:szCs w:val="21"/>
                <w:highlight w:val="none"/>
                <w:lang w:eastAsia="zh-CN"/>
              </w:rPr>
              <w:t>；</w:t>
            </w:r>
          </w:p>
          <w:p w14:paraId="587F3A6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（4）手持控制终端与测量单元无线传输，电气触点连接具有防止误操作导致触电措施；</w:t>
            </w:r>
          </w:p>
          <w:p w14:paraId="07CEFD7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（5）仪器需驱动门锁至电气动作发生，自动锁定及测量门锁啮合深度</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sz w:val="21"/>
                <w:szCs w:val="21"/>
                <w:highlight w:val="none"/>
              </w:rPr>
              <w:t>投标文件中提供</w:t>
            </w:r>
            <w:r>
              <w:rPr>
                <w:rFonts w:hint="eastAsia" w:asciiTheme="minorEastAsia" w:hAnsiTheme="minorEastAsia" w:eastAsiaTheme="minorEastAsia" w:cstheme="minorEastAsia"/>
                <w:b/>
                <w:bCs/>
                <w:sz w:val="21"/>
                <w:szCs w:val="21"/>
                <w:highlight w:val="none"/>
                <w:lang w:val="en-US" w:eastAsia="zh-CN"/>
              </w:rPr>
              <w:t>技术说明书佐证</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color w:val="000000"/>
                <w:sz w:val="21"/>
                <w:szCs w:val="21"/>
                <w:highlight w:val="none"/>
              </w:rPr>
              <w:t>；</w:t>
            </w:r>
          </w:p>
          <w:p w14:paraId="7599B4B0">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（6）一次测试过程同时检测门锁回路闭合和断开瞬间的啮合深度值</w:t>
            </w:r>
            <w:r>
              <w:rPr>
                <w:rFonts w:hint="eastAsia" w:asciiTheme="minorEastAsia" w:hAnsiTheme="minorEastAsia" w:eastAsiaTheme="minorEastAsia" w:cstheme="minorEastAsia"/>
                <w:b/>
                <w:bCs/>
                <w:color w:val="000000"/>
                <w:sz w:val="21"/>
                <w:szCs w:val="21"/>
                <w:highlight w:val="none"/>
              </w:rPr>
              <w:t>（</w:t>
            </w:r>
            <w:r>
              <w:rPr>
                <w:rFonts w:hint="eastAsia" w:asciiTheme="minorEastAsia" w:hAnsiTheme="minorEastAsia" w:eastAsiaTheme="minorEastAsia" w:cstheme="minorEastAsia"/>
                <w:b/>
                <w:bCs/>
                <w:sz w:val="21"/>
                <w:szCs w:val="21"/>
                <w:highlight w:val="none"/>
              </w:rPr>
              <w:t>投标文件中提供</w:t>
            </w:r>
            <w:r>
              <w:rPr>
                <w:rFonts w:hint="eastAsia" w:asciiTheme="minorEastAsia" w:hAnsiTheme="minorEastAsia" w:eastAsiaTheme="minorEastAsia" w:cstheme="minorEastAsia"/>
                <w:b/>
                <w:bCs/>
                <w:sz w:val="21"/>
                <w:szCs w:val="21"/>
                <w:highlight w:val="none"/>
                <w:lang w:val="en-US" w:eastAsia="zh-CN"/>
              </w:rPr>
              <w:t>技术说明书佐证</w:t>
            </w:r>
            <w:r>
              <w:rPr>
                <w:rFonts w:hint="eastAsia" w:asciiTheme="minorEastAsia" w:hAnsiTheme="minorEastAsia" w:eastAsiaTheme="minorEastAsia" w:cstheme="minorEastAsia"/>
                <w:b/>
                <w:bCs/>
                <w:color w:val="000000"/>
                <w:sz w:val="21"/>
                <w:szCs w:val="21"/>
                <w:highlight w:val="none"/>
              </w:rPr>
              <w:t>）</w:t>
            </w:r>
            <w:r>
              <w:rPr>
                <w:rFonts w:hint="eastAsia" w:asciiTheme="minorEastAsia" w:hAnsiTheme="minorEastAsia" w:eastAsiaTheme="minorEastAsia" w:cstheme="minorEastAsia"/>
                <w:color w:val="000000"/>
                <w:sz w:val="21"/>
                <w:szCs w:val="21"/>
                <w:highlight w:val="none"/>
              </w:rPr>
              <w:t>；</w:t>
            </w:r>
          </w:p>
          <w:p w14:paraId="2E505B27">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（7）测量完成后自动显示测量结果并判断是否合格。</w:t>
            </w:r>
          </w:p>
          <w:p w14:paraId="7C983E1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8、门回路模块检测：</w:t>
            </w:r>
          </w:p>
          <w:p w14:paraId="1A60531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（1）具有带电测量模式、断电测量模式、阻值检测模式。可适应交流/直流电路类型。</w:t>
            </w:r>
          </w:p>
          <w:p w14:paraId="37F4A6DF">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（3）电压测量范围：覆盖AC/DC0-450V</w:t>
            </w:r>
          </w:p>
          <w:p w14:paraId="773E552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（4）阻值调节范围：覆盖100Ω～20kΩ</w:t>
            </w:r>
          </w:p>
          <w:p w14:paraId="001D38B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（5）阻值测量分辨率：≤0.1Ω</w:t>
            </w:r>
          </w:p>
          <w:p w14:paraId="5100A2E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（6）电流测量分辨率</w:t>
            </w:r>
            <w:r>
              <w:rPr>
                <w:rFonts w:hint="eastAsia" w:asciiTheme="minorEastAsia" w:hAnsiTheme="minorEastAsia" w:eastAsiaTheme="minorEastAsia" w:cstheme="minorEastAsia"/>
                <w:color w:val="000000"/>
                <w:sz w:val="21"/>
                <w:szCs w:val="21"/>
                <w:highlight w:val="none"/>
                <w:lang w:eastAsia="zh-CN"/>
              </w:rPr>
              <w:t>：</w:t>
            </w:r>
            <w:r>
              <w:rPr>
                <w:rFonts w:hint="eastAsia" w:asciiTheme="minorEastAsia" w:hAnsiTheme="minorEastAsia" w:eastAsiaTheme="minorEastAsia" w:cstheme="minorEastAsia"/>
                <w:color w:val="000000"/>
                <w:sz w:val="21"/>
                <w:szCs w:val="21"/>
                <w:highlight w:val="none"/>
              </w:rPr>
              <w:t>≤10mA</w:t>
            </w:r>
          </w:p>
          <w:p w14:paraId="4372E352">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（7）量程选择：全自动量程</w:t>
            </w:r>
          </w:p>
          <w:p w14:paraId="3412335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（8）输入阻抗：电压通道≥1 kΩ／V；</w:t>
            </w:r>
          </w:p>
          <w:p w14:paraId="230EE82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9、可连续工作时间≥4小时；</w:t>
            </w:r>
          </w:p>
          <w:p w14:paraId="65512E5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00000"/>
                <w:sz w:val="21"/>
                <w:szCs w:val="21"/>
                <w:highlight w:val="none"/>
              </w:rPr>
              <w:t>10、具有批处理功能，可将连续测试的多组数据进行同时分析，并将分析结果输出到文本文件</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kern w:val="2"/>
                <w:highlight w:val="none"/>
              </w:rPr>
              <w:t>投标文件中提供功能截图进行</w:t>
            </w:r>
            <w:r>
              <w:rPr>
                <w:rFonts w:hint="eastAsia" w:asciiTheme="minorEastAsia" w:hAnsiTheme="minorEastAsia" w:eastAsiaTheme="minorEastAsia" w:cstheme="minorEastAsia"/>
                <w:b/>
                <w:bCs/>
                <w:highlight w:val="none"/>
              </w:rPr>
              <w:t>佐</w:t>
            </w:r>
            <w:r>
              <w:rPr>
                <w:rFonts w:hint="eastAsia" w:asciiTheme="minorEastAsia" w:hAnsiTheme="minorEastAsia" w:eastAsiaTheme="minorEastAsia" w:cstheme="minorEastAsia"/>
                <w:b/>
                <w:bCs/>
                <w:kern w:val="2"/>
                <w:highlight w:val="none"/>
              </w:rPr>
              <w:t>证</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color w:val="000000"/>
                <w:sz w:val="21"/>
                <w:szCs w:val="21"/>
                <w:highlight w:val="none"/>
              </w:rPr>
              <w:t>。</w:t>
            </w:r>
          </w:p>
        </w:tc>
        <w:tc>
          <w:tcPr>
            <w:tcW w:w="1092" w:type="dxa"/>
            <w:shd w:val="clear" w:color="auto" w:fill="auto"/>
            <w:vAlign w:val="center"/>
          </w:tcPr>
          <w:p w14:paraId="130EEE8A">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2</w:t>
            </w:r>
          </w:p>
        </w:tc>
        <w:tc>
          <w:tcPr>
            <w:tcW w:w="813" w:type="dxa"/>
            <w:shd w:val="clear" w:color="auto" w:fill="auto"/>
            <w:vAlign w:val="center"/>
          </w:tcPr>
          <w:p w14:paraId="0CA7E512">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r w14:paraId="4876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2A7B9686">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1227" w:type="dxa"/>
            <w:shd w:val="clear" w:color="auto" w:fill="auto"/>
            <w:vAlign w:val="center"/>
          </w:tcPr>
          <w:p w14:paraId="11EE5389">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扶梯同步率及制停距离检测仪-2（扶梯综合性能检测仪）</w:t>
            </w:r>
          </w:p>
        </w:tc>
        <w:tc>
          <w:tcPr>
            <w:tcW w:w="4868" w:type="dxa"/>
            <w:shd w:val="clear" w:color="auto" w:fill="auto"/>
            <w:vAlign w:val="center"/>
          </w:tcPr>
          <w:p w14:paraId="4C28C0DF">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一、扶梯综合性能检测仪可检测自动扶梯/自动人行道的速度、启制动加速度、制停距离、两侧扶手带与梯级踏板速度同步率、梯级/踏板与围裙板间隙、梳齿板啮合深度等。</w:t>
            </w:r>
          </w:p>
          <w:p w14:paraId="65759BD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二、技术参数：</w:t>
            </w:r>
          </w:p>
          <w:p w14:paraId="2480C0BD">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1、测速范围覆盖：0～1m/s </w:t>
            </w:r>
          </w:p>
          <w:p w14:paraId="30F6001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2、测速精度：≤1% </w:t>
            </w:r>
          </w:p>
          <w:p w14:paraId="3489B20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3、测速分辨率：≤0.01m/s</w:t>
            </w:r>
          </w:p>
          <w:p w14:paraId="1DC0FC1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4、加速度范围覆盖：0～1.5g</w:t>
            </w:r>
          </w:p>
          <w:p w14:paraId="656D3E1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5、梳齿板啮合深度测量范围覆盖：0～30mm；分辨率：≤0.1mm</w:t>
            </w:r>
          </w:p>
          <w:p w14:paraId="1DEEEE5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★6、制停距离</w:t>
            </w:r>
            <w:r>
              <w:rPr>
                <w:rFonts w:hint="eastAsia" w:asciiTheme="minorEastAsia" w:hAnsiTheme="minorEastAsia" w:eastAsiaTheme="minorEastAsia" w:cstheme="minorEastAsia"/>
                <w:sz w:val="21"/>
                <w:szCs w:val="21"/>
                <w:highlight w:val="none"/>
                <w:lang w:val="en-US" w:eastAsia="zh-CN"/>
              </w:rPr>
              <w:t>测量</w:t>
            </w:r>
            <w:r>
              <w:rPr>
                <w:rFonts w:hint="eastAsia" w:asciiTheme="minorEastAsia" w:hAnsiTheme="minorEastAsia" w:eastAsiaTheme="minorEastAsia" w:cstheme="minorEastAsia"/>
                <w:sz w:val="21"/>
                <w:szCs w:val="21"/>
                <w:highlight w:val="none"/>
              </w:rPr>
              <w:t>精度</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≤0.001m</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sz w:val="21"/>
                <w:szCs w:val="21"/>
                <w:highlight w:val="none"/>
              </w:rPr>
              <w:t>投标文件中提供</w:t>
            </w:r>
            <w:r>
              <w:rPr>
                <w:rFonts w:hint="eastAsia" w:asciiTheme="minorEastAsia" w:hAnsiTheme="minorEastAsia" w:eastAsiaTheme="minorEastAsia" w:cstheme="minorEastAsia"/>
                <w:b/>
                <w:bCs/>
                <w:sz w:val="21"/>
                <w:szCs w:val="21"/>
                <w:highlight w:val="none"/>
                <w:lang w:val="en-US" w:eastAsia="zh-CN"/>
              </w:rPr>
              <w:t>技术说明书佐证</w:t>
            </w:r>
            <w:r>
              <w:rPr>
                <w:rFonts w:hint="eastAsia" w:asciiTheme="minorEastAsia" w:hAnsiTheme="minorEastAsia" w:eastAsiaTheme="minorEastAsia" w:cstheme="minorEastAsia"/>
                <w:b/>
                <w:bCs/>
                <w:kern w:val="2"/>
                <w:sz w:val="21"/>
                <w:szCs w:val="21"/>
                <w:highlight w:val="none"/>
              </w:rPr>
              <w:t>）</w:t>
            </w:r>
          </w:p>
          <w:p w14:paraId="787D845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7、自动扶梯运行速度检测界面可实时显示线速度和转速的最大/最小/平均值</w:t>
            </w:r>
          </w:p>
          <w:p w14:paraId="0AE682A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8、自动扶梯制动性能检测可以自动计算制动距离、时间、减速度</w:t>
            </w:r>
          </w:p>
          <w:p w14:paraId="4534FE2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9、测试完成能自动分析，并给出测量结果</w:t>
            </w:r>
          </w:p>
          <w:p w14:paraId="20D15D0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10、配置围裙板间隙、阻挡装置距离、梳齿板啮合深度、下缘距离、水平距离，柔性部件及刚性部件等尺寸的测量工具一把。</w:t>
            </w:r>
          </w:p>
          <w:p w14:paraId="54B2B4F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★11、速度传感器</w:t>
            </w:r>
            <w:r>
              <w:rPr>
                <w:rFonts w:hint="eastAsia" w:asciiTheme="minorEastAsia" w:hAnsiTheme="minorEastAsia" w:eastAsiaTheme="minorEastAsia" w:cstheme="minorEastAsia"/>
                <w:sz w:val="21"/>
                <w:szCs w:val="21"/>
                <w:highlight w:val="none"/>
                <w:lang w:val="en-US" w:eastAsia="zh-CN"/>
              </w:rPr>
              <w:t>的固定方式</w:t>
            </w:r>
            <w:r>
              <w:rPr>
                <w:rFonts w:hint="eastAsia" w:asciiTheme="minorEastAsia" w:hAnsiTheme="minorEastAsia" w:eastAsiaTheme="minorEastAsia" w:cstheme="minorEastAsia"/>
                <w:sz w:val="21"/>
                <w:szCs w:val="21"/>
                <w:highlight w:val="none"/>
              </w:rPr>
              <w:t>采用电动吸盘</w:t>
            </w:r>
            <w:r>
              <w:rPr>
                <w:rFonts w:hint="eastAsia" w:asciiTheme="minorEastAsia" w:hAnsiTheme="minorEastAsia" w:eastAsiaTheme="minorEastAsia" w:cstheme="minorEastAsia"/>
                <w:b/>
                <w:bCs/>
                <w:sz w:val="21"/>
                <w:szCs w:val="21"/>
                <w:highlight w:val="none"/>
              </w:rPr>
              <w:t>（投标文件中提供</w:t>
            </w:r>
            <w:r>
              <w:rPr>
                <w:rFonts w:hint="eastAsia" w:asciiTheme="minorEastAsia" w:hAnsiTheme="minorEastAsia" w:eastAsiaTheme="minorEastAsia" w:cstheme="minorEastAsia"/>
                <w:b/>
                <w:bCs/>
                <w:sz w:val="21"/>
                <w:szCs w:val="21"/>
                <w:highlight w:val="none"/>
                <w:lang w:val="en-US" w:eastAsia="zh-CN"/>
              </w:rPr>
              <w:t>技术说明书佐证</w:t>
            </w:r>
            <w:r>
              <w:rPr>
                <w:rFonts w:hint="eastAsia" w:asciiTheme="minorEastAsia" w:hAnsiTheme="minorEastAsia" w:eastAsiaTheme="minorEastAsia" w:cstheme="minorEastAsia"/>
                <w:b/>
                <w:bCs/>
                <w:sz w:val="21"/>
                <w:szCs w:val="21"/>
                <w:highlight w:val="none"/>
              </w:rPr>
              <w:t>）</w:t>
            </w:r>
            <w:r>
              <w:rPr>
                <w:rFonts w:hint="eastAsia" w:asciiTheme="minorEastAsia" w:hAnsiTheme="minorEastAsia" w:eastAsiaTheme="minorEastAsia" w:cstheme="minorEastAsia"/>
                <w:sz w:val="21"/>
                <w:szCs w:val="21"/>
                <w:highlight w:val="none"/>
              </w:rPr>
              <w:t>。</w:t>
            </w:r>
          </w:p>
        </w:tc>
        <w:tc>
          <w:tcPr>
            <w:tcW w:w="1092" w:type="dxa"/>
            <w:shd w:val="clear" w:color="auto" w:fill="auto"/>
            <w:vAlign w:val="center"/>
          </w:tcPr>
          <w:p w14:paraId="66F571A5">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2</w:t>
            </w:r>
          </w:p>
        </w:tc>
        <w:tc>
          <w:tcPr>
            <w:tcW w:w="813" w:type="dxa"/>
            <w:shd w:val="clear" w:color="auto" w:fill="auto"/>
            <w:vAlign w:val="center"/>
          </w:tcPr>
          <w:p w14:paraId="174777A8">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r w14:paraId="54B1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674E702D">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c>
          <w:tcPr>
            <w:tcW w:w="1227" w:type="dxa"/>
            <w:shd w:val="clear" w:color="auto" w:fill="auto"/>
            <w:vAlign w:val="center"/>
          </w:tcPr>
          <w:p w14:paraId="1D8D9D17">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 w:val="0"/>
                <w:bCs w:val="0"/>
                <w:sz w:val="21"/>
                <w:szCs w:val="21"/>
                <w:highlight w:val="none"/>
              </w:rPr>
              <w:t>钢丝绳探伤仪</w:t>
            </w:r>
          </w:p>
        </w:tc>
        <w:tc>
          <w:tcPr>
            <w:tcW w:w="4868" w:type="dxa"/>
            <w:shd w:val="clear" w:color="auto" w:fill="auto"/>
            <w:vAlign w:val="center"/>
          </w:tcPr>
          <w:p w14:paraId="30DA904D">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1、测量钢丝绳直径范围覆盖：6～16mm</w:t>
            </w:r>
          </w:p>
          <w:p w14:paraId="706F415F">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2、检测钢丝绳根数：1～8根，可任意选择。</w:t>
            </w:r>
          </w:p>
          <w:p w14:paraId="590F59D2">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3、钢丝绳间距范围：覆盖3～24 mm(根据钢丝绳间距调节)</w:t>
            </w:r>
          </w:p>
          <w:p w14:paraId="0E1DB125">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4、损伤局部缺陷检测能力：</w:t>
            </w:r>
          </w:p>
          <w:p w14:paraId="79FDD36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（1）断股定性检测准确率≥95%，断股定量检测准确率≥95%；</w:t>
            </w:r>
          </w:p>
          <w:p w14:paraId="065DE6E1">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（2）断丝定性检测准确率≥95%，断丝定量检测准确率≥90%。</w:t>
            </w:r>
          </w:p>
          <w:p w14:paraId="4D71EB2A">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5、检测长度示值百分比误差：≤0.5%</w:t>
            </w:r>
          </w:p>
          <w:p w14:paraId="2B386D8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6、具有在线自动标定和缺陷自动诊断功能；能在线检测电梯钢丝绳内外部断丝、磨损、锈蚀、变形、松股等缺陷，具有报警功能。</w:t>
            </w:r>
          </w:p>
          <w:p w14:paraId="6B7E9B2D">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7、</w:t>
            </w:r>
            <w:r>
              <w:rPr>
                <w:rFonts w:hint="eastAsia" w:asciiTheme="minorEastAsia" w:hAnsiTheme="minorEastAsia" w:eastAsiaTheme="minorEastAsia" w:cstheme="minorEastAsia"/>
                <w:sz w:val="21"/>
                <w:szCs w:val="21"/>
                <w:highlight w:val="none"/>
                <w:lang w:val="en-US" w:eastAsia="zh-CN"/>
              </w:rPr>
              <w:t>断丝、断股</w:t>
            </w:r>
            <w:r>
              <w:rPr>
                <w:rFonts w:hint="eastAsia" w:asciiTheme="minorEastAsia" w:hAnsiTheme="minorEastAsia" w:eastAsiaTheme="minorEastAsia" w:cstheme="minorEastAsia"/>
                <w:sz w:val="21"/>
                <w:szCs w:val="21"/>
                <w:highlight w:val="none"/>
              </w:rPr>
              <w:t>缺陷最小可检出尺寸：≤0.5mm；</w:t>
            </w:r>
          </w:p>
          <w:p w14:paraId="2F07431B">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w:t>
            </w:r>
            <w:r>
              <w:rPr>
                <w:rFonts w:hint="eastAsia" w:asciiTheme="minorEastAsia" w:hAnsiTheme="minorEastAsia" w:eastAsiaTheme="minorEastAsia" w:cstheme="minorEastAsia"/>
                <w:sz w:val="21"/>
                <w:szCs w:val="21"/>
                <w:highlight w:val="none"/>
                <w:lang w:val="en-US" w:eastAsia="zh-CN"/>
              </w:rPr>
              <w:t>可以</w:t>
            </w:r>
            <w:r>
              <w:rPr>
                <w:rFonts w:hint="eastAsia" w:asciiTheme="minorEastAsia" w:hAnsiTheme="minorEastAsia" w:eastAsiaTheme="minorEastAsia" w:cstheme="minorEastAsia"/>
                <w:sz w:val="21"/>
                <w:szCs w:val="21"/>
                <w:highlight w:val="none"/>
              </w:rPr>
              <w:t>测量钢丝绳直径</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测量示值误差:≤0.02mm，测量不确定度：≤0.01mm；</w:t>
            </w:r>
          </w:p>
          <w:p w14:paraId="5E55B45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9、</w:t>
            </w:r>
            <w:r>
              <w:rPr>
                <w:rFonts w:hint="eastAsia" w:asciiTheme="minorEastAsia" w:hAnsiTheme="minorEastAsia" w:eastAsiaTheme="minorEastAsia" w:cstheme="minorEastAsia"/>
                <w:sz w:val="21"/>
                <w:szCs w:val="21"/>
                <w:highlight w:val="none"/>
              </w:rPr>
              <w:t>检测结果输出：缺陷类型、缺陷尺寸（长度/宽度）、缺陷位置、缺陷图像</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kern w:val="2"/>
                <w:highlight w:val="none"/>
              </w:rPr>
              <w:t>投标文件中提供功能截图进行</w:t>
            </w:r>
            <w:r>
              <w:rPr>
                <w:rFonts w:hint="eastAsia" w:asciiTheme="minorEastAsia" w:hAnsiTheme="minorEastAsia" w:eastAsiaTheme="minorEastAsia" w:cstheme="minorEastAsia"/>
                <w:b/>
                <w:bCs/>
                <w:highlight w:val="none"/>
              </w:rPr>
              <w:t>佐</w:t>
            </w:r>
            <w:r>
              <w:rPr>
                <w:rFonts w:hint="eastAsia" w:asciiTheme="minorEastAsia" w:hAnsiTheme="minorEastAsia" w:eastAsiaTheme="minorEastAsia" w:cstheme="minorEastAsia"/>
                <w:b/>
                <w:bCs/>
                <w:kern w:val="2"/>
                <w:highlight w:val="none"/>
              </w:rPr>
              <w:t>证</w:t>
            </w:r>
            <w:r>
              <w:rPr>
                <w:rFonts w:hint="eastAsia" w:asciiTheme="minorEastAsia" w:hAnsiTheme="minorEastAsia" w:eastAsiaTheme="minorEastAsia" w:cstheme="minorEastAsia"/>
                <w:b/>
                <w:bCs/>
                <w:kern w:val="2"/>
                <w:sz w:val="21"/>
                <w:szCs w:val="21"/>
                <w:highlight w:val="none"/>
              </w:rPr>
              <w:t>）</w:t>
            </w:r>
          </w:p>
        </w:tc>
        <w:tc>
          <w:tcPr>
            <w:tcW w:w="1092" w:type="dxa"/>
            <w:shd w:val="clear" w:color="auto" w:fill="auto"/>
            <w:vAlign w:val="center"/>
          </w:tcPr>
          <w:p w14:paraId="5343A3A7">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1</w:t>
            </w:r>
          </w:p>
        </w:tc>
        <w:tc>
          <w:tcPr>
            <w:tcW w:w="813" w:type="dxa"/>
            <w:shd w:val="clear" w:color="auto" w:fill="auto"/>
            <w:vAlign w:val="center"/>
          </w:tcPr>
          <w:p w14:paraId="6F98C21B">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r w14:paraId="2356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6AA32957">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w:t>
            </w:r>
          </w:p>
        </w:tc>
        <w:tc>
          <w:tcPr>
            <w:tcW w:w="1227" w:type="dxa"/>
            <w:shd w:val="clear" w:color="auto" w:fill="auto"/>
            <w:vAlign w:val="center"/>
          </w:tcPr>
          <w:p w14:paraId="0E8379B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经纬仪</w:t>
            </w:r>
          </w:p>
        </w:tc>
        <w:tc>
          <w:tcPr>
            <w:tcW w:w="4868" w:type="dxa"/>
            <w:shd w:val="clear" w:color="auto" w:fill="auto"/>
            <w:vAlign w:val="center"/>
          </w:tcPr>
          <w:p w14:paraId="6D5F155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一、望远镜： </w:t>
            </w:r>
          </w:p>
          <w:p w14:paraId="126E654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1、有效孔径：≤45mm                     </w:t>
            </w:r>
          </w:p>
          <w:p w14:paraId="3D276E2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2、成像：正像 </w:t>
            </w:r>
          </w:p>
          <w:p w14:paraId="21A2006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3、放大倍率：≥30X                       </w:t>
            </w:r>
          </w:p>
          <w:p w14:paraId="10613F00">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4、视场角：≤1°30 ′                         </w:t>
            </w:r>
          </w:p>
          <w:p w14:paraId="330581D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5、最短视距：≤1.0m                        </w:t>
            </w:r>
          </w:p>
          <w:p w14:paraId="4581FC0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二、角度测量：</w:t>
            </w:r>
          </w:p>
          <w:p w14:paraId="13E1A95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1、测角方式：绝对编码                        </w:t>
            </w:r>
          </w:p>
          <w:p w14:paraId="6287EEBA">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2、最小读数：≤1″                          </w:t>
            </w:r>
          </w:p>
          <w:p w14:paraId="76D1E1E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3、测角精度 ≤2″                         </w:t>
            </w:r>
          </w:p>
          <w:p w14:paraId="0B19D49B">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4、度盘直径：≤80mm                                                     </w:t>
            </w:r>
          </w:p>
          <w:p w14:paraId="3C1FA212">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三、补偿器：</w:t>
            </w:r>
          </w:p>
          <w:p w14:paraId="67A09BFB">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1、补偿传感器类型：垂直自动补偿                 </w:t>
            </w:r>
          </w:p>
          <w:p w14:paraId="704A8EA5">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2、补偿范围：≤±3′                          </w:t>
            </w:r>
          </w:p>
          <w:p w14:paraId="7FB789B6">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四、水准器：</w:t>
            </w:r>
          </w:p>
          <w:p w14:paraId="019BA14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1、长水准器：≤30″/2mm                        </w:t>
            </w:r>
          </w:p>
          <w:p w14:paraId="28ABCCF4">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 xml:space="preserve">2、圆水准器：≤8′/2mm </w:t>
            </w:r>
          </w:p>
        </w:tc>
        <w:tc>
          <w:tcPr>
            <w:tcW w:w="1092" w:type="dxa"/>
            <w:shd w:val="clear" w:color="auto" w:fill="auto"/>
            <w:vAlign w:val="center"/>
          </w:tcPr>
          <w:p w14:paraId="3134ACA2">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1</w:t>
            </w:r>
          </w:p>
        </w:tc>
        <w:tc>
          <w:tcPr>
            <w:tcW w:w="813" w:type="dxa"/>
            <w:shd w:val="clear" w:color="auto" w:fill="auto"/>
            <w:vAlign w:val="center"/>
          </w:tcPr>
          <w:p w14:paraId="0B7C3D69">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r w14:paraId="5099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464D88FA">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c>
          <w:tcPr>
            <w:tcW w:w="1227" w:type="dxa"/>
            <w:shd w:val="clear" w:color="auto" w:fill="auto"/>
            <w:vAlign w:val="center"/>
          </w:tcPr>
          <w:p w14:paraId="13BE080F">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拉力计</w:t>
            </w:r>
          </w:p>
        </w:tc>
        <w:tc>
          <w:tcPr>
            <w:tcW w:w="4868" w:type="dxa"/>
            <w:shd w:val="clear" w:color="auto" w:fill="auto"/>
            <w:vAlign w:val="center"/>
          </w:tcPr>
          <w:p w14:paraId="4825983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1、量程：≥500N</w:t>
            </w:r>
          </w:p>
          <w:p w14:paraId="41F52749">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2、精度：≤1%FS</w:t>
            </w:r>
          </w:p>
          <w:p w14:paraId="2E1B758A">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eastAsiaTheme="minorEastAsia" w:cstheme="minorEastAsia"/>
                <w:kern w:val="0"/>
                <w:sz w:val="21"/>
                <w:szCs w:val="21"/>
                <w:highlight w:val="none"/>
              </w:rPr>
              <w:t>3.具有背光显示功能、峰值显示功能、归零功能，可设定重力加速、上下限报警，可设定自动关机</w:t>
            </w:r>
          </w:p>
        </w:tc>
        <w:tc>
          <w:tcPr>
            <w:tcW w:w="1092" w:type="dxa"/>
            <w:shd w:val="clear" w:color="auto" w:fill="auto"/>
            <w:vAlign w:val="center"/>
          </w:tcPr>
          <w:p w14:paraId="05D0E994">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1</w:t>
            </w:r>
          </w:p>
        </w:tc>
        <w:tc>
          <w:tcPr>
            <w:tcW w:w="813" w:type="dxa"/>
            <w:shd w:val="clear" w:color="auto" w:fill="auto"/>
            <w:vAlign w:val="center"/>
          </w:tcPr>
          <w:p w14:paraId="1EF61BC2">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r w14:paraId="5B02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2F408DF6">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1227" w:type="dxa"/>
            <w:shd w:val="clear" w:color="auto" w:fill="auto"/>
            <w:vAlign w:val="center"/>
          </w:tcPr>
          <w:p w14:paraId="288EC767">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color w:val="0F1115"/>
                <w:sz w:val="21"/>
                <w:szCs w:val="21"/>
                <w:highlight w:val="none"/>
                <w:shd w:val="clear" w:color="auto" w:fill="FFFFFF"/>
              </w:rPr>
              <w:t>钳形电流表</w:t>
            </w:r>
          </w:p>
        </w:tc>
        <w:tc>
          <w:tcPr>
            <w:tcW w:w="4868" w:type="dxa"/>
            <w:shd w:val="clear" w:color="auto" w:fill="auto"/>
            <w:vAlign w:val="center"/>
          </w:tcPr>
          <w:p w14:paraId="4F0ACBE0">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F1115"/>
                <w:sz w:val="21"/>
                <w:szCs w:val="21"/>
                <w:highlight w:val="none"/>
                <w:shd w:val="clear" w:color="auto" w:fill="FFFFFF"/>
                <w:lang w:eastAsia="zh-CN"/>
              </w:rPr>
            </w:pPr>
            <w:r>
              <w:rPr>
                <w:rFonts w:hint="eastAsia" w:asciiTheme="minorEastAsia" w:hAnsiTheme="minorEastAsia" w:eastAsiaTheme="minorEastAsia" w:cstheme="minorEastAsia"/>
                <w:color w:val="0F1115"/>
                <w:sz w:val="21"/>
                <w:szCs w:val="21"/>
                <w:highlight w:val="none"/>
                <w:shd w:val="clear" w:color="auto" w:fill="FFFFFF"/>
                <w:lang w:eastAsia="zh-CN"/>
              </w:rPr>
              <w:t>1.直流电流 (DCA)60A/600A/1000A，</w:t>
            </w:r>
            <w:r>
              <w:rPr>
                <w:rFonts w:hint="eastAsia" w:asciiTheme="minorEastAsia" w:hAnsiTheme="minorEastAsia" w:eastAsiaTheme="minorEastAsia" w:cstheme="minorEastAsia"/>
                <w:color w:val="0F1115"/>
                <w:sz w:val="21"/>
                <w:szCs w:val="21"/>
                <w:highlight w:val="none"/>
                <w:shd w:val="clear" w:color="auto" w:fill="FFFFFF"/>
              </w:rPr>
              <w:t>精度≤</w:t>
            </w:r>
            <w:r>
              <w:rPr>
                <w:rFonts w:hint="eastAsia" w:asciiTheme="minorEastAsia" w:hAnsiTheme="minorEastAsia" w:eastAsiaTheme="minorEastAsia" w:cstheme="minorEastAsia"/>
                <w:color w:val="0F1115"/>
                <w:sz w:val="21"/>
                <w:szCs w:val="21"/>
                <w:highlight w:val="none"/>
                <w:shd w:val="clear" w:color="auto" w:fill="FFFFFF"/>
                <w:lang w:eastAsia="zh-CN"/>
              </w:rPr>
              <w:t>2.0%</w:t>
            </w:r>
          </w:p>
          <w:p w14:paraId="0DBF8717">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F1115"/>
                <w:sz w:val="21"/>
                <w:szCs w:val="21"/>
                <w:highlight w:val="none"/>
                <w:shd w:val="clear" w:color="auto" w:fill="FFFFFF"/>
                <w:lang w:eastAsia="zh-CN"/>
              </w:rPr>
            </w:pPr>
            <w:r>
              <w:rPr>
                <w:rFonts w:hint="eastAsia" w:asciiTheme="minorEastAsia" w:hAnsiTheme="minorEastAsia" w:eastAsiaTheme="minorEastAsia" w:cstheme="minorEastAsia"/>
                <w:color w:val="0F1115"/>
                <w:sz w:val="21"/>
                <w:szCs w:val="21"/>
                <w:highlight w:val="none"/>
                <w:shd w:val="clear" w:color="auto" w:fill="FFFFFF"/>
                <w:lang w:eastAsia="zh-CN"/>
              </w:rPr>
              <w:t>2.交流电流 (ACA)60A/600A/1000A，</w:t>
            </w:r>
            <w:r>
              <w:rPr>
                <w:rFonts w:hint="eastAsia" w:asciiTheme="minorEastAsia" w:hAnsiTheme="minorEastAsia" w:eastAsiaTheme="minorEastAsia" w:cstheme="minorEastAsia"/>
                <w:color w:val="0F1115"/>
                <w:sz w:val="21"/>
                <w:szCs w:val="21"/>
                <w:highlight w:val="none"/>
                <w:shd w:val="clear" w:color="auto" w:fill="FFFFFF"/>
              </w:rPr>
              <w:t>精度≤</w:t>
            </w:r>
            <w:r>
              <w:rPr>
                <w:rFonts w:hint="eastAsia" w:asciiTheme="minorEastAsia" w:hAnsiTheme="minorEastAsia" w:eastAsiaTheme="minorEastAsia" w:cstheme="minorEastAsia"/>
                <w:color w:val="0F1115"/>
                <w:sz w:val="21"/>
                <w:szCs w:val="21"/>
                <w:highlight w:val="none"/>
                <w:shd w:val="clear" w:color="auto" w:fill="FFFFFF"/>
                <w:lang w:eastAsia="zh-CN"/>
              </w:rPr>
              <w:t>2.0%</w:t>
            </w:r>
          </w:p>
          <w:p w14:paraId="74304078">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F1115"/>
                <w:sz w:val="21"/>
                <w:szCs w:val="21"/>
                <w:highlight w:val="none"/>
                <w:shd w:val="clear" w:color="auto" w:fill="FFFFFF"/>
                <w:lang w:eastAsia="zh-CN"/>
              </w:rPr>
            </w:pPr>
            <w:r>
              <w:rPr>
                <w:rFonts w:hint="eastAsia" w:asciiTheme="minorEastAsia" w:hAnsiTheme="minorEastAsia" w:eastAsiaTheme="minorEastAsia" w:cstheme="minorEastAsia"/>
                <w:color w:val="0F1115"/>
                <w:sz w:val="21"/>
                <w:szCs w:val="21"/>
                <w:highlight w:val="none"/>
                <w:shd w:val="clear" w:color="auto" w:fill="FFFFFF"/>
                <w:lang w:val="en-US" w:eastAsia="zh-CN"/>
              </w:rPr>
              <w:t>3.</w:t>
            </w:r>
            <w:r>
              <w:rPr>
                <w:rFonts w:hint="eastAsia" w:asciiTheme="minorEastAsia" w:hAnsiTheme="minorEastAsia" w:eastAsiaTheme="minorEastAsia" w:cstheme="minorEastAsia"/>
                <w:color w:val="0F1115"/>
                <w:sz w:val="21"/>
                <w:szCs w:val="21"/>
                <w:highlight w:val="none"/>
                <w:shd w:val="clear" w:color="auto" w:fill="FFFFFF"/>
                <w:lang w:eastAsia="zh-CN"/>
              </w:rPr>
              <w:t>直流电压 (DCV)600mV/6V/60V/600V，</w:t>
            </w:r>
            <w:r>
              <w:rPr>
                <w:rFonts w:hint="eastAsia" w:asciiTheme="minorEastAsia" w:hAnsiTheme="minorEastAsia" w:eastAsiaTheme="minorEastAsia" w:cstheme="minorEastAsia"/>
                <w:color w:val="0F1115"/>
                <w:sz w:val="21"/>
                <w:szCs w:val="21"/>
                <w:highlight w:val="none"/>
                <w:shd w:val="clear" w:color="auto" w:fill="FFFFFF"/>
              </w:rPr>
              <w:t>精度≤</w:t>
            </w:r>
            <w:r>
              <w:rPr>
                <w:rFonts w:hint="eastAsia" w:asciiTheme="minorEastAsia" w:hAnsiTheme="minorEastAsia" w:eastAsiaTheme="minorEastAsia" w:cstheme="minorEastAsia"/>
                <w:color w:val="0F1115"/>
                <w:sz w:val="21"/>
                <w:szCs w:val="21"/>
                <w:highlight w:val="none"/>
                <w:shd w:val="clear" w:color="auto" w:fill="FFFFFF"/>
                <w:lang w:eastAsia="zh-CN"/>
              </w:rPr>
              <w:t>0.5%</w:t>
            </w:r>
          </w:p>
          <w:p w14:paraId="6D0F70B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F1115"/>
                <w:sz w:val="21"/>
                <w:szCs w:val="21"/>
                <w:highlight w:val="none"/>
                <w:shd w:val="clear" w:color="auto" w:fill="FFFFFF"/>
                <w:lang w:eastAsia="zh-CN"/>
              </w:rPr>
            </w:pPr>
            <w:r>
              <w:rPr>
                <w:rFonts w:hint="eastAsia" w:asciiTheme="minorEastAsia" w:hAnsiTheme="minorEastAsia" w:eastAsiaTheme="minorEastAsia" w:cstheme="minorEastAsia"/>
                <w:color w:val="0F1115"/>
                <w:sz w:val="21"/>
                <w:szCs w:val="21"/>
                <w:highlight w:val="none"/>
                <w:shd w:val="clear" w:color="auto" w:fill="FFFFFF"/>
                <w:lang w:val="en-US" w:eastAsia="zh-CN"/>
              </w:rPr>
              <w:t>4</w:t>
            </w:r>
            <w:r>
              <w:rPr>
                <w:rFonts w:hint="eastAsia" w:asciiTheme="minorEastAsia" w:hAnsiTheme="minorEastAsia" w:eastAsiaTheme="minorEastAsia" w:cstheme="minorEastAsia"/>
                <w:color w:val="0F1115"/>
                <w:sz w:val="21"/>
                <w:szCs w:val="21"/>
                <w:highlight w:val="none"/>
                <w:shd w:val="clear" w:color="auto" w:fill="FFFFFF"/>
                <w:lang w:eastAsia="zh-CN"/>
              </w:rPr>
              <w:t>.交流电压 (ACV)6V/60V/600V，</w:t>
            </w:r>
            <w:r>
              <w:rPr>
                <w:rFonts w:hint="eastAsia" w:asciiTheme="minorEastAsia" w:hAnsiTheme="minorEastAsia" w:eastAsiaTheme="minorEastAsia" w:cstheme="minorEastAsia"/>
                <w:color w:val="0F1115"/>
                <w:sz w:val="21"/>
                <w:szCs w:val="21"/>
                <w:highlight w:val="none"/>
                <w:shd w:val="clear" w:color="auto" w:fill="FFFFFF"/>
              </w:rPr>
              <w:t>精度≤</w:t>
            </w:r>
            <w:r>
              <w:rPr>
                <w:rFonts w:hint="eastAsia" w:asciiTheme="minorEastAsia" w:hAnsiTheme="minorEastAsia" w:eastAsiaTheme="minorEastAsia" w:cstheme="minorEastAsia"/>
                <w:color w:val="0F1115"/>
                <w:sz w:val="21"/>
                <w:szCs w:val="21"/>
                <w:highlight w:val="none"/>
                <w:shd w:val="clear" w:color="auto" w:fill="FFFFFF"/>
                <w:lang w:eastAsia="zh-CN"/>
              </w:rPr>
              <w:t>1.0%</w:t>
            </w:r>
          </w:p>
          <w:p w14:paraId="3C389C5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color w:val="0F1115"/>
                <w:sz w:val="21"/>
                <w:szCs w:val="21"/>
                <w:highlight w:val="none"/>
                <w:shd w:val="clear" w:color="auto" w:fill="FFFFFF"/>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F1115"/>
                <w:sz w:val="21"/>
                <w:szCs w:val="21"/>
                <w:highlight w:val="none"/>
                <w:shd w:val="clear" w:color="auto" w:fill="FFFFFF"/>
              </w:rPr>
              <w:t>5、可同时测量电压和电流,以便于在电流模式下自动监测电压</w:t>
            </w:r>
            <w:r>
              <w:rPr>
                <w:rFonts w:hint="eastAsia" w:asciiTheme="minorEastAsia" w:hAnsiTheme="minorEastAsia" w:eastAsiaTheme="minorEastAsia" w:cstheme="minorEastAsia"/>
                <w:b/>
                <w:bCs/>
                <w:kern w:val="2"/>
                <w:sz w:val="21"/>
                <w:szCs w:val="21"/>
                <w:highlight w:val="none"/>
              </w:rPr>
              <w:t>（</w:t>
            </w:r>
            <w:r>
              <w:rPr>
                <w:rFonts w:hint="eastAsia" w:asciiTheme="minorEastAsia" w:hAnsiTheme="minorEastAsia" w:eastAsiaTheme="minorEastAsia" w:cstheme="minorEastAsia"/>
                <w:b/>
                <w:bCs/>
                <w:kern w:val="2"/>
                <w:highlight w:val="none"/>
              </w:rPr>
              <w:t>投标文件中提供功能截图进行</w:t>
            </w:r>
            <w:r>
              <w:rPr>
                <w:rFonts w:hint="eastAsia" w:asciiTheme="minorEastAsia" w:hAnsiTheme="minorEastAsia" w:eastAsiaTheme="minorEastAsia" w:cstheme="minorEastAsia"/>
                <w:b/>
                <w:bCs/>
                <w:highlight w:val="none"/>
              </w:rPr>
              <w:t>佐</w:t>
            </w:r>
            <w:r>
              <w:rPr>
                <w:rFonts w:hint="eastAsia" w:asciiTheme="minorEastAsia" w:hAnsiTheme="minorEastAsia" w:eastAsiaTheme="minorEastAsia" w:cstheme="minorEastAsia"/>
                <w:b/>
                <w:bCs/>
                <w:kern w:val="2"/>
                <w:highlight w:val="none"/>
              </w:rPr>
              <w:t>证</w:t>
            </w:r>
            <w:r>
              <w:rPr>
                <w:rFonts w:hint="eastAsia" w:asciiTheme="minorEastAsia" w:hAnsiTheme="minorEastAsia" w:eastAsiaTheme="minorEastAsia" w:cstheme="minorEastAsia"/>
                <w:b/>
                <w:bCs/>
                <w:kern w:val="2"/>
                <w:sz w:val="21"/>
                <w:szCs w:val="21"/>
                <w:highlight w:val="none"/>
              </w:rPr>
              <w:t>）</w:t>
            </w:r>
          </w:p>
          <w:p w14:paraId="3F234BB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color w:val="0F1115"/>
                <w:sz w:val="21"/>
                <w:szCs w:val="21"/>
                <w:highlight w:val="none"/>
                <w:shd w:val="clear" w:color="auto" w:fill="FFFFFF"/>
              </w:rPr>
              <w:t>6、具有≥IP54的防尘防水功能，可承受≥2米跌落冲击</w:t>
            </w:r>
            <w:r>
              <w:rPr>
                <w:rFonts w:hint="eastAsia" w:asciiTheme="minorEastAsia" w:hAnsiTheme="minorEastAsia" w:eastAsiaTheme="minorEastAsia" w:cstheme="minorEastAsia"/>
                <w:b/>
                <w:bCs/>
                <w:color w:val="000000"/>
                <w:sz w:val="21"/>
                <w:szCs w:val="21"/>
                <w:highlight w:val="none"/>
              </w:rPr>
              <w:t>（</w:t>
            </w:r>
            <w:r>
              <w:rPr>
                <w:rFonts w:hint="eastAsia" w:asciiTheme="minorEastAsia" w:hAnsiTheme="minorEastAsia" w:eastAsiaTheme="minorEastAsia" w:cstheme="minorEastAsia"/>
                <w:b/>
                <w:bCs/>
                <w:sz w:val="21"/>
                <w:szCs w:val="21"/>
                <w:highlight w:val="none"/>
              </w:rPr>
              <w:t>投标文件中提供</w:t>
            </w:r>
            <w:r>
              <w:rPr>
                <w:rFonts w:hint="eastAsia" w:asciiTheme="minorEastAsia" w:hAnsiTheme="minorEastAsia" w:eastAsiaTheme="minorEastAsia" w:cstheme="minorEastAsia"/>
                <w:b/>
                <w:bCs/>
                <w:sz w:val="21"/>
                <w:szCs w:val="21"/>
                <w:highlight w:val="none"/>
                <w:lang w:val="en-US" w:eastAsia="zh-CN"/>
              </w:rPr>
              <w:t>技术说明书佐证</w:t>
            </w:r>
            <w:r>
              <w:rPr>
                <w:rFonts w:hint="eastAsia" w:asciiTheme="minorEastAsia" w:hAnsiTheme="minorEastAsia" w:eastAsiaTheme="minorEastAsia" w:cstheme="minorEastAsia"/>
                <w:b/>
                <w:bCs/>
                <w:color w:val="000000"/>
                <w:sz w:val="21"/>
                <w:szCs w:val="21"/>
                <w:highlight w:val="none"/>
              </w:rPr>
              <w:t>）</w:t>
            </w:r>
          </w:p>
        </w:tc>
        <w:tc>
          <w:tcPr>
            <w:tcW w:w="1092" w:type="dxa"/>
            <w:shd w:val="clear" w:color="auto" w:fill="auto"/>
            <w:vAlign w:val="center"/>
          </w:tcPr>
          <w:p w14:paraId="6D1C6BDD">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14</w:t>
            </w:r>
          </w:p>
        </w:tc>
        <w:tc>
          <w:tcPr>
            <w:tcW w:w="813" w:type="dxa"/>
            <w:shd w:val="clear" w:color="auto" w:fill="auto"/>
            <w:vAlign w:val="center"/>
          </w:tcPr>
          <w:p w14:paraId="12DA4BCE">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r w14:paraId="4911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3" w:type="pct"/>
            <w:vAlign w:val="center"/>
          </w:tcPr>
          <w:p w14:paraId="6272724A">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c>
          <w:tcPr>
            <w:tcW w:w="1227" w:type="dxa"/>
            <w:shd w:val="clear" w:color="auto" w:fill="auto"/>
            <w:vAlign w:val="center"/>
          </w:tcPr>
          <w:p w14:paraId="77FF253C">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噪声检测仪</w:t>
            </w:r>
          </w:p>
        </w:tc>
        <w:tc>
          <w:tcPr>
            <w:tcW w:w="4868" w:type="dxa"/>
            <w:shd w:val="clear" w:color="auto" w:fill="auto"/>
            <w:vAlign w:val="center"/>
          </w:tcPr>
          <w:p w14:paraId="4AD6DD4E">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1、测量范围：覆盖30dB～130dB</w:t>
            </w:r>
          </w:p>
          <w:p w14:paraId="5F37D0A5">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2、测量精度：≤2 dB</w:t>
            </w:r>
          </w:p>
          <w:p w14:paraId="5A267DA3">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3、分辨率：≤0.1dB</w:t>
            </w:r>
          </w:p>
          <w:p w14:paraId="53F041CC">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4、频率计权： A、C、Z</w:t>
            </w:r>
          </w:p>
          <w:p w14:paraId="6F863057">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5、频率范围：覆盖20Hz～12.5kHz</w:t>
            </w:r>
          </w:p>
          <w:p w14:paraId="6AA73EF7">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6、显示屏：3位半LCD</w:t>
            </w:r>
          </w:p>
          <w:p w14:paraId="5ADA6B42">
            <w:pPr>
              <w:keepNext w:val="0"/>
              <w:keepLines w:val="0"/>
              <w:pageBreakBefore w:val="0"/>
              <w:kinsoku/>
              <w:wordWrap/>
              <w:overflowPunct/>
              <w:topLinePunct w:val="0"/>
              <w:autoSpaceDE/>
              <w:autoSpaceDN/>
              <w:bidi w:val="0"/>
              <w:adjustRightInd/>
              <w:snapToGrid/>
              <w:spacing w:line="300" w:lineRule="auto"/>
              <w:textAlignment w:val="auto"/>
              <w:rPr>
                <w:rFonts w:hint="eastAsia" w:asciiTheme="minorEastAsia" w:hAnsiTheme="minorEastAsia" w:eastAsiaTheme="minorEastAsia" w:cstheme="minorEastAsia"/>
                <w:bCs/>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7、符合标准：GB/T 3785.1-2023  2级的要求</w:t>
            </w:r>
          </w:p>
        </w:tc>
        <w:tc>
          <w:tcPr>
            <w:tcW w:w="1092" w:type="dxa"/>
            <w:shd w:val="clear" w:color="auto" w:fill="auto"/>
            <w:vAlign w:val="center"/>
          </w:tcPr>
          <w:p w14:paraId="41378E35">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highlight w:val="none"/>
              </w:rPr>
              <w:t>17</w:t>
            </w:r>
          </w:p>
        </w:tc>
        <w:tc>
          <w:tcPr>
            <w:tcW w:w="813" w:type="dxa"/>
            <w:shd w:val="clear" w:color="auto" w:fill="auto"/>
            <w:vAlign w:val="center"/>
          </w:tcPr>
          <w:p w14:paraId="1BB4ACB4">
            <w:pPr>
              <w:keepNext w:val="0"/>
              <w:keepLines w:val="0"/>
              <w:pageBreakBefore w:val="0"/>
              <w:kinsoku/>
              <w:wordWrap/>
              <w:overflowPunct/>
              <w:topLinePunct w:val="0"/>
              <w:autoSpaceDE/>
              <w:autoSpaceDN/>
              <w:bidi w:val="0"/>
              <w:adjustRightInd/>
              <w:snapToGrid/>
              <w:spacing w:line="300" w:lineRule="auto"/>
              <w:jc w:val="center"/>
              <w:textAlignment w:val="auto"/>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 w:val="21"/>
                <w:szCs w:val="21"/>
                <w:highlight w:val="none"/>
              </w:rPr>
              <w:t>工业</w:t>
            </w:r>
          </w:p>
        </w:tc>
      </w:tr>
    </w:tbl>
    <w:p w14:paraId="7211EA8A">
      <w:pPr>
        <w:spacing w:line="360" w:lineRule="auto"/>
        <w:ind w:firstLine="437"/>
        <w:outlineLvl w:val="1"/>
        <w:rPr>
          <w:rFonts w:ascii="宋体" w:hAnsi="宋体" w:eastAsia="宋体"/>
          <w:b/>
          <w:bCs/>
          <w:sz w:val="24"/>
          <w:szCs w:val="18"/>
        </w:rPr>
      </w:pPr>
      <w:bookmarkStart w:id="8" w:name="_Toc1994"/>
      <w:r>
        <w:rPr>
          <w:rFonts w:hint="eastAsia" w:ascii="宋体" w:hAnsi="宋体" w:eastAsia="宋体"/>
          <w:b/>
          <w:bCs/>
          <w:sz w:val="24"/>
          <w:szCs w:val="18"/>
        </w:rPr>
        <w:t>三、报价要求</w:t>
      </w:r>
      <w:bookmarkEnd w:id="6"/>
      <w:bookmarkEnd w:id="7"/>
      <w:bookmarkEnd w:id="8"/>
    </w:p>
    <w:p w14:paraId="6015AA15">
      <w:pPr>
        <w:spacing w:line="360" w:lineRule="auto"/>
        <w:ind w:firstLine="437"/>
        <w:rPr>
          <w:rFonts w:ascii="宋体" w:hAnsi="宋体" w:eastAsia="宋体"/>
          <w:bCs/>
          <w:sz w:val="24"/>
          <w:szCs w:val="18"/>
        </w:rPr>
      </w:pPr>
      <w:r>
        <w:rPr>
          <w:rFonts w:hint="eastAsia" w:ascii="宋体" w:hAnsi="宋体" w:eastAsia="宋体"/>
          <w:bCs/>
          <w:sz w:val="24"/>
          <w:szCs w:val="18"/>
        </w:rPr>
        <w:t>本项目报总价，投标报价</w:t>
      </w:r>
      <w:r>
        <w:rPr>
          <w:rFonts w:ascii="宋体" w:hAnsi="宋体" w:eastAsia="宋体"/>
          <w:bCs/>
          <w:sz w:val="24"/>
          <w:szCs w:val="18"/>
        </w:rPr>
        <w:t>包括</w:t>
      </w:r>
      <w:r>
        <w:rPr>
          <w:rFonts w:hint="eastAsia" w:ascii="宋体" w:hAnsi="宋体" w:eastAsia="宋体"/>
          <w:bCs/>
          <w:sz w:val="24"/>
          <w:szCs w:val="18"/>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ascii="宋体" w:hAnsi="宋体" w:eastAsia="宋体"/>
          <w:b/>
          <w:bCs/>
          <w:sz w:val="24"/>
          <w:szCs w:val="18"/>
        </w:rPr>
      </w:pPr>
      <w:bookmarkStart w:id="9" w:name="_Toc8441"/>
      <w:r>
        <w:rPr>
          <w:rFonts w:hint="eastAsia" w:ascii="宋体" w:hAnsi="宋体" w:eastAsia="宋体"/>
          <w:b/>
          <w:bCs/>
          <w:sz w:val="24"/>
          <w:szCs w:val="18"/>
        </w:rPr>
        <w:t>四、备品备件及专用工具</w:t>
      </w:r>
      <w:bookmarkEnd w:id="9"/>
    </w:p>
    <w:p w14:paraId="0A607135">
      <w:pPr>
        <w:spacing w:line="360" w:lineRule="auto"/>
        <w:ind w:firstLine="437"/>
        <w:outlineLvl w:val="1"/>
        <w:rPr>
          <w:rFonts w:ascii="宋体" w:hAnsi="宋体" w:eastAsia="宋体"/>
          <w:bCs/>
          <w:sz w:val="24"/>
          <w:szCs w:val="18"/>
        </w:rPr>
      </w:pPr>
      <w:bookmarkStart w:id="10" w:name="_Toc3257"/>
      <w:bookmarkStart w:id="11" w:name="_Toc455587277"/>
      <w:bookmarkStart w:id="12" w:name="_Toc445554752"/>
      <w:bookmarkStart w:id="13" w:name="_Toc455587093"/>
      <w:r>
        <w:rPr>
          <w:rFonts w:ascii="宋体" w:hAnsi="宋体" w:eastAsia="宋体"/>
          <w:bCs/>
          <w:sz w:val="24"/>
          <w:szCs w:val="18"/>
        </w:rPr>
        <w:t>1、备品备件：中标人提供能够满足质量保证期内的设备维修要求的备品备件，备品备件应是新品。</w:t>
      </w:r>
      <w:bookmarkEnd w:id="10"/>
    </w:p>
    <w:p w14:paraId="4DD3331B">
      <w:pPr>
        <w:spacing w:line="360" w:lineRule="auto"/>
        <w:ind w:firstLine="437"/>
        <w:outlineLvl w:val="1"/>
        <w:rPr>
          <w:rFonts w:ascii="宋体" w:hAnsi="宋体" w:eastAsia="宋体"/>
          <w:bCs/>
          <w:sz w:val="24"/>
          <w:szCs w:val="18"/>
        </w:rPr>
      </w:pPr>
      <w:bookmarkStart w:id="14" w:name="_Toc10051"/>
      <w:r>
        <w:rPr>
          <w:rFonts w:ascii="宋体" w:hAnsi="宋体" w:eastAsia="宋体"/>
          <w:bCs/>
          <w:sz w:val="24"/>
          <w:szCs w:val="18"/>
        </w:rPr>
        <w:t>2、专用工具：中标人提供设备安装、调试、维修、保养所必要的专用工具、仪器、仪表等工具。</w:t>
      </w:r>
      <w:bookmarkEnd w:id="14"/>
    </w:p>
    <w:bookmarkEnd w:id="11"/>
    <w:bookmarkEnd w:id="12"/>
    <w:bookmarkEnd w:id="13"/>
    <w:p w14:paraId="29D6A966">
      <w:pPr>
        <w:spacing w:line="360" w:lineRule="auto"/>
        <w:ind w:firstLine="437"/>
        <w:outlineLvl w:val="1"/>
        <w:rPr>
          <w:rFonts w:ascii="宋体" w:hAnsi="宋体" w:eastAsia="宋体"/>
          <w:b/>
          <w:bCs/>
          <w:sz w:val="24"/>
          <w:szCs w:val="18"/>
        </w:rPr>
      </w:pPr>
      <w:bookmarkStart w:id="15" w:name="_Toc532199625"/>
      <w:bookmarkStart w:id="16" w:name="_Toc29499"/>
      <w:bookmarkStart w:id="17" w:name="_Toc455587278"/>
      <w:bookmarkStart w:id="18" w:name="_Toc455587094"/>
      <w:bookmarkStart w:id="19" w:name="_Toc445554753"/>
      <w:r>
        <w:rPr>
          <w:rFonts w:hint="eastAsia" w:ascii="宋体" w:hAnsi="宋体" w:eastAsia="宋体"/>
          <w:b/>
          <w:bCs/>
          <w:sz w:val="24"/>
          <w:szCs w:val="18"/>
        </w:rPr>
        <w:t>五、安装调试、验收试验及质量保证</w:t>
      </w:r>
      <w:bookmarkEnd w:id="15"/>
      <w:bookmarkEnd w:id="16"/>
    </w:p>
    <w:p w14:paraId="49EDBB38">
      <w:pPr>
        <w:spacing w:line="360" w:lineRule="auto"/>
        <w:ind w:firstLine="437"/>
        <w:outlineLvl w:val="1"/>
        <w:rPr>
          <w:rFonts w:ascii="宋体" w:hAnsi="宋体" w:eastAsia="宋体"/>
          <w:bCs/>
          <w:sz w:val="24"/>
          <w:szCs w:val="18"/>
        </w:rPr>
      </w:pPr>
      <w:bookmarkStart w:id="20" w:name="_Toc23998"/>
      <w:r>
        <w:rPr>
          <w:rFonts w:ascii="宋体" w:hAnsi="宋体" w:eastAsia="宋体"/>
          <w:bCs/>
          <w:sz w:val="24"/>
          <w:szCs w:val="18"/>
        </w:rPr>
        <w:t>1、中标人在设备安装地点负责安装、调试。</w:t>
      </w:r>
      <w:bookmarkEnd w:id="20"/>
    </w:p>
    <w:p w14:paraId="7C8BDAD9">
      <w:pPr>
        <w:spacing w:line="360" w:lineRule="auto"/>
        <w:ind w:firstLine="437"/>
        <w:outlineLvl w:val="1"/>
        <w:rPr>
          <w:rFonts w:ascii="宋体" w:hAnsi="宋体" w:eastAsia="宋体"/>
          <w:bCs/>
          <w:sz w:val="24"/>
          <w:szCs w:val="18"/>
        </w:rPr>
      </w:pPr>
      <w:bookmarkStart w:id="21" w:name="_Toc3937"/>
      <w:r>
        <w:rPr>
          <w:rFonts w:ascii="宋体" w:hAnsi="宋体" w:eastAsia="宋体"/>
          <w:bCs/>
          <w:sz w:val="24"/>
          <w:szCs w:val="18"/>
        </w:rPr>
        <w:t>2、具体设备验收标准和程序按采购人要求执行，下列验收程序可参照执行：</w:t>
      </w:r>
      <w:bookmarkEnd w:id="21"/>
    </w:p>
    <w:p w14:paraId="11840BE4">
      <w:pPr>
        <w:spacing w:line="360" w:lineRule="auto"/>
        <w:ind w:firstLine="437"/>
        <w:outlineLvl w:val="1"/>
        <w:rPr>
          <w:rFonts w:ascii="宋体" w:hAnsi="宋体" w:eastAsia="宋体"/>
          <w:bCs/>
          <w:sz w:val="24"/>
          <w:szCs w:val="18"/>
        </w:rPr>
      </w:pPr>
      <w:bookmarkStart w:id="22" w:name="_Toc20903"/>
      <w:r>
        <w:rPr>
          <w:rFonts w:ascii="宋体" w:hAnsi="宋体" w:eastAsia="宋体"/>
          <w:bCs/>
          <w:sz w:val="24"/>
          <w:szCs w:val="18"/>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2"/>
    </w:p>
    <w:p w14:paraId="44EDDDC2">
      <w:pPr>
        <w:spacing w:line="360" w:lineRule="auto"/>
        <w:ind w:firstLine="437"/>
        <w:outlineLvl w:val="1"/>
        <w:rPr>
          <w:rFonts w:ascii="宋体" w:hAnsi="宋体" w:eastAsia="宋体"/>
          <w:bCs/>
          <w:sz w:val="24"/>
          <w:szCs w:val="18"/>
        </w:rPr>
      </w:pPr>
      <w:bookmarkStart w:id="23" w:name="_Toc17720"/>
      <w:r>
        <w:rPr>
          <w:rFonts w:ascii="宋体" w:hAnsi="宋体" w:eastAsia="宋体"/>
          <w:bCs/>
          <w:sz w:val="24"/>
          <w:szCs w:val="18"/>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585538B4">
      <w:pPr>
        <w:spacing w:line="360" w:lineRule="auto"/>
        <w:ind w:firstLine="437"/>
        <w:outlineLvl w:val="1"/>
        <w:rPr>
          <w:rFonts w:ascii="宋体" w:hAnsi="宋体" w:eastAsia="宋体"/>
          <w:bCs/>
          <w:sz w:val="24"/>
          <w:szCs w:val="18"/>
        </w:rPr>
      </w:pPr>
      <w:bookmarkStart w:id="24" w:name="_Toc15246"/>
      <w:r>
        <w:rPr>
          <w:rFonts w:ascii="宋体" w:hAnsi="宋体" w:eastAsia="宋体"/>
          <w:bCs/>
          <w:sz w:val="24"/>
          <w:szCs w:val="18"/>
        </w:rPr>
        <w:t>2.3 中标人应根据采购人使用单位的技术要求提供相应的产品。由中标人所提供的设备部件间的连线和插接件均应视为设备内部器件，包含在相应的设备之中。</w:t>
      </w:r>
      <w:bookmarkEnd w:id="24"/>
    </w:p>
    <w:p w14:paraId="3AFACE87">
      <w:pPr>
        <w:spacing w:line="360" w:lineRule="auto"/>
        <w:ind w:firstLine="437"/>
        <w:outlineLvl w:val="1"/>
        <w:rPr>
          <w:rFonts w:ascii="宋体" w:hAnsi="宋体" w:eastAsia="宋体"/>
          <w:bCs/>
          <w:sz w:val="24"/>
          <w:szCs w:val="18"/>
        </w:rPr>
      </w:pPr>
      <w:bookmarkStart w:id="25" w:name="_Toc9441"/>
      <w:r>
        <w:rPr>
          <w:rFonts w:ascii="宋体" w:hAnsi="宋体" w:eastAsia="宋体"/>
          <w:bCs/>
          <w:sz w:val="24"/>
          <w:szCs w:val="18"/>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0BED61DB">
      <w:pPr>
        <w:spacing w:line="360" w:lineRule="auto"/>
        <w:ind w:firstLine="437"/>
        <w:outlineLvl w:val="1"/>
        <w:rPr>
          <w:rFonts w:ascii="宋体" w:hAnsi="宋体" w:eastAsia="宋体"/>
          <w:bCs/>
          <w:sz w:val="24"/>
          <w:szCs w:val="18"/>
        </w:rPr>
      </w:pPr>
      <w:bookmarkStart w:id="26" w:name="_Toc1433"/>
      <w:r>
        <w:rPr>
          <w:rFonts w:ascii="宋体" w:hAnsi="宋体" w:eastAsia="宋体"/>
          <w:bCs/>
          <w:sz w:val="24"/>
          <w:szCs w:val="18"/>
        </w:rPr>
        <w:t>2.5 中标人应向采购人提供安装调试过程中的各种文档资料,以便采购人今后能掌握操作和维护方法。</w:t>
      </w:r>
      <w:bookmarkEnd w:id="26"/>
    </w:p>
    <w:p w14:paraId="5B2E9AB4">
      <w:pPr>
        <w:spacing w:line="360" w:lineRule="auto"/>
        <w:ind w:firstLine="437"/>
        <w:outlineLvl w:val="1"/>
        <w:rPr>
          <w:rFonts w:ascii="宋体" w:hAnsi="宋体" w:eastAsia="宋体"/>
          <w:bCs/>
          <w:sz w:val="24"/>
          <w:szCs w:val="18"/>
        </w:rPr>
      </w:pPr>
      <w:bookmarkStart w:id="27" w:name="_Toc18506"/>
      <w:r>
        <w:rPr>
          <w:rFonts w:ascii="宋体" w:hAnsi="宋体" w:eastAsia="宋体"/>
          <w:bCs/>
          <w:sz w:val="24"/>
          <w:szCs w:val="18"/>
        </w:rPr>
        <w:t>3、如设备在验收时有一个或多个指标未能达到要求而属于中标人责任时，则中标人自费采取有效措施，在</w:t>
      </w:r>
      <w:r>
        <w:rPr>
          <w:rFonts w:hint="eastAsia" w:ascii="宋体" w:hAnsi="宋体" w:eastAsia="宋体"/>
          <w:bCs/>
          <w:sz w:val="24"/>
          <w:szCs w:val="18"/>
        </w:rPr>
        <w:t>采购人</w:t>
      </w:r>
      <w:r>
        <w:rPr>
          <w:rFonts w:ascii="宋体" w:hAnsi="宋体" w:eastAsia="宋体"/>
          <w:bCs/>
          <w:sz w:val="24"/>
          <w:szCs w:val="18"/>
        </w:rPr>
        <w:t>规定时间内使之达到保证指标。如在</w:t>
      </w:r>
      <w:r>
        <w:rPr>
          <w:rFonts w:hint="eastAsia" w:ascii="宋体" w:hAnsi="宋体" w:eastAsia="宋体"/>
          <w:bCs/>
          <w:sz w:val="24"/>
          <w:szCs w:val="18"/>
        </w:rPr>
        <w:t>采购人</w:t>
      </w:r>
      <w:r>
        <w:rPr>
          <w:rFonts w:ascii="宋体" w:hAnsi="宋体" w:eastAsia="宋体"/>
          <w:bCs/>
          <w:sz w:val="24"/>
          <w:szCs w:val="18"/>
        </w:rPr>
        <w:t>规定的时间内仍达不到合格标准时，则中标人应向采购人赔偿。</w:t>
      </w:r>
      <w:bookmarkEnd w:id="27"/>
    </w:p>
    <w:p w14:paraId="2714D47C">
      <w:pPr>
        <w:spacing w:line="360" w:lineRule="auto"/>
        <w:ind w:firstLine="437"/>
        <w:outlineLvl w:val="1"/>
        <w:rPr>
          <w:rFonts w:ascii="宋体" w:hAnsi="宋体" w:eastAsia="宋体"/>
          <w:b/>
          <w:bCs/>
          <w:sz w:val="24"/>
          <w:szCs w:val="18"/>
        </w:rPr>
      </w:pPr>
      <w:bookmarkStart w:id="28" w:name="_Toc24794"/>
      <w:bookmarkStart w:id="29" w:name="_Toc532199626"/>
      <w:r>
        <w:rPr>
          <w:rFonts w:hint="eastAsia" w:ascii="宋体" w:hAnsi="宋体" w:eastAsia="宋体"/>
          <w:b/>
          <w:bCs/>
          <w:sz w:val="24"/>
          <w:szCs w:val="18"/>
        </w:rPr>
        <w:t>六、包装运输</w:t>
      </w:r>
      <w:bookmarkEnd w:id="17"/>
      <w:bookmarkEnd w:id="18"/>
      <w:bookmarkEnd w:id="19"/>
      <w:bookmarkEnd w:id="28"/>
      <w:bookmarkEnd w:id="29"/>
    </w:p>
    <w:p w14:paraId="4786D7C9">
      <w:pPr>
        <w:spacing w:line="360" w:lineRule="auto"/>
        <w:ind w:firstLine="437"/>
        <w:outlineLvl w:val="1"/>
        <w:rPr>
          <w:rFonts w:ascii="宋体" w:hAnsi="宋体" w:eastAsia="宋体"/>
          <w:bCs/>
          <w:sz w:val="24"/>
          <w:szCs w:val="18"/>
        </w:rPr>
      </w:pPr>
      <w:bookmarkStart w:id="30" w:name="_Toc1972"/>
      <w:bookmarkStart w:id="31" w:name="_Toc445554754"/>
      <w:bookmarkStart w:id="32" w:name="_Toc455587279"/>
      <w:bookmarkStart w:id="33" w:name="_Toc455587095"/>
      <w:r>
        <w:rPr>
          <w:rFonts w:ascii="宋体" w:hAnsi="宋体" w:eastAsia="宋体"/>
          <w:bCs/>
          <w:sz w:val="24"/>
          <w:szCs w:val="18"/>
        </w:rPr>
        <w:t>1、中标人负责设备包装、办理运输和保险，将设备安全运抵交货地点。</w:t>
      </w:r>
      <w:bookmarkEnd w:id="30"/>
    </w:p>
    <w:p w14:paraId="69524BB1">
      <w:pPr>
        <w:spacing w:line="360" w:lineRule="auto"/>
        <w:ind w:firstLine="437"/>
        <w:outlineLvl w:val="1"/>
        <w:rPr>
          <w:rFonts w:ascii="宋体" w:hAnsi="宋体" w:eastAsia="宋体"/>
          <w:bCs/>
          <w:sz w:val="24"/>
          <w:szCs w:val="18"/>
        </w:rPr>
      </w:pPr>
      <w:bookmarkStart w:id="34" w:name="_Toc18997"/>
      <w:r>
        <w:rPr>
          <w:rFonts w:ascii="宋体" w:hAnsi="宋体" w:eastAsia="宋体"/>
          <w:bCs/>
          <w:sz w:val="24"/>
          <w:szCs w:val="18"/>
        </w:rPr>
        <w:t>2、设备制造完成并通过试验后应及时包装，否则应得到切实的保护，确保其不受污损。</w:t>
      </w:r>
      <w:bookmarkEnd w:id="34"/>
    </w:p>
    <w:p w14:paraId="2419B0B9">
      <w:pPr>
        <w:spacing w:line="360" w:lineRule="auto"/>
        <w:ind w:firstLine="437"/>
        <w:outlineLvl w:val="1"/>
        <w:rPr>
          <w:rFonts w:ascii="宋体" w:hAnsi="宋体" w:eastAsia="宋体"/>
          <w:bCs/>
          <w:sz w:val="24"/>
          <w:szCs w:val="18"/>
        </w:rPr>
      </w:pPr>
      <w:bookmarkStart w:id="35" w:name="_Toc881"/>
      <w:r>
        <w:rPr>
          <w:rFonts w:ascii="宋体" w:hAnsi="宋体" w:eastAsia="宋体"/>
          <w:bCs/>
          <w:sz w:val="24"/>
          <w:szCs w:val="18"/>
        </w:rPr>
        <w:t>3、在包装箱外应标明采购人的订货号、发货号。</w:t>
      </w:r>
      <w:bookmarkEnd w:id="35"/>
    </w:p>
    <w:p w14:paraId="20860EAF">
      <w:pPr>
        <w:spacing w:line="360" w:lineRule="auto"/>
        <w:ind w:firstLine="437"/>
        <w:outlineLvl w:val="1"/>
        <w:rPr>
          <w:rFonts w:ascii="宋体" w:hAnsi="宋体" w:eastAsia="宋体"/>
          <w:bCs/>
          <w:sz w:val="24"/>
          <w:szCs w:val="18"/>
        </w:rPr>
      </w:pPr>
      <w:bookmarkStart w:id="36" w:name="_Toc9140"/>
      <w:r>
        <w:rPr>
          <w:rFonts w:ascii="宋体" w:hAnsi="宋体" w:eastAsia="宋体"/>
          <w:bCs/>
          <w:sz w:val="24"/>
          <w:szCs w:val="18"/>
        </w:rPr>
        <w:t>4、各种包装应能确保各零部件在运输过程中不致遭到损坏、丢失、变形、受潮和腐蚀。</w:t>
      </w:r>
      <w:bookmarkEnd w:id="36"/>
    </w:p>
    <w:p w14:paraId="7AD9D441">
      <w:pPr>
        <w:spacing w:line="360" w:lineRule="auto"/>
        <w:ind w:firstLine="437"/>
        <w:outlineLvl w:val="1"/>
        <w:rPr>
          <w:rFonts w:ascii="宋体" w:hAnsi="宋体" w:eastAsia="宋体"/>
          <w:bCs/>
          <w:sz w:val="24"/>
          <w:szCs w:val="18"/>
        </w:rPr>
      </w:pPr>
      <w:bookmarkStart w:id="37" w:name="_Toc13432"/>
      <w:r>
        <w:rPr>
          <w:rFonts w:ascii="宋体" w:hAnsi="宋体" w:eastAsia="宋体"/>
          <w:bCs/>
          <w:sz w:val="24"/>
          <w:szCs w:val="18"/>
        </w:rPr>
        <w:t>5、包装箱上应有明显的包装储运图示标志。</w:t>
      </w:r>
      <w:bookmarkEnd w:id="37"/>
    </w:p>
    <w:p w14:paraId="3C3B6058">
      <w:pPr>
        <w:spacing w:line="360" w:lineRule="auto"/>
        <w:ind w:firstLine="437"/>
        <w:outlineLvl w:val="1"/>
        <w:rPr>
          <w:rFonts w:ascii="宋体" w:hAnsi="宋体" w:eastAsia="宋体"/>
          <w:bCs/>
          <w:sz w:val="24"/>
          <w:szCs w:val="18"/>
        </w:rPr>
      </w:pPr>
      <w:bookmarkStart w:id="38" w:name="_Toc27959"/>
      <w:r>
        <w:rPr>
          <w:rFonts w:ascii="宋体" w:hAnsi="宋体" w:eastAsia="宋体"/>
          <w:bCs/>
          <w:sz w:val="24"/>
          <w:szCs w:val="18"/>
        </w:rPr>
        <w:t>6、整体产品或分别运输的部件都要适应运输和装载的要求。</w:t>
      </w:r>
      <w:bookmarkEnd w:id="38"/>
    </w:p>
    <w:p w14:paraId="2B200FB3">
      <w:pPr>
        <w:spacing w:line="360" w:lineRule="auto"/>
        <w:ind w:firstLine="437"/>
        <w:outlineLvl w:val="1"/>
        <w:rPr>
          <w:rFonts w:ascii="宋体" w:hAnsi="宋体" w:eastAsia="宋体"/>
          <w:bCs/>
          <w:sz w:val="24"/>
          <w:szCs w:val="18"/>
        </w:rPr>
      </w:pPr>
      <w:bookmarkStart w:id="39" w:name="_Toc710"/>
      <w:r>
        <w:rPr>
          <w:rFonts w:ascii="宋体" w:hAnsi="宋体" w:eastAsia="宋体"/>
          <w:bCs/>
          <w:sz w:val="24"/>
          <w:szCs w:val="18"/>
        </w:rPr>
        <w:t>7、随产品提供的技术资料应完整无缺。</w:t>
      </w:r>
      <w:bookmarkEnd w:id="39"/>
    </w:p>
    <w:p w14:paraId="3C0B4846">
      <w:pPr>
        <w:spacing w:line="360" w:lineRule="auto"/>
        <w:ind w:firstLine="437"/>
        <w:outlineLvl w:val="1"/>
        <w:rPr>
          <w:rFonts w:ascii="宋体" w:hAnsi="宋体" w:eastAsia="宋体"/>
          <w:b/>
          <w:bCs/>
          <w:sz w:val="24"/>
          <w:szCs w:val="18"/>
        </w:rPr>
      </w:pPr>
      <w:bookmarkStart w:id="40" w:name="_Toc532199627"/>
      <w:bookmarkStart w:id="41" w:name="_Toc16353"/>
      <w:r>
        <w:rPr>
          <w:rFonts w:hint="eastAsia" w:ascii="宋体" w:hAnsi="宋体" w:eastAsia="宋体"/>
          <w:b/>
          <w:bCs/>
          <w:sz w:val="24"/>
          <w:szCs w:val="18"/>
        </w:rPr>
        <w:t>七、技术培训</w:t>
      </w:r>
      <w:bookmarkEnd w:id="31"/>
      <w:bookmarkEnd w:id="32"/>
      <w:bookmarkEnd w:id="33"/>
      <w:bookmarkEnd w:id="40"/>
      <w:bookmarkEnd w:id="41"/>
    </w:p>
    <w:p w14:paraId="7C40B88B">
      <w:pPr>
        <w:spacing w:line="360" w:lineRule="auto"/>
        <w:ind w:firstLine="437"/>
        <w:outlineLvl w:val="1"/>
        <w:rPr>
          <w:rFonts w:ascii="宋体" w:hAnsi="宋体" w:eastAsia="宋体"/>
          <w:bCs/>
          <w:sz w:val="24"/>
          <w:szCs w:val="18"/>
        </w:rPr>
      </w:pPr>
      <w:bookmarkStart w:id="42" w:name="_Toc6057"/>
      <w:r>
        <w:rPr>
          <w:rFonts w:ascii="宋体" w:hAnsi="宋体" w:eastAsia="宋体"/>
          <w:bCs/>
          <w:sz w:val="24"/>
          <w:szCs w:val="18"/>
        </w:rPr>
        <w:t>1、为使合同设备能正常安装和运行，由中标人提供相应的技术培训</w:t>
      </w:r>
      <w:r>
        <w:rPr>
          <w:rFonts w:hint="eastAsia" w:ascii="宋体" w:hAnsi="宋体" w:eastAsia="宋体"/>
          <w:bCs/>
          <w:sz w:val="24"/>
          <w:szCs w:val="18"/>
        </w:rPr>
        <w:t>，</w:t>
      </w:r>
      <w:r>
        <w:rPr>
          <w:rFonts w:ascii="宋体" w:hAnsi="宋体" w:eastAsia="宋体"/>
          <w:bCs/>
          <w:sz w:val="24"/>
          <w:szCs w:val="18"/>
        </w:rPr>
        <w:t>培训费用</w:t>
      </w:r>
      <w:r>
        <w:rPr>
          <w:rFonts w:hint="eastAsia" w:ascii="宋体" w:hAnsi="宋体" w:eastAsia="宋体"/>
          <w:bCs/>
          <w:sz w:val="24"/>
          <w:szCs w:val="18"/>
        </w:rPr>
        <w:t>包含在投标报价内</w:t>
      </w:r>
      <w:r>
        <w:rPr>
          <w:rFonts w:ascii="宋体" w:hAnsi="宋体" w:eastAsia="宋体"/>
          <w:bCs/>
          <w:sz w:val="24"/>
          <w:szCs w:val="18"/>
        </w:rPr>
        <w:t>。</w:t>
      </w:r>
      <w:bookmarkEnd w:id="42"/>
    </w:p>
    <w:p w14:paraId="7183CAF6">
      <w:pPr>
        <w:spacing w:line="360" w:lineRule="auto"/>
        <w:ind w:firstLine="437"/>
        <w:outlineLvl w:val="1"/>
        <w:rPr>
          <w:rFonts w:ascii="宋体" w:hAnsi="宋体" w:eastAsia="宋体"/>
          <w:bCs/>
          <w:sz w:val="24"/>
          <w:szCs w:val="18"/>
        </w:rPr>
      </w:pPr>
      <w:bookmarkStart w:id="43" w:name="_Toc2483"/>
      <w:r>
        <w:rPr>
          <w:rFonts w:ascii="宋体" w:hAnsi="宋体" w:eastAsia="宋体"/>
          <w:bCs/>
          <w:sz w:val="24"/>
          <w:szCs w:val="18"/>
        </w:rPr>
        <w:t>2、培训的时间、人数、地点等具体内容由买卖双方商定，内容至少包括：设备原理、使用、维护、运行操作、常见故障处理等。</w:t>
      </w:r>
      <w:bookmarkEnd w:id="43"/>
    </w:p>
    <w:p w14:paraId="016D8747">
      <w:pPr>
        <w:spacing w:line="360" w:lineRule="auto"/>
        <w:ind w:firstLine="437"/>
        <w:outlineLvl w:val="1"/>
        <w:rPr>
          <w:rFonts w:ascii="宋体" w:hAnsi="宋体" w:eastAsia="宋体"/>
          <w:b/>
          <w:bCs/>
          <w:sz w:val="24"/>
          <w:szCs w:val="18"/>
        </w:rPr>
      </w:pPr>
      <w:bookmarkStart w:id="44" w:name="_Toc4959"/>
      <w:bookmarkStart w:id="45" w:name="_Toc532199628"/>
      <w:r>
        <w:rPr>
          <w:rFonts w:hint="eastAsia" w:ascii="宋体" w:hAnsi="宋体" w:eastAsia="宋体"/>
          <w:b/>
          <w:bCs/>
          <w:sz w:val="24"/>
          <w:szCs w:val="18"/>
        </w:rPr>
        <w:t>八、质保及售后服务</w:t>
      </w:r>
      <w:bookmarkEnd w:id="44"/>
    </w:p>
    <w:p w14:paraId="5827F99F">
      <w:pPr>
        <w:spacing w:line="360" w:lineRule="auto"/>
        <w:ind w:firstLine="437"/>
        <w:outlineLvl w:val="1"/>
        <w:rPr>
          <w:rFonts w:ascii="宋体" w:hAnsi="宋体" w:eastAsia="宋体"/>
          <w:bCs/>
          <w:sz w:val="24"/>
          <w:szCs w:val="18"/>
        </w:rPr>
      </w:pPr>
      <w:bookmarkStart w:id="46" w:name="_Toc13104"/>
      <w:r>
        <w:rPr>
          <w:rFonts w:ascii="宋体" w:hAnsi="宋体" w:eastAsia="宋体"/>
          <w:bCs/>
          <w:sz w:val="24"/>
          <w:szCs w:val="18"/>
        </w:rPr>
        <w:t>1、自双方签订《验收报告》起进入质保期。</w:t>
      </w:r>
      <w:bookmarkEnd w:id="46"/>
    </w:p>
    <w:p w14:paraId="04DF5FFF">
      <w:pPr>
        <w:spacing w:line="360" w:lineRule="auto"/>
        <w:ind w:firstLine="437"/>
        <w:outlineLvl w:val="1"/>
        <w:rPr>
          <w:rFonts w:ascii="宋体" w:hAnsi="宋体" w:eastAsia="宋体"/>
          <w:bCs/>
          <w:sz w:val="24"/>
          <w:szCs w:val="18"/>
        </w:rPr>
      </w:pPr>
      <w:bookmarkStart w:id="47" w:name="_Toc18608"/>
      <w:r>
        <w:rPr>
          <w:rFonts w:ascii="宋体" w:hAnsi="宋体" w:eastAsia="宋体"/>
          <w:bCs/>
          <w:sz w:val="24"/>
          <w:szCs w:val="18"/>
        </w:rPr>
        <w:t>2、在质保期间内，非采购人过失和故意并且在正常使用的情况下发现商品有缺陷，中标人</w:t>
      </w:r>
      <w:r>
        <w:rPr>
          <w:rFonts w:hint="eastAsia" w:ascii="宋体" w:hAnsi="宋体" w:eastAsia="宋体"/>
          <w:bCs/>
          <w:sz w:val="24"/>
          <w:szCs w:val="18"/>
        </w:rPr>
        <w:t>应</w:t>
      </w:r>
      <w:r>
        <w:rPr>
          <w:rFonts w:ascii="宋体" w:hAnsi="宋体" w:eastAsia="宋体"/>
          <w:bCs/>
          <w:sz w:val="24"/>
          <w:szCs w:val="18"/>
        </w:rPr>
        <w:t>修理或替换该设备；在质保期间内，非采购人过失和故意并且在正常使用的情况下设备发生故障，中标人应及时提供服务。</w:t>
      </w:r>
      <w:bookmarkEnd w:id="45"/>
      <w:bookmarkEnd w:id="47"/>
    </w:p>
    <w:p w14:paraId="45E1706C">
      <w:bookmarkStart w:id="48" w:name="_GoBack"/>
      <w:bookmarkEnd w:id="4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E09B2A"/>
    <w:multiLevelType w:val="singleLevel"/>
    <w:tmpl w:val="7DE09B2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D556F"/>
    <w:rsid w:val="1ADA6EF8"/>
    <w:rsid w:val="461307B6"/>
    <w:rsid w:val="503D5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Arial" w:hAnsi="Arial" w:eastAsia="黑体" w:cs="Arial"/>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rFonts w:cs="Times New Roman"/>
      <w:kern w:val="0"/>
      <w:sz w:val="24"/>
    </w:rPr>
  </w:style>
  <w:style w:type="paragraph" w:customStyle="1" w:styleId="7">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8">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2546</Words>
  <Characters>2756</Characters>
  <Lines>0</Lines>
  <Paragraphs>0</Paragraphs>
  <TotalTime>0</TotalTime>
  <ScaleCrop>false</ScaleCrop>
  <LinksUpToDate>false</LinksUpToDate>
  <CharactersWithSpaces>2764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2026-08-21T09:37:00Z</dcterms:created>
  <dc:creator>省招</dc:creator>
  <cp:lastModifiedBy>省招</cp:lastModifiedBy>
  <dcterms:modified xsi:type="dcterms:W3CDTF">2026-08-21T14:02:14Z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94DCB87D4F4D4C3F82FA6A0DCDAB23A3_11</vt:lpwstr>
  </property>
  <property fmtid="{D5CDD505-2E9C-101B-9397-08002B2CF9AE}" pid="4" name="KSOTemplateDocerSaveRecord">
    <vt:lpwstr>eyJoZGlkIjoiMjFlNDcxMzhjZTVlNDBjMzBjMjM4MDQwMDM2MDcyZTEiLCJ1c2VySWQiOiI4ODgyMDUxMzUifQ==</vt:lpwstr>
  </property>
</Properties>
</file>