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93B26">
      <w:pPr>
        <w:pStyle w:val="2"/>
        <w:wordWrap w:val="0"/>
        <w:rPr>
          <w:rFonts w:hint="eastAsia" w:ascii="方正小标宋_GBK" w:hAnsi="方正小标宋_GBK" w:eastAsia="华文中宋" w:cs="方正小标宋_GBK"/>
        </w:rPr>
      </w:pPr>
      <w:r>
        <w:rPr>
          <w:rFonts w:hint="eastAsia" w:ascii="方正小标宋_GBK" w:hAnsi="方正小标宋_GBK" w:eastAsia="华文中宋" w:cs="方正小标宋_GBK"/>
        </w:rPr>
        <w:t>采购需求</w:t>
      </w:r>
    </w:p>
    <w:p w14:paraId="6888266B">
      <w:pPr>
        <w:wordWrap w:val="0"/>
        <w:spacing w:line="360" w:lineRule="auto"/>
        <w:rPr>
          <w:rFonts w:hint="eastAsia" w:ascii="宋体" w:hAnsi="宋体" w:eastAsia="宋体"/>
          <w:b/>
          <w:sz w:val="24"/>
        </w:rPr>
      </w:pPr>
      <w:r>
        <w:rPr>
          <w:rFonts w:hint="eastAsia" w:ascii="宋体" w:hAnsi="宋体" w:eastAsia="宋体"/>
          <w:b/>
          <w:sz w:val="24"/>
        </w:rPr>
        <w:t>前注：</w:t>
      </w:r>
    </w:p>
    <w:p w14:paraId="69448650">
      <w:pPr>
        <w:wordWrap w:val="0"/>
        <w:spacing w:line="360" w:lineRule="auto"/>
        <w:ind w:firstLine="480" w:firstLineChars="200"/>
        <w:rPr>
          <w:rFonts w:hint="eastAsia" w:ascii="宋体" w:hAnsi="宋体" w:eastAsia="宋体" w:cs="宋体"/>
          <w:sz w:val="24"/>
          <w:szCs w:val="18"/>
        </w:rPr>
      </w:pPr>
      <w:bookmarkStart w:id="0" w:name="_Hlk16461016"/>
      <w:r>
        <w:rPr>
          <w:rFonts w:hint="eastAsia" w:ascii="宋体" w:hAnsi="宋体" w:eastAsia="宋体" w:cs="宋体"/>
          <w:sz w:val="24"/>
        </w:rPr>
        <w:t>1.</w:t>
      </w:r>
      <w:r>
        <w:rPr>
          <w:rFonts w:hint="eastAsia" w:ascii="宋体" w:hAnsi="宋体" w:eastAsia="宋体" w:cs="宋体"/>
          <w:sz w:val="24"/>
          <w:szCs w:val="18"/>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0F4E31A4">
      <w:pPr>
        <w:wordWrap w:val="0"/>
        <w:spacing w:line="360" w:lineRule="auto"/>
        <w:ind w:firstLine="435"/>
        <w:rPr>
          <w:rFonts w:hint="eastAsia" w:ascii="宋体" w:hAnsi="宋体" w:eastAsia="宋体" w:cs="宋体"/>
          <w:sz w:val="24"/>
          <w:szCs w:val="18"/>
        </w:rPr>
      </w:pPr>
      <w:r>
        <w:rPr>
          <w:rFonts w:hint="eastAsia" w:ascii="宋体" w:hAnsi="宋体" w:eastAsia="宋体" w:cs="宋体"/>
          <w:sz w:val="24"/>
          <w:szCs w:val="18"/>
        </w:rPr>
        <w:t>2.下列采购需求中：</w:t>
      </w:r>
    </w:p>
    <w:p w14:paraId="3C43A532">
      <w:pPr>
        <w:wordWrap w:val="0"/>
        <w:spacing w:line="360" w:lineRule="auto"/>
        <w:ind w:firstLine="435"/>
        <w:rPr>
          <w:rFonts w:hint="eastAsia" w:ascii="宋体" w:hAnsi="宋体" w:eastAsia="宋体" w:cs="宋体"/>
          <w:sz w:val="24"/>
          <w:szCs w:val="18"/>
        </w:rPr>
      </w:pPr>
      <w:r>
        <w:rPr>
          <w:rFonts w:hint="eastAsia" w:ascii="宋体" w:hAnsi="宋体" w:eastAsia="宋体" w:cs="宋体"/>
          <w:sz w:val="24"/>
          <w:szCs w:val="18"/>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05BFE5ED">
      <w:pPr>
        <w:wordWrap w:val="0"/>
        <w:spacing w:line="360" w:lineRule="auto"/>
        <w:ind w:firstLine="480" w:firstLineChars="200"/>
        <w:rPr>
          <w:rFonts w:hint="eastAsia" w:ascii="宋体" w:hAnsi="宋体" w:eastAsia="宋体" w:cs="宋体"/>
          <w:sz w:val="24"/>
          <w:szCs w:val="18"/>
        </w:rPr>
      </w:pPr>
      <w:r>
        <w:rPr>
          <w:rFonts w:hint="eastAsia" w:ascii="宋体" w:hAnsi="宋体" w:eastAsia="宋体" w:cs="宋体"/>
          <w:sz w:val="24"/>
          <w:szCs w:val="24"/>
        </w:rPr>
        <w:t>（2）如涉及商品包装和快递包装，投标人应当执行《关于印发〈商品包装政府采购需求标准（试行）〉、〈快递包装政府采购需求标</w:t>
      </w:r>
      <w:bookmarkStart w:id="32" w:name="_GoBack"/>
      <w:bookmarkEnd w:id="32"/>
      <w:r>
        <w:rPr>
          <w:rFonts w:hint="eastAsia" w:ascii="宋体" w:hAnsi="宋体" w:eastAsia="宋体" w:cs="宋体"/>
          <w:sz w:val="24"/>
          <w:szCs w:val="24"/>
        </w:rPr>
        <w:t>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0B03965">
      <w:pPr>
        <w:wordWrap w:val="0"/>
        <w:spacing w:line="360" w:lineRule="auto"/>
        <w:ind w:firstLine="480" w:firstLineChars="200"/>
        <w:jc w:val="left"/>
        <w:rPr>
          <w:rFonts w:hint="eastAsia" w:ascii="宋体" w:hAnsi="宋体" w:eastAsia="宋体" w:cs="宋体"/>
          <w:sz w:val="24"/>
          <w:szCs w:val="18"/>
        </w:rPr>
      </w:pPr>
      <w:r>
        <w:rPr>
          <w:rFonts w:hint="eastAsia" w:ascii="宋体" w:hAnsi="宋体" w:eastAsia="宋体" w:cs="宋体"/>
          <w:sz w:val="24"/>
          <w:szCs w:val="18"/>
        </w:rPr>
        <w:t>3.下列采购需求中：标注</w:t>
      </w:r>
      <w:r>
        <w:rPr>
          <w:rFonts w:hint="eastAsia" w:ascii="宋体" w:hAnsi="宋体" w:eastAsia="宋体" w:cs="宋体"/>
          <w:sz w:val="24"/>
          <w:szCs w:val="24"/>
        </w:rPr>
        <w:t>▲</w:t>
      </w:r>
      <w:r>
        <w:rPr>
          <w:rFonts w:hint="eastAsia" w:ascii="宋体" w:hAnsi="宋体" w:eastAsia="宋体" w:cs="宋体"/>
          <w:sz w:val="24"/>
          <w:szCs w:val="18"/>
        </w:rPr>
        <w:t>的产品（核心产品），投标人在投标文件《主要中标标的承诺函》中填写名称、品牌、规格、型号、数量、单价等信息。</w:t>
      </w:r>
    </w:p>
    <w:p w14:paraId="4D9CF9D9">
      <w:pPr>
        <w:pStyle w:val="3"/>
        <w:wordWrap w:val="0"/>
        <w:ind w:firstLine="0" w:firstLineChars="0"/>
        <w:rPr>
          <w:rFonts w:eastAsia="黑体"/>
        </w:rPr>
      </w:pPr>
      <w:bookmarkStart w:id="1" w:name="_Toc1064185329"/>
      <w:bookmarkStart w:id="2" w:name="_Toc1452677390"/>
      <w:bookmarkStart w:id="3" w:name="_Toc1899401549"/>
      <w:bookmarkStart w:id="4" w:name="_Toc1437377518_WPSOffice_Level2"/>
      <w:bookmarkStart w:id="5" w:name="_Toc2025078090"/>
      <w:bookmarkStart w:id="6" w:name="_Toc292361325"/>
      <w:bookmarkStart w:id="7" w:name="_Toc382548620"/>
      <w:bookmarkStart w:id="8" w:name="_Toc337877615"/>
      <w:r>
        <w:rPr>
          <w:rFonts w:hint="eastAsia" w:eastAsia="黑体"/>
        </w:rPr>
        <w:t>一、采购需求前附表</w:t>
      </w:r>
      <w:bookmarkEnd w:id="1"/>
      <w:bookmarkEnd w:id="2"/>
      <w:bookmarkEnd w:id="3"/>
      <w:bookmarkEnd w:id="4"/>
      <w:bookmarkEnd w:id="5"/>
      <w:bookmarkEnd w:id="6"/>
      <w:bookmarkEnd w:id="7"/>
      <w:bookmarkEnd w:id="8"/>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1F37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275D0EB0">
            <w:pPr>
              <w:pStyle w:val="12"/>
              <w:pBdr>
                <w:bottom w:val="none" w:color="auto" w:sz="0" w:space="0"/>
              </w:pBdr>
              <w:tabs>
                <w:tab w:val="clear" w:pos="4153"/>
                <w:tab w:val="clear" w:pos="8306"/>
              </w:tabs>
              <w:wordWrap w:val="0"/>
              <w:adjustRightInd/>
              <w:spacing w:line="240" w:lineRule="auto"/>
              <w:textAlignment w:val="auto"/>
              <w:rPr>
                <w:rFonts w:hint="eastAsia" w:ascii="宋体" w:hAnsi="宋体" w:eastAsia="宋体" w:cs="宋体"/>
                <w:b/>
                <w:kern w:val="2"/>
              </w:rPr>
            </w:pPr>
            <w:r>
              <w:rPr>
                <w:rFonts w:hint="eastAsia" w:ascii="宋体" w:hAnsi="宋体" w:eastAsia="宋体" w:cs="宋体"/>
                <w:b/>
                <w:kern w:val="2"/>
              </w:rPr>
              <w:t>序号</w:t>
            </w:r>
          </w:p>
        </w:tc>
        <w:tc>
          <w:tcPr>
            <w:tcW w:w="2054" w:type="dxa"/>
            <w:vAlign w:val="center"/>
          </w:tcPr>
          <w:p w14:paraId="4BCB74B1">
            <w:pPr>
              <w:pStyle w:val="13"/>
              <w:widowControl w:val="0"/>
              <w:wordWrap w:val="0"/>
              <w:spacing w:before="0" w:beforeAutospacing="0" w:after="0" w:afterAutospacing="0" w:line="360" w:lineRule="auto"/>
              <w:rPr>
                <w:rFonts w:hint="eastAsia" w:ascii="宋体" w:hAnsi="宋体" w:eastAsia="宋体" w:cs="宋体"/>
                <w:bCs w:val="0"/>
                <w:sz w:val="24"/>
              </w:rPr>
            </w:pPr>
            <w:r>
              <w:rPr>
                <w:rFonts w:hint="eastAsia" w:ascii="宋体" w:hAnsi="宋体" w:eastAsia="宋体" w:cs="宋体"/>
                <w:bCs w:val="0"/>
                <w:sz w:val="24"/>
              </w:rPr>
              <w:t>条款名称</w:t>
            </w:r>
          </w:p>
        </w:tc>
        <w:tc>
          <w:tcPr>
            <w:tcW w:w="5544" w:type="dxa"/>
            <w:vAlign w:val="center"/>
          </w:tcPr>
          <w:p w14:paraId="6F05785F">
            <w:pPr>
              <w:pStyle w:val="13"/>
              <w:widowControl w:val="0"/>
              <w:wordWrap w:val="0"/>
              <w:spacing w:before="0" w:beforeAutospacing="0" w:after="0" w:afterAutospacing="0" w:line="360" w:lineRule="auto"/>
              <w:rPr>
                <w:rFonts w:hint="eastAsia" w:ascii="宋体" w:hAnsi="宋体" w:eastAsia="宋体" w:cs="宋体"/>
                <w:bCs w:val="0"/>
                <w:sz w:val="24"/>
              </w:rPr>
            </w:pPr>
            <w:r>
              <w:rPr>
                <w:rFonts w:hint="eastAsia" w:ascii="宋体" w:hAnsi="宋体" w:eastAsia="宋体" w:cs="宋体"/>
                <w:bCs w:val="0"/>
                <w:sz w:val="24"/>
              </w:rPr>
              <w:t>内容、说明与要求</w:t>
            </w:r>
          </w:p>
        </w:tc>
      </w:tr>
      <w:tr w14:paraId="4542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5582D5FF">
            <w:pPr>
              <w:pStyle w:val="12"/>
              <w:pBdr>
                <w:bottom w:val="none" w:color="auto" w:sz="0" w:space="0"/>
              </w:pBdr>
              <w:tabs>
                <w:tab w:val="clear" w:pos="4153"/>
                <w:tab w:val="clear" w:pos="8306"/>
              </w:tabs>
              <w:wordWrap w:val="0"/>
              <w:adjustRightInd/>
              <w:spacing w:line="240" w:lineRule="auto"/>
              <w:textAlignment w:val="auto"/>
              <w:rPr>
                <w:rFonts w:hint="eastAsia" w:ascii="宋体" w:hAnsi="宋体" w:eastAsia="宋体" w:cs="宋体"/>
                <w:bCs/>
                <w:kern w:val="2"/>
              </w:rPr>
            </w:pPr>
            <w:r>
              <w:rPr>
                <w:rFonts w:hint="eastAsia" w:ascii="宋体" w:hAnsi="宋体" w:eastAsia="宋体" w:cs="宋体"/>
                <w:bCs/>
                <w:kern w:val="2"/>
              </w:rPr>
              <w:t>1</w:t>
            </w:r>
          </w:p>
        </w:tc>
        <w:tc>
          <w:tcPr>
            <w:tcW w:w="2054" w:type="dxa"/>
            <w:vAlign w:val="center"/>
          </w:tcPr>
          <w:p w14:paraId="1C99E135">
            <w:pPr>
              <w:pStyle w:val="13"/>
              <w:widowControl w:val="0"/>
              <w:wordWrap w:val="0"/>
              <w:spacing w:before="0" w:beforeAutospacing="0" w:after="0" w:afterAutospacing="0" w:line="360" w:lineRule="auto"/>
              <w:rPr>
                <w:rFonts w:hint="eastAsia" w:ascii="宋体" w:hAnsi="宋体" w:eastAsia="宋体" w:cs="宋体"/>
                <w:b w:val="0"/>
                <w:sz w:val="24"/>
              </w:rPr>
            </w:pPr>
            <w:r>
              <w:rPr>
                <w:rFonts w:hint="eastAsia" w:ascii="宋体" w:hAnsi="宋体" w:eastAsia="宋体" w:cs="宋体"/>
                <w:b w:val="0"/>
                <w:sz w:val="24"/>
              </w:rPr>
              <w:t>付款方式</w:t>
            </w:r>
          </w:p>
        </w:tc>
        <w:tc>
          <w:tcPr>
            <w:tcW w:w="5544" w:type="dxa"/>
            <w:vAlign w:val="center"/>
          </w:tcPr>
          <w:p w14:paraId="008AA23E">
            <w:pPr>
              <w:pStyle w:val="13"/>
              <w:widowControl w:val="0"/>
              <w:wordWrap w:val="0"/>
              <w:spacing w:before="0" w:beforeAutospacing="0" w:after="0" w:afterAutospacing="0" w:line="360" w:lineRule="auto"/>
              <w:jc w:val="left"/>
              <w:rPr>
                <w:rFonts w:hint="eastAsia" w:ascii="宋体" w:hAnsi="宋体" w:eastAsia="宋体" w:cs="宋体"/>
                <w:b w:val="0"/>
                <w:bCs w:val="0"/>
                <w:sz w:val="24"/>
              </w:rPr>
            </w:pPr>
            <w:r>
              <w:rPr>
                <w:rFonts w:hint="eastAsia" w:ascii="宋体" w:hAnsi="宋体" w:eastAsia="宋体" w:cs="宋体"/>
                <w:b w:val="0"/>
                <w:bCs w:val="0"/>
                <w:sz w:val="24"/>
              </w:rPr>
              <w:t>项目验收合格后，一次性支付合同价款。</w:t>
            </w:r>
          </w:p>
        </w:tc>
      </w:tr>
      <w:tr w14:paraId="08B7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vAlign w:val="center"/>
          </w:tcPr>
          <w:p w14:paraId="78613E8D">
            <w:pPr>
              <w:pStyle w:val="12"/>
              <w:pBdr>
                <w:bottom w:val="none" w:color="auto" w:sz="0" w:space="0"/>
              </w:pBdr>
              <w:tabs>
                <w:tab w:val="clear" w:pos="4153"/>
                <w:tab w:val="clear" w:pos="8306"/>
              </w:tabs>
              <w:wordWrap w:val="0"/>
              <w:adjustRightInd/>
              <w:spacing w:line="240" w:lineRule="auto"/>
              <w:textAlignment w:val="auto"/>
              <w:rPr>
                <w:rFonts w:hint="eastAsia" w:ascii="宋体" w:hAnsi="宋体" w:eastAsia="宋体" w:cs="宋体"/>
                <w:bCs/>
                <w:kern w:val="2"/>
              </w:rPr>
            </w:pPr>
            <w:r>
              <w:rPr>
                <w:rFonts w:hint="eastAsia" w:ascii="宋体" w:hAnsi="宋体" w:eastAsia="宋体" w:cs="宋体"/>
                <w:bCs/>
                <w:kern w:val="2"/>
              </w:rPr>
              <w:t>2</w:t>
            </w:r>
          </w:p>
        </w:tc>
        <w:tc>
          <w:tcPr>
            <w:tcW w:w="2054" w:type="dxa"/>
            <w:vAlign w:val="center"/>
          </w:tcPr>
          <w:p w14:paraId="35F23F87">
            <w:pPr>
              <w:pStyle w:val="13"/>
              <w:widowControl w:val="0"/>
              <w:wordWrap w:val="0"/>
              <w:spacing w:before="0" w:beforeAutospacing="0" w:after="0" w:afterAutospacing="0" w:line="360" w:lineRule="auto"/>
              <w:rPr>
                <w:rFonts w:hint="eastAsia" w:ascii="宋体" w:hAnsi="宋体" w:eastAsia="宋体" w:cs="宋体"/>
                <w:b w:val="0"/>
                <w:sz w:val="24"/>
              </w:rPr>
            </w:pPr>
            <w:r>
              <w:rPr>
                <w:rFonts w:hint="eastAsia" w:ascii="宋体" w:hAnsi="宋体" w:eastAsia="宋体" w:cs="宋体"/>
                <w:b w:val="0"/>
                <w:sz w:val="24"/>
              </w:rPr>
              <w:t>供货及安装地点</w:t>
            </w:r>
          </w:p>
        </w:tc>
        <w:tc>
          <w:tcPr>
            <w:tcW w:w="5544" w:type="dxa"/>
            <w:vAlign w:val="center"/>
          </w:tcPr>
          <w:p w14:paraId="07FC215D">
            <w:pPr>
              <w:pStyle w:val="13"/>
              <w:widowControl w:val="0"/>
              <w:wordWrap w:val="0"/>
              <w:spacing w:before="0" w:beforeAutospacing="0" w:after="0" w:afterAutospacing="0" w:line="360" w:lineRule="auto"/>
              <w:jc w:val="left"/>
              <w:rPr>
                <w:rFonts w:hint="eastAsia" w:ascii="宋体" w:hAnsi="宋体" w:eastAsia="宋体" w:cs="宋体"/>
                <w:b w:val="0"/>
                <w:sz w:val="24"/>
              </w:rPr>
            </w:pPr>
            <w:r>
              <w:rPr>
                <w:rFonts w:hint="eastAsia" w:ascii="宋体" w:hAnsi="宋体" w:eastAsia="宋体" w:cs="宋体"/>
                <w:b w:val="0"/>
                <w:sz w:val="24"/>
              </w:rPr>
              <w:t>安徽农业大学繁昌创新港，具体按采购人指定。</w:t>
            </w:r>
          </w:p>
        </w:tc>
      </w:tr>
      <w:tr w14:paraId="52C5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vAlign w:val="center"/>
          </w:tcPr>
          <w:p w14:paraId="4C08D035">
            <w:pPr>
              <w:pStyle w:val="12"/>
              <w:pBdr>
                <w:bottom w:val="none" w:color="auto" w:sz="0" w:space="0"/>
              </w:pBdr>
              <w:tabs>
                <w:tab w:val="clear" w:pos="4153"/>
                <w:tab w:val="clear" w:pos="8306"/>
              </w:tabs>
              <w:wordWrap w:val="0"/>
              <w:adjustRightInd/>
              <w:spacing w:line="240" w:lineRule="auto"/>
              <w:textAlignment w:val="auto"/>
              <w:rPr>
                <w:rFonts w:hint="eastAsia" w:ascii="宋体" w:hAnsi="宋体" w:eastAsia="宋体" w:cs="宋体"/>
                <w:bCs/>
                <w:kern w:val="2"/>
              </w:rPr>
            </w:pPr>
            <w:r>
              <w:rPr>
                <w:rFonts w:hint="eastAsia" w:ascii="宋体" w:hAnsi="宋体" w:eastAsia="宋体" w:cs="宋体"/>
                <w:bCs/>
                <w:kern w:val="2"/>
              </w:rPr>
              <w:t>3</w:t>
            </w:r>
          </w:p>
        </w:tc>
        <w:tc>
          <w:tcPr>
            <w:tcW w:w="2054" w:type="dxa"/>
            <w:vAlign w:val="center"/>
          </w:tcPr>
          <w:p w14:paraId="1FFF529A">
            <w:pPr>
              <w:pStyle w:val="13"/>
              <w:widowControl w:val="0"/>
              <w:wordWrap w:val="0"/>
              <w:spacing w:before="0" w:beforeAutospacing="0" w:after="0" w:afterAutospacing="0" w:line="360" w:lineRule="auto"/>
              <w:rPr>
                <w:rFonts w:hint="eastAsia" w:ascii="宋体" w:hAnsi="宋体" w:eastAsia="宋体" w:cs="宋体"/>
                <w:b w:val="0"/>
                <w:sz w:val="24"/>
              </w:rPr>
            </w:pPr>
            <w:r>
              <w:rPr>
                <w:rFonts w:hint="eastAsia" w:ascii="宋体" w:hAnsi="宋体" w:eastAsia="宋体" w:cs="宋体"/>
                <w:b w:val="0"/>
                <w:sz w:val="24"/>
              </w:rPr>
              <w:t>供货及安装期限</w:t>
            </w:r>
          </w:p>
        </w:tc>
        <w:tc>
          <w:tcPr>
            <w:tcW w:w="5544" w:type="dxa"/>
            <w:vAlign w:val="center"/>
          </w:tcPr>
          <w:p w14:paraId="2DF85E43">
            <w:pPr>
              <w:pStyle w:val="13"/>
              <w:widowControl w:val="0"/>
              <w:wordWrap w:val="0"/>
              <w:spacing w:before="0" w:beforeAutospacing="0" w:after="0" w:afterAutospacing="0" w:line="360" w:lineRule="auto"/>
              <w:jc w:val="left"/>
              <w:rPr>
                <w:rFonts w:hint="eastAsia" w:ascii="宋体" w:hAnsi="宋体" w:eastAsia="宋体" w:cs="宋体"/>
                <w:b w:val="0"/>
                <w:sz w:val="24"/>
              </w:rPr>
            </w:pPr>
            <w:r>
              <w:rPr>
                <w:rFonts w:hint="eastAsia" w:ascii="宋体" w:hAnsi="宋体" w:eastAsia="宋体" w:cs="宋体"/>
                <w:b w:val="0"/>
                <w:sz w:val="24"/>
              </w:rPr>
              <w:t>合同生效后，90个日历日内完成供货、安装、调试、培训等所有工作内容。</w:t>
            </w:r>
          </w:p>
        </w:tc>
      </w:tr>
      <w:tr w14:paraId="78E1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5EAB3280">
            <w:pPr>
              <w:pStyle w:val="12"/>
              <w:pBdr>
                <w:bottom w:val="none" w:color="auto" w:sz="0" w:space="0"/>
              </w:pBdr>
              <w:tabs>
                <w:tab w:val="clear" w:pos="4153"/>
                <w:tab w:val="clear" w:pos="8306"/>
              </w:tabs>
              <w:wordWrap w:val="0"/>
              <w:adjustRightInd/>
              <w:spacing w:line="240" w:lineRule="auto"/>
              <w:textAlignment w:val="auto"/>
              <w:rPr>
                <w:rFonts w:hint="eastAsia" w:ascii="宋体" w:hAnsi="宋体" w:eastAsia="宋体" w:cs="宋体"/>
                <w:bCs/>
                <w:kern w:val="2"/>
              </w:rPr>
            </w:pPr>
            <w:r>
              <w:rPr>
                <w:rFonts w:hint="eastAsia" w:ascii="宋体" w:hAnsi="宋体" w:eastAsia="宋体" w:cs="宋体"/>
                <w:bCs/>
                <w:kern w:val="2"/>
              </w:rPr>
              <w:t>4</w:t>
            </w:r>
          </w:p>
        </w:tc>
        <w:tc>
          <w:tcPr>
            <w:tcW w:w="2054" w:type="dxa"/>
            <w:vAlign w:val="center"/>
          </w:tcPr>
          <w:p w14:paraId="2C248402">
            <w:pPr>
              <w:pStyle w:val="13"/>
              <w:widowControl w:val="0"/>
              <w:wordWrap w:val="0"/>
              <w:spacing w:before="0" w:beforeAutospacing="0" w:after="0" w:afterAutospacing="0" w:line="360" w:lineRule="auto"/>
              <w:rPr>
                <w:rFonts w:hint="eastAsia" w:ascii="宋体" w:hAnsi="宋体" w:eastAsia="宋体" w:cs="宋体"/>
                <w:b w:val="0"/>
                <w:sz w:val="24"/>
              </w:rPr>
            </w:pPr>
            <w:r>
              <w:rPr>
                <w:rFonts w:hint="eastAsia" w:ascii="宋体" w:hAnsi="宋体" w:eastAsia="宋体" w:cs="宋体"/>
                <w:b w:val="0"/>
                <w:sz w:val="24"/>
              </w:rPr>
              <w:t>免费质保期</w:t>
            </w:r>
          </w:p>
        </w:tc>
        <w:tc>
          <w:tcPr>
            <w:tcW w:w="5544" w:type="dxa"/>
            <w:vAlign w:val="center"/>
          </w:tcPr>
          <w:p w14:paraId="24C69BEB">
            <w:pPr>
              <w:pStyle w:val="13"/>
              <w:widowControl w:val="0"/>
              <w:wordWrap w:val="0"/>
              <w:spacing w:before="0" w:beforeAutospacing="0" w:after="0" w:afterAutospacing="0" w:line="360" w:lineRule="auto"/>
              <w:jc w:val="left"/>
              <w:rPr>
                <w:rFonts w:hint="eastAsia" w:ascii="宋体" w:hAnsi="宋体" w:eastAsia="宋体" w:cs="宋体"/>
                <w:b w:val="0"/>
                <w:sz w:val="24"/>
              </w:rPr>
            </w:pPr>
            <w:r>
              <w:rPr>
                <w:rFonts w:hint="eastAsia" w:ascii="宋体" w:hAnsi="宋体" w:eastAsia="宋体" w:cs="宋体"/>
                <w:b w:val="0"/>
                <w:sz w:val="24"/>
              </w:rPr>
              <w:t>自验收合格后1年。</w:t>
            </w:r>
          </w:p>
          <w:p w14:paraId="1CBC1E1F">
            <w:pPr>
              <w:pStyle w:val="13"/>
              <w:widowControl w:val="0"/>
              <w:wordWrap w:val="0"/>
              <w:spacing w:before="0" w:beforeAutospacing="0" w:after="0" w:afterAutospacing="0" w:line="360" w:lineRule="auto"/>
              <w:jc w:val="left"/>
              <w:rPr>
                <w:rFonts w:hint="eastAsia" w:ascii="宋体" w:hAnsi="宋体" w:eastAsia="宋体" w:cs="宋体"/>
                <w:b w:val="0"/>
                <w:sz w:val="24"/>
              </w:rPr>
            </w:pPr>
            <w:r>
              <w:rPr>
                <w:rFonts w:hint="eastAsia" w:ascii="宋体" w:hAnsi="宋体" w:eastAsia="宋体" w:cs="宋体"/>
                <w:b w:val="0"/>
                <w:sz w:val="24"/>
              </w:rPr>
              <w:t>注：免费质保期从验收合格之日起开始计算。</w:t>
            </w:r>
          </w:p>
        </w:tc>
      </w:tr>
    </w:tbl>
    <w:p w14:paraId="3CA42A90">
      <w:pPr>
        <w:pStyle w:val="3"/>
        <w:wordWrap w:val="0"/>
        <w:ind w:firstLine="0" w:firstLineChars="0"/>
        <w:rPr>
          <w:rFonts w:eastAsia="黑体"/>
        </w:rPr>
      </w:pPr>
      <w:bookmarkStart w:id="9" w:name="_Toc717369146"/>
      <w:bookmarkStart w:id="10" w:name="_Toc302804901"/>
      <w:bookmarkStart w:id="11" w:name="_Toc1693477008"/>
      <w:bookmarkStart w:id="12" w:name="_Toc626387511"/>
      <w:bookmarkStart w:id="13" w:name="_Toc58935147"/>
      <w:bookmarkStart w:id="14" w:name="_Toc369119811"/>
      <w:bookmarkStart w:id="15" w:name="_Toc1191965283_WPSOffice_Level2"/>
      <w:bookmarkStart w:id="16" w:name="_Toc1715351726"/>
      <w:r>
        <w:rPr>
          <w:rFonts w:hint="eastAsia" w:eastAsia="黑体"/>
        </w:rPr>
        <w:t>二、货物需求</w:t>
      </w:r>
      <w:bookmarkEnd w:id="9"/>
      <w:bookmarkEnd w:id="10"/>
      <w:bookmarkEnd w:id="11"/>
      <w:bookmarkEnd w:id="12"/>
      <w:bookmarkEnd w:id="13"/>
      <w:bookmarkEnd w:id="14"/>
      <w:bookmarkEnd w:id="15"/>
      <w:bookmarkEnd w:id="16"/>
    </w:p>
    <w:p w14:paraId="0DB8A991">
      <w:pPr>
        <w:pStyle w:val="8"/>
        <w:wordWrap w:val="0"/>
        <w:spacing w:line="360" w:lineRule="auto"/>
        <w:ind w:left="0" w:firstLine="482"/>
        <w:rPr>
          <w:rFonts w:hint="eastAsia" w:ascii="宋体" w:hAnsi="宋体" w:eastAsia="宋体" w:cs="宋体"/>
          <w:b/>
          <w:bCs/>
          <w:sz w:val="24"/>
          <w:szCs w:val="24"/>
        </w:rPr>
      </w:pPr>
      <w:r>
        <w:rPr>
          <w:rFonts w:hint="eastAsia" w:ascii="宋体" w:hAnsi="宋体" w:eastAsia="宋体" w:cs="宋体"/>
          <w:b/>
          <w:bCs/>
          <w:sz w:val="24"/>
          <w:szCs w:val="24"/>
        </w:rPr>
        <w:t>（一）货物需求说明</w:t>
      </w:r>
    </w:p>
    <w:tbl>
      <w:tblPr>
        <w:tblStyle w:val="9"/>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1277"/>
        <w:gridCol w:w="5692"/>
      </w:tblGrid>
      <w:tr w14:paraId="0BE5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tcPr>
          <w:p w14:paraId="1751363A">
            <w:pPr>
              <w:pStyle w:val="8"/>
              <w:wordWrap w:val="0"/>
              <w:spacing w:line="500" w:lineRule="exact"/>
              <w:ind w:left="0"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需求内容类别</w:t>
            </w:r>
          </w:p>
        </w:tc>
        <w:tc>
          <w:tcPr>
            <w:tcW w:w="1277" w:type="dxa"/>
          </w:tcPr>
          <w:p w14:paraId="791E4C4B">
            <w:pPr>
              <w:pStyle w:val="8"/>
              <w:wordWrap w:val="0"/>
              <w:spacing w:line="500" w:lineRule="exact"/>
              <w:ind w:left="0"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标识符号</w:t>
            </w:r>
          </w:p>
        </w:tc>
        <w:tc>
          <w:tcPr>
            <w:tcW w:w="5692" w:type="dxa"/>
          </w:tcPr>
          <w:p w14:paraId="5ECF3736">
            <w:pPr>
              <w:pStyle w:val="8"/>
              <w:wordWrap w:val="0"/>
              <w:spacing w:line="500" w:lineRule="exact"/>
              <w:ind w:left="0"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投标要求</w:t>
            </w:r>
          </w:p>
        </w:tc>
      </w:tr>
      <w:tr w14:paraId="41CF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3E69D70A">
            <w:pPr>
              <w:pStyle w:val="8"/>
              <w:wordWrap w:val="0"/>
              <w:spacing w:line="500" w:lineRule="exact"/>
              <w:ind w:left="0" w:firstLine="0" w:firstLineChars="0"/>
              <w:jc w:val="center"/>
              <w:rPr>
                <w:rFonts w:hint="eastAsia" w:ascii="宋体" w:hAnsi="宋体" w:eastAsia="宋体" w:cs="宋体"/>
                <w:sz w:val="24"/>
                <w:szCs w:val="24"/>
              </w:rPr>
            </w:pPr>
            <w:r>
              <w:rPr>
                <w:rFonts w:hint="eastAsia" w:ascii="宋体" w:hAnsi="宋体" w:eastAsia="宋体" w:cs="宋体"/>
                <w:sz w:val="24"/>
                <w:szCs w:val="24"/>
              </w:rPr>
              <w:t>重要指标项</w:t>
            </w:r>
          </w:p>
        </w:tc>
        <w:tc>
          <w:tcPr>
            <w:tcW w:w="1277" w:type="dxa"/>
            <w:vAlign w:val="center"/>
          </w:tcPr>
          <w:p w14:paraId="1D17C762">
            <w:pPr>
              <w:pStyle w:val="8"/>
              <w:wordWrap w:val="0"/>
              <w:spacing w:line="500" w:lineRule="exact"/>
              <w:ind w:left="0" w:firstLine="0" w:firstLineChars="0"/>
              <w:jc w:val="center"/>
              <w:rPr>
                <w:rFonts w:hint="eastAsia" w:ascii="宋体" w:hAnsi="宋体" w:eastAsia="宋体" w:cs="宋体"/>
                <w:sz w:val="24"/>
                <w:szCs w:val="24"/>
              </w:rPr>
            </w:pPr>
            <w:r>
              <w:rPr>
                <w:rFonts w:hint="eastAsia" w:ascii="宋体" w:hAnsi="宋体" w:eastAsia="宋体" w:cs="宋体"/>
                <w:sz w:val="24"/>
                <w:szCs w:val="24"/>
              </w:rPr>
              <w:t>★</w:t>
            </w:r>
          </w:p>
        </w:tc>
        <w:tc>
          <w:tcPr>
            <w:tcW w:w="5692" w:type="dxa"/>
            <w:vAlign w:val="center"/>
          </w:tcPr>
          <w:p w14:paraId="28FFC0CC">
            <w:pPr>
              <w:pStyle w:val="8"/>
              <w:wordWrap w:val="0"/>
              <w:spacing w:line="500" w:lineRule="exact"/>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评分项，详见“第四章评标方法和标准”中评分细则。</w:t>
            </w:r>
          </w:p>
        </w:tc>
      </w:tr>
      <w:tr w14:paraId="45A0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96" w:type="dxa"/>
            <w:vAlign w:val="center"/>
          </w:tcPr>
          <w:p w14:paraId="12496BD3">
            <w:pPr>
              <w:pStyle w:val="8"/>
              <w:wordWrap w:val="0"/>
              <w:spacing w:line="500" w:lineRule="exact"/>
              <w:ind w:left="0" w:firstLine="0" w:firstLineChars="0"/>
              <w:jc w:val="center"/>
              <w:rPr>
                <w:rFonts w:hint="eastAsia" w:ascii="宋体" w:hAnsi="宋体" w:eastAsia="宋体" w:cs="宋体"/>
                <w:sz w:val="24"/>
                <w:szCs w:val="24"/>
              </w:rPr>
            </w:pPr>
            <w:r>
              <w:rPr>
                <w:rFonts w:hint="eastAsia" w:ascii="宋体" w:hAnsi="宋体" w:eastAsia="宋体" w:cs="宋体"/>
                <w:sz w:val="24"/>
                <w:szCs w:val="24"/>
              </w:rPr>
              <w:t>关键指标项</w:t>
            </w:r>
          </w:p>
        </w:tc>
        <w:tc>
          <w:tcPr>
            <w:tcW w:w="1277" w:type="dxa"/>
            <w:vAlign w:val="center"/>
          </w:tcPr>
          <w:p w14:paraId="7E05522B">
            <w:pPr>
              <w:pStyle w:val="8"/>
              <w:wordWrap w:val="0"/>
              <w:spacing w:line="500" w:lineRule="exact"/>
              <w:ind w:left="0" w:firstLine="0" w:firstLineChars="0"/>
              <w:jc w:val="center"/>
              <w:rPr>
                <w:rFonts w:hint="eastAsia" w:ascii="宋体" w:hAnsi="宋体" w:eastAsia="宋体" w:cs="宋体"/>
                <w:sz w:val="24"/>
                <w:szCs w:val="24"/>
              </w:rPr>
            </w:pPr>
            <w:r>
              <w:rPr>
                <w:rFonts w:hint="eastAsia" w:ascii="宋体" w:hAnsi="宋体" w:eastAsia="宋体" w:cs="宋体"/>
                <w:sz w:val="24"/>
                <w:szCs w:val="24"/>
              </w:rPr>
              <w:t>■</w:t>
            </w:r>
          </w:p>
        </w:tc>
        <w:tc>
          <w:tcPr>
            <w:tcW w:w="5692" w:type="dxa"/>
            <w:vAlign w:val="center"/>
          </w:tcPr>
          <w:p w14:paraId="7498E747">
            <w:pPr>
              <w:pStyle w:val="8"/>
              <w:wordWrap w:val="0"/>
              <w:spacing w:line="500" w:lineRule="exact"/>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符合性审查项，该指标项负偏离或未响应，将导致</w:t>
            </w:r>
            <w:r>
              <w:rPr>
                <w:rFonts w:hint="eastAsia" w:ascii="宋体" w:hAnsi="宋体" w:eastAsia="宋体" w:cs="宋体"/>
                <w:b/>
                <w:bCs/>
                <w:sz w:val="24"/>
                <w:szCs w:val="24"/>
              </w:rPr>
              <w:t>投标无效</w:t>
            </w:r>
            <w:r>
              <w:rPr>
                <w:rFonts w:hint="eastAsia" w:ascii="宋体" w:hAnsi="宋体" w:eastAsia="宋体" w:cs="宋体"/>
                <w:sz w:val="24"/>
                <w:szCs w:val="24"/>
              </w:rPr>
              <w:t>。</w:t>
            </w:r>
          </w:p>
        </w:tc>
      </w:tr>
      <w:tr w14:paraId="6A7F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1B3DC3C5">
            <w:pPr>
              <w:pStyle w:val="8"/>
              <w:wordWrap w:val="0"/>
              <w:spacing w:line="500" w:lineRule="exact"/>
              <w:ind w:left="0" w:firstLine="0" w:firstLineChars="0"/>
              <w:jc w:val="center"/>
              <w:rPr>
                <w:rFonts w:hint="eastAsia" w:ascii="宋体" w:hAnsi="宋体" w:eastAsia="宋体" w:cs="宋体"/>
                <w:sz w:val="24"/>
                <w:szCs w:val="24"/>
              </w:rPr>
            </w:pPr>
            <w:r>
              <w:rPr>
                <w:rFonts w:hint="eastAsia" w:ascii="宋体" w:hAnsi="宋体" w:eastAsia="宋体" w:cs="宋体"/>
                <w:sz w:val="24"/>
                <w:szCs w:val="24"/>
              </w:rPr>
              <w:t>无标识项</w:t>
            </w:r>
          </w:p>
        </w:tc>
        <w:tc>
          <w:tcPr>
            <w:tcW w:w="1277" w:type="dxa"/>
            <w:vAlign w:val="center"/>
          </w:tcPr>
          <w:p w14:paraId="30E37DD8">
            <w:pPr>
              <w:pStyle w:val="8"/>
              <w:wordWrap w:val="0"/>
              <w:spacing w:line="500" w:lineRule="exact"/>
              <w:ind w:left="0" w:firstLine="0" w:firstLineChars="0"/>
              <w:jc w:val="center"/>
              <w:rPr>
                <w:rFonts w:hint="eastAsia" w:ascii="宋体" w:hAnsi="宋体" w:eastAsia="宋体" w:cs="宋体"/>
                <w:sz w:val="24"/>
                <w:szCs w:val="24"/>
              </w:rPr>
            </w:pPr>
          </w:p>
        </w:tc>
        <w:tc>
          <w:tcPr>
            <w:tcW w:w="5692" w:type="dxa"/>
            <w:vAlign w:val="center"/>
          </w:tcPr>
          <w:p w14:paraId="5A046EE4">
            <w:pPr>
              <w:pStyle w:val="8"/>
              <w:wordWrap w:val="0"/>
              <w:spacing w:line="500" w:lineRule="exact"/>
              <w:ind w:left="0" w:firstLine="0" w:firstLineChars="0"/>
              <w:jc w:val="left"/>
              <w:rPr>
                <w:rFonts w:hint="eastAsia" w:ascii="宋体" w:hAnsi="宋体" w:eastAsia="宋体" w:cs="宋体"/>
                <w:sz w:val="24"/>
                <w:szCs w:val="24"/>
              </w:rPr>
            </w:pPr>
            <w:r>
              <w:rPr>
                <w:rFonts w:hint="eastAsia" w:ascii="宋体" w:hAnsi="宋体" w:eastAsia="宋体" w:cs="宋体"/>
                <w:bCs/>
                <w:sz w:val="24"/>
                <w:szCs w:val="24"/>
              </w:rPr>
              <w:t>符合性审查项，该指标项最大允许负偏离</w:t>
            </w:r>
            <w:r>
              <w:rPr>
                <w:rFonts w:hint="eastAsia" w:ascii="宋体" w:hAnsi="宋体" w:eastAsia="宋体" w:cs="宋体"/>
                <w:bCs/>
                <w:sz w:val="24"/>
                <w:szCs w:val="24"/>
                <w:u w:val="single"/>
              </w:rPr>
              <w:t xml:space="preserve"> 5 </w:t>
            </w:r>
            <w:r>
              <w:rPr>
                <w:rFonts w:hint="eastAsia" w:ascii="宋体" w:hAnsi="宋体" w:eastAsia="宋体" w:cs="宋体"/>
                <w:bCs/>
                <w:sz w:val="24"/>
                <w:szCs w:val="24"/>
              </w:rPr>
              <w:t>项，超过最大允许负偏离项数的，</w:t>
            </w:r>
            <w:r>
              <w:rPr>
                <w:rFonts w:hint="eastAsia" w:ascii="宋体" w:hAnsi="宋体" w:eastAsia="宋体" w:cs="宋体"/>
                <w:b/>
                <w:sz w:val="24"/>
                <w:szCs w:val="24"/>
              </w:rPr>
              <w:t>投标无效</w:t>
            </w:r>
            <w:r>
              <w:rPr>
                <w:rFonts w:hint="eastAsia" w:ascii="宋体" w:hAnsi="宋体" w:eastAsia="宋体" w:cs="宋体"/>
                <w:bCs/>
                <w:sz w:val="24"/>
                <w:szCs w:val="24"/>
              </w:rPr>
              <w:t>。</w:t>
            </w:r>
          </w:p>
        </w:tc>
      </w:tr>
      <w:tr w14:paraId="23F7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5" w:type="dxa"/>
            <w:gridSpan w:val="3"/>
            <w:vAlign w:val="center"/>
          </w:tcPr>
          <w:p w14:paraId="2191523B">
            <w:pPr>
              <w:pStyle w:val="8"/>
              <w:wordWrap w:val="0"/>
              <w:spacing w:line="500" w:lineRule="exact"/>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注：</w:t>
            </w:r>
          </w:p>
          <w:p w14:paraId="72922CED">
            <w:pPr>
              <w:pStyle w:val="8"/>
              <w:wordWrap w:val="0"/>
              <w:spacing w:line="500" w:lineRule="exact"/>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.如某项标识中包含多条技术参数或要求，则该项标识所含内容均需满足或优于招标文件要求，否则不予认可。</w:t>
            </w:r>
          </w:p>
          <w:p w14:paraId="7A08A1A5">
            <w:pPr>
              <w:pStyle w:val="8"/>
              <w:wordWrap w:val="0"/>
              <w:spacing w:line="500" w:lineRule="exact"/>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.“所属行业”栏标注为“/”的项为所投产品配套的工程或服务，无需在《中小企业声明函》中列明。</w:t>
            </w:r>
          </w:p>
        </w:tc>
      </w:tr>
    </w:tbl>
    <w:p w14:paraId="1A96CE3F">
      <w:pPr>
        <w:pStyle w:val="8"/>
        <w:wordWrap w:val="0"/>
        <w:ind w:left="0" w:firstLine="0" w:firstLineChars="0"/>
        <w:rPr>
          <w:rFonts w:hint="eastAsia" w:ascii="宋体" w:hAnsi="宋体" w:eastAsia="宋体" w:cs="宋体"/>
          <w:b/>
          <w:bCs/>
          <w:sz w:val="24"/>
          <w:szCs w:val="24"/>
        </w:rPr>
      </w:pPr>
    </w:p>
    <w:p w14:paraId="2E595896">
      <w:pPr>
        <w:pStyle w:val="8"/>
        <w:wordWrap w:val="0"/>
        <w:spacing w:line="360" w:lineRule="auto"/>
        <w:ind w:left="0" w:firstLine="482"/>
        <w:rPr>
          <w:rFonts w:hint="eastAsia" w:ascii="宋体" w:hAnsi="宋体" w:eastAsia="宋体" w:cs="宋体"/>
          <w:b/>
          <w:bCs/>
          <w:sz w:val="24"/>
          <w:szCs w:val="24"/>
        </w:rPr>
      </w:pPr>
      <w:r>
        <w:rPr>
          <w:rFonts w:hint="eastAsia" w:ascii="宋体" w:hAnsi="宋体" w:eastAsia="宋体" w:cs="宋体"/>
          <w:b/>
          <w:bCs/>
          <w:sz w:val="24"/>
          <w:szCs w:val="24"/>
        </w:rPr>
        <w:t>（二）货物需求清单</w:t>
      </w:r>
    </w:p>
    <w:p w14:paraId="23C4EE02">
      <w:pPr>
        <w:pStyle w:val="8"/>
        <w:wordWrap w:val="0"/>
        <w:spacing w:line="360" w:lineRule="auto"/>
        <w:ind w:left="0" w:firstLine="482"/>
        <w:rPr>
          <w:rFonts w:hint="eastAsia" w:ascii="宋体" w:hAnsi="宋体" w:eastAsia="宋体" w:cs="宋体"/>
          <w:b/>
          <w:bCs/>
          <w:sz w:val="24"/>
          <w:szCs w:val="24"/>
        </w:rPr>
      </w:pPr>
      <w:r>
        <w:rPr>
          <w:rFonts w:hint="eastAsia" w:ascii="宋体" w:hAnsi="宋体" w:eastAsia="宋体" w:cs="宋体"/>
          <w:b/>
          <w:bCs/>
          <w:sz w:val="24"/>
          <w:szCs w:val="24"/>
        </w:rPr>
        <w:t>针对下表中要求在投标文件中提供证明材料的参数，证明材料包括产品技术白皮书、产品技术说明书、产品彩页（产品功能截图）、厂家（制造商）官网截图、第三方证明材料（如检测报告，测试报告等），提供其中之一即可。未按以上要求提供证明材料的视为负偏离或未响应（为便于评审，建议投标人对证明材料中的关键参数进行标注）。</w:t>
      </w:r>
    </w:p>
    <w:p w14:paraId="187AF378">
      <w:pPr>
        <w:pStyle w:val="7"/>
        <w:ind w:left="482" w:hanging="482"/>
        <w:rPr>
          <w:rFonts w:hint="eastAsia" w:ascii="宋体" w:hAnsi="宋体" w:cs="宋体"/>
          <w:b/>
          <w:bCs/>
          <w:sz w:val="24"/>
        </w:rPr>
      </w:pPr>
    </w:p>
    <w:tbl>
      <w:tblPr>
        <w:tblStyle w:val="9"/>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30"/>
        <w:gridCol w:w="5175"/>
        <w:gridCol w:w="780"/>
        <w:gridCol w:w="795"/>
        <w:gridCol w:w="897"/>
      </w:tblGrid>
      <w:tr w14:paraId="216F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2C15454B">
            <w:pPr>
              <w:adjustRightInd w:val="0"/>
              <w:snapToGrid w:val="0"/>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ADDIN CNKISM.UserStyle</w:instrTex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b/>
                <w:sz w:val="24"/>
                <w:szCs w:val="24"/>
              </w:rPr>
              <w:t>序号</w:t>
            </w:r>
          </w:p>
        </w:tc>
        <w:tc>
          <w:tcPr>
            <w:tcW w:w="1230" w:type="dxa"/>
            <w:vAlign w:val="center"/>
          </w:tcPr>
          <w:p w14:paraId="45DD523A">
            <w:pPr>
              <w:adjustRightInd w:val="0"/>
              <w:snapToGrid w:val="0"/>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货物名称</w:t>
            </w:r>
          </w:p>
        </w:tc>
        <w:tc>
          <w:tcPr>
            <w:tcW w:w="5175" w:type="dxa"/>
            <w:vAlign w:val="center"/>
          </w:tcPr>
          <w:p w14:paraId="37BB986C">
            <w:pPr>
              <w:adjustRightInd w:val="0"/>
              <w:snapToGrid w:val="0"/>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技术参数及要求</w:t>
            </w:r>
          </w:p>
        </w:tc>
        <w:tc>
          <w:tcPr>
            <w:tcW w:w="780" w:type="dxa"/>
            <w:vAlign w:val="center"/>
          </w:tcPr>
          <w:p w14:paraId="089A6F54">
            <w:pPr>
              <w:adjustRightInd w:val="0"/>
              <w:snapToGrid w:val="0"/>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数量</w:t>
            </w:r>
          </w:p>
        </w:tc>
        <w:tc>
          <w:tcPr>
            <w:tcW w:w="795" w:type="dxa"/>
            <w:vAlign w:val="center"/>
          </w:tcPr>
          <w:p w14:paraId="08F674F6">
            <w:pPr>
              <w:adjustRightInd w:val="0"/>
              <w:snapToGrid w:val="0"/>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所属行业</w:t>
            </w:r>
          </w:p>
        </w:tc>
        <w:tc>
          <w:tcPr>
            <w:tcW w:w="897" w:type="dxa"/>
            <w:vAlign w:val="center"/>
          </w:tcPr>
          <w:p w14:paraId="0C0D5A57">
            <w:pPr>
              <w:adjustRightInd w:val="0"/>
              <w:snapToGrid w:val="0"/>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备注（进口或强制节能）</w:t>
            </w:r>
          </w:p>
        </w:tc>
      </w:tr>
      <w:tr w14:paraId="2EDE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7D163E07">
            <w:pPr>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kern w:val="0"/>
                <w:sz w:val="24"/>
                <w:szCs w:val="24"/>
              </w:rPr>
              <w:t>1</w:t>
            </w:r>
          </w:p>
        </w:tc>
        <w:tc>
          <w:tcPr>
            <w:tcW w:w="1230" w:type="dxa"/>
            <w:vAlign w:val="center"/>
          </w:tcPr>
          <w:p w14:paraId="3ED756E5">
            <w:pPr>
              <w:spacing w:line="560" w:lineRule="exact"/>
              <w:jc w:val="center"/>
              <w:rPr>
                <w:rFonts w:hint="eastAsia" w:asciiTheme="minorEastAsia" w:hAnsiTheme="minorEastAsia" w:eastAsiaTheme="minorEastAsia" w:cstheme="minorEastAsia"/>
                <w:kern w:val="0"/>
                <w:sz w:val="24"/>
                <w:szCs w:val="24"/>
              </w:rPr>
            </w:pPr>
            <w:r>
              <w:rPr>
                <w:rFonts w:hint="eastAsia" w:ascii="宋体" w:hAnsi="宋体" w:eastAsia="宋体" w:cs="宋体"/>
                <w:sz w:val="24"/>
                <w:szCs w:val="24"/>
              </w:rPr>
              <w:t>▲</w:t>
            </w:r>
            <w:r>
              <w:rPr>
                <w:rFonts w:hint="eastAsia" w:asciiTheme="minorEastAsia" w:hAnsiTheme="minorEastAsia" w:eastAsiaTheme="minorEastAsia" w:cstheme="minorEastAsia"/>
                <w:sz w:val="24"/>
                <w:szCs w:val="24"/>
              </w:rPr>
              <w:t>高通量自动化反应设备</w:t>
            </w:r>
          </w:p>
        </w:tc>
        <w:tc>
          <w:tcPr>
            <w:tcW w:w="5175" w:type="dxa"/>
            <w:vAlign w:val="center"/>
          </w:tcPr>
          <w:p w14:paraId="18FF10B9">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一、主要功能技术参数</w:t>
            </w:r>
          </w:p>
          <w:p w14:paraId="49D411B5">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1.常温搅拌反应模块</w:t>
            </w:r>
          </w:p>
          <w:p w14:paraId="44206565">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1.1反应器种类及数量：常温反应器6位*3，共18通道；</w:t>
            </w:r>
          </w:p>
          <w:p w14:paraId="647D96D4">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1.2标准采用100mL玻璃反应瓶；</w:t>
            </w:r>
          </w:p>
          <w:p w14:paraId="78F6B0A3">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1.3温控范围：室温；</w:t>
            </w:r>
          </w:p>
          <w:p w14:paraId="37B80D2B">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1.4 3个温区独立控温，每个温区6个通道；</w:t>
            </w:r>
          </w:p>
          <w:p w14:paraId="2E68D64C">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1.5搅拌形式及速率范围：磁力搅拌（50～1000） r/min；</w:t>
            </w:r>
          </w:p>
          <w:p w14:paraId="274D845A">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2.穿刺高低温反应模块</w:t>
            </w:r>
          </w:p>
          <w:p w14:paraId="5A6C04A0">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2.1反应器种类及数量：穿刺高低温反应器共6通道；</w:t>
            </w:r>
          </w:p>
          <w:p w14:paraId="64F8A6C4">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2.2标准采用100mL玻璃反应瓶；</w:t>
            </w:r>
          </w:p>
          <w:p w14:paraId="1912CC86">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★2.3温控范围：（-20℃-150℃，控温精度±1℃）；</w:t>
            </w:r>
            <w:r>
              <w:rPr>
                <w:rFonts w:hint="eastAsia" w:asciiTheme="minorEastAsia" w:hAnsiTheme="minorEastAsia" w:eastAsiaTheme="minorEastAsia" w:cstheme="minorEastAsia"/>
                <w:b/>
                <w:bCs/>
                <w:snapToGrid w:val="0"/>
                <w:kern w:val="0"/>
                <w:sz w:val="24"/>
                <w:szCs w:val="24"/>
              </w:rPr>
              <w:t>（投标文件中提供证明材料）</w:t>
            </w:r>
          </w:p>
          <w:p w14:paraId="13A2C134">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2.4 1个温区独立控温，每个温区6个通道；</w:t>
            </w:r>
          </w:p>
          <w:p w14:paraId="0E01F608">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2.5搅拌形式及速率范围：磁力搅拌（50～1000） r/min；</w:t>
            </w:r>
          </w:p>
          <w:p w14:paraId="589A92E2">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2.6支持反应过程穿刺滴加；</w:t>
            </w:r>
          </w:p>
          <w:p w14:paraId="2836692E">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3.高低温反应模块</w:t>
            </w:r>
          </w:p>
          <w:p w14:paraId="0359DF05">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3.1反应器种类及数量：高低温反应器共6通道；</w:t>
            </w:r>
          </w:p>
          <w:p w14:paraId="3ADA40B1">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3.2标准采用100mL玻璃反应瓶；</w:t>
            </w:r>
          </w:p>
          <w:p w14:paraId="613D1932">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★3.3温控范围：（-20℃-150℃，控温精度±1℃）；</w:t>
            </w:r>
            <w:r>
              <w:rPr>
                <w:rFonts w:hint="eastAsia" w:asciiTheme="minorEastAsia" w:hAnsiTheme="minorEastAsia" w:eastAsiaTheme="minorEastAsia" w:cstheme="minorEastAsia"/>
                <w:b/>
                <w:bCs/>
                <w:snapToGrid w:val="0"/>
                <w:kern w:val="0"/>
                <w:sz w:val="24"/>
                <w:szCs w:val="24"/>
              </w:rPr>
              <w:t>（投标文件中提供证明材料）</w:t>
            </w:r>
          </w:p>
          <w:p w14:paraId="01889943">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3.4 1个温区独立控温，每个温区6个通道；</w:t>
            </w:r>
          </w:p>
          <w:p w14:paraId="2BA4D1DD">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3.5搅拌形式及速率范围：磁力搅拌（50～1000） r/min；</w:t>
            </w:r>
          </w:p>
          <w:p w14:paraId="024B5520">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4.冷凝回流反应模块</w:t>
            </w:r>
          </w:p>
          <w:p w14:paraId="6432EB17">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4.1反应器种类及数量：冷凝回流反应器共6通道；</w:t>
            </w:r>
          </w:p>
          <w:p w14:paraId="0A658E62">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4.2标准采用100mL玻璃反应瓶；</w:t>
            </w:r>
          </w:p>
          <w:p w14:paraId="29443EFE">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★4.3温控范围：（-20℃-150℃，控温精度±1℃）；</w:t>
            </w:r>
            <w:r>
              <w:rPr>
                <w:rFonts w:hint="eastAsia" w:asciiTheme="minorEastAsia" w:hAnsiTheme="minorEastAsia" w:eastAsiaTheme="minorEastAsia" w:cstheme="minorEastAsia"/>
                <w:b/>
                <w:bCs/>
                <w:snapToGrid w:val="0"/>
                <w:kern w:val="0"/>
                <w:sz w:val="24"/>
                <w:szCs w:val="24"/>
              </w:rPr>
              <w:t>（投标文件中提供证明材料）</w:t>
            </w:r>
          </w:p>
          <w:p w14:paraId="45871D10">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4.4 1个温区独立控温，每个温区6个通道；</w:t>
            </w:r>
          </w:p>
          <w:p w14:paraId="26B0C7F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4.5搅拌形式及速率范围：磁力搅拌（50～1000） r/min；</w:t>
            </w:r>
          </w:p>
          <w:p w14:paraId="5E53FE57">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4.6支持冷凝回流反应；</w:t>
            </w:r>
          </w:p>
          <w:p w14:paraId="17D55BCC">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5.冷凝分水反应模块</w:t>
            </w:r>
          </w:p>
          <w:p w14:paraId="1BC48E3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5.1反应器种类及数量：冷凝回流反应器共6通道；</w:t>
            </w:r>
          </w:p>
          <w:p w14:paraId="2B6D83EB">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5.2标准采用100mL玻璃反应瓶；</w:t>
            </w:r>
          </w:p>
          <w:p w14:paraId="732EF3C5">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★5.3温控范围：（-20℃-150℃，控温精度±1℃）；</w:t>
            </w:r>
            <w:r>
              <w:rPr>
                <w:rFonts w:hint="eastAsia" w:asciiTheme="minorEastAsia" w:hAnsiTheme="minorEastAsia" w:eastAsiaTheme="minorEastAsia" w:cstheme="minorEastAsia"/>
                <w:b/>
                <w:bCs/>
                <w:snapToGrid w:val="0"/>
                <w:kern w:val="0"/>
                <w:sz w:val="24"/>
                <w:szCs w:val="24"/>
              </w:rPr>
              <w:t>（投标文件中提供证明材料）</w:t>
            </w:r>
          </w:p>
          <w:p w14:paraId="131E6841">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5.4 1个温区独立控温，每个温区6个通道；</w:t>
            </w:r>
          </w:p>
          <w:p w14:paraId="38B5FC9C">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5.5搅拌形式及速率范围：磁力搅拌（50～1000） r/min；</w:t>
            </w:r>
          </w:p>
          <w:p w14:paraId="5A13CCB3">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5.6支持冷凝分水反应；</w:t>
            </w:r>
          </w:p>
          <w:p w14:paraId="42DD5775">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6.固体投料模块</w:t>
            </w:r>
          </w:p>
          <w:p w14:paraId="7139F7F7">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6.1单次加样范围：10mg-500mg；</w:t>
            </w:r>
          </w:p>
          <w:p w14:paraId="707CE44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★6.2天平分辨率：≤0.1mg（万分之一天平）；</w:t>
            </w:r>
            <w:r>
              <w:rPr>
                <w:rFonts w:hint="eastAsia" w:asciiTheme="minorEastAsia" w:hAnsiTheme="minorEastAsia" w:eastAsiaTheme="minorEastAsia" w:cstheme="minorEastAsia"/>
                <w:b/>
                <w:bCs/>
                <w:snapToGrid w:val="0"/>
                <w:kern w:val="0"/>
                <w:sz w:val="24"/>
                <w:szCs w:val="24"/>
              </w:rPr>
              <w:t>（投标文件中提供证明材料）</w:t>
            </w:r>
          </w:p>
          <w:p w14:paraId="0C4E5F0C">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6.3加样精度</w:t>
            </w:r>
          </w:p>
          <w:p w14:paraId="02667610">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加料量10mg~100mg，精度：±2mg ；</w:t>
            </w:r>
          </w:p>
          <w:p w14:paraId="6A529B1A">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加料量100mg~500mg，精度：±5mg ；</w:t>
            </w:r>
          </w:p>
          <w:p w14:paraId="431C18E6">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粉筒容量20mL，以上参数以碳酸氢钠为例；</w:t>
            </w:r>
          </w:p>
          <w:p w14:paraId="38317E9B">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6.4机械臂全自动加载粉末容器及试管；</w:t>
            </w:r>
          </w:p>
          <w:p w14:paraId="2EDCF22D">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6.5片状和颗粒状的固体加样前需要研磨成粉末状；</w:t>
            </w:r>
          </w:p>
          <w:p w14:paraId="17339CC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6.6配置静电消除仪；</w:t>
            </w:r>
          </w:p>
          <w:p w14:paraId="681F6F05">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7.液体投料模块</w:t>
            </w:r>
          </w:p>
          <w:p w14:paraId="57B19C65">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7.1加液方式：针泵加液系统（6通道）、自动移液枪加/移液，两种加液方式组合；</w:t>
            </w:r>
          </w:p>
          <w:p w14:paraId="30598290">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★7.2液体加样精度：针泵加样（2mL-30mL）CV 1%、1mL移液枪（10μL至1mL）CV 2.5%、穿刺加/取样（100μL-30mL）CV 2.5%；</w:t>
            </w:r>
            <w:r>
              <w:rPr>
                <w:rFonts w:hint="eastAsia" w:asciiTheme="minorEastAsia" w:hAnsiTheme="minorEastAsia" w:eastAsiaTheme="minorEastAsia" w:cstheme="minorEastAsia"/>
                <w:b/>
                <w:bCs/>
                <w:snapToGrid w:val="0"/>
                <w:kern w:val="0"/>
                <w:sz w:val="24"/>
                <w:szCs w:val="24"/>
              </w:rPr>
              <w:t>（投标文件中提供证明材料）</w:t>
            </w:r>
          </w:p>
          <w:p w14:paraId="3E7F8BA3">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8.废弃物料收集</w:t>
            </w:r>
          </w:p>
          <w:p w14:paraId="2F6ED024">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8.1配置回收盒，废弃移液枪tip头、注射器等集中回收</w:t>
            </w:r>
          </w:p>
          <w:p w14:paraId="3A7B1D2D">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8.2设备底部配置废液回收桶，集中回收清洗废液</w:t>
            </w:r>
          </w:p>
          <w:p w14:paraId="2A66B040">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9.物料存储架</w:t>
            </w:r>
          </w:p>
          <w:p w14:paraId="29071DD6">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9.1物料架存储盘位：≥24位，可存放当前批次实验用的试剂、耗材等；</w:t>
            </w:r>
          </w:p>
          <w:p w14:paraId="6D02FF8A">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9.2粉筒数量：≥10个粉筒（20mL容量）</w:t>
            </w:r>
          </w:p>
          <w:p w14:paraId="3E730094">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10震荡模块</w:t>
            </w:r>
          </w:p>
          <w:p w14:paraId="4FA9A116">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10.1转速范围：100-500rpm；</w:t>
            </w:r>
          </w:p>
          <w:p w14:paraId="541D9F3C">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10.2转轴偏心距：≥2mm；</w:t>
            </w:r>
          </w:p>
          <w:p w14:paraId="6466F452">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11.开关盖模块</w:t>
            </w:r>
          </w:p>
          <w:p w14:paraId="4D94E5CC">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11.1自动开关盖：能兼容35mm以内试管瓶的自动开关盖；带试管到位感应器；</w:t>
            </w:r>
          </w:p>
          <w:p w14:paraId="0E3EB722">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12.搬运机械手</w:t>
            </w:r>
          </w:p>
          <w:p w14:paraId="61509E25">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12.1六轴机械手：有效负载：≥5kg；</w:t>
            </w:r>
          </w:p>
          <w:p w14:paraId="67D34F53">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12.2工作半径：≥950mm；</w:t>
            </w:r>
          </w:p>
          <w:p w14:paraId="2592C6F8">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12.3重复定位精度：≥±0.05mm；</w:t>
            </w:r>
          </w:p>
          <w:p w14:paraId="5A9FA8C6">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12.4温度范围：0-50℃；湿度：0-90%RH，无凝露；IP等级：≥IP54</w:t>
            </w:r>
          </w:p>
          <w:p w14:paraId="05D628FC">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13.机械手工具库</w:t>
            </w:r>
          </w:p>
          <w:p w14:paraId="747F1B78">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13.1机械手工具库包含实现不同功能的末端工具，实现托盘搬运、精密移液、开关盖、试管搬运等功能；</w:t>
            </w:r>
          </w:p>
          <w:p w14:paraId="1D6F2FCD">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13.2托盘夹爪工具</w:t>
            </w:r>
          </w:p>
          <w:p w14:paraId="478ABD6E">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13.3移液枪加液工具</w:t>
            </w:r>
          </w:p>
          <w:p w14:paraId="64A5B822">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13.4开关盖工具</w:t>
            </w:r>
          </w:p>
          <w:p w14:paraId="3A465EB5">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14.氩气填充模块</w:t>
            </w:r>
          </w:p>
          <w:p w14:paraId="73FE8355">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14.1支持试管内自动氩气填充；</w:t>
            </w:r>
          </w:p>
          <w:p w14:paraId="19DEE13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14.2氩气填充量根据气压和填充时间控制；</w:t>
            </w:r>
          </w:p>
          <w:p w14:paraId="6486C2D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15.视觉模块</w:t>
            </w:r>
          </w:p>
          <w:p w14:paraId="5A037DF8">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15.1通过侧面拍照检测液面分成位置；</w:t>
            </w:r>
          </w:p>
          <w:p w14:paraId="6CCBCB5E">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15.2视觉分层精度：≥±0.5mm；</w:t>
            </w:r>
          </w:p>
          <w:p w14:paraId="03BFFE9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16.压滤模块</w:t>
            </w:r>
          </w:p>
          <w:p w14:paraId="70BD077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16.1过滤方式：压滤方式；</w:t>
            </w:r>
          </w:p>
          <w:p w14:paraId="36F21772">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16.2支持 0.2μm/0.45μm 孔径 PP/PTFE 滤膜，最大过滤量 1mL；</w:t>
            </w:r>
          </w:p>
          <w:p w14:paraId="4D9E14E4">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17.稀释系统</w:t>
            </w:r>
          </w:p>
          <w:p w14:paraId="782E0553">
            <w:pPr>
              <w:spacing w:line="560" w:lineRule="exact"/>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17.1 1mL 移液枪取样（CV≤2.5%），针泵稀释（CV≤1%）</w:t>
            </w:r>
            <w:r>
              <w:rPr>
                <w:rFonts w:hint="eastAsia" w:asciiTheme="minorEastAsia" w:hAnsiTheme="minorEastAsia" w:eastAsiaTheme="minorEastAsia" w:cstheme="minorEastAsia"/>
                <w:kern w:val="0"/>
                <w:sz w:val="24"/>
                <w:szCs w:val="24"/>
                <w:lang w:eastAsia="zh-CN"/>
              </w:rPr>
              <w:t>；</w:t>
            </w:r>
          </w:p>
          <w:p w14:paraId="14B3AB81">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17.2支持两级梯度稀释，一级≥500 倍，二级≥2500倍。</w:t>
            </w:r>
          </w:p>
          <w:p w14:paraId="27083181">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18.</w:t>
            </w:r>
            <w:r>
              <w:rPr>
                <w:rFonts w:hint="eastAsia" w:asciiTheme="minorEastAsia" w:hAnsiTheme="minorEastAsia" w:eastAsiaTheme="minorEastAsia" w:cstheme="minorEastAsia"/>
                <w:kern w:val="0"/>
                <w:sz w:val="24"/>
                <w:szCs w:val="24"/>
              </w:rPr>
              <w:tab/>
            </w:r>
            <w:r>
              <w:rPr>
                <w:rFonts w:hint="eastAsia" w:asciiTheme="minorEastAsia" w:hAnsiTheme="minorEastAsia" w:eastAsiaTheme="minorEastAsia" w:cstheme="minorEastAsia"/>
                <w:kern w:val="0"/>
                <w:sz w:val="24"/>
                <w:szCs w:val="24"/>
              </w:rPr>
              <w:t>显示大屏</w:t>
            </w:r>
          </w:p>
          <w:p w14:paraId="21810BD5">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18.1面板配置不低于：屏幕尺寸：100 英寸；表面雾度：AG25%；物理分辨率：4K；亮度：350nit/m²(Typ)；色域：95%(sRGB)；</w:t>
            </w:r>
          </w:p>
          <w:p w14:paraId="4CB66C56">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18.2系统配置配置不低于：ROM：128GB；RAM：4GB；</w:t>
            </w:r>
          </w:p>
          <w:p w14:paraId="3F01938E">
            <w:pPr>
              <w:spacing w:line="560" w:lineRule="exact"/>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18.3接口：无线网络：2.4GHz/5GHz，独立双频(WiFi6+WiFi5)模块；蓝牙：支持；有线网络：RJ45×1；HDMI IN：4；USB：USB2.0×2、USB3.0×1；Type-C：1；音/视频信号输出接口：SPDIF OUT×1</w:t>
            </w:r>
            <w:r>
              <w:rPr>
                <w:rFonts w:hint="eastAsia" w:asciiTheme="minorEastAsia" w:hAnsiTheme="minorEastAsia" w:eastAsiaTheme="minorEastAsia" w:cstheme="minorEastAsia"/>
                <w:kern w:val="0"/>
                <w:sz w:val="24"/>
                <w:szCs w:val="24"/>
                <w:lang w:eastAsia="zh-CN"/>
              </w:rPr>
              <w:t>。</w:t>
            </w:r>
          </w:p>
          <w:p w14:paraId="62F33374">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19.设备安全</w:t>
            </w:r>
          </w:p>
          <w:p w14:paraId="6453208C">
            <w:pPr>
              <w:spacing w:line="560" w:lineRule="exact"/>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19.1置顶式排风，可接入场地排风系统，集中排废气</w:t>
            </w:r>
            <w:r>
              <w:rPr>
                <w:rFonts w:hint="eastAsia" w:asciiTheme="minorEastAsia" w:hAnsiTheme="minorEastAsia" w:eastAsiaTheme="minorEastAsia" w:cstheme="minorEastAsia"/>
                <w:kern w:val="0"/>
                <w:sz w:val="24"/>
                <w:szCs w:val="24"/>
                <w:lang w:eastAsia="zh-CN"/>
              </w:rPr>
              <w:t>；</w:t>
            </w:r>
          </w:p>
          <w:p w14:paraId="40B51D59">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19.2配置4K摄像头24小时实时监控设备内运行状态。</w:t>
            </w:r>
          </w:p>
          <w:p w14:paraId="1FB47734">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二、设备控制软件功能</w:t>
            </w:r>
          </w:p>
          <w:p w14:paraId="1EA68DBC">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1.实验流程编辑</w:t>
            </w:r>
          </w:p>
          <w:p w14:paraId="6D818E44">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1.1支持实验步骤动态调整，如加固、加液、控温搅拌、气体置换等步骤，在设计配方时，步骤可重复、可调整顺序；</w:t>
            </w:r>
          </w:p>
          <w:p w14:paraId="73EC1861">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1.2在实验执行阶段时设备可开始、暂停、停止；</w:t>
            </w:r>
          </w:p>
          <w:p w14:paraId="25E5D63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1.3设备处于手动模式下时可以对单个模块做手动操作；</w:t>
            </w:r>
          </w:p>
          <w:p w14:paraId="37535F52">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2.上位机功能</w:t>
            </w:r>
          </w:p>
          <w:p w14:paraId="52526482">
            <w:pPr>
              <w:spacing w:line="560" w:lineRule="exact"/>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2.1可记录实验过程日志，按时段存储</w:t>
            </w:r>
            <w:r>
              <w:rPr>
                <w:rFonts w:hint="eastAsia" w:asciiTheme="minorEastAsia" w:hAnsiTheme="minorEastAsia" w:eastAsiaTheme="minorEastAsia" w:cstheme="minorEastAsia"/>
                <w:kern w:val="0"/>
                <w:sz w:val="24"/>
                <w:szCs w:val="24"/>
                <w:lang w:eastAsia="zh-CN"/>
              </w:rPr>
              <w:t>；</w:t>
            </w:r>
          </w:p>
          <w:p w14:paraId="329177F7">
            <w:pPr>
              <w:spacing w:line="560" w:lineRule="exact"/>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2.2存储历史实验记录</w:t>
            </w:r>
            <w:r>
              <w:rPr>
                <w:rFonts w:hint="eastAsia" w:asciiTheme="minorEastAsia" w:hAnsiTheme="minorEastAsia" w:eastAsiaTheme="minorEastAsia" w:cstheme="minorEastAsia"/>
                <w:kern w:val="0"/>
                <w:sz w:val="24"/>
                <w:szCs w:val="24"/>
                <w:lang w:eastAsia="zh-CN"/>
              </w:rPr>
              <w:t>；</w:t>
            </w:r>
          </w:p>
          <w:p w14:paraId="350EDB69">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2.3所有存储库位具备物料上架、单孔位物料绑定、物料数量可编辑功能。</w:t>
            </w:r>
          </w:p>
          <w:p w14:paraId="07FBAAB0">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3.数据安全</w:t>
            </w:r>
          </w:p>
          <w:p w14:paraId="1322EE92">
            <w:pPr>
              <w:spacing w:line="560" w:lineRule="exact"/>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3.1后端数据库需要每日备份，数据存储时间不做限制</w:t>
            </w:r>
            <w:r>
              <w:rPr>
                <w:rFonts w:hint="eastAsia" w:asciiTheme="minorEastAsia" w:hAnsiTheme="minorEastAsia" w:eastAsiaTheme="minorEastAsia" w:cstheme="minorEastAsia"/>
                <w:kern w:val="0"/>
                <w:sz w:val="24"/>
                <w:szCs w:val="24"/>
                <w:lang w:eastAsia="zh-CN"/>
              </w:rPr>
              <w:t>；</w:t>
            </w:r>
          </w:p>
          <w:p w14:paraId="0D09A735">
            <w:pPr>
              <w:spacing w:line="560" w:lineRule="exact"/>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3.2数据库需要有容灾措施，采用一用一备的方式</w:t>
            </w:r>
            <w:r>
              <w:rPr>
                <w:rFonts w:hint="eastAsia" w:asciiTheme="minorEastAsia" w:hAnsiTheme="minorEastAsia" w:eastAsiaTheme="minorEastAsia" w:cstheme="minorEastAsia"/>
                <w:kern w:val="0"/>
                <w:sz w:val="24"/>
                <w:szCs w:val="24"/>
                <w:lang w:eastAsia="zh-CN"/>
              </w:rPr>
              <w:t>；</w:t>
            </w:r>
          </w:p>
          <w:p w14:paraId="6A404B0D">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3.3服务器需要有UPS电源保护功能。</w:t>
            </w:r>
          </w:p>
          <w:p w14:paraId="73DFB5B4">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4.设备控制</w:t>
            </w:r>
          </w:p>
          <w:p w14:paraId="72C6F0A5">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4.1整体调度算法设计调试、软件框架：所有功能单元可采用单控/联控的方式进行控制，所有模块状态都可以在总控界面上显示。</w:t>
            </w:r>
          </w:p>
          <w:p w14:paraId="424F0947">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5.设备界面</w:t>
            </w:r>
          </w:p>
          <w:p w14:paraId="40EF0674">
            <w:pPr>
              <w:spacing w:line="560" w:lineRule="exact"/>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5.1设备参数设置有图形化界面</w:t>
            </w:r>
            <w:r>
              <w:rPr>
                <w:rFonts w:hint="eastAsia" w:asciiTheme="minorEastAsia" w:hAnsiTheme="minorEastAsia" w:eastAsiaTheme="minorEastAsia" w:cstheme="minorEastAsia"/>
                <w:kern w:val="0"/>
                <w:sz w:val="24"/>
                <w:szCs w:val="24"/>
                <w:lang w:eastAsia="zh-CN"/>
              </w:rPr>
              <w:t>。</w:t>
            </w:r>
          </w:p>
          <w:p w14:paraId="516DF36A">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6.数据处理</w:t>
            </w:r>
          </w:p>
          <w:p w14:paraId="6D1BD65C">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6.1支持反应过程中的参数实时反馈和实验后数据导出；</w:t>
            </w:r>
          </w:p>
          <w:p w14:paraId="2B346B24">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7.物料报警</w:t>
            </w:r>
          </w:p>
          <w:p w14:paraId="13649C5B">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7.1具备缺料预报警功能，预警值可统一设置，当用量低于设定值，会自动报警提醒；</w:t>
            </w:r>
          </w:p>
          <w:p w14:paraId="68C7FB54">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8.控制权限</w:t>
            </w:r>
          </w:p>
          <w:p w14:paraId="7B74537C">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8.1控制系统需设有操作员、工程师和管理员三级权限，并合理分配权限，防止人为切断自控功能或非授权进入系统。密码规则需在设计文件中明确规定，且用户需有权变更自己的密码，密码修改将被记录。</w:t>
            </w:r>
          </w:p>
          <w:p w14:paraId="68F558C3">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9.数据记录</w:t>
            </w:r>
          </w:p>
          <w:p w14:paraId="25E31552">
            <w:pPr>
              <w:spacing w:line="560" w:lineRule="exact"/>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9.1系统能记录与存储实验过程中各类参数，并以配方或单个实验为对象，进行文件记录。记录参数包含但不限于：加液量、过程温度、加粉量、搅拌速度、加液速度、振荡速度、稀释液量、各动作执行开始与完成时间以及故障报警等信息，方便进行实验追溯。对数据进行统计分析，根据业务设定，自动生成相应图文报表</w:t>
            </w:r>
            <w:r>
              <w:rPr>
                <w:rFonts w:hint="eastAsia" w:asciiTheme="minorEastAsia" w:hAnsiTheme="minorEastAsia" w:eastAsiaTheme="minorEastAsia" w:cstheme="minorEastAsia"/>
                <w:kern w:val="0"/>
                <w:sz w:val="24"/>
                <w:szCs w:val="24"/>
                <w:lang w:eastAsia="zh-CN"/>
              </w:rPr>
              <w:t>。</w:t>
            </w:r>
          </w:p>
          <w:p w14:paraId="020C8D57">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10.异常处理</w:t>
            </w:r>
          </w:p>
          <w:p w14:paraId="6BF380F4">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10.1探测样本异常可进行：①继续执行实验，记录过程数据；②报警提醒，待人员手动处理；③记录异常原因，报告操作人员，跳过当前样本继续运行。</w:t>
            </w:r>
          </w:p>
          <w:p w14:paraId="2377880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sz w:val="24"/>
                <w:szCs w:val="24"/>
              </w:rPr>
              <w:t>■</w:t>
            </w:r>
            <w:r>
              <w:rPr>
                <w:rFonts w:hint="eastAsia" w:asciiTheme="minorEastAsia" w:hAnsiTheme="minorEastAsia" w:eastAsiaTheme="minorEastAsia" w:cstheme="minorEastAsia"/>
                <w:b/>
                <w:bCs/>
                <w:kern w:val="0"/>
                <w:sz w:val="24"/>
                <w:szCs w:val="24"/>
              </w:rPr>
              <w:t>11.配置清单</w:t>
            </w:r>
          </w:p>
          <w:p w14:paraId="7C1533B2">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11.1常温搅拌反应模块（数量：1套）；</w:t>
            </w:r>
          </w:p>
          <w:p w14:paraId="6C5B2A4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11.2穿刺高低温反应模块（数量：1套）；</w:t>
            </w:r>
          </w:p>
          <w:p w14:paraId="0B69A865">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11.3高低温反应模块（数量：1套）；</w:t>
            </w:r>
          </w:p>
          <w:p w14:paraId="2B94EC20">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11.4冷凝回流反应模块（数量：1套）；</w:t>
            </w:r>
          </w:p>
          <w:p w14:paraId="495F81B9">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11.5冷凝分水反应模块（数量：1套）；</w:t>
            </w:r>
          </w:p>
          <w:p w14:paraId="35B9F2F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11.6固体投料模块（数量：1套）；</w:t>
            </w:r>
          </w:p>
          <w:p w14:paraId="12241C3A">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11.7液体投料模块（数量：1套）；</w:t>
            </w:r>
          </w:p>
          <w:p w14:paraId="1C6182F2">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11.8废弃物料收集（数量：1套）；</w:t>
            </w:r>
          </w:p>
          <w:p w14:paraId="2AD531D3">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11.9物料存储架（数量：1套）；</w:t>
            </w:r>
          </w:p>
          <w:p w14:paraId="434BF48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11.10震荡模块（数量：1套）；</w:t>
            </w:r>
          </w:p>
          <w:p w14:paraId="1620E517">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11.11开关盖模块（数量：1套）；</w:t>
            </w:r>
          </w:p>
          <w:p w14:paraId="08C93BBD">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11.12搬运机械手（数量：1套）；</w:t>
            </w:r>
          </w:p>
          <w:p w14:paraId="2D7E17E7">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11.13机械手工具库（数量：1套）；</w:t>
            </w:r>
          </w:p>
          <w:p w14:paraId="09A2368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11.14氩气填充模块（数量：1套）；</w:t>
            </w:r>
          </w:p>
          <w:p w14:paraId="4F845429">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11.15视觉模块（数量：1套）；</w:t>
            </w:r>
          </w:p>
          <w:p w14:paraId="43BBC712">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11.16压滤模块（数量：1套）；</w:t>
            </w:r>
          </w:p>
          <w:p w14:paraId="51658D3C">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11.17稀释系统（数量：1套）；</w:t>
            </w:r>
          </w:p>
          <w:p w14:paraId="501DDC4F">
            <w:pPr>
              <w:spacing w:line="5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11.18显示大屏（数量：1台）。</w:t>
            </w:r>
          </w:p>
        </w:tc>
        <w:tc>
          <w:tcPr>
            <w:tcW w:w="780" w:type="dxa"/>
            <w:vAlign w:val="center"/>
          </w:tcPr>
          <w:p w14:paraId="411C189A">
            <w:pPr>
              <w:spacing w:line="5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1台</w:t>
            </w:r>
          </w:p>
        </w:tc>
        <w:tc>
          <w:tcPr>
            <w:tcW w:w="795" w:type="dxa"/>
            <w:vAlign w:val="center"/>
          </w:tcPr>
          <w:p w14:paraId="4F531FBD">
            <w:pPr>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工业</w:t>
            </w:r>
          </w:p>
        </w:tc>
        <w:tc>
          <w:tcPr>
            <w:tcW w:w="897" w:type="dxa"/>
            <w:vAlign w:val="center"/>
          </w:tcPr>
          <w:p w14:paraId="12ADA863">
            <w:pPr>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w:t>
            </w:r>
          </w:p>
        </w:tc>
      </w:tr>
      <w:tr w14:paraId="55D9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5AE3000D">
            <w:pPr>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kern w:val="0"/>
                <w:sz w:val="24"/>
                <w:szCs w:val="24"/>
              </w:rPr>
              <w:t>2</w:t>
            </w:r>
          </w:p>
        </w:tc>
        <w:tc>
          <w:tcPr>
            <w:tcW w:w="1230" w:type="dxa"/>
            <w:vAlign w:val="center"/>
          </w:tcPr>
          <w:p w14:paraId="3DCF011D">
            <w:pPr>
              <w:spacing w:line="5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农药中间体及制剂连续制备平台</w:t>
            </w:r>
          </w:p>
        </w:tc>
        <w:tc>
          <w:tcPr>
            <w:tcW w:w="5175" w:type="dxa"/>
            <w:vAlign w:val="center"/>
          </w:tcPr>
          <w:p w14:paraId="73BE183B">
            <w:pPr>
              <w:spacing w:line="560" w:lineRule="exac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kern w:val="0"/>
                <w:sz w:val="24"/>
                <w:szCs w:val="24"/>
              </w:rPr>
              <w:t>一、主要功能技术参数</w:t>
            </w:r>
          </w:p>
          <w:p w14:paraId="7853F3CF">
            <w:pPr>
              <w:snapToGrid w:val="0"/>
              <w:spacing w:line="560" w:lineRule="exac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1.平台整体结构</w:t>
            </w:r>
          </w:p>
          <w:p w14:paraId="1701BD74">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 平台整体尺寸：长≤2500mm×≤宽1500mm×≤高2500mm，外罩有机玻璃防护罩；基座内置TCU温控装置。</w:t>
            </w:r>
          </w:p>
          <w:p w14:paraId="6334BC1E">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 基座上方为反应器承托平台，各功能模块集成布置。</w:t>
            </w:r>
          </w:p>
          <w:p w14:paraId="644F82F6">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2.进料</w:t>
            </w:r>
            <w:r>
              <w:rPr>
                <w:rFonts w:hint="eastAsia" w:asciiTheme="minorEastAsia" w:hAnsiTheme="minorEastAsia" w:eastAsiaTheme="minorEastAsia" w:cstheme="minorEastAsia"/>
                <w:b/>
                <w:bCs/>
                <w:sz w:val="24"/>
                <w:szCs w:val="24"/>
              </w:rPr>
              <w:t>柱塞泵（6台）</w:t>
            </w:r>
          </w:p>
          <w:p w14:paraId="0E74D891">
            <w:pPr>
              <w:widowControl/>
              <w:spacing w:line="560" w:lineRule="exac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 泵头材质：不锈钢包四氟；</w:t>
            </w:r>
          </w:p>
          <w:p w14:paraId="2E3E9FDE">
            <w:pPr>
              <w:widowControl/>
              <w:spacing w:line="560" w:lineRule="exac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 流量范围：0.1--100mL/min；</w:t>
            </w:r>
          </w:p>
          <w:p w14:paraId="6D0A7FDD">
            <w:pPr>
              <w:widowControl/>
              <w:spacing w:line="560" w:lineRule="exac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 流量精度：≤±1% mL/min；</w:t>
            </w:r>
          </w:p>
          <w:p w14:paraId="07B2E8BB">
            <w:pPr>
              <w:widowControl/>
              <w:spacing w:line="560" w:lineRule="exac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 流量重复性：≤±1% mL/min；</w:t>
            </w:r>
          </w:p>
          <w:p w14:paraId="61E24100">
            <w:pPr>
              <w:widowControl/>
              <w:spacing w:line="560" w:lineRule="exac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 压力脉动：≤0.1 Mpa；</w:t>
            </w:r>
          </w:p>
          <w:p w14:paraId="23150603">
            <w:pPr>
              <w:widowControl/>
              <w:spacing w:line="560" w:lineRule="exac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 压力范围：≥2Mpa；</w:t>
            </w:r>
          </w:p>
          <w:p w14:paraId="0BB225EB">
            <w:pPr>
              <w:widowControl/>
              <w:spacing w:line="560" w:lineRule="exac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 流路材料：PTFE；</w:t>
            </w:r>
          </w:p>
          <w:p w14:paraId="7F850816">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 尺寸：长≤60cm*宽≤40cm*高≤30cm；</w:t>
            </w:r>
          </w:p>
          <w:p w14:paraId="7B55E913">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 可精确输送水系、有机系及锂试剂等介质，确保输送过程无泄露、无堵塞。</w:t>
            </w:r>
          </w:p>
          <w:p w14:paraId="6E72FCCC">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 动态管反应器（</w:t>
            </w:r>
            <w:r>
              <w:rPr>
                <w:rFonts w:hint="eastAsia" w:asciiTheme="minorEastAsia" w:hAnsiTheme="minorEastAsia" w:eastAsiaTheme="minorEastAsia" w:cstheme="minorEastAsia"/>
                <w:b/>
                <w:bCs/>
                <w:sz w:val="24"/>
                <w:szCs w:val="24"/>
              </w:rPr>
              <w:t>1台）</w:t>
            </w:r>
          </w:p>
          <w:p w14:paraId="268FE90A">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 反应流道材质为哈氏合金C-276；</w:t>
            </w:r>
          </w:p>
          <w:p w14:paraId="14A2DBF6">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 密封元件材质为PTFE/PPL平垫片；</w:t>
            </w:r>
          </w:p>
          <w:p w14:paraId="6F3CA35A">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 反应器有效容积：≥100 mL。</w:t>
            </w:r>
          </w:p>
          <w:p w14:paraId="00CE329E">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sz w:val="24"/>
                <w:szCs w:val="24"/>
              </w:rPr>
              <w:t>3.4. 反应器旋切搅拌的设计转速为0-1200rpm(伺服电机)，采用磁力耦合传动，无旋转密封，无物料渗漏。</w:t>
            </w:r>
            <w:r>
              <w:rPr>
                <w:rFonts w:hint="eastAsia" w:asciiTheme="minorEastAsia" w:hAnsiTheme="minorEastAsia" w:eastAsiaTheme="minorEastAsia" w:cstheme="minorEastAsia"/>
                <w:b/>
                <w:bCs/>
                <w:snapToGrid w:val="0"/>
                <w:kern w:val="0"/>
                <w:sz w:val="24"/>
                <w:szCs w:val="24"/>
              </w:rPr>
              <w:t>（投标文件中提供证明材料）</w:t>
            </w:r>
          </w:p>
          <w:p w14:paraId="6B99F447">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 配置机械搅拌轴，搅拌轴可随意更换；</w:t>
            </w:r>
          </w:p>
          <w:p w14:paraId="7BA0CE6F">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 反应器为卧式设计；</w:t>
            </w:r>
          </w:p>
          <w:p w14:paraId="3308F8B8">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 设计温度：-10℃~250℃；</w:t>
            </w:r>
          </w:p>
          <w:p w14:paraId="4DF710B8">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 设计压力：≥6MPa，夹套设计压力≥0.6MPa;</w:t>
            </w:r>
          </w:p>
          <w:p w14:paraId="1160F364">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3.9. 反应器的控温方式采用外夹套换热，换热夹套等结构件材质为304不锈钢;</w:t>
            </w:r>
          </w:p>
          <w:p w14:paraId="5EF11603">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3.10. 在反应器的反应进程方向上，设置有不少于4个测温点，在换热夹套的进出口也设有相应测温点。</w:t>
            </w:r>
          </w:p>
          <w:p w14:paraId="3EAAFCE2">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3.11. 进料口规格为3mm卡套接头，出料口规格为6mm卡套接头；</w:t>
            </w:r>
          </w:p>
          <w:p w14:paraId="6BA11838">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3.12 设备外设保冷外衣。</w:t>
            </w:r>
          </w:p>
          <w:p w14:paraId="4107528B">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4.格式反应器（1台）</w:t>
            </w:r>
          </w:p>
          <w:p w14:paraId="61F4FC77">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 采用不锈钢材质制作；</w:t>
            </w:r>
          </w:p>
          <w:p w14:paraId="3F7446AA">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 主密封材质全氟醚密封圈FFKM/四氟PTFE；</w:t>
            </w:r>
          </w:p>
          <w:p w14:paraId="02869BE5">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sz w:val="24"/>
                <w:szCs w:val="24"/>
              </w:rPr>
              <w:t>4.3. 设计压力：≥0.2MPa；设计温度：0℃~100℃；反应器有效容积：≥100 mL；</w:t>
            </w:r>
            <w:r>
              <w:rPr>
                <w:rFonts w:hint="eastAsia" w:asciiTheme="minorEastAsia" w:hAnsiTheme="minorEastAsia" w:eastAsiaTheme="minorEastAsia" w:cstheme="minorEastAsia"/>
                <w:b/>
                <w:bCs/>
                <w:snapToGrid w:val="0"/>
                <w:kern w:val="0"/>
                <w:sz w:val="24"/>
                <w:szCs w:val="24"/>
              </w:rPr>
              <w:t>（投标文件中提供证明材料）</w:t>
            </w:r>
          </w:p>
          <w:p w14:paraId="7F7AB262">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4.4.可根据金属镁的消耗量实现在线添加；</w:t>
            </w:r>
          </w:p>
          <w:p w14:paraId="08131852">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 反应器内部不含有搅拌轴，避免格式反应中搅拌轴对镁屑的机械损伤；</w:t>
            </w:r>
          </w:p>
          <w:p w14:paraId="21D90D1F">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 反应器采用分段集成化设计，从上至下为1#催化剂料仓段，2#催化剂装填段，3#第一节反应器，4#第二节反应器；</w:t>
            </w:r>
          </w:p>
          <w:p w14:paraId="0FD40426">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 1#、2#、3#之间通过蝶阀/球阀控制通断；</w:t>
            </w:r>
          </w:p>
          <w:p w14:paraId="05FB9CC3">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 在反应器流程上设置四个温度探头，可实时监测反应过程中的温度变化；</w:t>
            </w:r>
          </w:p>
          <w:p w14:paraId="62F83CB2">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4.9. 通过外接高低温一体机为反应器提供换热介质，第一节反应器与第二节反应器可共用一台高低温一体机，实现恒温反应，亦可连接两台高低温一体机，为反应不同阶段提供不同温度。</w:t>
            </w:r>
          </w:p>
          <w:p w14:paraId="5D027F57">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5.板式微通道反应器（1台）</w:t>
            </w:r>
          </w:p>
          <w:p w14:paraId="49C5F7FD">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 采用5块单板串联叠加整合为一体式结构；</w:t>
            </w:r>
          </w:p>
          <w:p w14:paraId="1B3102CE">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 单板持液量：10 mL，总持液量50 mL。</w:t>
            </w:r>
          </w:p>
          <w:p w14:paraId="44AFBF29">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sz w:val="24"/>
                <w:szCs w:val="24"/>
              </w:rPr>
              <w:t>5.3. 流道结构：菱形/钻石型流道设计；</w:t>
            </w:r>
            <w:r>
              <w:rPr>
                <w:rFonts w:hint="eastAsia" w:asciiTheme="minorEastAsia" w:hAnsiTheme="minorEastAsia" w:eastAsiaTheme="minorEastAsia" w:cstheme="minorEastAsia"/>
                <w:b/>
                <w:bCs/>
                <w:snapToGrid w:val="0"/>
                <w:kern w:val="0"/>
                <w:sz w:val="24"/>
                <w:szCs w:val="24"/>
              </w:rPr>
              <w:t>（投标文件中提供证明材料）</w:t>
            </w:r>
          </w:p>
          <w:p w14:paraId="117862D7">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 与反应物接触的部件材质为哈氏合金，主密封元件材质为FFKM；</w:t>
            </w:r>
          </w:p>
          <w:p w14:paraId="3581ED69">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5.5. 设计温度：-40℃ ~100℃；</w:t>
            </w:r>
          </w:p>
          <w:p w14:paraId="0A4643FD">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5.6. 采用三明治式双面换热，每块反应板设置3个内测温，实时监测反应器内部温度变化；</w:t>
            </w:r>
          </w:p>
          <w:p w14:paraId="76E4950E">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5.7. 设计压力：≥3MPa；</w:t>
            </w:r>
          </w:p>
          <w:p w14:paraId="59C55896">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5.8. 每层反应通道均为两进一出，可根据实验设计选择反应的进出口，可反应停留时间的改变和多股进料的需求。</w:t>
            </w:r>
          </w:p>
          <w:p w14:paraId="3EC4D966">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5.9. 进料口规格为3mm卡套接头，出料口规格为3mm卡套接头；</w:t>
            </w:r>
          </w:p>
          <w:p w14:paraId="00EB682F">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6.盘管反应器降温模块（1台）</w:t>
            </w:r>
          </w:p>
          <w:p w14:paraId="6772D7A0">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 材质为哈氏合金C-276；</w:t>
            </w:r>
          </w:p>
          <w:p w14:paraId="1C024B24">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 有效容积：20 mL，Φ3mm；</w:t>
            </w:r>
          </w:p>
          <w:p w14:paraId="66BBBB32">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 设计压力：≥5MPa；</w:t>
            </w:r>
          </w:p>
          <w:p w14:paraId="6A8DE23D">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 设计温度：-40℃~100℃；</w:t>
            </w:r>
          </w:p>
          <w:p w14:paraId="3FC7D0BF">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 出口设有测温点。</w:t>
            </w:r>
          </w:p>
          <w:p w14:paraId="386A4D93">
            <w:pPr>
              <w:snapToGrid w:val="0"/>
              <w:spacing w:line="560" w:lineRule="exac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t>7.盘管反应器预冷/热模块（1台）</w:t>
            </w:r>
          </w:p>
          <w:p w14:paraId="56FFFDDE">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 材质为哈氏合金C-276；</w:t>
            </w:r>
          </w:p>
          <w:p w14:paraId="34BEBD06">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 有效容积：20 mL，Φ3mm；</w:t>
            </w:r>
          </w:p>
          <w:p w14:paraId="28379ABE">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 设计压力：5MPa；</w:t>
            </w:r>
          </w:p>
          <w:p w14:paraId="784DEEBF">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 设计温度：-40℃~100℃；</w:t>
            </w:r>
          </w:p>
          <w:p w14:paraId="1D4CD010">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 出口设有测温点。</w:t>
            </w:r>
          </w:p>
          <w:p w14:paraId="7614F089">
            <w:pPr>
              <w:snapToGrid w:val="0"/>
              <w:spacing w:line="560" w:lineRule="exac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8.温控系统</w:t>
            </w:r>
          </w:p>
          <w:p w14:paraId="5577747F">
            <w:pPr>
              <w:widowControl/>
              <w:spacing w:line="560" w:lineRule="exac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低温控制：</w:t>
            </w:r>
          </w:p>
          <w:p w14:paraId="0A8F9EBB">
            <w:pPr>
              <w:widowControl/>
              <w:spacing w:line="560" w:lineRule="exac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 温度范围：-40℃~100℃（空载温度范围）；</w:t>
            </w:r>
          </w:p>
          <w:p w14:paraId="2E6C40F0">
            <w:pPr>
              <w:widowControl/>
              <w:spacing w:line="560" w:lineRule="exac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 整机功率：≥2.96kW；</w:t>
            </w:r>
          </w:p>
          <w:p w14:paraId="3AB70663">
            <w:pPr>
              <w:widowControl/>
              <w:spacing w:line="560" w:lineRule="exac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 电源：380V 50Hz；</w:t>
            </w:r>
          </w:p>
          <w:p w14:paraId="54E148F9">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 循环泵功率:≥90W；</w:t>
            </w:r>
          </w:p>
          <w:p w14:paraId="41AF8C9F">
            <w:pPr>
              <w:widowControl/>
              <w:spacing w:line="560" w:lineRule="exac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中高温控制：</w:t>
            </w:r>
          </w:p>
          <w:p w14:paraId="75E387B5">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8.5. 温度范围：-10~250℃；</w:t>
            </w:r>
          </w:p>
          <w:p w14:paraId="36BC8FAD">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8.6. 制冷功率：≥1.47kW，加热功率：≥5kW；</w:t>
            </w:r>
          </w:p>
          <w:p w14:paraId="50896AC9">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8.7. 循环参数：流量：≥42L/min-扬程≥28m；</w:t>
            </w:r>
          </w:p>
          <w:p w14:paraId="583D9D6C">
            <w:pPr>
              <w:snapToGrid w:val="0"/>
              <w:spacing w:line="560" w:lineRule="exac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8.8. 储液槽：20L。</w:t>
            </w:r>
          </w:p>
          <w:p w14:paraId="72595F14">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9.自动化控制</w:t>
            </w:r>
          </w:p>
          <w:p w14:paraId="665470E7">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 xml:space="preserve">★ </w:t>
            </w:r>
            <w:r>
              <w:rPr>
                <w:rFonts w:hint="eastAsia" w:asciiTheme="minorEastAsia" w:hAnsiTheme="minorEastAsia" w:eastAsiaTheme="minorEastAsia" w:cstheme="minorEastAsia"/>
                <w:sz w:val="24"/>
                <w:szCs w:val="24"/>
              </w:rPr>
              <w:t>9.1. 配备集成控制系统，可对各反应模块的温度、流速等参数进行实时监控与调节；</w:t>
            </w:r>
          </w:p>
          <w:p w14:paraId="439B1394">
            <w:pPr>
              <w:snapToGrid w:val="0"/>
              <w:spacing w:line="560" w:lineRule="exact"/>
              <w:rPr>
                <w:rStyle w:val="14"/>
                <w:rFonts w:hint="default" w:asciiTheme="minorEastAsia" w:hAnsiTheme="minorEastAsia" w:eastAsiaTheme="minorEastAsia" w:cstheme="minorEastAsia"/>
                <w:color w:val="auto"/>
                <w:sz w:val="24"/>
                <w:szCs w:val="24"/>
                <w:lang w:bidi="ar"/>
              </w:rPr>
            </w:pPr>
            <w:r>
              <w:rPr>
                <w:rFonts w:hint="eastAsia" w:asciiTheme="minorEastAsia" w:hAnsiTheme="minorEastAsia" w:eastAsiaTheme="minorEastAsia" w:cstheme="minorEastAsia"/>
                <w:sz w:val="24"/>
                <w:szCs w:val="24"/>
              </w:rPr>
              <w:t xml:space="preserve">9.2. </w:t>
            </w:r>
            <w:r>
              <w:rPr>
                <w:rStyle w:val="14"/>
                <w:rFonts w:hint="default" w:asciiTheme="minorEastAsia" w:hAnsiTheme="minorEastAsia" w:eastAsiaTheme="minorEastAsia" w:cstheme="minorEastAsia"/>
                <w:color w:val="auto"/>
                <w:sz w:val="24"/>
                <w:szCs w:val="24"/>
                <w:lang w:bidi="ar"/>
              </w:rPr>
              <w:t>采用PLC和</w:t>
            </w:r>
            <w:r>
              <w:rPr>
                <w:rFonts w:hint="eastAsia" w:asciiTheme="minorEastAsia" w:hAnsiTheme="minorEastAsia" w:eastAsiaTheme="minorEastAsia" w:cstheme="minorEastAsia"/>
                <w:sz w:val="24"/>
                <w:szCs w:val="24"/>
              </w:rPr>
              <w:t>≥</w:t>
            </w:r>
            <w:r>
              <w:rPr>
                <w:rStyle w:val="14"/>
                <w:rFonts w:hint="default" w:asciiTheme="minorEastAsia" w:hAnsiTheme="minorEastAsia" w:eastAsiaTheme="minorEastAsia" w:cstheme="minorEastAsia"/>
                <w:color w:val="auto"/>
                <w:sz w:val="24"/>
                <w:szCs w:val="24"/>
                <w:lang w:bidi="ar"/>
              </w:rPr>
              <w:t>7英寸触摸屏，</w:t>
            </w:r>
          </w:p>
          <w:p w14:paraId="39CF8620">
            <w:pPr>
              <w:snapToGrid w:val="0"/>
              <w:spacing w:line="560" w:lineRule="exact"/>
              <w:rPr>
                <w:rStyle w:val="14"/>
                <w:rFonts w:hint="default" w:asciiTheme="minorEastAsia" w:hAnsiTheme="minorEastAsia" w:eastAsiaTheme="minorEastAsia" w:cstheme="minorEastAsia"/>
                <w:color w:val="auto"/>
                <w:sz w:val="24"/>
                <w:szCs w:val="24"/>
                <w:lang w:bidi="ar"/>
              </w:rPr>
            </w:pPr>
            <w:r>
              <w:rPr>
                <w:rStyle w:val="14"/>
                <w:rFonts w:hint="default" w:asciiTheme="minorEastAsia" w:hAnsiTheme="minorEastAsia" w:eastAsiaTheme="minorEastAsia" w:cstheme="minorEastAsia"/>
                <w:color w:val="auto"/>
                <w:sz w:val="24"/>
                <w:szCs w:val="24"/>
                <w:lang w:bidi="ar"/>
              </w:rPr>
              <w:t>9.3. 设备所有功能(换热介质管路进出口测温、反应器测温显示、搅拌转速设定、进料泵流量设定等)均可在触摸屏上显示，并可实现超温报警，切断进料等保障措施。同时可提供RS485 通讯接口与上位机等进行通讯，并可联网操作；</w:t>
            </w:r>
          </w:p>
          <w:p w14:paraId="292FB847">
            <w:pPr>
              <w:snapToGrid w:val="0"/>
              <w:spacing w:line="560" w:lineRule="exact"/>
              <w:rPr>
                <w:rFonts w:hint="eastAsia" w:asciiTheme="minorEastAsia" w:hAnsiTheme="minorEastAsia" w:eastAsiaTheme="minorEastAsia" w:cstheme="minorEastAsia"/>
                <w:sz w:val="24"/>
                <w:szCs w:val="24"/>
              </w:rPr>
            </w:pPr>
            <w:r>
              <w:rPr>
                <w:rStyle w:val="14"/>
                <w:rFonts w:hint="default" w:asciiTheme="minorEastAsia" w:hAnsiTheme="minorEastAsia" w:eastAsiaTheme="minorEastAsia" w:cstheme="minorEastAsia"/>
                <w:color w:val="auto"/>
                <w:sz w:val="24"/>
                <w:szCs w:val="24"/>
                <w:lang w:bidi="ar"/>
              </w:rPr>
              <w:t>9.4. 支持电脑联网操控，手机查看参数</w:t>
            </w:r>
            <w:r>
              <w:rPr>
                <w:rFonts w:hint="eastAsia" w:asciiTheme="minorEastAsia" w:hAnsiTheme="minorEastAsia" w:eastAsiaTheme="minorEastAsia" w:cstheme="minorEastAsia"/>
                <w:sz w:val="24"/>
                <w:szCs w:val="24"/>
              </w:rPr>
              <w:t>；</w:t>
            </w:r>
          </w:p>
          <w:p w14:paraId="4F140673">
            <w:pPr>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9.5. 系统具备数据记录与导出功能，支持实验过程全流程追溯。</w:t>
            </w:r>
          </w:p>
          <w:p w14:paraId="52456084">
            <w:pPr>
              <w:snapToGrid w:val="0"/>
              <w:spacing w:line="560" w:lineRule="exac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 显示大屏</w:t>
            </w:r>
            <w:r>
              <w:rPr>
                <w:rFonts w:hint="eastAsia" w:asciiTheme="minorEastAsia" w:hAnsiTheme="minorEastAsia" w:eastAsiaTheme="minorEastAsia" w:cstheme="minorEastAsia"/>
                <w:b/>
                <w:sz w:val="24"/>
                <w:szCs w:val="24"/>
              </w:rPr>
              <w:t>（1台）</w:t>
            </w:r>
          </w:p>
          <w:p w14:paraId="3C933AAB">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 面板配置不低于：屏幕尺寸：100 英寸；表面雾度：AG25%；物理分辨率：4K；亮度：350nit/m²(Typ)；色域：95%(sRGB)；</w:t>
            </w:r>
          </w:p>
          <w:p w14:paraId="0BCAECE9">
            <w:pPr>
              <w:snapToGrid w:val="0"/>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10.2系统配置配置不低于：ROM：128GB；RAM：4GB；</w:t>
            </w:r>
          </w:p>
          <w:p w14:paraId="5E7BF60B">
            <w:pPr>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10.3接口：无线网络：2.4GHz/5GHz，独立双频(WiFi6+WiFi5)模块；蓝牙：支持；有线网络：RJ45×1；HDMI IN：4；USB：USB2.0×2、USB3.0×1；Type-C：1；音/视频信号输出接口：SPDIF OUT×1；</w:t>
            </w:r>
          </w:p>
          <w:p w14:paraId="34D2F718">
            <w:pPr>
              <w:spacing w:line="560" w:lineRule="exact"/>
              <w:rPr>
                <w:rStyle w:val="11"/>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w:t>
            </w:r>
            <w:r>
              <w:rPr>
                <w:rStyle w:val="11"/>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b/>
                <w:sz w:val="24"/>
                <w:szCs w:val="24"/>
              </w:rPr>
              <w:t>.配置清单</w:t>
            </w:r>
          </w:p>
          <w:p w14:paraId="479CA843">
            <w:pPr>
              <w:snapToGrid w:val="0"/>
              <w:spacing w:line="560" w:lineRule="exac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11.1 进料柱塞泵（数量：6台）；</w:t>
            </w:r>
          </w:p>
          <w:p w14:paraId="29C885D6">
            <w:pPr>
              <w:snapToGrid w:val="0"/>
              <w:spacing w:line="560" w:lineRule="exac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11.2 动态管反应器（数量：1台）；</w:t>
            </w:r>
          </w:p>
          <w:p w14:paraId="0543336C">
            <w:pPr>
              <w:snapToGrid w:val="0"/>
              <w:spacing w:line="560" w:lineRule="exac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11.3 格式反应器（数量：1台）；</w:t>
            </w:r>
          </w:p>
          <w:p w14:paraId="6AAEE3B2">
            <w:pPr>
              <w:snapToGrid w:val="0"/>
              <w:spacing w:line="560" w:lineRule="exac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11.4 板式微通道反应器（数量：1台）；</w:t>
            </w:r>
          </w:p>
          <w:p w14:paraId="24357FB7">
            <w:pPr>
              <w:snapToGrid w:val="0"/>
              <w:spacing w:line="560" w:lineRule="exac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11.5 盘管反应器预冷模块（数量：1台）；</w:t>
            </w:r>
          </w:p>
          <w:p w14:paraId="70B10D87">
            <w:pPr>
              <w:spacing w:line="560" w:lineRule="exac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11.6 盘管反应器预热模块（数量：1台）；</w:t>
            </w:r>
          </w:p>
          <w:p w14:paraId="55151EAD">
            <w:pPr>
              <w:spacing w:line="560" w:lineRule="exac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11.7 显示大屏（数量：1台）；</w:t>
            </w:r>
          </w:p>
          <w:p w14:paraId="7E2DEE6C">
            <w:pPr>
              <w:spacing w:line="560" w:lineRule="exac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11.8温控系统（数量：1台）；</w:t>
            </w:r>
          </w:p>
          <w:p w14:paraId="468041B9">
            <w:pPr>
              <w:spacing w:line="560" w:lineRule="exac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11.9自动化控制（数量：1台）。</w:t>
            </w:r>
          </w:p>
        </w:tc>
        <w:tc>
          <w:tcPr>
            <w:tcW w:w="780" w:type="dxa"/>
            <w:vAlign w:val="center"/>
          </w:tcPr>
          <w:p w14:paraId="28A02692">
            <w:pPr>
              <w:spacing w:line="5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1台</w:t>
            </w:r>
          </w:p>
        </w:tc>
        <w:tc>
          <w:tcPr>
            <w:tcW w:w="795" w:type="dxa"/>
            <w:vAlign w:val="center"/>
          </w:tcPr>
          <w:p w14:paraId="3628A918">
            <w:pPr>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工业</w:t>
            </w:r>
          </w:p>
        </w:tc>
        <w:tc>
          <w:tcPr>
            <w:tcW w:w="897" w:type="dxa"/>
            <w:vAlign w:val="center"/>
          </w:tcPr>
          <w:p w14:paraId="6054E2F0">
            <w:pPr>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w:t>
            </w:r>
          </w:p>
        </w:tc>
      </w:tr>
    </w:tbl>
    <w:p w14:paraId="0A9A01DA">
      <w:pPr>
        <w:pStyle w:val="7"/>
        <w:ind w:left="482" w:hanging="482"/>
        <w:rPr>
          <w:rFonts w:hint="eastAsia" w:ascii="宋体" w:hAnsi="宋体" w:cs="宋体"/>
          <w:b/>
          <w:bCs/>
          <w:sz w:val="24"/>
        </w:rPr>
      </w:pPr>
    </w:p>
    <w:p w14:paraId="03EC6C94">
      <w:pPr>
        <w:pStyle w:val="3"/>
        <w:wordWrap w:val="0"/>
        <w:ind w:firstLine="0" w:firstLineChars="0"/>
        <w:rPr>
          <w:rFonts w:eastAsia="黑体"/>
        </w:rPr>
      </w:pPr>
      <w:bookmarkStart w:id="17" w:name="_Toc7421"/>
      <w:bookmarkStart w:id="18" w:name="_Toc4843"/>
      <w:r>
        <w:rPr>
          <w:rFonts w:hint="eastAsia" w:eastAsia="黑体"/>
        </w:rPr>
        <w:t>三、报价要求</w:t>
      </w:r>
      <w:bookmarkEnd w:id="17"/>
      <w:bookmarkEnd w:id="18"/>
    </w:p>
    <w:p w14:paraId="63DA8832">
      <w:pPr>
        <w:wordWrap w:val="0"/>
        <w:spacing w:line="360" w:lineRule="auto"/>
        <w:ind w:firstLine="480" w:firstLineChars="200"/>
        <w:rPr>
          <w:rFonts w:hint="eastAsia" w:ascii="宋体" w:hAnsi="宋体" w:eastAsia="宋体"/>
          <w:b/>
          <w:sz w:val="24"/>
          <w:szCs w:val="18"/>
        </w:rPr>
      </w:pPr>
      <w:r>
        <w:rPr>
          <w:rFonts w:hint="eastAsia" w:ascii="宋体" w:hAnsi="宋体" w:eastAsia="宋体" w:cs="宋体"/>
          <w:sz w:val="24"/>
        </w:rPr>
        <w:t>本项目报总价，投标报价包括本项目需求的全部货物及所需附件购置费、包装费、运输费、人工费、安装调试费、各种税费、资料费、售后服务费及完成项目应有的全部费用。</w:t>
      </w:r>
    </w:p>
    <w:p w14:paraId="1104012C">
      <w:pPr>
        <w:pStyle w:val="3"/>
        <w:wordWrap w:val="0"/>
        <w:ind w:firstLine="0" w:firstLineChars="0"/>
        <w:rPr>
          <w:rFonts w:eastAsia="黑体"/>
        </w:rPr>
      </w:pPr>
      <w:r>
        <w:rPr>
          <w:rFonts w:hint="eastAsia" w:eastAsia="黑体"/>
        </w:rPr>
        <w:t>四、备品备件及专用工具</w:t>
      </w:r>
    </w:p>
    <w:p w14:paraId="0A1DFCF5">
      <w:pPr>
        <w:wordWrap w:val="0"/>
        <w:spacing w:line="360" w:lineRule="auto"/>
        <w:ind w:firstLine="480" w:firstLineChars="200"/>
        <w:rPr>
          <w:rFonts w:hint="eastAsia" w:ascii="宋体" w:hAnsi="宋体" w:eastAsia="宋体" w:cs="宋体"/>
          <w:sz w:val="24"/>
        </w:rPr>
      </w:pPr>
      <w:bookmarkStart w:id="19" w:name="_Toc455587277"/>
      <w:bookmarkStart w:id="20" w:name="_Toc445554752"/>
      <w:bookmarkStart w:id="21" w:name="_Toc455587093"/>
      <w:r>
        <w:rPr>
          <w:rFonts w:hint="eastAsia" w:ascii="宋体" w:hAnsi="宋体" w:eastAsia="宋体" w:cs="宋体"/>
          <w:sz w:val="24"/>
        </w:rPr>
        <w:t>1、备品备件：中标人提供能够满足质量保证期内的设备维修要求的备品备件，备品备件应是新品。</w:t>
      </w:r>
    </w:p>
    <w:p w14:paraId="4764D4B0">
      <w:pPr>
        <w:wordWrap w:val="0"/>
        <w:spacing w:line="360" w:lineRule="auto"/>
        <w:ind w:firstLine="480" w:firstLineChars="200"/>
        <w:rPr>
          <w:rFonts w:hint="eastAsia" w:ascii="宋体" w:hAnsi="宋体" w:eastAsia="宋体"/>
          <w:b/>
          <w:sz w:val="24"/>
          <w:szCs w:val="18"/>
        </w:rPr>
      </w:pPr>
      <w:r>
        <w:rPr>
          <w:rFonts w:hint="eastAsia" w:ascii="宋体" w:hAnsi="宋体" w:eastAsia="宋体" w:cs="宋体"/>
          <w:sz w:val="24"/>
        </w:rPr>
        <w:t>2、专用工具：中标人提供设备安装、调试、维修、保养所必要的专用工具、仪器、仪表等工具。</w:t>
      </w:r>
    </w:p>
    <w:bookmarkEnd w:id="19"/>
    <w:bookmarkEnd w:id="20"/>
    <w:bookmarkEnd w:id="21"/>
    <w:p w14:paraId="361DEECA">
      <w:pPr>
        <w:pStyle w:val="3"/>
        <w:wordWrap w:val="0"/>
        <w:ind w:firstLine="0" w:firstLineChars="0"/>
        <w:rPr>
          <w:rFonts w:eastAsia="黑体"/>
        </w:rPr>
      </w:pPr>
      <w:bookmarkStart w:id="22" w:name="_Toc532199625"/>
      <w:bookmarkStart w:id="23" w:name="_Toc445554753"/>
      <w:bookmarkStart w:id="24" w:name="_Toc455587278"/>
      <w:bookmarkStart w:id="25" w:name="_Toc455587094"/>
      <w:r>
        <w:rPr>
          <w:rFonts w:hint="eastAsia" w:eastAsia="黑体"/>
        </w:rPr>
        <w:t>五、安装调试、验收试验及质量保证</w:t>
      </w:r>
      <w:bookmarkEnd w:id="22"/>
    </w:p>
    <w:p w14:paraId="03076F22">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1、中标人在设备安装地点负责安装、调试。</w:t>
      </w:r>
    </w:p>
    <w:p w14:paraId="170A3391">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2、具体设备验收标准和程序按采购人要求执行，下列验收程序可参照执行：</w:t>
      </w:r>
    </w:p>
    <w:p w14:paraId="70E601CE">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05DBDDB0">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0C1D816E">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2.3 中标人应根据采购人使用单位的技术要求提供相应的产品。由中标人所提供的设备部件间的连线和插接件均应视为设备内部器件，包含在相应的设备之中。</w:t>
      </w:r>
    </w:p>
    <w:p w14:paraId="2E638E55">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2.4 运行测试及最终验收。在系统安装、调试结束后，采购人对其进行全面的测试，对测试中暴露出来的问题，中标人应及时进行整改，系统最终测试完毕经验收合格后，采购人应向中标人签发最终验收证明。</w:t>
      </w:r>
    </w:p>
    <w:p w14:paraId="0FC17497">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2.5 中标人应向采购人提供安装调试过程中的各种文档资料,以便采购人今后能掌握操作和维护方法。</w:t>
      </w:r>
    </w:p>
    <w:p w14:paraId="7627DF0A">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3、如设备在验收时有一个或多个指标未能达到要求而属于中标人责任时，则中标人自费采取有效措施，在采购人规定时间内使之达到保证指标。如在采购人规定的时间内仍达不到合格标准时，则中标人应向采购人赔偿。</w:t>
      </w:r>
    </w:p>
    <w:p w14:paraId="149340F9">
      <w:pPr>
        <w:pStyle w:val="3"/>
        <w:wordWrap w:val="0"/>
        <w:ind w:firstLine="0" w:firstLineChars="0"/>
        <w:rPr>
          <w:rFonts w:eastAsia="黑体"/>
        </w:rPr>
      </w:pPr>
      <w:bookmarkStart w:id="26" w:name="_Toc532199626"/>
      <w:r>
        <w:rPr>
          <w:rFonts w:hint="eastAsia" w:eastAsia="黑体"/>
        </w:rPr>
        <w:t>六、包装运输</w:t>
      </w:r>
      <w:bookmarkEnd w:id="23"/>
      <w:bookmarkEnd w:id="24"/>
      <w:bookmarkEnd w:id="25"/>
      <w:bookmarkEnd w:id="26"/>
    </w:p>
    <w:p w14:paraId="7513BFF4">
      <w:pPr>
        <w:wordWrap w:val="0"/>
        <w:spacing w:line="360" w:lineRule="auto"/>
        <w:ind w:firstLine="480" w:firstLineChars="200"/>
        <w:rPr>
          <w:rFonts w:hint="eastAsia" w:ascii="宋体" w:hAnsi="宋体" w:eastAsia="宋体" w:cs="宋体"/>
          <w:sz w:val="24"/>
        </w:rPr>
      </w:pPr>
      <w:bookmarkStart w:id="27" w:name="_Toc455587279"/>
      <w:bookmarkStart w:id="28" w:name="_Toc445554754"/>
      <w:bookmarkStart w:id="29" w:name="_Toc455587095"/>
      <w:r>
        <w:rPr>
          <w:rFonts w:hint="eastAsia" w:ascii="宋体" w:hAnsi="宋体" w:eastAsia="宋体" w:cs="宋体"/>
          <w:sz w:val="24"/>
        </w:rPr>
        <w:t>1、中标人负责设备包装、办理运输和保险，将设备安全运抵交货地点。</w:t>
      </w:r>
    </w:p>
    <w:p w14:paraId="73DFE641">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2、设备制造完成并通过试验后应及时包装，否则应得到切实的保护，确保其不受污损。</w:t>
      </w:r>
    </w:p>
    <w:p w14:paraId="223215EA">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3、在包装箱外应标明采购人的订货号、发货号。</w:t>
      </w:r>
    </w:p>
    <w:p w14:paraId="37155945">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4、各种包装应能确保各零部件在运输过程中不致遭到损坏、丢失、变形、受潮和腐蚀。</w:t>
      </w:r>
    </w:p>
    <w:p w14:paraId="0A0B66D8">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5、包装箱上应有明显的包装储运图示标志。</w:t>
      </w:r>
    </w:p>
    <w:p w14:paraId="4697201A">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6、整体产品或分别运输的部件都要适应运输和装载的要求。</w:t>
      </w:r>
    </w:p>
    <w:p w14:paraId="16622614">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7、随产品提供的技术资料应完整无缺。</w:t>
      </w:r>
    </w:p>
    <w:p w14:paraId="7A6DFC77">
      <w:pPr>
        <w:pStyle w:val="3"/>
        <w:wordWrap w:val="0"/>
        <w:ind w:firstLine="0" w:firstLineChars="0"/>
        <w:rPr>
          <w:rFonts w:eastAsia="黑体"/>
        </w:rPr>
      </w:pPr>
      <w:bookmarkStart w:id="30" w:name="_Toc532199627"/>
      <w:r>
        <w:rPr>
          <w:rFonts w:hint="eastAsia" w:eastAsia="黑体"/>
        </w:rPr>
        <w:t>七、技术培训</w:t>
      </w:r>
      <w:bookmarkEnd w:id="27"/>
      <w:bookmarkEnd w:id="28"/>
      <w:bookmarkEnd w:id="29"/>
      <w:bookmarkEnd w:id="30"/>
    </w:p>
    <w:p w14:paraId="001857FB">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1、为使合同设备能正常安装和运行，由中标人提供相应的技术培训，培训费用包含在投标报价内。</w:t>
      </w:r>
    </w:p>
    <w:p w14:paraId="0154A64C">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2、培训的时间、人数、地点等具体内容由买卖双方商定，内容至少包括：设备原理、使用、维护、运行操作、常见故障处理等。</w:t>
      </w:r>
    </w:p>
    <w:p w14:paraId="4D29F070">
      <w:pPr>
        <w:pStyle w:val="3"/>
        <w:wordWrap w:val="0"/>
        <w:ind w:firstLine="0" w:firstLineChars="0"/>
        <w:rPr>
          <w:rFonts w:eastAsia="黑体"/>
        </w:rPr>
      </w:pPr>
      <w:bookmarkStart w:id="31" w:name="_Toc532199628"/>
      <w:r>
        <w:rPr>
          <w:rFonts w:hint="eastAsia" w:eastAsia="黑体"/>
        </w:rPr>
        <w:t>八、质保及售后服务</w:t>
      </w:r>
    </w:p>
    <w:p w14:paraId="0447CC63">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1、自双方签订《验收报告》起进入质保期。</w:t>
      </w:r>
    </w:p>
    <w:p w14:paraId="16E4B002">
      <w:pPr>
        <w:wordWrap w:val="0"/>
        <w:spacing w:line="360" w:lineRule="auto"/>
        <w:ind w:firstLine="480" w:firstLineChars="200"/>
        <w:rPr>
          <w:rFonts w:hint="eastAsia" w:ascii="宋体" w:hAnsi="宋体" w:eastAsia="宋体"/>
          <w:b/>
          <w:sz w:val="24"/>
          <w:szCs w:val="18"/>
        </w:rPr>
      </w:pPr>
      <w:r>
        <w:rPr>
          <w:rFonts w:hint="eastAsia" w:ascii="宋体" w:hAnsi="宋体" w:eastAsia="宋体" w:cs="宋体"/>
          <w:sz w:val="24"/>
        </w:rPr>
        <w:t>2、在质保期间内，非采购人过失和故意并且在正常使用的情况下发现商品有缺陷，中标人应修理或替换该设备；在质保期间内，非采购人过失和故意并且在正常使用的情况下设备发生故障，中标人应及时提供服务。</w:t>
      </w:r>
      <w:bookmarkEnd w:id="31"/>
    </w:p>
    <w:bookmarkEnd w:id="0"/>
    <w:p w14:paraId="42CAD48F">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方正黑体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AF8"/>
    <w:rsid w:val="001B0AF8"/>
    <w:rsid w:val="003A59E0"/>
    <w:rsid w:val="005D62AD"/>
    <w:rsid w:val="0092053A"/>
    <w:rsid w:val="00DD5EFC"/>
    <w:rsid w:val="10AA510A"/>
    <w:rsid w:val="60933C24"/>
    <w:rsid w:val="65070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kern w:val="44"/>
      <w:sz w:val="44"/>
      <w:szCs w:val="44"/>
    </w:rPr>
  </w:style>
  <w:style w:type="paragraph" w:styleId="3">
    <w:name w:val="heading 2"/>
    <w:basedOn w:val="1"/>
    <w:next w:val="1"/>
    <w:qFormat/>
    <w:uiPriority w:val="0"/>
    <w:pPr>
      <w:keepNext/>
      <w:keepLines/>
      <w:spacing w:before="240" w:line="360" w:lineRule="auto"/>
      <w:ind w:firstLine="640" w:firstLineChars="200"/>
      <w:jc w:val="left"/>
      <w:outlineLvl w:val="1"/>
    </w:pPr>
    <w:rPr>
      <w:rFonts w:ascii="Arial" w:hAnsi="Arial" w:eastAsia="方正黑体_GBK" w:cs="Times New Roman"/>
      <w:bCs/>
      <w:kern w:val="0"/>
      <w:sz w:val="28"/>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Body Text Indent"/>
    <w:basedOn w:val="1"/>
    <w:next w:val="5"/>
    <w:unhideWhenUsed/>
    <w:qFormat/>
    <w:uiPriority w:val="99"/>
    <w:pPr>
      <w:ind w:firstLine="645"/>
    </w:pPr>
    <w:rPr>
      <w:rFonts w:ascii="楷体_GB2312" w:eastAsia="楷体_GB2312"/>
      <w:sz w:val="32"/>
    </w:rPr>
  </w:style>
  <w:style w:type="paragraph" w:styleId="5">
    <w:name w:val="envelope return"/>
    <w:basedOn w:val="1"/>
    <w:qFormat/>
    <w:uiPriority w:val="99"/>
    <w:pPr>
      <w:snapToGrid w:val="0"/>
    </w:pPr>
    <w:rPr>
      <w:rFonts w:ascii="Arial" w:hAnsi="Arial" w:cs="Arial"/>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w:basedOn w:val="1"/>
    <w:unhideWhenUsed/>
    <w:qFormat/>
    <w:uiPriority w:val="99"/>
    <w:pPr>
      <w:ind w:left="200" w:hanging="200" w:hangingChars="200"/>
      <w:contextualSpacing/>
    </w:pPr>
    <w:rPr>
      <w:rFonts w:ascii="Times New Roman" w:hAnsi="Times New Roman" w:eastAsia="宋体" w:cs="Times New Roman"/>
      <w:szCs w:val="24"/>
    </w:rPr>
  </w:style>
  <w:style w:type="paragraph" w:styleId="8">
    <w:name w:val="Body Text First Indent 2"/>
    <w:basedOn w:val="4"/>
    <w:unhideWhenUsed/>
    <w:qFormat/>
    <w:uiPriority w:val="99"/>
    <w:pPr>
      <w:ind w:left="420" w:firstLine="420" w:firstLineChars="200"/>
    </w:pPr>
    <w:rPr>
      <w:rFonts w:ascii="Times New Roman" w:cs="Times New Roman"/>
    </w:rPr>
  </w:style>
  <w:style w:type="character" w:styleId="11">
    <w:name w:val="annotation reference"/>
    <w:unhideWhenUsed/>
    <w:qFormat/>
    <w:uiPriority w:val="99"/>
    <w:rPr>
      <w:sz w:val="21"/>
      <w:szCs w:val="21"/>
    </w:rPr>
  </w:style>
  <w:style w:type="paragraph" w:customStyle="1" w:styleId="12">
    <w:name w:val="D&amp;L"/>
    <w:basedOn w:val="6"/>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3">
    <w:name w:val="xl31"/>
    <w:basedOn w:val="1"/>
    <w:qFormat/>
    <w:uiPriority w:val="0"/>
    <w:pPr>
      <w:widowControl/>
      <w:spacing w:before="100" w:beforeAutospacing="1" w:after="100" w:afterAutospacing="1"/>
      <w:jc w:val="center"/>
    </w:pPr>
    <w:rPr>
      <w:b/>
      <w:bCs/>
      <w:kern w:val="0"/>
      <w:sz w:val="28"/>
      <w:szCs w:val="28"/>
    </w:rPr>
  </w:style>
  <w:style w:type="character" w:customStyle="1" w:styleId="14">
    <w:name w:val="font01"/>
    <w:autoRedefine/>
    <w:qFormat/>
    <w:uiPriority w:val="0"/>
    <w:rPr>
      <w:rFonts w:hint="eastAsia" w:ascii="宋体" w:hAnsi="宋体" w:eastAsia="宋体" w:cs="宋体"/>
      <w:color w:val="000000"/>
      <w:sz w:val="21"/>
      <w:szCs w:val="21"/>
      <w:u w:val="none"/>
    </w:rPr>
  </w:style>
  <w:style w:type="paragraph" w:customStyle="1" w:styleId="15">
    <w:name w:val="Revision"/>
    <w:hidden/>
    <w:unhideWhenUsed/>
    <w:qFormat/>
    <w:uiPriority w:val="99"/>
    <w:rPr>
      <w:rFonts w:ascii="@仿宋_GB2312" w:hAnsi="@仿宋_GB2312" w:eastAsia="@仿宋_GB2312" w:cs="@仿宋_GB2312"/>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6709</Words>
  <Characters>7924</Characters>
  <Lines>283</Lines>
  <Paragraphs>323</Paragraphs>
  <TotalTime>8</TotalTime>
  <ScaleCrop>false</ScaleCrop>
  <LinksUpToDate>false</LinksUpToDate>
  <CharactersWithSpaces>8048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2026-07-30T10:21:00Z</dcterms:created>
  <dc:creator>Lenovo</dc:creator>
  <cp:lastModifiedBy>省招</cp:lastModifiedBy>
  <dcterms:modified xsi:type="dcterms:W3CDTF">2026-08-26T08:58:41Z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eyJoZGlkIjoiMmM2MTA4NWRhZjRiYWU5NDgyMzc3NDQyMDk2Y2ZlODgiLCJ1c2VySWQiOiI4ODgyMDUxMzUifQ==</vt:lpwstr>
  </property>
  <property fmtid="{D5CDD505-2E9C-101B-9397-08002B2CF9AE}" pid="4" name="ICV">
    <vt:lpwstr>49FCEE4FAFAD4002A09F6CE5DA15F11E_13</vt:lpwstr>
  </property>
</Properties>
</file>