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428F4">
      <w:p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采购需求</w:t>
      </w:r>
    </w:p>
    <w:p w14:paraId="4B16F0C1">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78C98F29">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762E3B45">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1D2368C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3D9188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27F48AD">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6EF713B0">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4.下列采购需求中：标注▲的产品为核心产品（主要中标标的）。</w:t>
      </w:r>
    </w:p>
    <w:p w14:paraId="58104788">
      <w:pPr>
        <w:spacing w:line="360" w:lineRule="auto"/>
        <w:ind w:firstLine="437"/>
        <w:outlineLvl w:val="1"/>
        <w:rPr>
          <w:rFonts w:ascii="宋体" w:hAnsi="宋体" w:eastAsia="宋体"/>
          <w:b/>
          <w:color w:val="auto"/>
          <w:sz w:val="24"/>
          <w:szCs w:val="18"/>
          <w:highlight w:val="none"/>
        </w:rPr>
      </w:pPr>
      <w:bookmarkStart w:id="0" w:name="_Toc2158"/>
      <w:bookmarkStart w:id="1" w:name="_Toc32151"/>
      <w:bookmarkStart w:id="2" w:name="_Toc2554"/>
      <w:r>
        <w:rPr>
          <w:rFonts w:hint="eastAsia" w:ascii="宋体" w:hAnsi="宋体" w:eastAsia="宋体"/>
          <w:b/>
          <w:color w:val="auto"/>
          <w:sz w:val="24"/>
          <w:szCs w:val="18"/>
          <w:highlight w:val="none"/>
        </w:rPr>
        <w:t>一、采购需求前附表</w:t>
      </w:r>
      <w:bookmarkEnd w:id="0"/>
      <w:bookmarkEnd w:id="1"/>
      <w:bookmarkEnd w:id="2"/>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74E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1543610">
            <w:pPr>
              <w:pStyle w:val="7"/>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5A8C848F">
            <w:pPr>
              <w:pStyle w:val="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075E4791">
            <w:pPr>
              <w:pStyle w:val="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411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3952034">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653BE53F">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6A462FDD">
            <w:pPr>
              <w:pStyle w:val="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color w:val="auto"/>
                <w:sz w:val="21"/>
                <w:szCs w:val="21"/>
                <w:highlight w:val="none"/>
                <w:u w:val="none"/>
              </w:rPr>
            </w:pPr>
            <w:r>
              <w:rPr>
                <w:rFonts w:hint="eastAsia" w:ascii="宋体" w:hAnsi="宋体" w:eastAsia="宋体" w:cs="宋体"/>
                <w:b w:val="0"/>
                <w:color w:val="auto"/>
                <w:sz w:val="21"/>
                <w:szCs w:val="21"/>
                <w:highlight w:val="none"/>
                <w:u w:val="none"/>
              </w:rPr>
              <w:t>合同生效后，采购人付至合同价的</w:t>
            </w:r>
            <w:r>
              <w:rPr>
                <w:rFonts w:hint="eastAsia" w:ascii="宋体" w:hAnsi="宋体" w:eastAsia="宋体" w:cs="宋体"/>
                <w:b w:val="0"/>
                <w:color w:val="auto"/>
                <w:sz w:val="21"/>
                <w:szCs w:val="21"/>
                <w:highlight w:val="none"/>
                <w:u w:val="none"/>
                <w:lang w:val="en-US" w:eastAsia="zh-CN"/>
              </w:rPr>
              <w:t>6</w:t>
            </w:r>
            <w:r>
              <w:rPr>
                <w:rFonts w:hint="eastAsia" w:ascii="宋体" w:hAnsi="宋体" w:eastAsia="宋体" w:cs="宋体"/>
                <w:b w:val="0"/>
                <w:color w:val="auto"/>
                <w:sz w:val="21"/>
                <w:szCs w:val="21"/>
                <w:highlight w:val="none"/>
                <w:u w:val="none"/>
              </w:rPr>
              <w:t>0%（中标人须提供等额预付款担保），项目经验收合格且相关资料齐备己移交后，一次性付清合同价款。</w:t>
            </w:r>
          </w:p>
          <w:p w14:paraId="2DB45ADA">
            <w:pPr>
              <w:pStyle w:val="8"/>
              <w:keepNext w:val="0"/>
              <w:keepLines w:val="0"/>
              <w:widowControl w:val="0"/>
              <w:suppressLineNumbers w:val="0"/>
              <w:snapToGrid w:val="0"/>
              <w:spacing w:before="0" w:beforeAutospacing="0" w:after="0" w:afterAutospacing="0" w:line="300" w:lineRule="auto"/>
              <w:ind w:left="0" w:right="0"/>
              <w:jc w:val="left"/>
              <w:rPr>
                <w:rFonts w:hint="eastAsia" w:ascii="宋体" w:hAnsi="宋体" w:eastAsia="宋体"/>
                <w:bCs w:val="0"/>
                <w:color w:val="auto"/>
                <w:sz w:val="21"/>
                <w:szCs w:val="21"/>
                <w:highlight w:val="none"/>
              </w:rPr>
            </w:pPr>
            <w:r>
              <w:rPr>
                <w:rFonts w:hint="eastAsia" w:ascii="宋体" w:hAnsi="宋体" w:eastAsia="宋体"/>
                <w:bCs w:val="0"/>
                <w:color w:val="auto"/>
                <w:sz w:val="21"/>
                <w:szCs w:val="21"/>
                <w:highlight w:val="none"/>
              </w:rPr>
              <w:t>注：</w:t>
            </w:r>
          </w:p>
          <w:p w14:paraId="706FF3BA">
            <w:pPr>
              <w:pStyle w:val="8"/>
              <w:keepNext w:val="0"/>
              <w:keepLines w:val="0"/>
              <w:widowControl w:val="0"/>
              <w:suppressLineNumbers w:val="0"/>
              <w:snapToGrid w:val="0"/>
              <w:spacing w:before="0" w:beforeAutospacing="0" w:after="0" w:afterAutospacing="0" w:line="300" w:lineRule="auto"/>
              <w:ind w:left="0" w:right="0"/>
              <w:jc w:val="left"/>
              <w:rPr>
                <w:rFonts w:hint="eastAsia" w:ascii="宋体" w:hAnsi="宋体" w:eastAsia="宋体"/>
                <w:bCs w:val="0"/>
                <w:color w:val="auto"/>
                <w:sz w:val="21"/>
                <w:szCs w:val="21"/>
                <w:highlight w:val="none"/>
              </w:rPr>
            </w:pPr>
            <w:r>
              <w:rPr>
                <w:rFonts w:hint="eastAsia" w:ascii="宋体" w:hAnsi="宋体" w:eastAsia="宋体"/>
                <w:bCs w:val="0"/>
                <w:color w:val="auto"/>
                <w:sz w:val="21"/>
                <w:szCs w:val="21"/>
                <w:highlight w:val="none"/>
              </w:rPr>
              <w:t>（1）中标人未按规定提供预付款担保的，视为放弃预付款；</w:t>
            </w:r>
          </w:p>
          <w:p w14:paraId="6D6DEB65">
            <w:pPr>
              <w:pStyle w:val="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ascii="宋体" w:hAnsi="宋体" w:eastAsia="宋体"/>
                <w:b w:val="0"/>
                <w:color w:val="auto"/>
                <w:sz w:val="24"/>
                <w:highlight w:val="none"/>
                <w:u w:val="none"/>
              </w:rPr>
            </w:pPr>
            <w:r>
              <w:rPr>
                <w:rFonts w:hint="eastAsia" w:ascii="宋体" w:hAnsi="宋体" w:eastAsia="宋体"/>
                <w:bCs w:val="0"/>
                <w:color w:val="auto"/>
                <w:sz w:val="21"/>
                <w:szCs w:val="21"/>
                <w:highlight w:val="none"/>
              </w:rPr>
              <w:t>（2）预付款担</w:t>
            </w:r>
            <w:bookmarkStart w:id="49" w:name="_GoBack"/>
            <w:bookmarkEnd w:id="49"/>
            <w:r>
              <w:rPr>
                <w:rFonts w:hint="eastAsia" w:ascii="宋体" w:hAnsi="宋体" w:eastAsia="宋体"/>
                <w:bCs w:val="0"/>
                <w:color w:val="auto"/>
                <w:sz w:val="21"/>
                <w:szCs w:val="21"/>
                <w:highlight w:val="none"/>
              </w:rPr>
              <w:t>保要求：采用银行保函（或担保机构担保或保证保险）形式提交履约保证金的，必须具有明确有效的查询途径（二维码；或网址链接及查询方式），否则该银行保函（或担保机构担保或保证保险）不予认可。以上各类机构出具的以担保函、保证保险承担责任的方式均须满足无条件见索即付条件。</w:t>
            </w:r>
          </w:p>
        </w:tc>
      </w:tr>
      <w:tr w14:paraId="65FE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6A7616C">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73E37E52">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7993D86A">
            <w:pPr>
              <w:pStyle w:val="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ascii="宋体" w:hAnsi="宋体" w:eastAsia="宋体"/>
                <w:b w:val="0"/>
                <w:color w:val="auto"/>
                <w:sz w:val="24"/>
                <w:highlight w:val="none"/>
                <w:u w:val="none"/>
              </w:rPr>
            </w:pPr>
            <w:r>
              <w:rPr>
                <w:rFonts w:hint="eastAsia" w:ascii="宋体" w:hAnsi="宋体" w:eastAsia="宋体" w:cs="宋体"/>
                <w:b w:val="0"/>
                <w:color w:val="auto"/>
                <w:sz w:val="21"/>
                <w:szCs w:val="21"/>
                <w:highlight w:val="none"/>
                <w:u w:val="none"/>
              </w:rPr>
              <w:t>安徽省特种设备检测院，具体按采购人指定地点。</w:t>
            </w:r>
          </w:p>
        </w:tc>
      </w:tr>
      <w:tr w14:paraId="43C9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1202508">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70DBF874">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631A76F0">
            <w:pPr>
              <w:pStyle w:val="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ascii="宋体" w:hAnsi="宋体" w:eastAsia="宋体"/>
                <w:b w:val="0"/>
                <w:color w:val="auto"/>
                <w:sz w:val="24"/>
                <w:highlight w:val="none"/>
                <w:u w:val="none"/>
              </w:rPr>
            </w:pPr>
            <w:r>
              <w:rPr>
                <w:rFonts w:hint="eastAsia" w:ascii="宋体" w:hAnsi="宋体" w:eastAsia="宋体" w:cs="宋体"/>
                <w:b w:val="0"/>
                <w:color w:val="auto"/>
                <w:sz w:val="21"/>
                <w:szCs w:val="21"/>
                <w:highlight w:val="none"/>
                <w:u w:val="none"/>
              </w:rPr>
              <w:t>合同生效之日起，60天内完成供货、安装、调试、培训等所有工作内容。</w:t>
            </w:r>
          </w:p>
        </w:tc>
      </w:tr>
      <w:tr w14:paraId="4237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2F2E747">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3BB4BA9A">
            <w:pPr>
              <w:pStyle w:val="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textAlignment w:val="auto"/>
              <w:rPr>
                <w:rFonts w:ascii="宋体" w:hAnsi="宋体" w:eastAsia="宋体"/>
                <w:b w:val="0"/>
                <w:color w:val="auto"/>
                <w:sz w:val="24"/>
                <w:highlight w:val="none"/>
              </w:rPr>
            </w:pPr>
            <w:r>
              <w:rPr>
                <w:rFonts w:hint="eastAsia" w:ascii="宋体" w:hAnsi="宋体" w:eastAsia="宋体" w:cs="宋体"/>
                <w:b w:val="0"/>
                <w:color w:val="auto"/>
                <w:sz w:val="21"/>
                <w:szCs w:val="21"/>
                <w:highlight w:val="none"/>
              </w:rPr>
              <w:t>免费质保期</w:t>
            </w:r>
          </w:p>
        </w:tc>
        <w:tc>
          <w:tcPr>
            <w:tcW w:w="3217" w:type="pct"/>
            <w:vAlign w:val="center"/>
          </w:tcPr>
          <w:p w14:paraId="7B5B7878">
            <w:pPr>
              <w:pStyle w:val="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both"/>
              <w:textAlignment w:val="auto"/>
              <w:rPr>
                <w:rFonts w:hint="eastAsia" w:ascii="宋体" w:hAnsi="宋体" w:eastAsia="宋体" w:cs="宋体"/>
                <w:b w:val="0"/>
                <w:color w:val="auto"/>
                <w:sz w:val="21"/>
                <w:szCs w:val="21"/>
                <w:highlight w:val="none"/>
                <w:u w:val="none"/>
              </w:rPr>
            </w:pPr>
            <w:r>
              <w:rPr>
                <w:rFonts w:hint="eastAsia" w:ascii="宋体" w:hAnsi="宋体" w:eastAsia="宋体" w:cs="宋体"/>
                <w:b w:val="0"/>
                <w:color w:val="auto"/>
                <w:sz w:val="21"/>
                <w:szCs w:val="21"/>
                <w:highlight w:val="none"/>
                <w:u w:val="none"/>
              </w:rPr>
              <w:t>货物需求清单中未明确的，免费质保期为自验收合格之日起</w:t>
            </w:r>
            <w:r>
              <w:rPr>
                <w:rFonts w:hint="eastAsia" w:ascii="宋体" w:hAnsi="宋体" w:eastAsia="宋体" w:cs="宋体"/>
                <w:b w:val="0"/>
                <w:color w:val="auto"/>
                <w:sz w:val="21"/>
                <w:szCs w:val="21"/>
                <w:highlight w:val="none"/>
                <w:u w:val="none"/>
                <w:lang w:val="en-US" w:eastAsia="zh-CN"/>
              </w:rPr>
              <w:t>1</w:t>
            </w:r>
            <w:r>
              <w:rPr>
                <w:rFonts w:hint="eastAsia" w:ascii="宋体" w:hAnsi="宋体" w:eastAsia="宋体" w:cs="宋体"/>
                <w:b w:val="0"/>
                <w:color w:val="auto"/>
                <w:sz w:val="21"/>
                <w:szCs w:val="21"/>
                <w:highlight w:val="none"/>
                <w:u w:val="none"/>
              </w:rPr>
              <w:t xml:space="preserve">年；货物需求清单中明确的，免费质保期按货物需求清单执行。 </w:t>
            </w:r>
          </w:p>
          <w:p w14:paraId="229D33D3">
            <w:pPr>
              <w:pStyle w:val="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both"/>
              <w:textAlignment w:val="auto"/>
              <w:rPr>
                <w:rFonts w:ascii="宋体" w:hAnsi="宋体" w:eastAsia="宋体"/>
                <w:b w:val="0"/>
                <w:color w:val="auto"/>
                <w:sz w:val="24"/>
                <w:highlight w:val="none"/>
                <w:u w:val="none"/>
              </w:rPr>
            </w:pPr>
            <w:r>
              <w:rPr>
                <w:rFonts w:hint="eastAsia" w:ascii="宋体" w:hAnsi="宋体" w:eastAsia="宋体" w:cs="宋体"/>
                <w:b w:val="0"/>
                <w:color w:val="auto"/>
                <w:sz w:val="21"/>
                <w:szCs w:val="21"/>
                <w:highlight w:val="none"/>
                <w:u w:val="none"/>
                <w:lang w:val="en-US" w:eastAsia="zh-CN"/>
              </w:rPr>
              <w:t>注：</w:t>
            </w:r>
            <w:r>
              <w:rPr>
                <w:rFonts w:hint="eastAsia" w:ascii="宋体" w:hAnsi="宋体" w:eastAsia="宋体" w:cs="宋体"/>
                <w:b w:val="0"/>
                <w:color w:val="auto"/>
                <w:sz w:val="21"/>
                <w:szCs w:val="21"/>
                <w:highlight w:val="none"/>
                <w:u w:val="none"/>
              </w:rPr>
              <w:t xml:space="preserve">质保期内如有零件损坏，自更换该零件起，再对该零件重新计算质保期。     </w:t>
            </w:r>
          </w:p>
        </w:tc>
      </w:tr>
    </w:tbl>
    <w:p w14:paraId="5F8605D3">
      <w:pPr>
        <w:spacing w:line="360" w:lineRule="auto"/>
        <w:ind w:firstLine="437"/>
        <w:outlineLvl w:val="1"/>
        <w:rPr>
          <w:rFonts w:hint="eastAsia" w:ascii="宋体" w:hAnsi="宋体" w:eastAsia="宋体"/>
          <w:b/>
          <w:bCs/>
          <w:color w:val="auto"/>
          <w:sz w:val="24"/>
          <w:szCs w:val="18"/>
          <w:highlight w:val="none"/>
        </w:rPr>
      </w:pPr>
      <w:bookmarkStart w:id="3" w:name="_Toc5944"/>
      <w:bookmarkStart w:id="4" w:name="_Toc7671"/>
    </w:p>
    <w:p w14:paraId="78125051">
      <w:pPr>
        <w:spacing w:line="360" w:lineRule="auto"/>
        <w:ind w:firstLine="437"/>
        <w:outlineLvl w:val="1"/>
        <w:rPr>
          <w:rFonts w:hint="eastAsia" w:ascii="宋体" w:hAnsi="宋体" w:eastAsia="宋体"/>
          <w:b/>
          <w:bCs/>
          <w:color w:val="auto"/>
          <w:sz w:val="24"/>
          <w:szCs w:val="18"/>
          <w:highlight w:val="none"/>
        </w:rPr>
      </w:pPr>
      <w:bookmarkStart w:id="5" w:name="_Toc24271"/>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
      <w:bookmarkEnd w:id="4"/>
      <w:bookmarkEnd w:id="5"/>
    </w:p>
    <w:p w14:paraId="1CA2FE99">
      <w:pPr>
        <w:widowControl/>
        <w:wordWrap/>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标识符号</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295C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79AAF9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标识类型</w:t>
            </w:r>
          </w:p>
        </w:tc>
        <w:tc>
          <w:tcPr>
            <w:tcW w:w="1365" w:type="dxa"/>
            <w:noWrap w:val="0"/>
            <w:vAlign w:val="center"/>
          </w:tcPr>
          <w:p w14:paraId="7220D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标识符号</w:t>
            </w:r>
          </w:p>
        </w:tc>
        <w:tc>
          <w:tcPr>
            <w:tcW w:w="5363" w:type="dxa"/>
            <w:noWrap w:val="0"/>
            <w:vAlign w:val="center"/>
          </w:tcPr>
          <w:p w14:paraId="397F2D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标识符号含义</w:t>
            </w:r>
          </w:p>
        </w:tc>
      </w:tr>
      <w:tr w14:paraId="5907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73EA1D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核心指标</w:t>
            </w:r>
            <w:r>
              <w:rPr>
                <w:rFonts w:hint="eastAsia" w:ascii="宋体" w:hAnsi="宋体" w:eastAsia="宋体" w:cs="宋体"/>
                <w:color w:val="auto"/>
                <w:sz w:val="24"/>
                <w:szCs w:val="24"/>
                <w:highlight w:val="none"/>
              </w:rPr>
              <w:t>项</w:t>
            </w:r>
          </w:p>
        </w:tc>
        <w:tc>
          <w:tcPr>
            <w:tcW w:w="1365" w:type="dxa"/>
            <w:noWrap w:val="0"/>
            <w:vAlign w:val="center"/>
          </w:tcPr>
          <w:p w14:paraId="57F234A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w:t>
            </w:r>
          </w:p>
        </w:tc>
        <w:tc>
          <w:tcPr>
            <w:tcW w:w="5363" w:type="dxa"/>
            <w:noWrap w:val="0"/>
            <w:vAlign w:val="center"/>
          </w:tcPr>
          <w:p w14:paraId="34DF406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评分项，</w:t>
            </w:r>
            <w:r>
              <w:rPr>
                <w:rFonts w:hint="eastAsia" w:ascii="宋体" w:hAnsi="宋体" w:eastAsia="宋体" w:cs="宋体"/>
                <w:color w:val="auto"/>
                <w:kern w:val="2"/>
                <w:sz w:val="24"/>
                <w:szCs w:val="24"/>
                <w:highlight w:val="none"/>
                <w:lang w:val="en-US" w:eastAsia="zh-CN" w:bidi="ar"/>
              </w:rPr>
              <w:t>详见评标办法和标准。</w:t>
            </w:r>
          </w:p>
        </w:tc>
      </w:tr>
      <w:tr w14:paraId="1C3E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3883CD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无标识项</w:t>
            </w:r>
          </w:p>
        </w:tc>
        <w:tc>
          <w:tcPr>
            <w:tcW w:w="1365" w:type="dxa"/>
            <w:noWrap w:val="0"/>
            <w:vAlign w:val="center"/>
          </w:tcPr>
          <w:p w14:paraId="6E97D76B">
            <w:pPr>
              <w:wordWrap w:val="0"/>
              <w:adjustRightInd w:val="0"/>
              <w:snapToGrid w:val="0"/>
              <w:spacing w:line="300" w:lineRule="auto"/>
              <w:jc w:val="center"/>
              <w:rPr>
                <w:rFonts w:hint="eastAsia" w:ascii="宋体" w:hAnsi="宋体" w:eastAsia="宋体" w:cs="宋体"/>
                <w:bCs/>
                <w:color w:val="auto"/>
                <w:sz w:val="24"/>
                <w:szCs w:val="24"/>
                <w:highlight w:val="none"/>
              </w:rPr>
            </w:pPr>
          </w:p>
        </w:tc>
        <w:tc>
          <w:tcPr>
            <w:tcW w:w="5363" w:type="dxa"/>
            <w:noWrap w:val="0"/>
            <w:vAlign w:val="center"/>
          </w:tcPr>
          <w:p w14:paraId="412B5403">
            <w:pPr>
              <w:keepNext w:val="0"/>
              <w:keepLines w:val="0"/>
              <w:suppressLineNumbers w:val="0"/>
              <w:wordWrap w:val="0"/>
              <w:adjustRightInd w:val="0"/>
              <w:snapToGrid w:val="0"/>
              <w:spacing w:before="0" w:beforeAutospacing="0" w:after="0" w:afterAutospacing="0" w:line="300" w:lineRule="auto"/>
              <w:ind w:left="0" w:right="0"/>
              <w:jc w:val="left"/>
              <w:rPr>
                <w:rFonts w:hint="eastAsia" w:ascii="宋体" w:hAnsi="宋体" w:eastAsia="宋体" w:cs="宋体"/>
                <w:b w:val="0"/>
                <w:bCs/>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符合性审查项，该指标项不允许负偏离，否则投标无效</w:t>
            </w:r>
            <w:r>
              <w:rPr>
                <w:rFonts w:hint="eastAsia" w:ascii="宋体" w:hAnsi="宋体" w:eastAsia="宋体" w:cs="宋体"/>
                <w:b/>
                <w:bCs/>
                <w:color w:val="auto"/>
                <w:sz w:val="24"/>
                <w:szCs w:val="24"/>
                <w:highlight w:val="none"/>
              </w:rPr>
              <w:t>。</w:t>
            </w:r>
          </w:p>
          <w:p w14:paraId="05E96214">
            <w:pPr>
              <w:adjustRightInd w:val="0"/>
              <w:snapToGrid w:val="0"/>
              <w:spacing w:line="300" w:lineRule="auto"/>
              <w:jc w:val="left"/>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rPr>
              <w:t>注：投标人须在投标文件中提供承诺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详见投标文件格式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b w:val="0"/>
                <w:color w:val="auto"/>
                <w:sz w:val="24"/>
                <w:szCs w:val="24"/>
                <w:highlight w:val="none"/>
              </w:rPr>
              <w:t>我单位所投产品完全满足采购文件无标识项技术参数及要求，如履约验收期间所投产品不满足采购文件要求，采购人有权解除合同并上报政府采购监督管理部门</w:t>
            </w:r>
            <w:r>
              <w:rPr>
                <w:rFonts w:hint="eastAsia" w:ascii="宋体" w:hAnsi="宋体" w:eastAsia="宋体" w:cs="宋体"/>
                <w:color w:val="auto"/>
                <w:sz w:val="24"/>
                <w:szCs w:val="24"/>
                <w:highlight w:val="none"/>
              </w:rPr>
              <w:t>，中标人承担由此产生的一切后果及责任。投标文件中未提供相应承诺或承诺的内容不满足要求的，</w:t>
            </w:r>
            <w:r>
              <w:rPr>
                <w:rFonts w:hint="eastAsia" w:ascii="宋体" w:hAnsi="宋体" w:eastAsia="宋体" w:cs="宋体"/>
                <w:b/>
                <w:bCs/>
                <w:color w:val="auto"/>
                <w:sz w:val="24"/>
                <w:szCs w:val="24"/>
                <w:highlight w:val="none"/>
              </w:rPr>
              <w:t>投标无效。</w:t>
            </w:r>
          </w:p>
        </w:tc>
      </w:tr>
      <w:tr w14:paraId="0912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2135D4A7">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55F2142">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如某项标识中包含多条技术参数或要求，则该项标识所含内容均需满足或优于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文件要求，否则不予认可。</w:t>
            </w:r>
          </w:p>
          <w:p w14:paraId="45A07A44">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rPr>
              <w:t>下述技术参数所涉及的具体物理尺寸</w:t>
            </w:r>
            <w:r>
              <w:rPr>
                <w:rFonts w:hint="eastAsia" w:ascii="宋体" w:hAnsi="宋体" w:eastAsia="宋体" w:cs="宋体"/>
                <w:color w:val="auto"/>
                <w:kern w:val="0"/>
                <w:sz w:val="24"/>
                <w:szCs w:val="24"/>
                <w:highlight w:val="none"/>
                <w:lang w:eastAsia="zh-CN"/>
              </w:rPr>
              <w:t>：货物需求清单</w:t>
            </w:r>
            <w:r>
              <w:rPr>
                <w:rFonts w:hint="eastAsia" w:ascii="宋体" w:hAnsi="宋体" w:eastAsia="宋体" w:cs="宋体"/>
                <w:color w:val="auto"/>
                <w:kern w:val="0"/>
                <w:sz w:val="24"/>
                <w:szCs w:val="24"/>
                <w:highlight w:val="none"/>
                <w:lang w:val="en-US" w:eastAsia="zh-CN"/>
              </w:rPr>
              <w:t>中明确允许偏离范围的，按货物需求清单</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kern w:val="0"/>
                <w:sz w:val="24"/>
                <w:szCs w:val="24"/>
                <w:highlight w:val="none"/>
                <w:lang w:val="en-US" w:eastAsia="zh-CN"/>
              </w:rPr>
              <w:t>执行；货物需求清单中未明确允许偏离范围的，</w:t>
            </w:r>
            <w:r>
              <w:rPr>
                <w:rFonts w:hint="eastAsia" w:ascii="宋体" w:hAnsi="宋体" w:eastAsia="宋体" w:cs="宋体"/>
                <w:color w:val="auto"/>
                <w:kern w:val="0"/>
                <w:sz w:val="24"/>
                <w:szCs w:val="24"/>
                <w:highlight w:val="none"/>
              </w:rPr>
              <w:t>允许±5%偏离</w:t>
            </w:r>
            <w:r>
              <w:rPr>
                <w:rFonts w:hint="eastAsia" w:ascii="宋体" w:hAnsi="宋体" w:eastAsia="宋体" w:cs="宋体"/>
                <w:color w:val="auto"/>
                <w:sz w:val="24"/>
                <w:szCs w:val="24"/>
                <w:highlight w:val="none"/>
              </w:rPr>
              <w:t>。</w:t>
            </w:r>
          </w:p>
          <w:p w14:paraId="4B0B39BB">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针对</w:t>
            </w:r>
            <w:r>
              <w:rPr>
                <w:rFonts w:hint="eastAsia" w:ascii="宋体" w:hAnsi="宋体" w:eastAsia="宋体" w:cs="宋体"/>
                <w:color w:val="auto"/>
                <w:kern w:val="2"/>
                <w:sz w:val="24"/>
                <w:szCs w:val="24"/>
                <w:highlight w:val="none"/>
                <w:lang w:val="en-US" w:eastAsia="zh-CN" w:bidi="ar"/>
              </w:rPr>
              <w:t>货物需求清单中要求提供证明材料的技术参数及要求：未明确证明材料类型的，</w:t>
            </w:r>
            <w:r>
              <w:rPr>
                <w:rFonts w:hint="eastAsia" w:ascii="宋体" w:hAnsi="宋体" w:eastAsia="宋体" w:cs="宋体"/>
                <w:b/>
                <w:bCs/>
                <w:color w:val="auto"/>
                <w:kern w:val="2"/>
                <w:sz w:val="24"/>
                <w:szCs w:val="24"/>
                <w:highlight w:val="none"/>
                <w:lang w:val="en-US" w:eastAsia="zh-CN" w:bidi="ar"/>
              </w:rPr>
              <w:t>证明材料包括但不限于产品技术白皮书、产品技术说明书、产品彩页、产品（软件）功能截图、实物图片、厂家（制造商）官网截图、第三方机构出具的检测报告等（提供其中之一即可）。</w:t>
            </w:r>
            <w:r>
              <w:rPr>
                <w:rFonts w:hint="eastAsia" w:ascii="宋体" w:hAnsi="宋体" w:eastAsia="宋体" w:cs="宋体"/>
                <w:color w:val="auto"/>
                <w:kern w:val="2"/>
                <w:sz w:val="24"/>
                <w:szCs w:val="24"/>
                <w:highlight w:val="none"/>
                <w:lang w:val="en-US" w:eastAsia="zh-CN" w:bidi="ar"/>
              </w:rPr>
              <w:t>明确证明材料类型的，</w:t>
            </w:r>
            <w:r>
              <w:rPr>
                <w:rFonts w:hint="eastAsia" w:ascii="宋体" w:hAnsi="宋体" w:eastAsia="宋体" w:cs="宋体"/>
                <w:b w:val="0"/>
                <w:color w:val="auto"/>
                <w:sz w:val="24"/>
                <w:szCs w:val="24"/>
                <w:highlight w:val="none"/>
                <w:u w:val="none"/>
              </w:rPr>
              <w:t>按</w:t>
            </w:r>
            <w:r>
              <w:rPr>
                <w:rFonts w:hint="eastAsia" w:ascii="宋体" w:hAnsi="宋体" w:eastAsia="宋体" w:cs="宋体"/>
                <w:b w:val="0"/>
                <w:color w:val="auto"/>
                <w:sz w:val="24"/>
                <w:szCs w:val="24"/>
                <w:highlight w:val="none"/>
                <w:u w:val="none"/>
                <w:lang w:val="en-US" w:eastAsia="zh-CN"/>
              </w:rPr>
              <w:t>货物需求</w:t>
            </w:r>
            <w:r>
              <w:rPr>
                <w:rFonts w:hint="eastAsia" w:ascii="宋体" w:hAnsi="宋体" w:eastAsia="宋体" w:cs="宋体"/>
                <w:b w:val="0"/>
                <w:color w:val="auto"/>
                <w:sz w:val="24"/>
                <w:szCs w:val="24"/>
                <w:highlight w:val="none"/>
                <w:u w:val="none"/>
              </w:rPr>
              <w:t>清单</w:t>
            </w:r>
            <w:r>
              <w:rPr>
                <w:rFonts w:hint="eastAsia" w:ascii="宋体" w:hAnsi="宋体" w:eastAsia="宋体" w:cs="宋体"/>
                <w:b w:val="0"/>
                <w:color w:val="auto"/>
                <w:sz w:val="24"/>
                <w:szCs w:val="24"/>
                <w:highlight w:val="none"/>
                <w:u w:val="none"/>
                <w:lang w:val="en-US" w:eastAsia="zh-CN"/>
              </w:rPr>
              <w:t>中要求提供的证明材料类型执行</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color w:val="auto"/>
                <w:kern w:val="2"/>
                <w:sz w:val="24"/>
                <w:szCs w:val="24"/>
                <w:highlight w:val="none"/>
                <w:lang w:val="en-US" w:eastAsia="zh-CN" w:bidi="ar"/>
              </w:rPr>
              <w:t>未按以上要求提供证明材料的视为负偏离或未响应</w:t>
            </w:r>
            <w:r>
              <w:rPr>
                <w:rFonts w:hint="eastAsia" w:ascii="宋体" w:hAnsi="宋体" w:eastAsia="宋体" w:cs="宋体"/>
                <w:b/>
                <w:bCs w:val="0"/>
                <w:color w:val="auto"/>
                <w:kern w:val="2"/>
                <w:sz w:val="24"/>
                <w:szCs w:val="24"/>
                <w:highlight w:val="none"/>
                <w:lang w:val="en-US" w:eastAsia="zh-CN" w:bidi="ar"/>
              </w:rPr>
              <w:t>（为便于评审，建议投标人对证明材料中的关键参数进行标注）</w:t>
            </w:r>
            <w:r>
              <w:rPr>
                <w:rFonts w:hint="eastAsia" w:ascii="宋体" w:hAnsi="宋体" w:eastAsia="宋体" w:cs="宋体"/>
                <w:b w:val="0"/>
                <w:bCs/>
                <w:color w:val="auto"/>
                <w:kern w:val="2"/>
                <w:sz w:val="24"/>
                <w:szCs w:val="24"/>
                <w:highlight w:val="none"/>
                <w:lang w:val="en-US" w:eastAsia="zh-CN" w:bidi="ar"/>
              </w:rPr>
              <w:t>。</w:t>
            </w:r>
          </w:p>
          <w:p w14:paraId="4160D434">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
              </w:rPr>
              <w:t>（4）</w:t>
            </w:r>
            <w:r>
              <w:rPr>
                <w:rFonts w:hint="eastAsia" w:ascii="宋体" w:hAnsi="宋体" w:eastAsia="宋体" w:cs="宋体"/>
                <w:color w:val="auto"/>
                <w:sz w:val="24"/>
                <w:szCs w:val="24"/>
                <w:highlight w:val="none"/>
                <w:lang w:val="en-US" w:eastAsia="zh-CN"/>
              </w:rPr>
              <w:t>所属行业中标注“/”的品目，无须在《中小企业声明函》中列明。</w:t>
            </w:r>
          </w:p>
        </w:tc>
      </w:tr>
    </w:tbl>
    <w:p w14:paraId="460C4BFB">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highlight w:val="none"/>
        </w:rPr>
      </w:pPr>
    </w:p>
    <w:p w14:paraId="7EBE7158">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lang w:val="en-US" w:eastAsia="zh-CN"/>
        </w:rPr>
        <w:t>货物需求</w:t>
      </w:r>
      <w:r>
        <w:rPr>
          <w:rFonts w:hint="eastAsia" w:ascii="宋体" w:hAnsi="宋体" w:eastAsia="宋体" w:cs="宋体"/>
          <w:b/>
          <w:bCs/>
          <w:color w:val="auto"/>
          <w:sz w:val="24"/>
          <w:szCs w:val="24"/>
          <w:highlight w:val="none"/>
        </w:rPr>
        <w:t>清单</w:t>
      </w:r>
    </w:p>
    <w:tbl>
      <w:tblPr>
        <w:tblStyle w:val="5"/>
        <w:tblW w:w="54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1429"/>
        <w:gridCol w:w="5340"/>
        <w:gridCol w:w="927"/>
        <w:gridCol w:w="960"/>
      </w:tblGrid>
      <w:tr w14:paraId="746C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 w:type="pct"/>
            <w:vAlign w:val="center"/>
          </w:tcPr>
          <w:p w14:paraId="4A79BDC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774" w:type="pct"/>
            <w:vAlign w:val="center"/>
          </w:tcPr>
          <w:p w14:paraId="76CB22E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w:t>
            </w:r>
          </w:p>
        </w:tc>
        <w:tc>
          <w:tcPr>
            <w:tcW w:w="2892" w:type="pct"/>
            <w:vAlign w:val="center"/>
          </w:tcPr>
          <w:p w14:paraId="311C1EA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技术参数及要求</w:t>
            </w:r>
          </w:p>
        </w:tc>
        <w:tc>
          <w:tcPr>
            <w:tcW w:w="502" w:type="pct"/>
            <w:vAlign w:val="center"/>
          </w:tcPr>
          <w:p w14:paraId="5578349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p w14:paraId="2AB1581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台/套</w:t>
            </w:r>
            <w:r>
              <w:rPr>
                <w:rFonts w:hint="eastAsia" w:ascii="宋体" w:hAnsi="宋体" w:eastAsia="宋体" w:cs="宋体"/>
                <w:b/>
                <w:bCs/>
                <w:color w:val="auto"/>
                <w:sz w:val="24"/>
                <w:szCs w:val="24"/>
                <w:highlight w:val="none"/>
              </w:rPr>
              <w:t>）</w:t>
            </w:r>
          </w:p>
        </w:tc>
        <w:tc>
          <w:tcPr>
            <w:tcW w:w="520" w:type="pct"/>
            <w:vAlign w:val="center"/>
          </w:tcPr>
          <w:p w14:paraId="0FDAD05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所属</w:t>
            </w:r>
          </w:p>
          <w:p w14:paraId="3DB45BC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行业</w:t>
            </w:r>
          </w:p>
        </w:tc>
      </w:tr>
      <w:tr w14:paraId="70E6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 w:type="pct"/>
            <w:vAlign w:val="center"/>
          </w:tcPr>
          <w:p w14:paraId="384B2C53">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jc w:val="center"/>
              <w:textAlignment w:val="auto"/>
              <w:rPr>
                <w:rFonts w:hint="eastAsia" w:ascii="宋体" w:hAnsi="宋体" w:eastAsia="宋体" w:cs="宋体"/>
                <w:color w:val="auto"/>
                <w:sz w:val="24"/>
                <w:szCs w:val="24"/>
                <w:highlight w:val="none"/>
              </w:rPr>
            </w:pPr>
            <w:bookmarkStart w:id="6" w:name="_Toc15854"/>
            <w:bookmarkStart w:id="7" w:name="_Toc7421"/>
            <w:bookmarkStart w:id="8" w:name="_Toc4843"/>
          </w:p>
        </w:tc>
        <w:tc>
          <w:tcPr>
            <w:tcW w:w="774" w:type="pct"/>
            <w:shd w:val="clear" w:color="auto" w:fill="auto"/>
            <w:vAlign w:val="center"/>
          </w:tcPr>
          <w:p w14:paraId="61D8BC24">
            <w:pPr>
              <w:keepNext w:val="0"/>
              <w:keepLines w:val="0"/>
              <w:pageBreakBefore w:val="0"/>
              <w:kinsoku/>
              <w:wordWrap/>
              <w:overflowPunct/>
              <w:topLinePunct w:val="0"/>
              <w:bidi w:val="0"/>
              <w:spacing w:line="30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电火花检测仪</w:t>
            </w:r>
          </w:p>
        </w:tc>
        <w:tc>
          <w:tcPr>
            <w:tcW w:w="2892" w:type="pct"/>
            <w:shd w:val="clear" w:color="auto" w:fill="auto"/>
            <w:vAlign w:val="top"/>
          </w:tcPr>
          <w:p w14:paraId="0298B85A">
            <w:pPr>
              <w:keepNext w:val="0"/>
              <w:keepLines w:val="0"/>
              <w:pageBreakBefore w:val="0"/>
              <w:numPr>
                <w:ilvl w:val="0"/>
                <w:numId w:val="0"/>
              </w:numPr>
              <w:kinsoku/>
              <w:wordWrap/>
              <w:overflowPunct/>
              <w:topLinePunct w:val="0"/>
              <w:bidi w:val="0"/>
              <w:spacing w:line="30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sz w:val="24"/>
                <w:szCs w:val="24"/>
                <w:highlight w:val="none"/>
                <w:lang w:val="en-US" w:eastAsia="zh-CN"/>
              </w:rPr>
              <w:t>产品功能要求：</w:t>
            </w:r>
          </w:p>
          <w:p w14:paraId="0D622828">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2"/>
                <w:sz w:val="24"/>
                <w:szCs w:val="24"/>
                <w:highlight w:val="none"/>
                <w:lang w:val="en-US" w:eastAsia="zh-CN" w:bidi="ar-SA"/>
              </w:rPr>
              <w:t>、设备需</w:t>
            </w:r>
            <w:r>
              <w:rPr>
                <w:rFonts w:hint="eastAsia" w:ascii="宋体" w:hAnsi="宋体" w:eastAsia="宋体" w:cs="宋体"/>
                <w:color w:val="auto"/>
                <w:sz w:val="24"/>
                <w:szCs w:val="24"/>
                <w:highlight w:val="none"/>
                <w:lang w:val="en-US" w:eastAsia="zh-CN"/>
              </w:rPr>
              <w:t>通过软件智能控制获取准确而稳定的测量电压，确保显示电压就是测试电压，电压精度：±（0.1kV+3%读数）</w:t>
            </w:r>
          </w:p>
          <w:p w14:paraId="4670BEDE">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2、可以根据防腐涂层的材料和厚度自动输出合适的测量电压</w:t>
            </w:r>
          </w:p>
          <w:p w14:paraId="39F6AFB2">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3、高压启动时有明亮的LED报警提示和屏幕上的图标显示；</w:t>
            </w:r>
          </w:p>
          <w:p w14:paraId="03236A72">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4、检测到孔隙时，除电火花外，仪器还会发出声光报警信号，并精准记录下漏点数；</w:t>
            </w:r>
          </w:p>
          <w:p w14:paraId="4BAFC946">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5、可以设置漏涂点数极限值，超过漏点数极限值仪器自动报警</w:t>
            </w:r>
          </w:p>
          <w:p w14:paraId="04663589">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6、≥128*64液晶带背光显示屏，显示测量电压、漏点数量、电池电量指示、菜单等多种仪器数据信息</w:t>
            </w:r>
          </w:p>
          <w:p w14:paraId="5FCFB879">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US" w:eastAsia="zh-CN"/>
              </w:rPr>
              <w:t>7、12.6V，≥4400mAh大容量</w:t>
            </w:r>
            <w:r>
              <w:rPr>
                <w:rFonts w:hint="eastAsia" w:ascii="宋体" w:hAnsi="宋体" w:eastAsia="宋体" w:cs="宋体"/>
                <w:color w:val="auto"/>
                <w:sz w:val="24"/>
                <w:szCs w:val="24"/>
                <w:highlight w:val="none"/>
                <w:lang w:val="en-GB" w:eastAsia="zh-CN"/>
              </w:rPr>
              <w:t>锂电池</w:t>
            </w:r>
          </w:p>
          <w:p w14:paraId="060B90ED">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8、要求采用全触摸面板，具有自动背光按键功能</w:t>
            </w:r>
          </w:p>
          <w:p w14:paraId="3F7E6106">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9、脉冲式放电，放电电流小，防止对防腐涂层的二次伤害</w:t>
            </w:r>
          </w:p>
          <w:p w14:paraId="69D0BC29">
            <w:pPr>
              <w:pStyle w:val="3"/>
              <w:keepNext w:val="0"/>
              <w:keepLines w:val="0"/>
              <w:pageBreakBefore w:val="0"/>
              <w:numPr>
                <w:ilvl w:val="0"/>
                <w:numId w:val="0"/>
              </w:numPr>
              <w:kinsoku/>
              <w:wordWrap/>
              <w:overflowPunct/>
              <w:topLinePunct w:val="0"/>
              <w:bidi w:val="0"/>
              <w:spacing w:after="0" w:line="30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二、技术参数要求</w:t>
            </w:r>
          </w:p>
          <w:p w14:paraId="0C6A75A0">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1、检测厚度覆盖0.2mm～10mm；</w:t>
            </w:r>
          </w:p>
          <w:p w14:paraId="7E450268">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2、电压0-30kV，精确度±0.1kV＋3%度数，</w:t>
            </w:r>
          </w:p>
          <w:p w14:paraId="7A41906C">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3、显示分辨率：0.1kV，短路电流：0.1mA，</w:t>
            </w:r>
          </w:p>
          <w:p w14:paraId="28A1410E">
            <w:pPr>
              <w:keepNext w:val="0"/>
              <w:keepLines w:val="0"/>
              <w:pageBreakBefore w:val="0"/>
              <w:kinsoku/>
              <w:wordWrap/>
              <w:overflowPunct/>
              <w:topLinePunct w:val="0"/>
              <w:bidi w:val="0"/>
              <w:spacing w:line="30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4、报警：耳机、峰鸣器双报警、光报警</w:t>
            </w:r>
          </w:p>
          <w:p w14:paraId="247496D6">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5、电池：锂电池</w:t>
            </w:r>
          </w:p>
          <w:p w14:paraId="75A48014">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6、主机体积：≤250×200×100mm</w:t>
            </w:r>
            <w:r>
              <w:rPr>
                <w:rFonts w:hint="eastAsia" w:ascii="宋体" w:hAnsi="宋体" w:eastAsia="宋体" w:cs="宋体"/>
                <w:color w:val="auto"/>
                <w:sz w:val="24"/>
                <w:szCs w:val="24"/>
                <w:highlight w:val="none"/>
                <w:vertAlign w:val="superscript"/>
                <w:lang w:val="en-US" w:eastAsia="zh-CN"/>
              </w:rPr>
              <w:t>3</w:t>
            </w:r>
          </w:p>
          <w:p w14:paraId="5F720B24">
            <w:pPr>
              <w:keepNext w:val="0"/>
              <w:keepLines w:val="0"/>
              <w:pageBreakBefore w:val="0"/>
              <w:kinsoku/>
              <w:wordWrap/>
              <w:overflowPunct/>
              <w:topLinePunct w:val="0"/>
              <w:bidi w:val="0"/>
              <w:spacing w:line="3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三、配置要求</w:t>
            </w:r>
          </w:p>
          <w:p w14:paraId="6BA8EB94">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1、主机一台</w:t>
            </w:r>
          </w:p>
          <w:p w14:paraId="1006EEFC">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2、高压探棒一个</w:t>
            </w:r>
          </w:p>
          <w:p w14:paraId="7D149783">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3、探棒连接线一根</w:t>
            </w:r>
          </w:p>
          <w:p w14:paraId="38F593E7">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4、扇形探刷，排刷各一个</w:t>
            </w:r>
          </w:p>
          <w:p w14:paraId="25F3597A">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5、接地线一套</w:t>
            </w:r>
          </w:p>
          <w:p w14:paraId="3A89F19B">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6、充电器一只</w:t>
            </w:r>
          </w:p>
          <w:p w14:paraId="53555CC9">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7、背带根</w:t>
            </w:r>
          </w:p>
          <w:p w14:paraId="4CE02421">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8、磁性接地柱一个</w:t>
            </w:r>
          </w:p>
          <w:p w14:paraId="6D19E4B3">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9、ABS包装箱一个</w:t>
            </w:r>
          </w:p>
          <w:p w14:paraId="5B420025">
            <w:pPr>
              <w:keepNext w:val="0"/>
              <w:keepLines w:val="0"/>
              <w:pageBreakBefore w:val="0"/>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10、说明书、合格证、保修卡一套</w:t>
            </w:r>
          </w:p>
          <w:p w14:paraId="4ED11A05">
            <w:pPr>
              <w:keepNext w:val="0"/>
              <w:keepLines w:val="0"/>
              <w:pageBreakBefore w:val="0"/>
              <w:kinsoku/>
              <w:wordWrap/>
              <w:overflowPunct/>
              <w:topLinePunct w:val="0"/>
              <w:bidi w:val="0"/>
              <w:spacing w:line="30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11、保险丝2只</w:t>
            </w:r>
          </w:p>
        </w:tc>
        <w:tc>
          <w:tcPr>
            <w:tcW w:w="502" w:type="pct"/>
            <w:shd w:val="clear" w:color="auto" w:fill="auto"/>
            <w:vAlign w:val="center"/>
          </w:tcPr>
          <w:p w14:paraId="6DB16B6D">
            <w:pPr>
              <w:keepNext w:val="0"/>
              <w:keepLines w:val="0"/>
              <w:pageBreakBefore w:val="0"/>
              <w:kinsoku/>
              <w:wordWrap/>
              <w:overflowPunct/>
              <w:topLinePunct w:val="0"/>
              <w:bidi w:val="0"/>
              <w:spacing w:line="30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520" w:type="pct"/>
            <w:vAlign w:val="center"/>
          </w:tcPr>
          <w:p w14:paraId="4BED562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工业</w:t>
            </w:r>
          </w:p>
        </w:tc>
      </w:tr>
      <w:tr w14:paraId="6109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 w:type="pct"/>
            <w:vAlign w:val="center"/>
          </w:tcPr>
          <w:p w14:paraId="4148DC2A">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jc w:val="center"/>
              <w:textAlignment w:val="auto"/>
              <w:rPr>
                <w:rFonts w:hint="eastAsia" w:ascii="宋体" w:hAnsi="宋体" w:eastAsia="宋体" w:cs="宋体"/>
                <w:color w:val="auto"/>
                <w:sz w:val="24"/>
                <w:szCs w:val="24"/>
                <w:highlight w:val="none"/>
              </w:rPr>
            </w:pPr>
          </w:p>
        </w:tc>
        <w:tc>
          <w:tcPr>
            <w:tcW w:w="774" w:type="pct"/>
            <w:shd w:val="clear" w:color="auto" w:fill="auto"/>
            <w:vAlign w:val="center"/>
          </w:tcPr>
          <w:p w14:paraId="0DF150D1">
            <w:pPr>
              <w:keepNext w:val="0"/>
              <w:keepLines w:val="0"/>
              <w:pageBreakBefore w:val="0"/>
              <w:kinsoku/>
              <w:wordWrap/>
              <w:overflowPunct/>
              <w:topLinePunct w:val="0"/>
              <w:bidi w:val="0"/>
              <w:spacing w:line="300" w:lineRule="auto"/>
              <w:jc w:val="center"/>
              <w:rPr>
                <w:rFonts w:hint="eastAsia" w:ascii="宋体" w:hAnsi="宋体" w:eastAsia="宋体" w:cs="宋体"/>
                <w:b w:val="0"/>
                <w:bCs w:val="0"/>
                <w:color w:val="auto"/>
                <w:kern w:val="2"/>
                <w:sz w:val="24"/>
                <w:szCs w:val="24"/>
                <w:highlight w:val="none"/>
                <w:lang w:val="en-US" w:eastAsia="zh-CN" w:bidi="ar-SA"/>
              </w:rPr>
            </w:pPr>
            <w:bookmarkStart w:id="9" w:name="OLE_LINK2"/>
            <w:r>
              <w:rPr>
                <w:rFonts w:hint="eastAsia" w:ascii="宋体" w:hAnsi="宋体" w:eastAsia="宋体" w:cs="宋体"/>
                <w:color w:val="auto"/>
                <w:kern w:val="2"/>
                <w:sz w:val="24"/>
                <w:szCs w:val="24"/>
                <w:highlight w:val="none"/>
                <w:lang w:val="en-US" w:eastAsia="zh-CN" w:bidi="ar-SA"/>
              </w:rPr>
              <w:t>杂散电流检测仪</w:t>
            </w:r>
            <w:bookmarkEnd w:id="9"/>
          </w:p>
        </w:tc>
        <w:tc>
          <w:tcPr>
            <w:tcW w:w="2892" w:type="pct"/>
            <w:shd w:val="clear" w:color="auto" w:fill="auto"/>
            <w:vAlign w:val="top"/>
          </w:tcPr>
          <w:p w14:paraId="754A889E">
            <w:pPr>
              <w:keepNext w:val="0"/>
              <w:keepLines w:val="0"/>
              <w:pageBreakBefore w:val="0"/>
              <w:numPr>
                <w:ilvl w:val="0"/>
                <w:numId w:val="0"/>
              </w:numPr>
              <w:kinsoku/>
              <w:wordWrap/>
              <w:overflowPunct/>
              <w:topLinePunct w:val="0"/>
              <w:bidi w:val="0"/>
              <w:spacing w:line="3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一、技术参数要求：</w:t>
            </w:r>
          </w:p>
          <w:p w14:paraId="39E28962">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1、设备参数：</w:t>
            </w:r>
          </w:p>
          <w:p w14:paraId="660BF524">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★（1）检测功能：可以同时检测记录管地电位、交流电压、横/纵地电位梯度等四组数据</w:t>
            </w:r>
            <w:r>
              <w:rPr>
                <w:rFonts w:hint="eastAsia" w:ascii="宋体" w:hAnsi="宋体" w:eastAsia="宋体" w:cs="宋体"/>
                <w:b/>
                <w:bCs/>
                <w:color w:val="auto"/>
                <w:sz w:val="24"/>
                <w:szCs w:val="24"/>
                <w:highlight w:val="none"/>
                <w:lang w:val="en-US" w:eastAsia="zh-CN"/>
              </w:rPr>
              <w:t>（投标文件中提供</w:t>
            </w:r>
            <w:r>
              <w:rPr>
                <w:rFonts w:hint="eastAsia" w:ascii="宋体" w:hAnsi="宋体" w:eastAsia="宋体" w:cs="宋体"/>
                <w:b/>
                <w:bCs/>
                <w:color w:val="auto"/>
                <w:kern w:val="2"/>
                <w:sz w:val="24"/>
                <w:szCs w:val="24"/>
                <w:highlight w:val="none"/>
                <w:lang w:val="en-US" w:eastAsia="zh-CN"/>
              </w:rPr>
              <w:t>功能</w:t>
            </w:r>
            <w:r>
              <w:rPr>
                <w:rFonts w:hint="eastAsia" w:ascii="宋体" w:hAnsi="宋体" w:eastAsia="宋体" w:cs="宋体"/>
                <w:b/>
                <w:bCs/>
                <w:color w:val="auto"/>
                <w:sz w:val="24"/>
                <w:szCs w:val="24"/>
                <w:highlight w:val="none"/>
                <w:lang w:val="en-US" w:eastAsia="zh-CN"/>
              </w:rPr>
              <w:t>实拍图佐证）</w:t>
            </w:r>
            <w:r>
              <w:rPr>
                <w:rFonts w:hint="eastAsia" w:ascii="宋体" w:hAnsi="宋体" w:eastAsia="宋体" w:cs="宋体"/>
                <w:color w:val="auto"/>
                <w:sz w:val="24"/>
                <w:szCs w:val="24"/>
                <w:highlight w:val="none"/>
                <w:lang w:val="en-US" w:eastAsia="zh-CN"/>
              </w:rPr>
              <w:t>；</w:t>
            </w:r>
          </w:p>
          <w:p w14:paraId="60C47FD8">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（2）检测量程：管地电位：-10V～+10V、电位梯度：-10V～+10V、交流电压：0～200V（Rms）；</w:t>
            </w:r>
          </w:p>
          <w:p w14:paraId="6BDE0B49">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（3）记录精度：管地电位：1mV、电位梯度：0.1mV、交流电压：20mV（RMS）；</w:t>
            </w:r>
          </w:p>
          <w:p w14:paraId="7BD2B056">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（4）数据显示：LED屏幕实时数据显示；</w:t>
            </w:r>
          </w:p>
          <w:p w14:paraId="07F1FBF4">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（5）通讯方式：USB数据线或无线蓝牙信；</w:t>
            </w:r>
          </w:p>
          <w:p w14:paraId="0BD75F32">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（6）操作系统：专业数据分析显示及控制软件；</w:t>
            </w:r>
          </w:p>
          <w:p w14:paraId="7431CDCE">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（7）记录媒介：≥通用16G容量U盘或SD卡； </w:t>
            </w:r>
          </w:p>
          <w:p w14:paraId="7A76CBB6">
            <w:pPr>
              <w:keepNext w:val="0"/>
              <w:keepLines w:val="0"/>
              <w:pageBreakBefore w:val="0"/>
              <w:numPr>
                <w:ilvl w:val="0"/>
                <w:numId w:val="0"/>
              </w:numPr>
              <w:kinsoku/>
              <w:wordWrap/>
              <w:overflowPunct/>
              <w:topLinePunct w:val="0"/>
              <w:bidi w:val="0"/>
              <w:spacing w:line="3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★（8）采样频率：采样频率≥25Hz</w:t>
            </w:r>
            <w:r>
              <w:rPr>
                <w:rFonts w:hint="eastAsia" w:ascii="宋体" w:hAnsi="宋体" w:eastAsia="宋体" w:cs="宋体"/>
                <w:b/>
                <w:bCs/>
                <w:color w:val="auto"/>
                <w:sz w:val="24"/>
                <w:szCs w:val="24"/>
                <w:highlight w:val="none"/>
                <w:lang w:val="en-US" w:eastAsia="zh-CN"/>
              </w:rPr>
              <w:t>（投标文件</w:t>
            </w:r>
            <w:r>
              <w:rPr>
                <w:rFonts w:hint="eastAsia" w:ascii="宋体" w:hAnsi="宋体" w:eastAsia="宋体" w:cs="宋体"/>
                <w:b/>
                <w:bCs/>
                <w:color w:val="auto"/>
                <w:kern w:val="2"/>
                <w:sz w:val="24"/>
                <w:szCs w:val="24"/>
                <w:highlight w:val="none"/>
                <w:lang w:val="en-US" w:eastAsia="zh-CN"/>
              </w:rPr>
              <w:t>提供功能界面截图或功能界面实拍照片佐证</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5BE25B4D">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（9）电池：可充电锂电池； </w:t>
            </w:r>
          </w:p>
          <w:p w14:paraId="7CEE1DA1">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（10）记录时间：≥30小时数据记录；</w:t>
            </w:r>
          </w:p>
          <w:p w14:paraId="341A3B96">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（11）工作温度：覆盖-20℃～50℃；</w:t>
            </w:r>
          </w:p>
          <w:p w14:paraId="6973654D">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2、控制器技术要求</w:t>
            </w:r>
          </w:p>
          <w:p w14:paraId="1012D471">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采集参数设置：可通过控制软件或设备本体，进行采集时长、开始记录时间等参数设置。</w:t>
            </w:r>
          </w:p>
          <w:p w14:paraId="655E0A7F">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3、杂散电流检测数据分析软件：</w:t>
            </w:r>
          </w:p>
          <w:p w14:paraId="1AF1D8FA">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（1）可对管地电位、交流电位等进行分析计算；</w:t>
            </w:r>
          </w:p>
          <w:p w14:paraId="1A8F84A3">
            <w:pPr>
              <w:keepNext w:val="0"/>
              <w:keepLines w:val="0"/>
              <w:pageBreakBefore w:val="0"/>
              <w:numPr>
                <w:ilvl w:val="0"/>
                <w:numId w:val="0"/>
              </w:numPr>
              <w:kinsoku/>
              <w:wordWrap/>
              <w:overflowPunct/>
              <w:topLinePunct w:val="0"/>
              <w:bidi w:val="0"/>
              <w:spacing w:line="3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★（2）支持多数据曲线相关系数，衰减率等综合计算</w:t>
            </w:r>
            <w:r>
              <w:rPr>
                <w:rFonts w:hint="eastAsia" w:ascii="宋体" w:hAnsi="宋体" w:eastAsia="宋体" w:cs="宋体"/>
                <w:b/>
                <w:bCs/>
                <w:color w:val="auto"/>
                <w:sz w:val="24"/>
                <w:szCs w:val="24"/>
                <w:highlight w:val="none"/>
                <w:lang w:val="en-US" w:eastAsia="zh-CN"/>
              </w:rPr>
              <w:t>（投标文件中提供软件截图佐证）</w:t>
            </w:r>
            <w:r>
              <w:rPr>
                <w:rFonts w:hint="eastAsia" w:ascii="宋体" w:hAnsi="宋体" w:eastAsia="宋体" w:cs="宋体"/>
                <w:color w:val="auto"/>
                <w:sz w:val="24"/>
                <w:szCs w:val="24"/>
                <w:highlight w:val="none"/>
                <w:lang w:val="en-US" w:eastAsia="zh-CN"/>
              </w:rPr>
              <w:t>；</w:t>
            </w:r>
          </w:p>
          <w:p w14:paraId="5E386E62">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（3）至少包括曲线形式显示数据；</w:t>
            </w:r>
          </w:p>
          <w:p w14:paraId="654779E5">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（4）支持导出excel等多种格式的数据文件；</w:t>
            </w:r>
          </w:p>
          <w:p w14:paraId="671CFC1A">
            <w:pPr>
              <w:keepNext w:val="0"/>
              <w:keepLines w:val="0"/>
              <w:pageBreakBefore w:val="0"/>
              <w:numPr>
                <w:ilvl w:val="0"/>
                <w:numId w:val="0"/>
              </w:numPr>
              <w:kinsoku/>
              <w:wordWrap/>
              <w:overflowPunct/>
              <w:topLinePunct w:val="0"/>
              <w:bidi w:val="0"/>
              <w:spacing w:line="3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二、配置清单</w:t>
            </w:r>
          </w:p>
          <w:p w14:paraId="55A76DEC">
            <w:pPr>
              <w:keepNext w:val="0"/>
              <w:keepLines w:val="0"/>
              <w:pageBreakBefore w:val="0"/>
              <w:numPr>
                <w:ilvl w:val="0"/>
                <w:numId w:val="0"/>
              </w:numPr>
              <w:kinsoku/>
              <w:wordWrap/>
              <w:overflowPunct/>
              <w:topLinePunct w:val="0"/>
              <w:bidi w:val="0"/>
              <w:spacing w:line="300" w:lineRule="auto"/>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测量主机一台、PAD智能控制器一台、电位测量线一套、横纵电位梯度测量线一套、交流电压测量线一套、硫酸铜参比电极4支、杂散电流检测及数据分析软件1套、超级加密狗1个、软件说明书1本，U盘或SD卡≥16G。</w:t>
            </w:r>
          </w:p>
        </w:tc>
        <w:tc>
          <w:tcPr>
            <w:tcW w:w="502" w:type="pct"/>
            <w:shd w:val="clear" w:color="auto" w:fill="auto"/>
            <w:vAlign w:val="center"/>
          </w:tcPr>
          <w:p w14:paraId="380ABA48">
            <w:pPr>
              <w:keepNext w:val="0"/>
              <w:keepLines w:val="0"/>
              <w:pageBreakBefore w:val="0"/>
              <w:kinsoku/>
              <w:wordWrap/>
              <w:overflowPunct/>
              <w:topLinePunct w:val="0"/>
              <w:bidi w:val="0"/>
              <w:spacing w:line="30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520" w:type="pct"/>
            <w:vAlign w:val="center"/>
          </w:tcPr>
          <w:p w14:paraId="7169789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工业</w:t>
            </w:r>
          </w:p>
        </w:tc>
      </w:tr>
      <w:tr w14:paraId="297A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10" w:type="pct"/>
            <w:vAlign w:val="center"/>
          </w:tcPr>
          <w:p w14:paraId="09206A51">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jc w:val="center"/>
              <w:textAlignment w:val="auto"/>
              <w:rPr>
                <w:rFonts w:hint="eastAsia" w:ascii="宋体" w:hAnsi="宋体" w:eastAsia="宋体" w:cs="宋体"/>
                <w:color w:val="auto"/>
                <w:sz w:val="24"/>
                <w:szCs w:val="24"/>
                <w:highlight w:val="none"/>
              </w:rPr>
            </w:pPr>
          </w:p>
        </w:tc>
        <w:tc>
          <w:tcPr>
            <w:tcW w:w="774" w:type="pct"/>
            <w:shd w:val="clear" w:color="auto" w:fill="auto"/>
            <w:vAlign w:val="center"/>
          </w:tcPr>
          <w:p w14:paraId="343DB029">
            <w:pPr>
              <w:keepNext w:val="0"/>
              <w:keepLines w:val="0"/>
              <w:pageBreakBefore w:val="0"/>
              <w:kinsoku/>
              <w:wordWrap/>
              <w:overflowPunct/>
              <w:topLinePunct w:val="0"/>
              <w:bidi w:val="0"/>
              <w:spacing w:line="30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直流电压梯度检测系统和密间隔管地电位检测仪</w:t>
            </w:r>
          </w:p>
        </w:tc>
        <w:tc>
          <w:tcPr>
            <w:tcW w:w="2892" w:type="pct"/>
            <w:shd w:val="clear" w:color="auto" w:fill="auto"/>
            <w:vAlign w:val="top"/>
          </w:tcPr>
          <w:p w14:paraId="02A91C34">
            <w:pPr>
              <w:keepNext w:val="0"/>
              <w:keepLines w:val="0"/>
              <w:pageBreakBefore w:val="0"/>
              <w:numPr>
                <w:ilvl w:val="0"/>
                <w:numId w:val="0"/>
              </w:numPr>
              <w:kinsoku/>
              <w:wordWrap/>
              <w:overflowPunct/>
              <w:topLinePunct w:val="0"/>
              <w:bidi w:val="0"/>
              <w:spacing w:line="3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一、技术参数要求：</w:t>
            </w:r>
          </w:p>
          <w:p w14:paraId="11B73CD5">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1、检测主机：</w:t>
            </w:r>
          </w:p>
          <w:p w14:paraId="7F2D17BC">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1）检测功能：至少包括通/断电位、通/断电位梯度</w:t>
            </w:r>
          </w:p>
          <w:p w14:paraId="682D4F03">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2）检测精度：管地电位：≥1mV    </w:t>
            </w:r>
          </w:p>
          <w:p w14:paraId="7191B1C7">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3）电位梯度：≥0.1mV</w:t>
            </w:r>
          </w:p>
          <w:p w14:paraId="5D8A7027">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4）量程范围：管地电位：覆盖范围-30V～+30V   </w:t>
            </w:r>
          </w:p>
          <w:p w14:paraId="189E7F97">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5）电位梯度：覆盖范围-10V～+10V</w:t>
            </w:r>
          </w:p>
          <w:p w14:paraId="0076232C">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6）检测埋深：≥5m</w:t>
            </w:r>
          </w:p>
          <w:p w14:paraId="01F563D7">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★7）输入阻抗：≥20兆欧</w:t>
            </w:r>
          </w:p>
          <w:p w14:paraId="41CC46DE">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8）软    件：至少包括专业中文数据分析软件</w:t>
            </w:r>
          </w:p>
          <w:p w14:paraId="1FFC9C87">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9）测量原理：至少包括电位梯度法、密间隔电位测量法</w:t>
            </w:r>
          </w:p>
          <w:p w14:paraId="536B781F">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10）通断周期：≥8个</w:t>
            </w:r>
          </w:p>
          <w:p w14:paraId="5661462E">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11）数据显示：LED屏幕</w:t>
            </w:r>
          </w:p>
          <w:p w14:paraId="6157109A">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★12）延时(采集)设置：至少支持100ms、200ms、400ms自动设置、支持1-999ms延时采集手动设置</w:t>
            </w:r>
            <w:r>
              <w:rPr>
                <w:rFonts w:hint="eastAsia" w:ascii="宋体" w:hAnsi="宋体" w:eastAsia="宋体" w:cs="宋体"/>
                <w:b/>
                <w:bCs/>
                <w:color w:val="auto"/>
                <w:sz w:val="24"/>
                <w:szCs w:val="24"/>
                <w:highlight w:val="none"/>
                <w:lang w:val="en-US" w:eastAsia="zh-CN"/>
              </w:rPr>
              <w:t>（投标文件中提供实拍图佐证）</w:t>
            </w:r>
            <w:r>
              <w:rPr>
                <w:rFonts w:hint="eastAsia" w:ascii="宋体" w:hAnsi="宋体" w:eastAsia="宋体" w:cs="宋体"/>
                <w:color w:val="auto"/>
                <w:sz w:val="24"/>
                <w:szCs w:val="24"/>
                <w:highlight w:val="none"/>
                <w:lang w:val="en-US" w:eastAsia="zh-CN"/>
              </w:rPr>
              <w:t>；</w:t>
            </w:r>
          </w:p>
          <w:p w14:paraId="372D6898">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13）外部存储：≥通用16G U盘/SD卡</w:t>
            </w:r>
          </w:p>
          <w:p w14:paraId="54CA9855">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14）同步方式：至少包括卫星同步、脉冲信号自动识别同步</w:t>
            </w:r>
          </w:p>
          <w:p w14:paraId="0574C94C">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15）定位功能：≥亚米级卫星引擎</w:t>
            </w:r>
          </w:p>
          <w:p w14:paraId="278F0502">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16）记录方式：支持手动及自动，≥30000组/文件</w:t>
            </w:r>
          </w:p>
          <w:p w14:paraId="38F07161">
            <w:pPr>
              <w:pStyle w:val="2"/>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★17）报警设置：至少包括尾线故障报警</w:t>
            </w:r>
            <w:r>
              <w:rPr>
                <w:rFonts w:hint="eastAsia" w:ascii="宋体" w:hAnsi="宋体" w:eastAsia="宋体" w:cs="宋体"/>
                <w:b/>
                <w:bCs/>
                <w:color w:val="auto"/>
                <w:sz w:val="24"/>
                <w:szCs w:val="24"/>
                <w:highlight w:val="none"/>
                <w:lang w:val="en-US" w:eastAsia="zh-CN"/>
              </w:rPr>
              <w:t>（投标文件中提供操作界面实拍图，佐证具备尾线故障报警）</w:t>
            </w:r>
          </w:p>
          <w:p w14:paraId="391D98B9">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18）输入距离：至少包括卫星自动距离计算/背架计距轮计距</w:t>
            </w:r>
          </w:p>
          <w:p w14:paraId="2CB01401">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19）仪器键盘：至少包括数字/字母混合按式键盘</w:t>
            </w:r>
          </w:p>
          <w:p w14:paraId="07E88DFD">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20）电源：至少包括可充电式锂电，工作时间≥16小时</w:t>
            </w:r>
          </w:p>
          <w:p w14:paraId="1A5E101A">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21）记录触发：按钮控制（手动）距离/时间触发（自动）</w:t>
            </w:r>
          </w:p>
          <w:p w14:paraId="167F08A9">
            <w:pPr>
              <w:keepNext w:val="0"/>
              <w:keepLines w:val="0"/>
              <w:pageBreakBefore w:val="0"/>
              <w:numPr>
                <w:ilvl w:val="0"/>
                <w:numId w:val="0"/>
              </w:numPr>
              <w:kinsoku/>
              <w:wordWrap/>
              <w:overflowPunct/>
              <w:topLinePunct w:val="0"/>
              <w:bidi w:val="0"/>
              <w:spacing w:line="3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★22）破损点识别：至少包括自动识别是否存在破损点及方向</w:t>
            </w:r>
            <w:r>
              <w:rPr>
                <w:rFonts w:hint="eastAsia" w:ascii="宋体" w:hAnsi="宋体" w:eastAsia="宋体" w:cs="宋体"/>
                <w:b/>
                <w:bCs/>
                <w:color w:val="auto"/>
                <w:sz w:val="24"/>
                <w:szCs w:val="24"/>
                <w:highlight w:val="none"/>
                <w:lang w:val="en-US" w:eastAsia="zh-CN"/>
              </w:rPr>
              <w:t>（投标文件中提供功能界面实拍图佐证）</w:t>
            </w:r>
          </w:p>
          <w:p w14:paraId="47A19089">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★24）智能计算：至少包括破损严重程度IR%自动计算、腐蚀活性智能分析</w:t>
            </w:r>
            <w:r>
              <w:rPr>
                <w:rFonts w:hint="eastAsia" w:ascii="宋体" w:hAnsi="宋体" w:eastAsia="宋体" w:cs="宋体"/>
                <w:b/>
                <w:bCs/>
                <w:color w:val="auto"/>
                <w:sz w:val="24"/>
                <w:szCs w:val="24"/>
                <w:highlight w:val="none"/>
                <w:lang w:val="en-US" w:eastAsia="zh-CN"/>
              </w:rPr>
              <w:t>（投标文件中提供功能界面实拍图佐证）</w:t>
            </w:r>
          </w:p>
          <w:p w14:paraId="3037DCD3">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25）探杖类型：CIPS&amp;DCVG一体通用型探杖</w:t>
            </w:r>
          </w:p>
          <w:p w14:paraId="059AEEE0">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26）工作温度：覆盖范围-20℃～+50℃</w:t>
            </w:r>
          </w:p>
          <w:p w14:paraId="13374993">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27）尺寸：≤300×300×100mm</w:t>
            </w:r>
          </w:p>
          <w:p w14:paraId="0271058F">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28）重量：≤2kg</w:t>
            </w:r>
          </w:p>
          <w:p w14:paraId="65094392">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2.外加电流型卫星同步断流器要求：</w:t>
            </w:r>
          </w:p>
          <w:p w14:paraId="16BB850A">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1）中断电流：≥50A，可承受180A峰值电流；</w:t>
            </w:r>
          </w:p>
          <w:p w14:paraId="3CBDE07E">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2）中断电压：≤200V</w:t>
            </w:r>
          </w:p>
          <w:p w14:paraId="79D6053C">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3）同步能力：≥10</w:t>
            </w:r>
            <w:r>
              <w:rPr>
                <w:rFonts w:hint="eastAsia" w:ascii="宋体" w:hAnsi="宋体" w:eastAsia="宋体" w:cs="宋体"/>
                <w:color w:val="auto"/>
                <w:sz w:val="24"/>
                <w:szCs w:val="24"/>
                <w:highlight w:val="none"/>
                <w:vertAlign w:val="superscript"/>
                <w:lang w:val="en-US" w:eastAsia="zh-CN"/>
              </w:rPr>
              <w:t>-5</w:t>
            </w:r>
            <w:r>
              <w:rPr>
                <w:rFonts w:hint="eastAsia" w:ascii="宋体" w:hAnsi="宋体" w:eastAsia="宋体" w:cs="宋体"/>
                <w:color w:val="auto"/>
                <w:sz w:val="24"/>
                <w:szCs w:val="24"/>
                <w:highlight w:val="none"/>
                <w:lang w:val="en-US" w:eastAsia="zh-CN"/>
              </w:rPr>
              <w:t>秒超高精度同步</w:t>
            </w:r>
          </w:p>
          <w:p w14:paraId="2D3B43C5">
            <w:pPr>
              <w:keepNext w:val="0"/>
              <w:keepLines w:val="0"/>
              <w:pageBreakBefore w:val="0"/>
              <w:numPr>
                <w:ilvl w:val="0"/>
                <w:numId w:val="0"/>
              </w:numPr>
              <w:kinsoku/>
              <w:wordWrap/>
              <w:overflowPunct/>
              <w:topLinePunct w:val="0"/>
              <w:bidi w:val="0"/>
              <w:spacing w:line="300" w:lineRule="auto"/>
              <w:rPr>
                <w:color w:val="auto"/>
                <w:sz w:val="24"/>
                <w:szCs w:val="24"/>
                <w:highlight w:val="none"/>
              </w:rPr>
            </w:pPr>
            <w:r>
              <w:rPr>
                <w:rFonts w:hint="eastAsia" w:ascii="宋体" w:hAnsi="宋体" w:eastAsia="宋体" w:cs="宋体"/>
                <w:color w:val="auto"/>
                <w:sz w:val="24"/>
                <w:szCs w:val="24"/>
                <w:highlight w:val="none"/>
                <w:lang w:val="en-US" w:eastAsia="zh-CN"/>
              </w:rPr>
              <w:t>4）中断模式：至少包括</w:t>
            </w:r>
          </w:p>
          <w:p w14:paraId="6B6FE39D">
            <w:pPr>
              <w:keepNext w:val="0"/>
              <w:keepLines w:val="0"/>
              <w:pageBreakBefore w:val="0"/>
              <w:numPr>
                <w:ilvl w:val="0"/>
                <w:numId w:val="0"/>
              </w:numPr>
              <w:kinsoku/>
              <w:wordWrap/>
              <w:overflowPunct/>
              <w:topLinePunct w:val="0"/>
              <w:bidi w:val="0"/>
              <w:spacing w:line="300" w:lineRule="auto"/>
              <w:ind w:firstLine="960" w:firstLineChars="4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【模式1】0.45秒通电，0.8秒断电；</w:t>
            </w:r>
          </w:p>
          <w:p w14:paraId="53660E9D">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【模式2】1.6秒通电，0.9秒断电；</w:t>
            </w:r>
          </w:p>
          <w:p w14:paraId="6CC1DC85">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【模式3】0.8秒通电，0.45秒断电；</w:t>
            </w:r>
          </w:p>
          <w:p w14:paraId="5940426E">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【模式4】3.0秒通电，2.0秒断电；</w:t>
            </w:r>
          </w:p>
          <w:p w14:paraId="672A373E">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【模式5】4.0秒通电，1.0秒断电；</w:t>
            </w:r>
          </w:p>
          <w:p w14:paraId="7FC36936">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5）电池：内置可充电锂电池，工作时间≥48小时</w:t>
            </w:r>
          </w:p>
          <w:p w14:paraId="3BD3B994">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6）使用温度：覆盖范围-20℃～50℃温度范围</w:t>
            </w:r>
          </w:p>
          <w:p w14:paraId="3CE11349">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3.牺牲阳极型卫星同步断流器要求：</w:t>
            </w:r>
          </w:p>
          <w:p w14:paraId="26D33F2B">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1）中断电流：≥毫安级电流，最高可承受10A峰值电流；</w:t>
            </w:r>
          </w:p>
          <w:p w14:paraId="4D83AC58">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2）同步能力：至少包括8通道卫星接收同步</w:t>
            </w:r>
          </w:p>
          <w:p w14:paraId="58926535">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3）电    池：内置可充电锂电池，工作时间≥48小时</w:t>
            </w:r>
          </w:p>
          <w:p w14:paraId="4B0E71D9">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4）断流器件：≥电磁继电器</w:t>
            </w:r>
          </w:p>
          <w:p w14:paraId="25F9CD33">
            <w:pPr>
              <w:keepNext w:val="0"/>
              <w:keepLines w:val="0"/>
              <w:pageBreakBefore w:val="0"/>
              <w:numPr>
                <w:ilvl w:val="0"/>
                <w:numId w:val="0"/>
              </w:numPr>
              <w:kinsoku/>
              <w:wordWrap/>
              <w:overflowPunct/>
              <w:topLinePunct w:val="0"/>
              <w:bidi w:val="0"/>
              <w:spacing w:line="3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★5）延时通断：至少支持0～999分钟自主设定（</w:t>
            </w:r>
            <w:r>
              <w:rPr>
                <w:rFonts w:hint="eastAsia" w:ascii="宋体" w:hAnsi="宋体" w:eastAsia="宋体" w:cs="宋体"/>
                <w:b/>
                <w:bCs/>
                <w:color w:val="auto"/>
                <w:sz w:val="24"/>
                <w:szCs w:val="24"/>
                <w:highlight w:val="none"/>
                <w:lang w:val="en-US" w:eastAsia="zh-CN"/>
              </w:rPr>
              <w:t>投标文件中</w:t>
            </w:r>
            <w:r>
              <w:rPr>
                <w:rFonts w:hint="eastAsia" w:ascii="宋体" w:hAnsi="宋体" w:eastAsia="宋体" w:cs="宋体"/>
                <w:b/>
                <w:bCs/>
                <w:color w:val="auto"/>
                <w:kern w:val="2"/>
                <w:sz w:val="24"/>
                <w:szCs w:val="24"/>
                <w:highlight w:val="none"/>
                <w:lang w:val="en-US" w:eastAsia="zh-CN"/>
              </w:rPr>
              <w:t>提供功能界面截图或功能界面实拍照片佐证</w:t>
            </w:r>
            <w:r>
              <w:rPr>
                <w:rFonts w:hint="eastAsia" w:ascii="宋体" w:hAnsi="宋体" w:eastAsia="宋体" w:cs="宋体"/>
                <w:b/>
                <w:bCs/>
                <w:color w:val="auto"/>
                <w:sz w:val="24"/>
                <w:szCs w:val="24"/>
                <w:highlight w:val="none"/>
                <w:lang w:val="en-US" w:eastAsia="zh-CN"/>
              </w:rPr>
              <w:t>）</w:t>
            </w:r>
          </w:p>
          <w:p w14:paraId="3D33A14F">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6）使用温度：≥-20℃～50℃温度范围</w:t>
            </w:r>
          </w:p>
          <w:p w14:paraId="0143E363">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4.配备中文数据处理软件系统</w:t>
            </w:r>
          </w:p>
          <w:p w14:paraId="10A82A9D">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1)中文数据分析软件，支持数据的导入/分析；</w:t>
            </w:r>
          </w:p>
          <w:p w14:paraId="7528BC01">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2)自动生成DCVG电位梯度曲线图、防腐层破损点严重程度（%IR）计算</w:t>
            </w:r>
          </w:p>
          <w:p w14:paraId="7D56A2E1">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3)至少支持EXCEL/CSV格式结果输出；</w:t>
            </w:r>
          </w:p>
          <w:p w14:paraId="35FDC2A1">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5.密间距静态数据记录仪要求：</w:t>
            </w:r>
          </w:p>
          <w:p w14:paraId="79CBD6D1">
            <w:pPr>
              <w:keepNext w:val="0"/>
              <w:keepLines w:val="0"/>
              <w:pageBreakBefore w:val="0"/>
              <w:numPr>
                <w:ilvl w:val="0"/>
                <w:numId w:val="0"/>
              </w:numPr>
              <w:kinsoku/>
              <w:wordWrap/>
              <w:overflowPunct/>
              <w:topLinePunct w:val="0"/>
              <w:bidi w:val="0"/>
              <w:spacing w:line="3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★1）检测功能：至少包括管地电位、试片电位；</w:t>
            </w:r>
            <w:r>
              <w:rPr>
                <w:rFonts w:hint="eastAsia" w:ascii="宋体" w:hAnsi="宋体" w:eastAsia="宋体" w:cs="宋体"/>
                <w:b/>
                <w:bCs/>
                <w:color w:val="auto"/>
                <w:sz w:val="24"/>
                <w:szCs w:val="24"/>
                <w:highlight w:val="none"/>
                <w:lang w:val="en-US" w:eastAsia="zh-CN"/>
              </w:rPr>
              <w:t>（投标文件中提供功能界面截图或功能界面实拍照片佐证）</w:t>
            </w:r>
          </w:p>
          <w:p w14:paraId="2B7597AB">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2）量程范围：覆盖范围管地电位通道:-20V~+20V；</w:t>
            </w:r>
          </w:p>
          <w:p w14:paraId="7917109F">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3）记录精度：≥1mV(管地电位)  1mV(试片电位)</w:t>
            </w:r>
          </w:p>
          <w:p w14:paraId="6854B7A7">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4）记录媒介：≥16G存储</w:t>
            </w:r>
          </w:p>
          <w:p w14:paraId="36178AB2">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5）同步方式：卫星同步，具备≥5个通断周期</w:t>
            </w:r>
          </w:p>
          <w:p w14:paraId="26DBAAC3">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6）电源性能：可充电锂电池</w:t>
            </w:r>
          </w:p>
          <w:p w14:paraId="53BD181A">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7）工作温度：覆盖-20℃～+50℃</w:t>
            </w:r>
          </w:p>
          <w:p w14:paraId="602FEAD9">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8）数据显示：LED 触摸屏</w:t>
            </w:r>
          </w:p>
          <w:p w14:paraId="2EE32E4A">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9）重量：≤6kg</w:t>
            </w:r>
          </w:p>
          <w:p w14:paraId="2FC1E53E">
            <w:pPr>
              <w:keepNext w:val="0"/>
              <w:keepLines w:val="0"/>
              <w:pageBreakBefore w:val="0"/>
              <w:numPr>
                <w:ilvl w:val="0"/>
                <w:numId w:val="0"/>
              </w:numPr>
              <w:kinsoku/>
              <w:wordWrap/>
              <w:overflowPunct/>
              <w:topLinePunct w:val="0"/>
              <w:bidi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10）尺寸：≤L500×W500×H350mm</w:t>
            </w:r>
          </w:p>
          <w:p w14:paraId="4A4F74F0">
            <w:pPr>
              <w:keepNext w:val="0"/>
              <w:keepLines w:val="0"/>
              <w:pageBreakBefore w:val="0"/>
              <w:numPr>
                <w:ilvl w:val="0"/>
                <w:numId w:val="0"/>
              </w:numPr>
              <w:kinsoku/>
              <w:wordWrap/>
              <w:overflowPunct/>
              <w:topLinePunct w:val="0"/>
              <w:bidi w:val="0"/>
              <w:spacing w:line="3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三、单套配置要求</w:t>
            </w:r>
          </w:p>
          <w:p w14:paraId="66DA7D91">
            <w:pPr>
              <w:keepNext w:val="0"/>
              <w:keepLines w:val="0"/>
              <w:pageBreakBefore w:val="0"/>
              <w:numPr>
                <w:ilvl w:val="0"/>
                <w:numId w:val="0"/>
              </w:numPr>
              <w:kinsoku/>
              <w:wordWrap/>
              <w:overflowPunct/>
              <w:topLinePunct w:val="0"/>
              <w:bidi w:val="0"/>
              <w:spacing w:line="300" w:lineRule="auto"/>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DCVG/CIPS一体机1台、强制电流卫星同步断流器2台、牺牲阳极卫星同步断流器2台、密间距静态数据记录仪1套、专业中文检测数据分析处理软件系统1个、超级加密狗1个、通用按钮探杖手柄2个、探杖2个、探杖连接线2根、一体机充电器1个、卫星天线（2断流器/1个一体机）3个、卫星连线1根、断流器连线2根、断流器充电器1个、背架1套、探杖电极头固定器2个、电极头垫圈2个、木质电极头2个、PTFE密封带1卷、电极罐装瓶1个、硫酸铜结晶1瓶、12.5cm 空线轴4个、设备箱1个、探杖包1个、一体机说明书1本，U盘或SD卡≥16G。</w:t>
            </w:r>
          </w:p>
        </w:tc>
        <w:tc>
          <w:tcPr>
            <w:tcW w:w="502" w:type="pct"/>
            <w:shd w:val="clear" w:color="auto" w:fill="auto"/>
            <w:vAlign w:val="center"/>
          </w:tcPr>
          <w:p w14:paraId="75E948A0">
            <w:pPr>
              <w:keepNext w:val="0"/>
              <w:keepLines w:val="0"/>
              <w:pageBreakBefore w:val="0"/>
              <w:kinsoku/>
              <w:wordWrap/>
              <w:overflowPunct/>
              <w:topLinePunct w:val="0"/>
              <w:bidi w:val="0"/>
              <w:spacing w:line="30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520" w:type="pct"/>
            <w:vAlign w:val="center"/>
          </w:tcPr>
          <w:p w14:paraId="51C2B48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工业</w:t>
            </w:r>
          </w:p>
        </w:tc>
      </w:tr>
    </w:tbl>
    <w:p w14:paraId="2215A6DE">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6"/>
      <w:bookmarkEnd w:id="7"/>
      <w:bookmarkEnd w:id="8"/>
    </w:p>
    <w:p w14:paraId="66860522">
      <w:pPr>
        <w:spacing w:line="360" w:lineRule="auto"/>
        <w:ind w:firstLine="437"/>
        <w:rPr>
          <w:rFonts w:ascii="宋体" w:hAnsi="宋体" w:eastAsia="宋体"/>
          <w:bCs/>
          <w:color w:val="auto"/>
          <w:sz w:val="24"/>
          <w:szCs w:val="18"/>
          <w:highlight w:val="none"/>
        </w:rPr>
      </w:pPr>
      <w:r>
        <w:rPr>
          <w:rFonts w:hint="eastAsia" w:ascii="宋体" w:hAnsi="宋体" w:eastAsia="宋体"/>
          <w:bCs/>
          <w:color w:val="auto"/>
          <w:sz w:val="24"/>
          <w:szCs w:val="18"/>
          <w:highlight w:val="none"/>
        </w:rPr>
        <w:t>本项目报总价，投标报价</w:t>
      </w:r>
      <w:r>
        <w:rPr>
          <w:rFonts w:ascii="宋体" w:hAnsi="宋体" w:eastAsia="宋体"/>
          <w:bCs/>
          <w:color w:val="auto"/>
          <w:sz w:val="24"/>
          <w:szCs w:val="18"/>
          <w:highlight w:val="none"/>
        </w:rPr>
        <w:t>包括</w:t>
      </w:r>
      <w:r>
        <w:rPr>
          <w:rFonts w:hint="eastAsia" w:ascii="宋体" w:hAnsi="宋体" w:eastAsia="宋体"/>
          <w:bCs/>
          <w:color w:val="auto"/>
          <w:sz w:val="24"/>
          <w:szCs w:val="18"/>
          <w:highlight w:val="none"/>
        </w:rPr>
        <w:t>本项目需求的全部货物及所需附件购置费、包装费、运输费、人工费、安装调试费、各种税费、资料费、售后服务费及完成项目应有的全部费用。</w:t>
      </w:r>
    </w:p>
    <w:p w14:paraId="75224D21">
      <w:pPr>
        <w:spacing w:line="360" w:lineRule="auto"/>
        <w:ind w:firstLine="437"/>
        <w:outlineLvl w:val="1"/>
        <w:rPr>
          <w:rFonts w:hint="eastAsia" w:ascii="宋体" w:hAnsi="宋体" w:eastAsia="宋体"/>
          <w:b/>
          <w:bCs/>
          <w:color w:val="auto"/>
          <w:sz w:val="24"/>
          <w:szCs w:val="18"/>
          <w:highlight w:val="none"/>
        </w:rPr>
      </w:pPr>
      <w:bookmarkStart w:id="10" w:name="_Toc21880"/>
      <w:r>
        <w:rPr>
          <w:rFonts w:hint="eastAsia" w:ascii="宋体" w:hAnsi="宋体" w:eastAsia="宋体"/>
          <w:b/>
          <w:bCs/>
          <w:color w:val="auto"/>
          <w:sz w:val="24"/>
          <w:szCs w:val="18"/>
          <w:highlight w:val="none"/>
        </w:rPr>
        <w:t>四、备品备件及专用工具</w:t>
      </w:r>
      <w:bookmarkEnd w:id="10"/>
    </w:p>
    <w:p w14:paraId="0BD4FDD9">
      <w:pPr>
        <w:spacing w:line="360" w:lineRule="auto"/>
        <w:ind w:firstLine="437"/>
        <w:outlineLvl w:val="1"/>
        <w:rPr>
          <w:rFonts w:ascii="宋体" w:hAnsi="宋体" w:eastAsia="宋体"/>
          <w:bCs/>
          <w:color w:val="auto"/>
          <w:sz w:val="24"/>
          <w:szCs w:val="18"/>
          <w:highlight w:val="none"/>
        </w:rPr>
      </w:pPr>
      <w:bookmarkStart w:id="11" w:name="_Toc7446"/>
      <w:bookmarkStart w:id="12" w:name="_Toc455587277"/>
      <w:bookmarkStart w:id="13" w:name="_Toc455587093"/>
      <w:bookmarkStart w:id="14" w:name="_Toc445554752"/>
      <w:r>
        <w:rPr>
          <w:rFonts w:ascii="宋体" w:hAnsi="宋体" w:eastAsia="宋体"/>
          <w:bCs/>
          <w:color w:val="auto"/>
          <w:sz w:val="24"/>
          <w:szCs w:val="18"/>
          <w:highlight w:val="none"/>
        </w:rPr>
        <w:t>1、备品备件：中标人提供能够满足质量保证期内的设备维修要求的备品备件，备品备件应是新品。</w:t>
      </w:r>
      <w:bookmarkEnd w:id="11"/>
    </w:p>
    <w:p w14:paraId="6B0640D7">
      <w:pPr>
        <w:spacing w:line="360" w:lineRule="auto"/>
        <w:ind w:firstLine="437"/>
        <w:outlineLvl w:val="1"/>
        <w:rPr>
          <w:rFonts w:ascii="宋体" w:hAnsi="宋体" w:eastAsia="宋体"/>
          <w:bCs/>
          <w:color w:val="auto"/>
          <w:sz w:val="24"/>
          <w:szCs w:val="18"/>
          <w:highlight w:val="none"/>
        </w:rPr>
      </w:pPr>
      <w:bookmarkStart w:id="15" w:name="_Toc21688"/>
      <w:r>
        <w:rPr>
          <w:rFonts w:ascii="宋体" w:hAnsi="宋体" w:eastAsia="宋体"/>
          <w:bCs/>
          <w:color w:val="auto"/>
          <w:sz w:val="24"/>
          <w:szCs w:val="18"/>
          <w:highlight w:val="none"/>
        </w:rPr>
        <w:t>2、专用工具：中标人提供设备安装、调试、维修、保养所必要的专用工具、仪器、仪表等工具。</w:t>
      </w:r>
      <w:bookmarkEnd w:id="15"/>
    </w:p>
    <w:bookmarkEnd w:id="12"/>
    <w:bookmarkEnd w:id="13"/>
    <w:bookmarkEnd w:id="14"/>
    <w:p w14:paraId="19C4CD04">
      <w:pPr>
        <w:spacing w:line="360" w:lineRule="auto"/>
        <w:ind w:firstLine="437"/>
        <w:outlineLvl w:val="1"/>
        <w:rPr>
          <w:rFonts w:hint="eastAsia" w:ascii="宋体" w:hAnsi="宋体" w:eastAsia="宋体"/>
          <w:b/>
          <w:bCs/>
          <w:color w:val="auto"/>
          <w:sz w:val="24"/>
          <w:szCs w:val="18"/>
          <w:highlight w:val="none"/>
        </w:rPr>
      </w:pPr>
      <w:bookmarkStart w:id="16" w:name="_Toc532199625"/>
      <w:bookmarkStart w:id="17" w:name="_Toc6195"/>
      <w:bookmarkStart w:id="18" w:name="_Toc455587278"/>
      <w:bookmarkStart w:id="19" w:name="_Toc455587094"/>
      <w:bookmarkStart w:id="20" w:name="_Toc445554753"/>
      <w:r>
        <w:rPr>
          <w:rFonts w:hint="eastAsia" w:ascii="宋体" w:hAnsi="宋体" w:eastAsia="宋体"/>
          <w:b/>
          <w:bCs/>
          <w:color w:val="auto"/>
          <w:sz w:val="24"/>
          <w:szCs w:val="18"/>
          <w:highlight w:val="none"/>
          <w:lang w:eastAsia="zh-CN"/>
        </w:rPr>
        <w:t>五</w:t>
      </w:r>
      <w:r>
        <w:rPr>
          <w:rFonts w:hint="eastAsia" w:ascii="宋体" w:hAnsi="宋体" w:eastAsia="宋体"/>
          <w:b/>
          <w:bCs/>
          <w:color w:val="auto"/>
          <w:sz w:val="24"/>
          <w:szCs w:val="18"/>
          <w:highlight w:val="none"/>
        </w:rPr>
        <w:t>、安装调试、验收试验及质量保证</w:t>
      </w:r>
      <w:bookmarkEnd w:id="16"/>
      <w:bookmarkEnd w:id="17"/>
    </w:p>
    <w:p w14:paraId="15B2AB0D">
      <w:pPr>
        <w:spacing w:line="360" w:lineRule="auto"/>
        <w:ind w:firstLine="437"/>
        <w:outlineLvl w:val="1"/>
        <w:rPr>
          <w:rFonts w:ascii="宋体" w:hAnsi="宋体" w:eastAsia="宋体"/>
          <w:bCs/>
          <w:color w:val="auto"/>
          <w:sz w:val="24"/>
          <w:szCs w:val="18"/>
          <w:highlight w:val="none"/>
        </w:rPr>
      </w:pPr>
      <w:bookmarkStart w:id="21" w:name="_Toc29943"/>
      <w:r>
        <w:rPr>
          <w:rFonts w:ascii="宋体" w:hAnsi="宋体" w:eastAsia="宋体"/>
          <w:bCs/>
          <w:color w:val="auto"/>
          <w:sz w:val="24"/>
          <w:szCs w:val="18"/>
          <w:highlight w:val="none"/>
        </w:rPr>
        <w:t>1、中标人在设备安装地点负责安装、调试。</w:t>
      </w:r>
      <w:bookmarkEnd w:id="21"/>
    </w:p>
    <w:p w14:paraId="2F671158">
      <w:pPr>
        <w:spacing w:line="360" w:lineRule="auto"/>
        <w:ind w:firstLine="437"/>
        <w:outlineLvl w:val="1"/>
        <w:rPr>
          <w:rFonts w:ascii="宋体" w:hAnsi="宋体" w:eastAsia="宋体"/>
          <w:bCs/>
          <w:color w:val="auto"/>
          <w:sz w:val="24"/>
          <w:szCs w:val="18"/>
          <w:highlight w:val="none"/>
        </w:rPr>
      </w:pPr>
      <w:bookmarkStart w:id="22" w:name="_Toc21540"/>
      <w:r>
        <w:rPr>
          <w:rFonts w:ascii="宋体" w:hAnsi="宋体" w:eastAsia="宋体"/>
          <w:bCs/>
          <w:color w:val="auto"/>
          <w:sz w:val="24"/>
          <w:szCs w:val="18"/>
          <w:highlight w:val="none"/>
        </w:rPr>
        <w:t>2、具体设备验收标准和程序按采购人要求执行，下列验收程序可参照执行：</w:t>
      </w:r>
      <w:bookmarkEnd w:id="22"/>
    </w:p>
    <w:p w14:paraId="6F48DBD7">
      <w:pPr>
        <w:spacing w:line="360" w:lineRule="auto"/>
        <w:ind w:firstLine="437"/>
        <w:outlineLvl w:val="1"/>
        <w:rPr>
          <w:rFonts w:ascii="宋体" w:hAnsi="宋体" w:eastAsia="宋体"/>
          <w:bCs/>
          <w:color w:val="auto"/>
          <w:sz w:val="24"/>
          <w:szCs w:val="18"/>
          <w:highlight w:val="none"/>
        </w:rPr>
      </w:pPr>
      <w:bookmarkStart w:id="23" w:name="_Toc19879"/>
      <w:r>
        <w:rPr>
          <w:rFonts w:ascii="宋体" w:hAnsi="宋体" w:eastAsia="宋体"/>
          <w:bCs/>
          <w:color w:val="auto"/>
          <w:sz w:val="24"/>
          <w:szCs w:val="18"/>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w:t>
      </w:r>
      <w:bookmarkEnd w:id="23"/>
    </w:p>
    <w:p w14:paraId="0E4C5061">
      <w:pPr>
        <w:spacing w:line="360" w:lineRule="auto"/>
        <w:ind w:firstLine="437"/>
        <w:outlineLvl w:val="1"/>
        <w:rPr>
          <w:rFonts w:ascii="宋体" w:hAnsi="宋体" w:eastAsia="宋体"/>
          <w:bCs/>
          <w:color w:val="auto"/>
          <w:sz w:val="24"/>
          <w:szCs w:val="18"/>
          <w:highlight w:val="none"/>
        </w:rPr>
      </w:pPr>
      <w:bookmarkStart w:id="24" w:name="_Toc30124"/>
      <w:r>
        <w:rPr>
          <w:rFonts w:ascii="宋体" w:hAnsi="宋体" w:eastAsia="宋体"/>
          <w:bCs/>
          <w:color w:val="auto"/>
          <w:sz w:val="24"/>
          <w:szCs w:val="18"/>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bookmarkEnd w:id="24"/>
    </w:p>
    <w:p w14:paraId="499C2D9E">
      <w:pPr>
        <w:spacing w:line="360" w:lineRule="auto"/>
        <w:ind w:firstLine="437"/>
        <w:outlineLvl w:val="1"/>
        <w:rPr>
          <w:rFonts w:ascii="宋体" w:hAnsi="宋体" w:eastAsia="宋体"/>
          <w:bCs/>
          <w:color w:val="auto"/>
          <w:sz w:val="24"/>
          <w:szCs w:val="18"/>
          <w:highlight w:val="none"/>
        </w:rPr>
      </w:pPr>
      <w:bookmarkStart w:id="25" w:name="_Toc29404"/>
      <w:r>
        <w:rPr>
          <w:rFonts w:ascii="宋体" w:hAnsi="宋体" w:eastAsia="宋体"/>
          <w:bCs/>
          <w:color w:val="auto"/>
          <w:sz w:val="24"/>
          <w:szCs w:val="18"/>
          <w:highlight w:val="none"/>
        </w:rPr>
        <w:t>2.3 中标人应根据采购人使用单位的技术要求提供相应的产品。由中标人所提供的设备部件间的连线和插接件均应视为设备内部器件，包含在相应的设备之中。</w:t>
      </w:r>
      <w:bookmarkEnd w:id="25"/>
    </w:p>
    <w:p w14:paraId="57036F58">
      <w:pPr>
        <w:spacing w:line="360" w:lineRule="auto"/>
        <w:ind w:firstLine="437"/>
        <w:outlineLvl w:val="1"/>
        <w:rPr>
          <w:rFonts w:ascii="宋体" w:hAnsi="宋体" w:eastAsia="宋体"/>
          <w:bCs/>
          <w:color w:val="auto"/>
          <w:sz w:val="24"/>
          <w:szCs w:val="18"/>
          <w:highlight w:val="none"/>
        </w:rPr>
      </w:pPr>
      <w:bookmarkStart w:id="26" w:name="_Toc17084"/>
      <w:r>
        <w:rPr>
          <w:rFonts w:ascii="宋体" w:hAnsi="宋体" w:eastAsia="宋体"/>
          <w:bCs/>
          <w:color w:val="auto"/>
          <w:sz w:val="24"/>
          <w:szCs w:val="18"/>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bookmarkEnd w:id="26"/>
    </w:p>
    <w:p w14:paraId="50A31C6C">
      <w:pPr>
        <w:spacing w:line="360" w:lineRule="auto"/>
        <w:ind w:firstLine="437"/>
        <w:outlineLvl w:val="1"/>
        <w:rPr>
          <w:rFonts w:ascii="宋体" w:hAnsi="宋体" w:eastAsia="宋体"/>
          <w:bCs/>
          <w:color w:val="auto"/>
          <w:sz w:val="24"/>
          <w:szCs w:val="18"/>
          <w:highlight w:val="none"/>
        </w:rPr>
      </w:pPr>
      <w:bookmarkStart w:id="27" w:name="_Toc18237"/>
      <w:r>
        <w:rPr>
          <w:rFonts w:ascii="宋体" w:hAnsi="宋体" w:eastAsia="宋体"/>
          <w:bCs/>
          <w:color w:val="auto"/>
          <w:sz w:val="24"/>
          <w:szCs w:val="18"/>
          <w:highlight w:val="none"/>
        </w:rPr>
        <w:t>2.5 中标人应向采购人提供安装调试过程中的各种文档资料,以便采购人今后能掌握操作和维护方法。</w:t>
      </w:r>
      <w:bookmarkEnd w:id="27"/>
    </w:p>
    <w:p w14:paraId="6B8E7689">
      <w:pPr>
        <w:spacing w:line="360" w:lineRule="auto"/>
        <w:ind w:firstLine="437"/>
        <w:outlineLvl w:val="1"/>
        <w:rPr>
          <w:rFonts w:ascii="宋体" w:hAnsi="宋体" w:eastAsia="宋体"/>
          <w:bCs/>
          <w:color w:val="auto"/>
          <w:sz w:val="24"/>
          <w:szCs w:val="18"/>
          <w:highlight w:val="none"/>
        </w:rPr>
      </w:pPr>
      <w:bookmarkStart w:id="28" w:name="_Toc15881"/>
      <w:r>
        <w:rPr>
          <w:rFonts w:ascii="宋体" w:hAnsi="宋体" w:eastAsia="宋体"/>
          <w:bCs/>
          <w:color w:val="auto"/>
          <w:sz w:val="24"/>
          <w:szCs w:val="18"/>
          <w:highlight w:val="none"/>
        </w:rPr>
        <w:t>3、如设备在验收时有一个或多个指标未能达到要求而属于中标人责任时，则中标人自费采取有效措施，在</w:t>
      </w:r>
      <w:r>
        <w:rPr>
          <w:rFonts w:hint="eastAsia" w:ascii="宋体" w:hAnsi="宋体" w:eastAsia="宋体"/>
          <w:bCs/>
          <w:color w:val="auto"/>
          <w:sz w:val="24"/>
          <w:szCs w:val="18"/>
          <w:highlight w:val="none"/>
          <w:lang w:val="en-US" w:eastAsia="zh-CN"/>
        </w:rPr>
        <w:t>采购人</w:t>
      </w:r>
      <w:r>
        <w:rPr>
          <w:rFonts w:ascii="宋体" w:hAnsi="宋体" w:eastAsia="宋体"/>
          <w:bCs/>
          <w:color w:val="auto"/>
          <w:sz w:val="24"/>
          <w:szCs w:val="18"/>
          <w:highlight w:val="none"/>
        </w:rPr>
        <w:t>规定时间内使之达到保证指标。如在</w:t>
      </w:r>
      <w:r>
        <w:rPr>
          <w:rFonts w:hint="eastAsia" w:ascii="宋体" w:hAnsi="宋体" w:eastAsia="宋体"/>
          <w:bCs/>
          <w:color w:val="auto"/>
          <w:sz w:val="24"/>
          <w:szCs w:val="18"/>
          <w:highlight w:val="none"/>
          <w:lang w:val="en-US" w:eastAsia="zh-CN"/>
        </w:rPr>
        <w:t>采购人</w:t>
      </w:r>
      <w:r>
        <w:rPr>
          <w:rFonts w:ascii="宋体" w:hAnsi="宋体" w:eastAsia="宋体"/>
          <w:bCs/>
          <w:color w:val="auto"/>
          <w:sz w:val="24"/>
          <w:szCs w:val="18"/>
          <w:highlight w:val="none"/>
        </w:rPr>
        <w:t>规定的时间内仍达不到合格标准时，则中标人应向采购人赔偿。</w:t>
      </w:r>
      <w:bookmarkEnd w:id="28"/>
    </w:p>
    <w:p w14:paraId="02DB4363">
      <w:pPr>
        <w:spacing w:line="360" w:lineRule="auto"/>
        <w:ind w:firstLine="437"/>
        <w:outlineLvl w:val="1"/>
        <w:rPr>
          <w:rFonts w:hint="eastAsia" w:ascii="宋体" w:hAnsi="宋体" w:eastAsia="宋体"/>
          <w:b/>
          <w:bCs/>
          <w:color w:val="auto"/>
          <w:sz w:val="24"/>
          <w:szCs w:val="18"/>
          <w:highlight w:val="none"/>
        </w:rPr>
      </w:pPr>
      <w:bookmarkStart w:id="29" w:name="_Toc27305"/>
      <w:bookmarkStart w:id="30" w:name="_Toc532199626"/>
      <w:r>
        <w:rPr>
          <w:rFonts w:hint="eastAsia" w:ascii="宋体" w:hAnsi="宋体" w:eastAsia="宋体"/>
          <w:b/>
          <w:bCs/>
          <w:color w:val="auto"/>
          <w:sz w:val="24"/>
          <w:szCs w:val="18"/>
          <w:highlight w:val="none"/>
        </w:rPr>
        <w:t>六、包装运输</w:t>
      </w:r>
      <w:bookmarkEnd w:id="18"/>
      <w:bookmarkEnd w:id="19"/>
      <w:bookmarkEnd w:id="20"/>
      <w:bookmarkEnd w:id="29"/>
      <w:bookmarkEnd w:id="30"/>
    </w:p>
    <w:p w14:paraId="21CB5996">
      <w:pPr>
        <w:spacing w:line="360" w:lineRule="auto"/>
        <w:ind w:firstLine="437"/>
        <w:outlineLvl w:val="1"/>
        <w:rPr>
          <w:rFonts w:ascii="宋体" w:hAnsi="宋体" w:eastAsia="宋体"/>
          <w:bCs/>
          <w:color w:val="auto"/>
          <w:sz w:val="24"/>
          <w:szCs w:val="18"/>
          <w:highlight w:val="none"/>
        </w:rPr>
      </w:pPr>
      <w:bookmarkStart w:id="31" w:name="_Toc6126"/>
      <w:bookmarkStart w:id="32" w:name="_Toc455587095"/>
      <w:bookmarkStart w:id="33" w:name="_Toc455587279"/>
      <w:bookmarkStart w:id="34" w:name="_Toc445554754"/>
      <w:r>
        <w:rPr>
          <w:rFonts w:ascii="宋体" w:hAnsi="宋体" w:eastAsia="宋体"/>
          <w:bCs/>
          <w:color w:val="auto"/>
          <w:sz w:val="24"/>
          <w:szCs w:val="18"/>
          <w:highlight w:val="none"/>
        </w:rPr>
        <w:t>1、中标人负责设备包装、办理运输和保险，将设备安全运抵交货地点。</w:t>
      </w:r>
      <w:bookmarkEnd w:id="31"/>
    </w:p>
    <w:p w14:paraId="53581479">
      <w:pPr>
        <w:spacing w:line="360" w:lineRule="auto"/>
        <w:ind w:firstLine="437"/>
        <w:outlineLvl w:val="1"/>
        <w:rPr>
          <w:rFonts w:ascii="宋体" w:hAnsi="宋体" w:eastAsia="宋体"/>
          <w:bCs/>
          <w:color w:val="auto"/>
          <w:sz w:val="24"/>
          <w:szCs w:val="18"/>
          <w:highlight w:val="none"/>
        </w:rPr>
      </w:pPr>
      <w:bookmarkStart w:id="35" w:name="_Toc1057"/>
      <w:r>
        <w:rPr>
          <w:rFonts w:ascii="宋体" w:hAnsi="宋体" w:eastAsia="宋体"/>
          <w:bCs/>
          <w:color w:val="auto"/>
          <w:sz w:val="24"/>
          <w:szCs w:val="18"/>
          <w:highlight w:val="none"/>
        </w:rPr>
        <w:t>2、设备制造完成并通过试验后应及时包装，否则应得到切实的保护，确保其不受污损。</w:t>
      </w:r>
      <w:bookmarkEnd w:id="35"/>
    </w:p>
    <w:p w14:paraId="57B5C669">
      <w:pPr>
        <w:spacing w:line="360" w:lineRule="auto"/>
        <w:ind w:firstLine="437"/>
        <w:outlineLvl w:val="1"/>
        <w:rPr>
          <w:rFonts w:ascii="宋体" w:hAnsi="宋体" w:eastAsia="宋体"/>
          <w:bCs/>
          <w:color w:val="auto"/>
          <w:sz w:val="24"/>
          <w:szCs w:val="18"/>
          <w:highlight w:val="none"/>
        </w:rPr>
      </w:pPr>
      <w:bookmarkStart w:id="36" w:name="_Toc31536"/>
      <w:r>
        <w:rPr>
          <w:rFonts w:ascii="宋体" w:hAnsi="宋体" w:eastAsia="宋体"/>
          <w:bCs/>
          <w:color w:val="auto"/>
          <w:sz w:val="24"/>
          <w:szCs w:val="18"/>
          <w:highlight w:val="none"/>
        </w:rPr>
        <w:t>3、在包装箱外应标明采购人的订货号、发货号。</w:t>
      </w:r>
      <w:bookmarkEnd w:id="36"/>
    </w:p>
    <w:p w14:paraId="71DD884E">
      <w:pPr>
        <w:spacing w:line="360" w:lineRule="auto"/>
        <w:ind w:firstLine="437"/>
        <w:outlineLvl w:val="1"/>
        <w:rPr>
          <w:rFonts w:ascii="宋体" w:hAnsi="宋体" w:eastAsia="宋体"/>
          <w:bCs/>
          <w:color w:val="auto"/>
          <w:sz w:val="24"/>
          <w:szCs w:val="18"/>
          <w:highlight w:val="none"/>
        </w:rPr>
      </w:pPr>
      <w:bookmarkStart w:id="37" w:name="_Toc23543"/>
      <w:r>
        <w:rPr>
          <w:rFonts w:ascii="宋体" w:hAnsi="宋体" w:eastAsia="宋体"/>
          <w:bCs/>
          <w:color w:val="auto"/>
          <w:sz w:val="24"/>
          <w:szCs w:val="18"/>
          <w:highlight w:val="none"/>
        </w:rPr>
        <w:t>4、各种包装应能确保各零部件在运输过程中不致遭到损坏、丢失、变形、受潮和腐蚀。</w:t>
      </w:r>
      <w:bookmarkEnd w:id="37"/>
    </w:p>
    <w:p w14:paraId="69BD60C8">
      <w:pPr>
        <w:spacing w:line="360" w:lineRule="auto"/>
        <w:ind w:firstLine="437"/>
        <w:outlineLvl w:val="1"/>
        <w:rPr>
          <w:rFonts w:ascii="宋体" w:hAnsi="宋体" w:eastAsia="宋体"/>
          <w:bCs/>
          <w:color w:val="auto"/>
          <w:sz w:val="24"/>
          <w:szCs w:val="18"/>
          <w:highlight w:val="none"/>
        </w:rPr>
      </w:pPr>
      <w:bookmarkStart w:id="38" w:name="_Toc15608"/>
      <w:r>
        <w:rPr>
          <w:rFonts w:ascii="宋体" w:hAnsi="宋体" w:eastAsia="宋体"/>
          <w:bCs/>
          <w:color w:val="auto"/>
          <w:sz w:val="24"/>
          <w:szCs w:val="18"/>
          <w:highlight w:val="none"/>
        </w:rPr>
        <w:t>5、包装箱上应有明显的包装储运图示标志。</w:t>
      </w:r>
      <w:bookmarkEnd w:id="38"/>
    </w:p>
    <w:p w14:paraId="618BA565">
      <w:pPr>
        <w:spacing w:line="360" w:lineRule="auto"/>
        <w:ind w:firstLine="437"/>
        <w:outlineLvl w:val="1"/>
        <w:rPr>
          <w:rFonts w:ascii="宋体" w:hAnsi="宋体" w:eastAsia="宋体"/>
          <w:bCs/>
          <w:color w:val="auto"/>
          <w:sz w:val="24"/>
          <w:szCs w:val="18"/>
          <w:highlight w:val="none"/>
        </w:rPr>
      </w:pPr>
      <w:bookmarkStart w:id="39" w:name="_Toc20581"/>
      <w:r>
        <w:rPr>
          <w:rFonts w:ascii="宋体" w:hAnsi="宋体" w:eastAsia="宋体"/>
          <w:bCs/>
          <w:color w:val="auto"/>
          <w:sz w:val="24"/>
          <w:szCs w:val="18"/>
          <w:highlight w:val="none"/>
        </w:rPr>
        <w:t>6、整体产品或分别运输的部件都要适应运输和装载的要求。</w:t>
      </w:r>
      <w:bookmarkEnd w:id="39"/>
    </w:p>
    <w:p w14:paraId="21EFB1D7">
      <w:pPr>
        <w:spacing w:line="360" w:lineRule="auto"/>
        <w:ind w:firstLine="437"/>
        <w:outlineLvl w:val="1"/>
        <w:rPr>
          <w:rFonts w:ascii="宋体" w:hAnsi="宋体" w:eastAsia="宋体"/>
          <w:bCs/>
          <w:color w:val="auto"/>
          <w:sz w:val="24"/>
          <w:szCs w:val="18"/>
          <w:highlight w:val="none"/>
        </w:rPr>
      </w:pPr>
      <w:bookmarkStart w:id="40" w:name="_Toc29056"/>
      <w:r>
        <w:rPr>
          <w:rFonts w:ascii="宋体" w:hAnsi="宋体" w:eastAsia="宋体"/>
          <w:bCs/>
          <w:color w:val="auto"/>
          <w:sz w:val="24"/>
          <w:szCs w:val="18"/>
          <w:highlight w:val="none"/>
        </w:rPr>
        <w:t>7、随产品提供的技术资料应完整无缺。</w:t>
      </w:r>
      <w:bookmarkEnd w:id="40"/>
    </w:p>
    <w:p w14:paraId="49CD05CE">
      <w:pPr>
        <w:spacing w:line="360" w:lineRule="auto"/>
        <w:ind w:firstLine="437"/>
        <w:outlineLvl w:val="1"/>
        <w:rPr>
          <w:rFonts w:hint="eastAsia" w:ascii="宋体" w:hAnsi="宋体" w:eastAsia="宋体"/>
          <w:b/>
          <w:bCs/>
          <w:color w:val="auto"/>
          <w:sz w:val="24"/>
          <w:szCs w:val="18"/>
          <w:highlight w:val="none"/>
        </w:rPr>
      </w:pPr>
      <w:bookmarkStart w:id="41" w:name="_Toc532199627"/>
      <w:bookmarkStart w:id="42" w:name="_Toc16383"/>
      <w:r>
        <w:rPr>
          <w:rFonts w:hint="eastAsia" w:ascii="宋体" w:hAnsi="宋体" w:eastAsia="宋体"/>
          <w:b/>
          <w:bCs/>
          <w:color w:val="auto"/>
          <w:sz w:val="24"/>
          <w:szCs w:val="18"/>
          <w:highlight w:val="none"/>
          <w:lang w:eastAsia="zh-CN"/>
        </w:rPr>
        <w:t>七</w:t>
      </w:r>
      <w:r>
        <w:rPr>
          <w:rFonts w:hint="eastAsia" w:ascii="宋体" w:hAnsi="宋体" w:eastAsia="宋体"/>
          <w:b/>
          <w:bCs/>
          <w:color w:val="auto"/>
          <w:sz w:val="24"/>
          <w:szCs w:val="18"/>
          <w:highlight w:val="none"/>
        </w:rPr>
        <w:t>、技术培训</w:t>
      </w:r>
      <w:bookmarkEnd w:id="32"/>
      <w:bookmarkEnd w:id="33"/>
      <w:bookmarkEnd w:id="34"/>
      <w:bookmarkEnd w:id="41"/>
      <w:bookmarkEnd w:id="42"/>
    </w:p>
    <w:p w14:paraId="507EAD6C">
      <w:pPr>
        <w:spacing w:line="360" w:lineRule="auto"/>
        <w:ind w:firstLine="437"/>
        <w:outlineLvl w:val="1"/>
        <w:rPr>
          <w:rFonts w:ascii="宋体" w:hAnsi="宋体" w:eastAsia="宋体"/>
          <w:bCs/>
          <w:color w:val="auto"/>
          <w:sz w:val="24"/>
          <w:szCs w:val="18"/>
          <w:highlight w:val="none"/>
        </w:rPr>
      </w:pPr>
      <w:bookmarkStart w:id="43" w:name="_Toc13123"/>
      <w:r>
        <w:rPr>
          <w:rFonts w:ascii="宋体" w:hAnsi="宋体" w:eastAsia="宋体"/>
          <w:bCs/>
          <w:color w:val="auto"/>
          <w:sz w:val="24"/>
          <w:szCs w:val="18"/>
          <w:highlight w:val="none"/>
        </w:rPr>
        <w:t>1、为使合同设备能正常安装和运行，由中标人提供相应的技术培训</w:t>
      </w:r>
      <w:r>
        <w:rPr>
          <w:rFonts w:hint="eastAsia" w:ascii="宋体" w:hAnsi="宋体" w:eastAsia="宋体"/>
          <w:bCs/>
          <w:color w:val="auto"/>
          <w:sz w:val="24"/>
          <w:szCs w:val="18"/>
          <w:highlight w:val="none"/>
          <w:lang w:eastAsia="zh-CN"/>
        </w:rPr>
        <w:t>，</w:t>
      </w:r>
      <w:r>
        <w:rPr>
          <w:rFonts w:ascii="宋体" w:hAnsi="宋体" w:eastAsia="宋体"/>
          <w:bCs/>
          <w:color w:val="auto"/>
          <w:sz w:val="24"/>
          <w:szCs w:val="18"/>
          <w:highlight w:val="none"/>
        </w:rPr>
        <w:t>培训费用</w:t>
      </w:r>
      <w:r>
        <w:rPr>
          <w:rFonts w:hint="eastAsia" w:ascii="宋体" w:hAnsi="宋体" w:eastAsia="宋体"/>
          <w:bCs/>
          <w:color w:val="auto"/>
          <w:sz w:val="24"/>
          <w:szCs w:val="18"/>
          <w:highlight w:val="none"/>
          <w:lang w:val="en-US" w:eastAsia="zh-CN"/>
        </w:rPr>
        <w:t>包含在投标报价内</w:t>
      </w:r>
      <w:r>
        <w:rPr>
          <w:rFonts w:ascii="宋体" w:hAnsi="宋体" w:eastAsia="宋体"/>
          <w:bCs/>
          <w:color w:val="auto"/>
          <w:sz w:val="24"/>
          <w:szCs w:val="18"/>
          <w:highlight w:val="none"/>
        </w:rPr>
        <w:t>。</w:t>
      </w:r>
      <w:bookmarkEnd w:id="43"/>
    </w:p>
    <w:p w14:paraId="42FEEE62">
      <w:pPr>
        <w:spacing w:line="360" w:lineRule="auto"/>
        <w:ind w:firstLine="437"/>
        <w:outlineLvl w:val="1"/>
        <w:rPr>
          <w:rFonts w:ascii="宋体" w:hAnsi="宋体" w:eastAsia="宋体"/>
          <w:bCs/>
          <w:color w:val="auto"/>
          <w:sz w:val="24"/>
          <w:szCs w:val="18"/>
          <w:highlight w:val="none"/>
        </w:rPr>
      </w:pPr>
      <w:bookmarkStart w:id="44" w:name="_Toc8351"/>
      <w:r>
        <w:rPr>
          <w:rFonts w:ascii="宋体" w:hAnsi="宋体" w:eastAsia="宋体"/>
          <w:bCs/>
          <w:color w:val="auto"/>
          <w:sz w:val="24"/>
          <w:szCs w:val="18"/>
          <w:highlight w:val="none"/>
        </w:rPr>
        <w:t>2、培训的时间、人数、地点等具体内容由买卖双方商定，内容至少包括：设备原理、使用、维护、运行操作、常见故障处理等。</w:t>
      </w:r>
      <w:bookmarkEnd w:id="44"/>
    </w:p>
    <w:p w14:paraId="7310DA27">
      <w:pPr>
        <w:spacing w:line="360" w:lineRule="auto"/>
        <w:ind w:firstLine="437"/>
        <w:outlineLvl w:val="1"/>
        <w:rPr>
          <w:rFonts w:hint="eastAsia" w:ascii="宋体" w:hAnsi="宋体" w:eastAsia="宋体"/>
          <w:b/>
          <w:bCs/>
          <w:color w:val="auto"/>
          <w:sz w:val="24"/>
          <w:szCs w:val="18"/>
          <w:highlight w:val="none"/>
        </w:rPr>
      </w:pPr>
      <w:bookmarkStart w:id="45" w:name="_Toc6334"/>
      <w:bookmarkStart w:id="46" w:name="_Toc532199628"/>
      <w:r>
        <w:rPr>
          <w:rFonts w:hint="eastAsia" w:ascii="宋体" w:hAnsi="宋体" w:eastAsia="宋体"/>
          <w:b/>
          <w:bCs/>
          <w:color w:val="auto"/>
          <w:sz w:val="24"/>
          <w:szCs w:val="18"/>
          <w:highlight w:val="none"/>
          <w:lang w:eastAsia="zh-CN"/>
        </w:rPr>
        <w:t>八</w:t>
      </w:r>
      <w:r>
        <w:rPr>
          <w:rFonts w:hint="eastAsia" w:ascii="宋体" w:hAnsi="宋体" w:eastAsia="宋体"/>
          <w:b/>
          <w:bCs/>
          <w:color w:val="auto"/>
          <w:sz w:val="24"/>
          <w:szCs w:val="18"/>
          <w:highlight w:val="none"/>
        </w:rPr>
        <w:t>、质保及售后服务</w:t>
      </w:r>
      <w:bookmarkEnd w:id="45"/>
    </w:p>
    <w:p w14:paraId="139989E7">
      <w:pPr>
        <w:spacing w:line="360" w:lineRule="auto"/>
        <w:ind w:firstLine="437"/>
        <w:outlineLvl w:val="1"/>
        <w:rPr>
          <w:rFonts w:ascii="宋体" w:hAnsi="宋体" w:eastAsia="宋体"/>
          <w:bCs/>
          <w:color w:val="auto"/>
          <w:sz w:val="24"/>
          <w:szCs w:val="18"/>
          <w:highlight w:val="none"/>
        </w:rPr>
      </w:pPr>
      <w:bookmarkStart w:id="47" w:name="_Toc28345"/>
      <w:r>
        <w:rPr>
          <w:rFonts w:ascii="宋体" w:hAnsi="宋体" w:eastAsia="宋体"/>
          <w:bCs/>
          <w:color w:val="auto"/>
          <w:sz w:val="24"/>
          <w:szCs w:val="18"/>
          <w:highlight w:val="none"/>
        </w:rPr>
        <w:t>1、自双方签订《验收报告》起进入质保期。</w:t>
      </w:r>
      <w:bookmarkEnd w:id="47"/>
    </w:p>
    <w:p w14:paraId="40046156">
      <w:pPr>
        <w:spacing w:line="360" w:lineRule="auto"/>
        <w:ind w:firstLine="437"/>
        <w:outlineLvl w:val="1"/>
        <w:rPr>
          <w:rFonts w:ascii="宋体" w:hAnsi="宋体" w:eastAsia="宋体"/>
          <w:bCs/>
          <w:color w:val="auto"/>
          <w:sz w:val="24"/>
          <w:szCs w:val="18"/>
          <w:highlight w:val="none"/>
        </w:rPr>
      </w:pPr>
      <w:bookmarkStart w:id="48" w:name="_Toc29939"/>
      <w:r>
        <w:rPr>
          <w:rFonts w:ascii="宋体" w:hAnsi="宋体" w:eastAsia="宋体"/>
          <w:bCs/>
          <w:color w:val="auto"/>
          <w:sz w:val="24"/>
          <w:szCs w:val="18"/>
          <w:highlight w:val="none"/>
        </w:rPr>
        <w:t>2、在质保期间内，非采购人过失和故意并且在正常使用的情况下发现商品有缺陷，中标人</w:t>
      </w:r>
      <w:r>
        <w:rPr>
          <w:rFonts w:hint="eastAsia" w:ascii="宋体" w:hAnsi="宋体" w:eastAsia="宋体"/>
          <w:bCs/>
          <w:color w:val="auto"/>
          <w:sz w:val="24"/>
          <w:szCs w:val="18"/>
          <w:highlight w:val="none"/>
          <w:lang w:val="en-US" w:eastAsia="zh-CN"/>
        </w:rPr>
        <w:t>应</w:t>
      </w:r>
      <w:r>
        <w:rPr>
          <w:rFonts w:ascii="宋体" w:hAnsi="宋体" w:eastAsia="宋体"/>
          <w:bCs/>
          <w:color w:val="auto"/>
          <w:sz w:val="24"/>
          <w:szCs w:val="18"/>
          <w:highlight w:val="none"/>
        </w:rPr>
        <w:t>修理或替换该设备；在质保期间内，非采购人过失和故意并且在正常使用的情况下设备发生故障，中标人应及时提供服务。</w:t>
      </w:r>
      <w:bookmarkEnd w:id="46"/>
      <w:bookmarkEnd w:id="48"/>
    </w:p>
    <w:p w14:paraId="0ABE3533">
      <w:pPr>
        <w:spacing w:line="360" w:lineRule="auto"/>
        <w:ind w:firstLine="437"/>
        <w:outlineLvl w:val="1"/>
        <w:rPr>
          <w:rFonts w:ascii="宋体" w:hAnsi="宋体" w:eastAsia="宋体"/>
          <w:bCs/>
          <w:color w:val="auto"/>
          <w:sz w:val="24"/>
          <w:szCs w:val="18"/>
          <w:highlight w:val="none"/>
        </w:rPr>
      </w:pPr>
    </w:p>
    <w:p w14:paraId="18688D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1F071"/>
    <w:multiLevelType w:val="singleLevel"/>
    <w:tmpl w:val="6051F071"/>
    <w:lvl w:ilvl="0" w:tentative="0">
      <w:start w:val="1"/>
      <w:numFmt w:val="decimal"/>
      <w:suff w:val="nothing"/>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E38D3"/>
    <w:rsid w:val="39E06120"/>
    <w:rsid w:val="42DC5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Arial" w:hAnsi="Arial" w:eastAsia="黑体" w:cs="Arial"/>
    </w:r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amp;L"/>
    <w:basedOn w:val="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1891</Words>
  <Characters>1971</Characters>
  <Lines>0</Lines>
  <Paragraphs>0</Paragraphs>
  <TotalTime>0</TotalTime>
  <ScaleCrop>false</ScaleCrop>
  <LinksUpToDate>false</LinksUpToDate>
  <CharactersWithSpaces>1977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2026-07-14T07:04:00Z</dcterms:created>
  <dc:creator>Lenovo</dc:creator>
  <cp:lastModifiedBy>省招</cp:lastModifiedBy>
  <dcterms:modified xsi:type="dcterms:W3CDTF">2026-07-14T11:44:55Z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eyJoZGlkIjoiMmM2MTA4NWRhZjRiYWU5NDgyMzc3NDQyMDk2Y2ZlODgiLCJ1c2VySWQiOiI4ODgyMDUxMzUifQ==</vt:lpwstr>
  </property>
  <property fmtid="{D5CDD505-2E9C-101B-9397-08002B2CF9AE}" pid="4" name="ICV">
    <vt:lpwstr>3D29B110B74C4812B3C3E69C7AD62F03_12</vt:lpwstr>
  </property>
</Properties>
</file>