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0263B">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6A8CC666">
      <w:pPr>
        <w:pStyle w:val="3"/>
        <w:spacing w:before="0" w:after="0" w:line="360" w:lineRule="auto"/>
        <w:rPr>
          <w:rStyle w:val="8"/>
          <w:rFonts w:ascii="宋体" w:hAnsi="宋体" w:eastAsia="仿宋"/>
          <w:b/>
          <w:bCs/>
          <w:sz w:val="24"/>
          <w:szCs w:val="24"/>
        </w:rPr>
      </w:pPr>
      <w:bookmarkStart w:id="1" w:name="_Toc466024556"/>
      <w:bookmarkStart w:id="2" w:name="_Toc455587273"/>
      <w:bookmarkStart w:id="3" w:name="_Toc455587089"/>
      <w:r>
        <w:rPr>
          <w:rStyle w:val="8"/>
          <w:rFonts w:hint="eastAsia" w:ascii="仿宋" w:hAnsi="仿宋" w:eastAsia="仿宋" w:cs="仿宋"/>
          <w:b/>
          <w:bCs/>
          <w:sz w:val="24"/>
          <w:szCs w:val="24"/>
        </w:rPr>
        <w:t xml:space="preserve">1. </w:t>
      </w:r>
      <w:bookmarkEnd w:id="1"/>
      <w:bookmarkEnd w:id="2"/>
      <w:bookmarkEnd w:id="3"/>
      <w:r>
        <w:rPr>
          <w:rStyle w:val="8"/>
          <w:rFonts w:hint="eastAsia" w:ascii="仿宋" w:hAnsi="仿宋" w:eastAsia="仿宋" w:cs="仿宋"/>
          <w:b/>
          <w:bCs/>
          <w:sz w:val="24"/>
          <w:szCs w:val="24"/>
        </w:rPr>
        <w:t>总</w:t>
      </w:r>
      <w:r>
        <w:rPr>
          <w:rStyle w:val="8"/>
          <w:rFonts w:hint="eastAsia" w:ascii="宋体" w:hAnsi="宋体" w:eastAsia="仿宋"/>
          <w:b/>
          <w:bCs/>
          <w:sz w:val="24"/>
          <w:szCs w:val="24"/>
        </w:rPr>
        <w:t>体说明</w:t>
      </w:r>
    </w:p>
    <w:p w14:paraId="3E12F34B">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04E3DECA">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3111372B">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2CDBF22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62B300ED">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7556F93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F00ED09">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4F366C6C">
      <w:pPr>
        <w:widowControl/>
        <w:tabs>
          <w:tab w:val="left" w:pos="1406"/>
        </w:tabs>
        <w:snapToGrid w:val="0"/>
        <w:spacing w:line="360" w:lineRule="auto"/>
        <w:rPr>
          <w:rFonts w:hint="eastAsia" w:ascii="仿宋" w:hAnsi="仿宋" w:eastAsia="仿宋" w:cs="仿宋"/>
          <w:color w:val="000000"/>
          <w:sz w:val="24"/>
        </w:rPr>
      </w:pPr>
    </w:p>
    <w:p w14:paraId="0438DCF3">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4C67E16E">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5"/>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67E4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54D24CA7">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76C66F9C">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405628F4">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58389C00">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41BEBA7D">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7190E256">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1DEA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41" w:type="dxa"/>
            <w:noWrap w:val="0"/>
            <w:vAlign w:val="center"/>
          </w:tcPr>
          <w:p w14:paraId="25FB2DC1">
            <w:pPr>
              <w:keepNext w:val="0"/>
              <w:keepLines w:val="0"/>
              <w:widowControl/>
              <w:spacing w:line="360" w:lineRule="auto"/>
              <w:jc w:val="center"/>
              <w:outlineLvl w:val="9"/>
              <w:rPr>
                <w:rFonts w:hint="eastAsia"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11</w:t>
            </w:r>
          </w:p>
        </w:tc>
        <w:tc>
          <w:tcPr>
            <w:tcW w:w="4579" w:type="dxa"/>
            <w:noWrap w:val="0"/>
            <w:vAlign w:val="center"/>
          </w:tcPr>
          <w:p w14:paraId="5800B1A1">
            <w:pPr>
              <w:keepNext w:val="0"/>
              <w:keepLines w:val="0"/>
              <w:widowControl/>
              <w:spacing w:line="360" w:lineRule="auto"/>
              <w:jc w:val="center"/>
              <w:outlineLvl w:val="9"/>
              <w:rPr>
                <w:rFonts w:hint="eastAsia" w:ascii="仿宋" w:hAnsi="仿宋" w:eastAsia="仿宋" w:cs="仿宋"/>
                <w:color w:val="000000"/>
                <w:kern w:val="0"/>
                <w:sz w:val="24"/>
                <w:lang w:bidi="ar"/>
              </w:rPr>
            </w:pPr>
            <w:r>
              <w:rPr>
                <w:rFonts w:hint="eastAsia" w:ascii="仿宋" w:hAnsi="仿宋" w:eastAsia="仿宋" w:cs="仿宋"/>
                <w:color w:val="000000"/>
                <w:sz w:val="24"/>
              </w:rPr>
              <w:t>▲</w:t>
            </w:r>
            <w:r>
              <w:rPr>
                <w:rFonts w:hint="eastAsia" w:ascii="仿宋" w:hAnsi="仿宋" w:eastAsia="仿宋" w:cs="仿宋"/>
                <w:color w:val="000000"/>
                <w:kern w:val="0"/>
                <w:sz w:val="24"/>
                <w:lang w:bidi="ar"/>
              </w:rPr>
              <w:t>流式细胞分析系统</w:t>
            </w:r>
          </w:p>
        </w:tc>
        <w:tc>
          <w:tcPr>
            <w:tcW w:w="981" w:type="dxa"/>
            <w:noWrap w:val="0"/>
            <w:vAlign w:val="center"/>
          </w:tcPr>
          <w:p w14:paraId="7D8FC738">
            <w:pPr>
              <w:widowControl/>
              <w:spacing w:line="360" w:lineRule="auto"/>
              <w:jc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套</w:t>
            </w:r>
          </w:p>
        </w:tc>
        <w:tc>
          <w:tcPr>
            <w:tcW w:w="1060" w:type="dxa"/>
            <w:noWrap w:val="0"/>
            <w:vAlign w:val="center"/>
          </w:tcPr>
          <w:p w14:paraId="2035E60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1173" w:type="dxa"/>
            <w:noWrap w:val="0"/>
            <w:vAlign w:val="center"/>
          </w:tcPr>
          <w:p w14:paraId="3638A395">
            <w:pPr>
              <w:keepNext w:val="0"/>
              <w:keepLines w:val="0"/>
              <w:widowControl/>
              <w:spacing w:line="360" w:lineRule="auto"/>
              <w:jc w:val="center"/>
              <w:outlineLvl w:val="9"/>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工业</w:t>
            </w:r>
          </w:p>
        </w:tc>
        <w:tc>
          <w:tcPr>
            <w:tcW w:w="1218" w:type="dxa"/>
            <w:noWrap w:val="0"/>
            <w:vAlign w:val="center"/>
          </w:tcPr>
          <w:p w14:paraId="2A790309">
            <w:pPr>
              <w:keepNext w:val="0"/>
              <w:keepLines w:val="0"/>
              <w:widowControl/>
              <w:spacing w:line="360" w:lineRule="auto"/>
              <w:jc w:val="center"/>
              <w:outlineLvl w:val="9"/>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否</w:t>
            </w:r>
          </w:p>
        </w:tc>
      </w:tr>
    </w:tbl>
    <w:p w14:paraId="0F47240D">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1F77C587">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0FB3E169">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6FD4FCCF">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095"/>
        <w:gridCol w:w="6808"/>
      </w:tblGrid>
      <w:tr w14:paraId="0A2D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40" w:type="dxa"/>
            <w:noWrap w:val="0"/>
            <w:vAlign w:val="center"/>
          </w:tcPr>
          <w:p w14:paraId="2B325F04">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217" w:type="dxa"/>
            <w:gridSpan w:val="2"/>
            <w:noWrap w:val="0"/>
            <w:vAlign w:val="center"/>
          </w:tcPr>
          <w:p w14:paraId="23D2AA7C">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2662B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642459FF">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128" w:type="dxa"/>
            <w:noWrap w:val="0"/>
            <w:vAlign w:val="center"/>
          </w:tcPr>
          <w:p w14:paraId="6BABC22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8089" w:type="dxa"/>
            <w:noWrap w:val="0"/>
            <w:vAlign w:val="center"/>
          </w:tcPr>
          <w:p w14:paraId="060BB496">
            <w:pPr>
              <w:widowControl/>
              <w:adjustRightInd w:val="0"/>
              <w:snapToGrid w:val="0"/>
              <w:spacing w:line="288" w:lineRule="auto"/>
              <w:rPr>
                <w:rFonts w:ascii="仿宋" w:hAnsi="仿宋" w:eastAsia="仿宋" w:cs="仿宋"/>
                <w:b/>
                <w:bCs w:val="0"/>
                <w:color w:val="000000"/>
                <w:sz w:val="24"/>
              </w:rPr>
            </w:pPr>
            <w:r>
              <w:rPr>
                <w:rFonts w:hint="eastAsia" w:ascii="仿宋" w:hAnsi="仿宋" w:eastAsia="仿宋" w:cs="仿宋"/>
                <w:b/>
                <w:bCs w:val="0"/>
                <w:color w:val="000000"/>
                <w:sz w:val="24"/>
              </w:rPr>
              <w:t>合同签订生效后，接采购人通知后60个日历天内完成供货安装调试。</w:t>
            </w:r>
          </w:p>
          <w:p w14:paraId="1522275D">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1EBD28B2">
            <w:pPr>
              <w:pStyle w:val="9"/>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25B803A6">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45F7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4BA7B90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128" w:type="dxa"/>
            <w:noWrap w:val="0"/>
            <w:vAlign w:val="center"/>
          </w:tcPr>
          <w:p w14:paraId="093CFF4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8089" w:type="dxa"/>
            <w:noWrap w:val="0"/>
            <w:vAlign w:val="center"/>
          </w:tcPr>
          <w:p w14:paraId="319558CF">
            <w:pPr>
              <w:wordWrap w:val="0"/>
              <w:spacing w:line="360" w:lineRule="auto"/>
              <w:jc w:val="both"/>
              <w:rPr>
                <w:rFonts w:hint="default" w:ascii="仿宋" w:hAnsi="仿宋" w:eastAsia="仿宋" w:cs="仿宋"/>
                <w:bCs/>
                <w:color w:val="000000"/>
                <w:sz w:val="24"/>
                <w:lang w:val="en-US" w:eastAsia="zh-CN"/>
              </w:rPr>
            </w:pPr>
            <w:r>
              <w:rPr>
                <w:rFonts w:hint="eastAsia" w:ascii="仿宋" w:hAnsi="仿宋" w:eastAsia="仿宋" w:cs="仿宋"/>
                <w:b/>
                <w:bCs w:val="0"/>
                <w:color w:val="000000"/>
                <w:sz w:val="24"/>
                <w:lang w:val="en-US" w:eastAsia="zh-CN"/>
              </w:rPr>
              <w:t>上海市第六人民医院安徽医院</w:t>
            </w:r>
          </w:p>
        </w:tc>
      </w:tr>
      <w:tr w14:paraId="38FD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0713711C">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128" w:type="dxa"/>
            <w:noWrap w:val="0"/>
            <w:vAlign w:val="center"/>
          </w:tcPr>
          <w:p w14:paraId="5EA740D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8089" w:type="dxa"/>
            <w:noWrap w:val="0"/>
            <w:vAlign w:val="center"/>
          </w:tcPr>
          <w:p w14:paraId="0E5FC753">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b/>
                <w:bCs/>
                <w:kern w:val="0"/>
                <w:sz w:val="24"/>
                <w:lang w:val="en-US" w:eastAsia="zh-CN"/>
              </w:rPr>
              <w:t>本项目</w:t>
            </w:r>
            <w:r>
              <w:rPr>
                <w:rFonts w:hint="eastAsia" w:ascii="仿宋" w:hAnsi="仿宋" w:eastAsia="仿宋" w:cs="仿宋"/>
                <w:b/>
                <w:bCs/>
                <w:kern w:val="0"/>
                <w:sz w:val="24"/>
              </w:rPr>
              <w:t>合同签订生效后，货到安装验收合格后，提供产品的使用、操作及维修人员的培训，并能独立操作且使用部门签字确认后，支付全部合同款项</w:t>
            </w:r>
            <w:r>
              <w:rPr>
                <w:rFonts w:hint="eastAsia" w:ascii="仿宋" w:hAnsi="仿宋" w:eastAsia="仿宋" w:cs="仿宋"/>
                <w:color w:val="000000"/>
                <w:sz w:val="24"/>
              </w:rPr>
              <w:t xml:space="preserve">。 </w:t>
            </w:r>
          </w:p>
          <w:p w14:paraId="548A9333">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4903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6A896CE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1128" w:type="dxa"/>
            <w:noWrap w:val="0"/>
            <w:vAlign w:val="center"/>
          </w:tcPr>
          <w:p w14:paraId="1E0A6016">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8089" w:type="dxa"/>
            <w:noWrap w:val="0"/>
            <w:vAlign w:val="top"/>
          </w:tcPr>
          <w:p w14:paraId="77CB4036">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6D7A1F37">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49D45E98">
            <w:pPr>
              <w:pStyle w:val="9"/>
              <w:ind w:firstLine="480"/>
              <w:rPr>
                <w:rFonts w:hint="eastAsia" w:ascii="楷体" w:hAnsi="楷体" w:eastAsia="仿宋" w:cs="Calibri"/>
                <w:sz w:val="24"/>
              </w:rPr>
            </w:pPr>
            <w:r>
              <w:rPr>
                <w:rFonts w:hint="eastAsia" w:ascii="楷体" w:hAnsi="楷体" w:eastAsia="仿宋" w:cs="Calibri"/>
                <w:sz w:val="24"/>
              </w:rPr>
              <w:t xml:space="preserve">            □接受：</w:t>
            </w:r>
          </w:p>
          <w:p w14:paraId="225CD122">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4FF6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5C974E06">
            <w:pPr>
              <w:wordWrap w:val="0"/>
              <w:spacing w:line="360" w:lineRule="auto"/>
              <w:jc w:val="center"/>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5</w:t>
            </w:r>
          </w:p>
        </w:tc>
        <w:tc>
          <w:tcPr>
            <w:tcW w:w="1128" w:type="dxa"/>
            <w:noWrap w:val="0"/>
            <w:vAlign w:val="center"/>
          </w:tcPr>
          <w:p w14:paraId="1B50D562">
            <w:pPr>
              <w:wordWrap w:val="0"/>
              <w:spacing w:line="360" w:lineRule="auto"/>
              <w:jc w:val="center"/>
              <w:rPr>
                <w:rFonts w:hint="eastAsia" w:ascii="宋体" w:hAnsi="宋体" w:eastAsia="仿宋" w:cs="Calibri"/>
                <w:b/>
                <w:bCs/>
                <w:sz w:val="24"/>
              </w:rPr>
            </w:pPr>
            <w:r>
              <w:rPr>
                <w:rFonts w:hint="eastAsia" w:ascii="仿宋" w:hAnsi="仿宋" w:eastAsia="仿宋" w:cs="仿宋"/>
                <w:b/>
                <w:bCs/>
                <w:kern w:val="0"/>
                <w:sz w:val="24"/>
              </w:rPr>
              <w:t>质量要求</w:t>
            </w:r>
          </w:p>
        </w:tc>
        <w:tc>
          <w:tcPr>
            <w:tcW w:w="8089" w:type="dxa"/>
            <w:noWrap w:val="0"/>
            <w:vAlign w:val="top"/>
          </w:tcPr>
          <w:p w14:paraId="59572195">
            <w:pPr>
              <w:wordWrap w:val="0"/>
              <w:spacing w:line="360" w:lineRule="auto"/>
              <w:jc w:val="left"/>
              <w:rPr>
                <w:rFonts w:hint="eastAsia" w:ascii="楷体" w:hAnsi="楷体" w:eastAsia="仿宋" w:cs="Calibri"/>
                <w:sz w:val="24"/>
              </w:rPr>
            </w:pPr>
            <w:r>
              <w:rPr>
                <w:rFonts w:hint="eastAsia" w:ascii="仿宋" w:hAnsi="仿宋" w:eastAsia="仿宋" w:cs="仿宋"/>
                <w:b/>
                <w:bCs/>
                <w:kern w:val="0"/>
                <w:sz w:val="24"/>
              </w:rPr>
              <w:t>合格</w:t>
            </w:r>
          </w:p>
        </w:tc>
      </w:tr>
      <w:tr w14:paraId="16DB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40" w:type="dxa"/>
            <w:noWrap w:val="0"/>
            <w:vAlign w:val="center"/>
          </w:tcPr>
          <w:p w14:paraId="715C2E4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1128" w:type="dxa"/>
            <w:noWrap w:val="0"/>
            <w:vAlign w:val="center"/>
          </w:tcPr>
          <w:p w14:paraId="7D485200">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8089" w:type="dxa"/>
            <w:noWrap w:val="0"/>
            <w:vAlign w:val="center"/>
          </w:tcPr>
          <w:p w14:paraId="7276A6EB">
            <w:pPr>
              <w:pStyle w:val="4"/>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投标人所投设备须与医院信息系统连接，由此产生的费用包含在投标总报价中，采购人不另行支付。</w:t>
            </w:r>
          </w:p>
          <w:p w14:paraId="4DF84A50">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5DF574B">
            <w:pPr>
              <w:pStyle w:val="9"/>
              <w:ind w:firstLine="480"/>
              <w:rPr>
                <w:rFonts w:hint="eastAsia" w:ascii="楷体" w:hAnsi="楷体" w:eastAsia="仿宋" w:cs="Calibri"/>
                <w:sz w:val="24"/>
              </w:rPr>
            </w:pPr>
            <w:r>
              <w:rPr>
                <w:rFonts w:hint="eastAsia" w:ascii="楷体" w:hAnsi="楷体" w:eastAsia="仿宋" w:cs="Calibri"/>
                <w:sz w:val="24"/>
              </w:rPr>
              <w:t xml:space="preserve">            □接受：</w:t>
            </w:r>
          </w:p>
          <w:p w14:paraId="0803DC60">
            <w:pPr>
              <w:pStyle w:val="4"/>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3E88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40" w:type="dxa"/>
            <w:noWrap w:val="0"/>
            <w:vAlign w:val="center"/>
          </w:tcPr>
          <w:p w14:paraId="541B3C4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1128" w:type="dxa"/>
            <w:noWrap w:val="0"/>
            <w:vAlign w:val="center"/>
          </w:tcPr>
          <w:p w14:paraId="66A739CB">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8089" w:type="dxa"/>
            <w:noWrap w:val="0"/>
            <w:vAlign w:val="top"/>
          </w:tcPr>
          <w:p w14:paraId="51B9F2F1">
            <w:pPr>
              <w:pStyle w:val="1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3ED92D0B">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26B4C3CB">
            <w:pPr>
              <w:pStyle w:val="9"/>
              <w:ind w:firstLine="480"/>
              <w:rPr>
                <w:rFonts w:hint="eastAsia" w:ascii="楷体" w:hAnsi="楷体" w:eastAsia="仿宋" w:cs="Calibri"/>
                <w:sz w:val="24"/>
              </w:rPr>
            </w:pPr>
            <w:r>
              <w:rPr>
                <w:rFonts w:hint="eastAsia" w:ascii="楷体" w:hAnsi="楷体" w:eastAsia="仿宋" w:cs="Calibri"/>
                <w:sz w:val="24"/>
              </w:rPr>
              <w:t xml:space="preserve">            □接受：</w:t>
            </w:r>
          </w:p>
          <w:p w14:paraId="500E53A8">
            <w:pPr>
              <w:pStyle w:val="10"/>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19FE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noWrap w:val="0"/>
            <w:vAlign w:val="center"/>
          </w:tcPr>
          <w:p w14:paraId="54DDB805">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8</w:t>
            </w:r>
          </w:p>
        </w:tc>
        <w:tc>
          <w:tcPr>
            <w:tcW w:w="1128" w:type="dxa"/>
            <w:noWrap w:val="0"/>
            <w:vAlign w:val="center"/>
          </w:tcPr>
          <w:p w14:paraId="6FBB29FA">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8089" w:type="dxa"/>
            <w:noWrap w:val="0"/>
            <w:vAlign w:val="center"/>
          </w:tcPr>
          <w:p w14:paraId="1CCC576D">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8.1</w:t>
            </w:r>
            <w:r>
              <w:rPr>
                <w:rFonts w:hint="eastAsia" w:ascii="仿宋" w:hAnsi="仿宋" w:eastAsia="仿宋" w:cs="仿宋"/>
                <w:b/>
                <w:color w:val="000000"/>
                <w:sz w:val="24"/>
              </w:rPr>
              <w:t>投标人为制造商的，须具有相应的医疗器械生产备案获取的备案编号（属于一类时）。</w:t>
            </w:r>
          </w:p>
          <w:p w14:paraId="19B09E5A">
            <w:pPr>
              <w:pStyle w:val="1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8.2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4A5D04BB">
            <w:pPr>
              <w:pStyle w:val="4"/>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8.3</w:t>
            </w: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7986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dxa"/>
            <w:noWrap w:val="0"/>
            <w:vAlign w:val="center"/>
          </w:tcPr>
          <w:p w14:paraId="1C52E434">
            <w:pPr>
              <w:wordWrap w:val="0"/>
              <w:spacing w:line="36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9</w:t>
            </w:r>
          </w:p>
        </w:tc>
        <w:tc>
          <w:tcPr>
            <w:tcW w:w="1128" w:type="dxa"/>
            <w:noWrap w:val="0"/>
            <w:vAlign w:val="center"/>
          </w:tcPr>
          <w:p w14:paraId="7109BFA0">
            <w:pPr>
              <w:wordWrap w:val="0"/>
              <w:spacing w:line="36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商务条款</w:t>
            </w:r>
          </w:p>
        </w:tc>
        <w:tc>
          <w:tcPr>
            <w:tcW w:w="8089" w:type="dxa"/>
            <w:noWrap w:val="0"/>
            <w:vAlign w:val="center"/>
          </w:tcPr>
          <w:p w14:paraId="1567DE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9.1</w:t>
            </w:r>
            <w:r>
              <w:rPr>
                <w:rFonts w:hint="eastAsia" w:ascii="仿宋" w:hAnsi="仿宋" w:eastAsia="仿宋" w:cs="仿宋"/>
                <w:color w:val="000000"/>
                <w:kern w:val="0"/>
                <w:sz w:val="24"/>
                <w:lang w:bidi="ar"/>
              </w:rPr>
              <w:t>、合同签订后</w:t>
            </w:r>
            <w:r>
              <w:rPr>
                <w:rFonts w:hint="eastAsia" w:ascii="仿宋" w:hAnsi="仿宋" w:eastAsia="仿宋" w:cs="仿宋"/>
                <w:color w:val="000000"/>
                <w:kern w:val="0"/>
                <w:sz w:val="24"/>
                <w:lang w:val="en-US" w:eastAsia="zh-CN" w:bidi="ar"/>
              </w:rPr>
              <w:t>供货安安装前</w:t>
            </w:r>
            <w:r>
              <w:rPr>
                <w:rFonts w:hint="eastAsia" w:ascii="仿宋" w:hAnsi="仿宋" w:eastAsia="仿宋" w:cs="仿宋"/>
                <w:color w:val="000000"/>
                <w:kern w:val="0"/>
                <w:sz w:val="24"/>
                <w:lang w:bidi="ar"/>
              </w:rPr>
              <w:t>，采购人有权要求中标人提供同款机型作为指标验证，如不满足招标文件要求或与响应不符，采购人有权追究违约责任。</w:t>
            </w:r>
          </w:p>
          <w:p w14:paraId="6148A8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9.2</w:t>
            </w:r>
            <w:r>
              <w:rPr>
                <w:rFonts w:hint="eastAsia" w:ascii="仿宋" w:hAnsi="仿宋" w:eastAsia="仿宋" w:cs="仿宋"/>
                <w:color w:val="000000"/>
                <w:kern w:val="0"/>
                <w:sz w:val="24"/>
                <w:lang w:bidi="ar"/>
              </w:rPr>
              <w:t>.原厂保修期≥5年（签订合同后供货前提供原厂售后服务承诺函），设备质保期内免费提供零配件及维修服务。</w:t>
            </w:r>
          </w:p>
          <w:p w14:paraId="4FF5A9F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9.3</w:t>
            </w:r>
            <w:r>
              <w:rPr>
                <w:rFonts w:hint="eastAsia" w:ascii="仿宋" w:hAnsi="仿宋" w:eastAsia="仿宋" w:cs="仿宋"/>
                <w:color w:val="000000"/>
                <w:kern w:val="0"/>
                <w:sz w:val="24"/>
                <w:lang w:bidi="ar"/>
              </w:rPr>
              <w:t xml:space="preserve"> 易损件耗材单独报价</w:t>
            </w:r>
          </w:p>
          <w:p w14:paraId="7D033553">
            <w:pPr>
              <w:rPr>
                <w:rFonts w:hint="eastAsia" w:ascii="仿宋" w:hAnsi="仿宋" w:eastAsia="仿宋" w:cs="仿宋"/>
                <w:sz w:val="24"/>
                <w:lang w:val="en-US" w:eastAsia="zh-CN"/>
              </w:rPr>
            </w:pPr>
            <w:r>
              <w:rPr>
                <w:rFonts w:hint="eastAsia" w:ascii="仿宋" w:hAnsi="仿宋" w:eastAsia="仿宋" w:cs="仿宋"/>
                <w:color w:val="000000"/>
                <w:kern w:val="0"/>
                <w:sz w:val="24"/>
                <w:lang w:val="en-US" w:eastAsia="zh-CN" w:bidi="ar"/>
              </w:rPr>
              <w:t>9.4</w:t>
            </w:r>
            <w:r>
              <w:rPr>
                <w:rFonts w:hint="eastAsia" w:ascii="仿宋" w:hAnsi="仿宋" w:eastAsia="仿宋" w:cs="仿宋"/>
                <w:color w:val="000000"/>
                <w:kern w:val="0"/>
                <w:sz w:val="24"/>
                <w:lang w:bidi="ar"/>
              </w:rPr>
              <w:t>说明试剂是否开放并列出清单并单独报价</w:t>
            </w:r>
          </w:p>
        </w:tc>
      </w:tr>
    </w:tbl>
    <w:p w14:paraId="095CDB51">
      <w:pPr>
        <w:pStyle w:val="11"/>
        <w:spacing w:line="360" w:lineRule="auto"/>
        <w:ind w:firstLine="480" w:firstLineChars="200"/>
        <w:rPr>
          <w:rFonts w:hint="eastAsia" w:ascii="仿宋" w:hAnsi="仿宋" w:eastAsia="仿宋" w:cs="仿宋"/>
          <w:color w:val="000000"/>
          <w:sz w:val="24"/>
          <w:szCs w:val="24"/>
        </w:rPr>
      </w:pPr>
    </w:p>
    <w:p w14:paraId="39ABD710">
      <w:pPr>
        <w:spacing w:line="360" w:lineRule="auto"/>
        <w:rPr>
          <w:rFonts w:hint="eastAsia" w:ascii="仿宋" w:hAnsi="仿宋" w:eastAsia="仿宋" w:cs="仿宋"/>
          <w:b/>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600203D9">
      <w:pPr>
        <w:spacing w:line="360" w:lineRule="auto"/>
        <w:rPr>
          <w:rFonts w:hint="eastAsia" w:ascii="仿宋" w:hAnsi="仿宋" w:eastAsia="仿宋" w:cs="仿宋"/>
          <w:b/>
          <w:sz w:val="24"/>
        </w:rPr>
      </w:pPr>
    </w:p>
    <w:p w14:paraId="57528D25">
      <w:pPr>
        <w:spacing w:line="360" w:lineRule="auto"/>
        <w:jc w:val="left"/>
        <w:rPr>
          <w:rFonts w:ascii="仿宋" w:hAnsi="仿宋" w:eastAsia="仿宋" w:cs="仿宋"/>
          <w:b/>
          <w:bCs/>
          <w:color w:val="000000"/>
          <w:kern w:val="0"/>
          <w:sz w:val="24"/>
          <w:lang w:bidi="ar"/>
        </w:rPr>
      </w:pPr>
      <w:r>
        <w:rPr>
          <w:rFonts w:hint="eastAsia" w:ascii="仿宋" w:hAnsi="仿宋" w:eastAsia="仿宋" w:cs="仿宋"/>
          <w:b/>
          <w:bCs/>
          <w:kern w:val="44"/>
          <w:sz w:val="24"/>
        </w:rPr>
        <w:t>（一）第11包：技术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4099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noWrap w:val="0"/>
            <w:vAlign w:val="center"/>
          </w:tcPr>
          <w:p w14:paraId="35630942">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6CE21359">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44BB5830">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0BC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7332014">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2ED7CF6D">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463" w:type="dxa"/>
            <w:noWrap w:val="0"/>
            <w:vAlign w:val="center"/>
          </w:tcPr>
          <w:p w14:paraId="0ACD33D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0CEC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541C88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1BD24538">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709D103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35AD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4DD87609">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ADA881C">
      <w:pPr>
        <w:widowControl/>
        <w:numPr>
          <w:ilvl w:val="0"/>
          <w:numId w:val="0"/>
        </w:numPr>
        <w:spacing w:line="360" w:lineRule="auto"/>
        <w:rPr>
          <w:rFonts w:hint="eastAsia" w:ascii="仿宋" w:hAnsi="仿宋" w:eastAsia="仿宋" w:cs="仿宋"/>
          <w:b/>
          <w:bCs/>
          <w:color w:val="000000"/>
          <w:kern w:val="0"/>
          <w:sz w:val="24"/>
          <w:lang w:bidi="ar"/>
        </w:rPr>
      </w:pPr>
      <w:r>
        <w:rPr>
          <w:rFonts w:hint="eastAsia" w:ascii="仿宋" w:hAnsi="仿宋" w:eastAsia="仿宋" w:cs="仿宋"/>
          <w:b/>
          <w:bCs/>
          <w:kern w:val="44"/>
          <w:sz w:val="24"/>
          <w:lang w:val="en-US" w:eastAsia="zh-CN"/>
        </w:rPr>
        <w:t>（二）</w:t>
      </w:r>
      <w:r>
        <w:rPr>
          <w:rFonts w:hint="eastAsia" w:ascii="仿宋" w:hAnsi="仿宋" w:eastAsia="仿宋" w:cs="仿宋"/>
          <w:b/>
          <w:bCs/>
          <w:kern w:val="44"/>
          <w:sz w:val="24"/>
        </w:rPr>
        <w:t>技术要求</w:t>
      </w:r>
    </w:p>
    <w:p w14:paraId="67ADC06F">
      <w:pPr>
        <w:widowControl/>
        <w:numPr>
          <w:ilvl w:val="0"/>
          <w:numId w:val="0"/>
        </w:numPr>
        <w:spacing w:line="360" w:lineRule="auto"/>
        <w:ind w:firstLine="3373" w:firstLineChars="1400"/>
        <w:rPr>
          <w:rFonts w:hint="default" w:ascii="仿宋" w:hAnsi="仿宋" w:eastAsia="仿宋" w:cs="仿宋"/>
          <w:b/>
          <w:bCs/>
          <w:color w:val="000000"/>
          <w:kern w:val="0"/>
          <w:sz w:val="24"/>
          <w:lang w:val="en-US" w:eastAsia="zh-CN" w:bidi="ar"/>
        </w:rPr>
      </w:pPr>
      <w:r>
        <w:rPr>
          <w:rFonts w:hint="eastAsia" w:ascii="仿宋" w:hAnsi="仿宋" w:eastAsia="仿宋" w:cs="仿宋"/>
          <w:b/>
          <w:bCs/>
          <w:kern w:val="44"/>
          <w:sz w:val="24"/>
          <w:lang w:val="en-US" w:eastAsia="zh-CN"/>
        </w:rPr>
        <w:t>▲产品1流式细胞分析系统</w:t>
      </w:r>
    </w:p>
    <w:p w14:paraId="2F7FCCE4">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★型号：安捷伦novocyte 贝克曼cytoflex</w:t>
      </w:r>
      <w:r>
        <w:rPr>
          <w:rStyle w:val="7"/>
          <w:rFonts w:hint="eastAsia" w:ascii="仿宋" w:hAnsi="仿宋" w:eastAsia="仿宋" w:cs="仿宋"/>
          <w:b/>
          <w:bCs/>
          <w:color w:val="000000"/>
          <w:kern w:val="0"/>
          <w:sz w:val="24"/>
          <w:szCs w:val="24"/>
          <w:lang w:val="en-US" w:eastAsia="zh-CN" w:bidi="ar"/>
        </w:rPr>
        <w:t xml:space="preserve"> BD celesta</w:t>
      </w:r>
      <w:r>
        <w:rPr>
          <w:rFonts w:hint="eastAsia" w:ascii="仿宋" w:hAnsi="仿宋" w:eastAsia="仿宋" w:cs="仿宋"/>
          <w:b/>
          <w:bCs/>
          <w:color w:val="000000"/>
          <w:kern w:val="0"/>
          <w:sz w:val="24"/>
          <w:lang w:bidi="ar"/>
        </w:rPr>
        <w:t>等同档次，</w:t>
      </w:r>
      <w:r>
        <w:rPr>
          <w:rFonts w:hint="eastAsia" w:ascii="仿宋" w:hAnsi="仿宋" w:eastAsia="仿宋" w:cs="仿宋"/>
          <w:b/>
          <w:bCs/>
          <w:sz w:val="24"/>
        </w:rPr>
        <w:t>，其他品牌提供不低于</w:t>
      </w:r>
      <w:r>
        <w:rPr>
          <w:rFonts w:hint="eastAsia" w:ascii="仿宋" w:hAnsi="仿宋" w:eastAsia="仿宋" w:cs="仿宋"/>
          <w:b/>
          <w:bCs/>
          <w:sz w:val="24"/>
          <w:lang w:val="en-US" w:eastAsia="zh-CN"/>
        </w:rPr>
        <w:t>上述</w:t>
      </w:r>
      <w:r>
        <w:rPr>
          <w:rFonts w:hint="eastAsia" w:ascii="仿宋" w:hAnsi="仿宋" w:eastAsia="仿宋" w:cs="仿宋"/>
          <w:b/>
          <w:bCs/>
          <w:sz w:val="24"/>
        </w:rPr>
        <w:t>档次的</w:t>
      </w:r>
      <w:r>
        <w:rPr>
          <w:rFonts w:hint="eastAsia" w:ascii="仿宋" w:hAnsi="仿宋" w:eastAsia="仿宋" w:cs="仿宋"/>
          <w:b/>
          <w:bCs/>
          <w:sz w:val="24"/>
          <w:lang w:val="en-US" w:eastAsia="zh-CN"/>
        </w:rPr>
        <w:t>设备</w:t>
      </w:r>
      <w:r>
        <w:rPr>
          <w:rFonts w:hint="eastAsia" w:ascii="仿宋" w:hAnsi="仿宋" w:eastAsia="仿宋" w:cs="仿宋"/>
          <w:b/>
          <w:bCs/>
          <w:sz w:val="24"/>
        </w:rPr>
        <w:t>，</w:t>
      </w:r>
      <w:r>
        <w:rPr>
          <w:rFonts w:hint="eastAsia" w:ascii="仿宋" w:hAnsi="仿宋" w:eastAsia="仿宋" w:cs="仿宋"/>
          <w:b/>
          <w:bCs/>
          <w:kern w:val="2"/>
          <w:sz w:val="24"/>
          <w:shd w:val="clear" w:color="auto" w:fill="auto"/>
          <w:lang w:val="en-US" w:eastAsia="zh-CN" w:bidi="ar"/>
        </w:rPr>
        <w:t>且投标文件中须提供相关证明材料，由评标委员会进行评审并认可。</w:t>
      </w:r>
    </w:p>
    <w:p w14:paraId="6AB5ABD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★1.仪器检测范围：配488nm（功率≥ 50mW）、≥638nm（功率≥ 40mW）、405nm（功率≥ 50mW）激光器，荧光通道可以实现3激光同时检测8色，全部使用带通滤光片，最多可以实现3激光同时检测13色，且可拓展至6激光21色。同时包含前向角散射光检测通道FSC和侧向角散射光检测通道VSSC。</w:t>
      </w:r>
    </w:p>
    <w:p w14:paraId="485FD9A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2、激光功率范围要求：40-80mW。</w:t>
      </w:r>
    </w:p>
    <w:p w14:paraId="450298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3、全自动光路校准功能，无需人工调节，仪器全自动完成光路校准；滤光片≥13片，可以自由拔插，可以根据实验需求选择使用相应的滤光片，使得仪器的实际检测范围大于实际配置。</w:t>
      </w:r>
    </w:p>
    <w:p w14:paraId="3D24192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★4、采用硅雪崩光电二极管阵列FAPD检测器，WDM波分复用模块采用全带通滤光片。</w:t>
      </w:r>
    </w:p>
    <w:p w14:paraId="09D2E88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★5、荧光检测灵敏度：FITC≤9 MESF，PE≤5 MESF，细胞检测能力：最小可检出聚苯乙烯标准颗粒粒径0.06μm目标颗粒。</w:t>
      </w:r>
    </w:p>
    <w:p w14:paraId="617EB26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★6、拥有全数字化系统，实测7个十进制的数据显示。</w:t>
      </w:r>
    </w:p>
    <w:p w14:paraId="49DE1F1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★7、为了满足不同的实验需求，各通道增益电压可调。同时，具备自动荧光补偿功能，通道增益电压改变时，无需重新使用单阳性样本调节补偿，仪器自动完成调节。</w:t>
      </w:r>
    </w:p>
    <w:p w14:paraId="3056863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8、流动池数值孔径（NA）值≥1.25；具备检测近红外长波荧光素的能力（波长≥900nm）。</w:t>
      </w:r>
    </w:p>
    <w:p w14:paraId="466F90D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★9、数字化信号实际动态检测范围：≥7个对数阈，超宽的动态数据显示范围，可以同时将≥6个对数阈的高信号和低信号都完全显示在一张图上。</w:t>
      </w:r>
    </w:p>
    <w:p w14:paraId="639B99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10、具有8峰Rainbow微球检测性能，要求所配的荧光通道对应的荧光染料8个峰各峰间（峰谷）Count为0。</w:t>
      </w:r>
    </w:p>
    <w:p w14:paraId="65FD01A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11、智能补偿库：当增益值（电压）改变时，智能补偿库可重新计算并实时自动调节，确定正确的补偿矩阵；可以根据不同方案内的荧光补偿组合新的补偿矩阵。</w:t>
      </w:r>
    </w:p>
    <w:p w14:paraId="652F86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12、采用无脉冲蠕动泵或注射泵进样，具备免微球绝对计数功能，具有原装软件内置的样本流速校准功能。</w:t>
      </w:r>
    </w:p>
    <w:p w14:paraId="5500E1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13、采用样本针搅拌单管混匀，减少样本之间的由于混匀带来的误差，并兼容其他上样模式，包括1.5ml、2ml、5ml等多规格试管上样。</w:t>
      </w:r>
    </w:p>
    <w:p w14:paraId="196EFC9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14、样本流速具有低速、中速、高速、自定义调节四种模式可选，流速范围：10ul/min—240 ul/min。</w:t>
      </w:r>
    </w:p>
    <w:p w14:paraId="2A25B45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15、清洗模式：日常清洗，深度清洗。</w:t>
      </w:r>
    </w:p>
    <w:p w14:paraId="60A26838">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16、软件系统：配备中、英文软件，可实现离线补偿功能，并且可实现多台机器安装，数据采集软件，具备高维数据分析功能，数据可通过该软件中的功能键直接上传到对应的站点进行分析；具备≥4种方法学的降维数据分析和≥2种方法学的聚类分析，同时具备数据预测性和相关性分析；数据可通过软件中功能键上传到对应站点实现上述功能。</w:t>
      </w:r>
    </w:p>
    <w:p w14:paraId="73DFDB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17、补偿模式：全矩阵补偿，自动补偿和手动补偿。</w:t>
      </w:r>
    </w:p>
    <w:p w14:paraId="1647DEF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★18、主机一台：配置488nm激光器（功率≥50mW），≥638nm激光器(功率≥40mw)，405nm激光器（功率≥50mW）同时可以检测8色，中、英文操作软件一套，软件无版权限制，可实现多台机器安装，</w:t>
      </w:r>
    </w:p>
    <w:p w14:paraId="780C47B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★19、仪器生产商可以供应原厂生产的同品牌配套试剂≥240 种。</w:t>
      </w:r>
    </w:p>
    <w:p w14:paraId="3DA04D72">
      <w:pPr>
        <w:spacing w:line="360" w:lineRule="auto"/>
        <w:jc w:val="left"/>
        <w:rPr>
          <w:rFonts w:ascii="仿宋" w:hAnsi="仿宋" w:eastAsia="仿宋" w:cs="仿宋"/>
          <w:b/>
          <w:bCs/>
          <w:sz w:val="24"/>
        </w:rPr>
      </w:pPr>
    </w:p>
    <w:p w14:paraId="1BAA2271">
      <w:pPr>
        <w:spacing w:line="360" w:lineRule="auto"/>
        <w:jc w:val="left"/>
        <w:rPr>
          <w:rFonts w:hint="eastAsia" w:ascii="仿宋" w:hAnsi="仿宋" w:eastAsia="仿宋" w:cs="仿宋"/>
          <w:b/>
          <w:bCs/>
          <w:sz w:val="24"/>
          <w:lang w:bidi="ar"/>
        </w:rPr>
      </w:pPr>
      <w:r>
        <w:rPr>
          <w:rFonts w:hint="eastAsia" w:ascii="仿宋" w:hAnsi="仿宋" w:eastAsia="仿宋" w:cs="仿宋"/>
          <w:b/>
          <w:bCs/>
          <w:color w:val="000000"/>
          <w:kern w:val="0"/>
          <w:sz w:val="24"/>
          <w:lang w:val="en-US" w:eastAsia="zh-CN" w:bidi="ar"/>
        </w:rPr>
        <w:t>4.</w:t>
      </w:r>
      <w:r>
        <w:rPr>
          <w:rFonts w:hint="eastAsia" w:ascii="仿宋" w:hAnsi="仿宋" w:eastAsia="仿宋" w:cs="仿宋"/>
          <w:b/>
          <w:bCs/>
          <w:sz w:val="24"/>
        </w:rPr>
        <w:t>其他配套要求：</w:t>
      </w:r>
    </w:p>
    <w:p w14:paraId="36D04F0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322EE2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77F06B3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2F46131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631B67B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06AE50C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3B3A382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4DE9E85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1835E4E1">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7EA991A">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444EFB6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5BB38C7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1BCCE13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073312A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94AEC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6B38F2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65E4F5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03D1A06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47C0DD2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7E60B8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0382A9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27EC05E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737C5EC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人，直至完全掌握设备应用技术，并获厂方资质许可；交通、食宿、资料、工具材料等所有与培训相关的费用包含在投标报价中。</w:t>
      </w:r>
    </w:p>
    <w:p w14:paraId="1DCF5FF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2.设备使用培训：不少于2人，直至完全掌握设备应用技术，并获厂方资质许可；交通、食宿、资料、工具材料等所有与培训相关的费用包含在投标报价中。</w:t>
      </w:r>
    </w:p>
    <w:p w14:paraId="080C4AD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4712F1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6BEEAA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574EFED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7811D068">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52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7">
    <w:name w:val="annotation reference"/>
    <w:qFormat/>
    <w:uiPriority w:val="0"/>
    <w:rPr>
      <w:sz w:val="21"/>
      <w:szCs w:val="21"/>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 w:type="paragraph" w:customStyle="1" w:styleId="9">
    <w:name w:val="列出段落1"/>
    <w:basedOn w:val="1"/>
    <w:qFormat/>
    <w:uiPriority w:val="0"/>
    <w:pPr>
      <w:ind w:firstLine="420" w:firstLineChars="200"/>
    </w:pPr>
  </w:style>
  <w:style w:type="paragraph" w:customStyle="1" w:styleId="10">
    <w:name w:val="p0"/>
    <w:basedOn w:val="1"/>
    <w:qFormat/>
    <w:uiPriority w:val="0"/>
    <w:pPr>
      <w:widowControl/>
    </w:pPr>
    <w:rPr>
      <w:kern w:val="0"/>
      <w:szCs w:val="21"/>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2026-05-26T08:09:22Z</dcterms:created>
  <dc:creator>admin</dc:creator>
  <cp:lastModifiedBy>豆奶是个小胖子</cp:lastModifiedBy>
  <dcterms:modified xsi:type="dcterms:W3CDTF">2026-05-26T08:09:35Z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C0BFB872188E407A9ED013B34ACC2CEE_12</vt:lpwstr>
  </property>
</Properties>
</file>