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0924C">
      <w:pPr>
        <w:keepNext/>
        <w:keepLines/>
        <w:widowControl/>
        <w:snapToGrid w:val="0"/>
        <w:spacing w:before="0" w:after="0" w:line="360" w:lineRule="auto"/>
        <w:jc w:val="center"/>
        <w:outlineLvl w:val="0"/>
        <w:rPr>
          <w:rFonts w:ascii="宋体" w:hAnsi="宋体" w:eastAsia="仿宋" w:cs="Times New Roman"/>
          <w:b/>
          <w:bCs/>
          <w:color w:val="auto"/>
          <w:kern w:val="44"/>
          <w:sz w:val="40"/>
          <w:szCs w:val="40"/>
          <w:highlight w:val="none"/>
          <w:lang w:val="en-US" w:eastAsia="zh-CN" w:bidi="ar-SA"/>
        </w:rPr>
      </w:pPr>
      <w:bookmarkStart w:id="8" w:name="_GoBack"/>
      <w:bookmarkStart w:id="0" w:name="_Toc10276"/>
      <w:bookmarkStart w:id="1" w:name="_Toc445554746"/>
      <w:bookmarkStart w:id="2" w:name="_Toc466024555"/>
      <w:r>
        <w:rPr>
          <w:rFonts w:hint="eastAsia" w:ascii="宋体" w:hAnsi="宋体" w:eastAsia="仿宋" w:cs="Times New Roman"/>
          <w:b/>
          <w:bCs/>
          <w:color w:val="auto"/>
          <w:kern w:val="44"/>
          <w:sz w:val="40"/>
          <w:szCs w:val="40"/>
          <w:highlight w:val="none"/>
          <w:lang w:val="en-US" w:eastAsia="zh-CN" w:bidi="ar-SA"/>
        </w:rPr>
        <w:t>安徽理工大学校园损坏铺装路面维修项目采购需求</w:t>
      </w:r>
      <w:bookmarkEnd w:id="8"/>
      <w:bookmarkEnd w:id="0"/>
      <w:bookmarkEnd w:id="1"/>
      <w:bookmarkEnd w:id="2"/>
    </w:p>
    <w:p w14:paraId="70B10F8F">
      <w:pPr>
        <w:keepNext/>
        <w:keepLines/>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outlineLvl w:val="1"/>
        <w:rPr>
          <w:rFonts w:ascii="仿宋" w:hAnsi="仿宋" w:eastAsia="仿宋" w:cs="仿宋"/>
          <w:b/>
          <w:bCs/>
          <w:color w:val="auto"/>
          <w:kern w:val="2"/>
          <w:sz w:val="28"/>
          <w:szCs w:val="28"/>
          <w:highlight w:val="none"/>
          <w:lang w:val="en-US" w:eastAsia="zh-CN" w:bidi="ar-SA"/>
        </w:rPr>
      </w:pPr>
      <w:bookmarkStart w:id="3" w:name="_Toc445554747"/>
      <w:r>
        <w:rPr>
          <w:rFonts w:hint="eastAsia" w:ascii="宋体" w:hAnsi="宋体" w:eastAsia="仿宋" w:cs="Times New Roman"/>
          <w:b/>
          <w:bCs/>
          <w:color w:val="auto"/>
          <w:kern w:val="2"/>
          <w:sz w:val="28"/>
          <w:szCs w:val="28"/>
          <w:highlight w:val="none"/>
          <w:lang w:val="en-US" w:eastAsia="zh-CN" w:bidi="ar-SA"/>
        </w:rPr>
        <w:t>1</w:t>
      </w:r>
      <w:r>
        <w:rPr>
          <w:rFonts w:ascii="宋体" w:hAnsi="宋体" w:eastAsia="仿宋" w:cs="Times New Roman"/>
          <w:b/>
          <w:bCs/>
          <w:color w:val="auto"/>
          <w:kern w:val="2"/>
          <w:sz w:val="28"/>
          <w:szCs w:val="28"/>
          <w:highlight w:val="none"/>
          <w:lang w:val="en-US" w:eastAsia="zh-CN" w:bidi="ar-SA"/>
        </w:rPr>
        <w:t xml:space="preserve">. </w:t>
      </w:r>
      <w:r>
        <w:rPr>
          <w:rFonts w:hint="eastAsia" w:ascii="仿宋" w:hAnsi="仿宋" w:eastAsia="仿宋" w:cs="仿宋"/>
          <w:b/>
          <w:bCs/>
          <w:color w:val="auto"/>
          <w:kern w:val="2"/>
          <w:sz w:val="28"/>
          <w:szCs w:val="28"/>
          <w:highlight w:val="none"/>
          <w:lang w:val="en-US" w:eastAsia="zh-CN" w:bidi="ar-SA"/>
        </w:rPr>
        <w:t>项目概况</w:t>
      </w:r>
    </w:p>
    <w:p w14:paraId="2E1D06B7">
      <w:pPr>
        <w:spacing w:before="120" w:after="120" w:line="360" w:lineRule="auto"/>
        <w:ind w:firstLine="562" w:firstLineChars="200"/>
        <w:textAlignment w:val="baseline"/>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2.1 项目概况</w:t>
      </w:r>
    </w:p>
    <w:p w14:paraId="27445F66">
      <w:pPr>
        <w:widowControl/>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（1）维修范围：</w:t>
      </w:r>
    </w:p>
    <w:p w14:paraId="7208DF63">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校园铺装面层分为透水面包砖、水泥砖、花岗岩三种材质，综合考量周边环境、具体位置、原面层材料材质与型号、现场损坏程度、是否需更换面层材质等多因因素，共排查出需维修更换、新增铺装总量 13015.282m2。 </w:t>
      </w:r>
    </w:p>
    <w:p w14:paraId="67EA8382">
      <w:pPr>
        <w:widowControl/>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（2）维修内容：</w:t>
      </w:r>
    </w:p>
    <w:p w14:paraId="36D4F827">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部分破损的铺装面层按照原材质更换，基层采用6公分厚C20混凝土重新硬化，松动的铺装面层重新铺贴，北门内外两侧、西门外侧非机动车道采用50厚的花岗岩（颜色与原透水面包砖相近）、东门内侧非机动车道采用50厚的PC砖（颜色与原透水面包砖相近）、规格为300*600规格，基层采用10公分厚C20混凝土，南门里口东、西两侧人行道面层破损部分原材质更换。详细内容，详见工程量清单及相关附件。</w:t>
      </w:r>
    </w:p>
    <w:p w14:paraId="2229DCD4">
      <w:pPr>
        <w:spacing w:before="120" w:after="120" w:line="360" w:lineRule="auto"/>
        <w:ind w:firstLine="562" w:firstLineChars="200"/>
        <w:textAlignment w:val="baseline"/>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2.2 技术要求及质量标准</w:t>
      </w:r>
    </w:p>
    <w:p w14:paraId="6075D402">
      <w:pPr>
        <w:widowControl/>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（1）材料要求：</w:t>
      </w:r>
    </w:p>
    <w:p w14:paraId="2F600739">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面层材料：必须提供材料品牌、颜色、物理性能（强度、耐磨性、防滑等级等）详细说明。施工之前需提供样品小样供确认。材料符合国家及地方相关质量标准。</w:t>
      </w:r>
    </w:p>
    <w:p w14:paraId="40AC0166">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基层材料：水泥、砂浆、粘接剂应符合相应标准。</w:t>
      </w:r>
    </w:p>
    <w:p w14:paraId="37FCB7A2">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质量证明：所有材料进场前需提供出厂合格证、质量检验报告等。</w:t>
      </w:r>
    </w:p>
    <w:p w14:paraId="2B6014AF">
      <w:pPr>
        <w:widowControl/>
        <w:adjustRightInd w:val="0"/>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（2）施工工艺要求：</w:t>
      </w:r>
    </w:p>
    <w:p w14:paraId="290442E0">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面层拆除：施工过程中，需小心操作，避免对周边完好铺装、绿化、地下管线造成破坏。</w:t>
      </w:r>
    </w:p>
    <w:p w14:paraId="4660710B">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基层处理：严格按照设计要求进行基层压实度、平整度、标高、坡度控制。</w:t>
      </w:r>
    </w:p>
    <w:p w14:paraId="6F5B5F1D">
      <w:pPr>
        <w:widowControl/>
        <w:adjustRightInd w:val="0"/>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面层铺设：铺贴采用干铺工艺，大门位置施工之前需进行排版。</w:t>
      </w:r>
    </w:p>
    <w:p w14:paraId="342384D8">
      <w:pPr>
        <w:keepNext/>
        <w:keepLines/>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outlineLvl w:val="1"/>
        <w:rPr>
          <w:rFonts w:hint="eastAsia" w:ascii="宋体" w:hAnsi="宋体" w:eastAsia="仿宋" w:cs="Times New Roman"/>
          <w:b/>
          <w:bCs/>
          <w:color w:val="auto"/>
          <w:kern w:val="2"/>
          <w:sz w:val="28"/>
          <w:szCs w:val="28"/>
          <w:highlight w:val="none"/>
          <w:lang w:val="en-US" w:eastAsia="zh-CN" w:bidi="ar-SA"/>
        </w:rPr>
      </w:pPr>
      <w:r>
        <w:rPr>
          <w:rFonts w:hint="eastAsia" w:ascii="宋体" w:hAnsi="宋体" w:eastAsia="仿宋" w:cs="Times New Roman"/>
          <w:b/>
          <w:bCs/>
          <w:color w:val="auto"/>
          <w:kern w:val="2"/>
          <w:sz w:val="28"/>
          <w:szCs w:val="28"/>
          <w:highlight w:val="none"/>
          <w:lang w:val="en-US" w:eastAsia="zh-CN" w:bidi="ar-SA"/>
        </w:rPr>
        <w:t>2. 总体要求</w:t>
      </w:r>
    </w:p>
    <w:p w14:paraId="09CDE4D1">
      <w:pPr>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除非有特别说明，本条为实质性要求。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6427"/>
      </w:tblGrid>
      <w:tr w14:paraId="7674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47F3C68B">
            <w:pPr>
              <w:widowControl/>
              <w:jc w:val="center"/>
              <w:rPr>
                <w:rFonts w:ascii="宋体" w:hAnsi="宋体" w:eastAsia="仿宋"/>
                <w:color w:val="auto"/>
                <w:sz w:val="28"/>
                <w:szCs w:val="28"/>
                <w:highlight w:val="none"/>
              </w:rPr>
            </w:pPr>
            <w:r>
              <w:rPr>
                <w:rFonts w:hint="eastAsia" w:ascii="宋体" w:hAnsi="宋体" w:eastAsia="仿宋"/>
                <w:color w:val="auto"/>
                <w:sz w:val="28"/>
                <w:szCs w:val="28"/>
                <w:highlight w:val="none"/>
              </w:rPr>
              <w:t>合同履行期限（工期）</w:t>
            </w:r>
          </w:p>
        </w:tc>
        <w:tc>
          <w:tcPr>
            <w:tcW w:w="6427" w:type="dxa"/>
            <w:vAlign w:val="center"/>
          </w:tcPr>
          <w:p w14:paraId="25D76BAC">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both"/>
              <w:textAlignment w:val="auto"/>
              <w:rPr>
                <w:rFonts w:ascii="楷体" w:hAnsi="楷体" w:eastAsia="仿宋" w:cs="Calibri"/>
                <w:color w:val="auto"/>
                <w:sz w:val="28"/>
                <w:szCs w:val="28"/>
                <w:highlight w:val="none"/>
              </w:rPr>
            </w:pPr>
            <w:r>
              <w:rPr>
                <w:rFonts w:hint="eastAsia" w:ascii="宋体" w:hAnsi="宋体" w:eastAsia="仿宋" w:cs="Calibri"/>
                <w:color w:val="auto"/>
                <w:sz w:val="28"/>
                <w:szCs w:val="28"/>
                <w:highlight w:val="none"/>
              </w:rPr>
              <w:t>合同履行期限：35日历天</w:t>
            </w:r>
          </w:p>
          <w:p w14:paraId="5425C5F6">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both"/>
              <w:textAlignment w:val="auto"/>
              <w:rPr>
                <w:rFonts w:ascii="宋体" w:hAnsi="宋体" w:eastAsia="仿宋"/>
                <w:color w:val="auto"/>
                <w:sz w:val="28"/>
                <w:szCs w:val="28"/>
                <w:highlight w:val="none"/>
              </w:rPr>
            </w:pPr>
            <w:r>
              <w:rPr>
                <w:rFonts w:hint="eastAsia" w:ascii="宋体" w:hAnsi="宋体" w:eastAsia="仿宋" w:cs="Calibri"/>
                <w:color w:val="auto"/>
                <w:sz w:val="28"/>
                <w:szCs w:val="28"/>
                <w:highlight w:val="none"/>
              </w:rPr>
              <w:t>是否接受负偏离：</w:t>
            </w:r>
            <w:r>
              <w:rPr>
                <w:rFonts w:hint="eastAsia" w:ascii="楷体" w:hAnsi="楷体" w:eastAsia="仿宋" w:cs="Calibri"/>
                <w:color w:val="auto"/>
                <w:sz w:val="28"/>
                <w:szCs w:val="28"/>
                <w:highlight w:val="none"/>
              </w:rPr>
              <w:t>不接受</w:t>
            </w:r>
          </w:p>
        </w:tc>
      </w:tr>
      <w:tr w14:paraId="7F97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5EB53D90">
            <w:pPr>
              <w:widowControl/>
              <w:jc w:val="center"/>
              <w:rPr>
                <w:rFonts w:ascii="宋体" w:hAnsi="宋体" w:eastAsia="仿宋"/>
                <w:color w:val="auto"/>
                <w:sz w:val="28"/>
                <w:szCs w:val="28"/>
                <w:highlight w:val="none"/>
              </w:rPr>
            </w:pPr>
            <w:r>
              <w:rPr>
                <w:rFonts w:hint="eastAsia" w:ascii="宋体" w:hAnsi="宋体" w:eastAsia="仿宋"/>
                <w:color w:val="auto"/>
                <w:sz w:val="28"/>
                <w:szCs w:val="28"/>
                <w:highlight w:val="none"/>
              </w:rPr>
              <w:t>工程地点</w:t>
            </w:r>
          </w:p>
        </w:tc>
        <w:tc>
          <w:tcPr>
            <w:tcW w:w="6427" w:type="dxa"/>
            <w:vAlign w:val="center"/>
          </w:tcPr>
          <w:p w14:paraId="274B2973">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Times New Roman"/>
                <w:color w:val="auto"/>
                <w:kern w:val="2"/>
                <w:sz w:val="28"/>
                <w:szCs w:val="28"/>
                <w:highlight w:val="none"/>
                <w:lang w:val="en-US" w:eastAsia="zh-CN" w:bidi="ar-SA"/>
              </w:rPr>
            </w:pPr>
            <w:r>
              <w:rPr>
                <w:rFonts w:hint="eastAsia" w:ascii="仿宋" w:hAnsi="仿宋" w:eastAsia="仿宋" w:cs="仿宋"/>
                <w:iCs/>
                <w:color w:val="auto"/>
                <w:kern w:val="2"/>
                <w:sz w:val="28"/>
                <w:szCs w:val="28"/>
                <w:highlight w:val="none"/>
                <w:lang w:val="en-US" w:eastAsia="zh-CN" w:bidi="ar-SA"/>
              </w:rPr>
              <w:t>安徽理工大学校园内</w:t>
            </w:r>
          </w:p>
        </w:tc>
      </w:tr>
      <w:tr w14:paraId="217E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1CA6392C">
            <w:pPr>
              <w:widowControl w:val="0"/>
              <w:ind w:firstLine="0" w:firstLineChars="0"/>
              <w:jc w:val="center"/>
              <w:rPr>
                <w:rFonts w:ascii="宋体" w:hAnsi="宋体" w:eastAsia="仿宋" w:cs="Times New Roman"/>
                <w:color w:val="auto"/>
                <w:kern w:val="2"/>
                <w:sz w:val="28"/>
                <w:szCs w:val="28"/>
                <w:highlight w:val="none"/>
                <w:lang w:val="en-US" w:eastAsia="zh-CN" w:bidi="ar-SA"/>
              </w:rPr>
            </w:pPr>
            <w:r>
              <w:rPr>
                <w:rFonts w:hint="eastAsia" w:ascii="宋体" w:hAnsi="宋体" w:eastAsia="仿宋" w:cs="Times New Roman"/>
                <w:color w:val="auto"/>
                <w:kern w:val="2"/>
                <w:sz w:val="28"/>
                <w:szCs w:val="28"/>
                <w:highlight w:val="none"/>
                <w:lang w:val="en-US" w:eastAsia="zh-CN" w:bidi="ar-SA"/>
              </w:rPr>
              <w:t>付款方式</w:t>
            </w:r>
          </w:p>
        </w:tc>
        <w:tc>
          <w:tcPr>
            <w:tcW w:w="6427" w:type="dxa"/>
            <w:vAlign w:val="center"/>
          </w:tcPr>
          <w:p w14:paraId="0E44450C">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both"/>
              <w:textAlignment w:val="auto"/>
              <w:rPr>
                <w:rFonts w:ascii="宋体" w:hAnsi="宋体" w:eastAsia="仿宋" w:cs="Calibri"/>
                <w:color w:val="auto"/>
                <w:sz w:val="28"/>
                <w:szCs w:val="28"/>
                <w:highlight w:val="none"/>
              </w:rPr>
            </w:pPr>
            <w:r>
              <w:rPr>
                <w:rFonts w:hint="eastAsia" w:ascii="宋体" w:hAnsi="宋体" w:eastAsia="仿宋" w:cs="Calibri"/>
                <w:color w:val="auto"/>
                <w:sz w:val="28"/>
                <w:szCs w:val="28"/>
                <w:highlight w:val="none"/>
              </w:rPr>
              <w:t>本项目无预付款，项目验收合格后支付合同款的80%，经竣工</w:t>
            </w:r>
            <w:r>
              <w:rPr>
                <w:rFonts w:hint="eastAsia" w:ascii="宋体" w:hAnsi="宋体" w:eastAsia="仿宋" w:cs="Calibri"/>
                <w:color w:val="auto"/>
                <w:sz w:val="28"/>
                <w:szCs w:val="28"/>
                <w:highlight w:val="none"/>
                <w:lang w:eastAsia="zh-CN"/>
              </w:rPr>
              <w:t>结算审核</w:t>
            </w:r>
            <w:r>
              <w:rPr>
                <w:rFonts w:hint="eastAsia" w:ascii="宋体" w:hAnsi="宋体" w:eastAsia="仿宋" w:cs="Calibri"/>
                <w:color w:val="auto"/>
                <w:sz w:val="28"/>
                <w:szCs w:val="28"/>
                <w:highlight w:val="none"/>
              </w:rPr>
              <w:t>后支付至审定金额的97%，剩余3%为工程质保金，缺陷责任期满后无质量问题后，一次性付清（备注：如成交人采用“银行保函、工程担保、保证保险等方式”提交等额工程质量保证金，则在结算完成后发包人应付至审定金额的100%）。</w:t>
            </w:r>
          </w:p>
          <w:p w14:paraId="25469904">
            <w:pPr>
              <w:keepNext w:val="0"/>
              <w:keepLines w:val="0"/>
              <w:pageBreakBefore w:val="0"/>
              <w:widowControl/>
              <w:kinsoku/>
              <w:wordWrap/>
              <w:overflowPunct/>
              <w:topLinePunct w:val="0"/>
              <w:autoSpaceDE/>
              <w:autoSpaceDN/>
              <w:bidi w:val="0"/>
              <w:adjustRightInd w:val="0"/>
              <w:snapToGrid w:val="0"/>
              <w:spacing w:line="240" w:lineRule="auto"/>
              <w:ind w:firstLine="560" w:firstLineChars="200"/>
              <w:jc w:val="both"/>
              <w:textAlignment w:val="auto"/>
              <w:rPr>
                <w:rFonts w:ascii="宋体" w:hAnsi="宋体" w:eastAsia="仿宋"/>
                <w:color w:val="auto"/>
                <w:sz w:val="28"/>
                <w:szCs w:val="28"/>
                <w:highlight w:val="none"/>
              </w:rPr>
            </w:pPr>
            <w:r>
              <w:rPr>
                <w:rFonts w:hint="eastAsia" w:ascii="宋体" w:hAnsi="宋体" w:eastAsia="仿宋" w:cs="Calibri"/>
                <w:color w:val="auto"/>
                <w:sz w:val="28"/>
                <w:szCs w:val="28"/>
                <w:highlight w:val="none"/>
              </w:rPr>
              <w:t>是否接受负偏离：</w:t>
            </w:r>
            <w:r>
              <w:rPr>
                <w:rFonts w:hint="eastAsia" w:ascii="楷体" w:hAnsi="楷体" w:eastAsia="仿宋" w:cs="Calibri"/>
                <w:color w:val="auto"/>
                <w:sz w:val="28"/>
                <w:szCs w:val="28"/>
                <w:highlight w:val="none"/>
              </w:rPr>
              <w:t>不接受</w:t>
            </w:r>
          </w:p>
        </w:tc>
      </w:tr>
      <w:tr w14:paraId="244B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4065571C">
            <w:pPr>
              <w:widowControl w:val="0"/>
              <w:spacing w:before="0" w:beforeAutospacing="0" w:after="0" w:afterAutospacing="0"/>
              <w:jc w:val="center"/>
              <w:rPr>
                <w:rFonts w:ascii="宋体" w:hAnsi="宋体" w:eastAsia="仿宋" w:cs="Times New Roman"/>
                <w:b/>
                <w:bCs/>
                <w:color w:val="auto"/>
                <w:kern w:val="0"/>
                <w:sz w:val="28"/>
                <w:szCs w:val="28"/>
                <w:highlight w:val="none"/>
                <w:lang w:val="en-US" w:eastAsia="zh-CN" w:bidi="ar-SA"/>
              </w:rPr>
            </w:pPr>
            <w:r>
              <w:rPr>
                <w:rFonts w:hint="eastAsia" w:ascii="宋体" w:hAnsi="宋体" w:eastAsia="仿宋" w:cs="Calibri"/>
                <w:b w:val="0"/>
                <w:bCs w:val="0"/>
                <w:color w:val="auto"/>
                <w:kern w:val="2"/>
                <w:sz w:val="28"/>
                <w:szCs w:val="28"/>
                <w:highlight w:val="none"/>
                <w:lang w:val="en-US" w:eastAsia="zh-CN" w:bidi="ar-SA"/>
              </w:rPr>
              <w:t>本项目采购标的所属行业</w:t>
            </w:r>
          </w:p>
        </w:tc>
        <w:tc>
          <w:tcPr>
            <w:tcW w:w="6427" w:type="dxa"/>
            <w:vAlign w:val="center"/>
          </w:tcPr>
          <w:p w14:paraId="6BC56E59">
            <w:pPr>
              <w:keepNext w:val="0"/>
              <w:keepLines w:val="0"/>
              <w:pageBreakBefore w:val="0"/>
              <w:kinsoku/>
              <w:wordWrap/>
              <w:overflowPunct/>
              <w:topLinePunct w:val="0"/>
              <w:autoSpaceDE/>
              <w:autoSpaceDN/>
              <w:bidi w:val="0"/>
              <w:spacing w:line="240" w:lineRule="auto"/>
              <w:ind w:firstLine="560" w:firstLineChars="200"/>
              <w:jc w:val="both"/>
              <w:textAlignment w:val="auto"/>
              <w:rPr>
                <w:rFonts w:ascii="宋体" w:hAnsi="宋体" w:eastAsia="仿宋"/>
                <w:color w:val="auto"/>
                <w:sz w:val="28"/>
                <w:szCs w:val="28"/>
                <w:highlight w:val="none"/>
              </w:rPr>
            </w:pPr>
            <w:r>
              <w:rPr>
                <w:rFonts w:hint="eastAsia" w:ascii="宋体" w:hAnsi="宋体" w:eastAsia="仿宋" w:cs="Calibri"/>
                <w:color w:val="auto"/>
                <w:sz w:val="28"/>
                <w:szCs w:val="28"/>
                <w:highlight w:val="none"/>
              </w:rPr>
              <w:t>所属行业：</w:t>
            </w:r>
            <w:r>
              <w:rPr>
                <w:rFonts w:hint="eastAsia" w:ascii="仿宋" w:hAnsi="仿宋" w:eastAsia="仿宋" w:cs="仿宋"/>
                <w:iCs/>
                <w:color w:val="auto"/>
                <w:sz w:val="28"/>
                <w:szCs w:val="28"/>
                <w:highlight w:val="none"/>
              </w:rPr>
              <w:t>建筑业</w:t>
            </w:r>
          </w:p>
        </w:tc>
      </w:tr>
      <w:tr w14:paraId="2AAF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6C14F4DB">
            <w:pPr>
              <w:widowControl w:val="0"/>
              <w:ind w:firstLine="0" w:firstLineChars="0"/>
              <w:jc w:val="center"/>
              <w:rPr>
                <w:rFonts w:ascii="宋体" w:hAnsi="宋体" w:eastAsia="仿宋" w:cs="Calibri"/>
                <w:b/>
                <w:bCs/>
                <w:color w:val="auto"/>
                <w:kern w:val="2"/>
                <w:sz w:val="28"/>
                <w:szCs w:val="28"/>
                <w:highlight w:val="none"/>
                <w:lang w:val="en-US" w:eastAsia="zh-CN" w:bidi="ar-SA"/>
              </w:rPr>
            </w:pPr>
            <w:r>
              <w:rPr>
                <w:rFonts w:hint="eastAsia" w:ascii="宋体" w:hAnsi="宋体" w:eastAsia="仿宋" w:cs="Calibri"/>
                <w:b/>
                <w:bCs/>
                <w:color w:val="auto"/>
                <w:kern w:val="2"/>
                <w:sz w:val="28"/>
                <w:szCs w:val="28"/>
                <w:highlight w:val="none"/>
                <w:lang w:val="en-US" w:eastAsia="zh-CN" w:bidi="ar-SA"/>
              </w:rPr>
              <w:t>材料要求</w:t>
            </w:r>
          </w:p>
        </w:tc>
        <w:tc>
          <w:tcPr>
            <w:tcW w:w="6427" w:type="dxa"/>
            <w:vAlign w:val="center"/>
          </w:tcPr>
          <w:p w14:paraId="5E75DD49">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成交供应商自行采购的材料应满足规范要求的质量等级，并须按有关技术规范要求对材料质量进行检验。成交供应商选定的材料供应厂家和价格须经采购人和监理单位（如有）认可。如采购人和监理单位（如有）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7731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101A6A58">
            <w:pPr>
              <w:widowControl w:val="0"/>
              <w:ind w:firstLine="0" w:firstLineChars="0"/>
              <w:jc w:val="center"/>
              <w:rPr>
                <w:rFonts w:ascii="宋体" w:hAnsi="宋体" w:eastAsia="仿宋" w:cs="Calibri"/>
                <w:b/>
                <w:bCs/>
                <w:color w:val="auto"/>
                <w:kern w:val="2"/>
                <w:sz w:val="28"/>
                <w:szCs w:val="28"/>
                <w:highlight w:val="none"/>
                <w:lang w:val="en-US" w:eastAsia="zh-CN" w:bidi="ar-SA"/>
              </w:rPr>
            </w:pPr>
            <w:r>
              <w:rPr>
                <w:rFonts w:hint="eastAsia" w:ascii="宋体" w:hAnsi="宋体" w:eastAsia="仿宋" w:cs="Calibri"/>
                <w:b/>
                <w:bCs/>
                <w:color w:val="auto"/>
                <w:kern w:val="2"/>
                <w:sz w:val="28"/>
                <w:szCs w:val="28"/>
                <w:highlight w:val="none"/>
                <w:lang w:val="en-US" w:eastAsia="zh-CN" w:bidi="ar-SA"/>
              </w:rPr>
              <w:t>报价须知</w:t>
            </w:r>
          </w:p>
        </w:tc>
        <w:tc>
          <w:tcPr>
            <w:tcW w:w="6427" w:type="dxa"/>
            <w:vAlign w:val="center"/>
          </w:tcPr>
          <w:p w14:paraId="01A8B1B4">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供应商最后报价均不得高于磋商文件（公告）列明的项目预算、最高限价，否则其响应文件将被认定为响应无效。</w:t>
            </w:r>
          </w:p>
        </w:tc>
      </w:tr>
      <w:tr w14:paraId="6482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vAlign w:val="center"/>
          </w:tcPr>
          <w:p w14:paraId="6296E0F6">
            <w:pPr>
              <w:widowControl w:val="0"/>
              <w:ind w:firstLine="0" w:firstLineChars="0"/>
              <w:jc w:val="center"/>
              <w:rPr>
                <w:rFonts w:ascii="宋体" w:hAnsi="宋体" w:eastAsia="仿宋" w:cs="Calibri"/>
                <w:b/>
                <w:bCs/>
                <w:color w:val="auto"/>
                <w:kern w:val="2"/>
                <w:sz w:val="28"/>
                <w:szCs w:val="28"/>
                <w:highlight w:val="none"/>
                <w:lang w:val="en-US" w:eastAsia="zh-CN" w:bidi="ar-SA"/>
              </w:rPr>
            </w:pPr>
            <w:r>
              <w:rPr>
                <w:rFonts w:hint="eastAsia" w:ascii="宋体" w:hAnsi="宋体" w:eastAsia="仿宋" w:cs="Calibri"/>
                <w:b/>
                <w:bCs/>
                <w:color w:val="auto"/>
                <w:kern w:val="2"/>
                <w:sz w:val="28"/>
                <w:szCs w:val="28"/>
                <w:highlight w:val="none"/>
                <w:lang w:val="en-US" w:eastAsia="zh-CN" w:bidi="ar-SA"/>
              </w:rPr>
              <w:t>重要说明</w:t>
            </w:r>
          </w:p>
        </w:tc>
        <w:tc>
          <w:tcPr>
            <w:tcW w:w="6427" w:type="dxa"/>
            <w:vAlign w:val="center"/>
          </w:tcPr>
          <w:p w14:paraId="39DBF640">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（1）本项目的磋商文件、最高限价、澄清、修改、补充等相关资料均通过电子服务系统发布，请供应商自行从网上下载，供应商应当及时查看有无相关澄清、修改、补充等内容。</w:t>
            </w:r>
          </w:p>
          <w:p w14:paraId="738EB52E">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（2）在工程项目磋商过程中，供应商最后报价与公布的最高限价或项目概算相比降幅过大，明显低于成本价的，磋商小组可以否决其报价。</w:t>
            </w:r>
          </w:p>
          <w:p w14:paraId="7199D1D5">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（3）供应商在工程实施过程中用工行为，必须严格执行国家及地方政府的有关规定，依法签订劳动合同，并按规定及时足额支付工资。</w:t>
            </w:r>
          </w:p>
          <w:p w14:paraId="24595EEB">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（4）采购需求中：</w:t>
            </w:r>
          </w:p>
          <w:p w14:paraId="4F08B57B">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①如属于《节能产品政府采购品目清单》中政府强制采购的节能产品，则供应商所响应产品须具有市场监管总局公布的《参与实施政府采购节能产品认证机构目录》中的认证机构出具的、处于有效期内的节能产品认证证书。</w:t>
            </w:r>
          </w:p>
          <w:p w14:paraId="15FF48EF">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②如涉及商品包装和快递包装，供应商应当执行《关于印发〈商品包装政府采购需求标准（试行）〉、〈快递包装政府采购需求标准（试行）〉的通知》（财办库〔2020〕123号）、《安徽省财政厅关于贯彻落实政府绿色采购有关政策的通知》（皖财购〔2023〕853 号）的要求，提供符合需求标准的绿色包装、绿色运输，同时，采购人将对包装材料和运输环节作为履约验收条款进行验收。</w:t>
            </w:r>
          </w:p>
          <w:p w14:paraId="06109903">
            <w:pPr>
              <w:keepNext w:val="0"/>
              <w:keepLines w:val="0"/>
              <w:pageBreakBefore w:val="0"/>
              <w:widowControl w:val="0"/>
              <w:kinsoku/>
              <w:wordWrap/>
              <w:overflowPunct/>
              <w:topLinePunct w:val="0"/>
              <w:autoSpaceDE/>
              <w:autoSpaceDN/>
              <w:bidi w:val="0"/>
              <w:spacing w:line="240" w:lineRule="auto"/>
              <w:ind w:firstLine="560" w:firstLineChars="200"/>
              <w:jc w:val="both"/>
              <w:textAlignment w:val="auto"/>
              <w:rPr>
                <w:rFonts w:ascii="宋体" w:hAnsi="宋体" w:eastAsia="仿宋" w:cs="Calibri"/>
                <w:color w:val="auto"/>
                <w:kern w:val="2"/>
                <w:sz w:val="28"/>
                <w:szCs w:val="28"/>
                <w:highlight w:val="none"/>
                <w:lang w:val="en-US" w:eastAsia="zh-CN" w:bidi="ar-SA"/>
              </w:rPr>
            </w:pPr>
            <w:r>
              <w:rPr>
                <w:rFonts w:hint="eastAsia" w:ascii="宋体" w:hAnsi="宋体" w:eastAsia="仿宋" w:cs="Calibri"/>
                <w:color w:val="auto"/>
                <w:kern w:val="2"/>
                <w:sz w:val="28"/>
                <w:szCs w:val="28"/>
                <w:highlight w:val="none"/>
                <w:lang w:val="en-US" w:eastAsia="zh-CN" w:bidi="ar-SA"/>
              </w:rPr>
              <w:t>（5）建设工程不可竞争费构成及计费标准按《关于发布&lt;安徽省建设工程计价依据动态调整（第1期）&gt;的公告》（安徽省住房和城乡建设厅公告第51号）执行，本工程最高投标限价（招标控制价）已按规定的措施项目、费率和单价列出招标工程施工扬尘污染防治费用和建筑工人实名制管理费用清单，供应商应承诺响应报价中已包含采购文件公布的施工扬尘污染防治费用和建筑工人实名制管理费用。工程竣工结算时，未落实的施工扬尘污染防治和建筑工人实名制管理措施项目,应将其金额从工程结算价款中扣除。</w:t>
            </w:r>
          </w:p>
        </w:tc>
      </w:tr>
      <w:bookmarkEnd w:id="3"/>
    </w:tbl>
    <w:p w14:paraId="1F3DEDE4">
      <w:pPr>
        <w:keepNext/>
        <w:keepLines/>
        <w:widowControl w:val="0"/>
        <w:spacing w:before="260" w:after="260" w:line="416" w:lineRule="auto"/>
        <w:jc w:val="both"/>
        <w:outlineLvl w:val="1"/>
        <w:rPr>
          <w:rFonts w:ascii="仿宋" w:hAnsi="仿宋" w:eastAsia="仿宋" w:cs="仿宋"/>
          <w:b/>
          <w:bCs/>
          <w:color w:val="auto"/>
          <w:kern w:val="2"/>
          <w:sz w:val="28"/>
          <w:szCs w:val="28"/>
          <w:highlight w:val="none"/>
          <w:lang w:val="en-US" w:eastAsia="zh-CN" w:bidi="ar-SA"/>
        </w:rPr>
      </w:pPr>
      <w:bookmarkStart w:id="4" w:name="_Toc455587091"/>
      <w:bookmarkStart w:id="5" w:name="_Toc445554749"/>
      <w:bookmarkStart w:id="6" w:name="_Toc455587275"/>
      <w:bookmarkStart w:id="7" w:name="_Toc466024558"/>
      <w:r>
        <w:rPr>
          <w:rFonts w:hint="eastAsia" w:ascii="宋体" w:hAnsi="宋体" w:eastAsia="仿宋" w:cs="Times New Roman"/>
          <w:b w:val="0"/>
          <w:bCs w:val="0"/>
          <w:color w:val="auto"/>
          <w:kern w:val="2"/>
          <w:sz w:val="28"/>
          <w:szCs w:val="28"/>
          <w:highlight w:val="none"/>
          <w:lang w:val="en-US" w:eastAsia="zh-CN" w:bidi="ar-SA"/>
        </w:rPr>
        <w:t xml:space="preserve">4. </w:t>
      </w:r>
      <w:bookmarkEnd w:id="4"/>
      <w:bookmarkEnd w:id="5"/>
      <w:bookmarkEnd w:id="6"/>
      <w:bookmarkEnd w:id="7"/>
      <w:r>
        <w:rPr>
          <w:rFonts w:hint="eastAsia" w:ascii="仿宋" w:hAnsi="仿宋" w:eastAsia="仿宋" w:cs="仿宋"/>
          <w:b/>
          <w:bCs/>
          <w:color w:val="auto"/>
          <w:kern w:val="2"/>
          <w:sz w:val="28"/>
          <w:szCs w:val="28"/>
          <w:highlight w:val="none"/>
          <w:lang w:val="en-US" w:eastAsia="zh-CN" w:bidi="ar-SA"/>
        </w:rPr>
        <w:t>特别提醒</w:t>
      </w:r>
    </w:p>
    <w:p w14:paraId="0A52086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施工期间不得影响学校正常教学、餐饮及住宿,成交单位在施工中不得破坏非施工范围内的环境绿化、沥青道路、人行道、周边建筑、公共设施、管线等，应采取有效的防护措施，凡有损坏的,成交人须自行承担维修或赔偿责任。</w:t>
      </w:r>
    </w:p>
    <w:p w14:paraId="34B09F35">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（2）本项目现场情况复杂，施工质量要求较高，工期紧张，供应商须合理安排施工计划，确保工期目标的实现。供应商在施工过程中须注意成品保护，对非改造部分的建筑物和构筑物充分保护到位。</w:t>
      </w:r>
    </w:p>
    <w:p w14:paraId="05DE6093">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本项目施工现场平面宽度较小，场地受到限制，安全文明施工要求高、质量要求严、工期要求紧。供应商不能在现场搭设加工厂及工人生活区。供应商进场后，施工人员、管理人员及车辆须到采购人处办理出入证，无出入证一律不得进入施工区内。</w:t>
      </w:r>
    </w:p>
    <w:p w14:paraId="340B344B">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（4）供应商须综合考虑地基处理机械等设备的进场路线、作业面的加固处理。</w:t>
      </w:r>
    </w:p>
    <w:p w14:paraId="4E3D3D52">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（5）施工车辆进出及混凝土浇筑等噪音较大作业须避开学校教学时间，并做到尽量无噪音施工；如遇节假日或其他重要活动，供应商须服从采购人的统一安排，合理安排施工时间。</w:t>
      </w:r>
    </w:p>
    <w:p w14:paraId="60A40781">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施工当天产生的建筑垃圾和堆集的土方必须当天及时清运，且运输建筑垃圾不得洒落校园道路上。成交人必须做好安全文明施工、必要的防火措施和施工围挡，施工围墙围挡高度不得低于2.2米，且安全、牢固。同时须制定专门的防火、防尘、降噪方案及措施，须满足工程建设质量、安全的相关要求。</w:t>
      </w:r>
    </w:p>
    <w:p w14:paraId="3121A79C">
      <w:pPr>
        <w:spacing w:line="360" w:lineRule="auto"/>
        <w:ind w:firstLine="560" w:firstLineChars="200"/>
        <w:rPr>
          <w:color w:val="auto"/>
          <w:sz w:val="28"/>
          <w:szCs w:val="28"/>
          <w:highlight w:val="none"/>
        </w:rPr>
      </w:pPr>
      <w:r>
        <w:rPr>
          <w:rFonts w:hint="eastAsia" w:ascii="仿宋" w:hAnsi="仿宋" w:eastAsia="仿宋" w:cs="仿宋"/>
          <w:bCs/>
          <w:color w:val="auto"/>
          <w:sz w:val="28"/>
          <w:szCs w:val="28"/>
          <w:highlight w:val="none"/>
        </w:rPr>
        <w:t>（7）本项目所有本工程施工涉及到与其他相关管理部门的协调及配合工作均由成交人负责协调处理。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BEF9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FD2CE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EFD2CE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E6E40"/>
    <w:rsid w:val="1D5C71BB"/>
    <w:rsid w:val="1EFE6E40"/>
    <w:rsid w:val="3ECA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出段落1"/>
    <w:basedOn w:val="1"/>
    <w:qFormat/>
    <w:uiPriority w:val="0"/>
    <w:pPr>
      <w:ind w:firstLine="420" w:firstLineChars="200"/>
    </w:p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 w:type="character" w:customStyle="1" w:styleId="13">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2025-09-01T10:54:00Z</dcterms:created>
  <dc:creator>小强</dc:creator>
  <cp:lastModifiedBy>小强</cp:lastModifiedBy>
  <dcterms:modified xsi:type="dcterms:W3CDTF">2025-09-01T10:58:16Z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5B8B8210092F405ABA6EDB3FEBF5E856_13</vt:lpwstr>
  </property>
  <property fmtid="{D5CDD505-2E9C-101B-9397-08002B2CF9AE}" pid="4" name="KSOTemplateDocerSaveRecord">
    <vt:lpwstr>eyJoZGlkIjoiMzEwNTM5NzYwMDRjMzkwZTVkZjY2ODkwMGIxNGU0OTUiLCJ1c2VySWQiOiI0Mjk1MDA1NDMifQ==</vt:lpwstr>
  </property>
</Properties>
</file>