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51056">
      <w:pPr>
        <w:pStyle w:val="2"/>
        <w:widowControl/>
        <w:snapToGrid w:val="0"/>
        <w:spacing w:before="0" w:after="0" w:line="360" w:lineRule="auto"/>
        <w:jc w:val="center"/>
        <w:rPr>
          <w:rFonts w:hint="eastAsia" w:ascii="宋体" w:hAnsi="宋体"/>
          <w:color w:val="000000"/>
        </w:rPr>
      </w:pPr>
      <w:bookmarkStart w:id="0" w:name="_Toc8946"/>
      <w:r>
        <w:rPr>
          <w:rFonts w:hint="eastAsia" w:ascii="宋体" w:hAnsi="宋体"/>
          <w:color w:val="000000"/>
        </w:rPr>
        <w:t>第三章  采购需求及技术规格要求</w:t>
      </w:r>
      <w:bookmarkEnd w:id="0"/>
    </w:p>
    <w:p w14:paraId="0925DAD0">
      <w:pPr>
        <w:pStyle w:val="3"/>
        <w:spacing w:before="0" w:after="0" w:line="360" w:lineRule="auto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总则：</w:t>
      </w:r>
    </w:p>
    <w:p w14:paraId="6E1EDFEA">
      <w:pPr>
        <w:widowControl/>
        <w:tabs>
          <w:tab w:val="left" w:pos="1406"/>
        </w:tabs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1.1 本技术规格所提出的要求是对本次招标货物的基本技术要求，并未涉及所有技术细节，也未充分引述有关标准、规范的全部条款。投标人应保证其提供的货物除了满足本技术规格的要求外，还应符合中国国家、行业、地方或设备制造商所在国的有关标准、规范（尤其是必须符合中国国家标准的有关强制性规定)。</w:t>
      </w:r>
    </w:p>
    <w:p w14:paraId="3AF20365">
      <w:pPr>
        <w:pStyle w:val="11"/>
        <w:spacing w:line="360" w:lineRule="auto"/>
        <w:ind w:firstLine="480" w:firstLineChars="20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1.2 中标产品的名称、品牌、规格型号、数量、单价等将予以公布。</w:t>
      </w:r>
    </w:p>
    <w:p w14:paraId="044CB8E1">
      <w:pPr>
        <w:wordWrap w:val="0"/>
        <w:spacing w:line="360" w:lineRule="auto"/>
        <w:jc w:val="left"/>
        <w:rPr>
          <w:rFonts w:hint="eastAsia"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一、商务条款：</w:t>
      </w:r>
    </w:p>
    <w:tbl>
      <w:tblPr>
        <w:tblStyle w:val="9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645"/>
        <w:gridCol w:w="6100"/>
      </w:tblGrid>
      <w:tr w14:paraId="30C2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0" w:type="dxa"/>
            <w:noWrap w:val="0"/>
            <w:vAlign w:val="center"/>
          </w:tcPr>
          <w:p w14:paraId="7B7AD198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序号</w:t>
            </w:r>
          </w:p>
        </w:tc>
        <w:tc>
          <w:tcPr>
            <w:tcW w:w="9016" w:type="dxa"/>
            <w:gridSpan w:val="2"/>
            <w:noWrap w:val="0"/>
            <w:vAlign w:val="center"/>
          </w:tcPr>
          <w:p w14:paraId="0DF6DDD2">
            <w:pPr>
              <w:wordWrap w:val="0"/>
              <w:spacing w:line="360" w:lineRule="auto"/>
              <w:ind w:firstLine="2891" w:firstLineChars="12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商务条款内容</w:t>
            </w:r>
          </w:p>
        </w:tc>
      </w:tr>
      <w:tr w14:paraId="29B3D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40" w:type="dxa"/>
            <w:noWrap w:val="0"/>
            <w:vAlign w:val="center"/>
          </w:tcPr>
          <w:p w14:paraId="00CD89DE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 w14:paraId="6CC4B8AC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如是依法纳入医疗器械管理的须具有：</w:t>
            </w:r>
          </w:p>
        </w:tc>
        <w:tc>
          <w:tcPr>
            <w:tcW w:w="7216" w:type="dxa"/>
            <w:noWrap w:val="0"/>
            <w:vAlign w:val="center"/>
          </w:tcPr>
          <w:p w14:paraId="0142EA64">
            <w:pPr>
              <w:wordWrap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投标人为制造商的，须具有相应的医疗器械生产备案获取的备案编号（属于一类时）。</w:t>
            </w:r>
          </w:p>
        </w:tc>
      </w:tr>
      <w:tr w14:paraId="57E7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740" w:type="dxa"/>
            <w:noWrap w:val="0"/>
            <w:vAlign w:val="center"/>
          </w:tcPr>
          <w:p w14:paraId="5AA3EEBB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2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4E80C29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280FDC85">
            <w:pPr>
              <w:pStyle w:val="12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投标人须具有与投标产品相应的有效经营备案编号（属于二类时）；（如本次投标产品的注册人、备案人在其住所或者生产地址销售的，无需再办理医疗器械经营许可或备案。）。</w:t>
            </w:r>
          </w:p>
        </w:tc>
      </w:tr>
      <w:tr w14:paraId="4DA7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629BACB7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3</w:t>
            </w:r>
          </w:p>
        </w:tc>
        <w:tc>
          <w:tcPr>
            <w:tcW w:w="1800" w:type="dxa"/>
            <w:vMerge w:val="continue"/>
            <w:noWrap w:val="0"/>
            <w:vAlign w:val="top"/>
          </w:tcPr>
          <w:p w14:paraId="2DD02AF9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</w:tc>
        <w:tc>
          <w:tcPr>
            <w:tcW w:w="7216" w:type="dxa"/>
            <w:noWrap w:val="0"/>
            <w:vAlign w:val="top"/>
          </w:tcPr>
          <w:p w14:paraId="3E4D4952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投标产品须具有有效的医疗器械注册证（属于二类、三类时）；投标产品纳入备案管理时（属于一类时），须在投标文件中提供备案材料或承诺函（承诺在合同签订前提供所投产品的备案证明材料，若未按规定提供视为自动放弃中标资格）。</w:t>
            </w:r>
          </w:p>
        </w:tc>
      </w:tr>
      <w:tr w14:paraId="0ED6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noWrap w:val="0"/>
            <w:vAlign w:val="center"/>
          </w:tcPr>
          <w:p w14:paraId="08577321">
            <w:pPr>
              <w:wordWrap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4</w:t>
            </w:r>
          </w:p>
        </w:tc>
        <w:tc>
          <w:tcPr>
            <w:tcW w:w="9016" w:type="dxa"/>
            <w:gridSpan w:val="2"/>
            <w:noWrap w:val="0"/>
            <w:vAlign w:val="top"/>
          </w:tcPr>
          <w:p w14:paraId="15A118A3">
            <w:pPr>
              <w:pStyle w:val="7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中标人需负责在项目安装地点进行所投设备的安装调试工作，并现场测试。在安装和调试期间，如发现设备或材料有缺陷或损坏，中标人应尽快更换，相关费用均包含在本次投标报价中。中标人在维护期内应提供现场、电话、传真或电子邮件方式为采购人提供技术支持，要求中标人应在有稳定的技术支撑与服务能力，并且在设备发生故障时2小时内响应。中标人在项目验收合格后，负责对所投设备组织操作使用培训，培训地点、人员由采购人指定。</w:t>
            </w:r>
          </w:p>
        </w:tc>
      </w:tr>
    </w:tbl>
    <w:p w14:paraId="7D590A61">
      <w:pPr>
        <w:spacing w:line="360" w:lineRule="auto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注：上述</w:t>
      </w:r>
      <w:r>
        <w:rPr>
          <w:rFonts w:hint="eastAsia" w:ascii="仿宋" w:hAnsi="仿宋" w:eastAsia="仿宋" w:cs="仿宋"/>
          <w:b/>
          <w:sz w:val="24"/>
        </w:rPr>
        <w:t>商务条款必须全部满足，否则做无效标处理。</w:t>
      </w:r>
    </w:p>
    <w:p w14:paraId="5F061116">
      <w:pPr>
        <w:wordWrap w:val="0"/>
        <w:spacing w:line="360" w:lineRule="auto"/>
        <w:rPr>
          <w:rFonts w:hint="eastAsia"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第4包</w:t>
      </w:r>
      <w:r>
        <w:rPr>
          <w:rFonts w:hint="eastAsia" w:ascii="仿宋" w:hAnsi="仿宋" w:eastAsia="仿宋" w:cs="仿宋"/>
          <w:b/>
          <w:bCs/>
          <w:kern w:val="44"/>
          <w:sz w:val="24"/>
        </w:rPr>
        <w:t>技术</w:t>
      </w:r>
      <w:r>
        <w:rPr>
          <w:rFonts w:hint="eastAsia" w:ascii="仿宋" w:hAnsi="仿宋" w:eastAsia="仿宋" w:cs="仿宋"/>
          <w:b/>
          <w:bCs/>
          <w:kern w:val="44"/>
          <w:sz w:val="24"/>
          <w:lang w:val="zh-CN"/>
        </w:rPr>
        <w:t>需求</w:t>
      </w:r>
      <w:r>
        <w:rPr>
          <w:rFonts w:hint="eastAsia" w:ascii="仿宋_GB2312" w:hAnsi="仿宋_GB2312" w:eastAsia="仿宋_GB2312" w:cs="仿宋_GB2312"/>
          <w:b/>
          <w:color w:val="000000"/>
          <w:sz w:val="24"/>
        </w:rPr>
        <w:t>重要性表述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1902"/>
        <w:gridCol w:w="4693"/>
      </w:tblGrid>
      <w:tr w14:paraId="3C91E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11" w:type="dxa"/>
            <w:noWrap w:val="0"/>
            <w:vAlign w:val="center"/>
          </w:tcPr>
          <w:p w14:paraId="1386F87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标识重要性</w:t>
            </w:r>
          </w:p>
        </w:tc>
        <w:tc>
          <w:tcPr>
            <w:tcW w:w="2180" w:type="dxa"/>
            <w:noWrap w:val="0"/>
            <w:vAlign w:val="center"/>
          </w:tcPr>
          <w:p w14:paraId="799F1B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标识符号</w:t>
            </w:r>
          </w:p>
        </w:tc>
        <w:tc>
          <w:tcPr>
            <w:tcW w:w="5463" w:type="dxa"/>
            <w:noWrap w:val="0"/>
            <w:vAlign w:val="center"/>
          </w:tcPr>
          <w:p w14:paraId="6A7F408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代表意思</w:t>
            </w:r>
          </w:p>
        </w:tc>
      </w:tr>
      <w:tr w14:paraId="2E185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137599F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重要指标项</w:t>
            </w:r>
          </w:p>
        </w:tc>
        <w:tc>
          <w:tcPr>
            <w:tcW w:w="2180" w:type="dxa"/>
            <w:noWrap w:val="0"/>
            <w:vAlign w:val="center"/>
          </w:tcPr>
          <w:p w14:paraId="6A71BC4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★</w:t>
            </w:r>
          </w:p>
        </w:tc>
        <w:tc>
          <w:tcPr>
            <w:tcW w:w="5463" w:type="dxa"/>
            <w:noWrap w:val="0"/>
            <w:vAlign w:val="center"/>
          </w:tcPr>
          <w:p w14:paraId="02D368D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2127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211" w:type="dxa"/>
            <w:noWrap w:val="0"/>
            <w:vAlign w:val="center"/>
          </w:tcPr>
          <w:p w14:paraId="0F225BE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一般指标项</w:t>
            </w:r>
          </w:p>
        </w:tc>
        <w:tc>
          <w:tcPr>
            <w:tcW w:w="2180" w:type="dxa"/>
            <w:noWrap w:val="0"/>
            <w:vAlign w:val="center"/>
          </w:tcPr>
          <w:p w14:paraId="6E7DB4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无标识项</w:t>
            </w:r>
          </w:p>
        </w:tc>
        <w:tc>
          <w:tcPr>
            <w:tcW w:w="5463" w:type="dxa"/>
            <w:noWrap w:val="0"/>
            <w:vAlign w:val="center"/>
          </w:tcPr>
          <w:p w14:paraId="192163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评分项，详见第四章评分细则。</w:t>
            </w:r>
          </w:p>
        </w:tc>
      </w:tr>
      <w:tr w14:paraId="47E9B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54" w:type="dxa"/>
            <w:gridSpan w:val="3"/>
            <w:noWrap w:val="0"/>
            <w:vAlign w:val="center"/>
          </w:tcPr>
          <w:p w14:paraId="487BFA56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注：投标人须如实响应，如在后期合同履约过程中，发现有虚假响应情况，招标人有权解除合同、不予退还履约保证金、不予支付合同款项，且追究中标人给甲方带来的一切损失。</w:t>
            </w:r>
          </w:p>
        </w:tc>
      </w:tr>
    </w:tbl>
    <w:p w14:paraId="02C13936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（二）技术参数</w:t>
      </w:r>
    </w:p>
    <w:p w14:paraId="0390C81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 基本要求</w:t>
      </w:r>
    </w:p>
    <w:p w14:paraId="3904508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1.1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通气模式：无创通气</w:t>
      </w:r>
    </w:p>
    <w:p w14:paraId="75112CC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ab/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患者类型：成人，小儿</w:t>
      </w:r>
    </w:p>
    <w:p w14:paraId="571C84AA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★1.3显示单元：显示器≥18英寸彩色触屏显示器，分辨率≥1920X1080，可同屏显示三道波形和监测参数，方便医护人员对参数进行调节及观察。</w:t>
      </w:r>
    </w:p>
    <w:p w14:paraId="333B14D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1.4电动电控呼吸机，内置涡轮驱动，无需配置空气压缩机，最大流速≥230L/min</w:t>
      </w:r>
    </w:p>
    <w:p w14:paraId="41084CBE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1.5 内置锂电池，电池工作时间≥3小时，双电池≥6小时。</w:t>
      </w:r>
    </w:p>
    <w:p w14:paraId="3925115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1.6 具备高压氧及低压氧接口</w:t>
      </w:r>
    </w:p>
    <w:p w14:paraId="77BADDF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1.7 具有屏幕锁功能，可以进行屏幕锁定防止误触碰，造成通气参数改变。</w:t>
      </w:r>
    </w:p>
    <w:p w14:paraId="6088FB6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1.8 具有波形冻结、屏幕截图、录像功能</w:t>
      </w:r>
    </w:p>
    <w:p w14:paraId="472469F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1.9 数据管理：≥72小时趋势图、≥72小时趋势表、≥20000条日志记录</w:t>
      </w:r>
    </w:p>
    <w:p w14:paraId="386DC16A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★1.10.氧浓度监测</w:t>
      </w:r>
    </w:p>
    <w:p w14:paraId="2949B33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1.11存储数据可通过USB导出</w:t>
      </w:r>
    </w:p>
    <w:p w14:paraId="10D3A00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1.12 进液防护级别：≥IP21</w:t>
      </w:r>
    </w:p>
    <w:p w14:paraId="4669300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1.13 具有面罩类型及呼气端口选择，并匹配不同漏气量算法</w:t>
      </w:r>
    </w:p>
    <w:p w14:paraId="61AE67A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★1.14 吸气、呼气触发灵敏度可以自动调节，机器根据患者实时呼吸情况自动调整，无需手动调节触发阈值</w:t>
      </w:r>
    </w:p>
    <w:p w14:paraId="6C83F06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 通气模式</w:t>
      </w:r>
    </w:p>
    <w:p w14:paraId="740E19E3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2.1 CPAP（持续气道正压通气）模式</w:t>
      </w:r>
    </w:p>
    <w:p w14:paraId="448BD67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2.2 PCV（压力控制通气）模式</w:t>
      </w:r>
    </w:p>
    <w:p w14:paraId="5999C30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2.3 S/T（自主呼吸/时间控制通气）模式</w:t>
      </w:r>
    </w:p>
    <w:p w14:paraId="3384763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2.4 VS (平均容量保证压力通气)模式</w:t>
      </w:r>
    </w:p>
    <w:p w14:paraId="7C977FB8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★2.5 PPS（比例压力支持通气）模式</w:t>
      </w:r>
    </w:p>
    <w:p w14:paraId="34B1F4E3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★2.6HFNC高流量氧疗模式（可选配）</w:t>
      </w:r>
    </w:p>
    <w:p w14:paraId="1AE7862D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2.6 具有窒息备份通气</w:t>
      </w:r>
    </w:p>
    <w:p w14:paraId="551D0232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3、参数设置</w:t>
      </w:r>
    </w:p>
    <w:p w14:paraId="4FB35732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★3.1目标潮气量： 20-2000ml</w:t>
      </w:r>
    </w:p>
    <w:p w14:paraId="193A1140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3.2呼吸频率：4-60bpm </w:t>
      </w:r>
    </w:p>
    <w:p w14:paraId="146C9CD4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bidi="ar"/>
        </w:rPr>
        <w:t>★3.3窒息呼吸频率：1-80bpm</w:t>
      </w:r>
    </w:p>
    <w:p w14:paraId="0FC1157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3.4吸气时间：0.30-3.00 秒</w:t>
      </w:r>
    </w:p>
    <w:p w14:paraId="6D9D1F0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3.5压力上升时间：1-5</w:t>
      </w:r>
    </w:p>
    <w:p w14:paraId="51ED4B0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3.6 压力延迟上升时间：关闭，5-45 分钟</w:t>
      </w:r>
    </w:p>
    <w:p w14:paraId="718F695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3.7吸气压力（IPAP）：4-40cmH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O</w:t>
      </w:r>
    </w:p>
    <w:p w14:paraId="5664ED64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3.8呼气末正压(EPAP)： 4-25cmH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O</w:t>
      </w:r>
    </w:p>
    <w:p w14:paraId="34BBC741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3.9吸入氧浓度： 21%~100%</w:t>
      </w:r>
    </w:p>
    <w:p w14:paraId="59D69A79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3.10持续气道正压（CPAP）： 4-25cmH</w:t>
      </w:r>
      <w:r>
        <w:rPr>
          <w:rFonts w:hint="eastAsia" w:ascii="仿宋" w:hAnsi="仿宋" w:eastAsia="仿宋" w:cs="仿宋"/>
          <w:color w:val="000000"/>
          <w:kern w:val="0"/>
          <w:sz w:val="24"/>
          <w:vertAlign w:val="subscript"/>
          <w:lang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O</w:t>
      </w:r>
    </w:p>
    <w:p w14:paraId="520B26A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3.11吸气触发灵敏度：自动，1-5档</w:t>
      </w:r>
    </w:p>
    <w:p w14:paraId="286656BB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3.12.呼气触发灵敏度：自动，1-5档</w:t>
      </w:r>
    </w:p>
    <w:p w14:paraId="33210CCC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3.13高流量氧疗流量调节范围：2-60L/min</w:t>
      </w:r>
    </w:p>
    <w:p w14:paraId="5E7167C5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4、监测参数 </w:t>
      </w:r>
    </w:p>
    <w:p w14:paraId="5CFA3446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4.1 监测参数：潮气量、呼吸频率、分钟通气量、峰值压力、呼气压力、吸气时间占比、患者触发百分比、氧浓度、吸呼比、病人端漏气量、总漏气量</w:t>
      </w:r>
    </w:p>
    <w:p w14:paraId="543F52BF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4.2 波形： 压力-时间 容量-时间、流速-时间</w:t>
      </w:r>
    </w:p>
    <w:p w14:paraId="652B2007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5、报警参数</w:t>
      </w:r>
    </w:p>
    <w:p w14:paraId="290893F8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5.1 压力过高报警、压力过低报警、潮气量过高报警、潮气量过低报警、呼吸频率过高、呼吸频率过低报警、分钟通气量过低报警、氧浓度过高、报警氧浓度过低报警。</w:t>
      </w:r>
    </w:p>
    <w:p w14:paraId="6DB6E667">
      <w:pPr>
        <w:pStyle w:val="8"/>
        <w:rPr>
          <w:rFonts w:hint="eastAsia" w:ascii="仿宋" w:hAnsi="仿宋" w:eastAsia="仿宋" w:cs="仿宋"/>
          <w:b/>
          <w:sz w:val="24"/>
        </w:rPr>
      </w:pPr>
      <w:bookmarkStart w:id="1" w:name="_GoBack"/>
      <w:bookmarkEnd w:id="1"/>
    </w:p>
    <w:p w14:paraId="0058BB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32D76"/>
    <w:rsid w:val="7F9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unhideWhenUsed/>
    <w:qFormat/>
    <w:uiPriority w:val="39"/>
    <w:pPr>
      <w:ind w:left="1260"/>
      <w:jc w:val="left"/>
    </w:pPr>
    <w:rPr>
      <w:rFonts w:ascii="Calibri" w:hAnsi="Calibri"/>
      <w:sz w:val="18"/>
      <w:szCs w:val="18"/>
    </w:rPr>
  </w:style>
  <w:style w:type="paragraph" w:styleId="5">
    <w:name w:val="Body Text Indent"/>
    <w:basedOn w:val="1"/>
    <w:next w:val="6"/>
    <w:uiPriority w:val="0"/>
    <w:pPr>
      <w:spacing w:after="120" w:afterLines="0" w:afterAutospacing="0"/>
      <w:ind w:left="420" w:leftChars="200"/>
    </w:pPr>
  </w:style>
  <w:style w:type="paragraph" w:styleId="6">
    <w:name w:val="envelope return"/>
    <w:basedOn w:val="1"/>
    <w:next w:val="4"/>
    <w:qFormat/>
    <w:uiPriority w:val="99"/>
    <w:pPr>
      <w:snapToGrid w:val="0"/>
    </w:pPr>
    <w:rPr>
      <w:rFonts w:ascii="Arial" w:hAnsi="Arial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8">
    <w:name w:val="Body Text First Indent 2"/>
    <w:basedOn w:val="5"/>
    <w:next w:val="1"/>
    <w:uiPriority w:val="0"/>
    <w:pPr>
      <w:ind w:firstLine="420" w:firstLineChars="200"/>
    </w:pPr>
  </w:style>
  <w:style w:type="paragraph" w:customStyle="1" w:styleId="11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2025-05-07T02:39:00Z</dcterms:created>
  <dc:creator>Lenovo</dc:creator>
  <cp:lastModifiedBy>豆奶是个小胖子</cp:lastModifiedBy>
  <dcterms:modified xsi:type="dcterms:W3CDTF">2025-10-29T05:43:56Z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D323BED4188548F7B9F5AA7631948CC4_12</vt:lpwstr>
  </property>
  <property fmtid="{D5CDD505-2E9C-101B-9397-08002B2CF9AE}" pid="4" name="KSOTemplateDocerSaveRecord">
    <vt:lpwstr>eyJoZGlkIjoiNDAzNTQ2YzQzMjg1Y2RiZDM0NWYxOWI5N2Q4ZWNmMTEiLCJ1c2VySWQiOiIzMDI3OTc1ODcifQ==</vt:lpwstr>
  </property>
</Properties>
</file>